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7B7BDD" w:rsidRPr="008B2CC1" w:rsidTr="00BF29C2">
        <w:tc>
          <w:tcPr>
            <w:tcW w:w="4513" w:type="dxa"/>
            <w:tcBorders>
              <w:bottom w:val="single" w:sz="4" w:space="0" w:color="auto"/>
            </w:tcBorders>
            <w:tcMar>
              <w:bottom w:w="170" w:type="dxa"/>
            </w:tcMar>
          </w:tcPr>
          <w:p w:rsidR="007B7BDD" w:rsidRPr="008B2CC1" w:rsidRDefault="007B7BDD" w:rsidP="00BF29C2">
            <w:bookmarkStart w:id="0" w:name="_Toc327875008"/>
          </w:p>
        </w:tc>
        <w:tc>
          <w:tcPr>
            <w:tcW w:w="4337" w:type="dxa"/>
            <w:tcBorders>
              <w:bottom w:val="single" w:sz="4" w:space="0" w:color="auto"/>
            </w:tcBorders>
            <w:tcMar>
              <w:left w:w="0" w:type="dxa"/>
              <w:right w:w="0" w:type="dxa"/>
            </w:tcMar>
          </w:tcPr>
          <w:p w:rsidR="007B7BDD" w:rsidRPr="008B2CC1" w:rsidRDefault="007B7BDD" w:rsidP="00BF29C2">
            <w:r>
              <w:rPr>
                <w:noProof/>
              </w:rPr>
              <w:drawing>
                <wp:inline distT="0" distB="0" distL="0" distR="0" wp14:anchorId="4860757D" wp14:editId="37882097">
                  <wp:extent cx="1857375" cy="1323975"/>
                  <wp:effectExtent l="0" t="0" r="9525" b="9525"/>
                  <wp:docPr id="22" name="Picture 22"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506" w:type="dxa"/>
            <w:tcBorders>
              <w:bottom w:val="single" w:sz="4" w:space="0" w:color="auto"/>
            </w:tcBorders>
            <w:tcMar>
              <w:left w:w="0" w:type="dxa"/>
              <w:right w:w="0" w:type="dxa"/>
            </w:tcMar>
          </w:tcPr>
          <w:p w:rsidR="007B7BDD" w:rsidRPr="008B2CC1" w:rsidRDefault="007B7BDD" w:rsidP="00BF29C2">
            <w:pPr>
              <w:jc w:val="right"/>
            </w:pPr>
            <w:r w:rsidRPr="00605827">
              <w:rPr>
                <w:b/>
                <w:sz w:val="40"/>
                <w:szCs w:val="40"/>
              </w:rPr>
              <w:t>E</w:t>
            </w:r>
          </w:p>
        </w:tc>
      </w:tr>
      <w:tr w:rsidR="007B7BDD" w:rsidRPr="001832A6" w:rsidTr="00BF29C2">
        <w:trPr>
          <w:trHeight w:hRule="exact" w:val="340"/>
        </w:trPr>
        <w:tc>
          <w:tcPr>
            <w:tcW w:w="9356" w:type="dxa"/>
            <w:gridSpan w:val="3"/>
            <w:tcBorders>
              <w:top w:val="single" w:sz="4" w:space="0" w:color="auto"/>
            </w:tcBorders>
            <w:tcMar>
              <w:top w:w="170" w:type="dxa"/>
              <w:left w:w="0" w:type="dxa"/>
              <w:right w:w="0" w:type="dxa"/>
            </w:tcMar>
            <w:vAlign w:val="bottom"/>
          </w:tcPr>
          <w:p w:rsidR="007B7BDD" w:rsidRPr="0090731E" w:rsidRDefault="007B7BDD" w:rsidP="00BF29C2">
            <w:pPr>
              <w:jc w:val="right"/>
              <w:rPr>
                <w:rFonts w:ascii="Arial Black" w:hAnsi="Arial Black"/>
                <w:caps/>
                <w:sz w:val="15"/>
              </w:rPr>
            </w:pPr>
            <w:r>
              <w:rPr>
                <w:rFonts w:ascii="Arial Black" w:hAnsi="Arial Black"/>
                <w:caps/>
                <w:sz w:val="15"/>
              </w:rPr>
              <w:t>WO/PBC/22/</w:t>
            </w:r>
            <w:bookmarkStart w:id="1" w:name="Code"/>
            <w:bookmarkEnd w:id="1"/>
            <w:r>
              <w:rPr>
                <w:rFonts w:ascii="Arial Black" w:hAnsi="Arial Black"/>
                <w:caps/>
                <w:sz w:val="15"/>
              </w:rPr>
              <w:t xml:space="preserve">8 </w:t>
            </w:r>
            <w:r w:rsidRPr="0090731E">
              <w:rPr>
                <w:rFonts w:ascii="Arial Black" w:hAnsi="Arial Black"/>
                <w:caps/>
                <w:sz w:val="15"/>
              </w:rPr>
              <w:t xml:space="preserve">   </w:t>
            </w:r>
          </w:p>
        </w:tc>
      </w:tr>
      <w:tr w:rsidR="007B7BDD" w:rsidRPr="001832A6" w:rsidTr="00BF29C2">
        <w:trPr>
          <w:trHeight w:hRule="exact" w:val="170"/>
        </w:trPr>
        <w:tc>
          <w:tcPr>
            <w:tcW w:w="9356" w:type="dxa"/>
            <w:gridSpan w:val="3"/>
            <w:noWrap/>
            <w:tcMar>
              <w:left w:w="0" w:type="dxa"/>
              <w:right w:w="0" w:type="dxa"/>
            </w:tcMar>
            <w:vAlign w:val="bottom"/>
          </w:tcPr>
          <w:p w:rsidR="007B7BDD" w:rsidRPr="0090731E" w:rsidRDefault="007B7BDD" w:rsidP="00BF29C2">
            <w:pPr>
              <w:jc w:val="right"/>
              <w:rPr>
                <w:rFonts w:ascii="Arial Black" w:hAnsi="Arial Black"/>
                <w:caps/>
                <w:sz w:val="15"/>
              </w:rPr>
            </w:pPr>
            <w:r w:rsidRPr="0090731E">
              <w:rPr>
                <w:rFonts w:ascii="Arial Black" w:hAnsi="Arial Black"/>
                <w:caps/>
                <w:sz w:val="15"/>
              </w:rPr>
              <w:t>ORIGINAL:</w:t>
            </w:r>
            <w:r>
              <w:rPr>
                <w:rFonts w:ascii="Arial Black" w:hAnsi="Arial Black"/>
                <w:caps/>
                <w:sz w:val="15"/>
              </w:rPr>
              <w:t xml:space="preserve"> </w:t>
            </w:r>
            <w:r w:rsidRPr="0090731E">
              <w:rPr>
                <w:rFonts w:ascii="Arial Black" w:hAnsi="Arial Black"/>
                <w:caps/>
                <w:sz w:val="15"/>
              </w:rPr>
              <w:t xml:space="preserve"> </w:t>
            </w:r>
            <w:bookmarkStart w:id="2" w:name="Original"/>
            <w:bookmarkEnd w:id="2"/>
            <w:r>
              <w:rPr>
                <w:rFonts w:ascii="Arial Black" w:hAnsi="Arial Black"/>
                <w:caps/>
                <w:sz w:val="15"/>
              </w:rPr>
              <w:t>ENGLISH</w:t>
            </w:r>
          </w:p>
        </w:tc>
      </w:tr>
      <w:tr w:rsidR="007B7BDD" w:rsidRPr="001832A6" w:rsidTr="00BF29C2">
        <w:trPr>
          <w:trHeight w:hRule="exact" w:val="198"/>
        </w:trPr>
        <w:tc>
          <w:tcPr>
            <w:tcW w:w="9356" w:type="dxa"/>
            <w:gridSpan w:val="3"/>
            <w:tcMar>
              <w:left w:w="0" w:type="dxa"/>
              <w:right w:w="0" w:type="dxa"/>
            </w:tcMar>
            <w:vAlign w:val="bottom"/>
          </w:tcPr>
          <w:p w:rsidR="007B7BDD" w:rsidRPr="0090731E" w:rsidRDefault="007B7BDD" w:rsidP="00D10FBA">
            <w:pPr>
              <w:jc w:val="right"/>
              <w:rPr>
                <w:rFonts w:ascii="Arial Black" w:hAnsi="Arial Black"/>
                <w:caps/>
                <w:sz w:val="15"/>
              </w:rPr>
            </w:pPr>
            <w:r w:rsidRPr="0090731E">
              <w:rPr>
                <w:rFonts w:ascii="Arial Black" w:hAnsi="Arial Black"/>
                <w:caps/>
                <w:sz w:val="15"/>
              </w:rPr>
              <w:t>DATE:</w:t>
            </w:r>
            <w:r>
              <w:rPr>
                <w:rFonts w:ascii="Arial Black" w:hAnsi="Arial Black"/>
                <w:caps/>
                <w:sz w:val="15"/>
              </w:rPr>
              <w:t xml:space="preserve"> </w:t>
            </w:r>
            <w:r w:rsidRPr="0090731E">
              <w:rPr>
                <w:rFonts w:ascii="Arial Black" w:hAnsi="Arial Black"/>
                <w:caps/>
                <w:sz w:val="15"/>
              </w:rPr>
              <w:t xml:space="preserve"> </w:t>
            </w:r>
            <w:bookmarkStart w:id="3" w:name="Date"/>
            <w:bookmarkEnd w:id="3"/>
            <w:r>
              <w:rPr>
                <w:rFonts w:ascii="Arial Black" w:hAnsi="Arial Black"/>
                <w:caps/>
                <w:sz w:val="15"/>
              </w:rPr>
              <w:t xml:space="preserve">JULY </w:t>
            </w:r>
            <w:r w:rsidR="002F46EC" w:rsidRPr="00D10FBA">
              <w:rPr>
                <w:rFonts w:ascii="Arial Black" w:hAnsi="Arial Black"/>
                <w:caps/>
                <w:sz w:val="15"/>
              </w:rPr>
              <w:t>11</w:t>
            </w:r>
            <w:r w:rsidRPr="00D10FBA">
              <w:rPr>
                <w:rFonts w:ascii="Arial Black" w:hAnsi="Arial Black"/>
                <w:caps/>
                <w:sz w:val="15"/>
              </w:rPr>
              <w:t>,</w:t>
            </w:r>
            <w:r>
              <w:rPr>
                <w:rFonts w:ascii="Arial Black" w:hAnsi="Arial Black"/>
                <w:caps/>
                <w:sz w:val="15"/>
              </w:rPr>
              <w:t xml:space="preserve"> 2014</w:t>
            </w:r>
          </w:p>
        </w:tc>
      </w:tr>
    </w:tbl>
    <w:p w:rsidR="007B7BDD" w:rsidRPr="008B2CC1" w:rsidRDefault="007B7BDD" w:rsidP="007B7BDD"/>
    <w:p w:rsidR="007B7BDD" w:rsidRPr="008B2CC1" w:rsidRDefault="007B7BDD" w:rsidP="007B7BDD"/>
    <w:p w:rsidR="007B7BDD" w:rsidRPr="008B2CC1" w:rsidRDefault="007B7BDD" w:rsidP="007B7BDD"/>
    <w:p w:rsidR="007B7BDD" w:rsidRPr="008B2CC1" w:rsidRDefault="007B7BDD" w:rsidP="007B7BDD"/>
    <w:p w:rsidR="007B7BDD" w:rsidRPr="008B2CC1" w:rsidRDefault="007B7BDD" w:rsidP="007B7BDD"/>
    <w:p w:rsidR="007B7BDD" w:rsidRPr="003845C1" w:rsidRDefault="007B7BDD" w:rsidP="007B7BDD">
      <w:pPr>
        <w:rPr>
          <w:b/>
          <w:sz w:val="28"/>
          <w:szCs w:val="28"/>
        </w:rPr>
      </w:pPr>
      <w:r>
        <w:rPr>
          <w:b/>
          <w:sz w:val="28"/>
          <w:szCs w:val="28"/>
        </w:rPr>
        <w:t>Program and Budget Committee</w:t>
      </w:r>
    </w:p>
    <w:p w:rsidR="007B7BDD" w:rsidRDefault="007B7BDD" w:rsidP="007B7BDD"/>
    <w:p w:rsidR="007B7BDD" w:rsidRDefault="007B7BDD" w:rsidP="007B7BDD"/>
    <w:p w:rsidR="007B7BDD" w:rsidRPr="003845C1" w:rsidRDefault="007B7BDD" w:rsidP="007B7BDD">
      <w:pPr>
        <w:rPr>
          <w:b/>
          <w:sz w:val="24"/>
        </w:rPr>
      </w:pPr>
      <w:r>
        <w:rPr>
          <w:b/>
          <w:sz w:val="24"/>
        </w:rPr>
        <w:t xml:space="preserve">Twenty-Second </w:t>
      </w:r>
      <w:proofErr w:type="gramStart"/>
      <w:r>
        <w:rPr>
          <w:b/>
          <w:sz w:val="24"/>
        </w:rPr>
        <w:t>Session</w:t>
      </w:r>
      <w:proofErr w:type="gramEnd"/>
    </w:p>
    <w:p w:rsidR="007B7BDD" w:rsidRPr="003845C1" w:rsidRDefault="007B7BDD" w:rsidP="007B7BDD">
      <w:pPr>
        <w:rPr>
          <w:b/>
          <w:sz w:val="24"/>
        </w:rPr>
      </w:pPr>
      <w:r w:rsidRPr="00B479F1">
        <w:rPr>
          <w:b/>
          <w:sz w:val="24"/>
        </w:rPr>
        <w:t xml:space="preserve">Geneva, September </w:t>
      </w:r>
      <w:r>
        <w:rPr>
          <w:b/>
          <w:sz w:val="24"/>
        </w:rPr>
        <w:t>1</w:t>
      </w:r>
      <w:r w:rsidRPr="00B479F1">
        <w:rPr>
          <w:b/>
          <w:sz w:val="24"/>
        </w:rPr>
        <w:t xml:space="preserve"> to </w:t>
      </w:r>
      <w:r>
        <w:rPr>
          <w:b/>
          <w:sz w:val="24"/>
        </w:rPr>
        <w:t>5, 2014</w:t>
      </w:r>
    </w:p>
    <w:p w:rsidR="007B7BDD" w:rsidRPr="008B2CC1" w:rsidRDefault="007B7BDD" w:rsidP="007B7BDD"/>
    <w:p w:rsidR="007B7BDD" w:rsidRPr="008B2CC1" w:rsidRDefault="007B7BDD" w:rsidP="007B7BDD"/>
    <w:p w:rsidR="007B7BDD" w:rsidRPr="008B2CC1" w:rsidRDefault="007B7BDD" w:rsidP="007B7BDD"/>
    <w:p w:rsidR="007B7BDD" w:rsidRPr="003845C1" w:rsidRDefault="007B7BDD" w:rsidP="007B7BDD">
      <w:pPr>
        <w:rPr>
          <w:caps/>
          <w:sz w:val="24"/>
        </w:rPr>
      </w:pPr>
      <w:bookmarkStart w:id="4" w:name="TitleOfDoc"/>
      <w:bookmarkEnd w:id="4"/>
      <w:r>
        <w:rPr>
          <w:caps/>
          <w:sz w:val="24"/>
        </w:rPr>
        <w:t>PROGRAM PERFORMANCE REPORT FOR 2012/13</w:t>
      </w:r>
    </w:p>
    <w:p w:rsidR="007B7BDD" w:rsidRPr="008B2CC1" w:rsidRDefault="007B7BDD" w:rsidP="007B7BDD"/>
    <w:p w:rsidR="007B7BDD" w:rsidRPr="00F72C66" w:rsidRDefault="007B7BDD" w:rsidP="007B7BDD">
      <w:pPr>
        <w:rPr>
          <w:i/>
          <w:sz w:val="22"/>
          <w:szCs w:val="22"/>
        </w:rPr>
      </w:pPr>
      <w:bookmarkStart w:id="5" w:name="Prepared"/>
      <w:bookmarkEnd w:id="5"/>
      <w:proofErr w:type="gramStart"/>
      <w:r w:rsidRPr="00F72C66">
        <w:rPr>
          <w:i/>
          <w:sz w:val="22"/>
          <w:szCs w:val="22"/>
        </w:rPr>
        <w:t>presented</w:t>
      </w:r>
      <w:proofErr w:type="gramEnd"/>
      <w:r w:rsidRPr="00F72C66">
        <w:rPr>
          <w:i/>
          <w:sz w:val="22"/>
          <w:szCs w:val="22"/>
        </w:rPr>
        <w:t xml:space="preserve"> by the Director General</w:t>
      </w:r>
    </w:p>
    <w:p w:rsidR="007B7BDD" w:rsidRDefault="007B7BDD" w:rsidP="007B7BDD"/>
    <w:p w:rsidR="007B7BDD" w:rsidRDefault="007B7BDD" w:rsidP="007B7BDD"/>
    <w:p w:rsidR="007B7BDD" w:rsidRDefault="007B7BDD" w:rsidP="007B7BDD"/>
    <w:p w:rsidR="007B7BDD" w:rsidRDefault="007B7BDD" w:rsidP="007B7BDD"/>
    <w:p w:rsidR="007B7BDD" w:rsidRPr="00F72C66" w:rsidRDefault="007B7BDD" w:rsidP="007B7BDD">
      <w:pPr>
        <w:ind w:right="-143"/>
        <w:rPr>
          <w:sz w:val="22"/>
          <w:szCs w:val="22"/>
        </w:rPr>
      </w:pPr>
      <w:r>
        <w:rPr>
          <w:sz w:val="22"/>
          <w:szCs w:val="22"/>
        </w:rPr>
        <w:t>1.</w:t>
      </w:r>
      <w:r>
        <w:rPr>
          <w:sz w:val="22"/>
          <w:szCs w:val="22"/>
        </w:rPr>
        <w:tab/>
        <w:t>The P</w:t>
      </w:r>
      <w:r w:rsidRPr="00F72C66">
        <w:rPr>
          <w:sz w:val="22"/>
          <w:szCs w:val="22"/>
        </w:rPr>
        <w:t>rogram Performance Report (PPR) for 2012/13 has been prepared in accordance with WIPO’s results-based framework.  The present report is based on the performance criteria established in the Program and Budget for the 2012/13 biennium, as approved by the Assemblies o</w:t>
      </w:r>
      <w:r>
        <w:rPr>
          <w:sz w:val="22"/>
          <w:szCs w:val="22"/>
        </w:rPr>
        <w:t xml:space="preserve">f the Member States of WIPO on </w:t>
      </w:r>
      <w:r w:rsidRPr="00F72C66">
        <w:rPr>
          <w:sz w:val="22"/>
          <w:szCs w:val="22"/>
        </w:rPr>
        <w:t>September</w:t>
      </w:r>
      <w:r>
        <w:rPr>
          <w:sz w:val="22"/>
          <w:szCs w:val="22"/>
        </w:rPr>
        <w:t xml:space="preserve"> 29</w:t>
      </w:r>
      <w:r w:rsidRPr="00F72C66">
        <w:rPr>
          <w:sz w:val="22"/>
          <w:szCs w:val="22"/>
        </w:rPr>
        <w:t>, 2011 (publication No. 360/E/PB1213).</w:t>
      </w:r>
    </w:p>
    <w:p w:rsidR="007B7BDD" w:rsidRPr="00F72C66" w:rsidRDefault="007B7BDD" w:rsidP="007B7BDD">
      <w:pPr>
        <w:rPr>
          <w:sz w:val="22"/>
          <w:szCs w:val="22"/>
        </w:rPr>
      </w:pPr>
    </w:p>
    <w:p w:rsidR="007B7BDD" w:rsidRPr="00F72C66" w:rsidRDefault="007B7BDD" w:rsidP="007B7BDD">
      <w:pPr>
        <w:rPr>
          <w:sz w:val="22"/>
          <w:szCs w:val="22"/>
        </w:rPr>
      </w:pPr>
      <w:r w:rsidRPr="00F72C66">
        <w:rPr>
          <w:sz w:val="22"/>
          <w:szCs w:val="22"/>
        </w:rPr>
        <w:t>2.</w:t>
      </w:r>
      <w:r w:rsidRPr="00F72C66">
        <w:rPr>
          <w:sz w:val="22"/>
          <w:szCs w:val="22"/>
        </w:rPr>
        <w:tab/>
        <w:t>The following decision paragraph is proposed.</w:t>
      </w:r>
    </w:p>
    <w:p w:rsidR="007B7BDD" w:rsidRPr="00F72C66" w:rsidRDefault="007B7BDD" w:rsidP="007B7BDD">
      <w:pPr>
        <w:rPr>
          <w:sz w:val="22"/>
          <w:szCs w:val="22"/>
        </w:rPr>
      </w:pPr>
    </w:p>
    <w:p w:rsidR="007B7BDD" w:rsidRDefault="007B7BDD" w:rsidP="003F0BD1">
      <w:pPr>
        <w:tabs>
          <w:tab w:val="left" w:pos="5812"/>
        </w:tabs>
        <w:ind w:left="5387"/>
        <w:rPr>
          <w:i/>
          <w:sz w:val="22"/>
          <w:szCs w:val="22"/>
        </w:rPr>
      </w:pPr>
      <w:r w:rsidRPr="00F72C66">
        <w:rPr>
          <w:i/>
          <w:sz w:val="22"/>
          <w:szCs w:val="22"/>
        </w:rPr>
        <w:t>3</w:t>
      </w:r>
      <w:r w:rsidRPr="00F72C66">
        <w:rPr>
          <w:sz w:val="22"/>
          <w:szCs w:val="22"/>
        </w:rPr>
        <w:t>.</w:t>
      </w:r>
      <w:r w:rsidRPr="00F72C66">
        <w:rPr>
          <w:sz w:val="22"/>
          <w:szCs w:val="22"/>
        </w:rPr>
        <w:tab/>
      </w:r>
      <w:r w:rsidR="00D10FBA" w:rsidRPr="00D10FBA">
        <w:rPr>
          <w:rFonts w:cs="Arial"/>
          <w:i/>
          <w:sz w:val="22"/>
          <w:szCs w:val="22"/>
        </w:rPr>
        <w:t>The Program and Budget Committee</w:t>
      </w:r>
      <w:r w:rsidR="00274962">
        <w:rPr>
          <w:rFonts w:cs="Arial"/>
          <w:i/>
          <w:sz w:val="22"/>
          <w:szCs w:val="22"/>
        </w:rPr>
        <w:t>,</w:t>
      </w:r>
      <w:r w:rsidR="00D10FBA" w:rsidRPr="00D10FBA">
        <w:rPr>
          <w:rFonts w:cs="Arial"/>
          <w:i/>
          <w:sz w:val="22"/>
          <w:szCs w:val="22"/>
        </w:rPr>
        <w:t xml:space="preserve"> having reviewed the comprehensive Program Performance Report </w:t>
      </w:r>
      <w:r w:rsidR="0082018D">
        <w:rPr>
          <w:rFonts w:cs="Arial"/>
          <w:i/>
          <w:sz w:val="22"/>
          <w:szCs w:val="22"/>
        </w:rPr>
        <w:t xml:space="preserve">(PPR) </w:t>
      </w:r>
      <w:r w:rsidR="00D10FBA" w:rsidRPr="00D10FBA">
        <w:rPr>
          <w:rFonts w:cs="Arial"/>
          <w:i/>
          <w:sz w:val="22"/>
          <w:szCs w:val="22"/>
        </w:rPr>
        <w:t>for the biennium 2012/13</w:t>
      </w:r>
      <w:r w:rsidR="00274962">
        <w:rPr>
          <w:rFonts w:cs="Arial"/>
          <w:i/>
          <w:sz w:val="22"/>
          <w:szCs w:val="22"/>
        </w:rPr>
        <w:t xml:space="preserve">, </w:t>
      </w:r>
      <w:r w:rsidR="00FA2E32">
        <w:rPr>
          <w:rFonts w:cs="Arial"/>
          <w:i/>
          <w:sz w:val="22"/>
          <w:szCs w:val="22"/>
        </w:rPr>
        <w:t>and recognizing its nature as a self</w:t>
      </w:r>
      <w:r w:rsidR="0082018D">
        <w:rPr>
          <w:rFonts w:cs="Arial"/>
          <w:i/>
          <w:sz w:val="22"/>
          <w:szCs w:val="22"/>
        </w:rPr>
        <w:noBreakHyphen/>
      </w:r>
      <w:r w:rsidR="00FA2E32">
        <w:rPr>
          <w:rFonts w:cs="Arial"/>
          <w:i/>
          <w:sz w:val="22"/>
          <w:szCs w:val="22"/>
        </w:rPr>
        <w:t xml:space="preserve">assessment of the Secretariat, </w:t>
      </w:r>
      <w:r w:rsidR="00274962">
        <w:rPr>
          <w:rFonts w:cs="Arial"/>
          <w:i/>
          <w:sz w:val="22"/>
          <w:szCs w:val="22"/>
        </w:rPr>
        <w:t>recommended that the Assemblies of the Member States of WIPO</w:t>
      </w:r>
      <w:r w:rsidR="00D10FBA">
        <w:rPr>
          <w:i/>
          <w:sz w:val="22"/>
          <w:szCs w:val="22"/>
        </w:rPr>
        <w:t>:</w:t>
      </w:r>
    </w:p>
    <w:p w:rsidR="00D10FBA" w:rsidRDefault="00D10FBA" w:rsidP="003F0BD1">
      <w:pPr>
        <w:tabs>
          <w:tab w:val="left" w:pos="5387"/>
          <w:tab w:val="left" w:pos="5954"/>
        </w:tabs>
        <w:ind w:left="5387"/>
        <w:rPr>
          <w:i/>
          <w:sz w:val="22"/>
          <w:szCs w:val="22"/>
        </w:rPr>
      </w:pPr>
    </w:p>
    <w:p w:rsidR="00D10FBA" w:rsidRPr="00D10FBA" w:rsidRDefault="00D10FBA" w:rsidP="003F0BD1">
      <w:pPr>
        <w:pStyle w:val="ListParagraph"/>
        <w:numPr>
          <w:ilvl w:val="0"/>
          <w:numId w:val="91"/>
        </w:numPr>
        <w:tabs>
          <w:tab w:val="left" w:pos="6379"/>
        </w:tabs>
        <w:ind w:left="5812" w:firstLine="0"/>
        <w:contextualSpacing/>
        <w:rPr>
          <w:rFonts w:cs="Arial"/>
          <w:i/>
          <w:sz w:val="22"/>
          <w:szCs w:val="22"/>
        </w:rPr>
      </w:pPr>
      <w:r w:rsidRPr="00D10FBA">
        <w:rPr>
          <w:rFonts w:cs="Arial"/>
          <w:i/>
          <w:sz w:val="22"/>
          <w:szCs w:val="22"/>
        </w:rPr>
        <w:t xml:space="preserve">acknowledge Programs’ contribution to the achievement of the expected results; </w:t>
      </w:r>
    </w:p>
    <w:p w:rsidR="00D10FBA" w:rsidRPr="00D10FBA" w:rsidRDefault="00D10FBA" w:rsidP="003F0BD1">
      <w:pPr>
        <w:pStyle w:val="ListParagraph"/>
        <w:tabs>
          <w:tab w:val="left" w:pos="6379"/>
        </w:tabs>
        <w:ind w:left="5812"/>
        <w:rPr>
          <w:rFonts w:cs="Arial"/>
          <w:i/>
          <w:sz w:val="22"/>
          <w:szCs w:val="22"/>
        </w:rPr>
      </w:pPr>
    </w:p>
    <w:p w:rsidR="00D10FBA" w:rsidRPr="00D10FBA" w:rsidRDefault="00D10FBA" w:rsidP="003F0BD1">
      <w:pPr>
        <w:pStyle w:val="ListParagraph"/>
        <w:numPr>
          <w:ilvl w:val="0"/>
          <w:numId w:val="91"/>
        </w:numPr>
        <w:tabs>
          <w:tab w:val="left" w:pos="6379"/>
        </w:tabs>
        <w:ind w:left="5812" w:firstLine="0"/>
        <w:contextualSpacing/>
        <w:rPr>
          <w:rFonts w:cs="Arial"/>
          <w:i/>
          <w:sz w:val="22"/>
          <w:szCs w:val="22"/>
        </w:rPr>
      </w:pPr>
      <w:r w:rsidRPr="00D10FBA">
        <w:rPr>
          <w:rFonts w:cs="Arial"/>
          <w:i/>
          <w:sz w:val="22"/>
          <w:szCs w:val="22"/>
        </w:rPr>
        <w:t>note the enhancements made to the report, in accordance with the requests by Member States;</w:t>
      </w:r>
    </w:p>
    <w:p w:rsidR="00D10FBA" w:rsidRPr="00D10FBA" w:rsidRDefault="00D10FBA" w:rsidP="003F0BD1">
      <w:pPr>
        <w:pStyle w:val="ListParagraph"/>
        <w:tabs>
          <w:tab w:val="left" w:pos="5812"/>
          <w:tab w:val="left" w:pos="6379"/>
        </w:tabs>
        <w:ind w:left="5812" w:hanging="425"/>
        <w:rPr>
          <w:rFonts w:cs="Arial"/>
          <w:i/>
          <w:sz w:val="22"/>
          <w:szCs w:val="22"/>
        </w:rPr>
      </w:pPr>
    </w:p>
    <w:p w:rsidR="00D10FBA" w:rsidRDefault="00D10FBA" w:rsidP="003F0BD1">
      <w:pPr>
        <w:pStyle w:val="ListParagraph"/>
        <w:numPr>
          <w:ilvl w:val="0"/>
          <w:numId w:val="91"/>
        </w:numPr>
        <w:tabs>
          <w:tab w:val="left" w:pos="6379"/>
        </w:tabs>
        <w:ind w:left="5812" w:firstLine="0"/>
        <w:contextualSpacing/>
        <w:rPr>
          <w:rFonts w:cs="Arial"/>
          <w:i/>
          <w:sz w:val="22"/>
          <w:szCs w:val="22"/>
        </w:rPr>
      </w:pPr>
      <w:r w:rsidRPr="00D10FBA">
        <w:rPr>
          <w:rFonts w:cs="Arial"/>
          <w:i/>
          <w:sz w:val="22"/>
          <w:szCs w:val="22"/>
        </w:rPr>
        <w:t>note that all recommendations of the I</w:t>
      </w:r>
      <w:r w:rsidR="002C4083">
        <w:rPr>
          <w:rFonts w:cs="Arial"/>
          <w:i/>
          <w:sz w:val="22"/>
          <w:szCs w:val="22"/>
        </w:rPr>
        <w:t>nternal Audit and Oversight Division (I</w:t>
      </w:r>
      <w:r w:rsidRPr="00D10FBA">
        <w:rPr>
          <w:rFonts w:cs="Arial"/>
          <w:i/>
          <w:sz w:val="22"/>
          <w:szCs w:val="22"/>
        </w:rPr>
        <w:t>AOD</w:t>
      </w:r>
      <w:r w:rsidR="002C4083">
        <w:rPr>
          <w:rFonts w:cs="Arial"/>
          <w:i/>
          <w:sz w:val="22"/>
          <w:szCs w:val="22"/>
        </w:rPr>
        <w:t>)</w:t>
      </w:r>
      <w:r w:rsidRPr="00D10FBA">
        <w:rPr>
          <w:rFonts w:cs="Arial"/>
          <w:i/>
          <w:sz w:val="22"/>
          <w:szCs w:val="22"/>
        </w:rPr>
        <w:t xml:space="preserve"> Validation of the </w:t>
      </w:r>
      <w:r w:rsidRPr="00D10FBA">
        <w:rPr>
          <w:rFonts w:cs="Arial"/>
          <w:i/>
          <w:sz w:val="22"/>
          <w:szCs w:val="22"/>
        </w:rPr>
        <w:lastRenderedPageBreak/>
        <w:t>PPR for the biennium 2010/11 had been implemented by the Secretariat;</w:t>
      </w:r>
    </w:p>
    <w:p w:rsidR="00274962" w:rsidRPr="00D10FBA" w:rsidRDefault="00274962" w:rsidP="00274962">
      <w:pPr>
        <w:pStyle w:val="ListParagraph"/>
        <w:tabs>
          <w:tab w:val="left" w:pos="6379"/>
        </w:tabs>
        <w:ind w:left="5812"/>
        <w:contextualSpacing/>
        <w:rPr>
          <w:rFonts w:cs="Arial"/>
          <w:i/>
          <w:sz w:val="22"/>
          <w:szCs w:val="22"/>
        </w:rPr>
      </w:pPr>
    </w:p>
    <w:p w:rsidR="00274962" w:rsidRDefault="00FA2E32" w:rsidP="003F0BD1">
      <w:pPr>
        <w:pStyle w:val="ListParagraph"/>
        <w:numPr>
          <w:ilvl w:val="0"/>
          <w:numId w:val="91"/>
        </w:numPr>
        <w:tabs>
          <w:tab w:val="left" w:pos="6379"/>
        </w:tabs>
        <w:ind w:left="5812" w:firstLine="0"/>
        <w:contextualSpacing/>
        <w:rPr>
          <w:rFonts w:cs="Arial"/>
          <w:i/>
          <w:sz w:val="22"/>
          <w:szCs w:val="22"/>
        </w:rPr>
      </w:pPr>
      <w:r>
        <w:rPr>
          <w:rFonts w:cs="Arial"/>
          <w:i/>
          <w:sz w:val="22"/>
          <w:szCs w:val="22"/>
        </w:rPr>
        <w:t xml:space="preserve">noting the statements made by Member States on the PPR, </w:t>
      </w:r>
      <w:r w:rsidR="00274962">
        <w:rPr>
          <w:rFonts w:cs="Arial"/>
          <w:i/>
          <w:sz w:val="22"/>
          <w:szCs w:val="22"/>
        </w:rPr>
        <w:t>encourage</w:t>
      </w:r>
      <w:r w:rsidR="00D10FBA" w:rsidRPr="00D10FBA">
        <w:rPr>
          <w:rFonts w:cs="Arial"/>
          <w:i/>
          <w:sz w:val="22"/>
          <w:szCs w:val="22"/>
        </w:rPr>
        <w:t xml:space="preserve"> the Secretariat to</w:t>
      </w:r>
      <w:r w:rsidR="00274962">
        <w:rPr>
          <w:rFonts w:cs="Arial"/>
          <w:i/>
          <w:sz w:val="22"/>
          <w:szCs w:val="22"/>
        </w:rPr>
        <w:t>:</w:t>
      </w:r>
    </w:p>
    <w:p w:rsidR="00D10FBA" w:rsidRDefault="00D10FBA" w:rsidP="00274962">
      <w:pPr>
        <w:pStyle w:val="ListParagraph"/>
        <w:tabs>
          <w:tab w:val="left" w:pos="6379"/>
        </w:tabs>
        <w:ind w:left="5812"/>
        <w:contextualSpacing/>
        <w:rPr>
          <w:rFonts w:cs="Arial"/>
          <w:i/>
          <w:sz w:val="22"/>
          <w:szCs w:val="22"/>
        </w:rPr>
      </w:pPr>
    </w:p>
    <w:p w:rsidR="00D10FBA" w:rsidRDefault="00274962" w:rsidP="00853DA5">
      <w:pPr>
        <w:pStyle w:val="ListParagraph"/>
        <w:numPr>
          <w:ilvl w:val="0"/>
          <w:numId w:val="92"/>
        </w:numPr>
        <w:tabs>
          <w:tab w:val="left" w:pos="6804"/>
        </w:tabs>
        <w:ind w:left="6379" w:firstLine="141"/>
        <w:contextualSpacing/>
        <w:rPr>
          <w:rFonts w:cs="Arial"/>
          <w:i/>
          <w:sz w:val="22"/>
          <w:szCs w:val="22"/>
        </w:rPr>
      </w:pPr>
      <w:r>
        <w:rPr>
          <w:rFonts w:cs="Arial"/>
          <w:i/>
          <w:sz w:val="22"/>
          <w:szCs w:val="22"/>
        </w:rPr>
        <w:t>ensure that lessons learned from implementation in the 2012/13 biennium are duly taken into account for the implementation of the 2014/15 Program and Budget;  and</w:t>
      </w:r>
    </w:p>
    <w:p w:rsidR="007B2B25" w:rsidRPr="00D10FBA" w:rsidRDefault="007B2B25" w:rsidP="003F0BD1">
      <w:pPr>
        <w:pStyle w:val="ListParagraph"/>
        <w:tabs>
          <w:tab w:val="left" w:pos="6804"/>
        </w:tabs>
        <w:ind w:left="6804"/>
        <w:contextualSpacing/>
        <w:rPr>
          <w:rFonts w:cs="Arial"/>
          <w:i/>
          <w:sz w:val="22"/>
          <w:szCs w:val="22"/>
        </w:rPr>
      </w:pPr>
    </w:p>
    <w:p w:rsidR="00D10FBA" w:rsidRDefault="00274962" w:rsidP="00853DA5">
      <w:pPr>
        <w:pStyle w:val="ListParagraph"/>
        <w:numPr>
          <w:ilvl w:val="0"/>
          <w:numId w:val="92"/>
        </w:numPr>
        <w:tabs>
          <w:tab w:val="left" w:pos="6804"/>
        </w:tabs>
        <w:ind w:left="6379" w:firstLine="141"/>
        <w:contextualSpacing/>
        <w:rPr>
          <w:rFonts w:cs="Arial"/>
          <w:i/>
          <w:sz w:val="22"/>
          <w:szCs w:val="22"/>
        </w:rPr>
      </w:pPr>
      <w:proofErr w:type="gramStart"/>
      <w:r w:rsidRPr="00D10FBA">
        <w:rPr>
          <w:rFonts w:cs="Arial"/>
          <w:i/>
          <w:sz w:val="22"/>
          <w:szCs w:val="22"/>
        </w:rPr>
        <w:t>continue</w:t>
      </w:r>
      <w:proofErr w:type="gramEnd"/>
      <w:r w:rsidRPr="00D10FBA">
        <w:rPr>
          <w:rFonts w:cs="Arial"/>
          <w:i/>
          <w:sz w:val="22"/>
          <w:szCs w:val="22"/>
        </w:rPr>
        <w:t xml:space="preserve"> its efforts to enhance its implementation of results based management, in particular its performance a</w:t>
      </w:r>
      <w:r>
        <w:rPr>
          <w:rFonts w:cs="Arial"/>
          <w:i/>
          <w:sz w:val="22"/>
          <w:szCs w:val="22"/>
        </w:rPr>
        <w:t>ssessment and related reporting.</w:t>
      </w:r>
    </w:p>
    <w:p w:rsidR="00D10FBA" w:rsidRPr="00D10FBA" w:rsidRDefault="00D10FBA" w:rsidP="00274962">
      <w:pPr>
        <w:pStyle w:val="ListParagraph"/>
        <w:tabs>
          <w:tab w:val="left" w:pos="6804"/>
        </w:tabs>
        <w:ind w:left="6804"/>
        <w:contextualSpacing/>
        <w:rPr>
          <w:rFonts w:cs="Arial"/>
          <w:i/>
          <w:sz w:val="22"/>
          <w:szCs w:val="22"/>
        </w:rPr>
      </w:pPr>
    </w:p>
    <w:p w:rsidR="007B7BDD" w:rsidRPr="00F72C66" w:rsidRDefault="007B7BDD" w:rsidP="007B7BDD">
      <w:pPr>
        <w:tabs>
          <w:tab w:val="left" w:pos="4536"/>
        </w:tabs>
        <w:rPr>
          <w:sz w:val="22"/>
          <w:szCs w:val="22"/>
        </w:rPr>
      </w:pPr>
    </w:p>
    <w:p w:rsidR="007B7BDD" w:rsidRPr="00F72C66" w:rsidRDefault="007B7BDD" w:rsidP="007B7BDD">
      <w:pPr>
        <w:tabs>
          <w:tab w:val="left" w:pos="4536"/>
        </w:tabs>
        <w:rPr>
          <w:sz w:val="22"/>
          <w:szCs w:val="22"/>
        </w:rPr>
      </w:pPr>
    </w:p>
    <w:p w:rsidR="007B7BDD" w:rsidRDefault="007B7BDD" w:rsidP="007B7BDD">
      <w:pPr>
        <w:tabs>
          <w:tab w:val="left" w:pos="4253"/>
        </w:tabs>
        <w:rPr>
          <w:sz w:val="22"/>
          <w:szCs w:val="22"/>
        </w:rPr>
      </w:pPr>
      <w:r w:rsidRPr="00F72C66">
        <w:rPr>
          <w:sz w:val="22"/>
          <w:szCs w:val="22"/>
        </w:rPr>
        <w:tab/>
      </w:r>
      <w:r>
        <w:rPr>
          <w:sz w:val="22"/>
          <w:szCs w:val="22"/>
        </w:rPr>
        <w:t>[Program Performance R</w:t>
      </w:r>
      <w:r w:rsidRPr="00F72C66">
        <w:rPr>
          <w:sz w:val="22"/>
          <w:szCs w:val="22"/>
        </w:rPr>
        <w:t>eport for 2012/13 follows]</w:t>
      </w:r>
    </w:p>
    <w:p w:rsidR="00C96FF8" w:rsidRDefault="00C96FF8" w:rsidP="007B7BDD">
      <w:pPr>
        <w:tabs>
          <w:tab w:val="left" w:pos="4253"/>
        </w:tabs>
        <w:rPr>
          <w:sz w:val="22"/>
          <w:szCs w:val="22"/>
        </w:rPr>
      </w:pPr>
    </w:p>
    <w:p w:rsidR="002F46EC" w:rsidRDefault="002F46EC" w:rsidP="007B7BDD">
      <w:pPr>
        <w:tabs>
          <w:tab w:val="left" w:pos="4253"/>
        </w:tabs>
        <w:rPr>
          <w:sz w:val="22"/>
          <w:szCs w:val="22"/>
        </w:rPr>
        <w:sectPr w:rsidR="002F46EC" w:rsidSect="007B2B25">
          <w:headerReference w:type="default" r:id="rId10"/>
          <w:pgSz w:w="11907" w:h="16840" w:code="9"/>
          <w:pgMar w:top="567" w:right="1134" w:bottom="1418" w:left="1418" w:header="510" w:footer="1021" w:gutter="0"/>
          <w:pgNumType w:fmt="lowerRoman" w:start="1"/>
          <w:cols w:space="720"/>
          <w:titlePg/>
          <w:docGrid w:linePitch="272"/>
        </w:sectPr>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2F46EC" w:rsidRDefault="002F46EC" w:rsidP="007B7BDD">
      <w:pPr>
        <w:tabs>
          <w:tab w:val="left" w:pos="4253"/>
        </w:tabs>
      </w:pPr>
    </w:p>
    <w:p w:rsidR="00C96FF8" w:rsidRDefault="002F46EC" w:rsidP="002F46EC">
      <w:pPr>
        <w:tabs>
          <w:tab w:val="left" w:pos="4253"/>
        </w:tabs>
        <w:jc w:val="center"/>
        <w:rPr>
          <w:b/>
          <w:bCs/>
          <w:sz w:val="22"/>
          <w:szCs w:val="22"/>
        </w:rPr>
      </w:pPr>
      <w:r>
        <w:rPr>
          <w:b/>
          <w:bCs/>
          <w:sz w:val="22"/>
          <w:szCs w:val="22"/>
        </w:rPr>
        <w:t>PROGRAM PERFORMANCE REPORT FOR 2012/13</w:t>
      </w:r>
    </w:p>
    <w:p w:rsidR="002F46EC" w:rsidRDefault="002F46EC" w:rsidP="002F46EC">
      <w:pPr>
        <w:tabs>
          <w:tab w:val="left" w:pos="4253"/>
        </w:tabs>
        <w:jc w:val="center"/>
        <w:rPr>
          <w:b/>
          <w:bCs/>
          <w:sz w:val="22"/>
          <w:szCs w:val="22"/>
        </w:rPr>
      </w:pPr>
    </w:p>
    <w:p w:rsidR="002F46EC" w:rsidRDefault="002F46EC" w:rsidP="002F46EC">
      <w:pPr>
        <w:tabs>
          <w:tab w:val="left" w:pos="4253"/>
        </w:tabs>
        <w:jc w:val="center"/>
        <w:rPr>
          <w:sz w:val="22"/>
          <w:szCs w:val="22"/>
        </w:rPr>
        <w:sectPr w:rsidR="002F46EC" w:rsidSect="00921F56">
          <w:headerReference w:type="default" r:id="rId11"/>
          <w:pgSz w:w="11907" w:h="16840" w:code="9"/>
          <w:pgMar w:top="567" w:right="1134" w:bottom="1418" w:left="1418" w:header="510" w:footer="1021" w:gutter="0"/>
          <w:pgNumType w:fmt="lowerRoman" w:start="1"/>
          <w:cols w:space="720"/>
          <w:docGrid w:linePitch="272"/>
        </w:sectPr>
      </w:pPr>
    </w:p>
    <w:p w:rsidR="002F46EC" w:rsidRPr="00F72C66" w:rsidRDefault="002F46EC" w:rsidP="002F46EC">
      <w:pPr>
        <w:tabs>
          <w:tab w:val="left" w:pos="4253"/>
        </w:tabs>
        <w:jc w:val="center"/>
        <w:rPr>
          <w:sz w:val="22"/>
          <w:szCs w:val="22"/>
        </w:rPr>
      </w:pPr>
    </w:p>
    <w:p w:rsidR="007B7BDD" w:rsidRPr="00F72C66" w:rsidRDefault="007B7BDD" w:rsidP="007B7BDD">
      <w:pPr>
        <w:rPr>
          <w:sz w:val="22"/>
          <w:szCs w:val="22"/>
        </w:rPr>
      </w:pPr>
    </w:p>
    <w:p w:rsidR="007B7BDD" w:rsidRDefault="007B7BDD" w:rsidP="00205A3D">
      <w:pPr>
        <w:pStyle w:val="Header"/>
        <w:jc w:val="center"/>
        <w:rPr>
          <w:rFonts w:cs="Arial"/>
          <w:b/>
          <w:sz w:val="22"/>
          <w:szCs w:val="18"/>
        </w:rPr>
        <w:sectPr w:rsidR="007B7BDD" w:rsidSect="00921F56">
          <w:headerReference w:type="default" r:id="rId12"/>
          <w:pgSz w:w="11907" w:h="16840" w:code="9"/>
          <w:pgMar w:top="567" w:right="1134" w:bottom="1418" w:left="1418" w:header="510" w:footer="1021" w:gutter="0"/>
          <w:pgNumType w:fmt="lowerRoman" w:start="1"/>
          <w:cols w:space="720"/>
          <w:docGrid w:linePitch="272"/>
        </w:sectPr>
      </w:pPr>
    </w:p>
    <w:p w:rsidR="00205A3D" w:rsidRPr="009775C3" w:rsidRDefault="00205A3D" w:rsidP="00205A3D">
      <w:pPr>
        <w:tabs>
          <w:tab w:val="left" w:pos="4395"/>
        </w:tabs>
        <w:jc w:val="center"/>
        <w:rPr>
          <w:sz w:val="24"/>
        </w:rPr>
      </w:pPr>
      <w:r w:rsidRPr="009775C3">
        <w:rPr>
          <w:sz w:val="24"/>
        </w:rPr>
        <w:lastRenderedPageBreak/>
        <w:t>TABLE OF CONTENTS</w:t>
      </w:r>
    </w:p>
    <w:p w:rsidR="006F08EA" w:rsidRDefault="006F08EA" w:rsidP="00205A3D">
      <w:pPr>
        <w:tabs>
          <w:tab w:val="left" w:pos="4395"/>
        </w:tabs>
      </w:pPr>
    </w:p>
    <w:p w:rsidR="007C75ED" w:rsidRDefault="007343FE">
      <w:pPr>
        <w:pStyle w:val="TOC1"/>
        <w:rPr>
          <w:rFonts w:asciiTheme="minorHAnsi" w:eastAsiaTheme="minorEastAsia" w:hAnsiTheme="minorHAnsi" w:cstheme="minorBidi"/>
          <w:b w:val="0"/>
          <w:szCs w:val="22"/>
        </w:rPr>
      </w:pPr>
      <w:r>
        <w:fldChar w:fldCharType="begin"/>
      </w:r>
      <w:r>
        <w:instrText xml:space="preserve"> TOC \o "1-4" \h \z \u </w:instrText>
      </w:r>
      <w:r>
        <w:fldChar w:fldCharType="separate"/>
      </w:r>
      <w:hyperlink w:anchor="_Toc393956035" w:history="1">
        <w:r w:rsidR="007C75ED" w:rsidRPr="005F4158">
          <w:rPr>
            <w:rStyle w:val="Hyperlink"/>
          </w:rPr>
          <w:t>I.</w:t>
        </w:r>
        <w:r w:rsidR="007C75ED">
          <w:rPr>
            <w:rFonts w:asciiTheme="minorHAnsi" w:eastAsiaTheme="minorEastAsia" w:hAnsiTheme="minorHAnsi" w:cstheme="minorBidi"/>
            <w:b w:val="0"/>
            <w:szCs w:val="22"/>
          </w:rPr>
          <w:tab/>
        </w:r>
        <w:r w:rsidR="007C75ED" w:rsidRPr="005F4158">
          <w:rPr>
            <w:rStyle w:val="Hyperlink"/>
          </w:rPr>
          <w:t>INTRODUCTION</w:t>
        </w:r>
        <w:r w:rsidR="007C75ED">
          <w:rPr>
            <w:webHidden/>
          </w:rPr>
          <w:tab/>
        </w:r>
        <w:r w:rsidR="007C75ED">
          <w:rPr>
            <w:webHidden/>
          </w:rPr>
          <w:fldChar w:fldCharType="begin"/>
        </w:r>
        <w:r w:rsidR="007C75ED">
          <w:rPr>
            <w:webHidden/>
          </w:rPr>
          <w:instrText xml:space="preserve"> PAGEREF _Toc393956035 \h </w:instrText>
        </w:r>
        <w:r w:rsidR="007C75ED">
          <w:rPr>
            <w:webHidden/>
          </w:rPr>
        </w:r>
        <w:r w:rsidR="007C75ED">
          <w:rPr>
            <w:webHidden/>
          </w:rPr>
          <w:fldChar w:fldCharType="separate"/>
        </w:r>
        <w:r w:rsidR="007C75ED">
          <w:rPr>
            <w:webHidden/>
          </w:rPr>
          <w:t>1</w:t>
        </w:r>
        <w:r w:rsidR="007C75ED">
          <w:rPr>
            <w:webHidden/>
          </w:rPr>
          <w:fldChar w:fldCharType="end"/>
        </w:r>
      </w:hyperlink>
    </w:p>
    <w:p w:rsidR="007C75ED" w:rsidRDefault="007C75ED">
      <w:pPr>
        <w:pStyle w:val="TOC1"/>
        <w:rPr>
          <w:rFonts w:asciiTheme="minorHAnsi" w:eastAsiaTheme="minorEastAsia" w:hAnsiTheme="minorHAnsi" w:cstheme="minorBidi"/>
          <w:b w:val="0"/>
          <w:szCs w:val="22"/>
        </w:rPr>
      </w:pPr>
      <w:hyperlink w:anchor="_Toc393956036" w:history="1">
        <w:r w:rsidRPr="005F4158">
          <w:rPr>
            <w:rStyle w:val="Hyperlink"/>
          </w:rPr>
          <w:t>II.</w:t>
        </w:r>
        <w:r>
          <w:rPr>
            <w:rFonts w:asciiTheme="minorHAnsi" w:eastAsiaTheme="minorEastAsia" w:hAnsiTheme="minorHAnsi" w:cstheme="minorBidi"/>
            <w:b w:val="0"/>
            <w:szCs w:val="22"/>
          </w:rPr>
          <w:tab/>
        </w:r>
        <w:r w:rsidRPr="005F4158">
          <w:rPr>
            <w:rStyle w:val="Hyperlink"/>
          </w:rPr>
          <w:t>SUMMARY OF ACHIEVEMENTS IN 2012/13</w:t>
        </w:r>
        <w:r>
          <w:rPr>
            <w:webHidden/>
          </w:rPr>
          <w:tab/>
        </w:r>
        <w:r>
          <w:rPr>
            <w:webHidden/>
          </w:rPr>
          <w:fldChar w:fldCharType="begin"/>
        </w:r>
        <w:r>
          <w:rPr>
            <w:webHidden/>
          </w:rPr>
          <w:instrText xml:space="preserve"> PAGEREF _Toc393956036 \h </w:instrText>
        </w:r>
        <w:r>
          <w:rPr>
            <w:webHidden/>
          </w:rPr>
        </w:r>
        <w:r>
          <w:rPr>
            <w:webHidden/>
          </w:rPr>
          <w:fldChar w:fldCharType="separate"/>
        </w:r>
        <w:r>
          <w:rPr>
            <w:webHidden/>
          </w:rPr>
          <w:t>2</w:t>
        </w:r>
        <w:r>
          <w:rPr>
            <w:webHidden/>
          </w:rPr>
          <w:fldChar w:fldCharType="end"/>
        </w:r>
      </w:hyperlink>
    </w:p>
    <w:p w:rsidR="007C75ED" w:rsidRDefault="007C75ED">
      <w:pPr>
        <w:pStyle w:val="TOC1"/>
        <w:rPr>
          <w:rFonts w:asciiTheme="minorHAnsi" w:eastAsiaTheme="minorEastAsia" w:hAnsiTheme="minorHAnsi" w:cstheme="minorBidi"/>
          <w:b w:val="0"/>
          <w:szCs w:val="22"/>
        </w:rPr>
      </w:pPr>
      <w:hyperlink w:anchor="_Toc393956037" w:history="1">
        <w:r w:rsidRPr="005F4158">
          <w:rPr>
            <w:rStyle w:val="Hyperlink"/>
          </w:rPr>
          <w:t>III.</w:t>
        </w:r>
        <w:r>
          <w:rPr>
            <w:rFonts w:asciiTheme="minorHAnsi" w:eastAsiaTheme="minorEastAsia" w:hAnsiTheme="minorHAnsi" w:cstheme="minorBidi"/>
            <w:b w:val="0"/>
            <w:szCs w:val="22"/>
          </w:rPr>
          <w:tab/>
        </w:r>
        <w:r w:rsidRPr="005F4158">
          <w:rPr>
            <w:rStyle w:val="Hyperlink"/>
          </w:rPr>
          <w:t>CONSOLIDATED BUDGET AND ACTUAL EXPENDITURE 2012/13</w:t>
        </w:r>
        <w:r>
          <w:rPr>
            <w:webHidden/>
          </w:rPr>
          <w:tab/>
        </w:r>
        <w:r>
          <w:rPr>
            <w:webHidden/>
          </w:rPr>
          <w:fldChar w:fldCharType="begin"/>
        </w:r>
        <w:r>
          <w:rPr>
            <w:webHidden/>
          </w:rPr>
          <w:instrText xml:space="preserve"> PAGEREF _Toc393956037 \h </w:instrText>
        </w:r>
        <w:r>
          <w:rPr>
            <w:webHidden/>
          </w:rPr>
        </w:r>
        <w:r>
          <w:rPr>
            <w:webHidden/>
          </w:rPr>
          <w:fldChar w:fldCharType="separate"/>
        </w:r>
        <w:r>
          <w:rPr>
            <w:webHidden/>
          </w:rPr>
          <w:t>28</w:t>
        </w:r>
        <w:r>
          <w:rPr>
            <w:webHidden/>
          </w:rPr>
          <w:fldChar w:fldCharType="end"/>
        </w:r>
      </w:hyperlink>
    </w:p>
    <w:p w:rsidR="007C75ED" w:rsidRDefault="007C75ED">
      <w:pPr>
        <w:pStyle w:val="TOC1"/>
        <w:rPr>
          <w:rFonts w:asciiTheme="minorHAnsi" w:eastAsiaTheme="minorEastAsia" w:hAnsiTheme="minorHAnsi" w:cstheme="minorBidi"/>
          <w:b w:val="0"/>
          <w:szCs w:val="22"/>
        </w:rPr>
      </w:pPr>
      <w:hyperlink w:anchor="_Toc393956038" w:history="1">
        <w:r w:rsidRPr="005F4158">
          <w:rPr>
            <w:rStyle w:val="Hyperlink"/>
          </w:rPr>
          <w:t>IV.</w:t>
        </w:r>
        <w:r>
          <w:rPr>
            <w:rFonts w:asciiTheme="minorHAnsi" w:eastAsiaTheme="minorEastAsia" w:hAnsiTheme="minorHAnsi" w:cstheme="minorBidi"/>
            <w:b w:val="0"/>
            <w:szCs w:val="22"/>
          </w:rPr>
          <w:tab/>
        </w:r>
        <w:r w:rsidRPr="005F4158">
          <w:rPr>
            <w:rStyle w:val="Hyperlink"/>
          </w:rPr>
          <w:t>REPORT ON DEVELOPMENT EXPENDITURES 2012/13</w:t>
        </w:r>
        <w:r>
          <w:rPr>
            <w:webHidden/>
          </w:rPr>
          <w:tab/>
        </w:r>
        <w:r>
          <w:rPr>
            <w:webHidden/>
          </w:rPr>
          <w:fldChar w:fldCharType="begin"/>
        </w:r>
        <w:r>
          <w:rPr>
            <w:webHidden/>
          </w:rPr>
          <w:instrText xml:space="preserve"> PAGEREF _Toc393956038 \h </w:instrText>
        </w:r>
        <w:r>
          <w:rPr>
            <w:webHidden/>
          </w:rPr>
        </w:r>
        <w:r>
          <w:rPr>
            <w:webHidden/>
          </w:rPr>
          <w:fldChar w:fldCharType="separate"/>
        </w:r>
        <w:r>
          <w:rPr>
            <w:webHidden/>
          </w:rPr>
          <w:t>31</w:t>
        </w:r>
        <w:r>
          <w:rPr>
            <w:webHidden/>
          </w:rPr>
          <w:fldChar w:fldCharType="end"/>
        </w:r>
      </w:hyperlink>
    </w:p>
    <w:p w:rsidR="007C75ED" w:rsidRDefault="007C75ED">
      <w:pPr>
        <w:pStyle w:val="TOC1"/>
        <w:rPr>
          <w:rFonts w:asciiTheme="minorHAnsi" w:eastAsiaTheme="minorEastAsia" w:hAnsiTheme="minorHAnsi" w:cstheme="minorBidi"/>
          <w:b w:val="0"/>
          <w:szCs w:val="22"/>
        </w:rPr>
      </w:pPr>
      <w:hyperlink w:anchor="_Toc393956039" w:history="1">
        <w:r w:rsidRPr="005F4158">
          <w:rPr>
            <w:rStyle w:val="Hyperlink"/>
            <w:rFonts w:eastAsiaTheme="minorHAnsi"/>
          </w:rPr>
          <w:t>V.</w:t>
        </w:r>
        <w:r>
          <w:rPr>
            <w:rFonts w:asciiTheme="minorHAnsi" w:eastAsiaTheme="minorEastAsia" w:hAnsiTheme="minorHAnsi" w:cstheme="minorBidi"/>
            <w:b w:val="0"/>
            <w:szCs w:val="22"/>
          </w:rPr>
          <w:tab/>
        </w:r>
        <w:r w:rsidRPr="005F4158">
          <w:rPr>
            <w:rStyle w:val="Hyperlink"/>
            <w:rFonts w:eastAsiaTheme="minorHAnsi"/>
          </w:rPr>
          <w:t>FINAL REPORT ON THE IMPLEMENTATION OF COST EFFICIENCY MEASURES IN THE 2012/13 BIENNIUM</w:t>
        </w:r>
        <w:r>
          <w:rPr>
            <w:webHidden/>
          </w:rPr>
          <w:tab/>
        </w:r>
        <w:r>
          <w:rPr>
            <w:webHidden/>
          </w:rPr>
          <w:fldChar w:fldCharType="begin"/>
        </w:r>
        <w:r>
          <w:rPr>
            <w:webHidden/>
          </w:rPr>
          <w:instrText xml:space="preserve"> PAGEREF _Toc393956039 \h </w:instrText>
        </w:r>
        <w:r>
          <w:rPr>
            <w:webHidden/>
          </w:rPr>
        </w:r>
        <w:r>
          <w:rPr>
            <w:webHidden/>
          </w:rPr>
          <w:fldChar w:fldCharType="separate"/>
        </w:r>
        <w:r>
          <w:rPr>
            <w:webHidden/>
          </w:rPr>
          <w:t>34</w:t>
        </w:r>
        <w:r>
          <w:rPr>
            <w:webHidden/>
          </w:rPr>
          <w:fldChar w:fldCharType="end"/>
        </w:r>
      </w:hyperlink>
    </w:p>
    <w:p w:rsidR="007C75ED" w:rsidRDefault="007C75ED">
      <w:pPr>
        <w:pStyle w:val="TOC1"/>
        <w:rPr>
          <w:rFonts w:asciiTheme="minorHAnsi" w:eastAsiaTheme="minorEastAsia" w:hAnsiTheme="minorHAnsi" w:cstheme="minorBidi"/>
          <w:b w:val="0"/>
          <w:szCs w:val="22"/>
        </w:rPr>
      </w:pPr>
      <w:hyperlink w:anchor="_Toc393956040" w:history="1">
        <w:r w:rsidRPr="005F4158">
          <w:rPr>
            <w:rStyle w:val="Hyperlink"/>
          </w:rPr>
          <w:t>VI.</w:t>
        </w:r>
        <w:r>
          <w:rPr>
            <w:rFonts w:asciiTheme="minorHAnsi" w:eastAsiaTheme="minorEastAsia" w:hAnsiTheme="minorHAnsi" w:cstheme="minorBidi"/>
            <w:b w:val="0"/>
            <w:szCs w:val="22"/>
          </w:rPr>
          <w:tab/>
        </w:r>
        <w:r w:rsidRPr="005F4158">
          <w:rPr>
            <w:rStyle w:val="Hyperlink"/>
          </w:rPr>
          <w:t>PROGRAM ACHIEVEMENTS BY STRATEGIC GOAL</w:t>
        </w:r>
        <w:r>
          <w:rPr>
            <w:webHidden/>
          </w:rPr>
          <w:tab/>
        </w:r>
        <w:r>
          <w:rPr>
            <w:webHidden/>
          </w:rPr>
          <w:fldChar w:fldCharType="begin"/>
        </w:r>
        <w:r>
          <w:rPr>
            <w:webHidden/>
          </w:rPr>
          <w:instrText xml:space="preserve"> PAGEREF _Toc393956040 \h </w:instrText>
        </w:r>
        <w:r>
          <w:rPr>
            <w:webHidden/>
          </w:rPr>
        </w:r>
        <w:r>
          <w:rPr>
            <w:webHidden/>
          </w:rPr>
          <w:fldChar w:fldCharType="separate"/>
        </w:r>
        <w:r>
          <w:rPr>
            <w:webHidden/>
          </w:rPr>
          <w:t>42</w:t>
        </w:r>
        <w:r>
          <w:rPr>
            <w:webHidden/>
          </w:rPr>
          <w:fldChar w:fldCharType="end"/>
        </w:r>
      </w:hyperlink>
    </w:p>
    <w:p w:rsidR="007C75ED" w:rsidRDefault="007C75ED">
      <w:pPr>
        <w:pStyle w:val="TOC2"/>
        <w:rPr>
          <w:rFonts w:asciiTheme="minorHAnsi" w:eastAsiaTheme="minorEastAsia" w:hAnsiTheme="minorHAnsi" w:cstheme="minorBidi"/>
          <w:b w:val="0"/>
          <w:noProof/>
          <w:sz w:val="22"/>
          <w:szCs w:val="22"/>
        </w:rPr>
      </w:pPr>
      <w:hyperlink w:anchor="_Toc393956041" w:history="1">
        <w:r w:rsidRPr="005F4158">
          <w:rPr>
            <w:rStyle w:val="Hyperlink"/>
            <w:noProof/>
          </w:rPr>
          <w:t>STRATEGIC GOAL I   Balanced Evolution of the International  Normative Framework for IP</w:t>
        </w:r>
        <w:r>
          <w:rPr>
            <w:noProof/>
            <w:webHidden/>
          </w:rPr>
          <w:tab/>
        </w:r>
        <w:r>
          <w:rPr>
            <w:noProof/>
            <w:webHidden/>
          </w:rPr>
          <w:fldChar w:fldCharType="begin"/>
        </w:r>
        <w:r>
          <w:rPr>
            <w:noProof/>
            <w:webHidden/>
          </w:rPr>
          <w:instrText xml:space="preserve"> PAGEREF _Toc393956041 \h </w:instrText>
        </w:r>
        <w:r>
          <w:rPr>
            <w:noProof/>
            <w:webHidden/>
          </w:rPr>
        </w:r>
        <w:r>
          <w:rPr>
            <w:noProof/>
            <w:webHidden/>
          </w:rPr>
          <w:fldChar w:fldCharType="separate"/>
        </w:r>
        <w:r>
          <w:rPr>
            <w:noProof/>
            <w:webHidden/>
          </w:rPr>
          <w:t>42</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42" w:history="1">
        <w:r w:rsidRPr="005F4158">
          <w:rPr>
            <w:rStyle w:val="Hyperlink"/>
            <w:noProof/>
          </w:rPr>
          <w:t>Program 1</w:t>
        </w:r>
        <w:r>
          <w:rPr>
            <w:rFonts w:asciiTheme="minorHAnsi" w:eastAsiaTheme="minorEastAsia" w:hAnsiTheme="minorHAnsi" w:cstheme="minorBidi"/>
            <w:noProof/>
            <w:sz w:val="22"/>
            <w:szCs w:val="22"/>
          </w:rPr>
          <w:tab/>
        </w:r>
        <w:r w:rsidRPr="005F4158">
          <w:rPr>
            <w:rStyle w:val="Hyperlink"/>
            <w:noProof/>
          </w:rPr>
          <w:t>Patent Law</w:t>
        </w:r>
        <w:r>
          <w:rPr>
            <w:noProof/>
            <w:webHidden/>
          </w:rPr>
          <w:tab/>
        </w:r>
        <w:r>
          <w:rPr>
            <w:noProof/>
            <w:webHidden/>
          </w:rPr>
          <w:fldChar w:fldCharType="begin"/>
        </w:r>
        <w:r>
          <w:rPr>
            <w:noProof/>
            <w:webHidden/>
          </w:rPr>
          <w:instrText xml:space="preserve"> PAGEREF _Toc393956042 \h </w:instrText>
        </w:r>
        <w:r>
          <w:rPr>
            <w:noProof/>
            <w:webHidden/>
          </w:rPr>
        </w:r>
        <w:r>
          <w:rPr>
            <w:noProof/>
            <w:webHidden/>
          </w:rPr>
          <w:fldChar w:fldCharType="separate"/>
        </w:r>
        <w:r>
          <w:rPr>
            <w:noProof/>
            <w:webHidden/>
          </w:rPr>
          <w:t>44</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43" w:history="1">
        <w:r w:rsidRPr="005F4158">
          <w:rPr>
            <w:rStyle w:val="Hyperlink"/>
            <w:noProof/>
          </w:rPr>
          <w:t>Program 2</w:t>
        </w:r>
        <w:r>
          <w:rPr>
            <w:rFonts w:asciiTheme="minorHAnsi" w:eastAsiaTheme="minorEastAsia" w:hAnsiTheme="minorHAnsi" w:cstheme="minorBidi"/>
            <w:noProof/>
            <w:sz w:val="22"/>
            <w:szCs w:val="22"/>
          </w:rPr>
          <w:tab/>
        </w:r>
        <w:r w:rsidRPr="005F4158">
          <w:rPr>
            <w:rStyle w:val="Hyperlink"/>
            <w:noProof/>
          </w:rPr>
          <w:t>Trademarks, Industrial Designs and  Geographical Indications</w:t>
        </w:r>
        <w:r>
          <w:rPr>
            <w:noProof/>
            <w:webHidden/>
          </w:rPr>
          <w:tab/>
        </w:r>
        <w:r>
          <w:rPr>
            <w:noProof/>
            <w:webHidden/>
          </w:rPr>
          <w:fldChar w:fldCharType="begin"/>
        </w:r>
        <w:r>
          <w:rPr>
            <w:noProof/>
            <w:webHidden/>
          </w:rPr>
          <w:instrText xml:space="preserve"> PAGEREF _Toc393956043 \h </w:instrText>
        </w:r>
        <w:r>
          <w:rPr>
            <w:noProof/>
            <w:webHidden/>
          </w:rPr>
        </w:r>
        <w:r>
          <w:rPr>
            <w:noProof/>
            <w:webHidden/>
          </w:rPr>
          <w:fldChar w:fldCharType="separate"/>
        </w:r>
        <w:r>
          <w:rPr>
            <w:noProof/>
            <w:webHidden/>
          </w:rPr>
          <w:t>48</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44" w:history="1">
        <w:r w:rsidRPr="005F4158">
          <w:rPr>
            <w:rStyle w:val="Hyperlink"/>
            <w:noProof/>
          </w:rPr>
          <w:t>Program 3</w:t>
        </w:r>
        <w:r>
          <w:rPr>
            <w:rFonts w:asciiTheme="minorHAnsi" w:eastAsiaTheme="minorEastAsia" w:hAnsiTheme="minorHAnsi" w:cstheme="minorBidi"/>
            <w:noProof/>
            <w:sz w:val="22"/>
            <w:szCs w:val="22"/>
          </w:rPr>
          <w:tab/>
        </w:r>
        <w:r w:rsidRPr="005F4158">
          <w:rPr>
            <w:rStyle w:val="Hyperlink"/>
            <w:noProof/>
          </w:rPr>
          <w:t>Copyright and Related Rights</w:t>
        </w:r>
        <w:r>
          <w:rPr>
            <w:noProof/>
            <w:webHidden/>
          </w:rPr>
          <w:tab/>
        </w:r>
        <w:r>
          <w:rPr>
            <w:noProof/>
            <w:webHidden/>
          </w:rPr>
          <w:fldChar w:fldCharType="begin"/>
        </w:r>
        <w:r>
          <w:rPr>
            <w:noProof/>
            <w:webHidden/>
          </w:rPr>
          <w:instrText xml:space="preserve"> PAGEREF _Toc393956044 \h </w:instrText>
        </w:r>
        <w:r>
          <w:rPr>
            <w:noProof/>
            <w:webHidden/>
          </w:rPr>
        </w:r>
        <w:r>
          <w:rPr>
            <w:noProof/>
            <w:webHidden/>
          </w:rPr>
          <w:fldChar w:fldCharType="separate"/>
        </w:r>
        <w:r>
          <w:rPr>
            <w:noProof/>
            <w:webHidden/>
          </w:rPr>
          <w:t>52</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45" w:history="1">
        <w:r w:rsidRPr="005F4158">
          <w:rPr>
            <w:rStyle w:val="Hyperlink"/>
            <w:noProof/>
          </w:rPr>
          <w:t>Program 4</w:t>
        </w:r>
        <w:r>
          <w:rPr>
            <w:rFonts w:asciiTheme="minorHAnsi" w:eastAsiaTheme="minorEastAsia" w:hAnsiTheme="minorHAnsi" w:cstheme="minorBidi"/>
            <w:noProof/>
            <w:sz w:val="22"/>
            <w:szCs w:val="22"/>
          </w:rPr>
          <w:tab/>
        </w:r>
        <w:r w:rsidRPr="005F4158">
          <w:rPr>
            <w:rStyle w:val="Hyperlink"/>
            <w:noProof/>
          </w:rPr>
          <w:t>Traditional Knowledge, Traditional Cultural  Expressions and Genetic Resources</w:t>
        </w:r>
        <w:r>
          <w:rPr>
            <w:noProof/>
            <w:webHidden/>
          </w:rPr>
          <w:tab/>
        </w:r>
        <w:r>
          <w:rPr>
            <w:noProof/>
            <w:webHidden/>
          </w:rPr>
          <w:fldChar w:fldCharType="begin"/>
        </w:r>
        <w:r>
          <w:rPr>
            <w:noProof/>
            <w:webHidden/>
          </w:rPr>
          <w:instrText xml:space="preserve"> PAGEREF _Toc393956045 \h </w:instrText>
        </w:r>
        <w:r>
          <w:rPr>
            <w:noProof/>
            <w:webHidden/>
          </w:rPr>
        </w:r>
        <w:r>
          <w:rPr>
            <w:noProof/>
            <w:webHidden/>
          </w:rPr>
          <w:fldChar w:fldCharType="separate"/>
        </w:r>
        <w:r>
          <w:rPr>
            <w:noProof/>
            <w:webHidden/>
          </w:rPr>
          <w:t>59</w:t>
        </w:r>
        <w:r>
          <w:rPr>
            <w:noProof/>
            <w:webHidden/>
          </w:rPr>
          <w:fldChar w:fldCharType="end"/>
        </w:r>
      </w:hyperlink>
    </w:p>
    <w:p w:rsidR="007C75ED" w:rsidRDefault="007C75ED">
      <w:pPr>
        <w:pStyle w:val="TOC2"/>
        <w:rPr>
          <w:rFonts w:asciiTheme="minorHAnsi" w:eastAsiaTheme="minorEastAsia" w:hAnsiTheme="minorHAnsi" w:cstheme="minorBidi"/>
          <w:b w:val="0"/>
          <w:noProof/>
          <w:sz w:val="22"/>
          <w:szCs w:val="22"/>
        </w:rPr>
      </w:pPr>
      <w:hyperlink w:anchor="_Toc393956046" w:history="1">
        <w:r w:rsidRPr="005F4158">
          <w:rPr>
            <w:rStyle w:val="Hyperlink"/>
            <w:noProof/>
          </w:rPr>
          <w:t>STRATEGIC GOAL II   Provision of Premier Global IP Services</w:t>
        </w:r>
        <w:r>
          <w:rPr>
            <w:noProof/>
            <w:webHidden/>
          </w:rPr>
          <w:tab/>
        </w:r>
        <w:r>
          <w:rPr>
            <w:noProof/>
            <w:webHidden/>
          </w:rPr>
          <w:fldChar w:fldCharType="begin"/>
        </w:r>
        <w:r>
          <w:rPr>
            <w:noProof/>
            <w:webHidden/>
          </w:rPr>
          <w:instrText xml:space="preserve"> PAGEREF _Toc393956046 \h </w:instrText>
        </w:r>
        <w:r>
          <w:rPr>
            <w:noProof/>
            <w:webHidden/>
          </w:rPr>
        </w:r>
        <w:r>
          <w:rPr>
            <w:noProof/>
            <w:webHidden/>
          </w:rPr>
          <w:fldChar w:fldCharType="separate"/>
        </w:r>
        <w:r>
          <w:rPr>
            <w:noProof/>
            <w:webHidden/>
          </w:rPr>
          <w:t>63</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47" w:history="1">
        <w:r w:rsidRPr="005F4158">
          <w:rPr>
            <w:rStyle w:val="Hyperlink"/>
            <w:noProof/>
          </w:rPr>
          <w:t>Program 5</w:t>
        </w:r>
        <w:r>
          <w:rPr>
            <w:rFonts w:asciiTheme="minorHAnsi" w:eastAsiaTheme="minorEastAsia" w:hAnsiTheme="minorHAnsi" w:cstheme="minorBidi"/>
            <w:noProof/>
            <w:sz w:val="22"/>
            <w:szCs w:val="22"/>
          </w:rPr>
          <w:tab/>
        </w:r>
        <w:r w:rsidRPr="005F4158">
          <w:rPr>
            <w:rStyle w:val="Hyperlink"/>
            <w:noProof/>
          </w:rPr>
          <w:t>The PCT System</w:t>
        </w:r>
        <w:r>
          <w:rPr>
            <w:noProof/>
            <w:webHidden/>
          </w:rPr>
          <w:tab/>
        </w:r>
        <w:r>
          <w:rPr>
            <w:noProof/>
            <w:webHidden/>
          </w:rPr>
          <w:fldChar w:fldCharType="begin"/>
        </w:r>
        <w:r>
          <w:rPr>
            <w:noProof/>
            <w:webHidden/>
          </w:rPr>
          <w:instrText xml:space="preserve"> PAGEREF _Toc393956047 \h </w:instrText>
        </w:r>
        <w:r>
          <w:rPr>
            <w:noProof/>
            <w:webHidden/>
          </w:rPr>
        </w:r>
        <w:r>
          <w:rPr>
            <w:noProof/>
            <w:webHidden/>
          </w:rPr>
          <w:fldChar w:fldCharType="separate"/>
        </w:r>
        <w:r>
          <w:rPr>
            <w:noProof/>
            <w:webHidden/>
          </w:rPr>
          <w:t>66</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48" w:history="1">
        <w:r w:rsidRPr="005F4158">
          <w:rPr>
            <w:rStyle w:val="Hyperlink"/>
            <w:noProof/>
          </w:rPr>
          <w:t>Program 6</w:t>
        </w:r>
        <w:r>
          <w:rPr>
            <w:rFonts w:asciiTheme="minorHAnsi" w:eastAsiaTheme="minorEastAsia" w:hAnsiTheme="minorHAnsi" w:cstheme="minorBidi"/>
            <w:noProof/>
            <w:sz w:val="22"/>
            <w:szCs w:val="22"/>
          </w:rPr>
          <w:tab/>
        </w:r>
        <w:r w:rsidRPr="005F4158">
          <w:rPr>
            <w:rStyle w:val="Hyperlink"/>
            <w:noProof/>
          </w:rPr>
          <w:t>Madrid and Lisbon Systems</w:t>
        </w:r>
        <w:r>
          <w:rPr>
            <w:noProof/>
            <w:webHidden/>
          </w:rPr>
          <w:tab/>
        </w:r>
        <w:r>
          <w:rPr>
            <w:noProof/>
            <w:webHidden/>
          </w:rPr>
          <w:fldChar w:fldCharType="begin"/>
        </w:r>
        <w:r>
          <w:rPr>
            <w:noProof/>
            <w:webHidden/>
          </w:rPr>
          <w:instrText xml:space="preserve"> PAGEREF _Toc393956048 \h </w:instrText>
        </w:r>
        <w:r>
          <w:rPr>
            <w:noProof/>
            <w:webHidden/>
          </w:rPr>
        </w:r>
        <w:r>
          <w:rPr>
            <w:noProof/>
            <w:webHidden/>
          </w:rPr>
          <w:fldChar w:fldCharType="separate"/>
        </w:r>
        <w:r>
          <w:rPr>
            <w:noProof/>
            <w:webHidden/>
          </w:rPr>
          <w:t>80</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49" w:history="1">
        <w:r w:rsidRPr="005F4158">
          <w:rPr>
            <w:rStyle w:val="Hyperlink"/>
            <w:noProof/>
          </w:rPr>
          <w:t>Program 31</w:t>
        </w:r>
        <w:r>
          <w:rPr>
            <w:rFonts w:asciiTheme="minorHAnsi" w:eastAsiaTheme="minorEastAsia" w:hAnsiTheme="minorHAnsi" w:cstheme="minorBidi"/>
            <w:noProof/>
            <w:sz w:val="22"/>
            <w:szCs w:val="22"/>
          </w:rPr>
          <w:tab/>
        </w:r>
        <w:r w:rsidRPr="005F4158">
          <w:rPr>
            <w:rStyle w:val="Hyperlink"/>
            <w:noProof/>
          </w:rPr>
          <w:t>The Hague System</w:t>
        </w:r>
        <w:r>
          <w:rPr>
            <w:noProof/>
            <w:webHidden/>
          </w:rPr>
          <w:tab/>
        </w:r>
        <w:r>
          <w:rPr>
            <w:noProof/>
            <w:webHidden/>
          </w:rPr>
          <w:fldChar w:fldCharType="begin"/>
        </w:r>
        <w:r>
          <w:rPr>
            <w:noProof/>
            <w:webHidden/>
          </w:rPr>
          <w:instrText xml:space="preserve"> PAGEREF _Toc393956049 \h </w:instrText>
        </w:r>
        <w:r>
          <w:rPr>
            <w:noProof/>
            <w:webHidden/>
          </w:rPr>
        </w:r>
        <w:r>
          <w:rPr>
            <w:noProof/>
            <w:webHidden/>
          </w:rPr>
          <w:fldChar w:fldCharType="separate"/>
        </w:r>
        <w:r>
          <w:rPr>
            <w:noProof/>
            <w:webHidden/>
          </w:rPr>
          <w:t>86</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50" w:history="1">
        <w:r w:rsidRPr="005F4158">
          <w:rPr>
            <w:rStyle w:val="Hyperlink"/>
            <w:noProof/>
          </w:rPr>
          <w:t>Program 7</w:t>
        </w:r>
        <w:r>
          <w:rPr>
            <w:rFonts w:asciiTheme="minorHAnsi" w:eastAsiaTheme="minorEastAsia" w:hAnsiTheme="minorHAnsi" w:cstheme="minorBidi"/>
            <w:noProof/>
            <w:sz w:val="22"/>
            <w:szCs w:val="22"/>
          </w:rPr>
          <w:tab/>
        </w:r>
        <w:r w:rsidRPr="005F4158">
          <w:rPr>
            <w:rStyle w:val="Hyperlink"/>
            <w:noProof/>
          </w:rPr>
          <w:t>Arbitration, Mediation and Domain Names</w:t>
        </w:r>
        <w:r>
          <w:rPr>
            <w:noProof/>
            <w:webHidden/>
          </w:rPr>
          <w:tab/>
        </w:r>
        <w:r>
          <w:rPr>
            <w:noProof/>
            <w:webHidden/>
          </w:rPr>
          <w:fldChar w:fldCharType="begin"/>
        </w:r>
        <w:r>
          <w:rPr>
            <w:noProof/>
            <w:webHidden/>
          </w:rPr>
          <w:instrText xml:space="preserve"> PAGEREF _Toc393956050 \h </w:instrText>
        </w:r>
        <w:r>
          <w:rPr>
            <w:noProof/>
            <w:webHidden/>
          </w:rPr>
        </w:r>
        <w:r>
          <w:rPr>
            <w:noProof/>
            <w:webHidden/>
          </w:rPr>
          <w:fldChar w:fldCharType="separate"/>
        </w:r>
        <w:r>
          <w:rPr>
            <w:noProof/>
            <w:webHidden/>
          </w:rPr>
          <w:t>90</w:t>
        </w:r>
        <w:r>
          <w:rPr>
            <w:noProof/>
            <w:webHidden/>
          </w:rPr>
          <w:fldChar w:fldCharType="end"/>
        </w:r>
      </w:hyperlink>
    </w:p>
    <w:p w:rsidR="007C75ED" w:rsidRDefault="007C75ED">
      <w:pPr>
        <w:pStyle w:val="TOC2"/>
        <w:rPr>
          <w:rFonts w:asciiTheme="minorHAnsi" w:eastAsiaTheme="minorEastAsia" w:hAnsiTheme="minorHAnsi" w:cstheme="minorBidi"/>
          <w:b w:val="0"/>
          <w:noProof/>
          <w:sz w:val="22"/>
          <w:szCs w:val="22"/>
        </w:rPr>
      </w:pPr>
      <w:hyperlink w:anchor="_Toc393956051" w:history="1">
        <w:r w:rsidRPr="005F4158">
          <w:rPr>
            <w:rStyle w:val="Hyperlink"/>
            <w:noProof/>
          </w:rPr>
          <w:t>STRATEGIC GOAL III    Facilitating the Use of IP for Development</w:t>
        </w:r>
        <w:r>
          <w:rPr>
            <w:noProof/>
            <w:webHidden/>
          </w:rPr>
          <w:tab/>
        </w:r>
        <w:r>
          <w:rPr>
            <w:noProof/>
            <w:webHidden/>
          </w:rPr>
          <w:fldChar w:fldCharType="begin"/>
        </w:r>
        <w:r>
          <w:rPr>
            <w:noProof/>
            <w:webHidden/>
          </w:rPr>
          <w:instrText xml:space="preserve"> PAGEREF _Toc393956051 \h </w:instrText>
        </w:r>
        <w:r>
          <w:rPr>
            <w:noProof/>
            <w:webHidden/>
          </w:rPr>
        </w:r>
        <w:r>
          <w:rPr>
            <w:noProof/>
            <w:webHidden/>
          </w:rPr>
          <w:fldChar w:fldCharType="separate"/>
        </w:r>
        <w:r>
          <w:rPr>
            <w:noProof/>
            <w:webHidden/>
          </w:rPr>
          <w:t>94</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52" w:history="1">
        <w:r w:rsidRPr="005F4158">
          <w:rPr>
            <w:rStyle w:val="Hyperlink"/>
            <w:noProof/>
          </w:rPr>
          <w:t>Program 8</w:t>
        </w:r>
        <w:r>
          <w:rPr>
            <w:rFonts w:asciiTheme="minorHAnsi" w:eastAsiaTheme="minorEastAsia" w:hAnsiTheme="minorHAnsi" w:cstheme="minorBidi"/>
            <w:noProof/>
            <w:sz w:val="22"/>
            <w:szCs w:val="22"/>
          </w:rPr>
          <w:tab/>
        </w:r>
        <w:r w:rsidRPr="005F4158">
          <w:rPr>
            <w:rStyle w:val="Hyperlink"/>
            <w:noProof/>
          </w:rPr>
          <w:t>Development Agenda Coordination</w:t>
        </w:r>
        <w:r>
          <w:rPr>
            <w:noProof/>
            <w:webHidden/>
          </w:rPr>
          <w:tab/>
        </w:r>
        <w:r>
          <w:rPr>
            <w:noProof/>
            <w:webHidden/>
          </w:rPr>
          <w:fldChar w:fldCharType="begin"/>
        </w:r>
        <w:r>
          <w:rPr>
            <w:noProof/>
            <w:webHidden/>
          </w:rPr>
          <w:instrText xml:space="preserve"> PAGEREF _Toc393956052 \h </w:instrText>
        </w:r>
        <w:r>
          <w:rPr>
            <w:noProof/>
            <w:webHidden/>
          </w:rPr>
        </w:r>
        <w:r>
          <w:rPr>
            <w:noProof/>
            <w:webHidden/>
          </w:rPr>
          <w:fldChar w:fldCharType="separate"/>
        </w:r>
        <w:r>
          <w:rPr>
            <w:noProof/>
            <w:webHidden/>
          </w:rPr>
          <w:t>97</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53" w:history="1">
        <w:r w:rsidRPr="005F4158">
          <w:rPr>
            <w:rStyle w:val="Hyperlink"/>
            <w:noProof/>
          </w:rPr>
          <w:t>Program 9</w:t>
        </w:r>
        <w:r>
          <w:rPr>
            <w:rFonts w:asciiTheme="minorHAnsi" w:eastAsiaTheme="minorEastAsia" w:hAnsiTheme="minorHAnsi" w:cstheme="minorBidi"/>
            <w:noProof/>
            <w:sz w:val="22"/>
            <w:szCs w:val="22"/>
          </w:rPr>
          <w:tab/>
        </w:r>
        <w:r w:rsidRPr="005F4158">
          <w:rPr>
            <w:rStyle w:val="Hyperlink"/>
            <w:noProof/>
          </w:rPr>
          <w:t>Africa, Arab, Asia And The Pacific, Latin America and the Caribbean Countries, Least Developed Countries</w:t>
        </w:r>
        <w:r>
          <w:rPr>
            <w:noProof/>
            <w:webHidden/>
          </w:rPr>
          <w:tab/>
        </w:r>
        <w:r>
          <w:rPr>
            <w:noProof/>
            <w:webHidden/>
          </w:rPr>
          <w:fldChar w:fldCharType="begin"/>
        </w:r>
        <w:r>
          <w:rPr>
            <w:noProof/>
            <w:webHidden/>
          </w:rPr>
          <w:instrText xml:space="preserve"> PAGEREF _Toc393956053 \h </w:instrText>
        </w:r>
        <w:r>
          <w:rPr>
            <w:noProof/>
            <w:webHidden/>
          </w:rPr>
        </w:r>
        <w:r>
          <w:rPr>
            <w:noProof/>
            <w:webHidden/>
          </w:rPr>
          <w:fldChar w:fldCharType="separate"/>
        </w:r>
        <w:r>
          <w:rPr>
            <w:noProof/>
            <w:webHidden/>
          </w:rPr>
          <w:t>101</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54" w:history="1">
        <w:r w:rsidRPr="005F4158">
          <w:rPr>
            <w:rStyle w:val="Hyperlink"/>
            <w:noProof/>
          </w:rPr>
          <w:t>Program 10</w:t>
        </w:r>
        <w:r>
          <w:rPr>
            <w:rFonts w:asciiTheme="minorHAnsi" w:eastAsiaTheme="minorEastAsia" w:hAnsiTheme="minorHAnsi" w:cstheme="minorBidi"/>
            <w:noProof/>
            <w:sz w:val="22"/>
            <w:szCs w:val="22"/>
          </w:rPr>
          <w:tab/>
        </w:r>
        <w:r w:rsidRPr="005F4158">
          <w:rPr>
            <w:rStyle w:val="Hyperlink"/>
            <w:noProof/>
          </w:rPr>
          <w:t>Cooperation With Certain Countries Europe and Asia</w:t>
        </w:r>
        <w:r>
          <w:rPr>
            <w:noProof/>
            <w:webHidden/>
          </w:rPr>
          <w:tab/>
        </w:r>
        <w:r>
          <w:rPr>
            <w:noProof/>
            <w:webHidden/>
          </w:rPr>
          <w:fldChar w:fldCharType="begin"/>
        </w:r>
        <w:r>
          <w:rPr>
            <w:noProof/>
            <w:webHidden/>
          </w:rPr>
          <w:instrText xml:space="preserve"> PAGEREF _Toc393956054 \h </w:instrText>
        </w:r>
        <w:r>
          <w:rPr>
            <w:noProof/>
            <w:webHidden/>
          </w:rPr>
        </w:r>
        <w:r>
          <w:rPr>
            <w:noProof/>
            <w:webHidden/>
          </w:rPr>
          <w:fldChar w:fldCharType="separate"/>
        </w:r>
        <w:r>
          <w:rPr>
            <w:noProof/>
            <w:webHidden/>
          </w:rPr>
          <w:t>113</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55" w:history="1">
        <w:r w:rsidRPr="005F4158">
          <w:rPr>
            <w:rStyle w:val="Hyperlink"/>
            <w:noProof/>
          </w:rPr>
          <w:t>Program 11</w:t>
        </w:r>
        <w:r>
          <w:rPr>
            <w:rFonts w:asciiTheme="minorHAnsi" w:eastAsiaTheme="minorEastAsia" w:hAnsiTheme="minorHAnsi" w:cstheme="minorBidi"/>
            <w:noProof/>
            <w:sz w:val="22"/>
            <w:szCs w:val="22"/>
          </w:rPr>
          <w:tab/>
        </w:r>
        <w:r w:rsidRPr="005F4158">
          <w:rPr>
            <w:rStyle w:val="Hyperlink"/>
            <w:noProof/>
          </w:rPr>
          <w:t>The WIPO Academy</w:t>
        </w:r>
        <w:r>
          <w:rPr>
            <w:noProof/>
            <w:webHidden/>
          </w:rPr>
          <w:tab/>
        </w:r>
        <w:r>
          <w:rPr>
            <w:noProof/>
            <w:webHidden/>
          </w:rPr>
          <w:fldChar w:fldCharType="begin"/>
        </w:r>
        <w:r>
          <w:rPr>
            <w:noProof/>
            <w:webHidden/>
          </w:rPr>
          <w:instrText xml:space="preserve"> PAGEREF _Toc393956055 \h </w:instrText>
        </w:r>
        <w:r>
          <w:rPr>
            <w:noProof/>
            <w:webHidden/>
          </w:rPr>
        </w:r>
        <w:r>
          <w:rPr>
            <w:noProof/>
            <w:webHidden/>
          </w:rPr>
          <w:fldChar w:fldCharType="separate"/>
        </w:r>
        <w:r>
          <w:rPr>
            <w:noProof/>
            <w:webHidden/>
          </w:rPr>
          <w:t>118</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56" w:history="1">
        <w:r w:rsidRPr="005F4158">
          <w:rPr>
            <w:rStyle w:val="Hyperlink"/>
            <w:noProof/>
          </w:rPr>
          <w:t>Program 30</w:t>
        </w:r>
        <w:r>
          <w:rPr>
            <w:rFonts w:asciiTheme="minorHAnsi" w:eastAsiaTheme="minorEastAsia" w:hAnsiTheme="minorHAnsi" w:cstheme="minorBidi"/>
            <w:noProof/>
            <w:sz w:val="22"/>
            <w:szCs w:val="22"/>
          </w:rPr>
          <w:tab/>
        </w:r>
        <w:r w:rsidRPr="005F4158">
          <w:rPr>
            <w:rStyle w:val="Hyperlink"/>
            <w:noProof/>
          </w:rPr>
          <w:t>Small and Medium-Sized Enterprises (SMES) and Innovation</w:t>
        </w:r>
        <w:r>
          <w:rPr>
            <w:noProof/>
            <w:webHidden/>
          </w:rPr>
          <w:tab/>
        </w:r>
        <w:r>
          <w:rPr>
            <w:noProof/>
            <w:webHidden/>
          </w:rPr>
          <w:fldChar w:fldCharType="begin"/>
        </w:r>
        <w:r>
          <w:rPr>
            <w:noProof/>
            <w:webHidden/>
          </w:rPr>
          <w:instrText xml:space="preserve"> PAGEREF _Toc393956056 \h </w:instrText>
        </w:r>
        <w:r>
          <w:rPr>
            <w:noProof/>
            <w:webHidden/>
          </w:rPr>
        </w:r>
        <w:r>
          <w:rPr>
            <w:noProof/>
            <w:webHidden/>
          </w:rPr>
          <w:fldChar w:fldCharType="separate"/>
        </w:r>
        <w:r>
          <w:rPr>
            <w:noProof/>
            <w:webHidden/>
          </w:rPr>
          <w:t>124</w:t>
        </w:r>
        <w:r>
          <w:rPr>
            <w:noProof/>
            <w:webHidden/>
          </w:rPr>
          <w:fldChar w:fldCharType="end"/>
        </w:r>
      </w:hyperlink>
    </w:p>
    <w:p w:rsidR="007C75ED" w:rsidRDefault="007C75ED">
      <w:pPr>
        <w:pStyle w:val="TOC2"/>
        <w:rPr>
          <w:rFonts w:asciiTheme="minorHAnsi" w:eastAsiaTheme="minorEastAsia" w:hAnsiTheme="minorHAnsi" w:cstheme="minorBidi"/>
          <w:b w:val="0"/>
          <w:noProof/>
          <w:sz w:val="22"/>
          <w:szCs w:val="22"/>
        </w:rPr>
      </w:pPr>
      <w:hyperlink w:anchor="_Toc393956057" w:history="1">
        <w:r w:rsidRPr="005F4158">
          <w:rPr>
            <w:rStyle w:val="Hyperlink"/>
            <w:noProof/>
          </w:rPr>
          <w:t>STRATEGIC GOAL IV   Coordination and Development of Global IP Infrastructure</w:t>
        </w:r>
        <w:r>
          <w:rPr>
            <w:noProof/>
            <w:webHidden/>
          </w:rPr>
          <w:tab/>
        </w:r>
        <w:r>
          <w:rPr>
            <w:noProof/>
            <w:webHidden/>
          </w:rPr>
          <w:fldChar w:fldCharType="begin"/>
        </w:r>
        <w:r>
          <w:rPr>
            <w:noProof/>
            <w:webHidden/>
          </w:rPr>
          <w:instrText xml:space="preserve"> PAGEREF _Toc393956057 \h </w:instrText>
        </w:r>
        <w:r>
          <w:rPr>
            <w:noProof/>
            <w:webHidden/>
          </w:rPr>
        </w:r>
        <w:r>
          <w:rPr>
            <w:noProof/>
            <w:webHidden/>
          </w:rPr>
          <w:fldChar w:fldCharType="separate"/>
        </w:r>
        <w:r>
          <w:rPr>
            <w:noProof/>
            <w:webHidden/>
          </w:rPr>
          <w:t>129</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58" w:history="1">
        <w:r w:rsidRPr="005F4158">
          <w:rPr>
            <w:rStyle w:val="Hyperlink"/>
            <w:noProof/>
          </w:rPr>
          <w:t>Program 12</w:t>
        </w:r>
        <w:r>
          <w:rPr>
            <w:rFonts w:asciiTheme="minorHAnsi" w:eastAsiaTheme="minorEastAsia" w:hAnsiTheme="minorHAnsi" w:cstheme="minorBidi"/>
            <w:noProof/>
            <w:sz w:val="22"/>
            <w:szCs w:val="22"/>
          </w:rPr>
          <w:tab/>
        </w:r>
        <w:r w:rsidRPr="005F4158">
          <w:rPr>
            <w:rStyle w:val="Hyperlink"/>
            <w:noProof/>
          </w:rPr>
          <w:t>International Classifications and Standards</w:t>
        </w:r>
        <w:r>
          <w:rPr>
            <w:noProof/>
            <w:webHidden/>
          </w:rPr>
          <w:tab/>
        </w:r>
        <w:r>
          <w:rPr>
            <w:noProof/>
            <w:webHidden/>
          </w:rPr>
          <w:fldChar w:fldCharType="begin"/>
        </w:r>
        <w:r>
          <w:rPr>
            <w:noProof/>
            <w:webHidden/>
          </w:rPr>
          <w:instrText xml:space="preserve"> PAGEREF _Toc393956058 \h </w:instrText>
        </w:r>
        <w:r>
          <w:rPr>
            <w:noProof/>
            <w:webHidden/>
          </w:rPr>
        </w:r>
        <w:r>
          <w:rPr>
            <w:noProof/>
            <w:webHidden/>
          </w:rPr>
          <w:fldChar w:fldCharType="separate"/>
        </w:r>
        <w:r>
          <w:rPr>
            <w:noProof/>
            <w:webHidden/>
          </w:rPr>
          <w:t>131</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59" w:history="1">
        <w:r w:rsidRPr="005F4158">
          <w:rPr>
            <w:rStyle w:val="Hyperlink"/>
            <w:noProof/>
          </w:rPr>
          <w:t>Program 13</w:t>
        </w:r>
        <w:r>
          <w:rPr>
            <w:rFonts w:asciiTheme="minorHAnsi" w:eastAsiaTheme="minorEastAsia" w:hAnsiTheme="minorHAnsi" w:cstheme="minorBidi"/>
            <w:noProof/>
            <w:sz w:val="22"/>
            <w:szCs w:val="22"/>
          </w:rPr>
          <w:tab/>
        </w:r>
        <w:r w:rsidRPr="005F4158">
          <w:rPr>
            <w:rStyle w:val="Hyperlink"/>
            <w:noProof/>
          </w:rPr>
          <w:t>Global Databases</w:t>
        </w:r>
        <w:r>
          <w:rPr>
            <w:noProof/>
            <w:webHidden/>
          </w:rPr>
          <w:tab/>
        </w:r>
        <w:r>
          <w:rPr>
            <w:noProof/>
            <w:webHidden/>
          </w:rPr>
          <w:fldChar w:fldCharType="begin"/>
        </w:r>
        <w:r>
          <w:rPr>
            <w:noProof/>
            <w:webHidden/>
          </w:rPr>
          <w:instrText xml:space="preserve"> PAGEREF _Toc393956059 \h </w:instrText>
        </w:r>
        <w:r>
          <w:rPr>
            <w:noProof/>
            <w:webHidden/>
          </w:rPr>
        </w:r>
        <w:r>
          <w:rPr>
            <w:noProof/>
            <w:webHidden/>
          </w:rPr>
          <w:fldChar w:fldCharType="separate"/>
        </w:r>
        <w:r>
          <w:rPr>
            <w:noProof/>
            <w:webHidden/>
          </w:rPr>
          <w:t>134</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60" w:history="1">
        <w:r w:rsidRPr="005F4158">
          <w:rPr>
            <w:rStyle w:val="Hyperlink"/>
            <w:noProof/>
          </w:rPr>
          <w:t>Program 14</w:t>
        </w:r>
        <w:r>
          <w:rPr>
            <w:rFonts w:asciiTheme="minorHAnsi" w:eastAsiaTheme="minorEastAsia" w:hAnsiTheme="minorHAnsi" w:cstheme="minorBidi"/>
            <w:noProof/>
            <w:sz w:val="22"/>
            <w:szCs w:val="22"/>
          </w:rPr>
          <w:tab/>
        </w:r>
        <w:r w:rsidRPr="005F4158">
          <w:rPr>
            <w:rStyle w:val="Hyperlink"/>
            <w:noProof/>
          </w:rPr>
          <w:t>Services for Access to Information and Knowledge</w:t>
        </w:r>
        <w:r>
          <w:rPr>
            <w:noProof/>
            <w:webHidden/>
          </w:rPr>
          <w:tab/>
        </w:r>
        <w:r>
          <w:rPr>
            <w:noProof/>
            <w:webHidden/>
          </w:rPr>
          <w:fldChar w:fldCharType="begin"/>
        </w:r>
        <w:r>
          <w:rPr>
            <w:noProof/>
            <w:webHidden/>
          </w:rPr>
          <w:instrText xml:space="preserve"> PAGEREF _Toc393956060 \h </w:instrText>
        </w:r>
        <w:r>
          <w:rPr>
            <w:noProof/>
            <w:webHidden/>
          </w:rPr>
        </w:r>
        <w:r>
          <w:rPr>
            <w:noProof/>
            <w:webHidden/>
          </w:rPr>
          <w:fldChar w:fldCharType="separate"/>
        </w:r>
        <w:r>
          <w:rPr>
            <w:noProof/>
            <w:webHidden/>
          </w:rPr>
          <w:t>138</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61" w:history="1">
        <w:r w:rsidRPr="005F4158">
          <w:rPr>
            <w:rStyle w:val="Hyperlink"/>
            <w:noProof/>
          </w:rPr>
          <w:t>Program 15</w:t>
        </w:r>
        <w:r>
          <w:rPr>
            <w:rFonts w:asciiTheme="minorHAnsi" w:eastAsiaTheme="minorEastAsia" w:hAnsiTheme="minorHAnsi" w:cstheme="minorBidi"/>
            <w:noProof/>
            <w:sz w:val="22"/>
            <w:szCs w:val="22"/>
          </w:rPr>
          <w:tab/>
        </w:r>
        <w:r w:rsidRPr="005F4158">
          <w:rPr>
            <w:rStyle w:val="Hyperlink"/>
            <w:noProof/>
          </w:rPr>
          <w:t>Business Solutions for IP Offices</w:t>
        </w:r>
        <w:r>
          <w:rPr>
            <w:noProof/>
            <w:webHidden/>
          </w:rPr>
          <w:tab/>
        </w:r>
        <w:r>
          <w:rPr>
            <w:noProof/>
            <w:webHidden/>
          </w:rPr>
          <w:fldChar w:fldCharType="begin"/>
        </w:r>
        <w:r>
          <w:rPr>
            <w:noProof/>
            <w:webHidden/>
          </w:rPr>
          <w:instrText xml:space="preserve"> PAGEREF _Toc393956061 \h </w:instrText>
        </w:r>
        <w:r>
          <w:rPr>
            <w:noProof/>
            <w:webHidden/>
          </w:rPr>
        </w:r>
        <w:r>
          <w:rPr>
            <w:noProof/>
            <w:webHidden/>
          </w:rPr>
          <w:fldChar w:fldCharType="separate"/>
        </w:r>
        <w:r>
          <w:rPr>
            <w:noProof/>
            <w:webHidden/>
          </w:rPr>
          <w:t>142</w:t>
        </w:r>
        <w:r>
          <w:rPr>
            <w:noProof/>
            <w:webHidden/>
          </w:rPr>
          <w:fldChar w:fldCharType="end"/>
        </w:r>
      </w:hyperlink>
    </w:p>
    <w:p w:rsidR="007C75ED" w:rsidRDefault="007C75ED">
      <w:pPr>
        <w:pStyle w:val="TOC2"/>
        <w:rPr>
          <w:rFonts w:asciiTheme="minorHAnsi" w:eastAsiaTheme="minorEastAsia" w:hAnsiTheme="minorHAnsi" w:cstheme="minorBidi"/>
          <w:b w:val="0"/>
          <w:noProof/>
          <w:sz w:val="22"/>
          <w:szCs w:val="22"/>
        </w:rPr>
      </w:pPr>
      <w:hyperlink w:anchor="_Toc393956062" w:history="1">
        <w:r w:rsidRPr="005F4158">
          <w:rPr>
            <w:rStyle w:val="Hyperlink"/>
            <w:noProof/>
          </w:rPr>
          <w:t>STRATEGIC GOAL V   World Reference Source for IP Information and Analysis</w:t>
        </w:r>
        <w:r>
          <w:rPr>
            <w:noProof/>
            <w:webHidden/>
          </w:rPr>
          <w:tab/>
        </w:r>
        <w:r>
          <w:rPr>
            <w:noProof/>
            <w:webHidden/>
          </w:rPr>
          <w:fldChar w:fldCharType="begin"/>
        </w:r>
        <w:r>
          <w:rPr>
            <w:noProof/>
            <w:webHidden/>
          </w:rPr>
          <w:instrText xml:space="preserve"> PAGEREF _Toc393956062 \h </w:instrText>
        </w:r>
        <w:r>
          <w:rPr>
            <w:noProof/>
            <w:webHidden/>
          </w:rPr>
        </w:r>
        <w:r>
          <w:rPr>
            <w:noProof/>
            <w:webHidden/>
          </w:rPr>
          <w:fldChar w:fldCharType="separate"/>
        </w:r>
        <w:r>
          <w:rPr>
            <w:noProof/>
            <w:webHidden/>
          </w:rPr>
          <w:t>147</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63" w:history="1">
        <w:r w:rsidRPr="005F4158">
          <w:rPr>
            <w:rStyle w:val="Hyperlink"/>
            <w:noProof/>
          </w:rPr>
          <w:t>Program 16</w:t>
        </w:r>
        <w:r>
          <w:rPr>
            <w:rFonts w:asciiTheme="minorHAnsi" w:eastAsiaTheme="minorEastAsia" w:hAnsiTheme="minorHAnsi" w:cstheme="minorBidi"/>
            <w:noProof/>
            <w:sz w:val="22"/>
            <w:szCs w:val="22"/>
          </w:rPr>
          <w:tab/>
        </w:r>
        <w:r w:rsidRPr="005F4158">
          <w:rPr>
            <w:rStyle w:val="Hyperlink"/>
            <w:noProof/>
          </w:rPr>
          <w:t>Economics and Statistics</w:t>
        </w:r>
        <w:r>
          <w:rPr>
            <w:noProof/>
            <w:webHidden/>
          </w:rPr>
          <w:tab/>
        </w:r>
        <w:r>
          <w:rPr>
            <w:noProof/>
            <w:webHidden/>
          </w:rPr>
          <w:fldChar w:fldCharType="begin"/>
        </w:r>
        <w:r>
          <w:rPr>
            <w:noProof/>
            <w:webHidden/>
          </w:rPr>
          <w:instrText xml:space="preserve"> PAGEREF _Toc393956063 \h </w:instrText>
        </w:r>
        <w:r>
          <w:rPr>
            <w:noProof/>
            <w:webHidden/>
          </w:rPr>
        </w:r>
        <w:r>
          <w:rPr>
            <w:noProof/>
            <w:webHidden/>
          </w:rPr>
          <w:fldChar w:fldCharType="separate"/>
        </w:r>
        <w:r>
          <w:rPr>
            <w:noProof/>
            <w:webHidden/>
          </w:rPr>
          <w:t>148</w:t>
        </w:r>
        <w:r>
          <w:rPr>
            <w:noProof/>
            <w:webHidden/>
          </w:rPr>
          <w:fldChar w:fldCharType="end"/>
        </w:r>
      </w:hyperlink>
    </w:p>
    <w:p w:rsidR="007C75ED" w:rsidRDefault="007C75ED">
      <w:pPr>
        <w:pStyle w:val="TOC2"/>
        <w:rPr>
          <w:rFonts w:asciiTheme="minorHAnsi" w:eastAsiaTheme="minorEastAsia" w:hAnsiTheme="minorHAnsi" w:cstheme="minorBidi"/>
          <w:b w:val="0"/>
          <w:noProof/>
          <w:sz w:val="22"/>
          <w:szCs w:val="22"/>
        </w:rPr>
      </w:pPr>
      <w:hyperlink w:anchor="_Toc393956064" w:history="1">
        <w:r w:rsidRPr="005F4158">
          <w:rPr>
            <w:rStyle w:val="Hyperlink"/>
            <w:noProof/>
          </w:rPr>
          <w:t>STRATEGIC GOAL VI    International Cooperation on Building Respect for IP</w:t>
        </w:r>
        <w:r>
          <w:rPr>
            <w:noProof/>
            <w:webHidden/>
          </w:rPr>
          <w:tab/>
        </w:r>
        <w:r>
          <w:rPr>
            <w:noProof/>
            <w:webHidden/>
          </w:rPr>
          <w:fldChar w:fldCharType="begin"/>
        </w:r>
        <w:r>
          <w:rPr>
            <w:noProof/>
            <w:webHidden/>
          </w:rPr>
          <w:instrText xml:space="preserve"> PAGEREF _Toc393956064 \h </w:instrText>
        </w:r>
        <w:r>
          <w:rPr>
            <w:noProof/>
            <w:webHidden/>
          </w:rPr>
        </w:r>
        <w:r>
          <w:rPr>
            <w:noProof/>
            <w:webHidden/>
          </w:rPr>
          <w:fldChar w:fldCharType="separate"/>
        </w:r>
        <w:r>
          <w:rPr>
            <w:noProof/>
            <w:webHidden/>
          </w:rPr>
          <w:t>151</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65" w:history="1">
        <w:r w:rsidRPr="005F4158">
          <w:rPr>
            <w:rStyle w:val="Hyperlink"/>
            <w:noProof/>
          </w:rPr>
          <w:t>Program 17</w:t>
        </w:r>
        <w:r>
          <w:rPr>
            <w:rFonts w:asciiTheme="minorHAnsi" w:eastAsiaTheme="minorEastAsia" w:hAnsiTheme="minorHAnsi" w:cstheme="minorBidi"/>
            <w:noProof/>
            <w:sz w:val="22"/>
            <w:szCs w:val="22"/>
          </w:rPr>
          <w:tab/>
        </w:r>
        <w:r w:rsidRPr="005F4158">
          <w:rPr>
            <w:rStyle w:val="Hyperlink"/>
            <w:noProof/>
          </w:rPr>
          <w:t>Building Respect for IP</w:t>
        </w:r>
        <w:r>
          <w:rPr>
            <w:noProof/>
            <w:webHidden/>
          </w:rPr>
          <w:tab/>
        </w:r>
        <w:r>
          <w:rPr>
            <w:noProof/>
            <w:webHidden/>
          </w:rPr>
          <w:fldChar w:fldCharType="begin"/>
        </w:r>
        <w:r>
          <w:rPr>
            <w:noProof/>
            <w:webHidden/>
          </w:rPr>
          <w:instrText xml:space="preserve"> PAGEREF _Toc393956065 \h </w:instrText>
        </w:r>
        <w:r>
          <w:rPr>
            <w:noProof/>
            <w:webHidden/>
          </w:rPr>
        </w:r>
        <w:r>
          <w:rPr>
            <w:noProof/>
            <w:webHidden/>
          </w:rPr>
          <w:fldChar w:fldCharType="separate"/>
        </w:r>
        <w:r>
          <w:rPr>
            <w:noProof/>
            <w:webHidden/>
          </w:rPr>
          <w:t>152</w:t>
        </w:r>
        <w:r>
          <w:rPr>
            <w:noProof/>
            <w:webHidden/>
          </w:rPr>
          <w:fldChar w:fldCharType="end"/>
        </w:r>
      </w:hyperlink>
    </w:p>
    <w:p w:rsidR="007C75ED" w:rsidRDefault="007C75ED">
      <w:pPr>
        <w:pStyle w:val="TOC2"/>
        <w:rPr>
          <w:rFonts w:asciiTheme="minorHAnsi" w:eastAsiaTheme="minorEastAsia" w:hAnsiTheme="minorHAnsi" w:cstheme="minorBidi"/>
          <w:b w:val="0"/>
          <w:noProof/>
          <w:sz w:val="22"/>
          <w:szCs w:val="22"/>
        </w:rPr>
      </w:pPr>
      <w:hyperlink w:anchor="_Toc393956066" w:history="1">
        <w:r w:rsidRPr="005F4158">
          <w:rPr>
            <w:rStyle w:val="Hyperlink"/>
            <w:noProof/>
          </w:rPr>
          <w:t>STRATEGIC GOAL VII    Addressing IP in Relation to Global Policy Issues</w:t>
        </w:r>
        <w:r>
          <w:rPr>
            <w:noProof/>
            <w:webHidden/>
          </w:rPr>
          <w:tab/>
        </w:r>
        <w:r>
          <w:rPr>
            <w:noProof/>
            <w:webHidden/>
          </w:rPr>
          <w:fldChar w:fldCharType="begin"/>
        </w:r>
        <w:r>
          <w:rPr>
            <w:noProof/>
            <w:webHidden/>
          </w:rPr>
          <w:instrText xml:space="preserve"> PAGEREF _Toc393956066 \h </w:instrText>
        </w:r>
        <w:r>
          <w:rPr>
            <w:noProof/>
            <w:webHidden/>
          </w:rPr>
        </w:r>
        <w:r>
          <w:rPr>
            <w:noProof/>
            <w:webHidden/>
          </w:rPr>
          <w:fldChar w:fldCharType="separate"/>
        </w:r>
        <w:r>
          <w:rPr>
            <w:noProof/>
            <w:webHidden/>
          </w:rPr>
          <w:t>156</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67" w:history="1">
        <w:r w:rsidRPr="005F4158">
          <w:rPr>
            <w:rStyle w:val="Hyperlink"/>
            <w:noProof/>
          </w:rPr>
          <w:t>Program 18</w:t>
        </w:r>
        <w:r>
          <w:rPr>
            <w:rFonts w:asciiTheme="minorHAnsi" w:eastAsiaTheme="minorEastAsia" w:hAnsiTheme="minorHAnsi" w:cstheme="minorBidi"/>
            <w:noProof/>
            <w:sz w:val="22"/>
            <w:szCs w:val="22"/>
          </w:rPr>
          <w:tab/>
        </w:r>
        <w:r w:rsidRPr="005F4158">
          <w:rPr>
            <w:rStyle w:val="Hyperlink"/>
            <w:noProof/>
          </w:rPr>
          <w:t>IP and Global Challenges</w:t>
        </w:r>
        <w:r>
          <w:rPr>
            <w:noProof/>
            <w:webHidden/>
          </w:rPr>
          <w:tab/>
        </w:r>
        <w:r>
          <w:rPr>
            <w:noProof/>
            <w:webHidden/>
          </w:rPr>
          <w:fldChar w:fldCharType="begin"/>
        </w:r>
        <w:r>
          <w:rPr>
            <w:noProof/>
            <w:webHidden/>
          </w:rPr>
          <w:instrText xml:space="preserve"> PAGEREF _Toc393956067 \h </w:instrText>
        </w:r>
        <w:r>
          <w:rPr>
            <w:noProof/>
            <w:webHidden/>
          </w:rPr>
        </w:r>
        <w:r>
          <w:rPr>
            <w:noProof/>
            <w:webHidden/>
          </w:rPr>
          <w:fldChar w:fldCharType="separate"/>
        </w:r>
        <w:r>
          <w:rPr>
            <w:noProof/>
            <w:webHidden/>
          </w:rPr>
          <w:t>157</w:t>
        </w:r>
        <w:r>
          <w:rPr>
            <w:noProof/>
            <w:webHidden/>
          </w:rPr>
          <w:fldChar w:fldCharType="end"/>
        </w:r>
      </w:hyperlink>
    </w:p>
    <w:p w:rsidR="007C75ED" w:rsidRDefault="007C75ED">
      <w:pPr>
        <w:pStyle w:val="TOC2"/>
        <w:rPr>
          <w:rFonts w:asciiTheme="minorHAnsi" w:eastAsiaTheme="minorEastAsia" w:hAnsiTheme="minorHAnsi" w:cstheme="minorBidi"/>
          <w:b w:val="0"/>
          <w:noProof/>
          <w:sz w:val="22"/>
          <w:szCs w:val="22"/>
        </w:rPr>
      </w:pPr>
      <w:hyperlink w:anchor="_Toc393956068" w:history="1">
        <w:r w:rsidRPr="005F4158">
          <w:rPr>
            <w:rStyle w:val="Hyperlink"/>
            <w:noProof/>
          </w:rPr>
          <w:t>STRATEGIC GOAL VIII    A Responsive Communications Interface Between WIPO,  its Members and all Stakeholders</w:t>
        </w:r>
        <w:r>
          <w:rPr>
            <w:noProof/>
            <w:webHidden/>
          </w:rPr>
          <w:tab/>
        </w:r>
        <w:r>
          <w:rPr>
            <w:noProof/>
            <w:webHidden/>
          </w:rPr>
          <w:fldChar w:fldCharType="begin"/>
        </w:r>
        <w:r>
          <w:rPr>
            <w:noProof/>
            <w:webHidden/>
          </w:rPr>
          <w:instrText xml:space="preserve"> PAGEREF _Toc393956068 \h </w:instrText>
        </w:r>
        <w:r>
          <w:rPr>
            <w:noProof/>
            <w:webHidden/>
          </w:rPr>
        </w:r>
        <w:r>
          <w:rPr>
            <w:noProof/>
            <w:webHidden/>
          </w:rPr>
          <w:fldChar w:fldCharType="separate"/>
        </w:r>
        <w:r>
          <w:rPr>
            <w:noProof/>
            <w:webHidden/>
          </w:rPr>
          <w:t>162</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69" w:history="1">
        <w:r w:rsidRPr="005F4158">
          <w:rPr>
            <w:rStyle w:val="Hyperlink"/>
            <w:noProof/>
          </w:rPr>
          <w:t>Program 19</w:t>
        </w:r>
        <w:r>
          <w:rPr>
            <w:rFonts w:asciiTheme="minorHAnsi" w:eastAsiaTheme="minorEastAsia" w:hAnsiTheme="minorHAnsi" w:cstheme="minorBidi"/>
            <w:noProof/>
            <w:sz w:val="22"/>
            <w:szCs w:val="22"/>
          </w:rPr>
          <w:tab/>
        </w:r>
        <w:r w:rsidRPr="005F4158">
          <w:rPr>
            <w:rStyle w:val="Hyperlink"/>
            <w:noProof/>
          </w:rPr>
          <w:t>Communications</w:t>
        </w:r>
        <w:r>
          <w:rPr>
            <w:noProof/>
            <w:webHidden/>
          </w:rPr>
          <w:tab/>
        </w:r>
        <w:r>
          <w:rPr>
            <w:noProof/>
            <w:webHidden/>
          </w:rPr>
          <w:fldChar w:fldCharType="begin"/>
        </w:r>
        <w:r>
          <w:rPr>
            <w:noProof/>
            <w:webHidden/>
          </w:rPr>
          <w:instrText xml:space="preserve"> PAGEREF _Toc393956069 \h </w:instrText>
        </w:r>
        <w:r>
          <w:rPr>
            <w:noProof/>
            <w:webHidden/>
          </w:rPr>
        </w:r>
        <w:r>
          <w:rPr>
            <w:noProof/>
            <w:webHidden/>
          </w:rPr>
          <w:fldChar w:fldCharType="separate"/>
        </w:r>
        <w:r>
          <w:rPr>
            <w:noProof/>
            <w:webHidden/>
          </w:rPr>
          <w:t>164</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70" w:history="1">
        <w:r w:rsidRPr="005F4158">
          <w:rPr>
            <w:rStyle w:val="Hyperlink"/>
            <w:noProof/>
          </w:rPr>
          <w:t>Program 20</w:t>
        </w:r>
        <w:r>
          <w:rPr>
            <w:rFonts w:asciiTheme="minorHAnsi" w:eastAsiaTheme="minorEastAsia" w:hAnsiTheme="minorHAnsi" w:cstheme="minorBidi"/>
            <w:noProof/>
            <w:sz w:val="22"/>
            <w:szCs w:val="22"/>
          </w:rPr>
          <w:tab/>
        </w:r>
        <w:r w:rsidRPr="005F4158">
          <w:rPr>
            <w:rStyle w:val="Hyperlink"/>
            <w:noProof/>
          </w:rPr>
          <w:t>External Relations, Partnerships and External Offices</w:t>
        </w:r>
        <w:r>
          <w:rPr>
            <w:noProof/>
            <w:webHidden/>
          </w:rPr>
          <w:tab/>
        </w:r>
        <w:r>
          <w:rPr>
            <w:noProof/>
            <w:webHidden/>
          </w:rPr>
          <w:fldChar w:fldCharType="begin"/>
        </w:r>
        <w:r>
          <w:rPr>
            <w:noProof/>
            <w:webHidden/>
          </w:rPr>
          <w:instrText xml:space="preserve"> PAGEREF _Toc393956070 \h </w:instrText>
        </w:r>
        <w:r>
          <w:rPr>
            <w:noProof/>
            <w:webHidden/>
          </w:rPr>
        </w:r>
        <w:r>
          <w:rPr>
            <w:noProof/>
            <w:webHidden/>
          </w:rPr>
          <w:fldChar w:fldCharType="separate"/>
        </w:r>
        <w:r>
          <w:rPr>
            <w:noProof/>
            <w:webHidden/>
          </w:rPr>
          <w:t>168</w:t>
        </w:r>
        <w:r>
          <w:rPr>
            <w:noProof/>
            <w:webHidden/>
          </w:rPr>
          <w:fldChar w:fldCharType="end"/>
        </w:r>
      </w:hyperlink>
    </w:p>
    <w:p w:rsidR="007C75ED" w:rsidRDefault="007C75ED">
      <w:pPr>
        <w:pStyle w:val="TOC2"/>
        <w:rPr>
          <w:rFonts w:asciiTheme="minorHAnsi" w:eastAsiaTheme="minorEastAsia" w:hAnsiTheme="minorHAnsi" w:cstheme="minorBidi"/>
          <w:b w:val="0"/>
          <w:noProof/>
          <w:sz w:val="22"/>
          <w:szCs w:val="22"/>
        </w:rPr>
      </w:pPr>
      <w:hyperlink w:anchor="_Toc393956071" w:history="1">
        <w:r w:rsidRPr="005F4158">
          <w:rPr>
            <w:rStyle w:val="Hyperlink"/>
            <w:noProof/>
          </w:rPr>
          <w:t>STRATEGIC GOAL IX   Efficient Administrative and Financial Support</w:t>
        </w:r>
        <w:r>
          <w:rPr>
            <w:noProof/>
            <w:webHidden/>
          </w:rPr>
          <w:tab/>
        </w:r>
        <w:r>
          <w:rPr>
            <w:noProof/>
            <w:webHidden/>
          </w:rPr>
          <w:fldChar w:fldCharType="begin"/>
        </w:r>
        <w:r>
          <w:rPr>
            <w:noProof/>
            <w:webHidden/>
          </w:rPr>
          <w:instrText xml:space="preserve"> PAGEREF _Toc393956071 \h </w:instrText>
        </w:r>
        <w:r>
          <w:rPr>
            <w:noProof/>
            <w:webHidden/>
          </w:rPr>
        </w:r>
        <w:r>
          <w:rPr>
            <w:noProof/>
            <w:webHidden/>
          </w:rPr>
          <w:fldChar w:fldCharType="separate"/>
        </w:r>
        <w:r>
          <w:rPr>
            <w:noProof/>
            <w:webHidden/>
          </w:rPr>
          <w:t>175</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72" w:history="1">
        <w:r w:rsidRPr="005F4158">
          <w:rPr>
            <w:rStyle w:val="Hyperlink"/>
            <w:noProof/>
          </w:rPr>
          <w:t>Program 21</w:t>
        </w:r>
        <w:r>
          <w:rPr>
            <w:rFonts w:asciiTheme="minorHAnsi" w:eastAsiaTheme="minorEastAsia" w:hAnsiTheme="minorHAnsi" w:cstheme="minorBidi"/>
            <w:noProof/>
            <w:sz w:val="22"/>
            <w:szCs w:val="22"/>
          </w:rPr>
          <w:tab/>
        </w:r>
        <w:r w:rsidRPr="005F4158">
          <w:rPr>
            <w:rStyle w:val="Hyperlink"/>
            <w:noProof/>
          </w:rPr>
          <w:t>Executive Management</w:t>
        </w:r>
        <w:r>
          <w:rPr>
            <w:noProof/>
            <w:webHidden/>
          </w:rPr>
          <w:tab/>
        </w:r>
        <w:r>
          <w:rPr>
            <w:noProof/>
            <w:webHidden/>
          </w:rPr>
          <w:fldChar w:fldCharType="begin"/>
        </w:r>
        <w:r>
          <w:rPr>
            <w:noProof/>
            <w:webHidden/>
          </w:rPr>
          <w:instrText xml:space="preserve"> PAGEREF _Toc393956072 \h </w:instrText>
        </w:r>
        <w:r>
          <w:rPr>
            <w:noProof/>
            <w:webHidden/>
          </w:rPr>
        </w:r>
        <w:r>
          <w:rPr>
            <w:noProof/>
            <w:webHidden/>
          </w:rPr>
          <w:fldChar w:fldCharType="separate"/>
        </w:r>
        <w:r>
          <w:rPr>
            <w:noProof/>
            <w:webHidden/>
          </w:rPr>
          <w:t>178</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73" w:history="1">
        <w:r>
          <w:rPr>
            <w:rStyle w:val="Hyperlink"/>
            <w:noProof/>
          </w:rPr>
          <w:t>P</w:t>
        </w:r>
        <w:r w:rsidRPr="005F4158">
          <w:rPr>
            <w:rStyle w:val="Hyperlink"/>
            <w:noProof/>
          </w:rPr>
          <w:t>rogram 22</w:t>
        </w:r>
        <w:r>
          <w:rPr>
            <w:rFonts w:asciiTheme="minorHAnsi" w:eastAsiaTheme="minorEastAsia" w:hAnsiTheme="minorHAnsi" w:cstheme="minorBidi"/>
            <w:noProof/>
            <w:sz w:val="22"/>
            <w:szCs w:val="22"/>
          </w:rPr>
          <w:tab/>
        </w:r>
        <w:r>
          <w:rPr>
            <w:rStyle w:val="Hyperlink"/>
            <w:noProof/>
          </w:rPr>
          <w:t>Program a</w:t>
        </w:r>
        <w:r w:rsidRPr="005F4158">
          <w:rPr>
            <w:rStyle w:val="Hyperlink"/>
            <w:noProof/>
          </w:rPr>
          <w:t>nd Resource Management</w:t>
        </w:r>
        <w:r>
          <w:rPr>
            <w:noProof/>
            <w:webHidden/>
          </w:rPr>
          <w:tab/>
        </w:r>
        <w:r>
          <w:rPr>
            <w:noProof/>
            <w:webHidden/>
          </w:rPr>
          <w:fldChar w:fldCharType="begin"/>
        </w:r>
        <w:r>
          <w:rPr>
            <w:noProof/>
            <w:webHidden/>
          </w:rPr>
          <w:instrText xml:space="preserve"> PAGEREF _Toc393956073 \h </w:instrText>
        </w:r>
        <w:r>
          <w:rPr>
            <w:noProof/>
            <w:webHidden/>
          </w:rPr>
        </w:r>
        <w:r>
          <w:rPr>
            <w:noProof/>
            <w:webHidden/>
          </w:rPr>
          <w:fldChar w:fldCharType="separate"/>
        </w:r>
        <w:r>
          <w:rPr>
            <w:noProof/>
            <w:webHidden/>
          </w:rPr>
          <w:t>183</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74" w:history="1">
        <w:r w:rsidRPr="005F4158">
          <w:rPr>
            <w:rStyle w:val="Hyperlink"/>
            <w:noProof/>
          </w:rPr>
          <w:t>Program 23</w:t>
        </w:r>
        <w:r>
          <w:rPr>
            <w:rFonts w:asciiTheme="minorHAnsi" w:eastAsiaTheme="minorEastAsia" w:hAnsiTheme="minorHAnsi" w:cstheme="minorBidi"/>
            <w:noProof/>
            <w:sz w:val="22"/>
            <w:szCs w:val="22"/>
          </w:rPr>
          <w:tab/>
        </w:r>
        <w:r w:rsidRPr="005F4158">
          <w:rPr>
            <w:rStyle w:val="Hyperlink"/>
            <w:noProof/>
          </w:rPr>
          <w:t>Human Resources Management and Development</w:t>
        </w:r>
        <w:r>
          <w:rPr>
            <w:noProof/>
            <w:webHidden/>
          </w:rPr>
          <w:tab/>
        </w:r>
        <w:r>
          <w:rPr>
            <w:noProof/>
            <w:webHidden/>
          </w:rPr>
          <w:fldChar w:fldCharType="begin"/>
        </w:r>
        <w:r>
          <w:rPr>
            <w:noProof/>
            <w:webHidden/>
          </w:rPr>
          <w:instrText xml:space="preserve"> PAGEREF _Toc393956074 \h </w:instrText>
        </w:r>
        <w:r>
          <w:rPr>
            <w:noProof/>
            <w:webHidden/>
          </w:rPr>
        </w:r>
        <w:r>
          <w:rPr>
            <w:noProof/>
            <w:webHidden/>
          </w:rPr>
          <w:fldChar w:fldCharType="separate"/>
        </w:r>
        <w:r>
          <w:rPr>
            <w:noProof/>
            <w:webHidden/>
          </w:rPr>
          <w:t>187</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75" w:history="1">
        <w:r w:rsidRPr="005F4158">
          <w:rPr>
            <w:rStyle w:val="Hyperlink"/>
            <w:noProof/>
          </w:rPr>
          <w:t>Program 24</w:t>
        </w:r>
        <w:r>
          <w:rPr>
            <w:rFonts w:asciiTheme="minorHAnsi" w:eastAsiaTheme="minorEastAsia" w:hAnsiTheme="minorHAnsi" w:cstheme="minorBidi"/>
            <w:noProof/>
            <w:sz w:val="22"/>
            <w:szCs w:val="22"/>
          </w:rPr>
          <w:tab/>
        </w:r>
        <w:r w:rsidRPr="005F4158">
          <w:rPr>
            <w:rStyle w:val="Hyperlink"/>
            <w:noProof/>
          </w:rPr>
          <w:t>General Support Services</w:t>
        </w:r>
        <w:r>
          <w:rPr>
            <w:noProof/>
            <w:webHidden/>
          </w:rPr>
          <w:tab/>
        </w:r>
        <w:r>
          <w:rPr>
            <w:noProof/>
            <w:webHidden/>
          </w:rPr>
          <w:fldChar w:fldCharType="begin"/>
        </w:r>
        <w:r>
          <w:rPr>
            <w:noProof/>
            <w:webHidden/>
          </w:rPr>
          <w:instrText xml:space="preserve"> PAGEREF _Toc393956075 \h </w:instrText>
        </w:r>
        <w:r>
          <w:rPr>
            <w:noProof/>
            <w:webHidden/>
          </w:rPr>
        </w:r>
        <w:r>
          <w:rPr>
            <w:noProof/>
            <w:webHidden/>
          </w:rPr>
          <w:fldChar w:fldCharType="separate"/>
        </w:r>
        <w:r>
          <w:rPr>
            <w:noProof/>
            <w:webHidden/>
          </w:rPr>
          <w:t>192</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76" w:history="1">
        <w:r w:rsidRPr="005F4158">
          <w:rPr>
            <w:rStyle w:val="Hyperlink"/>
            <w:noProof/>
          </w:rPr>
          <w:t>Program 25</w:t>
        </w:r>
        <w:r>
          <w:rPr>
            <w:rFonts w:asciiTheme="minorHAnsi" w:eastAsiaTheme="minorEastAsia" w:hAnsiTheme="minorHAnsi" w:cstheme="minorBidi"/>
            <w:noProof/>
            <w:sz w:val="22"/>
            <w:szCs w:val="22"/>
          </w:rPr>
          <w:tab/>
        </w:r>
        <w:r w:rsidRPr="005F4158">
          <w:rPr>
            <w:rStyle w:val="Hyperlink"/>
            <w:noProof/>
          </w:rPr>
          <w:t>Information and Communication Technology</w:t>
        </w:r>
        <w:r>
          <w:rPr>
            <w:noProof/>
            <w:webHidden/>
          </w:rPr>
          <w:tab/>
        </w:r>
        <w:r>
          <w:rPr>
            <w:noProof/>
            <w:webHidden/>
          </w:rPr>
          <w:fldChar w:fldCharType="begin"/>
        </w:r>
        <w:r>
          <w:rPr>
            <w:noProof/>
            <w:webHidden/>
          </w:rPr>
          <w:instrText xml:space="preserve"> PAGEREF _Toc393956076 \h </w:instrText>
        </w:r>
        <w:r>
          <w:rPr>
            <w:noProof/>
            <w:webHidden/>
          </w:rPr>
        </w:r>
        <w:r>
          <w:rPr>
            <w:noProof/>
            <w:webHidden/>
          </w:rPr>
          <w:fldChar w:fldCharType="separate"/>
        </w:r>
        <w:r>
          <w:rPr>
            <w:noProof/>
            <w:webHidden/>
          </w:rPr>
          <w:t>198</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77" w:history="1">
        <w:r w:rsidRPr="005F4158">
          <w:rPr>
            <w:rStyle w:val="Hyperlink"/>
            <w:noProof/>
          </w:rPr>
          <w:t>Program 26</w:t>
        </w:r>
        <w:r>
          <w:rPr>
            <w:rFonts w:asciiTheme="minorHAnsi" w:eastAsiaTheme="minorEastAsia" w:hAnsiTheme="minorHAnsi" w:cstheme="minorBidi"/>
            <w:noProof/>
            <w:sz w:val="22"/>
            <w:szCs w:val="22"/>
          </w:rPr>
          <w:tab/>
        </w:r>
        <w:r w:rsidRPr="005F4158">
          <w:rPr>
            <w:rStyle w:val="Hyperlink"/>
            <w:noProof/>
          </w:rPr>
          <w:t>Internal Oversight</w:t>
        </w:r>
        <w:r>
          <w:rPr>
            <w:noProof/>
            <w:webHidden/>
          </w:rPr>
          <w:tab/>
        </w:r>
        <w:r>
          <w:rPr>
            <w:noProof/>
            <w:webHidden/>
          </w:rPr>
          <w:fldChar w:fldCharType="begin"/>
        </w:r>
        <w:r>
          <w:rPr>
            <w:noProof/>
            <w:webHidden/>
          </w:rPr>
          <w:instrText xml:space="preserve"> PAGEREF _Toc393956077 \h </w:instrText>
        </w:r>
        <w:r>
          <w:rPr>
            <w:noProof/>
            <w:webHidden/>
          </w:rPr>
        </w:r>
        <w:r>
          <w:rPr>
            <w:noProof/>
            <w:webHidden/>
          </w:rPr>
          <w:fldChar w:fldCharType="separate"/>
        </w:r>
        <w:r>
          <w:rPr>
            <w:noProof/>
            <w:webHidden/>
          </w:rPr>
          <w:t>202</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78" w:history="1">
        <w:r w:rsidRPr="005F4158">
          <w:rPr>
            <w:rStyle w:val="Hyperlink"/>
            <w:noProof/>
          </w:rPr>
          <w:t>Program 27</w:t>
        </w:r>
        <w:r>
          <w:rPr>
            <w:rFonts w:asciiTheme="minorHAnsi" w:eastAsiaTheme="minorEastAsia" w:hAnsiTheme="minorHAnsi" w:cstheme="minorBidi"/>
            <w:noProof/>
            <w:sz w:val="22"/>
            <w:szCs w:val="22"/>
          </w:rPr>
          <w:tab/>
        </w:r>
        <w:r w:rsidRPr="005F4158">
          <w:rPr>
            <w:rStyle w:val="Hyperlink"/>
            <w:noProof/>
          </w:rPr>
          <w:t>Conference and Language Services</w:t>
        </w:r>
        <w:r>
          <w:rPr>
            <w:noProof/>
            <w:webHidden/>
          </w:rPr>
          <w:tab/>
        </w:r>
        <w:r>
          <w:rPr>
            <w:noProof/>
            <w:webHidden/>
          </w:rPr>
          <w:fldChar w:fldCharType="begin"/>
        </w:r>
        <w:r>
          <w:rPr>
            <w:noProof/>
            <w:webHidden/>
          </w:rPr>
          <w:instrText xml:space="preserve"> PAGEREF _Toc393956078 \h </w:instrText>
        </w:r>
        <w:r>
          <w:rPr>
            <w:noProof/>
            <w:webHidden/>
          </w:rPr>
        </w:r>
        <w:r>
          <w:rPr>
            <w:noProof/>
            <w:webHidden/>
          </w:rPr>
          <w:fldChar w:fldCharType="separate"/>
        </w:r>
        <w:r>
          <w:rPr>
            <w:noProof/>
            <w:webHidden/>
          </w:rPr>
          <w:t>206</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79" w:history="1">
        <w:r w:rsidRPr="005F4158">
          <w:rPr>
            <w:rStyle w:val="Hyperlink"/>
            <w:noProof/>
          </w:rPr>
          <w:t>Program 28</w:t>
        </w:r>
        <w:r>
          <w:rPr>
            <w:rFonts w:asciiTheme="minorHAnsi" w:eastAsiaTheme="minorEastAsia" w:hAnsiTheme="minorHAnsi" w:cstheme="minorBidi"/>
            <w:noProof/>
            <w:sz w:val="22"/>
            <w:szCs w:val="22"/>
          </w:rPr>
          <w:tab/>
        </w:r>
        <w:r w:rsidRPr="005F4158">
          <w:rPr>
            <w:rStyle w:val="Hyperlink"/>
            <w:noProof/>
          </w:rPr>
          <w:t>Safety and Security</w:t>
        </w:r>
        <w:r>
          <w:rPr>
            <w:noProof/>
            <w:webHidden/>
          </w:rPr>
          <w:tab/>
        </w:r>
        <w:r>
          <w:rPr>
            <w:noProof/>
            <w:webHidden/>
          </w:rPr>
          <w:fldChar w:fldCharType="begin"/>
        </w:r>
        <w:r>
          <w:rPr>
            <w:noProof/>
            <w:webHidden/>
          </w:rPr>
          <w:instrText xml:space="preserve"> PAGEREF _Toc393956079 \h </w:instrText>
        </w:r>
        <w:r>
          <w:rPr>
            <w:noProof/>
            <w:webHidden/>
          </w:rPr>
        </w:r>
        <w:r>
          <w:rPr>
            <w:noProof/>
            <w:webHidden/>
          </w:rPr>
          <w:fldChar w:fldCharType="separate"/>
        </w:r>
        <w:r>
          <w:rPr>
            <w:noProof/>
            <w:webHidden/>
          </w:rPr>
          <w:t>209</w:t>
        </w:r>
        <w:r>
          <w:rPr>
            <w:noProof/>
            <w:webHidden/>
          </w:rPr>
          <w:fldChar w:fldCharType="end"/>
        </w:r>
      </w:hyperlink>
    </w:p>
    <w:p w:rsidR="007C75ED" w:rsidRDefault="007C75ED">
      <w:pPr>
        <w:pStyle w:val="TOC3"/>
        <w:tabs>
          <w:tab w:val="left" w:pos="2665"/>
        </w:tabs>
        <w:rPr>
          <w:rFonts w:asciiTheme="minorHAnsi" w:eastAsiaTheme="minorEastAsia" w:hAnsiTheme="minorHAnsi" w:cstheme="minorBidi"/>
          <w:noProof/>
          <w:sz w:val="22"/>
          <w:szCs w:val="22"/>
        </w:rPr>
      </w:pPr>
      <w:hyperlink w:anchor="_Toc393956080" w:history="1">
        <w:r w:rsidRPr="005F4158">
          <w:rPr>
            <w:rStyle w:val="Hyperlink"/>
            <w:noProof/>
          </w:rPr>
          <w:t>Program 29</w:t>
        </w:r>
        <w:r>
          <w:rPr>
            <w:rFonts w:asciiTheme="minorHAnsi" w:eastAsiaTheme="minorEastAsia" w:hAnsiTheme="minorHAnsi" w:cstheme="minorBidi"/>
            <w:noProof/>
            <w:sz w:val="22"/>
            <w:szCs w:val="22"/>
          </w:rPr>
          <w:tab/>
        </w:r>
        <w:r w:rsidRPr="005F4158">
          <w:rPr>
            <w:rStyle w:val="Hyperlink"/>
            <w:noProof/>
          </w:rPr>
          <w:t>Construction Projects</w:t>
        </w:r>
        <w:r>
          <w:rPr>
            <w:noProof/>
            <w:webHidden/>
          </w:rPr>
          <w:tab/>
        </w:r>
        <w:r>
          <w:rPr>
            <w:noProof/>
            <w:webHidden/>
          </w:rPr>
          <w:fldChar w:fldCharType="begin"/>
        </w:r>
        <w:r>
          <w:rPr>
            <w:noProof/>
            <w:webHidden/>
          </w:rPr>
          <w:instrText xml:space="preserve"> PAGEREF _Toc393956080 \h </w:instrText>
        </w:r>
        <w:r>
          <w:rPr>
            <w:noProof/>
            <w:webHidden/>
          </w:rPr>
        </w:r>
        <w:r>
          <w:rPr>
            <w:noProof/>
            <w:webHidden/>
          </w:rPr>
          <w:fldChar w:fldCharType="separate"/>
        </w:r>
        <w:r>
          <w:rPr>
            <w:noProof/>
            <w:webHidden/>
          </w:rPr>
          <w:t>212</w:t>
        </w:r>
        <w:r>
          <w:rPr>
            <w:noProof/>
            <w:webHidden/>
          </w:rPr>
          <w:fldChar w:fldCharType="end"/>
        </w:r>
      </w:hyperlink>
    </w:p>
    <w:p w:rsidR="007C75ED" w:rsidRDefault="007C75ED">
      <w:pPr>
        <w:pStyle w:val="TOC1"/>
        <w:rPr>
          <w:rFonts w:asciiTheme="minorHAnsi" w:eastAsiaTheme="minorEastAsia" w:hAnsiTheme="minorHAnsi" w:cstheme="minorBidi"/>
          <w:b w:val="0"/>
          <w:szCs w:val="22"/>
        </w:rPr>
      </w:pPr>
      <w:hyperlink w:anchor="_Toc393956081" w:history="1">
        <w:r w:rsidRPr="005F4158">
          <w:rPr>
            <w:rStyle w:val="Hyperlink"/>
          </w:rPr>
          <w:t>VII.</w:t>
        </w:r>
        <w:r>
          <w:rPr>
            <w:rFonts w:asciiTheme="minorHAnsi" w:eastAsiaTheme="minorEastAsia" w:hAnsiTheme="minorHAnsi" w:cstheme="minorBidi"/>
            <w:b w:val="0"/>
            <w:szCs w:val="22"/>
          </w:rPr>
          <w:tab/>
        </w:r>
        <w:r w:rsidRPr="005F4158">
          <w:rPr>
            <w:rStyle w:val="Hyperlink"/>
          </w:rPr>
          <w:t>APPENDICES</w:t>
        </w:r>
        <w:r>
          <w:rPr>
            <w:webHidden/>
          </w:rPr>
          <w:tab/>
        </w:r>
        <w:r>
          <w:rPr>
            <w:webHidden/>
          </w:rPr>
          <w:fldChar w:fldCharType="begin"/>
        </w:r>
        <w:r>
          <w:rPr>
            <w:webHidden/>
          </w:rPr>
          <w:instrText xml:space="preserve"> PAGEREF _Toc393956081 \h </w:instrText>
        </w:r>
        <w:r>
          <w:rPr>
            <w:webHidden/>
          </w:rPr>
        </w:r>
        <w:r>
          <w:rPr>
            <w:webHidden/>
          </w:rPr>
          <w:fldChar w:fldCharType="separate"/>
        </w:r>
        <w:r>
          <w:rPr>
            <w:webHidden/>
          </w:rPr>
          <w:t>215</w:t>
        </w:r>
        <w:r>
          <w:rPr>
            <w:webHidden/>
          </w:rPr>
          <w:fldChar w:fldCharType="end"/>
        </w:r>
      </w:hyperlink>
    </w:p>
    <w:p w:rsidR="007C75ED" w:rsidRDefault="007C75ED">
      <w:pPr>
        <w:pStyle w:val="TOC4"/>
        <w:rPr>
          <w:rFonts w:asciiTheme="minorHAnsi" w:eastAsiaTheme="minorEastAsia" w:hAnsiTheme="minorHAnsi" w:cstheme="minorBidi"/>
          <w:sz w:val="22"/>
          <w:szCs w:val="22"/>
        </w:rPr>
      </w:pPr>
      <w:hyperlink w:anchor="_Toc393956082" w:history="1">
        <w:r w:rsidRPr="005F4158">
          <w:rPr>
            <w:rStyle w:val="Hyperlink"/>
          </w:rPr>
          <w:t>Appendix I  Breakdown of the Performance Assessments by Program</w:t>
        </w:r>
        <w:r>
          <w:rPr>
            <w:webHidden/>
          </w:rPr>
          <w:tab/>
        </w:r>
        <w:r>
          <w:rPr>
            <w:webHidden/>
          </w:rPr>
          <w:fldChar w:fldCharType="begin"/>
        </w:r>
        <w:r>
          <w:rPr>
            <w:webHidden/>
          </w:rPr>
          <w:instrText xml:space="preserve"> PAGEREF _Toc393956082 \h </w:instrText>
        </w:r>
        <w:r>
          <w:rPr>
            <w:webHidden/>
          </w:rPr>
        </w:r>
        <w:r>
          <w:rPr>
            <w:webHidden/>
          </w:rPr>
          <w:fldChar w:fldCharType="separate"/>
        </w:r>
        <w:r>
          <w:rPr>
            <w:webHidden/>
          </w:rPr>
          <w:t>215</w:t>
        </w:r>
        <w:r>
          <w:rPr>
            <w:webHidden/>
          </w:rPr>
          <w:fldChar w:fldCharType="end"/>
        </w:r>
      </w:hyperlink>
    </w:p>
    <w:p w:rsidR="007C75ED" w:rsidRDefault="007C75ED">
      <w:pPr>
        <w:pStyle w:val="TOC4"/>
        <w:rPr>
          <w:rFonts w:asciiTheme="minorHAnsi" w:eastAsiaTheme="minorEastAsia" w:hAnsiTheme="minorHAnsi" w:cstheme="minorBidi"/>
          <w:sz w:val="22"/>
          <w:szCs w:val="22"/>
        </w:rPr>
      </w:pPr>
      <w:hyperlink w:anchor="_Toc393956083" w:history="1">
        <w:r w:rsidRPr="005F4158">
          <w:rPr>
            <w:rStyle w:val="Hyperlink"/>
          </w:rPr>
          <w:t>Appendix II  Implementation of Funds-in-Trust 2013</w:t>
        </w:r>
        <w:r>
          <w:rPr>
            <w:webHidden/>
          </w:rPr>
          <w:tab/>
        </w:r>
        <w:r>
          <w:rPr>
            <w:webHidden/>
          </w:rPr>
          <w:fldChar w:fldCharType="begin"/>
        </w:r>
        <w:r>
          <w:rPr>
            <w:webHidden/>
          </w:rPr>
          <w:instrText xml:space="preserve"> PAGEREF _Toc393956083 \h </w:instrText>
        </w:r>
        <w:r>
          <w:rPr>
            <w:webHidden/>
          </w:rPr>
        </w:r>
        <w:r>
          <w:rPr>
            <w:webHidden/>
          </w:rPr>
          <w:fldChar w:fldCharType="separate"/>
        </w:r>
        <w:r>
          <w:rPr>
            <w:webHidden/>
          </w:rPr>
          <w:t>216</w:t>
        </w:r>
        <w:r>
          <w:rPr>
            <w:webHidden/>
          </w:rPr>
          <w:fldChar w:fldCharType="end"/>
        </w:r>
      </w:hyperlink>
    </w:p>
    <w:p w:rsidR="007C75ED" w:rsidRDefault="007C75ED">
      <w:pPr>
        <w:pStyle w:val="TOC4"/>
        <w:rPr>
          <w:rFonts w:asciiTheme="minorHAnsi" w:eastAsiaTheme="minorEastAsia" w:hAnsiTheme="minorHAnsi" w:cstheme="minorBidi"/>
          <w:sz w:val="22"/>
          <w:szCs w:val="22"/>
        </w:rPr>
      </w:pPr>
      <w:hyperlink w:anchor="_Toc393956084" w:history="1">
        <w:r w:rsidRPr="005F4158">
          <w:rPr>
            <w:rStyle w:val="Hyperlink"/>
          </w:rPr>
          <w:t>Appendix III  Ac</w:t>
        </w:r>
        <w:r w:rsidRPr="005F4158">
          <w:rPr>
            <w:rStyle w:val="Hyperlink"/>
          </w:rPr>
          <w:t>r</w:t>
        </w:r>
        <w:r w:rsidRPr="005F4158">
          <w:rPr>
            <w:rStyle w:val="Hyperlink"/>
          </w:rPr>
          <w:t>onyms and Abbreviations used in the Present Document</w:t>
        </w:r>
        <w:r>
          <w:rPr>
            <w:webHidden/>
          </w:rPr>
          <w:tab/>
        </w:r>
        <w:r>
          <w:rPr>
            <w:webHidden/>
          </w:rPr>
          <w:fldChar w:fldCharType="begin"/>
        </w:r>
        <w:r>
          <w:rPr>
            <w:webHidden/>
          </w:rPr>
          <w:instrText xml:space="preserve"> PAGEREF _Toc393956084 \h </w:instrText>
        </w:r>
        <w:r>
          <w:rPr>
            <w:webHidden/>
          </w:rPr>
        </w:r>
        <w:r>
          <w:rPr>
            <w:webHidden/>
          </w:rPr>
          <w:fldChar w:fldCharType="separate"/>
        </w:r>
        <w:r>
          <w:rPr>
            <w:webHidden/>
          </w:rPr>
          <w:t>244</w:t>
        </w:r>
        <w:r>
          <w:rPr>
            <w:webHidden/>
          </w:rPr>
          <w:fldChar w:fldCharType="end"/>
        </w:r>
      </w:hyperlink>
    </w:p>
    <w:p w:rsidR="00205A3D" w:rsidRDefault="007343FE" w:rsidP="00205A3D">
      <w:r>
        <w:rPr>
          <w:b/>
        </w:rPr>
        <w:fldChar w:fldCharType="end"/>
      </w:r>
    </w:p>
    <w:p w:rsidR="00205A3D" w:rsidRDefault="00205A3D">
      <w:pPr>
        <w:sectPr w:rsidR="00205A3D" w:rsidSect="00921F56">
          <w:headerReference w:type="default" r:id="rId13"/>
          <w:footerReference w:type="default" r:id="rId14"/>
          <w:pgSz w:w="11907" w:h="16840" w:code="9"/>
          <w:pgMar w:top="567" w:right="1134" w:bottom="1418" w:left="1418" w:header="510" w:footer="1021" w:gutter="0"/>
          <w:pgNumType w:fmt="lowerRoman" w:start="1"/>
          <w:cols w:space="720"/>
          <w:docGrid w:linePitch="272"/>
        </w:sectPr>
      </w:pPr>
    </w:p>
    <w:p w:rsidR="00205A3D" w:rsidRPr="001E423A" w:rsidRDefault="00205A3D" w:rsidP="001E423A">
      <w:pPr>
        <w:pStyle w:val="Heading1"/>
        <w:rPr>
          <w:szCs w:val="22"/>
        </w:rPr>
      </w:pPr>
      <w:bookmarkStart w:id="6" w:name="_Toc327875005"/>
      <w:bookmarkStart w:id="7" w:name="_Toc393956035"/>
      <w:r w:rsidRPr="00685779">
        <w:lastRenderedPageBreak/>
        <w:t>INTRODUCTION</w:t>
      </w:r>
      <w:bookmarkEnd w:id="6"/>
      <w:bookmarkEnd w:id="7"/>
    </w:p>
    <w:p w:rsidR="006F036E" w:rsidRPr="00812B04" w:rsidRDefault="006F036E" w:rsidP="00205A3D">
      <w:pPr>
        <w:jc w:val="both"/>
      </w:pPr>
    </w:p>
    <w:p w:rsidR="00B06EC8" w:rsidRPr="00812B04" w:rsidRDefault="00B06EC8" w:rsidP="00D164E4">
      <w:pPr>
        <w:jc w:val="both"/>
        <w:rPr>
          <w:highlight w:val="yellow"/>
        </w:rPr>
      </w:pPr>
      <w:r w:rsidRPr="00812B04">
        <w:t xml:space="preserve">The Program Performance Report (PPR) is the principal accountability tool for reporting on organizational performance to Member States and an integral part of WIPO’s Results Based Management (RBM) framework.  The Report also serves as an important learning tool ensuring that lessons from past performance are learned and duly incorporated into the future implementation of WIPO’s activities. </w:t>
      </w:r>
      <w:r w:rsidR="00D164E4">
        <w:t xml:space="preserve"> </w:t>
      </w:r>
      <w:r w:rsidRPr="00812B04">
        <w:t xml:space="preserve">The PPR is </w:t>
      </w:r>
      <w:r w:rsidR="006B2753">
        <w:t xml:space="preserve">a </w:t>
      </w:r>
      <w:r w:rsidR="006B2753" w:rsidRPr="00812B04">
        <w:t xml:space="preserve">self-assessment by Program Managers </w:t>
      </w:r>
      <w:r w:rsidRPr="00812B04">
        <w:t xml:space="preserve">based on </w:t>
      </w:r>
      <w:r w:rsidR="006B2753">
        <w:t>the</w:t>
      </w:r>
      <w:r w:rsidR="006B2753" w:rsidRPr="00812B04">
        <w:t xml:space="preserve"> </w:t>
      </w:r>
      <w:r w:rsidR="006B2753">
        <w:t>results framework approved by Member</w:t>
      </w:r>
      <w:r w:rsidR="00490784">
        <w:t> </w:t>
      </w:r>
      <w:r w:rsidR="006B2753">
        <w:t>States.</w:t>
      </w:r>
      <w:r w:rsidRPr="00812B04">
        <w:t xml:space="preserve"> </w:t>
      </w:r>
      <w:r w:rsidR="00D164E4">
        <w:t xml:space="preserve"> </w:t>
      </w:r>
      <w:r w:rsidRPr="00812B04">
        <w:t>To strengthen the validity of the information in the PPR, the Internal Audit and Oversight Division (IAOD) carries out a validation of the performance data on a biennial basis.  The validation of the PPR 2012/13 can be found in document WO/PBC</w:t>
      </w:r>
      <w:r w:rsidRPr="009D5239">
        <w:t>/22/</w:t>
      </w:r>
      <w:r w:rsidR="00812B04" w:rsidRPr="009D5239">
        <w:t>9</w:t>
      </w:r>
      <w:r w:rsidRPr="009D5239">
        <w:t>.</w:t>
      </w:r>
    </w:p>
    <w:p w:rsidR="00B06EC8" w:rsidRPr="00812B04" w:rsidRDefault="00B06EC8" w:rsidP="00D164E4">
      <w:pPr>
        <w:jc w:val="both"/>
        <w:rPr>
          <w:highlight w:val="lightGray"/>
        </w:rPr>
      </w:pPr>
    </w:p>
    <w:p w:rsidR="007A4EE7" w:rsidRPr="00812B04" w:rsidRDefault="00B06EC8" w:rsidP="007A4EE7">
      <w:pPr>
        <w:jc w:val="both"/>
      </w:pPr>
      <w:r w:rsidRPr="00812B04">
        <w:t>The PPR 2012/13 is an end of</w:t>
      </w:r>
      <w:r w:rsidR="00D164E4">
        <w:t xml:space="preserve"> </w:t>
      </w:r>
      <w:r w:rsidRPr="00812B04">
        <w:t>biennium report and assesses progress made and/or achievement of the Expected Results, measured by the Performance Indicators and with the resources approved in the Program and Budget 2012/13.</w:t>
      </w:r>
      <w:r w:rsidR="007A4EE7">
        <w:t xml:space="preserve">  A performance indicator could be measured by more than one target. </w:t>
      </w:r>
      <w:r w:rsidR="00490784">
        <w:t xml:space="preserve"> </w:t>
      </w:r>
      <w:r w:rsidR="007A4EE7">
        <w:t>In</w:t>
      </w:r>
      <w:r w:rsidR="00490784">
        <w:t> </w:t>
      </w:r>
      <w:r w:rsidR="007A4EE7">
        <w:t xml:space="preserve">such cases, the rating for each target is provided, resulting in multiple ratings.  </w:t>
      </w:r>
      <w:r w:rsidR="007A4EE7" w:rsidRPr="00812B04">
        <w:t>The following assessment criteria have been used for the PPR 2012/13:</w:t>
      </w:r>
    </w:p>
    <w:p w:rsidR="007A4EE7" w:rsidRPr="00812B04" w:rsidRDefault="007A4EE7" w:rsidP="007A4EE7">
      <w:pPr>
        <w:jc w:val="both"/>
      </w:pPr>
    </w:p>
    <w:p w:rsidR="007A4EE7" w:rsidRDefault="007A4EE7" w:rsidP="007A4EE7">
      <w:pPr>
        <w:pStyle w:val="BodyText"/>
        <w:widowControl w:val="0"/>
        <w:autoSpaceDE w:val="0"/>
        <w:autoSpaceDN w:val="0"/>
        <w:adjustRightInd w:val="0"/>
        <w:jc w:val="both"/>
      </w:pPr>
      <w:r w:rsidRPr="00812B04">
        <w:t>Key to Traffic Light System (TLS):</w:t>
      </w:r>
    </w:p>
    <w:p w:rsidR="007A4EE7" w:rsidRPr="00D164E4" w:rsidRDefault="007A4EE7" w:rsidP="007A4EE7">
      <w:pPr>
        <w:pStyle w:val="BodyText"/>
        <w:widowControl w:val="0"/>
        <w:autoSpaceDE w:val="0"/>
        <w:autoSpaceDN w:val="0"/>
        <w:adjustRightInd w:val="0"/>
        <w:jc w:val="both"/>
        <w:rPr>
          <w:sz w:val="16"/>
          <w:szCs w:val="16"/>
        </w:rPr>
      </w:pPr>
    </w:p>
    <w:p w:rsidR="007A4EE7" w:rsidRDefault="007A4EE7" w:rsidP="007B2B25">
      <w:pPr>
        <w:numPr>
          <w:ilvl w:val="0"/>
          <w:numId w:val="84"/>
        </w:numPr>
        <w:jc w:val="both"/>
      </w:pPr>
      <w:r w:rsidRPr="007B7BDD">
        <w:rPr>
          <w:b/>
          <w:bCs/>
          <w:color w:val="008000"/>
        </w:rPr>
        <w:t>Fully Achieved</w:t>
      </w:r>
      <w:r w:rsidRPr="00812B04">
        <w:t xml:space="preserve"> is applied when the 2012/13 performance data suggest 80 per cent or greater achievement of the performance indicator target. </w:t>
      </w:r>
    </w:p>
    <w:p w:rsidR="007A4EE7" w:rsidRPr="00D164E4" w:rsidRDefault="007A4EE7" w:rsidP="007A4EE7">
      <w:pPr>
        <w:ind w:left="964"/>
        <w:jc w:val="both"/>
        <w:rPr>
          <w:sz w:val="12"/>
          <w:szCs w:val="12"/>
        </w:rPr>
      </w:pPr>
    </w:p>
    <w:p w:rsidR="007A4EE7" w:rsidRDefault="007A4EE7" w:rsidP="007B2B25">
      <w:pPr>
        <w:numPr>
          <w:ilvl w:val="0"/>
          <w:numId w:val="84"/>
        </w:numPr>
        <w:jc w:val="both"/>
      </w:pPr>
      <w:r w:rsidRPr="007B7BDD">
        <w:rPr>
          <w:b/>
          <w:bCs/>
          <w:color w:val="E36C0A" w:themeColor="accent6" w:themeShade="BF"/>
        </w:rPr>
        <w:t>Partially Achieved</w:t>
      </w:r>
      <w:r w:rsidRPr="007B7BDD">
        <w:rPr>
          <w:color w:val="E36C0A" w:themeColor="accent6" w:themeShade="BF"/>
        </w:rPr>
        <w:t xml:space="preserve"> </w:t>
      </w:r>
      <w:r w:rsidRPr="00812B04">
        <w:t>is applied when the 2012/13 performance data suggest between 30-80 per</w:t>
      </w:r>
      <w:r>
        <w:t> </w:t>
      </w:r>
      <w:r w:rsidRPr="00812B04">
        <w:t xml:space="preserve">cent </w:t>
      </w:r>
      <w:proofErr w:type="gramStart"/>
      <w:r w:rsidRPr="00812B04">
        <w:t>achievement</w:t>
      </w:r>
      <w:proofErr w:type="gramEnd"/>
      <w:r w:rsidRPr="00812B04">
        <w:t xml:space="preserve"> of the performance indicator target. </w:t>
      </w:r>
    </w:p>
    <w:p w:rsidR="007A4EE7" w:rsidRPr="00D164E4" w:rsidRDefault="007A4EE7" w:rsidP="007A4EE7">
      <w:pPr>
        <w:ind w:left="964"/>
        <w:jc w:val="both"/>
        <w:rPr>
          <w:sz w:val="12"/>
          <w:szCs w:val="12"/>
        </w:rPr>
      </w:pPr>
    </w:p>
    <w:p w:rsidR="007A4EE7" w:rsidRDefault="007A4EE7" w:rsidP="007B2B25">
      <w:pPr>
        <w:numPr>
          <w:ilvl w:val="0"/>
          <w:numId w:val="84"/>
        </w:numPr>
        <w:jc w:val="both"/>
      </w:pPr>
      <w:r w:rsidRPr="007B7BDD">
        <w:rPr>
          <w:b/>
          <w:bCs/>
          <w:color w:val="FF0000"/>
        </w:rPr>
        <w:t>Not Achieved</w:t>
      </w:r>
      <w:r w:rsidRPr="007B7BDD">
        <w:rPr>
          <w:color w:val="FF0000"/>
        </w:rPr>
        <w:t xml:space="preserve"> </w:t>
      </w:r>
      <w:r w:rsidRPr="00812B04">
        <w:t xml:space="preserve">is applied when the 2012/13 performance data suggest less than 30 per cent achievement of the performance indicator target. </w:t>
      </w:r>
    </w:p>
    <w:p w:rsidR="00490784" w:rsidRPr="00490784" w:rsidRDefault="00490784" w:rsidP="00490784">
      <w:pPr>
        <w:ind w:left="964"/>
        <w:jc w:val="both"/>
        <w:rPr>
          <w:sz w:val="8"/>
          <w:szCs w:val="8"/>
        </w:rPr>
      </w:pPr>
    </w:p>
    <w:p w:rsidR="007A4EE7" w:rsidRDefault="007A4EE7" w:rsidP="007B2B25">
      <w:pPr>
        <w:numPr>
          <w:ilvl w:val="0"/>
          <w:numId w:val="84"/>
        </w:numPr>
        <w:jc w:val="both"/>
      </w:pPr>
      <w:r w:rsidRPr="00812B04">
        <w:rPr>
          <w:b/>
          <w:bCs/>
        </w:rPr>
        <w:t xml:space="preserve">Discontinued </w:t>
      </w:r>
      <w:r w:rsidRPr="00812B04">
        <w:t>is applied when a performance indicator is no longer used to measure the contribution of the Program to the Expected Results.</w:t>
      </w:r>
    </w:p>
    <w:p w:rsidR="007A4EE7" w:rsidRPr="00D164E4" w:rsidRDefault="007A4EE7" w:rsidP="007A4EE7">
      <w:pPr>
        <w:ind w:left="964"/>
        <w:jc w:val="both"/>
        <w:rPr>
          <w:sz w:val="12"/>
          <w:szCs w:val="12"/>
        </w:rPr>
      </w:pPr>
    </w:p>
    <w:p w:rsidR="007A4EE7" w:rsidRPr="00812B04" w:rsidRDefault="007A4EE7" w:rsidP="007B2B25">
      <w:pPr>
        <w:numPr>
          <w:ilvl w:val="0"/>
          <w:numId w:val="84"/>
        </w:numPr>
        <w:jc w:val="both"/>
      </w:pPr>
      <w:r w:rsidRPr="007B7BDD">
        <w:rPr>
          <w:b/>
          <w:bCs/>
          <w:color w:val="7F7F7F" w:themeColor="text1" w:themeTint="80"/>
        </w:rPr>
        <w:t>Not Assess</w:t>
      </w:r>
      <w:r>
        <w:rPr>
          <w:b/>
          <w:bCs/>
          <w:color w:val="7F7F7F" w:themeColor="text1" w:themeTint="80"/>
        </w:rPr>
        <w:t>able</w:t>
      </w:r>
      <w:r w:rsidRPr="007B7BDD">
        <w:rPr>
          <w:b/>
          <w:bCs/>
          <w:color w:val="7F7F7F" w:themeColor="text1" w:themeTint="80"/>
        </w:rPr>
        <w:t xml:space="preserve"> </w:t>
      </w:r>
      <w:r w:rsidRPr="00812B04">
        <w:t>is applied when assessment of the performance is not feasible due to target data not having been adequately defined or when the performance data is insufficient to determine the TLS.</w:t>
      </w:r>
    </w:p>
    <w:p w:rsidR="007A4EE7" w:rsidRPr="00812B04" w:rsidRDefault="007A4EE7" w:rsidP="007A4EE7">
      <w:pPr>
        <w:jc w:val="both"/>
      </w:pPr>
    </w:p>
    <w:p w:rsidR="007A4EE7" w:rsidRDefault="007A4EE7" w:rsidP="007A4EE7">
      <w:pPr>
        <w:jc w:val="both"/>
      </w:pPr>
      <w:r w:rsidRPr="00EA0BF1">
        <w:t xml:space="preserve">Of a total of </w:t>
      </w:r>
      <w:r>
        <w:t>299</w:t>
      </w:r>
      <w:r w:rsidRPr="00EA0BF1">
        <w:t xml:space="preserve"> performance indicator</w:t>
      </w:r>
      <w:r>
        <w:t xml:space="preserve"> ratings</w:t>
      </w:r>
      <w:r w:rsidRPr="00EA0BF1">
        <w:t xml:space="preserve"> in the Program and Budget 2012/13, 21</w:t>
      </w:r>
      <w:r w:rsidR="00590ED0">
        <w:t>5</w:t>
      </w:r>
      <w:r>
        <w:t xml:space="preserve"> indicator ratings</w:t>
      </w:r>
      <w:r w:rsidRPr="00EA0BF1">
        <w:t xml:space="preserve"> have been assessed as “Fully Achieved”, or 7</w:t>
      </w:r>
      <w:r w:rsidR="004514C3">
        <w:t>2</w:t>
      </w:r>
      <w:r w:rsidRPr="00EA0BF1">
        <w:t xml:space="preserve"> per cent.  Performance on a total of 2</w:t>
      </w:r>
      <w:r w:rsidR="00590ED0">
        <w:t>8</w:t>
      </w:r>
      <w:r w:rsidRPr="00EA0BF1">
        <w:t xml:space="preserve"> indicator</w:t>
      </w:r>
      <w:r>
        <w:t xml:space="preserve"> ratings</w:t>
      </w:r>
      <w:r w:rsidRPr="00EA0BF1">
        <w:t>, or 9 per cent, was assessed to be “Partia</w:t>
      </w:r>
      <w:r>
        <w:t>lly Achieved”, and 23 indicator ratings</w:t>
      </w:r>
      <w:r w:rsidRPr="00EA0BF1">
        <w:t>, or about 8 per cent, were assessed to be “Not Achieved”.  Some 2</w:t>
      </w:r>
      <w:r w:rsidR="004514C3">
        <w:t>6</w:t>
      </w:r>
      <w:r w:rsidRPr="00EA0BF1">
        <w:t xml:space="preserve"> indicator</w:t>
      </w:r>
      <w:r>
        <w:t xml:space="preserve"> ratings</w:t>
      </w:r>
      <w:r w:rsidRPr="00EA0BF1">
        <w:t xml:space="preserve">, or </w:t>
      </w:r>
      <w:r w:rsidR="004514C3">
        <w:t>9</w:t>
      </w:r>
      <w:r w:rsidRPr="00EA0BF1">
        <w:t xml:space="preserve"> per cent, were “Not Assessable”, and 7</w:t>
      </w:r>
      <w:r w:rsidR="00490784">
        <w:t> </w:t>
      </w:r>
      <w:r w:rsidRPr="00EA0BF1">
        <w:t>indi</w:t>
      </w:r>
      <w:r>
        <w:t>cator ratings</w:t>
      </w:r>
      <w:r w:rsidRPr="00EA0BF1">
        <w:t xml:space="preserve">, or </w:t>
      </w:r>
      <w:r>
        <w:t>2</w:t>
      </w:r>
      <w:r w:rsidRPr="00EA0BF1">
        <w:t xml:space="preserve"> per cent, were “Discontinued”.</w:t>
      </w:r>
      <w:r w:rsidRPr="00812B04">
        <w:t xml:space="preserve"> </w:t>
      </w:r>
      <w:r>
        <w:t xml:space="preserve">  </w:t>
      </w:r>
    </w:p>
    <w:p w:rsidR="007A4EE7" w:rsidRDefault="007A4EE7" w:rsidP="007A4EE7">
      <w:pPr>
        <w:jc w:val="both"/>
      </w:pPr>
    </w:p>
    <w:p w:rsidR="007A4EE7" w:rsidRPr="00812B04" w:rsidRDefault="007A4EE7" w:rsidP="007A4EE7">
      <w:pPr>
        <w:jc w:val="both"/>
      </w:pPr>
    </w:p>
    <w:p w:rsidR="007A4EE7" w:rsidRPr="00812B04" w:rsidRDefault="00590ED0" w:rsidP="007A4EE7">
      <w:pPr>
        <w:jc w:val="center"/>
      </w:pPr>
      <w:r>
        <w:rPr>
          <w:noProof/>
        </w:rPr>
        <w:drawing>
          <wp:inline distT="0" distB="0" distL="0" distR="0" wp14:anchorId="7C571512" wp14:editId="33D05A09">
            <wp:extent cx="4906185" cy="2495550"/>
            <wp:effectExtent l="0" t="0" r="889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4908949" cy="2496956"/>
                    </a:xfrm>
                    <a:prstGeom prst="rect">
                      <a:avLst/>
                    </a:prstGeom>
                  </pic:spPr>
                </pic:pic>
              </a:graphicData>
            </a:graphic>
          </wp:inline>
        </w:drawing>
      </w:r>
    </w:p>
    <w:p w:rsidR="00B06EC8" w:rsidRPr="00812B04" w:rsidRDefault="00B06EC8" w:rsidP="00D164E4">
      <w:pPr>
        <w:jc w:val="both"/>
      </w:pPr>
    </w:p>
    <w:p w:rsidR="00B06EC8" w:rsidRPr="00812B04" w:rsidRDefault="00B06EC8" w:rsidP="00D164E4">
      <w:pPr>
        <w:jc w:val="both"/>
      </w:pPr>
    </w:p>
    <w:p w:rsidR="00B06EC8" w:rsidRDefault="00B06EC8" w:rsidP="00D164E4">
      <w:pPr>
        <w:jc w:val="both"/>
      </w:pPr>
    </w:p>
    <w:p w:rsidR="00B06EC8" w:rsidRPr="00812B04" w:rsidRDefault="00B06EC8" w:rsidP="00B06EC8">
      <w:pPr>
        <w:pStyle w:val="Heading1"/>
      </w:pPr>
      <w:bookmarkStart w:id="8" w:name="_Toc382905012"/>
      <w:bookmarkStart w:id="9" w:name="_Toc393956036"/>
      <w:r w:rsidRPr="00812B04">
        <w:lastRenderedPageBreak/>
        <w:t>SUMMARY OF ACHIEVEMENTS IN 2012/13</w:t>
      </w:r>
      <w:bookmarkEnd w:id="8"/>
      <w:bookmarkEnd w:id="9"/>
    </w:p>
    <w:p w:rsidR="00B06EC8" w:rsidRPr="00812B04" w:rsidRDefault="00B06EC8" w:rsidP="00B06EC8"/>
    <w:p w:rsidR="005205DA" w:rsidRPr="00812B04" w:rsidRDefault="00B06EC8" w:rsidP="005205DA">
      <w:pPr>
        <w:jc w:val="both"/>
      </w:pPr>
      <w:r w:rsidRPr="00812B04">
        <w:t xml:space="preserve">The biennium 2012/13 constitutes the second biennium of implementation of the Medium Term Strategic Plan (MTSP) 2010-2015.  Moreover, it marks the first time that the Organization is able to report on its performance </w:t>
      </w:r>
      <w:r w:rsidR="00E94AD4">
        <w:t>from</w:t>
      </w:r>
      <w:r w:rsidRPr="00812B04">
        <w:t xml:space="preserve"> a results-based view of the budget.  As a result, the PPR 2012/13 contains several key reporting enhancements including biennial views of actual expenditure by Expected Result.</w:t>
      </w:r>
      <w:r w:rsidR="005205DA">
        <w:t xml:space="preserve">  </w:t>
      </w:r>
      <w:r w:rsidR="00CC5349">
        <w:t>Furthermore</w:t>
      </w:r>
      <w:r w:rsidR="00CC5349" w:rsidRPr="00CC5349">
        <w:t>, i</w:t>
      </w:r>
      <w:r w:rsidR="005205DA" w:rsidRPr="00CC5349">
        <w:t>n line with Member States’ request at the 20</w:t>
      </w:r>
      <w:r w:rsidR="005205DA" w:rsidRPr="00CC5349">
        <w:rPr>
          <w:vertAlign w:val="superscript"/>
        </w:rPr>
        <w:t>th</w:t>
      </w:r>
      <w:r w:rsidR="005205DA" w:rsidRPr="00CC5349">
        <w:t xml:space="preserve"> and 21</w:t>
      </w:r>
      <w:r w:rsidR="005205DA" w:rsidRPr="00CC5349">
        <w:rPr>
          <w:vertAlign w:val="superscript"/>
        </w:rPr>
        <w:t>st</w:t>
      </w:r>
      <w:r w:rsidR="005205DA" w:rsidRPr="00CC5349">
        <w:t xml:space="preserve"> sessions of the Program and Budget Committee</w:t>
      </w:r>
      <w:r w:rsidR="00490784">
        <w:t> </w:t>
      </w:r>
      <w:r w:rsidR="005205DA" w:rsidRPr="00CC5349">
        <w:t>(PBC), the PPR 2012/13 includes Biennial Performance Dashboards for each of the nine Strategic Goals, as well as a view of achievements by Result.  The enhancements provide a graphic summary of the achievement of the Expected Results in the biennium as measured by the Performance Indicators under the Programs contributing to the respective Strategic Goals.</w:t>
      </w:r>
      <w:r w:rsidR="005205DA">
        <w:t xml:space="preserve">   </w:t>
      </w:r>
      <w:r w:rsidR="005205DA" w:rsidRPr="00812B04">
        <w:t xml:space="preserve">  </w:t>
      </w:r>
    </w:p>
    <w:p w:rsidR="00CC5349" w:rsidRDefault="00CC5349" w:rsidP="00B06EC8">
      <w:pPr>
        <w:jc w:val="both"/>
      </w:pPr>
    </w:p>
    <w:p w:rsidR="00CC5349" w:rsidRDefault="00CC5349" w:rsidP="00CC5349">
      <w:pPr>
        <w:jc w:val="both"/>
      </w:pPr>
      <w:r w:rsidRPr="00812B04">
        <w:t>Highlights of achievements in 2012/13 towards the nine Strategic Goals are summarized below.</w:t>
      </w:r>
    </w:p>
    <w:p w:rsidR="00CC5349" w:rsidRPr="00CC5349" w:rsidRDefault="00CC5349" w:rsidP="00CC5349">
      <w:pPr>
        <w:jc w:val="both"/>
      </w:pPr>
      <w:r w:rsidRPr="00812B04">
        <w:t xml:space="preserve"> </w:t>
      </w:r>
    </w:p>
    <w:p w:rsidR="00CC5349" w:rsidRDefault="00CC5349" w:rsidP="00CC5349">
      <w:pPr>
        <w:jc w:val="center"/>
        <w:rPr>
          <w:b/>
          <w:sz w:val="18"/>
          <w:szCs w:val="18"/>
        </w:rPr>
      </w:pPr>
    </w:p>
    <w:p w:rsidR="00CC5349" w:rsidRPr="00CC5349" w:rsidRDefault="00CC5349" w:rsidP="00CC5349">
      <w:pPr>
        <w:jc w:val="center"/>
        <w:rPr>
          <w:b/>
          <w:sz w:val="18"/>
          <w:szCs w:val="18"/>
        </w:rPr>
      </w:pPr>
      <w:r w:rsidRPr="00CC5349">
        <w:rPr>
          <w:b/>
          <w:sz w:val="18"/>
          <w:szCs w:val="18"/>
        </w:rPr>
        <w:t>Consolidated view of achievements in the Biennium</w:t>
      </w:r>
      <w:r w:rsidR="004A7442">
        <w:rPr>
          <w:b/>
          <w:sz w:val="18"/>
          <w:szCs w:val="18"/>
        </w:rPr>
        <w:t xml:space="preserve"> </w:t>
      </w:r>
      <w:r w:rsidRPr="00CC5349">
        <w:rPr>
          <w:b/>
          <w:sz w:val="18"/>
          <w:szCs w:val="18"/>
        </w:rPr>
        <w:t>2012/13 by Strategic Goal</w:t>
      </w:r>
    </w:p>
    <w:p w:rsidR="00CC5349" w:rsidRDefault="00CC5349" w:rsidP="00CC5349">
      <w:pPr>
        <w:jc w:val="center"/>
      </w:pPr>
    </w:p>
    <w:p w:rsidR="00CC5349" w:rsidRPr="00812B04" w:rsidRDefault="00590ED0" w:rsidP="00CC5349">
      <w:pPr>
        <w:jc w:val="center"/>
      </w:pPr>
      <w:r>
        <w:rPr>
          <w:noProof/>
        </w:rPr>
        <w:drawing>
          <wp:inline distT="0" distB="0" distL="0" distR="0" wp14:anchorId="5B1AE6E8" wp14:editId="321931BE">
            <wp:extent cx="5940425" cy="3354817"/>
            <wp:effectExtent l="0" t="0" r="317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a:stretch>
                      <a:fillRect/>
                    </a:stretch>
                  </pic:blipFill>
                  <pic:spPr>
                    <a:xfrm>
                      <a:off x="0" y="0"/>
                      <a:ext cx="5940425" cy="3354817"/>
                    </a:xfrm>
                    <a:prstGeom prst="rect">
                      <a:avLst/>
                    </a:prstGeom>
                  </pic:spPr>
                </pic:pic>
              </a:graphicData>
            </a:graphic>
          </wp:inline>
        </w:drawing>
      </w:r>
    </w:p>
    <w:p w:rsidR="00B06EC8" w:rsidRDefault="00B06EC8" w:rsidP="00B06EC8">
      <w:pPr>
        <w:jc w:val="both"/>
      </w:pPr>
    </w:p>
    <w:p w:rsidR="00CC5349" w:rsidRDefault="00CC5349" w:rsidP="00B06EC8">
      <w:pPr>
        <w:jc w:val="both"/>
      </w:pPr>
    </w:p>
    <w:p w:rsidR="007A4EE7" w:rsidRDefault="007A4EE7" w:rsidP="00B06EC8">
      <w:pPr>
        <w:jc w:val="both"/>
      </w:pPr>
    </w:p>
    <w:p w:rsidR="007A4EE7" w:rsidRDefault="007A4EE7" w:rsidP="00B06EC8">
      <w:pPr>
        <w:jc w:val="both"/>
      </w:pPr>
    </w:p>
    <w:p w:rsidR="00CC5349" w:rsidRPr="00812B04" w:rsidRDefault="00CC5349" w:rsidP="00B06EC8">
      <w:pPr>
        <w:jc w:val="both"/>
      </w:pPr>
    </w:p>
    <w:p w:rsidR="00CC5349" w:rsidRDefault="00CC5349" w:rsidP="00B06EC8">
      <w:pPr>
        <w:jc w:val="both"/>
        <w:rPr>
          <w:i/>
          <w:iCs/>
        </w:rPr>
      </w:pPr>
    </w:p>
    <w:p w:rsidR="00CC5349" w:rsidRDefault="00CC5349" w:rsidP="00B06EC8">
      <w:pPr>
        <w:jc w:val="both"/>
        <w:rPr>
          <w:i/>
          <w:iCs/>
        </w:rPr>
      </w:pPr>
    </w:p>
    <w:p w:rsidR="00B06EC8" w:rsidRDefault="00B06EC8" w:rsidP="00B06EC8">
      <w:pPr>
        <w:jc w:val="both"/>
        <w:rPr>
          <w:b/>
          <w:i/>
          <w:iCs/>
        </w:rPr>
      </w:pPr>
    </w:p>
    <w:p w:rsidR="00490784" w:rsidRDefault="00490784">
      <w:pPr>
        <w:rPr>
          <w:b/>
          <w:iCs/>
        </w:rPr>
      </w:pPr>
      <w:r>
        <w:rPr>
          <w:b/>
          <w:iCs/>
        </w:rPr>
        <w:br w:type="page"/>
      </w:r>
    </w:p>
    <w:p w:rsidR="00B06EC8" w:rsidRPr="008869AE" w:rsidRDefault="00B06EC8" w:rsidP="00D95B69">
      <w:pPr>
        <w:jc w:val="center"/>
        <w:rPr>
          <w:b/>
          <w:iCs/>
        </w:rPr>
      </w:pPr>
      <w:r w:rsidRPr="008869AE">
        <w:rPr>
          <w:b/>
          <w:iCs/>
        </w:rPr>
        <w:lastRenderedPageBreak/>
        <w:t xml:space="preserve">Strategic Goal I: </w:t>
      </w:r>
      <w:r w:rsidR="00595665" w:rsidRPr="008869AE">
        <w:rPr>
          <w:b/>
          <w:iCs/>
        </w:rPr>
        <w:t xml:space="preserve"> </w:t>
      </w:r>
      <w:r w:rsidRPr="008869AE">
        <w:rPr>
          <w:b/>
          <w:iCs/>
        </w:rPr>
        <w:t>Balanced Evolution of the International Normative Framework for IP</w:t>
      </w:r>
    </w:p>
    <w:p w:rsidR="008465CB" w:rsidRDefault="008465CB" w:rsidP="005205DA">
      <w:pPr>
        <w:autoSpaceDE w:val="0"/>
        <w:autoSpaceDN w:val="0"/>
        <w:adjustRightInd w:val="0"/>
        <w:jc w:val="both"/>
        <w:rPr>
          <w:rFonts w:cs="Arial"/>
        </w:rPr>
      </w:pPr>
    </w:p>
    <w:p w:rsidR="008465CB" w:rsidRDefault="008465CB" w:rsidP="008465CB">
      <w:pPr>
        <w:jc w:val="center"/>
        <w:rPr>
          <w:b/>
          <w:sz w:val="18"/>
          <w:szCs w:val="18"/>
        </w:rPr>
      </w:pPr>
    </w:p>
    <w:p w:rsidR="008465CB" w:rsidRDefault="008465CB" w:rsidP="00555AFA">
      <w:pPr>
        <w:jc w:val="center"/>
        <w:rPr>
          <w:b/>
          <w:sz w:val="18"/>
          <w:szCs w:val="18"/>
        </w:rPr>
      </w:pPr>
      <w:r w:rsidRPr="00515B63">
        <w:rPr>
          <w:b/>
          <w:sz w:val="18"/>
          <w:szCs w:val="18"/>
        </w:rPr>
        <w:t>Summary of Achievements by Expected Result</w:t>
      </w:r>
    </w:p>
    <w:p w:rsidR="008869AE" w:rsidRPr="00555AFA" w:rsidRDefault="008869AE" w:rsidP="00555AFA">
      <w:pPr>
        <w:jc w:val="center"/>
        <w:rPr>
          <w:b/>
          <w:sz w:val="18"/>
          <w:szCs w:val="18"/>
        </w:rPr>
      </w:pPr>
    </w:p>
    <w:p w:rsidR="008465CB" w:rsidRPr="005205DA" w:rsidRDefault="00590ED0" w:rsidP="005205DA">
      <w:pPr>
        <w:autoSpaceDE w:val="0"/>
        <w:autoSpaceDN w:val="0"/>
        <w:adjustRightInd w:val="0"/>
        <w:jc w:val="both"/>
        <w:rPr>
          <w:rFonts w:cs="Arial"/>
        </w:rPr>
      </w:pPr>
      <w:r>
        <w:rPr>
          <w:noProof/>
        </w:rPr>
        <w:drawing>
          <wp:inline distT="0" distB="0" distL="0" distR="0" wp14:anchorId="0B96093D" wp14:editId="15ED1A04">
            <wp:extent cx="5940425" cy="2382517"/>
            <wp:effectExtent l="0" t="0" r="317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5940425" cy="2382517"/>
                    </a:xfrm>
                    <a:prstGeom prst="rect">
                      <a:avLst/>
                    </a:prstGeom>
                  </pic:spPr>
                </pic:pic>
              </a:graphicData>
            </a:graphic>
          </wp:inline>
        </w:drawing>
      </w:r>
    </w:p>
    <w:p w:rsidR="008465CB" w:rsidRDefault="008465CB" w:rsidP="00B06EC8">
      <w:pPr>
        <w:jc w:val="both"/>
        <w:rPr>
          <w:i/>
          <w:iCs/>
        </w:rPr>
      </w:pPr>
    </w:p>
    <w:p w:rsidR="00555AFA" w:rsidRDefault="00555AFA" w:rsidP="007B0FA0"/>
    <w:p w:rsidR="008465CB" w:rsidRPr="0086702C" w:rsidRDefault="008869AE" w:rsidP="008465CB">
      <w:pPr>
        <w:jc w:val="center"/>
        <w:rPr>
          <w:b/>
          <w:szCs w:val="20"/>
        </w:rPr>
      </w:pPr>
      <w:r w:rsidRPr="0086702C">
        <w:rPr>
          <w:b/>
          <w:szCs w:val="20"/>
        </w:rPr>
        <w:t>Biennial Performance Dashboard</w:t>
      </w:r>
    </w:p>
    <w:p w:rsidR="008465CB" w:rsidRPr="00A522FE" w:rsidRDefault="008465CB" w:rsidP="008465CB">
      <w:pPr>
        <w:jc w:val="center"/>
      </w:pPr>
    </w:p>
    <w:p w:rsidR="008465CB" w:rsidRDefault="008465CB" w:rsidP="008465CB">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8465CB" w:rsidRPr="00812B04" w:rsidRDefault="008465CB" w:rsidP="00B06EC8">
      <w:pPr>
        <w:jc w:val="both"/>
        <w:rPr>
          <w:i/>
          <w:iCs/>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5205DA" w:rsidRPr="00680A69" w:rsidTr="004C5DDE">
        <w:trPr>
          <w:tblHeader/>
        </w:trPr>
        <w:tc>
          <w:tcPr>
            <w:tcW w:w="3399" w:type="dxa"/>
            <w:tcBorders>
              <w:top w:val="single" w:sz="4" w:space="0" w:color="auto"/>
              <w:bottom w:val="single" w:sz="4" w:space="0" w:color="auto"/>
            </w:tcBorders>
            <w:shd w:val="clear" w:color="auto" w:fill="CCFFFF"/>
            <w:vAlign w:val="center"/>
          </w:tcPr>
          <w:p w:rsidR="005205DA" w:rsidRPr="008869AE" w:rsidRDefault="005205DA" w:rsidP="004C5DDE">
            <w:pPr>
              <w:spacing w:before="120" w:after="120"/>
              <w:rPr>
                <w:rFonts w:cs="Arial"/>
                <w:b/>
                <w:bCs/>
                <w:sz w:val="14"/>
                <w:szCs w:val="14"/>
              </w:rPr>
            </w:pPr>
            <w:r w:rsidRPr="008869AE">
              <w:rPr>
                <w:rFonts w:cs="Arial"/>
                <w:b/>
                <w:bCs/>
                <w:sz w:val="14"/>
                <w:szCs w:val="14"/>
              </w:rPr>
              <w:t>Expected Results</w:t>
            </w:r>
          </w:p>
        </w:tc>
        <w:tc>
          <w:tcPr>
            <w:tcW w:w="3284" w:type="dxa"/>
            <w:tcBorders>
              <w:top w:val="single" w:sz="4" w:space="0" w:color="auto"/>
              <w:bottom w:val="single" w:sz="4" w:space="0" w:color="auto"/>
            </w:tcBorders>
            <w:shd w:val="clear" w:color="auto" w:fill="CCFFFF"/>
            <w:vAlign w:val="center"/>
          </w:tcPr>
          <w:p w:rsidR="005205DA" w:rsidRPr="008869AE" w:rsidRDefault="005205DA" w:rsidP="004C5DDE">
            <w:pPr>
              <w:spacing w:before="120" w:after="120"/>
              <w:rPr>
                <w:rFonts w:cs="Arial"/>
                <w:b/>
                <w:bCs/>
                <w:sz w:val="14"/>
                <w:szCs w:val="14"/>
              </w:rPr>
            </w:pPr>
            <w:r w:rsidRPr="008869AE">
              <w:rPr>
                <w:rFonts w:cs="Arial"/>
                <w:b/>
                <w:bCs/>
                <w:sz w:val="14"/>
                <w:szCs w:val="14"/>
              </w:rPr>
              <w:t>Performance Indicators</w:t>
            </w:r>
          </w:p>
        </w:tc>
        <w:tc>
          <w:tcPr>
            <w:tcW w:w="1238" w:type="dxa"/>
            <w:tcBorders>
              <w:top w:val="single" w:sz="4" w:space="0" w:color="auto"/>
              <w:bottom w:val="single" w:sz="4" w:space="0" w:color="auto"/>
            </w:tcBorders>
            <w:shd w:val="clear" w:color="auto" w:fill="CCFFFF"/>
            <w:vAlign w:val="center"/>
          </w:tcPr>
          <w:p w:rsidR="005205DA" w:rsidRPr="008869AE" w:rsidRDefault="005205DA" w:rsidP="004C5DDE">
            <w:pPr>
              <w:spacing w:before="120" w:after="120"/>
              <w:jc w:val="center"/>
              <w:rPr>
                <w:rFonts w:cs="Arial"/>
                <w:b/>
                <w:bCs/>
                <w:sz w:val="14"/>
                <w:szCs w:val="14"/>
              </w:rPr>
            </w:pPr>
            <w:r w:rsidRPr="008869AE">
              <w:rPr>
                <w:rFonts w:cs="Arial"/>
                <w:b/>
                <w:bCs/>
                <w:sz w:val="14"/>
                <w:szCs w:val="14"/>
              </w:rPr>
              <w:t>Responsible Program(s)</w:t>
            </w:r>
          </w:p>
        </w:tc>
        <w:tc>
          <w:tcPr>
            <w:tcW w:w="1445" w:type="dxa"/>
            <w:tcBorders>
              <w:top w:val="single" w:sz="4" w:space="0" w:color="auto"/>
              <w:bottom w:val="single" w:sz="4" w:space="0" w:color="auto"/>
            </w:tcBorders>
            <w:shd w:val="clear" w:color="auto" w:fill="CCFFFF"/>
            <w:vAlign w:val="center"/>
          </w:tcPr>
          <w:p w:rsidR="005205DA" w:rsidRPr="008869AE" w:rsidRDefault="005205DA" w:rsidP="004C5DDE">
            <w:pPr>
              <w:spacing w:before="120" w:after="120"/>
              <w:jc w:val="center"/>
              <w:rPr>
                <w:rFonts w:cs="Arial"/>
                <w:b/>
                <w:bCs/>
                <w:sz w:val="14"/>
                <w:szCs w:val="14"/>
              </w:rPr>
            </w:pPr>
            <w:r w:rsidRPr="008869AE">
              <w:rPr>
                <w:rFonts w:cs="Arial"/>
                <w:b/>
                <w:bCs/>
                <w:sz w:val="14"/>
                <w:szCs w:val="14"/>
              </w:rPr>
              <w:t>TLS</w:t>
            </w:r>
          </w:p>
        </w:tc>
      </w:tr>
      <w:tr w:rsidR="005205DA" w:rsidRPr="00680A69" w:rsidTr="004C5DDE">
        <w:tc>
          <w:tcPr>
            <w:tcW w:w="3399" w:type="dxa"/>
            <w:vMerge w:val="restart"/>
            <w:tcBorders>
              <w:top w:val="single" w:sz="4" w:space="0" w:color="auto"/>
            </w:tcBorders>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Enhanced cooperation/ greater consensus among Member States on further developing balanced policy and normative frameworks for the international patent system, trademarks, industrial designs, geographical indications, copyright, related rights, TK, TCEs and GRs</w:t>
            </w:r>
          </w:p>
        </w:tc>
        <w:tc>
          <w:tcPr>
            <w:tcW w:w="3284" w:type="dxa"/>
            <w:tcBorders>
              <w:top w:val="single" w:sz="4" w:space="0" w:color="auto"/>
            </w:tcBorders>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Progress on the implementation of SCP agreed steps/plans</w:t>
            </w:r>
          </w:p>
        </w:tc>
        <w:tc>
          <w:tcPr>
            <w:tcW w:w="1238" w:type="dxa"/>
            <w:tcBorders>
              <w:top w:val="single" w:sz="4" w:space="0" w:color="auto"/>
            </w:tcBorders>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1</w:t>
            </w:r>
          </w:p>
        </w:tc>
        <w:tc>
          <w:tcPr>
            <w:tcW w:w="1445" w:type="dxa"/>
            <w:tcBorders>
              <w:top w:val="single" w:sz="4" w:space="0" w:color="auto"/>
            </w:tcBorders>
          </w:tcPr>
          <w:p w:rsidR="005205DA" w:rsidRPr="004A7442" w:rsidRDefault="005205DA" w:rsidP="004C5DDE">
            <w:pPr>
              <w:spacing w:before="20"/>
              <w:jc w:val="center"/>
              <w:rPr>
                <w:rFonts w:cs="Arial"/>
                <w:b/>
                <w:color w:val="008000"/>
                <w:sz w:val="22"/>
                <w:szCs w:val="22"/>
              </w:rPr>
            </w:pPr>
            <w:r w:rsidRPr="004A7442">
              <w:rPr>
                <w:rFonts w:cs="Arial"/>
                <w:color w:val="008000"/>
                <w:sz w:val="22"/>
                <w:szCs w:val="22"/>
              </w:rPr>
              <w:sym w:font="Wingdings" w:char="F06C"/>
            </w:r>
          </w:p>
        </w:tc>
      </w:tr>
      <w:tr w:rsidR="005205DA" w:rsidRPr="00680A69" w:rsidTr="004C5DDE">
        <w:tc>
          <w:tcPr>
            <w:tcW w:w="3399" w:type="dxa"/>
            <w:vMerge/>
            <w:shd w:val="clear" w:color="auto" w:fill="auto"/>
            <w:tcMar>
              <w:top w:w="113" w:type="dxa"/>
            </w:tcMar>
          </w:tcPr>
          <w:p w:rsidR="005205DA" w:rsidRPr="008869AE" w:rsidRDefault="005205DA" w:rsidP="004C5DDE">
            <w:pPr>
              <w:spacing w:before="8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 xml:space="preserve">International agreement on a normative framework for Industrial Designs </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b/>
                <w:color w:val="E36C0A" w:themeColor="accent6" w:themeShade="BF"/>
                <w:sz w:val="22"/>
                <w:szCs w:val="22"/>
              </w:rPr>
            </w:pPr>
            <w:r w:rsidRPr="004A7442">
              <w:rPr>
                <w:rFonts w:cs="Arial"/>
                <w:color w:val="E36C0A" w:themeColor="accent6" w:themeShade="BF"/>
                <w:sz w:val="22"/>
                <w:szCs w:val="22"/>
              </w:rPr>
              <w:sym w:font="Wingdings" w:char="F06C"/>
            </w:r>
          </w:p>
        </w:tc>
      </w:tr>
      <w:tr w:rsidR="005205DA" w:rsidRPr="00680A69" w:rsidTr="004C5DDE">
        <w:tc>
          <w:tcPr>
            <w:tcW w:w="3399" w:type="dxa"/>
            <w:vMerge/>
            <w:shd w:val="clear" w:color="auto" w:fill="auto"/>
            <w:tcMar>
              <w:top w:w="113" w:type="dxa"/>
            </w:tcMar>
          </w:tcPr>
          <w:p w:rsidR="005205DA" w:rsidRPr="008869AE" w:rsidRDefault="005205DA" w:rsidP="004C5DDE">
            <w:pPr>
              <w:spacing w:before="8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Progress towards agreement on current issues on the SCT Agenda</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b/>
                <w:color w:val="10862C"/>
                <w:sz w:val="22"/>
                <w:szCs w:val="22"/>
              </w:rPr>
            </w:pPr>
            <w:r w:rsidRPr="004A7442">
              <w:rPr>
                <w:rFonts w:cs="Arial"/>
                <w:color w:val="10862C"/>
                <w:sz w:val="22"/>
                <w:szCs w:val="22"/>
              </w:rPr>
              <w:sym w:font="Wingdings" w:char="F06C"/>
            </w:r>
          </w:p>
        </w:tc>
      </w:tr>
      <w:tr w:rsidR="005205DA" w:rsidRPr="00680A69" w:rsidTr="004C5DDE">
        <w:tc>
          <w:tcPr>
            <w:tcW w:w="3399" w:type="dxa"/>
            <w:vMerge/>
            <w:shd w:val="clear" w:color="auto" w:fill="auto"/>
            <w:tcMar>
              <w:top w:w="113" w:type="dxa"/>
            </w:tcMar>
          </w:tcPr>
          <w:p w:rsidR="005205DA" w:rsidRPr="008869AE" w:rsidRDefault="005205DA" w:rsidP="004C5DDE">
            <w:pPr>
              <w:spacing w:before="8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Conclusions agreed by Member States in each session of the SCCR</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spacing w:before="20"/>
              <w:jc w:val="center"/>
              <w:rPr>
                <w:rFonts w:cs="Arial"/>
                <w:b/>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Progress towards agreement on current issues on the SCCR agenda</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spacing w:before="20"/>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Progress in the IGC’s negotiations towards development of an  international legal instrument(s)</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4</w:t>
            </w:r>
          </w:p>
        </w:tc>
        <w:tc>
          <w:tcPr>
            <w:tcW w:w="1445" w:type="dxa"/>
          </w:tcPr>
          <w:p w:rsidR="005205DA" w:rsidRPr="004A7442" w:rsidRDefault="005205DA" w:rsidP="004C5DDE">
            <w:pPr>
              <w:spacing w:before="20"/>
              <w:jc w:val="center"/>
              <w:rPr>
                <w:rFonts w:cs="Arial"/>
                <w:sz w:val="22"/>
                <w:szCs w:val="22"/>
              </w:rPr>
            </w:pPr>
            <w:r w:rsidRPr="004A7442">
              <w:rPr>
                <w:rFonts w:cs="Arial"/>
                <w:color w:val="E36C0A" w:themeColor="accent6" w:themeShade="BF"/>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 xml:space="preserve">Work initiated by the SCT on Geographical Indications (GIs)  </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sz w:val="22"/>
                <w:szCs w:val="22"/>
              </w:rPr>
            </w:pPr>
            <w:r w:rsidRPr="004A7442">
              <w:rPr>
                <w:rFonts w:cs="Arial"/>
                <w:color w:val="E36C0A" w:themeColor="accent6" w:themeShade="BF"/>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of ratifications/accessions to the Singapore Treaty</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sz w:val="22"/>
                <w:szCs w:val="22"/>
              </w:rPr>
            </w:pPr>
            <w:r w:rsidRPr="004A7442">
              <w:rPr>
                <w:rFonts w:cs="Arial"/>
                <w:color w:val="E36C0A" w:themeColor="accent6" w:themeShade="BF"/>
                <w:sz w:val="22"/>
                <w:szCs w:val="22"/>
              </w:rPr>
              <w:sym w:font="Wingdings" w:char="F06C"/>
            </w:r>
          </w:p>
        </w:tc>
      </w:tr>
      <w:tr w:rsidR="005205DA" w:rsidRPr="00680A69" w:rsidTr="004C5DDE">
        <w:tc>
          <w:tcPr>
            <w:tcW w:w="3399" w:type="dxa"/>
            <w:vMerge w:val="restart"/>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Increased protection of State emblems and names and emblems of International Intergovernmental Organizations</w:t>
            </w: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of requests for communication under Article 6</w:t>
            </w:r>
            <w:r w:rsidRPr="008869AE">
              <w:rPr>
                <w:rFonts w:cs="Arial"/>
                <w:i/>
                <w:iCs/>
                <w:sz w:val="14"/>
                <w:szCs w:val="14"/>
              </w:rPr>
              <w:t>ter</w:t>
            </w:r>
            <w:r w:rsidRPr="008869AE">
              <w:rPr>
                <w:rFonts w:cs="Arial"/>
                <w:sz w:val="14"/>
                <w:szCs w:val="14"/>
              </w:rPr>
              <w:t xml:space="preserve"> Paris Convention dealt with</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vMerge/>
            <w:shd w:val="clear" w:color="auto" w:fill="auto"/>
            <w:tcMar>
              <w:top w:w="113" w:type="dxa"/>
            </w:tcMar>
          </w:tcPr>
          <w:p w:rsidR="005205DA" w:rsidRPr="008869AE" w:rsidRDefault="005205DA" w:rsidP="004C5DDE">
            <w:pPr>
              <w:spacing w:before="8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of signs published in Article 6</w:t>
            </w:r>
            <w:r w:rsidRPr="00D853FF">
              <w:rPr>
                <w:rFonts w:cs="Arial"/>
                <w:i/>
                <w:sz w:val="14"/>
                <w:szCs w:val="14"/>
              </w:rPr>
              <w:t>ter</w:t>
            </w:r>
            <w:r w:rsidRPr="008869AE">
              <w:rPr>
                <w:rFonts w:cs="Arial"/>
                <w:sz w:val="14"/>
                <w:szCs w:val="14"/>
              </w:rPr>
              <w:t xml:space="preserve"> database</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4C5DDE">
            <w:pPr>
              <w:spacing w:before="80"/>
              <w:rPr>
                <w:rFonts w:cs="Arial"/>
                <w:color w:val="000000"/>
                <w:sz w:val="14"/>
                <w:szCs w:val="14"/>
              </w:rPr>
            </w:pPr>
          </w:p>
        </w:tc>
        <w:tc>
          <w:tcPr>
            <w:tcW w:w="3284" w:type="dxa"/>
            <w:shd w:val="clear" w:color="auto" w:fill="auto"/>
            <w:tcMar>
              <w:top w:w="113" w:type="dxa"/>
            </w:tcMar>
          </w:tcPr>
          <w:p w:rsidR="005205DA" w:rsidRPr="008869AE" w:rsidRDefault="005205DA" w:rsidP="004C5DDE">
            <w:pPr>
              <w:spacing w:before="80"/>
              <w:rPr>
                <w:rFonts w:cs="Arial"/>
                <w:color w:val="000000"/>
                <w:sz w:val="14"/>
                <w:szCs w:val="14"/>
              </w:rPr>
            </w:pPr>
            <w:r w:rsidRPr="008869AE">
              <w:rPr>
                <w:rFonts w:cs="Arial"/>
                <w:color w:val="000000"/>
                <w:sz w:val="14"/>
                <w:szCs w:val="14"/>
              </w:rPr>
              <w:t xml:space="preserve">Comprehensive </w:t>
            </w:r>
            <w:r w:rsidRPr="008869AE">
              <w:rPr>
                <w:rFonts w:cs="Arial"/>
                <w:sz w:val="14"/>
                <w:szCs w:val="14"/>
              </w:rPr>
              <w:t>guidelines</w:t>
            </w:r>
            <w:r w:rsidRPr="008869AE">
              <w:rPr>
                <w:rFonts w:cs="Arial"/>
                <w:color w:val="000000"/>
                <w:sz w:val="14"/>
                <w:szCs w:val="14"/>
              </w:rPr>
              <w:t xml:space="preserve"> for the application of Article 6</w:t>
            </w:r>
            <w:r w:rsidRPr="008869AE">
              <w:rPr>
                <w:rFonts w:cs="Arial"/>
                <w:i/>
                <w:iCs/>
                <w:color w:val="000000"/>
                <w:sz w:val="14"/>
                <w:szCs w:val="14"/>
              </w:rPr>
              <w:t>ter</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2</w:t>
            </w:r>
          </w:p>
        </w:tc>
        <w:tc>
          <w:tcPr>
            <w:tcW w:w="1445" w:type="dxa"/>
          </w:tcPr>
          <w:p w:rsidR="005205DA" w:rsidRPr="004A7442" w:rsidRDefault="005205DA" w:rsidP="004C5DDE">
            <w:pPr>
              <w:spacing w:before="20"/>
              <w:jc w:val="center"/>
              <w:rPr>
                <w:rFonts w:cs="Arial"/>
                <w:sz w:val="22"/>
                <w:szCs w:val="22"/>
              </w:rPr>
            </w:pPr>
            <w:r w:rsidRPr="004A7442">
              <w:rPr>
                <w:rFonts w:cs="Arial"/>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Evidence-based decision making on copyright issues</w:t>
            </w:r>
          </w:p>
        </w:tc>
        <w:tc>
          <w:tcPr>
            <w:tcW w:w="3284" w:type="dxa"/>
            <w:shd w:val="clear" w:color="auto" w:fill="auto"/>
            <w:tcMar>
              <w:top w:w="113" w:type="dxa"/>
            </w:tcMar>
          </w:tcPr>
          <w:p w:rsidR="005205DA" w:rsidRPr="008869AE" w:rsidRDefault="005205DA" w:rsidP="004C5DDE">
            <w:pPr>
              <w:spacing w:before="80"/>
              <w:rPr>
                <w:rFonts w:cs="Arial"/>
                <w:color w:val="000000"/>
                <w:sz w:val="14"/>
                <w:szCs w:val="14"/>
              </w:rPr>
            </w:pPr>
            <w:r w:rsidRPr="008869AE">
              <w:rPr>
                <w:rFonts w:cs="Arial"/>
                <w:color w:val="000000"/>
                <w:sz w:val="14"/>
                <w:szCs w:val="14"/>
              </w:rPr>
              <w:t xml:space="preserve">No. of follow-up requests for specific studies </w:t>
            </w:r>
            <w:r w:rsidRPr="008869AE">
              <w:rPr>
                <w:rFonts w:cs="Arial"/>
                <w:sz w:val="14"/>
                <w:szCs w:val="14"/>
              </w:rPr>
              <w:t>or</w:t>
            </w:r>
            <w:r w:rsidRPr="008869AE">
              <w:rPr>
                <w:rFonts w:cs="Arial"/>
                <w:color w:val="000000"/>
                <w:sz w:val="14"/>
                <w:szCs w:val="14"/>
              </w:rPr>
              <w:t xml:space="preserve"> guidance on activities contributing to  policy decision </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color w:val="000000"/>
                <w:sz w:val="14"/>
                <w:szCs w:val="14"/>
              </w:rPr>
            </w:pPr>
            <w:r w:rsidRPr="008869AE">
              <w:rPr>
                <w:rFonts w:cs="Arial"/>
                <w:color w:val="000000"/>
                <w:sz w:val="14"/>
                <w:szCs w:val="14"/>
              </w:rPr>
              <w:t xml:space="preserve">No. </w:t>
            </w:r>
            <w:r w:rsidRPr="008869AE">
              <w:rPr>
                <w:rFonts w:cs="Arial"/>
                <w:sz w:val="14"/>
                <w:szCs w:val="14"/>
              </w:rPr>
              <w:t>of</w:t>
            </w:r>
            <w:r w:rsidRPr="008869AE">
              <w:rPr>
                <w:rFonts w:cs="Arial"/>
                <w:color w:val="000000"/>
                <w:sz w:val="14"/>
                <w:szCs w:val="14"/>
              </w:rPr>
              <w:t xml:space="preserve"> countries using WIPO studies on their creative industries for developing creative industry strategies</w:t>
            </w:r>
            <w:r w:rsidR="00490784">
              <w:rPr>
                <w:rFonts w:cs="Arial"/>
                <w:color w:val="000000"/>
                <w:sz w:val="14"/>
                <w:szCs w:val="14"/>
              </w:rPr>
              <w:br/>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color w:val="000000"/>
                <w:sz w:val="14"/>
                <w:szCs w:val="14"/>
              </w:rPr>
            </w:pPr>
            <w:r w:rsidRPr="008869AE">
              <w:rPr>
                <w:rFonts w:cs="Arial"/>
                <w:color w:val="000000"/>
                <w:sz w:val="14"/>
                <w:szCs w:val="14"/>
              </w:rPr>
              <w:t xml:space="preserve">No. of </w:t>
            </w:r>
            <w:r w:rsidRPr="008869AE">
              <w:rPr>
                <w:rFonts w:cs="Arial"/>
                <w:sz w:val="14"/>
                <w:szCs w:val="14"/>
              </w:rPr>
              <w:t>downloads</w:t>
            </w:r>
            <w:r w:rsidRPr="008869AE">
              <w:rPr>
                <w:rFonts w:cs="Arial"/>
                <w:color w:val="000000"/>
                <w:sz w:val="14"/>
                <w:szCs w:val="14"/>
              </w:rPr>
              <w:t xml:space="preserve">, requests and distribution of WIPO tools for management of copyright in specific creative industries </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 xml:space="preserve">Tailored and balanced IP legislative, regulatory and policy frameworks  </w:t>
            </w: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of countries that have initiated legislative reform in the area of copyright and related rights</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3</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80"/>
              <w:rPr>
                <w:rFonts w:cs="Arial"/>
                <w:sz w:val="14"/>
                <w:szCs w:val="14"/>
              </w:rPr>
            </w:pPr>
            <w:r w:rsidRPr="008869AE">
              <w:rPr>
                <w:rFonts w:cs="Arial"/>
                <w:sz w:val="14"/>
                <w:szCs w:val="14"/>
              </w:rPr>
              <w:t>No. and types of legislative advice provided to Member States related to patents, utility models, trade secrets and integrated circuits</w:t>
            </w:r>
          </w:p>
        </w:tc>
        <w:tc>
          <w:tcPr>
            <w:tcW w:w="1238" w:type="dxa"/>
            <w:shd w:val="clear" w:color="auto" w:fill="auto"/>
            <w:tcMar>
              <w:top w:w="113" w:type="dxa"/>
            </w:tcMar>
          </w:tcPr>
          <w:p w:rsidR="005205DA" w:rsidRPr="008869AE" w:rsidRDefault="005205DA" w:rsidP="004C5DDE">
            <w:pPr>
              <w:spacing w:before="80"/>
              <w:ind w:left="176"/>
              <w:rPr>
                <w:rFonts w:cs="Arial"/>
                <w:sz w:val="14"/>
                <w:szCs w:val="14"/>
              </w:rPr>
            </w:pPr>
            <w:r w:rsidRPr="008869AE">
              <w:rPr>
                <w:rFonts w:cs="Arial"/>
                <w:sz w:val="14"/>
                <w:szCs w:val="14"/>
              </w:rPr>
              <w:t>Program 1</w:t>
            </w:r>
          </w:p>
          <w:p w:rsidR="005205DA" w:rsidRPr="008869AE" w:rsidRDefault="005205DA" w:rsidP="00490784">
            <w:pPr>
              <w:spacing w:before="80"/>
              <w:ind w:left="176"/>
              <w:rPr>
                <w:rFonts w:cs="Arial"/>
                <w:sz w:val="14"/>
                <w:szCs w:val="14"/>
              </w:rPr>
            </w:pPr>
            <w:r w:rsidRPr="008869AE">
              <w:rPr>
                <w:rFonts w:cs="Arial"/>
                <w:sz w:val="14"/>
                <w:szCs w:val="14"/>
              </w:rPr>
              <w:t>Program 9</w:t>
            </w:r>
          </w:p>
          <w:p w:rsidR="005205DA" w:rsidRPr="008869AE" w:rsidRDefault="005205DA" w:rsidP="00490784">
            <w:pPr>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006600"/>
                <w:sz w:val="22"/>
                <w:szCs w:val="22"/>
              </w:rPr>
            </w:pPr>
            <w:r w:rsidRPr="004A7442">
              <w:rPr>
                <w:rFonts w:cs="Arial"/>
                <w:color w:val="A6A6A6" w:themeColor="background1" w:themeShade="A6"/>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keepNext/>
              <w:keepLines/>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keepNext/>
              <w:keepLines/>
              <w:spacing w:before="60"/>
              <w:rPr>
                <w:rFonts w:cs="Arial"/>
                <w:sz w:val="14"/>
                <w:szCs w:val="14"/>
              </w:rPr>
            </w:pPr>
            <w:r w:rsidRPr="008869AE">
              <w:rPr>
                <w:rFonts w:cs="Arial"/>
                <w:sz w:val="14"/>
                <w:szCs w:val="14"/>
              </w:rPr>
              <w:t>% of countries which found WIPO's legislative advice related to patents, utility models, trade secrets and integrated circuits useful</w:t>
            </w:r>
          </w:p>
        </w:tc>
        <w:tc>
          <w:tcPr>
            <w:tcW w:w="1238" w:type="dxa"/>
            <w:shd w:val="clear" w:color="auto" w:fill="auto"/>
            <w:tcMar>
              <w:top w:w="113" w:type="dxa"/>
            </w:tcMar>
          </w:tcPr>
          <w:p w:rsidR="005205DA" w:rsidRPr="008869AE" w:rsidRDefault="005205DA" w:rsidP="004C5DDE">
            <w:pPr>
              <w:keepNext/>
              <w:keepLines/>
              <w:spacing w:before="80"/>
              <w:ind w:left="176"/>
              <w:rPr>
                <w:rFonts w:cs="Arial"/>
                <w:sz w:val="14"/>
                <w:szCs w:val="14"/>
              </w:rPr>
            </w:pPr>
            <w:r w:rsidRPr="008869AE">
              <w:rPr>
                <w:rFonts w:cs="Arial"/>
                <w:sz w:val="14"/>
                <w:szCs w:val="14"/>
              </w:rPr>
              <w:t>Program 1</w:t>
            </w:r>
          </w:p>
          <w:p w:rsidR="005205DA" w:rsidRPr="008869AE" w:rsidRDefault="005205DA" w:rsidP="00490784">
            <w:pPr>
              <w:keepNext/>
              <w:keepLines/>
              <w:spacing w:before="80"/>
              <w:ind w:left="176"/>
              <w:rPr>
                <w:rFonts w:cs="Arial"/>
                <w:sz w:val="14"/>
                <w:szCs w:val="14"/>
              </w:rPr>
            </w:pPr>
            <w:r w:rsidRPr="008869AE">
              <w:rPr>
                <w:rFonts w:cs="Arial"/>
                <w:sz w:val="14"/>
                <w:szCs w:val="14"/>
              </w:rPr>
              <w:t>Program 9</w:t>
            </w:r>
          </w:p>
          <w:p w:rsidR="005205DA" w:rsidRPr="008869AE" w:rsidRDefault="005205DA" w:rsidP="00490784">
            <w:pPr>
              <w:keepNext/>
              <w:keepLines/>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keepNext/>
              <w:keepLines/>
              <w:spacing w:before="60"/>
              <w:rPr>
                <w:rFonts w:cs="Arial"/>
                <w:sz w:val="14"/>
                <w:szCs w:val="14"/>
              </w:rPr>
            </w:pPr>
            <w:r w:rsidRPr="008869AE">
              <w:rPr>
                <w:rFonts w:cs="Arial"/>
                <w:sz w:val="14"/>
                <w:szCs w:val="14"/>
              </w:rPr>
              <w:t>% of countries which found the provided information concerning the legal principles and practices of the patent system, including the flexibilities existing in the system and the challenges it faces, useful</w:t>
            </w:r>
          </w:p>
        </w:tc>
        <w:tc>
          <w:tcPr>
            <w:tcW w:w="1238" w:type="dxa"/>
            <w:shd w:val="clear" w:color="auto" w:fill="auto"/>
            <w:tcMar>
              <w:top w:w="113" w:type="dxa"/>
            </w:tcMar>
          </w:tcPr>
          <w:p w:rsidR="005205DA" w:rsidRPr="008869AE" w:rsidRDefault="005205DA" w:rsidP="004C5DDE">
            <w:pPr>
              <w:keepNext/>
              <w:keepLines/>
              <w:spacing w:before="60"/>
              <w:ind w:left="176"/>
              <w:rPr>
                <w:rFonts w:cs="Arial"/>
                <w:sz w:val="14"/>
                <w:szCs w:val="14"/>
              </w:rPr>
            </w:pPr>
            <w:r w:rsidRPr="008869AE">
              <w:rPr>
                <w:rFonts w:cs="Arial"/>
                <w:sz w:val="14"/>
                <w:szCs w:val="14"/>
              </w:rPr>
              <w:t>Program 1</w:t>
            </w:r>
          </w:p>
          <w:p w:rsidR="005205DA" w:rsidRPr="008869AE" w:rsidRDefault="005205DA" w:rsidP="00490784">
            <w:pPr>
              <w:keepNext/>
              <w:keepLines/>
              <w:spacing w:before="80"/>
              <w:ind w:left="176"/>
              <w:rPr>
                <w:rFonts w:cs="Arial"/>
                <w:sz w:val="14"/>
                <w:szCs w:val="14"/>
              </w:rPr>
            </w:pPr>
            <w:r w:rsidRPr="008869AE">
              <w:rPr>
                <w:rFonts w:cs="Arial"/>
                <w:sz w:val="14"/>
                <w:szCs w:val="14"/>
              </w:rPr>
              <w:t>Program 9</w:t>
            </w:r>
          </w:p>
          <w:p w:rsidR="005205DA" w:rsidRPr="008869AE" w:rsidRDefault="005205DA" w:rsidP="00490784">
            <w:pPr>
              <w:keepNext/>
              <w:keepLines/>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keepNext/>
              <w:keepLines/>
              <w:spacing w:before="60"/>
              <w:rPr>
                <w:rFonts w:cs="Arial"/>
                <w:sz w:val="14"/>
                <w:szCs w:val="14"/>
              </w:rPr>
            </w:pPr>
            <w:r w:rsidRPr="008869AE">
              <w:rPr>
                <w:rFonts w:cs="Arial"/>
                <w:sz w:val="14"/>
                <w:szCs w:val="14"/>
              </w:rPr>
              <w:t xml:space="preserve">% of satisfied participants in targeted workshops/seminars held on specific patent-related questions </w:t>
            </w:r>
          </w:p>
        </w:tc>
        <w:tc>
          <w:tcPr>
            <w:tcW w:w="1238" w:type="dxa"/>
            <w:shd w:val="clear" w:color="auto" w:fill="auto"/>
            <w:tcMar>
              <w:top w:w="113" w:type="dxa"/>
            </w:tcMar>
          </w:tcPr>
          <w:p w:rsidR="005205DA" w:rsidRPr="008869AE" w:rsidRDefault="005205DA" w:rsidP="004C5DDE">
            <w:pPr>
              <w:keepNext/>
              <w:keepLines/>
              <w:spacing w:before="60"/>
              <w:ind w:left="176"/>
              <w:rPr>
                <w:rFonts w:cs="Arial"/>
                <w:sz w:val="14"/>
                <w:szCs w:val="14"/>
              </w:rPr>
            </w:pPr>
            <w:r w:rsidRPr="008869AE">
              <w:rPr>
                <w:rFonts w:cs="Arial"/>
                <w:sz w:val="14"/>
                <w:szCs w:val="14"/>
              </w:rPr>
              <w:t>Program 1</w:t>
            </w:r>
          </w:p>
          <w:p w:rsidR="005205DA" w:rsidRPr="008869AE" w:rsidRDefault="005205DA" w:rsidP="00490784">
            <w:pPr>
              <w:keepNext/>
              <w:keepLines/>
              <w:spacing w:before="80"/>
              <w:ind w:left="176"/>
              <w:rPr>
                <w:rFonts w:cs="Arial"/>
                <w:sz w:val="14"/>
                <w:szCs w:val="14"/>
              </w:rPr>
            </w:pPr>
            <w:r w:rsidRPr="008869AE">
              <w:rPr>
                <w:rFonts w:cs="Arial"/>
                <w:sz w:val="14"/>
                <w:szCs w:val="14"/>
              </w:rPr>
              <w:t>Program 9</w:t>
            </w:r>
          </w:p>
          <w:p w:rsidR="005205DA" w:rsidRPr="008869AE" w:rsidRDefault="005205DA" w:rsidP="00490784">
            <w:pPr>
              <w:keepNext/>
              <w:keepLines/>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keepNext/>
              <w:keepLines/>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60"/>
              <w:rPr>
                <w:rFonts w:cs="Arial"/>
                <w:color w:val="000000"/>
                <w:sz w:val="14"/>
                <w:szCs w:val="14"/>
              </w:rPr>
            </w:pPr>
            <w:r w:rsidRPr="008869AE">
              <w:rPr>
                <w:rFonts w:cs="Arial"/>
                <w:color w:val="000000"/>
                <w:sz w:val="14"/>
                <w:szCs w:val="14"/>
              </w:rPr>
              <w:t xml:space="preserve">No. of Member States having received legislative advice in the area of trademarks, industrial </w:t>
            </w:r>
            <w:r w:rsidRPr="008869AE">
              <w:rPr>
                <w:rFonts w:cs="Arial"/>
                <w:sz w:val="14"/>
                <w:szCs w:val="14"/>
              </w:rPr>
              <w:t>designs</w:t>
            </w:r>
            <w:r w:rsidRPr="008869AE">
              <w:rPr>
                <w:rFonts w:cs="Arial"/>
                <w:color w:val="000000"/>
                <w:sz w:val="14"/>
                <w:szCs w:val="14"/>
              </w:rPr>
              <w:t xml:space="preserve"> and geographical indications </w:t>
            </w:r>
          </w:p>
        </w:tc>
        <w:tc>
          <w:tcPr>
            <w:tcW w:w="1238" w:type="dxa"/>
            <w:shd w:val="clear" w:color="auto" w:fill="auto"/>
            <w:tcMar>
              <w:top w:w="113" w:type="dxa"/>
            </w:tcMar>
          </w:tcPr>
          <w:p w:rsidR="005205DA" w:rsidRPr="008869AE" w:rsidRDefault="005205DA" w:rsidP="004C5DDE">
            <w:pPr>
              <w:spacing w:before="60"/>
              <w:ind w:left="176"/>
              <w:rPr>
                <w:rFonts w:cs="Arial"/>
                <w:sz w:val="14"/>
                <w:szCs w:val="14"/>
              </w:rPr>
            </w:pPr>
            <w:r w:rsidRPr="008869AE">
              <w:rPr>
                <w:rFonts w:cs="Arial"/>
                <w:sz w:val="14"/>
                <w:szCs w:val="14"/>
              </w:rPr>
              <w:t>Program 2</w:t>
            </w:r>
          </w:p>
          <w:p w:rsidR="005205DA" w:rsidRPr="008869AE" w:rsidRDefault="005205DA" w:rsidP="00490784">
            <w:pPr>
              <w:spacing w:before="80"/>
              <w:ind w:left="176"/>
              <w:rPr>
                <w:rFonts w:cs="Arial"/>
                <w:sz w:val="14"/>
                <w:szCs w:val="14"/>
              </w:rPr>
            </w:pPr>
            <w:r w:rsidRPr="008869AE">
              <w:rPr>
                <w:rFonts w:cs="Arial"/>
                <w:sz w:val="14"/>
                <w:szCs w:val="14"/>
              </w:rPr>
              <w:t>Program 9</w:t>
            </w:r>
          </w:p>
          <w:p w:rsidR="005205DA" w:rsidRPr="008869AE" w:rsidRDefault="005205DA" w:rsidP="00490784">
            <w:pPr>
              <w:spacing w:before="80"/>
              <w:ind w:left="176"/>
              <w:rPr>
                <w:rFonts w:cs="Arial"/>
                <w:sz w:val="14"/>
                <w:szCs w:val="14"/>
              </w:rPr>
            </w:pPr>
            <w:r w:rsidRPr="008869AE">
              <w:rPr>
                <w:rFonts w:cs="Arial"/>
                <w:sz w:val="14"/>
                <w:szCs w:val="14"/>
              </w:rPr>
              <w:t>Program 10</w:t>
            </w:r>
          </w:p>
        </w:tc>
        <w:tc>
          <w:tcPr>
            <w:tcW w:w="1445" w:type="dxa"/>
          </w:tcPr>
          <w:p w:rsidR="005205DA" w:rsidRPr="003C6864" w:rsidRDefault="005205DA" w:rsidP="004C5DDE">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3912D5" w:rsidRDefault="003912D5" w:rsidP="004C5DDE">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60"/>
              <w:rPr>
                <w:rFonts w:cs="Arial"/>
                <w:color w:val="000000"/>
                <w:sz w:val="14"/>
                <w:szCs w:val="14"/>
              </w:rPr>
            </w:pPr>
            <w:r w:rsidRPr="008869AE">
              <w:rPr>
                <w:rFonts w:cs="Arial"/>
                <w:color w:val="000000"/>
                <w:sz w:val="14"/>
                <w:szCs w:val="14"/>
              </w:rPr>
              <w:t xml:space="preserve">No. of countries providing positive feedback on the usefulness of the provided legislative advice in the area of trademarks, industrial designs and geographical indications </w:t>
            </w:r>
          </w:p>
        </w:tc>
        <w:tc>
          <w:tcPr>
            <w:tcW w:w="1238" w:type="dxa"/>
            <w:shd w:val="clear" w:color="auto" w:fill="auto"/>
            <w:tcMar>
              <w:top w:w="113" w:type="dxa"/>
            </w:tcMar>
          </w:tcPr>
          <w:p w:rsidR="005205DA" w:rsidRPr="008869AE" w:rsidRDefault="005205DA" w:rsidP="004C5DDE">
            <w:pPr>
              <w:spacing w:before="60"/>
              <w:ind w:left="176"/>
              <w:rPr>
                <w:rFonts w:cs="Arial"/>
                <w:sz w:val="14"/>
                <w:szCs w:val="14"/>
              </w:rPr>
            </w:pPr>
            <w:r w:rsidRPr="008869AE">
              <w:rPr>
                <w:rFonts w:cs="Arial"/>
                <w:sz w:val="14"/>
                <w:szCs w:val="14"/>
              </w:rPr>
              <w:t>Program 2</w:t>
            </w:r>
          </w:p>
          <w:p w:rsidR="005205DA" w:rsidRPr="008869AE" w:rsidRDefault="005205DA" w:rsidP="00490784">
            <w:pPr>
              <w:spacing w:before="80"/>
              <w:ind w:left="176"/>
              <w:rPr>
                <w:rFonts w:cs="Arial"/>
                <w:sz w:val="14"/>
                <w:szCs w:val="14"/>
              </w:rPr>
            </w:pPr>
            <w:r w:rsidRPr="008869AE">
              <w:rPr>
                <w:rFonts w:cs="Arial"/>
                <w:sz w:val="14"/>
                <w:szCs w:val="14"/>
              </w:rPr>
              <w:t>Program 9</w:t>
            </w:r>
          </w:p>
          <w:p w:rsidR="005205DA" w:rsidRPr="008869AE" w:rsidRDefault="005205DA" w:rsidP="00490784">
            <w:pPr>
              <w:spacing w:before="80"/>
              <w:ind w:left="176"/>
              <w:rPr>
                <w:rFonts w:cs="Arial"/>
                <w:sz w:val="14"/>
                <w:szCs w:val="14"/>
              </w:rPr>
            </w:pPr>
            <w:r w:rsidRPr="008869AE">
              <w:rPr>
                <w:rFonts w:cs="Arial"/>
                <w:sz w:val="14"/>
                <w:szCs w:val="14"/>
              </w:rPr>
              <w:t>Program 10</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r w:rsidR="005205DA" w:rsidRPr="00680A69" w:rsidTr="004C5DDE">
        <w:tc>
          <w:tcPr>
            <w:tcW w:w="3399" w:type="dxa"/>
            <w:shd w:val="clear" w:color="auto" w:fill="auto"/>
            <w:tcMar>
              <w:top w:w="113" w:type="dxa"/>
            </w:tcMar>
          </w:tcPr>
          <w:p w:rsidR="005205DA" w:rsidRPr="008869AE" w:rsidRDefault="005205DA" w:rsidP="008869AE">
            <w:pPr>
              <w:spacing w:before="80"/>
              <w:ind w:firstLineChars="100" w:firstLine="140"/>
              <w:rPr>
                <w:rFonts w:cs="Arial"/>
                <w:sz w:val="14"/>
                <w:szCs w:val="14"/>
              </w:rPr>
            </w:pPr>
          </w:p>
        </w:tc>
        <w:tc>
          <w:tcPr>
            <w:tcW w:w="3284" w:type="dxa"/>
            <w:shd w:val="clear" w:color="auto" w:fill="auto"/>
            <w:tcMar>
              <w:top w:w="113" w:type="dxa"/>
            </w:tcMar>
          </w:tcPr>
          <w:p w:rsidR="005205DA" w:rsidRPr="008869AE" w:rsidRDefault="005205DA" w:rsidP="004C5DDE">
            <w:pPr>
              <w:spacing w:before="60"/>
              <w:rPr>
                <w:sz w:val="14"/>
                <w:szCs w:val="14"/>
                <w:lang w:bidi="th-TH"/>
              </w:rPr>
            </w:pPr>
            <w:r w:rsidRPr="008869AE">
              <w:rPr>
                <w:sz w:val="14"/>
                <w:szCs w:val="14"/>
                <w:lang w:bidi="th-TH"/>
              </w:rPr>
              <w:t>No. of countries provided with technical assistance on new or updated legislative frameworks for effective enforcement, taking into account flexibilities in Part III of TRIPS</w:t>
            </w:r>
          </w:p>
          <w:p w:rsidR="005205DA" w:rsidRPr="008869AE" w:rsidRDefault="005205DA" w:rsidP="004C5DDE">
            <w:pPr>
              <w:spacing w:before="60"/>
              <w:rPr>
                <w:rFonts w:cs="Arial"/>
                <w:color w:val="000000"/>
                <w:sz w:val="14"/>
                <w:szCs w:val="14"/>
              </w:rPr>
            </w:pPr>
          </w:p>
        </w:tc>
        <w:tc>
          <w:tcPr>
            <w:tcW w:w="1238" w:type="dxa"/>
            <w:shd w:val="clear" w:color="auto" w:fill="auto"/>
            <w:tcMar>
              <w:top w:w="113" w:type="dxa"/>
            </w:tcMar>
          </w:tcPr>
          <w:p w:rsidR="005205DA" w:rsidRPr="008869AE" w:rsidRDefault="005205DA" w:rsidP="004C5DDE">
            <w:pPr>
              <w:spacing w:before="60"/>
              <w:ind w:left="176"/>
              <w:rPr>
                <w:rFonts w:cs="Arial"/>
                <w:sz w:val="14"/>
                <w:szCs w:val="14"/>
              </w:rPr>
            </w:pPr>
            <w:r w:rsidRPr="008869AE">
              <w:rPr>
                <w:rFonts w:cs="Arial"/>
                <w:sz w:val="14"/>
                <w:szCs w:val="14"/>
              </w:rPr>
              <w:t>Program 17</w:t>
            </w:r>
          </w:p>
          <w:p w:rsidR="005205DA" w:rsidRPr="008869AE" w:rsidRDefault="005205DA" w:rsidP="00490784">
            <w:pPr>
              <w:spacing w:before="80"/>
              <w:ind w:left="176"/>
              <w:rPr>
                <w:rFonts w:cs="Arial"/>
                <w:sz w:val="14"/>
                <w:szCs w:val="14"/>
              </w:rPr>
            </w:pPr>
            <w:r w:rsidRPr="008869AE">
              <w:rPr>
                <w:rFonts w:cs="Arial"/>
                <w:sz w:val="14"/>
                <w:szCs w:val="14"/>
              </w:rPr>
              <w:t>Program 9</w:t>
            </w:r>
          </w:p>
        </w:tc>
        <w:tc>
          <w:tcPr>
            <w:tcW w:w="1445" w:type="dxa"/>
          </w:tcPr>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p w:rsidR="005205DA" w:rsidRPr="004A7442" w:rsidRDefault="005205DA" w:rsidP="004C5DDE">
            <w:pPr>
              <w:jc w:val="center"/>
              <w:rPr>
                <w:rFonts w:cs="Arial"/>
                <w:color w:val="10862C"/>
                <w:sz w:val="22"/>
                <w:szCs w:val="22"/>
              </w:rPr>
            </w:pPr>
            <w:r w:rsidRPr="004A7442">
              <w:rPr>
                <w:rFonts w:cs="Arial"/>
                <w:color w:val="10862C"/>
                <w:sz w:val="22"/>
                <w:szCs w:val="22"/>
              </w:rPr>
              <w:sym w:font="Wingdings" w:char="F06C"/>
            </w:r>
          </w:p>
        </w:tc>
      </w:tr>
    </w:tbl>
    <w:p w:rsidR="005205DA" w:rsidRDefault="005205DA" w:rsidP="00B06EC8">
      <w:pPr>
        <w:jc w:val="both"/>
      </w:pPr>
    </w:p>
    <w:p w:rsidR="005205DA" w:rsidRDefault="005205DA" w:rsidP="00B06EC8">
      <w:pPr>
        <w:jc w:val="both"/>
      </w:pPr>
    </w:p>
    <w:p w:rsidR="00B06EC8" w:rsidRPr="00812B04" w:rsidRDefault="00B06EC8" w:rsidP="00B06EC8">
      <w:pPr>
        <w:jc w:val="both"/>
      </w:pPr>
      <w:r w:rsidRPr="00812B04">
        <w:t xml:space="preserve">Significant progress was made in 2012/13 under this Strategic Goal with the adoption of text for two new copyright treaties:  the Beijing Treaty for the Protection of Audiovisual Performances (Beijing Treaty) and the Marrakesh Treaty to Facilitate Access to Published Works for Persons Who Are Blind, Visually Impaired or Otherwise Print Disabled (Marrakesh VIP Treaty). </w:t>
      </w:r>
      <w:r w:rsidR="00D164E4">
        <w:t xml:space="preserve"> </w:t>
      </w:r>
      <w:r w:rsidRPr="00812B04">
        <w:t xml:space="preserve">Further progress was made on the other items on the agenda of the Standing Committee on Copyright and Related Rights (SCCR) during the three meetings held in July 2012, November 2012, and December 2013. </w:t>
      </w:r>
      <w:r w:rsidR="00D164E4">
        <w:t xml:space="preserve"> </w:t>
      </w:r>
      <w:r w:rsidRPr="00812B04">
        <w:t xml:space="preserve">The SCCR also adopted and submitted to the 2012 WIPO General Assemblies an updated work plan to address another proposed treaty and several other limitations and exceptions topics: </w:t>
      </w:r>
      <w:r w:rsidR="00D164E4">
        <w:t xml:space="preserve"> </w:t>
      </w:r>
      <w:r w:rsidRPr="00812B04">
        <w:t>a treaty for broadcasting organizations and limitations and exceptions related to libraries and archives, educational and research institutions and persons with other disabilities.  Work progressed on developing working texts on these issues during each session of the SCCR.</w:t>
      </w:r>
    </w:p>
    <w:p w:rsidR="00B06EC8" w:rsidRPr="00812B04" w:rsidRDefault="00B06EC8" w:rsidP="00B06EC8">
      <w:pPr>
        <w:jc w:val="both"/>
      </w:pPr>
    </w:p>
    <w:p w:rsidR="00B06EC8" w:rsidRPr="00812B04" w:rsidRDefault="00B06EC8" w:rsidP="00B06EC8">
      <w:pPr>
        <w:jc w:val="both"/>
      </w:pPr>
      <w:r w:rsidRPr="00812B04">
        <w:t xml:space="preserve">Under its new mandate for the biennium established in late 2011, the Intergovernmental Committee on Intellectual Property and Genetic Resources, Traditional Knowledge and Folklore (IGC) met six times (IGCs 20 to 25).  The IGC established a clearly defined work program and sound working methods and made progress in its “text-based negotiations” as required by the mandate.  By the end of the sixth session of the biennium (IGC 25), the IGC had further improved single, consolidated negotiating texts on each of the three themes of the IGC (namely, genetic resources (GRs), traditional knowledge (TK) and traditional cultural expressions (TCEs)).  An evaluation conducted by WIPO’s </w:t>
      </w:r>
      <w:r w:rsidR="00E94AD4">
        <w:t>IAOD</w:t>
      </w:r>
      <w:r w:rsidRPr="00812B04">
        <w:t xml:space="preserve"> in 2013 found a high rate of satisfaction among IGC participants with the services provided to the IGC by the Secretariat.  In</w:t>
      </w:r>
      <w:r w:rsidR="00490784">
        <w:t> </w:t>
      </w:r>
      <w:r w:rsidRPr="00812B04">
        <w:t xml:space="preserve">accordance with the mandate of the IGC for the 2012/13 biennium, the WIPO General Assembly in October 2013 agreed on a renewed mandate of the IGC for 2014/15 and a work program for 2014.  </w:t>
      </w:r>
    </w:p>
    <w:p w:rsidR="00B06EC8" w:rsidRPr="00812B04" w:rsidRDefault="00B06EC8" w:rsidP="00B06EC8">
      <w:pPr>
        <w:jc w:val="both"/>
      </w:pPr>
    </w:p>
    <w:p w:rsidR="00B06EC8" w:rsidRPr="00812B04" w:rsidRDefault="00B06EC8" w:rsidP="00490784">
      <w:pPr>
        <w:keepNext/>
        <w:keepLines/>
        <w:autoSpaceDE w:val="0"/>
        <w:autoSpaceDN w:val="0"/>
        <w:adjustRightInd w:val="0"/>
        <w:jc w:val="both"/>
        <w:rPr>
          <w:szCs w:val="22"/>
        </w:rPr>
      </w:pPr>
      <w:r w:rsidRPr="00812B04">
        <w:lastRenderedPageBreak/>
        <w:t xml:space="preserve">The Standing Committee on the Law of Trademarks, Industrial Designs and Geographical Indications (SCT) made good progress in its work towards an international agreement on industrial design law and practice.  At its session in December 2013, the WIPO General Assembly requested the SCT to finalize its work on the text of a basic proposal for a Design Law Treaty and agreed that it would make a decision on the convening of a Diplomatic Conference at its extraordinary session in May 2014. </w:t>
      </w:r>
      <w:r w:rsidR="00D164E4">
        <w:t xml:space="preserve"> </w:t>
      </w:r>
      <w:r w:rsidRPr="00812B04">
        <w:t>Likewise, the SCT continued its work on the protection of country names and considered a study prepared by the Secretariat, as well as a number of proposals by Member States.</w:t>
      </w:r>
    </w:p>
    <w:p w:rsidR="00B06EC8" w:rsidRPr="00812B04" w:rsidRDefault="00B06EC8" w:rsidP="00B06EC8">
      <w:pPr>
        <w:autoSpaceDE w:val="0"/>
        <w:autoSpaceDN w:val="0"/>
        <w:adjustRightInd w:val="0"/>
        <w:jc w:val="both"/>
      </w:pPr>
    </w:p>
    <w:p w:rsidR="008869AE" w:rsidRDefault="00B06EC8" w:rsidP="00B06EC8">
      <w:pPr>
        <w:jc w:val="both"/>
        <w:rPr>
          <w:i/>
          <w:iCs/>
        </w:rPr>
      </w:pPr>
      <w:r w:rsidRPr="00812B04">
        <w:rPr>
          <w:bCs/>
        </w:rPr>
        <w:t>In view of enhancing cooperation among Member States on further developing balanced policy and normative frameworks for the international patent system, the eighteenth and nineteenth sessions of the Standing Committee on the Law of Patents (SCP) were held in May 2012 and February 2013, respectively.  The SCP continued to examine five topics on its agenda, namely:  (i) exceptions and limitations to patent rights;  (ii) quality of patents, including opposition systems;  (iii) patents and health;  (iv) confidentiality of communication between clients and their patent advisors;  and (v) transfer of technology.</w:t>
      </w:r>
    </w:p>
    <w:p w:rsidR="008869AE" w:rsidRDefault="008869AE" w:rsidP="00B06EC8">
      <w:pPr>
        <w:jc w:val="both"/>
        <w:rPr>
          <w:i/>
          <w:iCs/>
        </w:rPr>
      </w:pPr>
    </w:p>
    <w:p w:rsidR="00DC2CFA" w:rsidRDefault="00DC2CFA" w:rsidP="00B06EC8">
      <w:pPr>
        <w:jc w:val="both"/>
        <w:rPr>
          <w:i/>
          <w:iCs/>
        </w:rPr>
      </w:pPr>
    </w:p>
    <w:p w:rsidR="00B06EC8" w:rsidRPr="008869AE" w:rsidRDefault="00B06EC8" w:rsidP="00E94AD4">
      <w:pPr>
        <w:jc w:val="center"/>
        <w:rPr>
          <w:i/>
          <w:iCs/>
        </w:rPr>
      </w:pPr>
      <w:r w:rsidRPr="008869AE">
        <w:rPr>
          <w:b/>
          <w:iCs/>
        </w:rPr>
        <w:t xml:space="preserve">Strategic Goal II: </w:t>
      </w:r>
      <w:r w:rsidR="00595665" w:rsidRPr="008869AE">
        <w:rPr>
          <w:b/>
          <w:iCs/>
        </w:rPr>
        <w:t xml:space="preserve"> </w:t>
      </w:r>
      <w:r w:rsidRPr="008869AE">
        <w:rPr>
          <w:b/>
          <w:iCs/>
        </w:rPr>
        <w:t>Provision of Premier Global IP Services</w:t>
      </w:r>
    </w:p>
    <w:p w:rsidR="00555AFA" w:rsidRDefault="00555AFA" w:rsidP="00B06EC8">
      <w:pPr>
        <w:jc w:val="both"/>
        <w:rPr>
          <w:i/>
          <w:iCs/>
        </w:rPr>
      </w:pPr>
    </w:p>
    <w:p w:rsidR="008465CB" w:rsidRDefault="008465CB" w:rsidP="00B06EC8">
      <w:pPr>
        <w:jc w:val="both"/>
        <w:rPr>
          <w:i/>
          <w:iCs/>
        </w:rPr>
      </w:pPr>
    </w:p>
    <w:p w:rsidR="008465CB" w:rsidRPr="008465CB" w:rsidRDefault="008465CB" w:rsidP="008465CB">
      <w:pPr>
        <w:jc w:val="center"/>
        <w:rPr>
          <w:b/>
          <w:sz w:val="18"/>
          <w:szCs w:val="18"/>
        </w:rPr>
      </w:pPr>
      <w:r w:rsidRPr="008465CB">
        <w:rPr>
          <w:b/>
          <w:sz w:val="18"/>
          <w:szCs w:val="18"/>
        </w:rPr>
        <w:t>Summary of Achievements by Expected Result</w:t>
      </w:r>
    </w:p>
    <w:p w:rsidR="008465CB" w:rsidRDefault="008869AE" w:rsidP="00B06EC8">
      <w:pPr>
        <w:jc w:val="both"/>
        <w:rPr>
          <w:i/>
          <w:iCs/>
        </w:rPr>
      </w:pPr>
      <w:r>
        <w:rPr>
          <w:noProof/>
        </w:rPr>
        <w:drawing>
          <wp:inline distT="0" distB="0" distL="0" distR="0" wp14:anchorId="440BCF6A" wp14:editId="1420E5AF">
            <wp:extent cx="5940425" cy="4478801"/>
            <wp:effectExtent l="0" t="0" r="3175"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2"/>
                    <pic:cNvPicPr>
                      <a:picLocks noChangeAspect="1"/>
                    </pic:cNvPicPr>
                  </pic:nvPicPr>
                  <pic:blipFill>
                    <a:blip r:embed="rId18"/>
                    <a:stretch>
                      <a:fillRect/>
                    </a:stretch>
                  </pic:blipFill>
                  <pic:spPr>
                    <a:xfrm>
                      <a:off x="0" y="0"/>
                      <a:ext cx="5940425" cy="4478801"/>
                    </a:xfrm>
                    <a:prstGeom prst="rect">
                      <a:avLst/>
                    </a:prstGeom>
                  </pic:spPr>
                </pic:pic>
              </a:graphicData>
            </a:graphic>
          </wp:inline>
        </w:drawing>
      </w:r>
    </w:p>
    <w:p w:rsidR="008465CB" w:rsidRDefault="008465CB" w:rsidP="008465CB">
      <w:pPr>
        <w:jc w:val="center"/>
      </w:pPr>
    </w:p>
    <w:p w:rsidR="008465CB" w:rsidRDefault="008465CB" w:rsidP="008465CB">
      <w:pPr>
        <w:jc w:val="center"/>
      </w:pPr>
    </w:p>
    <w:p w:rsidR="008869AE" w:rsidRDefault="008869AE" w:rsidP="008869AE">
      <w:pPr>
        <w:rPr>
          <w:b/>
          <w:sz w:val="18"/>
          <w:szCs w:val="18"/>
        </w:rPr>
      </w:pPr>
    </w:p>
    <w:p w:rsidR="008869AE" w:rsidRDefault="008869AE" w:rsidP="008869AE">
      <w:pPr>
        <w:jc w:val="center"/>
        <w:rPr>
          <w:b/>
          <w:sz w:val="18"/>
          <w:szCs w:val="18"/>
        </w:rPr>
      </w:pPr>
    </w:p>
    <w:p w:rsidR="004A7442" w:rsidRDefault="004A7442" w:rsidP="008869AE">
      <w:pPr>
        <w:jc w:val="center"/>
        <w:rPr>
          <w:b/>
          <w:sz w:val="18"/>
          <w:szCs w:val="18"/>
        </w:rPr>
      </w:pPr>
    </w:p>
    <w:p w:rsidR="004A7442" w:rsidRDefault="004A7442" w:rsidP="008869AE">
      <w:pPr>
        <w:jc w:val="center"/>
        <w:rPr>
          <w:b/>
          <w:sz w:val="18"/>
          <w:szCs w:val="18"/>
        </w:rPr>
      </w:pPr>
    </w:p>
    <w:p w:rsidR="004A7442" w:rsidRDefault="004A7442" w:rsidP="008869AE">
      <w:pPr>
        <w:jc w:val="center"/>
        <w:rPr>
          <w:b/>
          <w:sz w:val="18"/>
          <w:szCs w:val="18"/>
        </w:rPr>
      </w:pPr>
    </w:p>
    <w:p w:rsidR="00177D21" w:rsidRDefault="00177D21">
      <w:pPr>
        <w:rPr>
          <w:b/>
          <w:sz w:val="18"/>
          <w:szCs w:val="18"/>
        </w:rPr>
      </w:pPr>
      <w:r>
        <w:rPr>
          <w:b/>
          <w:sz w:val="18"/>
          <w:szCs w:val="18"/>
        </w:rPr>
        <w:br w:type="page"/>
      </w:r>
    </w:p>
    <w:p w:rsidR="004808E3" w:rsidRPr="0086702C" w:rsidRDefault="008869AE" w:rsidP="004808E3">
      <w:pPr>
        <w:jc w:val="center"/>
        <w:rPr>
          <w:b/>
          <w:szCs w:val="20"/>
        </w:rPr>
      </w:pPr>
      <w:r w:rsidRPr="0086702C">
        <w:rPr>
          <w:b/>
          <w:szCs w:val="20"/>
        </w:rPr>
        <w:lastRenderedPageBreak/>
        <w:t>Biennial Performance Dashboard</w:t>
      </w:r>
    </w:p>
    <w:p w:rsidR="008465CB" w:rsidRPr="00177D21" w:rsidRDefault="008465CB" w:rsidP="008465CB">
      <w:pPr>
        <w:jc w:val="center"/>
        <w:rPr>
          <w:sz w:val="16"/>
          <w:szCs w:val="16"/>
        </w:rPr>
      </w:pPr>
    </w:p>
    <w:p w:rsidR="008465CB" w:rsidRPr="008465CB" w:rsidRDefault="008465CB" w:rsidP="008465CB">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B06EC8" w:rsidRPr="00177D21" w:rsidRDefault="00B06EC8" w:rsidP="00B06EC8">
      <w:pPr>
        <w:jc w:val="both"/>
        <w:rPr>
          <w:i/>
          <w:iCs/>
          <w:sz w:val="16"/>
          <w:szCs w:val="16"/>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8465CB" w:rsidRPr="004B5B87" w:rsidTr="004808E3">
        <w:trPr>
          <w:tblHeader/>
        </w:trPr>
        <w:tc>
          <w:tcPr>
            <w:tcW w:w="3224" w:type="dxa"/>
            <w:tcBorders>
              <w:top w:val="single" w:sz="4" w:space="0" w:color="auto"/>
              <w:bottom w:val="single" w:sz="4" w:space="0" w:color="auto"/>
            </w:tcBorders>
            <w:shd w:val="clear" w:color="auto" w:fill="CCFFFF"/>
            <w:vAlign w:val="center"/>
          </w:tcPr>
          <w:p w:rsidR="008465CB" w:rsidRPr="008869AE" w:rsidRDefault="008465CB" w:rsidP="004C5DDE">
            <w:pPr>
              <w:spacing w:before="120" w:after="120"/>
              <w:jc w:val="center"/>
              <w:rPr>
                <w:rFonts w:cs="Arial"/>
                <w:b/>
                <w:bCs/>
                <w:sz w:val="14"/>
                <w:szCs w:val="14"/>
              </w:rPr>
            </w:pPr>
            <w:r w:rsidRPr="008869AE">
              <w:rPr>
                <w:rFonts w:cs="Arial"/>
                <w:b/>
                <w:bCs/>
                <w:sz w:val="14"/>
                <w:szCs w:val="14"/>
              </w:rPr>
              <w:t>Expected Results</w:t>
            </w:r>
          </w:p>
        </w:tc>
        <w:tc>
          <w:tcPr>
            <w:tcW w:w="3435" w:type="dxa"/>
            <w:tcBorders>
              <w:top w:val="single" w:sz="4" w:space="0" w:color="auto"/>
              <w:bottom w:val="single" w:sz="4" w:space="0" w:color="auto"/>
            </w:tcBorders>
            <w:shd w:val="clear" w:color="auto" w:fill="CCFFFF"/>
            <w:vAlign w:val="center"/>
          </w:tcPr>
          <w:p w:rsidR="008465CB" w:rsidRPr="008869AE" w:rsidRDefault="008465CB" w:rsidP="004C5DDE">
            <w:pPr>
              <w:spacing w:before="120" w:after="120"/>
              <w:jc w:val="center"/>
              <w:rPr>
                <w:rFonts w:cs="Arial"/>
                <w:b/>
                <w:bCs/>
                <w:sz w:val="14"/>
                <w:szCs w:val="14"/>
              </w:rPr>
            </w:pPr>
            <w:r w:rsidRPr="008869AE">
              <w:rPr>
                <w:rFonts w:cs="Arial"/>
                <w:b/>
                <w:bCs/>
                <w:sz w:val="14"/>
                <w:szCs w:val="14"/>
              </w:rPr>
              <w:t>Performance Indicators</w:t>
            </w:r>
          </w:p>
        </w:tc>
        <w:tc>
          <w:tcPr>
            <w:tcW w:w="1365" w:type="dxa"/>
            <w:tcBorders>
              <w:top w:val="single" w:sz="4" w:space="0" w:color="auto"/>
              <w:bottom w:val="single" w:sz="4" w:space="0" w:color="auto"/>
            </w:tcBorders>
            <w:shd w:val="clear" w:color="auto" w:fill="CCFFFF"/>
            <w:vAlign w:val="center"/>
          </w:tcPr>
          <w:p w:rsidR="008465CB" w:rsidRPr="008869AE" w:rsidRDefault="008465CB" w:rsidP="004C5DDE">
            <w:pPr>
              <w:spacing w:before="120" w:after="120"/>
              <w:jc w:val="center"/>
              <w:rPr>
                <w:rFonts w:cs="Arial"/>
                <w:b/>
                <w:bCs/>
                <w:sz w:val="14"/>
                <w:szCs w:val="14"/>
              </w:rPr>
            </w:pPr>
            <w:r w:rsidRPr="008869AE">
              <w:rPr>
                <w:rFonts w:cs="Arial"/>
                <w:b/>
                <w:bCs/>
                <w:sz w:val="14"/>
                <w:szCs w:val="14"/>
              </w:rPr>
              <w:t>Responsible Program(s)</w:t>
            </w:r>
          </w:p>
        </w:tc>
        <w:tc>
          <w:tcPr>
            <w:tcW w:w="1342" w:type="dxa"/>
            <w:tcBorders>
              <w:top w:val="single" w:sz="4" w:space="0" w:color="auto"/>
              <w:bottom w:val="single" w:sz="4" w:space="0" w:color="auto"/>
            </w:tcBorders>
            <w:shd w:val="clear" w:color="auto" w:fill="CCFFFF"/>
            <w:vAlign w:val="center"/>
          </w:tcPr>
          <w:p w:rsidR="008465CB" w:rsidRPr="008869AE" w:rsidRDefault="008465CB" w:rsidP="004C5DDE">
            <w:pPr>
              <w:spacing w:before="120" w:after="120"/>
              <w:jc w:val="center"/>
              <w:rPr>
                <w:rFonts w:cs="Arial"/>
                <w:b/>
                <w:bCs/>
                <w:sz w:val="14"/>
                <w:szCs w:val="14"/>
              </w:rPr>
            </w:pPr>
            <w:r w:rsidRPr="008869AE">
              <w:rPr>
                <w:rFonts w:cs="Arial"/>
                <w:b/>
                <w:bCs/>
                <w:sz w:val="14"/>
                <w:szCs w:val="14"/>
              </w:rPr>
              <w:t>TLS</w:t>
            </w:r>
          </w:p>
        </w:tc>
      </w:tr>
      <w:tr w:rsidR="008465CB" w:rsidRPr="004B5B87" w:rsidTr="004808E3">
        <w:tc>
          <w:tcPr>
            <w:tcW w:w="3224" w:type="dxa"/>
            <w:tcBorders>
              <w:top w:val="single" w:sz="4" w:space="0" w:color="auto"/>
            </w:tcBorders>
            <w:shd w:val="clear" w:color="auto" w:fill="auto"/>
            <w:tcMar>
              <w:top w:w="113" w:type="dxa"/>
            </w:tcMar>
          </w:tcPr>
          <w:p w:rsidR="008465CB" w:rsidRPr="008869AE" w:rsidRDefault="008465CB" w:rsidP="004C5DDE">
            <w:pPr>
              <w:spacing w:before="80"/>
              <w:rPr>
                <w:rFonts w:cs="Arial"/>
                <w:sz w:val="14"/>
                <w:szCs w:val="14"/>
              </w:rPr>
            </w:pPr>
            <w:r w:rsidRPr="008869AE">
              <w:rPr>
                <w:rFonts w:cs="Arial"/>
                <w:sz w:val="14"/>
                <w:szCs w:val="14"/>
              </w:rPr>
              <w:t>Informed strategic use of the PCT by all innovators who could benefit from it</w:t>
            </w:r>
          </w:p>
        </w:tc>
        <w:tc>
          <w:tcPr>
            <w:tcW w:w="3435" w:type="dxa"/>
            <w:tcBorders>
              <w:top w:val="single" w:sz="4" w:space="0" w:color="auto"/>
            </w:tcBorders>
            <w:shd w:val="clear" w:color="auto" w:fill="auto"/>
            <w:tcMar>
              <w:top w:w="113" w:type="dxa"/>
            </w:tcMar>
          </w:tcPr>
          <w:p w:rsidR="00490784" w:rsidRDefault="008465CB" w:rsidP="00490784">
            <w:pPr>
              <w:spacing w:before="80"/>
              <w:rPr>
                <w:rFonts w:cs="Arial"/>
                <w:sz w:val="14"/>
                <w:szCs w:val="14"/>
              </w:rPr>
            </w:pPr>
            <w:r w:rsidRPr="008869AE">
              <w:rPr>
                <w:rFonts w:cs="Arial"/>
                <w:sz w:val="14"/>
                <w:szCs w:val="14"/>
              </w:rPr>
              <w:t>PCT filings</w:t>
            </w:r>
          </w:p>
          <w:p w:rsidR="008465CB" w:rsidRPr="008869AE" w:rsidRDefault="008465CB" w:rsidP="00490784">
            <w:pPr>
              <w:spacing w:before="80"/>
              <w:rPr>
                <w:rFonts w:cs="Arial"/>
                <w:sz w:val="14"/>
                <w:szCs w:val="14"/>
              </w:rPr>
            </w:pPr>
            <w:r w:rsidRPr="008869AE">
              <w:rPr>
                <w:rFonts w:cs="Arial"/>
                <w:sz w:val="14"/>
                <w:szCs w:val="14"/>
              </w:rPr>
              <w:t>Share of PCT national phase entries in total international patent filings</w:t>
            </w:r>
          </w:p>
        </w:tc>
        <w:tc>
          <w:tcPr>
            <w:tcW w:w="1365" w:type="dxa"/>
            <w:tcBorders>
              <w:top w:val="single" w:sz="4" w:space="0" w:color="auto"/>
            </w:tcBorders>
            <w:shd w:val="clear" w:color="auto" w:fill="auto"/>
            <w:tcMar>
              <w:top w:w="113" w:type="dxa"/>
            </w:tcMar>
          </w:tcPr>
          <w:p w:rsidR="008465CB" w:rsidRDefault="008465CB" w:rsidP="004C5DDE">
            <w:pPr>
              <w:spacing w:before="80"/>
              <w:jc w:val="center"/>
              <w:rPr>
                <w:rFonts w:cs="Arial"/>
                <w:sz w:val="14"/>
                <w:szCs w:val="14"/>
              </w:rPr>
            </w:pPr>
            <w:r w:rsidRPr="008869AE">
              <w:rPr>
                <w:rFonts w:cs="Arial"/>
                <w:sz w:val="14"/>
                <w:szCs w:val="14"/>
              </w:rPr>
              <w:t>Program 5</w:t>
            </w:r>
          </w:p>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Borders>
              <w:top w:val="single" w:sz="4" w:space="0" w:color="auto"/>
            </w:tcBorders>
          </w:tcPr>
          <w:p w:rsidR="00490784" w:rsidRDefault="008465CB" w:rsidP="00490784">
            <w:pPr>
              <w:jc w:val="center"/>
              <w:rPr>
                <w:rFonts w:cs="Arial"/>
                <w:color w:val="10862C"/>
                <w:sz w:val="22"/>
                <w:szCs w:val="22"/>
              </w:rPr>
            </w:pPr>
            <w:r w:rsidRPr="004A7442">
              <w:rPr>
                <w:rFonts w:cs="Arial"/>
                <w:color w:val="10862C"/>
                <w:sz w:val="22"/>
                <w:szCs w:val="22"/>
              </w:rPr>
              <w:sym w:font="Wingdings" w:char="F06C"/>
            </w:r>
          </w:p>
          <w:p w:rsidR="008465CB" w:rsidRPr="004A7442" w:rsidRDefault="008465CB" w:rsidP="00490784">
            <w:pPr>
              <w:spacing w:before="20"/>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E10968">
            <w:pPr>
              <w:spacing w:before="60"/>
              <w:rPr>
                <w:rFonts w:cs="Arial"/>
                <w:sz w:val="14"/>
                <w:szCs w:val="14"/>
              </w:rPr>
            </w:pPr>
            <w:r w:rsidRPr="008869AE">
              <w:rPr>
                <w:rFonts w:cs="Arial"/>
                <w:sz w:val="14"/>
                <w:szCs w:val="14"/>
              </w:rPr>
              <w:t>Stronger relationships with PCT users and Offices</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Satisfaction of Offices and International Authorities with PCT cooperative activities</w:t>
            </w:r>
          </w:p>
        </w:tc>
        <w:tc>
          <w:tcPr>
            <w:tcW w:w="1365" w:type="dxa"/>
            <w:shd w:val="clear" w:color="auto" w:fill="auto"/>
            <w:tcMar>
              <w:top w:w="113" w:type="dxa"/>
            </w:tcMar>
          </w:tcPr>
          <w:p w:rsidR="008465CB" w:rsidRPr="008869AE" w:rsidRDefault="008465CB" w:rsidP="00177D21">
            <w:pPr>
              <w:spacing w:before="6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vAlign w:val="center"/>
          </w:tcPr>
          <w:p w:rsidR="008465CB" w:rsidRPr="008869AE" w:rsidRDefault="008465CB" w:rsidP="004C5DDE">
            <w:pPr>
              <w:spacing w:before="8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Meaningful contact with PCT users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vAlign w:val="center"/>
          </w:tcPr>
          <w:p w:rsidR="008465CB" w:rsidRPr="008869AE" w:rsidRDefault="008465CB" w:rsidP="004C5DDE">
            <w:pPr>
              <w:spacing w:before="8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Increased feedback from PCT users on overall system performance</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E10968">
            <w:pPr>
              <w:spacing w:before="60"/>
              <w:rPr>
                <w:rFonts w:cs="Arial"/>
                <w:sz w:val="14"/>
                <w:szCs w:val="14"/>
              </w:rPr>
            </w:pPr>
            <w:r w:rsidRPr="008869AE">
              <w:rPr>
                <w:rFonts w:cs="Arial"/>
                <w:sz w:val="14"/>
                <w:szCs w:val="14"/>
              </w:rPr>
              <w:t>Enhancement of overall PCT System</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Further progress towards implementation of the recommendations endorsed by the PCT Working Group in 2010 on how to improve the functioning of the PCT, relating  to the following six groups of issues: (i) backlogs;  improving quality of granted patents;  (ii) timeliness in the international phase;  (iii) quality of international search and preliminary examination;  (iv) incentives for applicants to use the system efficiently;  skills and manpower shortages;  (v) cost and other accessibility issues;  consistency and availability of safeguards;  (vi) technical assistance;  PCT information and technology transfer.</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E10968">
            <w:pPr>
              <w:spacing w:before="60"/>
              <w:rPr>
                <w:rFonts w:cs="Arial"/>
                <w:sz w:val="14"/>
                <w:szCs w:val="14"/>
              </w:rPr>
            </w:pPr>
            <w:r w:rsidRPr="008869AE">
              <w:rPr>
                <w:rFonts w:cs="Arial"/>
                <w:sz w:val="14"/>
                <w:szCs w:val="14"/>
              </w:rPr>
              <w:t>Enhanced IB operations (see Annex VI)</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Unit cost of processing an application</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4808E3">
            <w:pPr>
              <w:spacing w:before="60"/>
              <w:rPr>
                <w:rFonts w:cs="Arial"/>
                <w:sz w:val="14"/>
                <w:szCs w:val="14"/>
              </w:rPr>
            </w:pPr>
            <w:r w:rsidRPr="008869AE">
              <w:rPr>
                <w:rFonts w:cs="Arial"/>
                <w:sz w:val="14"/>
                <w:szCs w:val="14"/>
              </w:rPr>
              <w:t>Productivity of formality examination</w:t>
            </w:r>
          </w:p>
        </w:tc>
        <w:tc>
          <w:tcPr>
            <w:tcW w:w="1365" w:type="dxa"/>
            <w:shd w:val="clear" w:color="auto" w:fill="auto"/>
            <w:tcMar>
              <w:top w:w="113" w:type="dxa"/>
            </w:tcMar>
          </w:tcPr>
          <w:p w:rsidR="008465CB" w:rsidRPr="008869AE" w:rsidRDefault="008465CB" w:rsidP="004808E3">
            <w:pPr>
              <w:spacing w:before="6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4808E3">
            <w:pPr>
              <w:spacing w:before="60"/>
              <w:rPr>
                <w:rFonts w:cs="Arial"/>
                <w:sz w:val="14"/>
                <w:szCs w:val="14"/>
              </w:rPr>
            </w:pPr>
            <w:r w:rsidRPr="008869AE">
              <w:rPr>
                <w:rFonts w:cs="Arial"/>
                <w:sz w:val="14"/>
                <w:szCs w:val="14"/>
              </w:rPr>
              <w:t>Quality of formality examination</w:t>
            </w:r>
          </w:p>
        </w:tc>
        <w:tc>
          <w:tcPr>
            <w:tcW w:w="1365" w:type="dxa"/>
            <w:shd w:val="clear" w:color="auto" w:fill="auto"/>
            <w:tcMar>
              <w:top w:w="113" w:type="dxa"/>
            </w:tcMar>
          </w:tcPr>
          <w:p w:rsidR="008465CB" w:rsidRPr="008869AE" w:rsidRDefault="008465CB" w:rsidP="004808E3">
            <w:pPr>
              <w:spacing w:before="6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Timeliness of formality examination (% accomplished within 3 weeks from receipt)</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Timeliness of publication (% published within 18 months + three weeks from priority date)</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Quality of translation (% that pass quality check)</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Filings at the IB as Receiving Office</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5</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E10968">
            <w:pPr>
              <w:spacing w:before="60"/>
              <w:rPr>
                <w:rFonts w:cs="Arial"/>
                <w:sz w:val="14"/>
                <w:szCs w:val="14"/>
              </w:rPr>
            </w:pPr>
            <w:r w:rsidRPr="008869AE">
              <w:rPr>
                <w:rFonts w:cs="Arial"/>
                <w:sz w:val="14"/>
                <w:szCs w:val="14"/>
              </w:rPr>
              <w:t>Better use of the Madrid and Lisbon Systems, including by developing countries and LDCs</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new registrations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4C5DDE">
            <w:pPr>
              <w:spacing w:before="8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renewals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rFonts w:cs="Arial"/>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irregularity letters compared to total number of applications received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rFonts w:cs="Arial"/>
                <w:sz w:val="22"/>
                <w:szCs w:val="22"/>
              </w:rPr>
            </w:pPr>
            <w:r w:rsidRPr="004A7442">
              <w:rPr>
                <w:rFonts w:cs="Arial"/>
                <w:color w:val="FF0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keepNext/>
              <w:keepLines/>
              <w:spacing w:before="60"/>
              <w:rPr>
                <w:rFonts w:cs="Arial"/>
                <w:sz w:val="14"/>
                <w:szCs w:val="14"/>
              </w:rPr>
            </w:pPr>
            <w:r w:rsidRPr="008869AE">
              <w:rPr>
                <w:rFonts w:cs="Arial"/>
                <w:sz w:val="14"/>
                <w:szCs w:val="14"/>
              </w:rPr>
              <w:t>% of international applications from developing countries and LDCs (Madrid System)</w:t>
            </w:r>
          </w:p>
        </w:tc>
        <w:tc>
          <w:tcPr>
            <w:tcW w:w="1365" w:type="dxa"/>
            <w:shd w:val="clear" w:color="auto" w:fill="auto"/>
            <w:tcMar>
              <w:top w:w="113" w:type="dxa"/>
            </w:tcMar>
          </w:tcPr>
          <w:p w:rsidR="008465CB" w:rsidRPr="008869AE" w:rsidRDefault="008465CB" w:rsidP="004C5DDE">
            <w:pPr>
              <w:keepNext/>
              <w:keepLines/>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keepNext/>
              <w:keepLines/>
              <w:jc w:val="center"/>
              <w:rPr>
                <w:rFonts w:cs="Arial"/>
                <w:sz w:val="22"/>
                <w:szCs w:val="22"/>
              </w:rPr>
            </w:pPr>
            <w:r w:rsidRPr="004A7442">
              <w:rPr>
                <w:rFonts w:cs="Arial"/>
                <w:color w:val="FF0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keepNext/>
              <w:keepLines/>
              <w:spacing w:before="60"/>
              <w:rPr>
                <w:rFonts w:cs="Arial"/>
                <w:sz w:val="14"/>
                <w:szCs w:val="14"/>
              </w:rPr>
            </w:pPr>
            <w:r w:rsidRPr="008869AE">
              <w:rPr>
                <w:rFonts w:cs="Arial"/>
                <w:sz w:val="14"/>
                <w:szCs w:val="14"/>
              </w:rPr>
              <w:t>No. of Contracting Parties to the Madrid Protocol</w:t>
            </w:r>
          </w:p>
        </w:tc>
        <w:tc>
          <w:tcPr>
            <w:tcW w:w="1365" w:type="dxa"/>
            <w:shd w:val="clear" w:color="auto" w:fill="auto"/>
            <w:tcMar>
              <w:top w:w="113" w:type="dxa"/>
            </w:tcMar>
          </w:tcPr>
          <w:p w:rsidR="008465CB" w:rsidRPr="008869AE" w:rsidRDefault="008465CB" w:rsidP="004C5DDE">
            <w:pPr>
              <w:keepNext/>
              <w:keepLines/>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keepNext/>
              <w:keepLines/>
              <w:jc w:val="center"/>
              <w:rPr>
                <w:rFonts w:cs="Arial"/>
                <w:sz w:val="22"/>
                <w:szCs w:val="22"/>
              </w:rPr>
            </w:pPr>
            <w:r w:rsidRPr="004A7442">
              <w:rPr>
                <w:rFonts w:cs="Arial"/>
                <w:color w:val="10862C"/>
                <w:sz w:val="22"/>
                <w:szCs w:val="22"/>
              </w:rPr>
              <w:sym w:font="Wingdings" w:char="F06C"/>
            </w:r>
          </w:p>
        </w:tc>
      </w:tr>
      <w:tr w:rsidR="004808E3" w:rsidRPr="004B5B87" w:rsidTr="004808E3">
        <w:tc>
          <w:tcPr>
            <w:tcW w:w="3224" w:type="dxa"/>
            <w:shd w:val="clear" w:color="auto" w:fill="auto"/>
          </w:tcPr>
          <w:p w:rsidR="004808E3" w:rsidRPr="008869AE" w:rsidRDefault="004808E3" w:rsidP="00D95B69">
            <w:pPr>
              <w:rPr>
                <w:rFonts w:cs="Arial"/>
                <w:sz w:val="14"/>
                <w:szCs w:val="14"/>
              </w:rPr>
            </w:pPr>
          </w:p>
        </w:tc>
        <w:tc>
          <w:tcPr>
            <w:tcW w:w="3435" w:type="dxa"/>
            <w:shd w:val="clear" w:color="auto" w:fill="auto"/>
            <w:tcMar>
              <w:top w:w="113" w:type="dxa"/>
              <w:bottom w:w="113" w:type="dxa"/>
            </w:tcMar>
          </w:tcPr>
          <w:p w:rsidR="004808E3" w:rsidRPr="008869AE" w:rsidRDefault="004808E3" w:rsidP="00177D21">
            <w:pPr>
              <w:spacing w:before="60"/>
              <w:rPr>
                <w:rFonts w:cs="Arial"/>
                <w:sz w:val="14"/>
                <w:szCs w:val="14"/>
              </w:rPr>
            </w:pPr>
            <w:r w:rsidRPr="008869AE">
              <w:rPr>
                <w:rFonts w:cs="Arial"/>
                <w:sz w:val="14"/>
                <w:szCs w:val="14"/>
              </w:rPr>
              <w:t>No. of Contracting Parties to the Lisbon Agreement</w:t>
            </w:r>
          </w:p>
        </w:tc>
        <w:tc>
          <w:tcPr>
            <w:tcW w:w="1365" w:type="dxa"/>
            <w:shd w:val="clear" w:color="auto" w:fill="auto"/>
            <w:tcMar>
              <w:top w:w="113" w:type="dxa"/>
            </w:tcMar>
          </w:tcPr>
          <w:p w:rsidR="004808E3" w:rsidRPr="008869AE" w:rsidRDefault="004808E3" w:rsidP="004C5DDE">
            <w:pPr>
              <w:spacing w:before="80"/>
              <w:jc w:val="center"/>
              <w:rPr>
                <w:rFonts w:cs="Arial"/>
                <w:sz w:val="14"/>
                <w:szCs w:val="14"/>
              </w:rPr>
            </w:pPr>
            <w:r w:rsidRPr="008869AE">
              <w:rPr>
                <w:rFonts w:cs="Arial"/>
                <w:sz w:val="14"/>
                <w:szCs w:val="14"/>
              </w:rPr>
              <w:t>Program 6</w:t>
            </w:r>
          </w:p>
        </w:tc>
        <w:tc>
          <w:tcPr>
            <w:tcW w:w="1342" w:type="dxa"/>
          </w:tcPr>
          <w:p w:rsidR="004808E3" w:rsidRPr="004A7442" w:rsidRDefault="004808E3" w:rsidP="004C5DDE">
            <w:pPr>
              <w:jc w:val="center"/>
              <w:rPr>
                <w:rFonts w:cs="Arial"/>
                <w:sz w:val="22"/>
                <w:szCs w:val="22"/>
              </w:rPr>
            </w:pPr>
            <w:r w:rsidRPr="004A7442">
              <w:rPr>
                <w:rFonts w:cs="Arial"/>
                <w:color w:val="E36C0A" w:themeColor="accent6" w:themeShade="BF"/>
                <w:sz w:val="22"/>
                <w:szCs w:val="22"/>
              </w:rPr>
              <w:sym w:font="Wingdings" w:char="F06C"/>
            </w:r>
          </w:p>
        </w:tc>
      </w:tr>
      <w:tr w:rsidR="004808E3" w:rsidRPr="004B5B87" w:rsidTr="004808E3">
        <w:trPr>
          <w:trHeight w:val="410"/>
        </w:trPr>
        <w:tc>
          <w:tcPr>
            <w:tcW w:w="3224" w:type="dxa"/>
            <w:shd w:val="clear" w:color="auto" w:fill="auto"/>
            <w:tcMar>
              <w:top w:w="113" w:type="dxa"/>
            </w:tcMar>
          </w:tcPr>
          <w:p w:rsidR="004808E3" w:rsidRPr="008869AE" w:rsidRDefault="004808E3" w:rsidP="004808E3">
            <w:pPr>
              <w:rPr>
                <w:rFonts w:cs="Arial"/>
                <w:sz w:val="14"/>
                <w:szCs w:val="14"/>
              </w:rPr>
            </w:pPr>
          </w:p>
        </w:tc>
        <w:tc>
          <w:tcPr>
            <w:tcW w:w="3435" w:type="dxa"/>
            <w:shd w:val="clear" w:color="auto" w:fill="auto"/>
            <w:tcMar>
              <w:top w:w="113" w:type="dxa"/>
            </w:tcMar>
          </w:tcPr>
          <w:p w:rsidR="004808E3" w:rsidRPr="008869AE" w:rsidRDefault="004808E3" w:rsidP="00177D21">
            <w:pPr>
              <w:spacing w:before="60"/>
              <w:rPr>
                <w:rFonts w:cs="Arial"/>
                <w:sz w:val="14"/>
                <w:szCs w:val="14"/>
              </w:rPr>
            </w:pPr>
            <w:r w:rsidRPr="008869AE">
              <w:rPr>
                <w:rFonts w:cs="Arial"/>
                <w:sz w:val="14"/>
                <w:szCs w:val="14"/>
              </w:rPr>
              <w:t>No. of international registrations in force under the Lisbon System concerning appellations of origin from developing countries and LDCs</w:t>
            </w:r>
          </w:p>
        </w:tc>
        <w:tc>
          <w:tcPr>
            <w:tcW w:w="1365" w:type="dxa"/>
            <w:shd w:val="clear" w:color="auto" w:fill="auto"/>
            <w:tcMar>
              <w:top w:w="113" w:type="dxa"/>
            </w:tcMar>
          </w:tcPr>
          <w:p w:rsidR="004808E3" w:rsidRPr="008869AE" w:rsidRDefault="004808E3" w:rsidP="004C5DDE">
            <w:pPr>
              <w:spacing w:before="80"/>
              <w:jc w:val="center"/>
              <w:rPr>
                <w:rFonts w:cs="Arial"/>
                <w:sz w:val="14"/>
                <w:szCs w:val="14"/>
              </w:rPr>
            </w:pPr>
            <w:r w:rsidRPr="008869AE">
              <w:rPr>
                <w:rFonts w:cs="Arial"/>
                <w:sz w:val="14"/>
                <w:szCs w:val="14"/>
              </w:rPr>
              <w:t>Program 6</w:t>
            </w:r>
          </w:p>
        </w:tc>
        <w:tc>
          <w:tcPr>
            <w:tcW w:w="1342" w:type="dxa"/>
          </w:tcPr>
          <w:p w:rsidR="004808E3" w:rsidRPr="004A7442" w:rsidRDefault="004808E3" w:rsidP="004C5DDE">
            <w:pPr>
              <w:jc w:val="center"/>
              <w:rPr>
                <w:rFonts w:cs="Arial"/>
                <w:sz w:val="22"/>
                <w:szCs w:val="22"/>
              </w:rPr>
            </w:pPr>
            <w:r w:rsidRPr="004A7442">
              <w:rPr>
                <w:rFonts w:cs="Arial"/>
                <w:color w:val="10862C"/>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xml:space="preserve">Better operations of the Madrid and Lisbon Systems </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Average processing time of new applications without irregularities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490784">
            <w:pPr>
              <w:spacing w:before="60"/>
              <w:rPr>
                <w:rFonts w:cs="Arial"/>
                <w:sz w:val="14"/>
                <w:szCs w:val="14"/>
              </w:rPr>
            </w:pPr>
            <w:r w:rsidRPr="008869AE">
              <w:rPr>
                <w:rFonts w:cs="Arial"/>
                <w:sz w:val="14"/>
                <w:szCs w:val="14"/>
              </w:rPr>
              <w:t>No. of Offices sending applications in XLM format and receiving designations in XLM format (Madrid System)</w:t>
            </w:r>
          </w:p>
        </w:tc>
        <w:tc>
          <w:tcPr>
            <w:tcW w:w="1365" w:type="dxa"/>
            <w:shd w:val="clear" w:color="auto" w:fill="auto"/>
            <w:tcMar>
              <w:top w:w="113" w:type="dxa"/>
            </w:tcMar>
          </w:tcPr>
          <w:p w:rsidR="008465CB" w:rsidRPr="008869AE" w:rsidRDefault="008465CB" w:rsidP="00490784">
            <w:pPr>
              <w:spacing w:before="6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documents received electronically (Madrid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4808E3">
            <w:pPr>
              <w:spacing w:before="80"/>
              <w:rPr>
                <w:rFonts w:cs="Arial"/>
                <w:sz w:val="14"/>
                <w:szCs w:val="14"/>
              </w:rPr>
            </w:pPr>
          </w:p>
        </w:tc>
        <w:tc>
          <w:tcPr>
            <w:tcW w:w="3435" w:type="dxa"/>
            <w:shd w:val="clear" w:color="auto" w:fill="auto"/>
            <w:tcMar>
              <w:top w:w="113" w:type="dxa"/>
            </w:tcMar>
          </w:tcPr>
          <w:p w:rsidR="00E10968" w:rsidRPr="00E10968" w:rsidRDefault="008465CB" w:rsidP="00177D21">
            <w:pPr>
              <w:spacing w:before="60"/>
              <w:rPr>
                <w:rFonts w:cs="Arial"/>
                <w:sz w:val="14"/>
                <w:szCs w:val="14"/>
              </w:rPr>
            </w:pPr>
            <w:r w:rsidRPr="008869AE">
              <w:rPr>
                <w:rFonts w:cs="Arial"/>
                <w:sz w:val="14"/>
                <w:szCs w:val="14"/>
              </w:rPr>
              <w:t>No. of clients receiving email notifications (Madrid System)</w:t>
            </w:r>
            <w:r w:rsidR="00490784">
              <w:rPr>
                <w:rFonts w:cs="Arial"/>
                <w:sz w:val="14"/>
                <w:szCs w:val="14"/>
              </w:rPr>
              <w:br/>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490784">
            <w:pPr>
              <w:ind w:firstLineChars="100" w:firstLine="140"/>
              <w:rPr>
                <w:rFonts w:cs="Arial"/>
                <w:sz w:val="14"/>
                <w:szCs w:val="14"/>
              </w:rPr>
            </w:pPr>
          </w:p>
        </w:tc>
        <w:tc>
          <w:tcPr>
            <w:tcW w:w="3435" w:type="dxa"/>
            <w:shd w:val="clear" w:color="auto" w:fill="auto"/>
            <w:tcMar>
              <w:top w:w="113" w:type="dxa"/>
            </w:tcMar>
          </w:tcPr>
          <w:p w:rsidR="008465CB" w:rsidRPr="008869AE" w:rsidRDefault="008465CB" w:rsidP="00490784">
            <w:pPr>
              <w:spacing w:before="60"/>
              <w:rPr>
                <w:rFonts w:cs="Arial"/>
                <w:sz w:val="14"/>
                <w:szCs w:val="14"/>
              </w:rPr>
            </w:pPr>
            <w:r w:rsidRPr="008869AE">
              <w:rPr>
                <w:rFonts w:cs="Arial"/>
                <w:sz w:val="14"/>
                <w:szCs w:val="14"/>
              </w:rPr>
              <w:t>No. of clients using Portfolio manager (Madrid System)</w:t>
            </w:r>
          </w:p>
        </w:tc>
        <w:tc>
          <w:tcPr>
            <w:tcW w:w="1365" w:type="dxa"/>
            <w:shd w:val="clear" w:color="auto" w:fill="auto"/>
            <w:tcMar>
              <w:top w:w="113" w:type="dxa"/>
            </w:tcMar>
          </w:tcPr>
          <w:p w:rsidR="008465CB" w:rsidRPr="008869AE" w:rsidRDefault="008465CB" w:rsidP="00490784">
            <w:pPr>
              <w:spacing w:before="60"/>
              <w:jc w:val="center"/>
              <w:rPr>
                <w:rFonts w:cs="Arial"/>
                <w:sz w:val="14"/>
                <w:szCs w:val="14"/>
              </w:rPr>
            </w:pPr>
            <w:r w:rsidRPr="008869AE">
              <w:rPr>
                <w:rFonts w:cs="Arial"/>
                <w:sz w:val="14"/>
                <w:szCs w:val="14"/>
              </w:rPr>
              <w:t>Program 6</w:t>
            </w:r>
          </w:p>
        </w:tc>
        <w:tc>
          <w:tcPr>
            <w:tcW w:w="1342" w:type="dxa"/>
          </w:tcPr>
          <w:p w:rsidR="008465CB" w:rsidRPr="004A7442" w:rsidRDefault="008465CB" w:rsidP="00490784">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490784">
            <w:pPr>
              <w:spacing w:before="60"/>
              <w:rPr>
                <w:rFonts w:cs="Arial"/>
                <w:sz w:val="14"/>
                <w:szCs w:val="14"/>
              </w:rPr>
            </w:pPr>
            <w:r w:rsidRPr="008869AE">
              <w:rPr>
                <w:rFonts w:cs="Arial"/>
                <w:sz w:val="14"/>
                <w:szCs w:val="14"/>
              </w:rPr>
              <w:t xml:space="preserve">No. of fully automated processes (Madrid System) </w:t>
            </w:r>
          </w:p>
        </w:tc>
        <w:tc>
          <w:tcPr>
            <w:tcW w:w="1365" w:type="dxa"/>
            <w:shd w:val="clear" w:color="auto" w:fill="auto"/>
            <w:tcMar>
              <w:top w:w="113" w:type="dxa"/>
            </w:tcMar>
          </w:tcPr>
          <w:p w:rsidR="008465CB" w:rsidRPr="008869AE" w:rsidRDefault="008465CB" w:rsidP="00490784">
            <w:pPr>
              <w:spacing w:before="6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10862C"/>
                <w:sz w:val="22"/>
                <w:szCs w:val="22"/>
              </w:rPr>
            </w:pPr>
            <w:r w:rsidRPr="004A7442">
              <w:rPr>
                <w:rFonts w:cs="Arial"/>
                <w:color w:val="10862C"/>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490784">
            <w:pPr>
              <w:spacing w:before="60"/>
              <w:ind w:firstLineChars="100" w:firstLine="140"/>
              <w:rPr>
                <w:rFonts w:cs="Arial"/>
                <w:sz w:val="14"/>
                <w:szCs w:val="14"/>
              </w:rPr>
            </w:pPr>
          </w:p>
        </w:tc>
        <w:tc>
          <w:tcPr>
            <w:tcW w:w="3435" w:type="dxa"/>
            <w:shd w:val="clear" w:color="auto" w:fill="auto"/>
            <w:tcMar>
              <w:top w:w="113" w:type="dxa"/>
            </w:tcMar>
          </w:tcPr>
          <w:p w:rsidR="008465CB" w:rsidRPr="008869AE" w:rsidRDefault="008465CB" w:rsidP="00490784">
            <w:pPr>
              <w:spacing w:before="60"/>
              <w:rPr>
                <w:rFonts w:cs="Arial"/>
                <w:sz w:val="14"/>
                <w:szCs w:val="14"/>
              </w:rPr>
            </w:pPr>
            <w:r w:rsidRPr="008869AE">
              <w:rPr>
                <w:rFonts w:cs="Arial"/>
                <w:sz w:val="14"/>
                <w:szCs w:val="14"/>
              </w:rPr>
              <w:t>% of corrections inscribed compared to the total of operations inscribed (with the exception of refusals and final decisions) (Madrid System)</w:t>
            </w:r>
          </w:p>
        </w:tc>
        <w:tc>
          <w:tcPr>
            <w:tcW w:w="1365" w:type="dxa"/>
            <w:shd w:val="clear" w:color="auto" w:fill="auto"/>
            <w:tcMar>
              <w:top w:w="113" w:type="dxa"/>
            </w:tcMar>
          </w:tcPr>
          <w:p w:rsidR="008465CB" w:rsidRPr="008869AE" w:rsidRDefault="008465CB" w:rsidP="00490784">
            <w:pPr>
              <w:spacing w:before="6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Establishment of an automated International Register (Lisbon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Increased number of competent authorities using electronic means of communication under Lisbon procedures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Adoption of provisions streamlining or modernizing the Lisbon System legal framework</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Increased awareness of the Madrid and Lisbon Systems</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participants in Madrid System related events who are satisfied and report enhanced awareness post training event</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participants in Lisbon System related events who are satisfied and report enhanced awareness post seminars/workshops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6</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color w:val="000000"/>
                <w:sz w:val="14"/>
                <w:szCs w:val="14"/>
              </w:rPr>
            </w:pPr>
            <w:r w:rsidRPr="008869AE">
              <w:rPr>
                <w:rFonts w:cs="Arial"/>
                <w:sz w:val="14"/>
                <w:szCs w:val="14"/>
              </w:rPr>
              <w:t>Increased</w:t>
            </w:r>
            <w:r w:rsidRPr="008869AE">
              <w:rPr>
                <w:rFonts w:cs="Arial"/>
                <w:color w:val="000000"/>
                <w:sz w:val="14"/>
                <w:szCs w:val="14"/>
              </w:rPr>
              <w:t xml:space="preserve"> awareness of the Hague System</w:t>
            </w:r>
          </w:p>
        </w:tc>
        <w:tc>
          <w:tcPr>
            <w:tcW w:w="3435" w:type="dxa"/>
            <w:shd w:val="clear" w:color="auto" w:fill="auto"/>
            <w:tcMar>
              <w:top w:w="113" w:type="dxa"/>
            </w:tcMar>
          </w:tcPr>
          <w:p w:rsidR="008465CB" w:rsidRPr="008869AE" w:rsidRDefault="008465CB" w:rsidP="00177D21">
            <w:pPr>
              <w:spacing w:before="60"/>
              <w:rPr>
                <w:rFonts w:cs="Arial"/>
                <w:color w:val="000000"/>
                <w:sz w:val="14"/>
                <w:szCs w:val="14"/>
              </w:rPr>
            </w:pPr>
            <w:r w:rsidRPr="008869AE">
              <w:rPr>
                <w:rFonts w:cs="Arial"/>
                <w:sz w:val="14"/>
                <w:szCs w:val="14"/>
              </w:rPr>
              <w:t>No</w:t>
            </w:r>
            <w:r w:rsidRPr="008869AE">
              <w:rPr>
                <w:rFonts w:cs="Arial"/>
                <w:color w:val="000000"/>
                <w:sz w:val="14"/>
                <w:szCs w:val="14"/>
              </w:rPr>
              <w:t>. of first-time applicants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spacing w:before="20"/>
              <w:jc w:val="center"/>
              <w:rPr>
                <w:sz w:val="22"/>
                <w:szCs w:val="22"/>
              </w:rPr>
            </w:pPr>
            <w:r w:rsidRPr="004A7442">
              <w:rPr>
                <w:rFonts w:cs="Arial"/>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4C5DDE">
            <w:pPr>
              <w:spacing w:before="80"/>
              <w:rPr>
                <w:rFonts w:cs="Arial"/>
                <w:color w:val="000000"/>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languages in which general information is available</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008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color w:val="000000"/>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national or regional offices providing  adequate information on the Hague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177D21">
            <w:pPr>
              <w:keepNext/>
              <w:keepLines/>
              <w:spacing w:before="60"/>
              <w:rPr>
                <w:rFonts w:cs="Arial"/>
                <w:sz w:val="14"/>
                <w:szCs w:val="14"/>
              </w:rPr>
            </w:pPr>
            <w:r w:rsidRPr="008869AE">
              <w:rPr>
                <w:rFonts w:cs="Arial"/>
                <w:sz w:val="14"/>
                <w:szCs w:val="14"/>
              </w:rPr>
              <w:t>Wider and better use of the Hague System</w:t>
            </w:r>
          </w:p>
        </w:tc>
        <w:tc>
          <w:tcPr>
            <w:tcW w:w="3435" w:type="dxa"/>
            <w:shd w:val="clear" w:color="auto" w:fill="auto"/>
            <w:tcMar>
              <w:top w:w="113" w:type="dxa"/>
            </w:tcMar>
          </w:tcPr>
          <w:p w:rsidR="008465CB" w:rsidRPr="008869AE" w:rsidRDefault="008465CB" w:rsidP="00177D21">
            <w:pPr>
              <w:keepNext/>
              <w:keepLines/>
              <w:spacing w:before="60"/>
              <w:rPr>
                <w:rFonts w:cs="Arial"/>
                <w:sz w:val="14"/>
                <w:szCs w:val="14"/>
              </w:rPr>
            </w:pPr>
            <w:r w:rsidRPr="008869AE">
              <w:rPr>
                <w:rFonts w:cs="Arial"/>
                <w:sz w:val="14"/>
                <w:szCs w:val="14"/>
              </w:rPr>
              <w:t>No. of registrations, designs contained in registrations, renewals and other recordings</w:t>
            </w:r>
          </w:p>
        </w:tc>
        <w:tc>
          <w:tcPr>
            <w:tcW w:w="1365" w:type="dxa"/>
            <w:shd w:val="clear" w:color="auto" w:fill="auto"/>
            <w:tcMar>
              <w:top w:w="113" w:type="dxa"/>
            </w:tcMar>
          </w:tcPr>
          <w:p w:rsidR="008465CB" w:rsidRPr="008869AE" w:rsidRDefault="008465CB" w:rsidP="004C5DDE">
            <w:pPr>
              <w:keepNext/>
              <w:keepLines/>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keepNext/>
              <w:keepLines/>
              <w:spacing w:before="40"/>
              <w:jc w:val="center"/>
              <w:rPr>
                <w:sz w:val="22"/>
                <w:szCs w:val="22"/>
              </w:rPr>
            </w:pPr>
            <w:r w:rsidRPr="004A7442">
              <w:rPr>
                <w:rFonts w:cs="Arial"/>
                <w:color w:val="FF0000"/>
                <w:sz w:val="22"/>
                <w:szCs w:val="22"/>
              </w:rPr>
              <w:sym w:font="Wingdings" w:char="F06C"/>
            </w:r>
            <w:r w:rsidRPr="004A7442">
              <w:rPr>
                <w:rFonts w:cs="Arial"/>
                <w:color w:val="FF0000"/>
                <w:sz w:val="22"/>
                <w:szCs w:val="22"/>
              </w:rPr>
              <w:sym w:font="Wingdings" w:char="F06C"/>
            </w:r>
            <w:r w:rsidRPr="004A7442">
              <w:rPr>
                <w:rFonts w:cs="Arial"/>
                <w:color w:val="008000"/>
                <w:sz w:val="22"/>
                <w:szCs w:val="22"/>
              </w:rPr>
              <w:sym w:font="Wingdings" w:char="F06C"/>
            </w:r>
            <w:r w:rsidRPr="004A7442">
              <w:rPr>
                <w:rFonts w:cs="Arial"/>
                <w:color w:val="FF0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color w:val="000000"/>
                <w:sz w:val="14"/>
                <w:szCs w:val="14"/>
              </w:rPr>
            </w:pPr>
            <w:r w:rsidRPr="008869AE">
              <w:rPr>
                <w:rFonts w:cs="Arial"/>
                <w:color w:val="000000"/>
                <w:sz w:val="14"/>
                <w:szCs w:val="14"/>
              </w:rPr>
              <w:t>No. of applications from, and designations of,  developing countries and LDCs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FF0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irregular applications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FF0000"/>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Better administration of the Hague System</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Predominance of the Geneva Act in the system as a whole system</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E36C0A" w:themeColor="accent6" w:themeShade="BF"/>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xml:space="preserve">Pendency for a regular non-deferred application, until publication </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fully automated processes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of requests filed through electronic interfaces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 xml:space="preserve">% of users satisfied with the services provided by the International Bureau </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31</w:t>
            </w:r>
          </w:p>
        </w:tc>
        <w:tc>
          <w:tcPr>
            <w:tcW w:w="1342" w:type="dxa"/>
          </w:tcPr>
          <w:p w:rsidR="008465CB" w:rsidRPr="004A7442" w:rsidRDefault="008465CB" w:rsidP="004C5DDE">
            <w:pPr>
              <w:jc w:val="center"/>
              <w:rPr>
                <w:sz w:val="22"/>
                <w:szCs w:val="22"/>
              </w:rPr>
            </w:pPr>
            <w:r w:rsidRPr="004A7442">
              <w:rPr>
                <w:rFonts w:cs="Arial"/>
                <w:color w:val="A6A6A6" w:themeColor="background1" w:themeShade="A6"/>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International and domestic intellectual property disputes are increasingly prevented or resolved through mediation, arbitration and other alternative dispute resolution methods</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Increased consideration of the use of alternative dispute resolution services in intellectual property transactions, including through the use of WIPO procedures</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spacing w:before="40"/>
              <w:jc w:val="center"/>
              <w:rPr>
                <w:sz w:val="22"/>
                <w:szCs w:val="22"/>
              </w:rPr>
            </w:pPr>
            <w:r w:rsidRPr="004A7442">
              <w:rPr>
                <w:rFonts w:cs="Arial"/>
                <w:color w:val="008000"/>
                <w:sz w:val="22"/>
                <w:szCs w:val="22"/>
              </w:rPr>
              <w:sym w:font="Wingdings" w:char="F06C"/>
            </w:r>
            <w:r w:rsidRPr="004A7442">
              <w:rPr>
                <w:rFonts w:cs="Arial"/>
                <w:color w:val="008000"/>
                <w:sz w:val="22"/>
                <w:szCs w:val="22"/>
              </w:rPr>
              <w:sym w:font="Wingdings" w:char="F06C"/>
            </w:r>
            <w:r w:rsidRPr="004A7442">
              <w:rPr>
                <w:rFonts w:cs="Arial"/>
                <w:color w:val="008000"/>
                <w:sz w:val="22"/>
                <w:szCs w:val="22"/>
              </w:rPr>
              <w:sym w:font="Wingdings" w:char="F06C"/>
            </w:r>
            <w:r w:rsidRPr="004A7442">
              <w:rPr>
                <w:rFonts w:cs="Arial"/>
                <w:color w:val="FF0000"/>
                <w:sz w:val="22"/>
                <w:szCs w:val="22"/>
              </w:rPr>
              <w:sym w:font="Wingdings" w:char="F06C"/>
            </w:r>
            <w:r w:rsidRPr="004A7442">
              <w:rPr>
                <w:rFonts w:cs="Arial"/>
                <w:color w:val="E36C0A" w:themeColor="accent6" w:themeShade="BF"/>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Alternative dispute resolution policies to the development and implementation of which policies the Center has contributed</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val="restart"/>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Effective intellectual property protection in the gTLDs and the ccTLDs</w:t>
            </w: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gTLD UDRP cases administered</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No. of ccTLD UDRP</w:t>
            </w:r>
            <w:r w:rsidRPr="008869AE">
              <w:rPr>
                <w:rFonts w:cs="Arial"/>
                <w:sz w:val="14"/>
                <w:szCs w:val="14"/>
              </w:rPr>
              <w:noBreakHyphen/>
              <w:t>based cases administered</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Pr="008869AE" w:rsidRDefault="008465CB" w:rsidP="00177D21">
            <w:pPr>
              <w:spacing w:before="60"/>
              <w:rPr>
                <w:rFonts w:cs="Arial"/>
                <w:sz w:val="14"/>
                <w:szCs w:val="14"/>
              </w:rPr>
            </w:pPr>
            <w:r w:rsidRPr="008869AE">
              <w:rPr>
                <w:rFonts w:cs="Arial"/>
                <w:sz w:val="14"/>
                <w:szCs w:val="14"/>
              </w:rPr>
              <w:t>Dispute resolution policies in the Domain Name System to the development and implementation of which policies the Center has contributed</w:t>
            </w: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color w:val="008000"/>
                <w:sz w:val="22"/>
                <w:szCs w:val="22"/>
              </w:rPr>
            </w:pPr>
            <w:r w:rsidRPr="004A7442">
              <w:rPr>
                <w:rFonts w:cs="Arial"/>
                <w:color w:val="008000"/>
                <w:sz w:val="22"/>
                <w:szCs w:val="22"/>
              </w:rPr>
              <w:sym w:font="Wingdings" w:char="F06C"/>
            </w:r>
          </w:p>
        </w:tc>
      </w:tr>
      <w:tr w:rsidR="008465CB" w:rsidRPr="004B5B87" w:rsidTr="004808E3">
        <w:tc>
          <w:tcPr>
            <w:tcW w:w="3224" w:type="dxa"/>
            <w:vMerge/>
            <w:shd w:val="clear" w:color="auto" w:fill="auto"/>
            <w:tcMar>
              <w:top w:w="113" w:type="dxa"/>
            </w:tcMar>
          </w:tcPr>
          <w:p w:rsidR="008465CB" w:rsidRPr="008869AE" w:rsidRDefault="008465CB" w:rsidP="008869AE">
            <w:pPr>
              <w:spacing w:before="80"/>
              <w:ind w:firstLineChars="100" w:firstLine="140"/>
              <w:rPr>
                <w:rFonts w:cs="Arial"/>
                <w:sz w:val="14"/>
                <w:szCs w:val="14"/>
              </w:rPr>
            </w:pPr>
          </w:p>
        </w:tc>
        <w:tc>
          <w:tcPr>
            <w:tcW w:w="3435" w:type="dxa"/>
            <w:shd w:val="clear" w:color="auto" w:fill="auto"/>
            <w:tcMar>
              <w:top w:w="113" w:type="dxa"/>
            </w:tcMar>
          </w:tcPr>
          <w:p w:rsidR="008465CB" w:rsidRDefault="008465CB" w:rsidP="00177D21">
            <w:pPr>
              <w:spacing w:before="60"/>
              <w:rPr>
                <w:rFonts w:cs="Arial"/>
                <w:sz w:val="14"/>
                <w:szCs w:val="14"/>
              </w:rPr>
            </w:pPr>
            <w:r w:rsidRPr="008869AE">
              <w:rPr>
                <w:rFonts w:cs="Arial"/>
                <w:sz w:val="14"/>
                <w:szCs w:val="14"/>
              </w:rPr>
              <w:t>No. of ccTLD administrators with WIPO</w:t>
            </w:r>
            <w:r w:rsidRPr="008869AE">
              <w:rPr>
                <w:rFonts w:cs="Arial"/>
                <w:sz w:val="14"/>
                <w:szCs w:val="14"/>
              </w:rPr>
              <w:noBreakHyphen/>
              <w:t>assisted design or administration of intellectual property protection mechanisms in accordance with international standards</w:t>
            </w:r>
          </w:p>
          <w:p w:rsidR="00177D21" w:rsidRPr="008869AE" w:rsidRDefault="00177D21" w:rsidP="00177D21">
            <w:pPr>
              <w:spacing w:before="60"/>
              <w:rPr>
                <w:rFonts w:cs="Arial"/>
                <w:sz w:val="14"/>
                <w:szCs w:val="14"/>
              </w:rPr>
            </w:pPr>
          </w:p>
        </w:tc>
        <w:tc>
          <w:tcPr>
            <w:tcW w:w="1365" w:type="dxa"/>
            <w:shd w:val="clear" w:color="auto" w:fill="auto"/>
            <w:tcMar>
              <w:top w:w="113" w:type="dxa"/>
            </w:tcMar>
          </w:tcPr>
          <w:p w:rsidR="008465CB" w:rsidRPr="008869AE" w:rsidRDefault="008465CB" w:rsidP="004C5DDE">
            <w:pPr>
              <w:spacing w:before="80"/>
              <w:jc w:val="center"/>
              <w:rPr>
                <w:rFonts w:cs="Arial"/>
                <w:sz w:val="14"/>
                <w:szCs w:val="14"/>
              </w:rPr>
            </w:pPr>
            <w:r w:rsidRPr="008869AE">
              <w:rPr>
                <w:rFonts w:cs="Arial"/>
                <w:sz w:val="14"/>
                <w:szCs w:val="14"/>
              </w:rPr>
              <w:t>Program 7</w:t>
            </w:r>
          </w:p>
        </w:tc>
        <w:tc>
          <w:tcPr>
            <w:tcW w:w="1342" w:type="dxa"/>
          </w:tcPr>
          <w:p w:rsidR="008465CB" w:rsidRPr="004A7442" w:rsidRDefault="008465CB" w:rsidP="004C5DDE">
            <w:pPr>
              <w:jc w:val="center"/>
              <w:rPr>
                <w:rFonts w:cs="Arial"/>
                <w:color w:val="008000"/>
                <w:sz w:val="22"/>
                <w:szCs w:val="22"/>
              </w:rPr>
            </w:pPr>
            <w:r w:rsidRPr="004A7442">
              <w:rPr>
                <w:rFonts w:cs="Arial"/>
                <w:color w:val="008000"/>
                <w:sz w:val="22"/>
                <w:szCs w:val="22"/>
              </w:rPr>
              <w:sym w:font="Wingdings" w:char="F06C"/>
            </w:r>
          </w:p>
        </w:tc>
      </w:tr>
    </w:tbl>
    <w:p w:rsidR="008465CB" w:rsidRDefault="008465CB" w:rsidP="00B06EC8">
      <w:pPr>
        <w:jc w:val="both"/>
      </w:pPr>
    </w:p>
    <w:p w:rsidR="008465CB" w:rsidRDefault="008465CB" w:rsidP="00B06EC8">
      <w:pPr>
        <w:jc w:val="both"/>
      </w:pPr>
    </w:p>
    <w:p w:rsidR="00B06EC8" w:rsidRPr="00812B04" w:rsidRDefault="00B06EC8" w:rsidP="00B06EC8">
      <w:pPr>
        <w:jc w:val="both"/>
      </w:pPr>
      <w:r w:rsidRPr="00812B04">
        <w:t>The 2012/13 biennium saw considerable growth in the international registration systems despite a continuing fragile global economy.  The Organization successfully managed to deliver quality services and enhance the customer experience on the one hand while improving productivity through well</w:t>
      </w:r>
      <w:r w:rsidR="00490784">
        <w:noBreakHyphen/>
      </w:r>
      <w:r w:rsidRPr="00812B04">
        <w:t>designed ICT initiatives on the other hand.</w:t>
      </w:r>
    </w:p>
    <w:p w:rsidR="00B06EC8" w:rsidRPr="00812B04" w:rsidRDefault="00B06EC8" w:rsidP="00B06EC8">
      <w:pPr>
        <w:jc w:val="both"/>
      </w:pPr>
    </w:p>
    <w:p w:rsidR="00B06EC8" w:rsidRPr="00812B04" w:rsidRDefault="00B06EC8" w:rsidP="00B06EC8">
      <w:pPr>
        <w:shd w:val="clear" w:color="auto" w:fill="FFFFFF"/>
        <w:jc w:val="both"/>
      </w:pPr>
      <w:r w:rsidRPr="00812B04">
        <w:t>International patent filings under the Patent Cooperation Treaty (PCT) showed robust growth in both 2012 and 2013.  For the first time, the number of annual international patent applications surpassed the 200,000 mark in 2013, with a total of 205,300 applications, representing an increase of 5.1 per cent over 2012 and 12.</w:t>
      </w:r>
      <w:r w:rsidR="007B714B">
        <w:t>5</w:t>
      </w:r>
      <w:r w:rsidRPr="00812B04">
        <w:t xml:space="preserve"> per cent over 2011. </w:t>
      </w:r>
      <w:r w:rsidR="00D164E4">
        <w:t xml:space="preserve"> </w:t>
      </w:r>
      <w:r w:rsidRPr="00812B04">
        <w:t xml:space="preserve">Moreover, there was an increase in the share of applications from low and middle income countries with a significant increase from China, </w:t>
      </w:r>
      <w:r w:rsidR="00D164E4" w:rsidRPr="00812B04">
        <w:t>wh</w:t>
      </w:r>
      <w:r w:rsidR="00D164E4">
        <w:t>ich</w:t>
      </w:r>
      <w:r w:rsidR="00D164E4" w:rsidRPr="00812B04">
        <w:t xml:space="preserve"> </w:t>
      </w:r>
      <w:r w:rsidRPr="00812B04">
        <w:t xml:space="preserve">became the third largest user of PCT in 2013.  </w:t>
      </w:r>
    </w:p>
    <w:p w:rsidR="00B06EC8" w:rsidRPr="00812B04" w:rsidRDefault="00B06EC8" w:rsidP="00B06EC8">
      <w:pPr>
        <w:shd w:val="clear" w:color="auto" w:fill="FFFFFF"/>
        <w:jc w:val="both"/>
      </w:pPr>
    </w:p>
    <w:p w:rsidR="00B06EC8" w:rsidRPr="00812B04" w:rsidRDefault="00B06EC8" w:rsidP="00B06EC8">
      <w:pPr>
        <w:shd w:val="clear" w:color="auto" w:fill="FFFFFF"/>
        <w:jc w:val="both"/>
      </w:pPr>
      <w:r w:rsidRPr="00812B04">
        <w:t>In 2010, the PCT Working Group endorsed recommendations for improving the PCT (“PCT Roadmap”). Significant progress was made during the 2012/13 biennium in the following respects:  (a) the PCT agenda now prominently features quality of work products, including international search reports and written opinions, as well as administration at the IB and Offices;  (b) stakeholders at the national level recognize the utility of high-quality PCT work products and the importance of the PCT to the operation of the international patent system;  (c) interested parties better understand the role of the PCT in the effective dissemination of technical information;  and (d) there is greater understanding of the needs of Contracting States for high-quality international applications and PCT work products, of the capacity of Contracting States to perform their own effective search and examination</w:t>
      </w:r>
      <w:r w:rsidR="00D164E4">
        <w:t>,</w:t>
      </w:r>
      <w:r w:rsidRPr="00812B04">
        <w:t xml:space="preserve"> and of the needs for continued technical assistance to developing and least developed countries in that regard.</w:t>
      </w:r>
    </w:p>
    <w:p w:rsidR="00B06EC8" w:rsidRPr="00812B04" w:rsidRDefault="00B06EC8" w:rsidP="00B06EC8">
      <w:pPr>
        <w:jc w:val="both"/>
      </w:pPr>
    </w:p>
    <w:p w:rsidR="00B06EC8" w:rsidRPr="00812B04" w:rsidRDefault="00B06EC8" w:rsidP="00B06EC8">
      <w:pPr>
        <w:jc w:val="both"/>
        <w:rPr>
          <w:bCs/>
          <w:szCs w:val="22"/>
        </w:rPr>
      </w:pPr>
      <w:r w:rsidRPr="00812B04">
        <w:t>The Madrid System continued to grow in the biennium 2012/13 in terms of filings of international applications, subsequent designations and renewals.  WIPO received a total of 44,018 and 46,829 international applications in 2012 and 2013 respectively, corresponding to a 4.1 and 6.4 per cent increase on the previous years.  The International Bureau (IB) recorded a total of 41,954 and 44,414 applications in 2012 and 2013 respectively</w:t>
      </w:r>
      <w:proofErr w:type="gramStart"/>
      <w:r w:rsidRPr="00812B04">
        <w:t xml:space="preserve">; </w:t>
      </w:r>
      <w:r w:rsidR="00490784">
        <w:t xml:space="preserve"> </w:t>
      </w:r>
      <w:r w:rsidRPr="00812B04">
        <w:t>an</w:t>
      </w:r>
      <w:proofErr w:type="gramEnd"/>
      <w:r w:rsidRPr="00812B04">
        <w:t xml:space="preserve"> increase in 2013 of 5.9 per cent compared to 2012.  The total number of requests received by the IB, such as modifications, decisions by Offices of the Contracting Parties, and renewals increased by 4.5 per cent in 2013 (456,877 requests) compared to 2012 (437,082 requests).</w:t>
      </w:r>
      <w:r w:rsidRPr="00812B04">
        <w:rPr>
          <w:szCs w:val="22"/>
        </w:rPr>
        <w:t xml:space="preserve">  </w:t>
      </w:r>
      <w:r w:rsidRPr="00812B04">
        <w:t>Of</w:t>
      </w:r>
      <w:r w:rsidR="00E10968">
        <w:t> </w:t>
      </w:r>
      <w:r w:rsidRPr="00812B04">
        <w:t xml:space="preserve">the total applications received in 2012 and 2013, respectively, 7 and 6.8 per cent originated from developing countries and LDCs.  </w:t>
      </w:r>
      <w:proofErr w:type="gramStart"/>
      <w:r w:rsidRPr="00812B04">
        <w:t>At the end of the biennium 2012/13, the number of members to the Madrid Protocol and the Madrid System reached 91 and 92, respectively, following the accessions of Colombia, India, Mexico, New Zealand, the Philippines, Rwanda and Tunisia.</w:t>
      </w:r>
      <w:proofErr w:type="gramEnd"/>
      <w:r w:rsidRPr="00812B04">
        <w:t xml:space="preserve">  These new accessions represented a significant milestone in the further geographical expansion of the </w:t>
      </w:r>
      <w:r w:rsidR="00601859">
        <w:t>Madrid System</w:t>
      </w:r>
      <w:r w:rsidRPr="00812B04">
        <w:t xml:space="preserve">, in particular with the entry of two countries from the Latin American region. </w:t>
      </w:r>
      <w:r w:rsidR="00D164E4">
        <w:t xml:space="preserve"> </w:t>
      </w:r>
      <w:r w:rsidRPr="00812B04">
        <w:t>One country remains in the Agreement only.</w:t>
      </w:r>
    </w:p>
    <w:p w:rsidR="00B06EC8" w:rsidRPr="00812B04" w:rsidRDefault="00B06EC8" w:rsidP="00B06EC8">
      <w:pPr>
        <w:jc w:val="both"/>
      </w:pPr>
    </w:p>
    <w:p w:rsidR="00B06EC8" w:rsidRPr="00812B04" w:rsidRDefault="00B06EC8" w:rsidP="00B06EC8">
      <w:pPr>
        <w:jc w:val="both"/>
      </w:pPr>
      <w:r w:rsidRPr="00812B04">
        <w:t xml:space="preserve">International registrations under the Hague System grew from 2,363 in 2011 to 2,440 and 2,734 in 2012 and 2013 respectively. </w:t>
      </w:r>
      <w:r w:rsidR="00E10968">
        <w:t xml:space="preserve"> </w:t>
      </w:r>
      <w:r w:rsidRPr="00812B04">
        <w:t xml:space="preserve">In spite of a general growth in filings and recording activity, with notably more filings made for, and from, developing countries and LDCs, and in spite of being on track in terms of renewals, the volumes remained below the envisaged growth levels. </w:t>
      </w:r>
      <w:r w:rsidR="00D164E4">
        <w:t xml:space="preserve"> </w:t>
      </w:r>
      <w:r w:rsidRPr="00812B04">
        <w:t xml:space="preserve">During the biennium, </w:t>
      </w:r>
      <w:r w:rsidR="00D164E4" w:rsidRPr="00812B04">
        <w:t>Brunei</w:t>
      </w:r>
      <w:r w:rsidR="00D164E4">
        <w:t> </w:t>
      </w:r>
      <w:r w:rsidRPr="00812B04">
        <w:t xml:space="preserve">Darussalam, Montenegro, Tajikistan and Tunisia became party to the Geneva (1999) Act of the Hague Agreement.  The accession by Tunisia represents an important step towards the objective of establishing a predominance of the 1999 Act in the </w:t>
      </w:r>
      <w:r w:rsidR="00E94AD4">
        <w:t>S</w:t>
      </w:r>
      <w:r w:rsidRPr="00812B04">
        <w:t xml:space="preserve">ystem since, as a result of this accession, there remains no Contracting State bound only by the 1934 Act.  Further progress towards terminating this latter treaty was achieved as four consents to that effect were received. </w:t>
      </w:r>
      <w:r w:rsidR="00CA429B">
        <w:t xml:space="preserve"> </w:t>
      </w:r>
      <w:r w:rsidRPr="00812B04">
        <w:t xml:space="preserve">By the end of the biennium, three consents were still required before formal termination can be pronounced.   </w:t>
      </w:r>
    </w:p>
    <w:p w:rsidR="00B06EC8" w:rsidRPr="00812B04" w:rsidRDefault="00B06EC8" w:rsidP="00B06EC8">
      <w:pPr>
        <w:tabs>
          <w:tab w:val="left" w:pos="5309"/>
        </w:tabs>
        <w:jc w:val="both"/>
      </w:pPr>
    </w:p>
    <w:p w:rsidR="00B06EC8" w:rsidRPr="00812B04" w:rsidRDefault="00B06EC8" w:rsidP="00B06EC8">
      <w:pPr>
        <w:tabs>
          <w:tab w:val="left" w:pos="5309"/>
        </w:tabs>
        <w:jc w:val="both"/>
      </w:pPr>
      <w:r w:rsidRPr="00812B04">
        <w:t xml:space="preserve">The Assembly of the Lisbon Union mandated the Working Group on the Development of the Lisbon System, in 2009, to engage in a full review of the </w:t>
      </w:r>
      <w:r w:rsidR="00601859">
        <w:t>Lisbon System</w:t>
      </w:r>
      <w:r w:rsidRPr="00812B04">
        <w:t xml:space="preserve"> aimed at making the system more attractive for users and prospective new Members, while preserving its principles and objectives.  Under this mandate and in view of the considerable progress made at the sessions of the Working Group in December 2012 and April/May 2013 on a draft Revised Lisbon Agreement and draft Regulations under such a Revised Lisbon Agreement, the Assembly approved the convening of a Diplomatic Conference for the Adoption of a Revised Lisbon Agreement on Appellations of Origin and Geographical Indications in 2015.  In accordance with the roadmap agreed by the Assembly, a further session of the Working Group took place in December 2013 and two more sessions are scheduled for June and October 2014, respectively.</w:t>
      </w:r>
      <w:r w:rsidRPr="00812B04">
        <w:rPr>
          <w:bCs/>
          <w:szCs w:val="22"/>
        </w:rPr>
        <w:t xml:space="preserve"> </w:t>
      </w:r>
    </w:p>
    <w:p w:rsidR="00B06EC8" w:rsidRPr="00812B04" w:rsidRDefault="00B06EC8" w:rsidP="00B06EC8">
      <w:pPr>
        <w:tabs>
          <w:tab w:val="left" w:pos="5309"/>
        </w:tabs>
        <w:jc w:val="both"/>
      </w:pPr>
    </w:p>
    <w:p w:rsidR="004A7442" w:rsidRDefault="00B06EC8" w:rsidP="00E10968">
      <w:pPr>
        <w:pStyle w:val="Header"/>
        <w:keepNext/>
        <w:keepLines/>
        <w:widowControl w:val="0"/>
        <w:tabs>
          <w:tab w:val="right" w:pos="9000"/>
        </w:tabs>
        <w:autoSpaceDE w:val="0"/>
        <w:autoSpaceDN w:val="0"/>
        <w:adjustRightInd w:val="0"/>
        <w:jc w:val="both"/>
        <w:rPr>
          <w:noProof/>
        </w:rPr>
      </w:pPr>
      <w:r w:rsidRPr="00812B04">
        <w:rPr>
          <w:noProof/>
        </w:rPr>
        <w:lastRenderedPageBreak/>
        <w:t>In 2012, the WIPO Arbitration and Mediation Center (AMC) continued to work to optimize the potential of its procedures to meet the needs of IP right holders and users.  In the area of alternative dispute resolution (ADR), the year 2012 saw the first cases successfully settled under a</w:t>
      </w:r>
      <w:hyperlink r:id="rId19" w:history="1">
        <w:r w:rsidRPr="00812B04">
          <w:rPr>
            <w:noProof/>
          </w:rPr>
          <w:t xml:space="preserve"> procedure</w:t>
        </w:r>
      </w:hyperlink>
      <w:r w:rsidRPr="00812B04">
        <w:rPr>
          <w:noProof/>
        </w:rPr>
        <w:t xml:space="preserve"> for the mediation of trademark oppositions at the Intellectual Property Office of Singapore (IPOS).  The WIPO Center also helped develop a similar mediation option for trademark proceedings before the National Institute of Industrial Property of Brazil (INPI</w:t>
      </w:r>
      <w:r w:rsidRPr="00812B04">
        <w:rPr>
          <w:noProof/>
        </w:rPr>
        <w:noBreakHyphen/>
        <w:t>BR), which became available to parties in July 2013.  In the area of domain names, the WIPO Center in 2012/13 administered 5,469 cybersquatting cases covering 11,271 names under procedures based on the Uniform Domain Name Dispute Resolution Policy (UDRP).  The total number of domain names in UDRP</w:t>
      </w:r>
      <w:r w:rsidRPr="00812B04">
        <w:rPr>
          <w:noProof/>
        </w:rPr>
        <w:noBreakHyphen/>
        <w:t xml:space="preserve">based cases received by WIPO since 1999 surpassed 50,000.  The WIPO Center also continued to liaise with the administrators of country code Top Level Domains (ccTLDs) in different regions in relation to dispute resolution policies.  In 2012/13, the WIPO Center became a provider for the .FM (Micronesia (Federated States of)), .GD (Grenada), .ML (Mali) .PW (Palau) and .TZ (Tanzania) domains, bringing the total of ccTLDs for which WIPO provides such services to 70.  </w:t>
      </w:r>
    </w:p>
    <w:p w:rsidR="00CA429B" w:rsidRDefault="00CA429B" w:rsidP="00B06EC8">
      <w:pPr>
        <w:pStyle w:val="Header"/>
        <w:widowControl w:val="0"/>
        <w:tabs>
          <w:tab w:val="right" w:pos="9000"/>
        </w:tabs>
        <w:autoSpaceDE w:val="0"/>
        <w:autoSpaceDN w:val="0"/>
        <w:adjustRightInd w:val="0"/>
        <w:jc w:val="both"/>
        <w:rPr>
          <w:noProof/>
        </w:rPr>
      </w:pPr>
    </w:p>
    <w:p w:rsidR="00DC2CFA" w:rsidRPr="00812B04" w:rsidRDefault="00DC2CFA" w:rsidP="00B06EC8">
      <w:pPr>
        <w:pStyle w:val="Header"/>
        <w:widowControl w:val="0"/>
        <w:tabs>
          <w:tab w:val="right" w:pos="9000"/>
        </w:tabs>
        <w:autoSpaceDE w:val="0"/>
        <w:autoSpaceDN w:val="0"/>
        <w:adjustRightInd w:val="0"/>
        <w:jc w:val="both"/>
        <w:rPr>
          <w:noProof/>
        </w:rPr>
      </w:pPr>
    </w:p>
    <w:p w:rsidR="008465CB" w:rsidRDefault="00B06EC8" w:rsidP="00E94AD4">
      <w:pPr>
        <w:jc w:val="center"/>
        <w:rPr>
          <w:b/>
          <w:iCs/>
        </w:rPr>
      </w:pPr>
      <w:r w:rsidRPr="004A7442">
        <w:rPr>
          <w:b/>
          <w:iCs/>
        </w:rPr>
        <w:t xml:space="preserve">Strategic Goal III: </w:t>
      </w:r>
      <w:r w:rsidR="00595665" w:rsidRPr="004A7442">
        <w:rPr>
          <w:b/>
          <w:iCs/>
        </w:rPr>
        <w:t xml:space="preserve"> </w:t>
      </w:r>
      <w:r w:rsidRPr="004A7442">
        <w:rPr>
          <w:b/>
          <w:iCs/>
        </w:rPr>
        <w:t>Facilitating the Use of IP for Development</w:t>
      </w:r>
    </w:p>
    <w:p w:rsidR="00DC2CFA" w:rsidRPr="004A7442" w:rsidRDefault="00DC2CFA" w:rsidP="00DC2CFA">
      <w:pPr>
        <w:jc w:val="both"/>
        <w:rPr>
          <w:i/>
          <w:iCs/>
        </w:rPr>
      </w:pPr>
    </w:p>
    <w:p w:rsidR="00555AFA" w:rsidRDefault="00555AFA" w:rsidP="00B06EC8">
      <w:pPr>
        <w:jc w:val="both"/>
        <w:rPr>
          <w:i/>
          <w:iCs/>
        </w:rPr>
      </w:pPr>
    </w:p>
    <w:p w:rsidR="008465CB" w:rsidRPr="008465CB" w:rsidRDefault="008465CB" w:rsidP="008465CB">
      <w:pPr>
        <w:jc w:val="center"/>
        <w:rPr>
          <w:b/>
          <w:sz w:val="18"/>
          <w:szCs w:val="18"/>
        </w:rPr>
      </w:pPr>
      <w:r w:rsidRPr="008465CB">
        <w:rPr>
          <w:b/>
          <w:sz w:val="18"/>
          <w:szCs w:val="18"/>
        </w:rPr>
        <w:t>Summary of Achievements by Expected Result</w:t>
      </w:r>
    </w:p>
    <w:p w:rsidR="008465CB" w:rsidRPr="00812B04" w:rsidRDefault="004A7442" w:rsidP="00B06EC8">
      <w:pPr>
        <w:jc w:val="both"/>
        <w:rPr>
          <w:i/>
          <w:iCs/>
        </w:rPr>
      </w:pPr>
      <w:r>
        <w:rPr>
          <w:noProof/>
        </w:rPr>
        <w:drawing>
          <wp:inline distT="0" distB="0" distL="0" distR="0" wp14:anchorId="4D182BB0" wp14:editId="3350D2DC">
            <wp:extent cx="5940425" cy="4746628"/>
            <wp:effectExtent l="0" t="0" r="3175"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pic:cNvPicPr>
                      <a:picLocks noChangeAspect="1"/>
                    </pic:cNvPicPr>
                  </pic:nvPicPr>
                  <pic:blipFill>
                    <a:blip r:embed="rId20"/>
                    <a:stretch>
                      <a:fillRect/>
                    </a:stretch>
                  </pic:blipFill>
                  <pic:spPr>
                    <a:xfrm>
                      <a:off x="0" y="0"/>
                      <a:ext cx="5940425" cy="4746628"/>
                    </a:xfrm>
                    <a:prstGeom prst="rect">
                      <a:avLst/>
                    </a:prstGeom>
                  </pic:spPr>
                </pic:pic>
              </a:graphicData>
            </a:graphic>
          </wp:inline>
        </w:drawing>
      </w:r>
    </w:p>
    <w:p w:rsidR="00555AFA" w:rsidRDefault="00555AFA" w:rsidP="00B06EC8">
      <w:pPr>
        <w:jc w:val="both"/>
        <w:rPr>
          <w:iCs/>
        </w:rPr>
      </w:pPr>
    </w:p>
    <w:p w:rsidR="00555AFA" w:rsidRDefault="00555AFA" w:rsidP="00555AFA">
      <w:pPr>
        <w:jc w:val="center"/>
      </w:pPr>
    </w:p>
    <w:p w:rsidR="004A7442" w:rsidRDefault="004A7442" w:rsidP="00555AFA">
      <w:pPr>
        <w:jc w:val="center"/>
        <w:rPr>
          <w:b/>
          <w:sz w:val="18"/>
          <w:szCs w:val="18"/>
        </w:rPr>
      </w:pPr>
    </w:p>
    <w:p w:rsidR="004A7442" w:rsidRDefault="004A7442" w:rsidP="00555AFA">
      <w:pPr>
        <w:jc w:val="center"/>
        <w:rPr>
          <w:b/>
          <w:sz w:val="18"/>
          <w:szCs w:val="18"/>
        </w:rPr>
      </w:pPr>
    </w:p>
    <w:p w:rsidR="00D95B69" w:rsidRDefault="00D95B69" w:rsidP="00DC2CFA">
      <w:pPr>
        <w:jc w:val="center"/>
        <w:rPr>
          <w:b/>
          <w:sz w:val="18"/>
          <w:szCs w:val="18"/>
        </w:rPr>
      </w:pPr>
    </w:p>
    <w:p w:rsidR="00E10968" w:rsidRDefault="00E10968">
      <w:pPr>
        <w:rPr>
          <w:b/>
          <w:sz w:val="18"/>
          <w:szCs w:val="18"/>
        </w:rPr>
      </w:pPr>
      <w:r>
        <w:rPr>
          <w:b/>
          <w:sz w:val="18"/>
          <w:szCs w:val="18"/>
        </w:rPr>
        <w:br w:type="page"/>
      </w:r>
    </w:p>
    <w:p w:rsidR="00DC2CFA" w:rsidRPr="0086702C" w:rsidRDefault="00DC2CFA" w:rsidP="00DC2CFA">
      <w:pPr>
        <w:jc w:val="center"/>
        <w:rPr>
          <w:b/>
          <w:szCs w:val="20"/>
        </w:rPr>
      </w:pPr>
      <w:r w:rsidRPr="0086702C">
        <w:rPr>
          <w:b/>
          <w:szCs w:val="20"/>
        </w:rPr>
        <w:lastRenderedPageBreak/>
        <w:t>Biennial Performance Dashboard</w:t>
      </w:r>
    </w:p>
    <w:p w:rsidR="00555AFA" w:rsidRPr="00A522FE" w:rsidRDefault="00555AFA" w:rsidP="00555AFA">
      <w:pPr>
        <w:jc w:val="center"/>
      </w:pPr>
    </w:p>
    <w:p w:rsidR="00555AFA" w:rsidRPr="008465CB" w:rsidRDefault="00555AFA" w:rsidP="00555AFA">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555AFA" w:rsidRDefault="00555AFA" w:rsidP="00B06EC8">
      <w:pPr>
        <w:jc w:val="both"/>
      </w:pPr>
    </w:p>
    <w:tbl>
      <w:tblPr>
        <w:tblW w:w="0" w:type="auto"/>
        <w:tblInd w:w="93"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37"/>
        <w:gridCol w:w="4032"/>
        <w:gridCol w:w="1200"/>
        <w:gridCol w:w="602"/>
      </w:tblGrid>
      <w:tr w:rsidR="00D95B69" w:rsidRPr="007354C4" w:rsidTr="004808E3">
        <w:trPr>
          <w:tblHeader/>
        </w:trPr>
        <w:tc>
          <w:tcPr>
            <w:tcW w:w="3537" w:type="dxa"/>
            <w:tcBorders>
              <w:top w:val="single" w:sz="4" w:space="0" w:color="auto"/>
              <w:bottom w:val="single" w:sz="4" w:space="0" w:color="auto"/>
            </w:tcBorders>
            <w:shd w:val="clear" w:color="auto" w:fill="CCFFFF"/>
            <w:vAlign w:val="center"/>
          </w:tcPr>
          <w:p w:rsidR="00D95B69" w:rsidRPr="006A6EC1" w:rsidRDefault="00D95B69" w:rsidP="00D95B69">
            <w:pPr>
              <w:spacing w:before="120" w:after="120"/>
              <w:jc w:val="center"/>
              <w:rPr>
                <w:b/>
                <w:bCs/>
                <w:sz w:val="14"/>
                <w:szCs w:val="14"/>
                <w:lang w:bidi="th-TH"/>
              </w:rPr>
            </w:pPr>
            <w:r w:rsidRPr="006A6EC1">
              <w:rPr>
                <w:b/>
                <w:bCs/>
                <w:sz w:val="14"/>
                <w:szCs w:val="14"/>
                <w:lang w:bidi="th-TH"/>
              </w:rPr>
              <w:t>Expected Results</w:t>
            </w:r>
          </w:p>
        </w:tc>
        <w:tc>
          <w:tcPr>
            <w:tcW w:w="4032" w:type="dxa"/>
            <w:tcBorders>
              <w:top w:val="single" w:sz="4" w:space="0" w:color="auto"/>
              <w:bottom w:val="single" w:sz="4" w:space="0" w:color="auto"/>
            </w:tcBorders>
            <w:shd w:val="clear" w:color="auto" w:fill="CCFFFF"/>
            <w:vAlign w:val="center"/>
          </w:tcPr>
          <w:p w:rsidR="00D95B69" w:rsidRPr="006A6EC1" w:rsidRDefault="00D95B69" w:rsidP="00D95B69">
            <w:pPr>
              <w:spacing w:before="120" w:after="120"/>
              <w:jc w:val="center"/>
              <w:rPr>
                <w:b/>
                <w:bCs/>
                <w:sz w:val="14"/>
                <w:szCs w:val="14"/>
                <w:lang w:bidi="th-TH"/>
              </w:rPr>
            </w:pPr>
            <w:r w:rsidRPr="006A6EC1">
              <w:rPr>
                <w:b/>
                <w:bCs/>
                <w:sz w:val="14"/>
                <w:szCs w:val="14"/>
                <w:lang w:bidi="th-TH"/>
              </w:rPr>
              <w:t>Performance Indicators</w:t>
            </w:r>
          </w:p>
        </w:tc>
        <w:tc>
          <w:tcPr>
            <w:tcW w:w="1200" w:type="dxa"/>
            <w:tcBorders>
              <w:top w:val="single" w:sz="4" w:space="0" w:color="auto"/>
              <w:bottom w:val="single" w:sz="4" w:space="0" w:color="auto"/>
            </w:tcBorders>
            <w:shd w:val="clear" w:color="auto" w:fill="CCFFFF"/>
            <w:vAlign w:val="center"/>
          </w:tcPr>
          <w:p w:rsidR="00D95B69" w:rsidRPr="006A6EC1" w:rsidRDefault="00D95B69" w:rsidP="00D95B69">
            <w:pPr>
              <w:spacing w:before="120" w:after="120"/>
              <w:jc w:val="center"/>
              <w:rPr>
                <w:b/>
                <w:bCs/>
                <w:sz w:val="14"/>
                <w:szCs w:val="14"/>
                <w:lang w:bidi="th-TH"/>
              </w:rPr>
            </w:pPr>
            <w:r w:rsidRPr="006A6EC1">
              <w:rPr>
                <w:b/>
                <w:bCs/>
                <w:sz w:val="14"/>
                <w:szCs w:val="14"/>
                <w:lang w:bidi="th-TH"/>
              </w:rPr>
              <w:t>Responsible Program(s)</w:t>
            </w:r>
          </w:p>
        </w:tc>
        <w:tc>
          <w:tcPr>
            <w:tcW w:w="602" w:type="dxa"/>
            <w:tcBorders>
              <w:top w:val="single" w:sz="4" w:space="0" w:color="auto"/>
              <w:bottom w:val="single" w:sz="4" w:space="0" w:color="auto"/>
            </w:tcBorders>
            <w:shd w:val="clear" w:color="auto" w:fill="CCFFFF"/>
          </w:tcPr>
          <w:p w:rsidR="00D95B69" w:rsidRPr="006A6EC1" w:rsidRDefault="00D95B69" w:rsidP="00D95B69">
            <w:pPr>
              <w:spacing w:before="120" w:after="120"/>
              <w:jc w:val="center"/>
              <w:rPr>
                <w:b/>
                <w:bCs/>
                <w:sz w:val="14"/>
                <w:szCs w:val="14"/>
                <w:lang w:bidi="th-TH"/>
              </w:rPr>
            </w:pPr>
            <w:r w:rsidRPr="006A6EC1">
              <w:rPr>
                <w:b/>
                <w:bCs/>
                <w:sz w:val="14"/>
                <w:szCs w:val="14"/>
                <w:lang w:bidi="th-TH"/>
              </w:rPr>
              <w:t>TLS</w:t>
            </w:r>
          </w:p>
        </w:tc>
      </w:tr>
      <w:tr w:rsidR="00D95B69" w:rsidRPr="007354C4" w:rsidTr="004808E3">
        <w:tc>
          <w:tcPr>
            <w:tcW w:w="3537" w:type="dxa"/>
            <w:vMerge w:val="restart"/>
            <w:tcBorders>
              <w:top w:val="single" w:sz="4" w:space="0" w:color="auto"/>
            </w:tcBorders>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Clearly defined and coherent national innovation and IP policies, strategies and development plans consistent with national development goals and objectives </w:t>
            </w:r>
          </w:p>
          <w:p w:rsidR="00D95B69" w:rsidRPr="006A6EC1" w:rsidRDefault="00D95B69" w:rsidP="00D95B69">
            <w:pPr>
              <w:spacing w:before="80"/>
              <w:rPr>
                <w:sz w:val="14"/>
                <w:szCs w:val="14"/>
                <w:lang w:bidi="th-TH"/>
              </w:rPr>
            </w:pPr>
            <w:r w:rsidRPr="006A6EC1">
              <w:rPr>
                <w:sz w:val="14"/>
                <w:szCs w:val="14"/>
                <w:lang w:bidi="th-TH"/>
              </w:rPr>
              <w:t> </w:t>
            </w:r>
          </w:p>
        </w:tc>
        <w:tc>
          <w:tcPr>
            <w:tcW w:w="4032" w:type="dxa"/>
            <w:tcBorders>
              <w:top w:val="single" w:sz="4" w:space="0" w:color="auto"/>
            </w:tcBorders>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that have formulated and/or are engaged in implementation of their IP Policies, Strategies and/or Plans each year (Africa)</w:t>
            </w:r>
          </w:p>
        </w:tc>
        <w:tc>
          <w:tcPr>
            <w:tcW w:w="1200" w:type="dxa"/>
            <w:tcBorders>
              <w:top w:val="single" w:sz="4" w:space="0" w:color="auto"/>
            </w:tcBorders>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Borders>
              <w:top w:val="single" w:sz="4" w:space="0" w:color="auto"/>
            </w:tcBorders>
          </w:tcPr>
          <w:p w:rsidR="00D95B69" w:rsidRPr="006A6EC1" w:rsidRDefault="00D95B69" w:rsidP="00D95B69">
            <w:pPr>
              <w:spacing w:before="40"/>
              <w:jc w:val="center"/>
              <w:rPr>
                <w:sz w:val="22"/>
                <w:szCs w:val="22"/>
                <w:lang w:bidi="th-TH"/>
              </w:rPr>
            </w:pPr>
            <w:r w:rsidRPr="006A6EC1">
              <w:rPr>
                <w:rFonts w:cs="Arial"/>
                <w:color w:val="E36C0A" w:themeColor="accent6" w:themeShade="BF"/>
                <w:sz w:val="22"/>
                <w:szCs w:val="22"/>
              </w:rPr>
              <w:sym w:font="Wingdings" w:char="F06C"/>
            </w:r>
            <w:r w:rsidRPr="006A6EC1">
              <w:rPr>
                <w:rFonts w:cs="Arial"/>
                <w:color w:val="FF0000"/>
                <w:sz w:val="22"/>
                <w:szCs w:val="22"/>
              </w:rPr>
              <w:sym w:font="Wingdings" w:char="F06C"/>
            </w: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with appropriate mechanisms for the development and implementation of IP strategies (Arab region)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E36C0A" w:themeColor="accent6" w:themeShade="BF"/>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with initiatives linked to the national IP plans  (Arab region)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with IP policies and strategies in their national approval processes (Asia and the Pacific)</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E36C0A" w:themeColor="accent6" w:themeShade="BF"/>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having adopted IP policies and strategies (Asia and the Pacific)</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color w:val="000000"/>
                <w:sz w:val="14"/>
                <w:szCs w:val="14"/>
                <w:lang w:bidi="th-TH"/>
              </w:rPr>
            </w:pPr>
            <w:r w:rsidRPr="006A6EC1">
              <w:rPr>
                <w:color w:val="000000"/>
                <w:sz w:val="14"/>
                <w:szCs w:val="14"/>
                <w:lang w:bidi="th-TH"/>
              </w:rPr>
              <w:t>No. of countries in which activities/projects have been carried out that contribute to the formulation of  IP strategies/policies</w:t>
            </w:r>
            <w:r w:rsidRPr="006A6EC1">
              <w:rPr>
                <w:color w:val="000000"/>
                <w:sz w:val="14"/>
                <w:szCs w:val="14"/>
                <w:lang w:bidi="th-TH"/>
              </w:rPr>
              <w:br/>
              <w:t xml:space="preserve">(Latin America and the Caribbean)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color w:val="000000"/>
                <w:sz w:val="14"/>
                <w:szCs w:val="14"/>
                <w:lang w:bidi="th-TH"/>
              </w:rPr>
            </w:pPr>
            <w:r w:rsidRPr="006A6EC1">
              <w:rPr>
                <w:color w:val="000000"/>
                <w:sz w:val="14"/>
                <w:szCs w:val="14"/>
                <w:lang w:bidi="th-TH"/>
              </w:rPr>
              <w:t>No. of countries in which activities/projects have been carried out that contribute to the implementation of  IP strategies/policies</w:t>
            </w:r>
            <w:r w:rsidRPr="006A6EC1">
              <w:rPr>
                <w:color w:val="000000"/>
                <w:sz w:val="14"/>
                <w:szCs w:val="14"/>
                <w:lang w:bidi="th-TH"/>
              </w:rPr>
              <w:br/>
              <w:t xml:space="preserve">(Latin America and the Caribbean)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E36C0A" w:themeColor="accent6" w:themeShade="BF"/>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LDCs that have included LDC-specific IP considerations in their national IP strategies and/or policies (LDCs)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No of countries having developed national IP strategies or plans, dovetailed with national development goals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D95B69">
            <w:pPr>
              <w:spacing w:before="80"/>
              <w:rPr>
                <w:sz w:val="14"/>
                <w:szCs w:val="14"/>
                <w:lang w:bidi="th-TH"/>
              </w:rPr>
            </w:pPr>
            <w:r w:rsidRPr="006A6EC1">
              <w:rPr>
                <w:sz w:val="14"/>
                <w:szCs w:val="14"/>
                <w:lang w:bidi="th-TH"/>
              </w:rPr>
              <w:t>Enhanced human resource capacities able to deal with the broad range of requirements for the effective use of IP for development in developing countries, LDCs and countries with economies in transition</w:t>
            </w:r>
          </w:p>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highlight w:val="yellow"/>
                <w:lang w:bidi="th-TH"/>
              </w:rPr>
            </w:pPr>
            <w:r w:rsidRPr="006A6EC1">
              <w:rPr>
                <w:rFonts w:cs="Arial"/>
                <w:sz w:val="14"/>
                <w:szCs w:val="14"/>
                <w:lang w:bidi="th-TH"/>
              </w:rPr>
              <w:t>No. of national IP strategies which includes an innovation and technology component</w:t>
            </w:r>
          </w:p>
        </w:tc>
        <w:tc>
          <w:tcPr>
            <w:tcW w:w="1200" w:type="dxa"/>
            <w:shd w:val="clear" w:color="auto" w:fill="auto"/>
          </w:tcPr>
          <w:p w:rsidR="00D95B69" w:rsidRPr="006A6EC1" w:rsidRDefault="00D95B69" w:rsidP="00D95B69">
            <w:pPr>
              <w:spacing w:before="80"/>
              <w:jc w:val="center"/>
              <w:rPr>
                <w:sz w:val="14"/>
                <w:szCs w:val="14"/>
                <w:highlight w:val="yellow"/>
                <w:lang w:bidi="th-TH"/>
              </w:rPr>
            </w:pPr>
            <w:r w:rsidRPr="006A6EC1">
              <w:rPr>
                <w:sz w:val="14"/>
                <w:szCs w:val="14"/>
                <w:lang w:bidi="th-TH"/>
              </w:rPr>
              <w:t>Program 30</w:t>
            </w:r>
          </w:p>
        </w:tc>
        <w:tc>
          <w:tcPr>
            <w:tcW w:w="602" w:type="dxa"/>
          </w:tcPr>
          <w:p w:rsidR="00D95B69" w:rsidRPr="006A6EC1" w:rsidRDefault="00D95B69" w:rsidP="00D95B69">
            <w:pPr>
              <w:spacing w:before="20"/>
              <w:jc w:val="center"/>
              <w:rPr>
                <w:sz w:val="22"/>
                <w:szCs w:val="22"/>
                <w:highlight w:val="yellow"/>
              </w:rPr>
            </w:pPr>
            <w:r w:rsidRPr="006A6EC1">
              <w:rPr>
                <w:rFonts w:cs="Arial"/>
                <w:color w:val="A6A6A6" w:themeColor="background1" w:themeShade="A6"/>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policy makers, government officials, IP practitioners and examiners, enforcement agents and |P users with a better understanding of IP issues and its use for development</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B05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with  available IP training programs and IP related career opportunities (Arab region)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Mar>
              <w:top w:w="113" w:type="dxa"/>
            </w:tcMar>
          </w:tcPr>
          <w:p w:rsidR="00D95B69" w:rsidRPr="006A6EC1" w:rsidRDefault="00D95B69" w:rsidP="00E10968">
            <w:pPr>
              <w:spacing w:before="60"/>
              <w:rPr>
                <w:sz w:val="14"/>
                <w:szCs w:val="14"/>
                <w:lang w:bidi="th-TH"/>
              </w:rPr>
            </w:pPr>
            <w:r w:rsidRPr="006A6EC1">
              <w:rPr>
                <w:sz w:val="14"/>
                <w:szCs w:val="14"/>
                <w:lang w:bidi="th-TH"/>
              </w:rPr>
              <w:t>% of trained examiners using upgraded skills in their professional work (Asia and the Pacific)</w:t>
            </w:r>
          </w:p>
        </w:tc>
        <w:tc>
          <w:tcPr>
            <w:tcW w:w="1200" w:type="dxa"/>
            <w:shd w:val="clear" w:color="auto" w:fill="auto"/>
            <w:tcMar>
              <w:top w:w="113" w:type="dxa"/>
            </w:tcMar>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policy makers, government officials, and IP practitioners with enhanced understanding of IP issues, including how to effectively use IP for development (Asia and the Pacific)</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color w:val="000000"/>
                <w:sz w:val="14"/>
                <w:szCs w:val="14"/>
                <w:lang w:bidi="th-TH"/>
              </w:rPr>
            </w:pPr>
            <w:r w:rsidRPr="006A6EC1">
              <w:rPr>
                <w:color w:val="000000"/>
                <w:sz w:val="14"/>
                <w:szCs w:val="14"/>
                <w:lang w:bidi="th-TH"/>
              </w:rPr>
              <w:t>No. of national IP trainers/national experts (Latin America and the Caribbean)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color w:val="000000"/>
                <w:sz w:val="14"/>
                <w:szCs w:val="14"/>
                <w:lang w:bidi="th-TH"/>
              </w:rPr>
            </w:pPr>
            <w:r w:rsidRPr="006A6EC1">
              <w:rPr>
                <w:color w:val="000000"/>
                <w:sz w:val="14"/>
                <w:szCs w:val="14"/>
                <w:lang w:bidi="th-TH"/>
              </w:rPr>
              <w:t>No. of structured national training programs (Latin America and the Caribbean)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Mar>
              <w:top w:w="142" w:type="dxa"/>
            </w:tcMar>
          </w:tcPr>
          <w:p w:rsidR="00D95B69" w:rsidRPr="006A6EC1" w:rsidRDefault="00D95B69" w:rsidP="00D95B69">
            <w:pPr>
              <w:spacing w:before="80"/>
              <w:rPr>
                <w:sz w:val="14"/>
                <w:szCs w:val="14"/>
                <w:lang w:bidi="th-TH"/>
              </w:rPr>
            </w:pPr>
            <w:r w:rsidRPr="006A6EC1">
              <w:rPr>
                <w:sz w:val="14"/>
                <w:szCs w:val="14"/>
                <w:lang w:bidi="th-TH"/>
              </w:rPr>
              <w:t>No. of countries in which the needs for technical assistance and capacity bui</w:t>
            </w:r>
            <w:r w:rsidR="00E10968">
              <w:rPr>
                <w:sz w:val="14"/>
                <w:szCs w:val="14"/>
                <w:lang w:bidi="th-TH"/>
              </w:rPr>
              <w:t>lding have been assessed (LDCs)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keepNext/>
              <w:keepLines/>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keepNext/>
              <w:keepLines/>
              <w:spacing w:before="80"/>
              <w:rPr>
                <w:sz w:val="14"/>
                <w:szCs w:val="14"/>
                <w:lang w:bidi="th-TH"/>
              </w:rPr>
            </w:pPr>
            <w:r w:rsidRPr="006A6EC1">
              <w:rPr>
                <w:sz w:val="14"/>
                <w:szCs w:val="14"/>
                <w:lang w:bidi="th-TH"/>
              </w:rPr>
              <w:t>No. of trainees/participants per year and geographical distribution (LDCs)</w:t>
            </w:r>
          </w:p>
        </w:tc>
        <w:tc>
          <w:tcPr>
            <w:tcW w:w="1200" w:type="dxa"/>
            <w:shd w:val="clear" w:color="auto" w:fill="auto"/>
          </w:tcPr>
          <w:p w:rsidR="00D95B69" w:rsidRPr="006A6EC1" w:rsidRDefault="00D95B69" w:rsidP="00D95B69">
            <w:pPr>
              <w:keepNext/>
              <w:keepLines/>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keepNext/>
              <w:keepLines/>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keepNext/>
              <w:keepLines/>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keepNext/>
              <w:keepLines/>
              <w:spacing w:before="80"/>
              <w:rPr>
                <w:sz w:val="14"/>
                <w:szCs w:val="14"/>
                <w:lang w:bidi="th-TH"/>
              </w:rPr>
            </w:pPr>
            <w:r w:rsidRPr="006A6EC1">
              <w:rPr>
                <w:sz w:val="14"/>
                <w:szCs w:val="14"/>
                <w:lang w:bidi="th-TH"/>
              </w:rPr>
              <w:t xml:space="preserve">% of participants in WIPO capacity-building activities which report enhanced capacity to understand and use IP principles, systems and tools or the protection of TK and TCEs, and for management of the relationship between IP and GRs </w:t>
            </w:r>
          </w:p>
        </w:tc>
        <w:tc>
          <w:tcPr>
            <w:tcW w:w="1200" w:type="dxa"/>
            <w:shd w:val="clear" w:color="auto" w:fill="auto"/>
          </w:tcPr>
          <w:p w:rsidR="00D95B69" w:rsidRPr="006A6EC1" w:rsidRDefault="00D95B69" w:rsidP="00D95B69">
            <w:pPr>
              <w:keepNext/>
              <w:keepLines/>
              <w:spacing w:before="80"/>
              <w:jc w:val="center"/>
              <w:rPr>
                <w:sz w:val="14"/>
                <w:szCs w:val="14"/>
                <w:lang w:bidi="th-TH"/>
              </w:rPr>
            </w:pPr>
            <w:r w:rsidRPr="006A6EC1">
              <w:rPr>
                <w:sz w:val="14"/>
                <w:szCs w:val="14"/>
                <w:lang w:bidi="th-TH"/>
              </w:rPr>
              <w:t>Program 9</w:t>
            </w:r>
          </w:p>
          <w:p w:rsidR="00D95B69" w:rsidRPr="006A6EC1" w:rsidRDefault="00D95B69" w:rsidP="0086702C">
            <w:pPr>
              <w:keepNext/>
              <w:keepLines/>
              <w:spacing w:before="80"/>
              <w:jc w:val="center"/>
              <w:rPr>
                <w:sz w:val="14"/>
                <w:szCs w:val="14"/>
                <w:lang w:bidi="th-TH"/>
              </w:rPr>
            </w:pPr>
            <w:r w:rsidRPr="006A6EC1">
              <w:rPr>
                <w:sz w:val="14"/>
                <w:szCs w:val="14"/>
                <w:lang w:bidi="th-TH"/>
              </w:rPr>
              <w:t>Program 4</w:t>
            </w:r>
          </w:p>
        </w:tc>
        <w:tc>
          <w:tcPr>
            <w:tcW w:w="602" w:type="dxa"/>
          </w:tcPr>
          <w:p w:rsidR="00D95B69" w:rsidRPr="006A6EC1" w:rsidRDefault="00D95B69" w:rsidP="00D95B69">
            <w:pPr>
              <w:keepNext/>
              <w:keepLines/>
              <w:spacing w:before="20"/>
              <w:jc w:val="center"/>
              <w:rPr>
                <w:rFonts w:cs="Arial"/>
                <w:color w:val="008000"/>
                <w:sz w:val="22"/>
                <w:szCs w:val="22"/>
              </w:rPr>
            </w:pPr>
            <w:r w:rsidRPr="006A6EC1">
              <w:rPr>
                <w:rFonts w:cs="Arial"/>
                <w:color w:val="008000"/>
                <w:sz w:val="22"/>
                <w:szCs w:val="22"/>
              </w:rPr>
              <w:sym w:font="Wingdings" w:char="F06C"/>
            </w:r>
          </w:p>
          <w:p w:rsidR="00D95B69" w:rsidRPr="006A6EC1" w:rsidRDefault="00D95B69" w:rsidP="00D95B69">
            <w:pPr>
              <w:keepNext/>
              <w:keepLines/>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trained IP office officials using upgraded skills in their work</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IP professionals attesting to an enhanced understanding of IP issues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10</w:t>
            </w:r>
          </w:p>
        </w:tc>
        <w:tc>
          <w:tcPr>
            <w:tcW w:w="602" w:type="dxa"/>
          </w:tcPr>
          <w:p w:rsidR="00D95B69" w:rsidRPr="006A6EC1" w:rsidRDefault="00D95B69" w:rsidP="00D95B69">
            <w:pPr>
              <w:spacing w:before="20"/>
              <w:jc w:val="center"/>
              <w:rPr>
                <w:rFonts w:cs="Arial"/>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Inclusion of development-related issues in WIPO enforcement training programs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17</w:t>
            </w:r>
          </w:p>
        </w:tc>
        <w:tc>
          <w:tcPr>
            <w:tcW w:w="602" w:type="dxa"/>
          </w:tcPr>
          <w:p w:rsidR="00D95B69" w:rsidRPr="006A6EC1" w:rsidRDefault="00D95B69" w:rsidP="00D95B69">
            <w:pPr>
              <w:jc w:val="center"/>
              <w:rPr>
                <w:rFonts w:cs="Arial"/>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highlight w:val="yellow"/>
                <w:lang w:bidi="th-TH"/>
              </w:rPr>
            </w:pPr>
            <w:r w:rsidRPr="006A6EC1">
              <w:rPr>
                <w:sz w:val="14"/>
                <w:szCs w:val="14"/>
                <w:lang w:bidi="th-TH"/>
              </w:rPr>
              <w:t xml:space="preserve">% of trained enforcement officials that report satisfaction with the training provided, including guidance on strategic cooperation, and its usefulness for their professional life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p w:rsidR="00D95B69" w:rsidRPr="006A6EC1" w:rsidRDefault="00D95B69" w:rsidP="00D95B69">
            <w:pPr>
              <w:spacing w:before="120"/>
              <w:jc w:val="center"/>
              <w:rPr>
                <w:sz w:val="14"/>
                <w:szCs w:val="14"/>
                <w:highlight w:val="yellow"/>
                <w:lang w:bidi="th-TH"/>
              </w:rPr>
            </w:pPr>
            <w:r w:rsidRPr="006A6EC1">
              <w:rPr>
                <w:sz w:val="14"/>
                <w:szCs w:val="14"/>
                <w:lang w:bidi="th-TH"/>
              </w:rPr>
              <w:t>Program 17</w:t>
            </w:r>
          </w:p>
        </w:tc>
        <w:tc>
          <w:tcPr>
            <w:tcW w:w="602" w:type="dxa"/>
          </w:tcPr>
          <w:p w:rsidR="00D95B69" w:rsidRPr="006A6EC1" w:rsidRDefault="00D95B69" w:rsidP="00D95B69">
            <w:pPr>
              <w:jc w:val="center"/>
              <w:rPr>
                <w:rFonts w:cs="Arial"/>
                <w:color w:val="008000"/>
                <w:sz w:val="22"/>
                <w:szCs w:val="22"/>
                <w:highlight w:val="yellow"/>
              </w:rPr>
            </w:pPr>
            <w:r w:rsidRPr="006A6EC1">
              <w:rPr>
                <w:rFonts w:cs="Arial"/>
                <w:color w:val="008000"/>
                <w:sz w:val="22"/>
                <w:szCs w:val="22"/>
              </w:rPr>
              <w:sym w:font="Wingdings" w:char="F06C"/>
            </w:r>
          </w:p>
          <w:p w:rsidR="00D95B69" w:rsidRPr="006A6EC1" w:rsidRDefault="00D95B69" w:rsidP="00D95B69">
            <w:pPr>
              <w:jc w:val="center"/>
              <w:rPr>
                <w:rFonts w:cs="Arial"/>
                <w:color w:val="008000"/>
                <w:sz w:val="22"/>
                <w:szCs w:val="22"/>
                <w:highlight w:val="yellow"/>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highlight w:val="yellow"/>
                <w:lang w:bidi="th-TH"/>
              </w:rPr>
            </w:pPr>
            <w:r w:rsidRPr="006A6EC1">
              <w:rPr>
                <w:sz w:val="14"/>
                <w:szCs w:val="14"/>
                <w:lang w:bidi="th-TH"/>
              </w:rPr>
              <w:t>% of participants satisfied with the quality of workshops and seminars on innovation and its commercialization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p w:rsidR="00D95B69" w:rsidRPr="006A6EC1" w:rsidRDefault="00D95B69" w:rsidP="0086702C">
            <w:pPr>
              <w:spacing w:before="80"/>
              <w:jc w:val="center"/>
              <w:rPr>
                <w:sz w:val="14"/>
                <w:szCs w:val="14"/>
                <w:lang w:bidi="th-TH"/>
              </w:rPr>
            </w:pPr>
            <w:r w:rsidRPr="006A6EC1">
              <w:rPr>
                <w:sz w:val="14"/>
                <w:szCs w:val="14"/>
                <w:lang w:bidi="th-TH"/>
              </w:rPr>
              <w:t>Program 10</w:t>
            </w:r>
          </w:p>
          <w:p w:rsidR="0086702C" w:rsidRPr="00E10968" w:rsidRDefault="00D95B69" w:rsidP="004808E3">
            <w:pPr>
              <w:spacing w:before="80"/>
              <w:jc w:val="center"/>
              <w:rPr>
                <w:sz w:val="14"/>
                <w:szCs w:val="14"/>
                <w:lang w:bidi="th-TH"/>
              </w:rPr>
            </w:pPr>
            <w:r w:rsidRPr="006A6EC1">
              <w:rPr>
                <w:sz w:val="14"/>
                <w:szCs w:val="14"/>
                <w:lang w:bidi="th-TH"/>
              </w:rPr>
              <w:t>Program 30</w:t>
            </w:r>
            <w:r w:rsidR="00E10968">
              <w:rPr>
                <w:sz w:val="14"/>
                <w:szCs w:val="14"/>
                <w:lang w:bidi="th-TH"/>
              </w:rPr>
              <w:br/>
            </w:r>
          </w:p>
        </w:tc>
        <w:tc>
          <w:tcPr>
            <w:tcW w:w="602" w:type="dxa"/>
          </w:tcPr>
          <w:p w:rsidR="00D95B69" w:rsidRPr="006A6EC1" w:rsidRDefault="00D95B69" w:rsidP="00D95B69">
            <w:pPr>
              <w:jc w:val="center"/>
              <w:rPr>
                <w:rFonts w:cs="Arial"/>
                <w:color w:val="008000"/>
                <w:sz w:val="22"/>
                <w:szCs w:val="22"/>
                <w:highlight w:val="yellow"/>
              </w:rPr>
            </w:pPr>
            <w:r w:rsidRPr="006A6EC1">
              <w:rPr>
                <w:rFonts w:cs="Arial"/>
                <w:color w:val="008000"/>
                <w:sz w:val="22"/>
                <w:szCs w:val="22"/>
              </w:rPr>
              <w:sym w:font="Wingdings" w:char="F06C"/>
            </w:r>
          </w:p>
          <w:p w:rsidR="00D95B69" w:rsidRPr="006A6EC1" w:rsidRDefault="00D95B69" w:rsidP="00D95B69">
            <w:pPr>
              <w:jc w:val="center"/>
              <w:rPr>
                <w:rFonts w:cs="Arial"/>
                <w:color w:val="008000"/>
                <w:sz w:val="22"/>
                <w:szCs w:val="22"/>
              </w:rPr>
            </w:pPr>
            <w:r w:rsidRPr="006A6EC1">
              <w:rPr>
                <w:rFonts w:cs="Arial"/>
                <w:color w:val="008000"/>
                <w:sz w:val="22"/>
                <w:szCs w:val="22"/>
              </w:rPr>
              <w:sym w:font="Wingdings" w:char="F06C"/>
            </w:r>
          </w:p>
          <w:p w:rsidR="00D95B69" w:rsidRPr="006A6EC1" w:rsidRDefault="00D95B69" w:rsidP="00D95B69">
            <w:pPr>
              <w:jc w:val="center"/>
              <w:rPr>
                <w:color w:val="008000"/>
                <w:sz w:val="22"/>
                <w:szCs w:val="22"/>
                <w:highlight w:val="yellow"/>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86702C">
            <w:pPr>
              <w:keepNext/>
              <w:keepLines/>
              <w:spacing w:before="80"/>
              <w:rPr>
                <w:sz w:val="14"/>
                <w:szCs w:val="14"/>
                <w:lang w:bidi="th-TH"/>
              </w:rPr>
            </w:pPr>
            <w:r w:rsidRPr="006A6EC1">
              <w:rPr>
                <w:color w:val="000000"/>
                <w:sz w:val="14"/>
                <w:szCs w:val="14"/>
                <w:lang w:bidi="th-TH"/>
              </w:rPr>
              <w:t>% of participants’ positive rating of the usefulness of copyright related capacity building workshops</w:t>
            </w:r>
          </w:p>
        </w:tc>
        <w:tc>
          <w:tcPr>
            <w:tcW w:w="1200" w:type="dxa"/>
            <w:shd w:val="clear" w:color="auto" w:fill="auto"/>
          </w:tcPr>
          <w:p w:rsidR="00D95B69" w:rsidRPr="006A6EC1" w:rsidRDefault="00D95B69" w:rsidP="0086702C">
            <w:pPr>
              <w:keepNext/>
              <w:keepLines/>
              <w:spacing w:before="80"/>
              <w:jc w:val="center"/>
              <w:rPr>
                <w:sz w:val="14"/>
                <w:szCs w:val="14"/>
                <w:lang w:bidi="th-TH"/>
              </w:rPr>
            </w:pPr>
            <w:r w:rsidRPr="006A6EC1">
              <w:rPr>
                <w:sz w:val="14"/>
                <w:szCs w:val="14"/>
                <w:lang w:bidi="th-TH"/>
              </w:rPr>
              <w:t>Program 3</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86702C">
            <w:pPr>
              <w:keepNext/>
              <w:keepLines/>
              <w:spacing w:before="80"/>
              <w:rPr>
                <w:sz w:val="14"/>
                <w:szCs w:val="14"/>
                <w:lang w:bidi="th-TH"/>
              </w:rPr>
            </w:pPr>
            <w:r w:rsidRPr="006A6EC1">
              <w:rPr>
                <w:color w:val="000000"/>
                <w:sz w:val="14"/>
                <w:szCs w:val="14"/>
                <w:lang w:bidi="th-TH"/>
              </w:rPr>
              <w:t>% of participants’ rating of usefulness of copyright related workshops and practical use of knowledge 6 months after the workshop</w:t>
            </w:r>
          </w:p>
        </w:tc>
        <w:tc>
          <w:tcPr>
            <w:tcW w:w="1200" w:type="dxa"/>
            <w:shd w:val="clear" w:color="auto" w:fill="auto"/>
          </w:tcPr>
          <w:p w:rsidR="00D95B69" w:rsidRPr="006A6EC1" w:rsidRDefault="00D95B69" w:rsidP="0086702C">
            <w:pPr>
              <w:keepNext/>
              <w:keepLines/>
              <w:spacing w:before="80"/>
              <w:jc w:val="center"/>
              <w:rPr>
                <w:sz w:val="14"/>
                <w:szCs w:val="14"/>
                <w:lang w:bidi="th-TH"/>
              </w:rPr>
            </w:pPr>
            <w:r w:rsidRPr="006A6EC1">
              <w:rPr>
                <w:sz w:val="14"/>
                <w:szCs w:val="14"/>
                <w:lang w:bidi="th-TH"/>
              </w:rPr>
              <w:t>Program 3</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color w:val="000000"/>
                <w:sz w:val="14"/>
                <w:szCs w:val="14"/>
                <w:lang w:bidi="th-TH"/>
              </w:rPr>
              <w:t>No. of national copyright and related rights initiatives started directly related to the themes of workshops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vAlign w:val="center"/>
          </w:tcPr>
          <w:p w:rsidR="00D95B69" w:rsidRPr="006A6EC1" w:rsidRDefault="00D95B69" w:rsidP="00D95B69">
            <w:pPr>
              <w:spacing w:before="80"/>
              <w:rPr>
                <w:sz w:val="14"/>
                <w:szCs w:val="14"/>
                <w:lang w:bidi="th-TH"/>
              </w:rPr>
            </w:pPr>
            <w:r w:rsidRPr="006A6EC1">
              <w:rPr>
                <w:sz w:val="14"/>
                <w:szCs w:val="14"/>
                <w:lang w:bidi="th-TH"/>
              </w:rPr>
              <w:t> </w:t>
            </w:r>
          </w:p>
          <w:p w:rsidR="00D95B69" w:rsidRPr="006A6EC1" w:rsidRDefault="00D95B69" w:rsidP="00D95B69">
            <w:pPr>
              <w:spacing w:before="80"/>
              <w:rPr>
                <w:sz w:val="14"/>
                <w:szCs w:val="14"/>
                <w:lang w:bidi="th-TH"/>
              </w:rPr>
            </w:pPr>
            <w:r w:rsidRPr="006A6EC1">
              <w:rPr>
                <w:sz w:val="14"/>
                <w:szCs w:val="14"/>
                <w:lang w:bidi="th-TH"/>
              </w:rPr>
              <w:t>New or strengthened cooperation mechanisms, programs and partnerships in LDCs</w:t>
            </w:r>
          </w:p>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rFonts w:cs="Arial"/>
                <w:sz w:val="14"/>
                <w:szCs w:val="14"/>
                <w:lang w:bidi="th-TH"/>
              </w:rPr>
              <w:t>No. of users from developing countries of WIPO-developed tools, models and materials on innovation and its commercialization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30</w:t>
            </w:r>
          </w:p>
        </w:tc>
        <w:tc>
          <w:tcPr>
            <w:tcW w:w="602" w:type="dxa"/>
          </w:tcPr>
          <w:p w:rsidR="00D95B69" w:rsidRPr="006A6EC1" w:rsidRDefault="00D95B69" w:rsidP="00D95B69">
            <w:pPr>
              <w:spacing w:before="20"/>
              <w:jc w:val="center"/>
              <w:rPr>
                <w:rFonts w:cs="Arial"/>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partnerships established in LDCs among governmental organizations, private sector, NGOs, and other development partners (LDCs)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No. of IP programs implemented jointly with other UN bodies and other IGOs (LDCs)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9</w:t>
            </w:r>
          </w:p>
        </w:tc>
        <w:tc>
          <w:tcPr>
            <w:tcW w:w="602" w:type="dxa"/>
          </w:tcPr>
          <w:p w:rsidR="00D95B69" w:rsidRPr="006A6EC1" w:rsidRDefault="00D95B69" w:rsidP="00D95B69">
            <w:pPr>
              <w:spacing w:before="20"/>
              <w:jc w:val="center"/>
              <w:rPr>
                <w:sz w:val="22"/>
                <w:szCs w:val="22"/>
              </w:rPr>
            </w:pPr>
            <w:r w:rsidRPr="006A6EC1">
              <w:rPr>
                <w:rFonts w:cs="Arial"/>
                <w:color w:val="E36C0A" w:themeColor="accent6" w:themeShade="BF"/>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IP office trainees that report satisfaction with the training provided</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trainees that report actual use of the acquired skills in their job</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E10968">
            <w:pPr>
              <w:spacing w:before="60"/>
              <w:ind w:firstLineChars="100" w:firstLine="140"/>
              <w:rPr>
                <w:sz w:val="14"/>
                <w:szCs w:val="14"/>
                <w:lang w:bidi="th-TH"/>
              </w:rPr>
            </w:pPr>
            <w:r w:rsidRPr="006A6EC1">
              <w:rPr>
                <w:sz w:val="14"/>
                <w:szCs w:val="14"/>
                <w:lang w:bidi="th-TH"/>
              </w:rPr>
              <w:t> </w:t>
            </w:r>
          </w:p>
        </w:tc>
        <w:tc>
          <w:tcPr>
            <w:tcW w:w="4032" w:type="dxa"/>
            <w:shd w:val="clear" w:color="auto" w:fill="auto"/>
            <w:tcMar>
              <w:top w:w="113" w:type="dxa"/>
            </w:tcMar>
          </w:tcPr>
          <w:p w:rsidR="00D95B69" w:rsidRPr="006A6EC1" w:rsidRDefault="00D95B69" w:rsidP="00E10968">
            <w:pPr>
              <w:spacing w:before="60"/>
              <w:rPr>
                <w:sz w:val="14"/>
                <w:szCs w:val="14"/>
                <w:lang w:bidi="th-TH"/>
              </w:rPr>
            </w:pPr>
            <w:r w:rsidRPr="006A6EC1">
              <w:rPr>
                <w:sz w:val="14"/>
                <w:szCs w:val="14"/>
                <w:lang w:bidi="th-TH"/>
              </w:rPr>
              <w:t>% of supervisors attesting to satisfactory application of acquired skills after one year of training</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graduates from WIPO academy and partner academic institutions (joint offering)</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participants trained under the WIPO Summer Schools annually</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IP teachers trained by the Academy</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No. of start-up academies established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new inter-institutional cooperation agreements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Easier access to IP education</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online registrations to DL courses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Completion rate of DL courses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DL course participants having passed the exam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Academy courses incorporated in educational institutions curricula</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new online courses / at different levels of specialization</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sz w:val="22"/>
                <w:szCs w:val="22"/>
              </w:rPr>
            </w:pPr>
            <w:r w:rsidRPr="006A6EC1">
              <w:rPr>
                <w:rFonts w:cs="Arial"/>
                <w:color w:val="FF0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languages in which courses are offered</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keepNext/>
              <w:keepLines/>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keepNext/>
              <w:keepLines/>
              <w:spacing w:before="80"/>
              <w:rPr>
                <w:sz w:val="14"/>
                <w:szCs w:val="14"/>
                <w:lang w:bidi="th-TH"/>
              </w:rPr>
            </w:pPr>
            <w:r w:rsidRPr="006A6EC1">
              <w:rPr>
                <w:sz w:val="14"/>
                <w:szCs w:val="14"/>
                <w:lang w:bidi="th-TH"/>
              </w:rPr>
              <w:t>No. of scholarships for developing countries, LDCs and countries with economies in transition</w:t>
            </w:r>
          </w:p>
        </w:tc>
        <w:tc>
          <w:tcPr>
            <w:tcW w:w="1200" w:type="dxa"/>
            <w:shd w:val="clear" w:color="auto" w:fill="auto"/>
          </w:tcPr>
          <w:p w:rsidR="00D95B69" w:rsidRPr="006A6EC1" w:rsidRDefault="00D95B69" w:rsidP="00D95B69">
            <w:pPr>
              <w:keepNext/>
              <w:keepLines/>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keepNext/>
              <w:keepLines/>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r w:rsidRPr="006A6EC1">
              <w:rPr>
                <w:sz w:val="14"/>
                <w:szCs w:val="14"/>
                <w:lang w:bidi="th-TH"/>
              </w:rPr>
              <w:t>Upgraded IP Management skills for business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participants that report satisfaction with the training provided</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of trainees that report actual use of the acquired skills in their job</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requests for courses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11</w:t>
            </w:r>
          </w:p>
        </w:tc>
        <w:tc>
          <w:tcPr>
            <w:tcW w:w="602" w:type="dxa"/>
          </w:tcPr>
          <w:p w:rsidR="00D95B69" w:rsidRPr="006A6EC1" w:rsidRDefault="00D95B69" w:rsidP="00D95B69">
            <w:pPr>
              <w:spacing w:before="20"/>
              <w:jc w:val="center"/>
              <w:rPr>
                <w:color w:val="00B050"/>
                <w:sz w:val="22"/>
                <w:szCs w:val="22"/>
              </w:rPr>
            </w:pPr>
            <w:r w:rsidRPr="006A6EC1">
              <w:rPr>
                <w:rFonts w:cs="Arial"/>
                <w:color w:val="FF0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E10968">
            <w:pPr>
              <w:spacing w:before="60"/>
              <w:rPr>
                <w:sz w:val="14"/>
                <w:szCs w:val="14"/>
                <w:lang w:bidi="th-TH"/>
              </w:rPr>
            </w:pPr>
            <w:r w:rsidRPr="006A6EC1">
              <w:rPr>
                <w:sz w:val="14"/>
                <w:szCs w:val="14"/>
                <w:lang w:bidi="th-TH"/>
              </w:rPr>
              <w:t xml:space="preserve">Increased understanding/ capacity of SMEs and SMEs support institutions to successfully use IP to support innovation and commercialization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 xml:space="preserve">% of assisted support institutions who provide information, support and advisory/consulting services on IP asset management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E10968">
            <w:pPr>
              <w:spacing w:before="6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rFonts w:cs="Arial"/>
                <w:sz w:val="14"/>
                <w:szCs w:val="14"/>
                <w:lang w:bidi="th-TH"/>
              </w:rPr>
              <w:t xml:space="preserve">No. of national/regional training programs on IP asset management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E10968">
            <w:pPr>
              <w:spacing w:before="6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rFonts w:cs="Arial"/>
                <w:sz w:val="14"/>
                <w:szCs w:val="14"/>
                <w:lang w:bidi="th-TH"/>
              </w:rPr>
              <w:t xml:space="preserve">% of SMEs support institutions satisfied with the training provided on IP asset management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30</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E10968">
            <w:pPr>
              <w:spacing w:before="60"/>
              <w:rPr>
                <w:sz w:val="14"/>
                <w:szCs w:val="14"/>
                <w:lang w:bidi="th-TH"/>
              </w:rPr>
            </w:pPr>
            <w:r w:rsidRPr="006A6EC1">
              <w:rPr>
                <w:sz w:val="14"/>
                <w:szCs w:val="14"/>
                <w:lang w:bidi="th-TH"/>
              </w:rPr>
              <w:t>Development Agenda principles further mainstreamed into the Organization’s programs and activities</w:t>
            </w:r>
          </w:p>
          <w:p w:rsidR="00D95B69" w:rsidRPr="006A6EC1" w:rsidRDefault="00D95B69" w:rsidP="00E10968">
            <w:pPr>
              <w:spacing w:before="6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No. of DA recommendations linked to Expected Results in the 2010/11 P&amp;B</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E10968">
            <w:pPr>
              <w:spacing w:before="60"/>
              <w:ind w:firstLineChars="100" w:firstLine="14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No. of DA recommendations that are linked to Performance Indicators in the 2010/11 P&amp;B</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E10968">
            <w:pPr>
              <w:spacing w:before="6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 xml:space="preserve">Implementation of the  coordination mechanism as approved by Member States </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D95B69">
            <w:pPr>
              <w:spacing w:before="80"/>
              <w:rPr>
                <w:sz w:val="14"/>
                <w:szCs w:val="14"/>
                <w:lang w:bidi="th-TH"/>
              </w:rPr>
            </w:pPr>
            <w:r w:rsidRPr="006A6EC1">
              <w:rPr>
                <w:sz w:val="14"/>
                <w:szCs w:val="14"/>
                <w:lang w:bidi="th-TH"/>
              </w:rPr>
              <w:t>Effective planning, implementation, monitoring, evaluation and reporting on the DA recommendations</w:t>
            </w:r>
          </w:p>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DA recommendations that have been addressed by the CDIP through projects, activities and studies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No. of projects approved by the CDIP</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ind w:firstLineChars="100" w:firstLine="140"/>
              <w:rPr>
                <w:sz w:val="14"/>
                <w:szCs w:val="14"/>
                <w:lang w:bidi="th-TH"/>
              </w:rPr>
            </w:pP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No. of projects proposed by Member States that are tabled for consideration by the CDIP</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 of projects which are monitored on a systematic basis</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D95B69" w:rsidRPr="006A6EC1" w:rsidRDefault="00D95B69" w:rsidP="00E10968">
            <w:pPr>
              <w:spacing w:before="60"/>
              <w:rPr>
                <w:sz w:val="14"/>
                <w:szCs w:val="14"/>
                <w:lang w:bidi="th-TH"/>
              </w:rPr>
            </w:pPr>
            <w:r w:rsidRPr="006A6EC1">
              <w:rPr>
                <w:sz w:val="14"/>
                <w:szCs w:val="14"/>
                <w:lang w:bidi="th-TH"/>
              </w:rPr>
              <w:t>% of projects which have been evaluated during the biennium</w:t>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ind w:firstLineChars="100" w:firstLine="140"/>
              <w:rPr>
                <w:sz w:val="14"/>
                <w:szCs w:val="14"/>
                <w:lang w:bidi="th-TH"/>
              </w:rPr>
            </w:pPr>
            <w:r w:rsidRPr="006A6EC1">
              <w:rPr>
                <w:sz w:val="14"/>
                <w:szCs w:val="14"/>
                <w:lang w:bidi="th-TH"/>
              </w:rPr>
              <w:t> </w:t>
            </w:r>
          </w:p>
        </w:tc>
        <w:tc>
          <w:tcPr>
            <w:tcW w:w="4032" w:type="dxa"/>
            <w:shd w:val="clear" w:color="auto" w:fill="auto"/>
          </w:tcPr>
          <w:p w:rsidR="00E10968" w:rsidRPr="006A6EC1" w:rsidRDefault="00D95B69" w:rsidP="00E10968">
            <w:pPr>
              <w:spacing w:before="60"/>
              <w:rPr>
                <w:sz w:val="14"/>
                <w:szCs w:val="14"/>
                <w:lang w:bidi="th-TH"/>
              </w:rPr>
            </w:pPr>
            <w:r w:rsidRPr="006A6EC1">
              <w:rPr>
                <w:sz w:val="14"/>
                <w:szCs w:val="14"/>
                <w:lang w:bidi="th-TH"/>
              </w:rPr>
              <w:t>Feedback on the quality of the reports presented to the CDIP on the implementation of the DA recommendations</w:t>
            </w:r>
            <w:r w:rsidR="00E10968">
              <w:rPr>
                <w:sz w:val="14"/>
                <w:szCs w:val="14"/>
                <w:lang w:bidi="th-TH"/>
              </w:rPr>
              <w:br/>
            </w:r>
          </w:p>
        </w:tc>
        <w:tc>
          <w:tcPr>
            <w:tcW w:w="1200" w:type="dxa"/>
            <w:shd w:val="clear" w:color="auto" w:fill="auto"/>
          </w:tcPr>
          <w:p w:rsidR="00D95B69" w:rsidRPr="006A6EC1" w:rsidRDefault="00D95B69" w:rsidP="00E10968">
            <w:pPr>
              <w:spacing w:before="6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r w:rsidRPr="006A6EC1">
              <w:rPr>
                <w:sz w:val="14"/>
                <w:szCs w:val="14"/>
                <w:lang w:bidi="th-TH"/>
              </w:rPr>
              <w:lastRenderedPageBreak/>
              <w:t>Enhanced understanding of the Development Agenda by Member States, IGOs, civil society and other stakeholders</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No. of countries requesting technical assistance through DA projects and expressing interest in DA related activities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8</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r w:rsidRPr="006A6EC1">
              <w:rPr>
                <w:sz w:val="14"/>
                <w:szCs w:val="14"/>
                <w:lang w:bidi="th-TH"/>
              </w:rPr>
              <w:t>Recognition by Member States, communities, organizations and other stakeholders of the relevance and effectiveness of WIPO’s resources, programs and tools</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 xml:space="preserve">No. of requests received for WIPO’s assistance </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4</w:t>
            </w:r>
          </w:p>
        </w:tc>
        <w:tc>
          <w:tcPr>
            <w:tcW w:w="602" w:type="dxa"/>
          </w:tcPr>
          <w:p w:rsidR="00D95B69" w:rsidRPr="006A6EC1" w:rsidRDefault="00D95B69" w:rsidP="00D95B69">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val="restart"/>
            <w:shd w:val="clear" w:color="auto" w:fill="auto"/>
          </w:tcPr>
          <w:p w:rsidR="00D95B69" w:rsidRPr="006A6EC1" w:rsidRDefault="00D95B69" w:rsidP="00D95B69">
            <w:pPr>
              <w:spacing w:before="80"/>
              <w:rPr>
                <w:sz w:val="14"/>
                <w:szCs w:val="14"/>
                <w:lang w:bidi="th-TH"/>
              </w:rPr>
            </w:pPr>
            <w:r w:rsidRPr="006A6EC1">
              <w:rPr>
                <w:sz w:val="14"/>
                <w:szCs w:val="14"/>
                <w:lang w:bidi="th-TH"/>
              </w:rPr>
              <w:t>Increased extrabudgetary resources available for IP for development, either through direct contributions to WIPO or access to other external funding mechanisms</w:t>
            </w: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An increase in fund available through Funds-in Trust arrangements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20</w:t>
            </w:r>
          </w:p>
        </w:tc>
        <w:tc>
          <w:tcPr>
            <w:tcW w:w="602" w:type="dxa"/>
          </w:tcPr>
          <w:p w:rsidR="00D95B69" w:rsidRPr="006A6EC1" w:rsidRDefault="00D95B69" w:rsidP="004808E3">
            <w:pPr>
              <w:spacing w:before="20"/>
              <w:jc w:val="center"/>
              <w:rPr>
                <w:color w:val="008000"/>
                <w:sz w:val="22"/>
                <w:szCs w:val="22"/>
              </w:rPr>
            </w:pPr>
            <w:r w:rsidRPr="006A6EC1">
              <w:rPr>
                <w:rFonts w:cs="Arial"/>
                <w:color w:val="008000"/>
                <w:sz w:val="22"/>
                <w:szCs w:val="22"/>
              </w:rPr>
              <w:sym w:font="Wingdings" w:char="F06C"/>
            </w:r>
          </w:p>
        </w:tc>
      </w:tr>
      <w:tr w:rsidR="00D95B69" w:rsidRPr="007354C4" w:rsidTr="004808E3">
        <w:tc>
          <w:tcPr>
            <w:tcW w:w="3537" w:type="dxa"/>
            <w:vMerge/>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Number and financial value of WIPO implemented projects funded by existing external donor funded mechanisms</w:t>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20</w:t>
            </w:r>
          </w:p>
        </w:tc>
        <w:tc>
          <w:tcPr>
            <w:tcW w:w="602" w:type="dxa"/>
          </w:tcPr>
          <w:p w:rsidR="00D95B69" w:rsidRPr="006A6EC1" w:rsidRDefault="00D95B69" w:rsidP="004808E3">
            <w:pPr>
              <w:spacing w:before="20"/>
              <w:jc w:val="center"/>
              <w:rPr>
                <w:sz w:val="22"/>
                <w:szCs w:val="22"/>
              </w:rPr>
            </w:pPr>
            <w:r w:rsidRPr="006A6EC1">
              <w:rPr>
                <w:rFonts w:cs="Arial"/>
                <w:sz w:val="22"/>
                <w:szCs w:val="22"/>
              </w:rPr>
              <w:sym w:font="Wingdings" w:char="F06C"/>
            </w:r>
          </w:p>
        </w:tc>
      </w:tr>
      <w:tr w:rsidR="00D95B69" w:rsidRPr="007354C4" w:rsidTr="004808E3">
        <w:tc>
          <w:tcPr>
            <w:tcW w:w="3537" w:type="dxa"/>
            <w:shd w:val="clear" w:color="auto" w:fill="auto"/>
          </w:tcPr>
          <w:p w:rsidR="00D95B69" w:rsidRPr="006A6EC1" w:rsidRDefault="00D95B69" w:rsidP="00D95B69">
            <w:pPr>
              <w:spacing w:before="80"/>
              <w:rPr>
                <w:sz w:val="14"/>
                <w:szCs w:val="14"/>
                <w:lang w:bidi="th-TH"/>
              </w:rPr>
            </w:pPr>
          </w:p>
        </w:tc>
        <w:tc>
          <w:tcPr>
            <w:tcW w:w="4032" w:type="dxa"/>
            <w:shd w:val="clear" w:color="auto" w:fill="auto"/>
          </w:tcPr>
          <w:p w:rsidR="00D95B69" w:rsidRPr="006A6EC1" w:rsidRDefault="00D95B69" w:rsidP="00D95B69">
            <w:pPr>
              <w:spacing w:before="80"/>
              <w:rPr>
                <w:sz w:val="14"/>
                <w:szCs w:val="14"/>
                <w:lang w:bidi="th-TH"/>
              </w:rPr>
            </w:pPr>
            <w:r w:rsidRPr="006A6EC1">
              <w:rPr>
                <w:sz w:val="14"/>
                <w:szCs w:val="14"/>
                <w:lang w:bidi="th-TH"/>
              </w:rPr>
              <w:t>Establishment of WIPO Guidelines for Partnership with the Private Sector</w:t>
            </w:r>
            <w:r w:rsidR="00E10968">
              <w:rPr>
                <w:sz w:val="14"/>
                <w:szCs w:val="14"/>
                <w:lang w:bidi="th-TH"/>
              </w:rPr>
              <w:br/>
            </w:r>
          </w:p>
        </w:tc>
        <w:tc>
          <w:tcPr>
            <w:tcW w:w="1200" w:type="dxa"/>
            <w:shd w:val="clear" w:color="auto" w:fill="auto"/>
          </w:tcPr>
          <w:p w:rsidR="00D95B69" w:rsidRPr="006A6EC1" w:rsidRDefault="00D95B69" w:rsidP="00D95B69">
            <w:pPr>
              <w:spacing w:before="80"/>
              <w:jc w:val="center"/>
              <w:rPr>
                <w:sz w:val="14"/>
                <w:szCs w:val="14"/>
                <w:lang w:bidi="th-TH"/>
              </w:rPr>
            </w:pPr>
            <w:r w:rsidRPr="006A6EC1">
              <w:rPr>
                <w:sz w:val="14"/>
                <w:szCs w:val="14"/>
                <w:lang w:bidi="th-TH"/>
              </w:rPr>
              <w:t>Program 20</w:t>
            </w:r>
          </w:p>
        </w:tc>
        <w:tc>
          <w:tcPr>
            <w:tcW w:w="602" w:type="dxa"/>
          </w:tcPr>
          <w:p w:rsidR="00D95B69" w:rsidRPr="006A6EC1" w:rsidRDefault="00D95B69" w:rsidP="004808E3">
            <w:pPr>
              <w:spacing w:before="20"/>
              <w:jc w:val="center"/>
              <w:rPr>
                <w:sz w:val="22"/>
                <w:szCs w:val="22"/>
                <w:lang w:bidi="th-TH"/>
              </w:rPr>
            </w:pPr>
            <w:r w:rsidRPr="006A6EC1">
              <w:rPr>
                <w:rFonts w:cs="Arial"/>
                <w:color w:val="FF0000"/>
                <w:sz w:val="22"/>
                <w:szCs w:val="22"/>
              </w:rPr>
              <w:sym w:font="Wingdings" w:char="F06C"/>
            </w:r>
          </w:p>
        </w:tc>
      </w:tr>
    </w:tbl>
    <w:p w:rsidR="00555AFA" w:rsidRDefault="00555AFA" w:rsidP="00B06EC8">
      <w:pPr>
        <w:jc w:val="both"/>
      </w:pPr>
    </w:p>
    <w:p w:rsidR="00B06EC8" w:rsidRPr="00812B04" w:rsidRDefault="00B06EC8" w:rsidP="00B06EC8">
      <w:pPr>
        <w:jc w:val="both"/>
      </w:pPr>
      <w:r w:rsidRPr="00812B04">
        <w:t>Facilitating the use of IP for development and empowering developing countries, LDCs and countries in transition</w:t>
      </w:r>
      <w:r w:rsidR="0086702C">
        <w:t>,</w:t>
      </w:r>
      <w:r w:rsidRPr="00812B04">
        <w:t xml:space="preserve"> to harness IP for enhancing national innovation potential and capacities continued to be a priority in 2012/13.  </w:t>
      </w:r>
    </w:p>
    <w:p w:rsidR="00B06EC8" w:rsidRPr="00812B04" w:rsidRDefault="00B06EC8" w:rsidP="00B06EC8">
      <w:pPr>
        <w:jc w:val="both"/>
      </w:pPr>
    </w:p>
    <w:p w:rsidR="00B06EC8" w:rsidRPr="00812B04" w:rsidRDefault="00B06EC8" w:rsidP="00B06EC8">
      <w:pPr>
        <w:jc w:val="both"/>
      </w:pPr>
      <w:r w:rsidRPr="00812B04">
        <w:t>WIPO continued to assist developing countries and LDC’s in the design, development and implementation of National IP strategies that are both consistent with their overall development plans and conducive to fostering innovation and creativity.  Through the project on Improvement of National, Sub</w:t>
      </w:r>
      <w:r w:rsidR="00CA429B">
        <w:noBreakHyphen/>
      </w:r>
      <w:r w:rsidRPr="00812B04">
        <w:t>Regional and Regional IP Institutional and User Capacity, which was completed in May 2012</w:t>
      </w:r>
      <w:r w:rsidR="00E94AD4">
        <w:t>,</w:t>
      </w:r>
      <w:r w:rsidRPr="00812B04">
        <w:t xml:space="preserve"> a</w:t>
      </w:r>
      <w:r w:rsidR="00E10968">
        <w:t> </w:t>
      </w:r>
      <w:r w:rsidRPr="00812B04">
        <w:t>standardized, though flexible, methodology and a set of practical tools for the formulation of national IP strategies and plans were developed.  The methodology and tools were mainstreamed in 2013 for use in national IP strategy formulation processes in developing countries and LDC’s.  During the biennium, IP</w:t>
      </w:r>
      <w:r w:rsidR="00E10968">
        <w:t> </w:t>
      </w:r>
      <w:r w:rsidRPr="00812B04">
        <w:t xml:space="preserve">strategy/plans were adopted in 11 countries (three in Africa, two in the Arab region, three in the Asia and the Pacific region, and three in the Latin America and Caribbean region). </w:t>
      </w:r>
      <w:r w:rsidR="00CA429B">
        <w:t xml:space="preserve"> </w:t>
      </w:r>
      <w:r w:rsidRPr="00812B04">
        <w:t xml:space="preserve">IP strategy formulation and implementation were initiated or progressed in 32 countries (13 in Africa, three in the Arab region, eight in the Asia and the Pacific region and eight in the Latin America and the Caribbean region).  Two LDCs (Bangladesh and Ethiopia) have included LDC-specific IP considerations in their national IP strategies and/or policies during the biennium, bringing the total number of LDCs which have included such considerations to six, and two LDCs (Madagascar and Nepal) are in the final stages. </w:t>
      </w:r>
      <w:r w:rsidR="00CA429B">
        <w:t xml:space="preserve"> </w:t>
      </w:r>
      <w:r w:rsidRPr="00812B04">
        <w:t>Activities/projects that contribute to the implementation of IP strategies/policies have been carried out in 21 countries (five in Africa</w:t>
      </w:r>
      <w:proofErr w:type="gramStart"/>
      <w:r w:rsidRPr="00812B04">
        <w:t xml:space="preserve">; </w:t>
      </w:r>
      <w:r w:rsidR="00E10968">
        <w:t xml:space="preserve"> </w:t>
      </w:r>
      <w:r w:rsidRPr="00812B04">
        <w:t>four</w:t>
      </w:r>
      <w:proofErr w:type="gramEnd"/>
      <w:r w:rsidRPr="00812B04">
        <w:t xml:space="preserve"> in the Arab region; </w:t>
      </w:r>
      <w:r w:rsidR="00E10968">
        <w:t xml:space="preserve"> </w:t>
      </w:r>
      <w:r w:rsidRPr="00812B04">
        <w:t>and 12 in the Latin America and Caribbean region).</w:t>
      </w:r>
    </w:p>
    <w:p w:rsidR="00B06EC8" w:rsidRPr="00812B04" w:rsidRDefault="00B06EC8" w:rsidP="00B06EC8">
      <w:pPr>
        <w:jc w:val="both"/>
      </w:pPr>
    </w:p>
    <w:p w:rsidR="00B06EC8" w:rsidRPr="00812B04" w:rsidRDefault="00B06EC8" w:rsidP="00B06EC8">
      <w:pPr>
        <w:jc w:val="both"/>
      </w:pPr>
      <w:r w:rsidRPr="00812B04">
        <w:t>The following Central European and Baltic States, Central Asian, Eastern European and Caucasian countries, as well as some Mediterranean countries, amended their national IP legislation</w:t>
      </w:r>
      <w:r w:rsidR="00CA429B" w:rsidRPr="00CA429B">
        <w:t xml:space="preserve"> </w:t>
      </w:r>
      <w:r w:rsidR="00CA429B" w:rsidRPr="00812B04">
        <w:t>in line with their national IP strategies</w:t>
      </w:r>
      <w:r w:rsidRPr="00812B04">
        <w:t xml:space="preserve">: </w:t>
      </w:r>
      <w:r w:rsidR="00CA429B">
        <w:t xml:space="preserve"> </w:t>
      </w:r>
      <w:r w:rsidRPr="00812B04">
        <w:t>Albania, Armenia, Belarus, Bosnia and Herzegovina, Poland, Romania, Slovenia and Tajikistan.  Kazakhstan and the Russian Federation have initiated amendments to their legislation.</w:t>
      </w:r>
    </w:p>
    <w:p w:rsidR="00E94AD4" w:rsidRDefault="00E94AD4" w:rsidP="00B06EC8">
      <w:pPr>
        <w:autoSpaceDE w:val="0"/>
        <w:autoSpaceDN w:val="0"/>
        <w:adjustRightInd w:val="0"/>
        <w:jc w:val="both"/>
        <w:rPr>
          <w:rFonts w:eastAsia="MS Mincho"/>
          <w:lang w:eastAsia="ja-JP"/>
        </w:rPr>
      </w:pPr>
    </w:p>
    <w:p w:rsidR="00B06EC8" w:rsidRPr="00812B04" w:rsidRDefault="00B06EC8" w:rsidP="00B06EC8">
      <w:pPr>
        <w:autoSpaceDE w:val="0"/>
        <w:autoSpaceDN w:val="0"/>
        <w:adjustRightInd w:val="0"/>
        <w:jc w:val="both"/>
      </w:pPr>
      <w:r w:rsidRPr="00812B04">
        <w:rPr>
          <w:rFonts w:eastAsia="MS Mincho"/>
          <w:lang w:eastAsia="ja-JP"/>
        </w:rPr>
        <w:t xml:space="preserve">As part of efforts to enhance national and regional capacities for the effective use of IP for development, a new and better performing </w:t>
      </w:r>
      <w:r w:rsidRPr="00812B04">
        <w:t>e-Learning Centre (WeLC) platform was established at the end of 2011.</w:t>
      </w:r>
      <w:r w:rsidRPr="00812B04">
        <w:rPr>
          <w:rFonts w:eastAsia="MS Mincho"/>
          <w:lang w:eastAsia="ja-JP"/>
        </w:rPr>
        <w:t xml:space="preserve">  In</w:t>
      </w:r>
      <w:r w:rsidR="0086702C">
        <w:rPr>
          <w:rFonts w:eastAsia="MS Mincho"/>
          <w:lang w:eastAsia="ja-JP"/>
        </w:rPr>
        <w:t> </w:t>
      </w:r>
      <w:r w:rsidRPr="00812B04">
        <w:rPr>
          <w:rFonts w:eastAsia="MS Mincho"/>
          <w:lang w:eastAsia="ja-JP"/>
        </w:rPr>
        <w:t>2012, a total of 81,484 persons from 189 countries benefited from the multilingual activities (</w:t>
      </w:r>
      <w:r w:rsidR="00E94AD4">
        <w:rPr>
          <w:rFonts w:eastAsia="MS Mincho"/>
          <w:lang w:eastAsia="ja-JP"/>
        </w:rPr>
        <w:t>11</w:t>
      </w:r>
      <w:r w:rsidR="00E10968">
        <w:rPr>
          <w:rFonts w:eastAsia="MS Mincho"/>
          <w:lang w:eastAsia="ja-JP"/>
        </w:rPr>
        <w:t> </w:t>
      </w:r>
      <w:r w:rsidRPr="00812B04">
        <w:rPr>
          <w:rFonts w:eastAsia="MS Mincho"/>
          <w:lang w:eastAsia="ja-JP"/>
        </w:rPr>
        <w:t xml:space="preserve">languages) of the WIPO Academy Distance Learning (DL) Program.  With a view to aligning course content with the objectives </w:t>
      </w:r>
      <w:r w:rsidRPr="00812B04">
        <w:t xml:space="preserve">of the Development Agenda, over 100 professionals from the six beneficiary countries covered under the Start-up Academies Project were trained under a special “train the trainers” session for potential e-learning tutors.  In addition, a number of tailor-made sessions were also organized with: </w:t>
      </w:r>
      <w:r w:rsidR="00CA429B">
        <w:t xml:space="preserve"> </w:t>
      </w:r>
      <w:r w:rsidRPr="00812B04">
        <w:t xml:space="preserve">(i) IP Offices (Brazil, </w:t>
      </w:r>
      <w:r w:rsidR="00CA429B" w:rsidRPr="00812B04">
        <w:t>China</w:t>
      </w:r>
      <w:r w:rsidR="00CA429B">
        <w:t>,</w:t>
      </w:r>
      <w:r w:rsidR="00CA429B" w:rsidRPr="00812B04">
        <w:t xml:space="preserve"> </w:t>
      </w:r>
      <w:r w:rsidRPr="00812B04">
        <w:t>Mexico</w:t>
      </w:r>
      <w:r w:rsidR="00CA429B">
        <w:t xml:space="preserve"> and</w:t>
      </w:r>
      <w:r w:rsidR="00CA429B" w:rsidRPr="00812B04">
        <w:t xml:space="preserve"> </w:t>
      </w:r>
      <w:r w:rsidRPr="00812B04">
        <w:t xml:space="preserve">the Russian Federation); </w:t>
      </w:r>
      <w:r w:rsidR="00CA429B">
        <w:t xml:space="preserve"> </w:t>
      </w:r>
      <w:r w:rsidRPr="00812B04">
        <w:t xml:space="preserve">(ii) other interested national institutions (Brazil, Bulgaria, China, Croatia, Honduras, Mexico, the Republic of Korea, Serbia and the African Regional Intellectual Property Organization (ARIPO)); </w:t>
      </w:r>
      <w:r w:rsidR="00CA429B">
        <w:t xml:space="preserve"> </w:t>
      </w:r>
      <w:r w:rsidRPr="00812B04">
        <w:t>(iii) TISCs (Ethiopia, the Philippines, the Russian Federation and Uruguay)</w:t>
      </w:r>
      <w:r w:rsidR="00CA429B">
        <w:t xml:space="preserve">; </w:t>
      </w:r>
      <w:r w:rsidRPr="00812B04">
        <w:t xml:space="preserve"> and (iv) 11 universities.</w:t>
      </w:r>
      <w:r w:rsidRPr="00812B04">
        <w:rPr>
          <w:rFonts w:eastAsia="MS Mincho"/>
          <w:szCs w:val="22"/>
          <w:lang w:eastAsia="ja-JP"/>
        </w:rPr>
        <w:t xml:space="preserve"> </w:t>
      </w:r>
      <w:r w:rsidR="00CA429B">
        <w:rPr>
          <w:rFonts w:eastAsia="MS Mincho"/>
          <w:szCs w:val="22"/>
          <w:lang w:eastAsia="ja-JP"/>
        </w:rPr>
        <w:t xml:space="preserve"> </w:t>
      </w:r>
      <w:r w:rsidRPr="00812B04">
        <w:t xml:space="preserve">Four new national IP academies were established by the end of 2013 in Colombia, </w:t>
      </w:r>
      <w:r w:rsidR="00CA429B">
        <w:t xml:space="preserve">the </w:t>
      </w:r>
      <w:r w:rsidRPr="00812B04">
        <w:t xml:space="preserve">Dominican Republic, Peru and Tunisia.  The establishment of institutions in Egypt and Ethiopia were well underway by the end of 2013.  These are expected to be completed in the 2014/15 biennium.  </w:t>
      </w:r>
    </w:p>
    <w:p w:rsidR="00B06EC8" w:rsidRPr="00812B04" w:rsidRDefault="00B06EC8" w:rsidP="00B06EC8">
      <w:pPr>
        <w:jc w:val="both"/>
        <w:rPr>
          <w:rFonts w:cs="Tahoma"/>
        </w:rPr>
      </w:pPr>
    </w:p>
    <w:p w:rsidR="00B06EC8" w:rsidRPr="00812B04" w:rsidRDefault="00B06EC8" w:rsidP="00B06EC8">
      <w:pPr>
        <w:jc w:val="both"/>
        <w:rPr>
          <w:rFonts w:cs="Tahoma"/>
        </w:rPr>
      </w:pPr>
      <w:r w:rsidRPr="00812B04">
        <w:rPr>
          <w:rFonts w:cs="Tahoma"/>
        </w:rPr>
        <w:t>In order to enhance project coordination across the Organization, the Special Projects Division, created in May 2012, continued to focus on developing innovative IP and development projects in coordination with concerned specialized Sectors and Regional Bureaus.  This included the implementation of methodologies to identify, protect and brand origin-based products in selected developing countries</w:t>
      </w:r>
      <w:proofErr w:type="gramStart"/>
      <w:r w:rsidRPr="00812B04">
        <w:rPr>
          <w:rFonts w:cs="Tahoma"/>
        </w:rPr>
        <w:t xml:space="preserve">; </w:t>
      </w:r>
      <w:r w:rsidR="0086702C">
        <w:rPr>
          <w:rFonts w:cs="Tahoma"/>
        </w:rPr>
        <w:t xml:space="preserve"> </w:t>
      </w:r>
      <w:r w:rsidRPr="00812B04">
        <w:rPr>
          <w:rFonts w:cs="Tahoma"/>
        </w:rPr>
        <w:t>raising</w:t>
      </w:r>
      <w:proofErr w:type="gramEnd"/>
      <w:r w:rsidRPr="00812B04">
        <w:rPr>
          <w:rFonts w:cs="Tahoma"/>
        </w:rPr>
        <w:t xml:space="preserve"> awareness of IP considerations in the African fashion design business; protecting cultural heritage and cultural expressions in the Caribbean; </w:t>
      </w:r>
      <w:r w:rsidR="0086702C">
        <w:rPr>
          <w:rFonts w:cs="Tahoma"/>
        </w:rPr>
        <w:t xml:space="preserve"> </w:t>
      </w:r>
      <w:r w:rsidRPr="00812B04">
        <w:rPr>
          <w:rFonts w:cs="Tahoma"/>
        </w:rPr>
        <w:t xml:space="preserve">and the development of practical tools for IP valuation.  The </w:t>
      </w:r>
      <w:r w:rsidRPr="00812B04">
        <w:rPr>
          <w:rFonts w:cs="Tahoma"/>
        </w:rPr>
        <w:lastRenderedPageBreak/>
        <w:t xml:space="preserve">management and operation of three Development Sector Databases, i.e. the IP Technical Assistance Database (IP-TAD), the Roster of Consultants (ROC) and the IP Development Matchmaking Database (IP-DMD) were mainstreamed into the regular work of the Organization in 2013 </w:t>
      </w:r>
      <w:r w:rsidR="00CA429B" w:rsidRPr="00812B04">
        <w:rPr>
          <w:rFonts w:cs="Tahoma"/>
        </w:rPr>
        <w:t xml:space="preserve">duly </w:t>
      </w:r>
      <w:r w:rsidRPr="00812B04">
        <w:rPr>
          <w:rFonts w:cs="Tahoma"/>
        </w:rPr>
        <w:t>taking into account the recommendations of the related DA project evaluations.  In addition, two new tailor-made databases were developed and implemented to support the mainstreaming of DA Recommendations in WIPO’s development oriented work, i.e. a database to capture baseline data to be used in national processes for the formulation of national IP strategies (NIPS-D)</w:t>
      </w:r>
      <w:proofErr w:type="gramStart"/>
      <w:r w:rsidRPr="00812B04">
        <w:rPr>
          <w:rFonts w:cs="Tahoma"/>
        </w:rPr>
        <w:t xml:space="preserve">; </w:t>
      </w:r>
      <w:r w:rsidR="0086702C">
        <w:rPr>
          <w:rFonts w:cs="Tahoma"/>
        </w:rPr>
        <w:t xml:space="preserve"> </w:t>
      </w:r>
      <w:r w:rsidRPr="00812B04">
        <w:rPr>
          <w:rFonts w:cs="Tahoma"/>
        </w:rPr>
        <w:t>and</w:t>
      </w:r>
      <w:proofErr w:type="gramEnd"/>
      <w:r w:rsidRPr="00812B04">
        <w:rPr>
          <w:rFonts w:cs="Tahoma"/>
        </w:rPr>
        <w:t xml:space="preserve"> an interface for the South-South DA Project enabling the sharing of information contained in the IP-TAD and IP-ROC with countries from the Southern hemisphere. </w:t>
      </w:r>
    </w:p>
    <w:p w:rsidR="00B06EC8" w:rsidRPr="00812B04" w:rsidRDefault="00B06EC8" w:rsidP="00B06EC8">
      <w:pPr>
        <w:jc w:val="both"/>
        <w:rPr>
          <w:rFonts w:cs="Tahoma"/>
        </w:rPr>
      </w:pPr>
    </w:p>
    <w:p w:rsidR="00B06EC8" w:rsidRDefault="00B06EC8" w:rsidP="00B06EC8">
      <w:pPr>
        <w:jc w:val="both"/>
        <w:rPr>
          <w:bCs/>
        </w:rPr>
      </w:pPr>
      <w:r w:rsidRPr="00812B04">
        <w:rPr>
          <w:bCs/>
        </w:rPr>
        <w:t>During its four sessions held in 2012/13, the CDIP approved two new projects proposed by Burkina Faso and the Republic of Korea, and considered two annual reports by the Director General on the Implementation of the Development Agenda, two annual Progress Reports on the Implementation of Recommendations for Immediate Implementation</w:t>
      </w:r>
      <w:r w:rsidR="00CA429B">
        <w:rPr>
          <w:bCs/>
        </w:rPr>
        <w:t>,</w:t>
      </w:r>
      <w:r w:rsidRPr="00812B04">
        <w:rPr>
          <w:bCs/>
        </w:rPr>
        <w:t xml:space="preserve"> and DA Projects and fourteen independent project evaluation reports.  In addition, the Committee approved second phases for four completed and evaluated projects. </w:t>
      </w:r>
      <w:r w:rsidR="00CA429B">
        <w:rPr>
          <w:bCs/>
        </w:rPr>
        <w:t xml:space="preserve"> </w:t>
      </w:r>
      <w:r w:rsidRPr="00812B04">
        <w:rPr>
          <w:bCs/>
        </w:rPr>
        <w:t xml:space="preserve">The Committee discussed two documents forwarded by the General Assembly, namely a Description of the Contribution of the Relevant WIPO Bodies on the implementation of respective Development Agenda Recommendations, and a decision on CDIP related matters.  The Committee also discussed a Report on Assessing WIPO’s Contribution to the Achievement of the United Nations Millennium Development Goals (MDGs), and took note of: </w:t>
      </w:r>
      <w:r w:rsidR="00CA429B">
        <w:rPr>
          <w:bCs/>
        </w:rPr>
        <w:t xml:space="preserve"> </w:t>
      </w:r>
      <w:r w:rsidRPr="00812B04">
        <w:rPr>
          <w:bCs/>
        </w:rPr>
        <w:t>(i) a report on the Feasibility of Integration of the MDGs Related Needs/Outcomes into WIPO’s Biennial Results Framework</w:t>
      </w:r>
      <w:proofErr w:type="gramStart"/>
      <w:r w:rsidRPr="00812B04">
        <w:rPr>
          <w:bCs/>
        </w:rPr>
        <w:t xml:space="preserve">; </w:t>
      </w:r>
      <w:r w:rsidR="00CA429B">
        <w:rPr>
          <w:bCs/>
        </w:rPr>
        <w:t xml:space="preserve"> </w:t>
      </w:r>
      <w:r w:rsidRPr="00812B04">
        <w:rPr>
          <w:bCs/>
        </w:rPr>
        <w:t>and</w:t>
      </w:r>
      <w:proofErr w:type="gramEnd"/>
      <w:r w:rsidRPr="00812B04">
        <w:rPr>
          <w:bCs/>
        </w:rPr>
        <w:t xml:space="preserve"> (ii) a document on the Measurement of the MDGs in other United Nations Agencies and the Contribution of WIPO to the MDGs.  </w:t>
      </w:r>
    </w:p>
    <w:p w:rsidR="004A7442" w:rsidRPr="00812B04" w:rsidRDefault="004A7442" w:rsidP="00B06EC8">
      <w:pPr>
        <w:jc w:val="both"/>
        <w:rPr>
          <w:bCs/>
        </w:rPr>
      </w:pPr>
    </w:p>
    <w:p w:rsidR="00B06EC8" w:rsidRPr="00812B04" w:rsidRDefault="00B06EC8" w:rsidP="00B06EC8">
      <w:pPr>
        <w:jc w:val="both"/>
        <w:rPr>
          <w:iCs/>
        </w:rPr>
      </w:pPr>
    </w:p>
    <w:p w:rsidR="00B06EC8" w:rsidRDefault="00B06EC8" w:rsidP="00E94AD4">
      <w:pPr>
        <w:jc w:val="center"/>
        <w:rPr>
          <w:b/>
          <w:iCs/>
        </w:rPr>
      </w:pPr>
      <w:r w:rsidRPr="008869AE">
        <w:rPr>
          <w:b/>
          <w:iCs/>
        </w:rPr>
        <w:t xml:space="preserve">Strategic Goal IV: </w:t>
      </w:r>
      <w:r w:rsidR="00595665" w:rsidRPr="008869AE">
        <w:rPr>
          <w:b/>
          <w:iCs/>
        </w:rPr>
        <w:t xml:space="preserve"> </w:t>
      </w:r>
      <w:r w:rsidRPr="008869AE">
        <w:rPr>
          <w:b/>
          <w:iCs/>
        </w:rPr>
        <w:t>Coordination and Development of Global IP Infrastructure</w:t>
      </w:r>
    </w:p>
    <w:p w:rsidR="004A7442" w:rsidRPr="008869AE" w:rsidRDefault="004A7442" w:rsidP="00B06EC8">
      <w:pPr>
        <w:jc w:val="both"/>
        <w:rPr>
          <w:b/>
          <w:iCs/>
        </w:rPr>
      </w:pPr>
    </w:p>
    <w:p w:rsidR="00B06EC8" w:rsidRDefault="00B06EC8" w:rsidP="00B06EC8">
      <w:pPr>
        <w:jc w:val="both"/>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4A7442" w:rsidRDefault="00925B64" w:rsidP="008869AE">
      <w:pPr>
        <w:jc w:val="center"/>
        <w:rPr>
          <w:b/>
          <w:sz w:val="18"/>
          <w:szCs w:val="18"/>
        </w:rPr>
      </w:pPr>
      <w:r>
        <w:rPr>
          <w:noProof/>
        </w:rPr>
        <w:drawing>
          <wp:inline distT="0" distB="0" distL="0" distR="0" wp14:anchorId="3EB6062F" wp14:editId="6817FEC1">
            <wp:extent cx="5940425" cy="2589416"/>
            <wp:effectExtent l="0" t="0" r="3175" b="1905"/>
            <wp:docPr id="5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1"/>
                    <a:stretch>
                      <a:fillRect/>
                    </a:stretch>
                  </pic:blipFill>
                  <pic:spPr>
                    <a:xfrm>
                      <a:off x="0" y="0"/>
                      <a:ext cx="5940425" cy="2589416"/>
                    </a:xfrm>
                    <a:prstGeom prst="rect">
                      <a:avLst/>
                    </a:prstGeom>
                  </pic:spPr>
                </pic:pic>
              </a:graphicData>
            </a:graphic>
          </wp:inline>
        </w:drawing>
      </w:r>
    </w:p>
    <w:p w:rsidR="008869AE" w:rsidRDefault="008869AE" w:rsidP="008869AE">
      <w:pPr>
        <w:jc w:val="center"/>
        <w:rPr>
          <w:b/>
          <w:sz w:val="18"/>
          <w:szCs w:val="18"/>
        </w:rPr>
      </w:pPr>
    </w:p>
    <w:p w:rsidR="00DC2CFA" w:rsidRDefault="00DC2CFA" w:rsidP="008869AE">
      <w:pPr>
        <w:jc w:val="center"/>
        <w:rPr>
          <w:b/>
          <w:sz w:val="18"/>
          <w:szCs w:val="18"/>
        </w:rPr>
      </w:pPr>
    </w:p>
    <w:p w:rsidR="009B0B70" w:rsidRDefault="009B0B70" w:rsidP="008869AE">
      <w:pPr>
        <w:jc w:val="center"/>
        <w:rPr>
          <w:b/>
          <w:sz w:val="18"/>
          <w:szCs w:val="18"/>
        </w:rPr>
      </w:pPr>
    </w:p>
    <w:p w:rsidR="009B0B70" w:rsidRDefault="009B0B70" w:rsidP="008869AE">
      <w:pPr>
        <w:jc w:val="center"/>
        <w:rPr>
          <w:b/>
          <w:sz w:val="18"/>
          <w:szCs w:val="18"/>
        </w:rPr>
      </w:pPr>
    </w:p>
    <w:p w:rsidR="009B0B70" w:rsidRDefault="009B0B70" w:rsidP="008869AE">
      <w:pPr>
        <w:jc w:val="center"/>
        <w:rPr>
          <w:b/>
          <w:sz w:val="18"/>
          <w:szCs w:val="18"/>
        </w:rPr>
      </w:pPr>
    </w:p>
    <w:p w:rsidR="00E10968" w:rsidRDefault="00E10968">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E10968" w:rsidRDefault="00E10968" w:rsidP="004808E3">
      <w:pPr>
        <w:rPr>
          <w:b/>
          <w:sz w:val="18"/>
          <w:szCs w:val="18"/>
        </w:rPr>
      </w:pPr>
    </w:p>
    <w:p w:rsidR="00E10968" w:rsidRPr="008465CB" w:rsidRDefault="00E10968" w:rsidP="00E10968">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E10968" w:rsidRPr="005E3A6D" w:rsidRDefault="00E10968" w:rsidP="008869AE">
      <w:pPr>
        <w:jc w:val="center"/>
        <w:rPr>
          <w:b/>
          <w:sz w:val="18"/>
          <w:szCs w:val="18"/>
        </w:rPr>
      </w:pPr>
    </w:p>
    <w:tbl>
      <w:tblPr>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477A1D" w:rsidRPr="00697FC5" w:rsidTr="000B4241">
        <w:trPr>
          <w:tblHeader/>
        </w:trPr>
        <w:tc>
          <w:tcPr>
            <w:tcW w:w="3226" w:type="dxa"/>
            <w:tcBorders>
              <w:top w:val="single" w:sz="4" w:space="0" w:color="auto"/>
              <w:bottom w:val="single" w:sz="4" w:space="0" w:color="auto"/>
            </w:tcBorders>
            <w:shd w:val="clear" w:color="auto" w:fill="CCFFFF"/>
            <w:vAlign w:val="center"/>
          </w:tcPr>
          <w:p w:rsidR="00477A1D" w:rsidRPr="00477A1D" w:rsidRDefault="00477A1D" w:rsidP="000B4241">
            <w:pPr>
              <w:spacing w:before="120" w:after="120"/>
              <w:jc w:val="center"/>
              <w:rPr>
                <w:rFonts w:cs="Arial"/>
                <w:b/>
                <w:bCs/>
                <w:sz w:val="14"/>
                <w:szCs w:val="14"/>
              </w:rPr>
            </w:pPr>
            <w:r w:rsidRPr="00477A1D">
              <w:rPr>
                <w:rFonts w:cs="Arial"/>
                <w:b/>
                <w:bCs/>
                <w:sz w:val="14"/>
                <w:szCs w:val="14"/>
              </w:rPr>
              <w:t>Expected Results</w:t>
            </w:r>
          </w:p>
        </w:tc>
        <w:tc>
          <w:tcPr>
            <w:tcW w:w="3588" w:type="dxa"/>
            <w:tcBorders>
              <w:top w:val="single" w:sz="4" w:space="0" w:color="auto"/>
              <w:bottom w:val="single" w:sz="4" w:space="0" w:color="auto"/>
            </w:tcBorders>
            <w:shd w:val="clear" w:color="auto" w:fill="CCFFFF"/>
            <w:vAlign w:val="center"/>
          </w:tcPr>
          <w:p w:rsidR="00477A1D" w:rsidRPr="00477A1D" w:rsidRDefault="00477A1D" w:rsidP="000B4241">
            <w:pPr>
              <w:spacing w:before="120" w:after="120"/>
              <w:jc w:val="center"/>
              <w:rPr>
                <w:rFonts w:cs="Arial"/>
                <w:b/>
                <w:bCs/>
                <w:sz w:val="14"/>
                <w:szCs w:val="14"/>
              </w:rPr>
            </w:pPr>
            <w:r w:rsidRPr="00477A1D">
              <w:rPr>
                <w:rFonts w:cs="Arial"/>
                <w:b/>
                <w:bCs/>
                <w:sz w:val="14"/>
                <w:szCs w:val="14"/>
              </w:rPr>
              <w:t>Performance Indicators</w:t>
            </w:r>
          </w:p>
        </w:tc>
        <w:tc>
          <w:tcPr>
            <w:tcW w:w="1418" w:type="dxa"/>
            <w:tcBorders>
              <w:top w:val="single" w:sz="4" w:space="0" w:color="auto"/>
              <w:bottom w:val="single" w:sz="4" w:space="0" w:color="auto"/>
            </w:tcBorders>
            <w:shd w:val="clear" w:color="auto" w:fill="CCFFFF"/>
            <w:vAlign w:val="center"/>
          </w:tcPr>
          <w:p w:rsidR="00477A1D" w:rsidRPr="00477A1D" w:rsidRDefault="00477A1D" w:rsidP="000B4241">
            <w:pPr>
              <w:spacing w:before="120" w:after="120"/>
              <w:jc w:val="center"/>
              <w:rPr>
                <w:rFonts w:cs="Arial"/>
                <w:b/>
                <w:bCs/>
                <w:sz w:val="14"/>
                <w:szCs w:val="14"/>
              </w:rPr>
            </w:pPr>
            <w:r w:rsidRPr="00477A1D">
              <w:rPr>
                <w:rFonts w:cs="Arial"/>
                <w:b/>
                <w:bCs/>
                <w:sz w:val="14"/>
                <w:szCs w:val="14"/>
              </w:rPr>
              <w:t>Responsible Program(s)</w:t>
            </w:r>
          </w:p>
        </w:tc>
        <w:tc>
          <w:tcPr>
            <w:tcW w:w="1162" w:type="dxa"/>
            <w:tcBorders>
              <w:top w:val="single" w:sz="4" w:space="0" w:color="auto"/>
              <w:bottom w:val="single" w:sz="4" w:space="0" w:color="auto"/>
            </w:tcBorders>
            <w:shd w:val="clear" w:color="auto" w:fill="CCFFFF"/>
          </w:tcPr>
          <w:p w:rsidR="00477A1D" w:rsidRPr="00477A1D" w:rsidRDefault="00477A1D" w:rsidP="000B4241">
            <w:pPr>
              <w:spacing w:before="120" w:after="120"/>
              <w:jc w:val="center"/>
              <w:rPr>
                <w:rFonts w:cs="Arial"/>
                <w:b/>
                <w:bCs/>
                <w:sz w:val="14"/>
                <w:szCs w:val="14"/>
              </w:rPr>
            </w:pPr>
            <w:r w:rsidRPr="00477A1D">
              <w:rPr>
                <w:rFonts w:cs="Arial"/>
                <w:b/>
                <w:bCs/>
                <w:sz w:val="14"/>
                <w:szCs w:val="14"/>
              </w:rPr>
              <w:t>TLS</w:t>
            </w:r>
          </w:p>
        </w:tc>
      </w:tr>
      <w:tr w:rsidR="00477A1D" w:rsidRPr="00697FC5" w:rsidTr="000B4241">
        <w:tc>
          <w:tcPr>
            <w:tcW w:w="3226" w:type="dxa"/>
            <w:vMerge w:val="restart"/>
            <w:tcBorders>
              <w:top w:val="single" w:sz="4" w:space="0" w:color="auto"/>
            </w:tcBorders>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Updated and globally accepted system of international classifications and WIPO standards to facilitate access, use and dissemination of IP information among stakeholders in the world</w:t>
            </w:r>
          </w:p>
        </w:tc>
        <w:tc>
          <w:tcPr>
            <w:tcW w:w="3588" w:type="dxa"/>
            <w:tcBorders>
              <w:top w:val="single" w:sz="4" w:space="0" w:color="auto"/>
            </w:tcBorders>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color w:val="000000"/>
                <w:sz w:val="14"/>
                <w:szCs w:val="14"/>
              </w:rPr>
              <w:t>No. of Offices using WIPO standards</w:t>
            </w:r>
          </w:p>
        </w:tc>
        <w:tc>
          <w:tcPr>
            <w:tcW w:w="1418" w:type="dxa"/>
            <w:tcBorders>
              <w:top w:val="single" w:sz="4" w:space="0" w:color="auto"/>
            </w:tcBorders>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Borders>
              <w:top w:val="single" w:sz="4" w:space="0" w:color="auto"/>
            </w:tcBorders>
          </w:tcPr>
          <w:p w:rsidR="00477A1D" w:rsidRPr="00477A1D" w:rsidRDefault="00477A1D" w:rsidP="000B4241">
            <w:pPr>
              <w:spacing w:before="20"/>
              <w:jc w:val="center"/>
              <w:rPr>
                <w:rFonts w:cs="Arial"/>
                <w:sz w:val="22"/>
                <w:szCs w:val="22"/>
              </w:rPr>
            </w:pPr>
            <w:r w:rsidRPr="00477A1D">
              <w:rPr>
                <w:rFonts w:cs="Arial"/>
                <w:color w:val="A6A6A6" w:themeColor="background1" w:themeShade="A6"/>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color w:val="000000"/>
                <w:sz w:val="14"/>
                <w:szCs w:val="14"/>
              </w:rPr>
              <w:t>No. of amendments to the Nice Classification</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sz w:val="22"/>
                <w:szCs w:val="22"/>
              </w:rPr>
            </w:pPr>
            <w:r w:rsidRPr="00477A1D">
              <w:rPr>
                <w:rFonts w:cs="Arial"/>
                <w:color w:val="FF0000"/>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color w:val="000000"/>
                <w:sz w:val="14"/>
                <w:szCs w:val="14"/>
              </w:rPr>
              <w:t>Unified ECLA and FI in the IPC</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sz w:val="22"/>
                <w:szCs w:val="22"/>
              </w:rPr>
            </w:pPr>
            <w:r w:rsidRPr="00477A1D">
              <w:rPr>
                <w:rFonts w:cs="Arial"/>
                <w:color w:val="E36C0A" w:themeColor="accent6" w:themeShade="BF"/>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sz w:val="14"/>
                <w:szCs w:val="14"/>
              </w:rPr>
              <w:t>Integration</w:t>
            </w:r>
            <w:r w:rsidRPr="00477A1D">
              <w:rPr>
                <w:rFonts w:cs="Arial"/>
                <w:color w:val="000000"/>
                <w:sz w:val="14"/>
                <w:szCs w:val="14"/>
              </w:rPr>
              <w:t xml:space="preserve"> in Locarno Classification of a tool for searching visual features of design applications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sz w:val="22"/>
                <w:szCs w:val="22"/>
              </w:rPr>
            </w:pPr>
            <w:r w:rsidRPr="00477A1D">
              <w:rPr>
                <w:rFonts w:cs="Arial"/>
                <w:color w:val="FF0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sz w:val="14"/>
                <w:szCs w:val="14"/>
              </w:rPr>
              <w:t>No</w:t>
            </w:r>
            <w:r w:rsidRPr="00477A1D">
              <w:rPr>
                <w:rFonts w:cs="Arial"/>
                <w:color w:val="000000"/>
                <w:sz w:val="14"/>
                <w:szCs w:val="14"/>
              </w:rPr>
              <w:t>. of amended and new standards adopted</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color w:val="A6A6A6" w:themeColor="background1" w:themeShade="A6"/>
                <w:sz w:val="22"/>
                <w:szCs w:val="22"/>
              </w:rPr>
            </w:pPr>
            <w:r w:rsidRPr="00477A1D">
              <w:rPr>
                <w:rFonts w:cs="Arial"/>
                <w:color w:val="A6A6A6" w:themeColor="background1" w:themeShade="A6"/>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sz w:val="14"/>
                <w:szCs w:val="14"/>
              </w:rPr>
              <w:t>No</w:t>
            </w:r>
            <w:r w:rsidRPr="00477A1D">
              <w:rPr>
                <w:rFonts w:cs="Arial"/>
                <w:color w:val="000000"/>
                <w:sz w:val="14"/>
                <w:szCs w:val="14"/>
              </w:rPr>
              <w:t>. of Offices indicating satisfaction following training to improve their skills in the use of classifications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color w:val="A6A6A6" w:themeColor="background1" w:themeShade="A6"/>
                <w:sz w:val="22"/>
                <w:szCs w:val="22"/>
              </w:rPr>
            </w:pPr>
            <w:r w:rsidRPr="00477A1D">
              <w:rPr>
                <w:rFonts w:cs="Arial"/>
                <w:color w:val="A6A6A6" w:themeColor="background1" w:themeShade="A6"/>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sz w:val="14"/>
                <w:szCs w:val="14"/>
              </w:rPr>
              <w:t>No</w:t>
            </w:r>
            <w:r w:rsidRPr="00477A1D">
              <w:rPr>
                <w:rFonts w:cs="Arial"/>
                <w:color w:val="000000"/>
                <w:sz w:val="14"/>
                <w:szCs w:val="14"/>
              </w:rPr>
              <w:t>. of users accessing the internet publications of international classifications and standards, in particular from developing countries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12</w:t>
            </w:r>
          </w:p>
        </w:tc>
        <w:tc>
          <w:tcPr>
            <w:tcW w:w="1162" w:type="dxa"/>
          </w:tcPr>
          <w:p w:rsidR="00477A1D" w:rsidRPr="00477A1D" w:rsidRDefault="00477A1D" w:rsidP="000B4241">
            <w:pPr>
              <w:spacing w:before="20"/>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vMerge w:val="restart"/>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Enhanced access to, and use of, IP information and knowledge by IP institutions and the public to promote innovation and increased access to protected creative works and creative works in the public domain</w:t>
            </w: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different users per quarter/system (PATENTSCOPE/Global Brand Database)</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0B4241">
            <w:pPr>
              <w:spacing w:before="20"/>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languages in which cross-lingual search is available</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0B4241">
            <w:pPr>
              <w:spacing w:before="20"/>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national TISC networks launched</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p w:rsidR="00477A1D" w:rsidRPr="00477A1D" w:rsidRDefault="00477A1D" w:rsidP="000B4241">
            <w:pPr>
              <w:spacing w:before="120"/>
              <w:ind w:left="176"/>
              <w:rPr>
                <w:rFonts w:cs="Arial"/>
                <w:sz w:val="14"/>
                <w:szCs w:val="14"/>
              </w:rPr>
            </w:pPr>
            <w:r w:rsidRPr="00477A1D">
              <w:rPr>
                <w:rFonts w:cs="Arial"/>
                <w:sz w:val="14"/>
                <w:szCs w:val="14"/>
              </w:rPr>
              <w:t xml:space="preserve">Program 9 </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spacing w:before="20"/>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sz w:val="22"/>
                <w:szCs w:val="22"/>
              </w:rPr>
            </w:pPr>
            <w:r w:rsidRPr="00477A1D">
              <w:rPr>
                <w:rFonts w:cs="Arial"/>
                <w:color w:val="FF0000"/>
                <w:sz w:val="22"/>
                <w:szCs w:val="22"/>
              </w:rPr>
              <w:sym w:font="Wingdings" w:char="F06C"/>
            </w:r>
          </w:p>
        </w:tc>
      </w:tr>
      <w:tr w:rsidR="00477A1D" w:rsidRPr="00697FC5" w:rsidTr="000B4241">
        <w:tc>
          <w:tcPr>
            <w:tcW w:w="3226" w:type="dxa"/>
            <w:vMerge/>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users serviced by TISCs per quarter and country</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p w:rsidR="00477A1D" w:rsidRPr="00477A1D" w:rsidRDefault="00477A1D" w:rsidP="000B4241">
            <w:pPr>
              <w:spacing w:before="120"/>
              <w:ind w:left="176"/>
              <w:rPr>
                <w:rFonts w:cs="Arial"/>
                <w:sz w:val="14"/>
                <w:szCs w:val="14"/>
              </w:rPr>
            </w:pPr>
            <w:r w:rsidRPr="00477A1D">
              <w:rPr>
                <w:rFonts w:cs="Arial"/>
                <w:sz w:val="14"/>
                <w:szCs w:val="14"/>
              </w:rPr>
              <w:t xml:space="preserve">Program 9 </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477A1D" w:rsidRPr="00C72ED0" w:rsidRDefault="00477A1D" w:rsidP="000B4241">
            <w:pPr>
              <w:jc w:val="center"/>
              <w:rPr>
                <w:rFonts w:cs="Arial"/>
                <w:color w:val="A6A6A6" w:themeColor="background1" w:themeShade="A6"/>
                <w:sz w:val="22"/>
                <w:szCs w:val="22"/>
              </w:rPr>
            </w:pPr>
            <w:r w:rsidRPr="00C72ED0">
              <w:rPr>
                <w:rFonts w:cs="Arial"/>
                <w:color w:val="A6A6A6" w:themeColor="background1" w:themeShade="A6"/>
                <w:sz w:val="22"/>
                <w:szCs w:val="22"/>
              </w:rPr>
              <w:sym w:font="Wingdings" w:char="F06C"/>
            </w:r>
          </w:p>
          <w:p w:rsidR="00477A1D" w:rsidRPr="00477A1D" w:rsidRDefault="00477A1D" w:rsidP="000B4241">
            <w:pPr>
              <w:jc w:val="center"/>
              <w:rPr>
                <w:sz w:val="22"/>
                <w:szCs w:val="22"/>
              </w:rPr>
            </w:pPr>
            <w:r w:rsidRPr="00477A1D">
              <w:rPr>
                <w:rFonts w:cs="Arial"/>
                <w:color w:val="A6A6A6" w:themeColor="background1" w:themeShade="A6"/>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users of the value-added information services (technology search service, Patent Landscape Reports and ICE)</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tc>
        <w:tc>
          <w:tcPr>
            <w:tcW w:w="1162" w:type="dxa"/>
          </w:tcPr>
          <w:p w:rsidR="00477A1D" w:rsidRPr="00477A1D" w:rsidRDefault="00477A1D" w:rsidP="000B4241">
            <w:pPr>
              <w:jc w:val="center"/>
              <w:rPr>
                <w:sz w:val="22"/>
                <w:szCs w:val="22"/>
              </w:rPr>
            </w:pPr>
            <w:r w:rsidRPr="00477A1D">
              <w:rPr>
                <w:rFonts w:cs="Arial"/>
                <w:color w:val="A6A6A6" w:themeColor="background1" w:themeShade="A6"/>
                <w:sz w:val="22"/>
                <w:szCs w:val="22"/>
              </w:rPr>
              <w:sym w:font="Wingdings" w:char="F06C"/>
            </w:r>
            <w:r w:rsidR="009B0B70" w:rsidRPr="00477A1D">
              <w:rPr>
                <w:rFonts w:cs="Arial"/>
                <w:color w:val="A6A6A6" w:themeColor="background1" w:themeShade="A6"/>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 xml:space="preserve">% of recipients satisfied with the value-added information services (technology search service, Patent Landscape Reports and ICE)  </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tc>
        <w:tc>
          <w:tcPr>
            <w:tcW w:w="1162" w:type="dxa"/>
          </w:tcPr>
          <w:p w:rsidR="00477A1D" w:rsidRPr="00477A1D" w:rsidRDefault="00477A1D" w:rsidP="000B4241">
            <w:pPr>
              <w:jc w:val="center"/>
              <w:rPr>
                <w:sz w:val="22"/>
                <w:szCs w:val="22"/>
              </w:rPr>
            </w:pPr>
            <w:r w:rsidRPr="00477A1D">
              <w:rPr>
                <w:rFonts w:cs="Arial"/>
                <w:color w:val="FF0000"/>
                <w:sz w:val="22"/>
                <w:szCs w:val="22"/>
              </w:rPr>
              <w:sym w:font="Wingdings" w:char="F06C"/>
            </w: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 of users satisfied with TISC services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tc>
        <w:tc>
          <w:tcPr>
            <w:tcW w:w="1162" w:type="dxa"/>
          </w:tcPr>
          <w:p w:rsidR="00477A1D" w:rsidRPr="00477A1D" w:rsidRDefault="00477A1D" w:rsidP="000B4241">
            <w:pPr>
              <w:jc w:val="center"/>
              <w:rPr>
                <w:sz w:val="22"/>
                <w:szCs w:val="22"/>
              </w:rPr>
            </w:pPr>
            <w:r w:rsidRPr="00477A1D">
              <w:rPr>
                <w:rFonts w:cs="Arial"/>
                <w:color w:val="FF0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Number of registered users of aRDI and ASPI</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14</w:t>
            </w:r>
          </w:p>
        </w:tc>
        <w:tc>
          <w:tcPr>
            <w:tcW w:w="1162" w:type="dxa"/>
          </w:tcPr>
          <w:p w:rsidR="00477A1D" w:rsidRPr="00477A1D" w:rsidRDefault="00477A1D" w:rsidP="000B4241">
            <w:pPr>
              <w:jc w:val="center"/>
              <w:rPr>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 xml:space="preserve">No. of Member States that have developed their IP framework and established TTOs </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30</w:t>
            </w:r>
          </w:p>
          <w:p w:rsidR="00477A1D" w:rsidRPr="00477A1D" w:rsidRDefault="00477A1D" w:rsidP="000B4241">
            <w:pPr>
              <w:spacing w:before="120"/>
              <w:ind w:left="176"/>
              <w:rPr>
                <w:rFonts w:cs="Arial"/>
                <w:sz w:val="14"/>
                <w:szCs w:val="14"/>
              </w:rPr>
            </w:pPr>
            <w:r w:rsidRPr="00477A1D">
              <w:rPr>
                <w:rFonts w:cs="Arial"/>
                <w:sz w:val="14"/>
                <w:szCs w:val="14"/>
              </w:rPr>
              <w:t>Program 9</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477A1D" w:rsidRPr="00477A1D" w:rsidRDefault="00477A1D" w:rsidP="000B4241">
            <w:pPr>
              <w:jc w:val="center"/>
              <w:rPr>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keepNext/>
              <w:keepLines/>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keepNext/>
              <w:keepLines/>
              <w:spacing w:before="80"/>
              <w:rPr>
                <w:rFonts w:cs="Arial"/>
                <w:sz w:val="14"/>
                <w:szCs w:val="14"/>
              </w:rPr>
            </w:pPr>
            <w:r w:rsidRPr="00477A1D">
              <w:rPr>
                <w:rFonts w:cs="Arial"/>
                <w:sz w:val="14"/>
                <w:szCs w:val="14"/>
              </w:rPr>
              <w:t>No. of trusted intermediaries (TIs) and rights holders (RHs) having joined the TIGAR system network, including from developing countries and LDCs</w:t>
            </w:r>
          </w:p>
        </w:tc>
        <w:tc>
          <w:tcPr>
            <w:tcW w:w="1418" w:type="dxa"/>
            <w:shd w:val="clear" w:color="auto" w:fill="auto"/>
            <w:tcMar>
              <w:top w:w="113" w:type="dxa"/>
            </w:tcMar>
          </w:tcPr>
          <w:p w:rsidR="00477A1D" w:rsidRPr="00477A1D" w:rsidRDefault="00477A1D" w:rsidP="000B4241">
            <w:pPr>
              <w:keepNext/>
              <w:keepLines/>
              <w:spacing w:before="80"/>
              <w:ind w:left="175"/>
              <w:rPr>
                <w:rFonts w:cs="Arial"/>
                <w:sz w:val="14"/>
                <w:szCs w:val="14"/>
              </w:rPr>
            </w:pPr>
            <w:r w:rsidRPr="00477A1D">
              <w:rPr>
                <w:rFonts w:cs="Arial"/>
                <w:sz w:val="14"/>
                <w:szCs w:val="14"/>
              </w:rPr>
              <w:t>Program 3</w:t>
            </w:r>
          </w:p>
        </w:tc>
        <w:tc>
          <w:tcPr>
            <w:tcW w:w="1162" w:type="dxa"/>
          </w:tcPr>
          <w:p w:rsidR="00477A1D" w:rsidRPr="00477A1D" w:rsidRDefault="00477A1D" w:rsidP="000B4241">
            <w:pPr>
              <w:keepNext/>
              <w:keepLines/>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 xml:space="preserve">No. of copyright protected works distributed among TIs and made accessible to VIPs across borders through the TIGAR system network </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Increased dissemination of digitized patent collections of national/regional offices of WIPO Member States</w:t>
            </w: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records in PATENTSCOPE/Global Brand Database which are not produced by the IB</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6B173C">
            <w:pPr>
              <w:spacing w:before="60"/>
              <w:ind w:firstLineChars="100" w:firstLine="140"/>
              <w:rPr>
                <w:rFonts w:cs="Arial"/>
                <w:sz w:val="14"/>
                <w:szCs w:val="14"/>
              </w:rPr>
            </w:pPr>
          </w:p>
        </w:tc>
        <w:tc>
          <w:tcPr>
            <w:tcW w:w="3588" w:type="dxa"/>
            <w:shd w:val="clear" w:color="auto" w:fill="auto"/>
            <w:tcMar>
              <w:top w:w="113" w:type="dxa"/>
            </w:tcMar>
          </w:tcPr>
          <w:p w:rsidR="00477A1D" w:rsidRPr="00477A1D" w:rsidRDefault="00477A1D" w:rsidP="006B173C">
            <w:pPr>
              <w:spacing w:before="60"/>
              <w:rPr>
                <w:rFonts w:cs="Arial"/>
                <w:sz w:val="14"/>
                <w:szCs w:val="14"/>
              </w:rPr>
            </w:pPr>
            <w:r w:rsidRPr="00477A1D">
              <w:rPr>
                <w:rFonts w:cs="Arial"/>
                <w:sz w:val="14"/>
                <w:szCs w:val="14"/>
              </w:rPr>
              <w:t>No. of national collections in PATENTSCOPE</w:t>
            </w:r>
          </w:p>
        </w:tc>
        <w:tc>
          <w:tcPr>
            <w:tcW w:w="1418" w:type="dxa"/>
            <w:shd w:val="clear" w:color="auto" w:fill="auto"/>
            <w:tcMar>
              <w:top w:w="113" w:type="dxa"/>
            </w:tcMar>
          </w:tcPr>
          <w:p w:rsidR="00477A1D" w:rsidRPr="00477A1D" w:rsidRDefault="00477A1D" w:rsidP="006B173C">
            <w:pPr>
              <w:spacing w:before="60"/>
              <w:ind w:left="175"/>
              <w:rPr>
                <w:rFonts w:cs="Arial"/>
                <w:sz w:val="14"/>
                <w:szCs w:val="14"/>
              </w:rPr>
            </w:pPr>
            <w:r w:rsidRPr="00477A1D">
              <w:rPr>
                <w:rFonts w:cs="Arial"/>
                <w:sz w:val="14"/>
                <w:szCs w:val="14"/>
              </w:rPr>
              <w:t>Program 13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6B173C">
            <w:pPr>
              <w:spacing w:before="60"/>
              <w:ind w:firstLineChars="100" w:firstLine="140"/>
              <w:rPr>
                <w:rFonts w:cs="Arial"/>
                <w:sz w:val="14"/>
                <w:szCs w:val="14"/>
              </w:rPr>
            </w:pPr>
          </w:p>
        </w:tc>
        <w:tc>
          <w:tcPr>
            <w:tcW w:w="3588" w:type="dxa"/>
            <w:shd w:val="clear" w:color="auto" w:fill="auto"/>
            <w:tcMar>
              <w:top w:w="113" w:type="dxa"/>
            </w:tcMar>
          </w:tcPr>
          <w:p w:rsidR="00477A1D" w:rsidRPr="00477A1D" w:rsidRDefault="00477A1D" w:rsidP="006B173C">
            <w:pPr>
              <w:spacing w:before="60"/>
              <w:rPr>
                <w:rFonts w:cs="Arial"/>
                <w:sz w:val="14"/>
                <w:szCs w:val="14"/>
              </w:rPr>
            </w:pPr>
            <w:r w:rsidRPr="00477A1D">
              <w:rPr>
                <w:rFonts w:cs="Arial"/>
                <w:sz w:val="14"/>
                <w:szCs w:val="14"/>
              </w:rPr>
              <w:t>No. of  national collections in Global Brand Database</w:t>
            </w:r>
          </w:p>
        </w:tc>
        <w:tc>
          <w:tcPr>
            <w:tcW w:w="1418" w:type="dxa"/>
            <w:shd w:val="clear" w:color="auto" w:fill="auto"/>
            <w:tcMar>
              <w:top w:w="113" w:type="dxa"/>
            </w:tcMar>
          </w:tcPr>
          <w:p w:rsidR="00477A1D" w:rsidRPr="00477A1D" w:rsidRDefault="00477A1D" w:rsidP="006B173C">
            <w:pPr>
              <w:spacing w:before="60"/>
              <w:ind w:left="175"/>
              <w:rPr>
                <w:rFonts w:cs="Arial"/>
                <w:sz w:val="14"/>
                <w:szCs w:val="14"/>
              </w:rPr>
            </w:pPr>
            <w:r w:rsidRPr="00477A1D">
              <w:rPr>
                <w:rFonts w:cs="Arial"/>
                <w:sz w:val="14"/>
                <w:szCs w:val="14"/>
              </w:rPr>
              <w:t>Program 13</w:t>
            </w:r>
            <w:r w:rsidR="006B173C">
              <w:rPr>
                <w:rFonts w:cs="Arial"/>
                <w:sz w:val="14"/>
                <w:szCs w:val="14"/>
              </w:rPr>
              <w:br/>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6B2753">
            <w:pPr>
              <w:keepNext/>
              <w:keepLines/>
              <w:spacing w:before="80"/>
              <w:rPr>
                <w:rFonts w:cs="Arial"/>
                <w:sz w:val="14"/>
                <w:szCs w:val="14"/>
              </w:rPr>
            </w:pPr>
            <w:r w:rsidRPr="00477A1D">
              <w:rPr>
                <w:rFonts w:cs="Arial"/>
                <w:sz w:val="14"/>
                <w:szCs w:val="14"/>
              </w:rPr>
              <w:lastRenderedPageBreak/>
              <w:t>Timeliness of PATENTSCOPE updates regarding PCT applications</w:t>
            </w:r>
          </w:p>
        </w:tc>
        <w:tc>
          <w:tcPr>
            <w:tcW w:w="3588" w:type="dxa"/>
            <w:shd w:val="clear" w:color="auto" w:fill="auto"/>
            <w:tcMar>
              <w:top w:w="113" w:type="dxa"/>
            </w:tcMar>
          </w:tcPr>
          <w:p w:rsidR="00477A1D" w:rsidRPr="00477A1D" w:rsidRDefault="00477A1D" w:rsidP="006B2753">
            <w:pPr>
              <w:keepNext/>
              <w:keepLines/>
              <w:spacing w:before="80"/>
              <w:rPr>
                <w:rFonts w:cs="Arial"/>
                <w:sz w:val="14"/>
                <w:szCs w:val="14"/>
              </w:rPr>
            </w:pPr>
            <w:r w:rsidRPr="00477A1D">
              <w:rPr>
                <w:rFonts w:cs="Arial"/>
                <w:sz w:val="14"/>
                <w:szCs w:val="14"/>
              </w:rPr>
              <w:t>Delay (in months) in implementation of PCT rule changes concerning PATENTSCOPE</w:t>
            </w:r>
          </w:p>
        </w:tc>
        <w:tc>
          <w:tcPr>
            <w:tcW w:w="1418" w:type="dxa"/>
            <w:shd w:val="clear" w:color="auto" w:fill="auto"/>
            <w:tcMar>
              <w:top w:w="113" w:type="dxa"/>
            </w:tcMar>
          </w:tcPr>
          <w:p w:rsidR="00477A1D" w:rsidRPr="00477A1D" w:rsidRDefault="00477A1D" w:rsidP="006B2753">
            <w:pPr>
              <w:keepNext/>
              <w:keepLines/>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6B2753">
            <w:pPr>
              <w:keepNext/>
              <w:keepLines/>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6B2753">
            <w:pPr>
              <w:keepNext/>
              <w:keepLines/>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6B2753">
            <w:pPr>
              <w:keepNext/>
              <w:keepLines/>
              <w:spacing w:before="80"/>
              <w:rPr>
                <w:rFonts w:cs="Arial"/>
                <w:sz w:val="14"/>
                <w:szCs w:val="14"/>
              </w:rPr>
            </w:pPr>
            <w:r w:rsidRPr="00477A1D">
              <w:rPr>
                <w:rFonts w:cs="Arial"/>
                <w:sz w:val="14"/>
                <w:szCs w:val="14"/>
              </w:rPr>
              <w:t>No. of weeks per year where publication is not available at 20:00 Geneva time on publication day</w:t>
            </w:r>
          </w:p>
        </w:tc>
        <w:tc>
          <w:tcPr>
            <w:tcW w:w="1418" w:type="dxa"/>
            <w:shd w:val="clear" w:color="auto" w:fill="auto"/>
            <w:tcMar>
              <w:top w:w="113" w:type="dxa"/>
            </w:tcMar>
          </w:tcPr>
          <w:p w:rsidR="00477A1D" w:rsidRPr="00477A1D" w:rsidRDefault="00477A1D" w:rsidP="006B2753">
            <w:pPr>
              <w:keepNext/>
              <w:keepLines/>
              <w:spacing w:before="80"/>
              <w:ind w:left="175"/>
              <w:rPr>
                <w:rFonts w:cs="Arial"/>
                <w:sz w:val="14"/>
                <w:szCs w:val="14"/>
              </w:rPr>
            </w:pPr>
            <w:r w:rsidRPr="00477A1D">
              <w:rPr>
                <w:rFonts w:cs="Arial"/>
                <w:sz w:val="14"/>
                <w:szCs w:val="14"/>
              </w:rPr>
              <w:t>Program 13</w:t>
            </w:r>
          </w:p>
        </w:tc>
        <w:tc>
          <w:tcPr>
            <w:tcW w:w="1162" w:type="dxa"/>
          </w:tcPr>
          <w:p w:rsidR="00477A1D" w:rsidRPr="00477A1D" w:rsidRDefault="00477A1D" w:rsidP="006B2753">
            <w:pPr>
              <w:keepNext/>
              <w:keepLines/>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rPr>
                <w:rFonts w:cs="Arial"/>
                <w:color w:val="000000"/>
                <w:sz w:val="14"/>
                <w:szCs w:val="14"/>
              </w:rPr>
            </w:pPr>
            <w:r w:rsidRPr="00477A1D">
              <w:rPr>
                <w:rFonts w:cs="Arial"/>
                <w:color w:val="000000"/>
                <w:sz w:val="14"/>
                <w:szCs w:val="14"/>
              </w:rPr>
              <w:t xml:space="preserve">Enhanced  technical and knowledge </w:t>
            </w:r>
            <w:r w:rsidRPr="00477A1D">
              <w:rPr>
                <w:rFonts w:cs="Arial"/>
                <w:sz w:val="14"/>
                <w:szCs w:val="14"/>
              </w:rPr>
              <w:t>infrastructure</w:t>
            </w:r>
            <w:r w:rsidRPr="00477A1D">
              <w:rPr>
                <w:rFonts w:cs="Arial"/>
                <w:color w:val="000000"/>
                <w:sz w:val="14"/>
                <w:szCs w:val="14"/>
              </w:rPr>
              <w:t xml:space="preserve"> for IP Offices and other IP institutions leading to better services (cheaper, faster, higher quality) to their stakeholders</w:t>
            </w: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Offices with fully automated versus partially automated IP administration systems provided by WIPO</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15</w:t>
            </w:r>
          </w:p>
          <w:p w:rsidR="00477A1D" w:rsidRPr="00477A1D" w:rsidRDefault="00477A1D" w:rsidP="000B4241">
            <w:pPr>
              <w:spacing w:before="120"/>
              <w:ind w:left="176"/>
              <w:rPr>
                <w:rFonts w:cs="Arial"/>
                <w:sz w:val="14"/>
                <w:szCs w:val="14"/>
              </w:rPr>
            </w:pPr>
            <w:r w:rsidRPr="00477A1D">
              <w:rPr>
                <w:rFonts w:cs="Arial"/>
                <w:sz w:val="14"/>
                <w:szCs w:val="14"/>
              </w:rPr>
              <w:t>Program 9</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color w:val="000000"/>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Offices with IP data online in WIPO databases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15</w:t>
            </w:r>
          </w:p>
          <w:p w:rsidR="00477A1D" w:rsidRPr="00477A1D" w:rsidRDefault="00477A1D" w:rsidP="000B4241">
            <w:pPr>
              <w:spacing w:before="120"/>
              <w:ind w:left="176"/>
              <w:rPr>
                <w:rFonts w:cs="Arial"/>
                <w:sz w:val="14"/>
                <w:szCs w:val="14"/>
              </w:rPr>
            </w:pPr>
            <w:r w:rsidRPr="00477A1D">
              <w:rPr>
                <w:rFonts w:cs="Arial"/>
                <w:sz w:val="14"/>
                <w:szCs w:val="14"/>
              </w:rPr>
              <w:t>Program 9</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Groups of Offices participating in a common platform</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15</w:t>
            </w:r>
          </w:p>
          <w:p w:rsidR="00477A1D" w:rsidRPr="00477A1D" w:rsidRDefault="00477A1D" w:rsidP="000B4241">
            <w:pPr>
              <w:spacing w:before="120"/>
              <w:ind w:left="176"/>
              <w:rPr>
                <w:rFonts w:cs="Arial"/>
                <w:sz w:val="14"/>
                <w:szCs w:val="14"/>
              </w:rPr>
            </w:pPr>
            <w:r w:rsidRPr="00477A1D">
              <w:rPr>
                <w:rFonts w:cs="Arial"/>
                <w:sz w:val="14"/>
                <w:szCs w:val="14"/>
              </w:rPr>
              <w:t>Program 9</w:t>
            </w:r>
          </w:p>
        </w:tc>
        <w:tc>
          <w:tcPr>
            <w:tcW w:w="1162" w:type="dxa"/>
          </w:tcPr>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Offices processing PCT and Madrid data with the support of WIPO supplied systems</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15</w:t>
            </w:r>
          </w:p>
          <w:p w:rsidR="00477A1D" w:rsidRPr="00477A1D" w:rsidRDefault="00477A1D" w:rsidP="000B4241">
            <w:pPr>
              <w:spacing w:before="120"/>
              <w:ind w:left="176"/>
              <w:rPr>
                <w:rFonts w:cs="Arial"/>
                <w:sz w:val="14"/>
                <w:szCs w:val="14"/>
              </w:rPr>
            </w:pPr>
            <w:r w:rsidRPr="00477A1D">
              <w:rPr>
                <w:rFonts w:cs="Arial"/>
                <w:sz w:val="14"/>
                <w:szCs w:val="14"/>
              </w:rPr>
              <w:t>Program 9</w:t>
            </w:r>
          </w:p>
          <w:p w:rsidR="00477A1D" w:rsidRPr="00477A1D" w:rsidRDefault="00477A1D" w:rsidP="000B4241">
            <w:pPr>
              <w:spacing w:before="120"/>
              <w:ind w:left="176"/>
              <w:rPr>
                <w:rFonts w:cs="Arial"/>
                <w:sz w:val="14"/>
                <w:szCs w:val="14"/>
              </w:rPr>
            </w:pPr>
            <w:r w:rsidRPr="00477A1D">
              <w:rPr>
                <w:rFonts w:cs="Arial"/>
                <w:sz w:val="14"/>
                <w:szCs w:val="14"/>
              </w:rPr>
              <w:t>Program 10</w:t>
            </w:r>
          </w:p>
        </w:tc>
        <w:tc>
          <w:tcPr>
            <w:tcW w:w="1162" w:type="dxa"/>
          </w:tcPr>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rFonts w:cs="Arial"/>
                <w:color w:val="008000"/>
                <w:sz w:val="22"/>
                <w:szCs w:val="22"/>
              </w:rPr>
            </w:pPr>
            <w:r w:rsidRPr="00477A1D">
              <w:rPr>
                <w:rFonts w:cs="Arial"/>
                <w:color w:val="008000"/>
                <w:sz w:val="22"/>
                <w:szCs w:val="22"/>
              </w:rPr>
              <w:sym w:font="Wingdings" w:char="F06C"/>
            </w:r>
          </w:p>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tcMar>
          </w:tcPr>
          <w:p w:rsidR="00477A1D" w:rsidRPr="00477A1D" w:rsidRDefault="00477A1D" w:rsidP="000B4241">
            <w:pPr>
              <w:spacing w:before="80"/>
              <w:rPr>
                <w:rFonts w:cs="Arial"/>
                <w:sz w:val="14"/>
                <w:szCs w:val="14"/>
              </w:rPr>
            </w:pPr>
            <w:r w:rsidRPr="00477A1D">
              <w:rPr>
                <w:rFonts w:cs="Arial"/>
                <w:sz w:val="14"/>
                <w:szCs w:val="14"/>
              </w:rPr>
              <w:t>No. of Institutions using WIPO copyright infrastructure systems (WIPOCOS and GDA)</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r w:rsidR="00477A1D" w:rsidRPr="00697FC5" w:rsidTr="000B4241">
        <w:tc>
          <w:tcPr>
            <w:tcW w:w="3226" w:type="dxa"/>
            <w:shd w:val="clear" w:color="auto" w:fill="auto"/>
            <w:tcMar>
              <w:top w:w="113" w:type="dxa"/>
            </w:tcMar>
          </w:tcPr>
          <w:p w:rsidR="00477A1D" w:rsidRPr="00477A1D" w:rsidRDefault="00477A1D" w:rsidP="000B4241">
            <w:pPr>
              <w:spacing w:before="80"/>
              <w:ind w:firstLineChars="100" w:firstLine="140"/>
              <w:rPr>
                <w:rFonts w:cs="Arial"/>
                <w:sz w:val="14"/>
                <w:szCs w:val="14"/>
              </w:rPr>
            </w:pPr>
          </w:p>
        </w:tc>
        <w:tc>
          <w:tcPr>
            <w:tcW w:w="3588" w:type="dxa"/>
            <w:shd w:val="clear" w:color="auto" w:fill="auto"/>
            <w:tcMar>
              <w:top w:w="113" w:type="dxa"/>
              <w:bottom w:w="85" w:type="dxa"/>
            </w:tcMar>
          </w:tcPr>
          <w:p w:rsidR="00477A1D" w:rsidRPr="00477A1D" w:rsidRDefault="00477A1D" w:rsidP="000B4241">
            <w:pPr>
              <w:spacing w:before="80"/>
              <w:rPr>
                <w:rFonts w:cs="Arial"/>
                <w:sz w:val="14"/>
                <w:szCs w:val="14"/>
              </w:rPr>
            </w:pPr>
            <w:r w:rsidRPr="00477A1D">
              <w:rPr>
                <w:rFonts w:cs="Arial"/>
                <w:sz w:val="14"/>
                <w:szCs w:val="14"/>
              </w:rPr>
              <w:t>% of Governments that report positively on the effectiveness and governance of copyright institutions in the country</w:t>
            </w:r>
          </w:p>
        </w:tc>
        <w:tc>
          <w:tcPr>
            <w:tcW w:w="1418" w:type="dxa"/>
            <w:shd w:val="clear" w:color="auto" w:fill="auto"/>
            <w:tcMar>
              <w:top w:w="113" w:type="dxa"/>
            </w:tcMar>
          </w:tcPr>
          <w:p w:rsidR="00477A1D" w:rsidRPr="00477A1D" w:rsidRDefault="00477A1D" w:rsidP="000B4241">
            <w:pPr>
              <w:spacing w:before="80"/>
              <w:ind w:left="175"/>
              <w:rPr>
                <w:rFonts w:cs="Arial"/>
                <w:sz w:val="14"/>
                <w:szCs w:val="14"/>
              </w:rPr>
            </w:pPr>
            <w:r w:rsidRPr="00477A1D">
              <w:rPr>
                <w:rFonts w:cs="Arial"/>
                <w:sz w:val="14"/>
                <w:szCs w:val="14"/>
              </w:rPr>
              <w:t>Program 3</w:t>
            </w:r>
          </w:p>
        </w:tc>
        <w:tc>
          <w:tcPr>
            <w:tcW w:w="1162" w:type="dxa"/>
          </w:tcPr>
          <w:p w:rsidR="00477A1D" w:rsidRPr="00477A1D" w:rsidRDefault="00477A1D" w:rsidP="000B4241">
            <w:pPr>
              <w:jc w:val="center"/>
              <w:rPr>
                <w:color w:val="008000"/>
                <w:sz w:val="22"/>
                <w:szCs w:val="22"/>
              </w:rPr>
            </w:pPr>
            <w:r w:rsidRPr="00477A1D">
              <w:rPr>
                <w:rFonts w:cs="Arial"/>
                <w:color w:val="008000"/>
                <w:sz w:val="22"/>
                <w:szCs w:val="22"/>
              </w:rPr>
              <w:sym w:font="Wingdings" w:char="F06C"/>
            </w:r>
          </w:p>
        </w:tc>
      </w:tr>
    </w:tbl>
    <w:p w:rsidR="005E3A6D" w:rsidRDefault="005E3A6D" w:rsidP="00B06EC8">
      <w:pPr>
        <w:jc w:val="both"/>
      </w:pPr>
    </w:p>
    <w:p w:rsidR="005E3A6D" w:rsidRPr="00812B04" w:rsidRDefault="005E3A6D" w:rsidP="00B06EC8">
      <w:pPr>
        <w:jc w:val="both"/>
      </w:pPr>
    </w:p>
    <w:p w:rsidR="00B06EC8" w:rsidRPr="00812B04" w:rsidRDefault="00B06EC8" w:rsidP="00B06EC8">
      <w:pPr>
        <w:autoSpaceDE w:val="0"/>
        <w:autoSpaceDN w:val="0"/>
        <w:adjustRightInd w:val="0"/>
        <w:jc w:val="both"/>
        <w:rPr>
          <w:bCs/>
        </w:rPr>
      </w:pPr>
      <w:r w:rsidRPr="00812B04">
        <w:t xml:space="preserve">With a focus on enhancing the global IP infrastructure to help meet the growing global demand on the IP system and facilitating the participation of developing countries and LDCs in the system, good progress was made in the areas of global IP databases, classifications, IP office modernization, and </w:t>
      </w:r>
      <w:r w:rsidRPr="00812B04">
        <w:rPr>
          <w:bCs/>
        </w:rPr>
        <w:t xml:space="preserve">TISCs in 2012/13. </w:t>
      </w:r>
    </w:p>
    <w:p w:rsidR="00B06EC8" w:rsidRPr="00812B04" w:rsidRDefault="00B06EC8" w:rsidP="00B06EC8">
      <w:pPr>
        <w:autoSpaceDE w:val="0"/>
        <w:autoSpaceDN w:val="0"/>
        <w:adjustRightInd w:val="0"/>
        <w:jc w:val="both"/>
        <w:rPr>
          <w:bCs/>
        </w:rPr>
      </w:pPr>
    </w:p>
    <w:p w:rsidR="00B06EC8" w:rsidRDefault="00B06EC8" w:rsidP="00B06EC8">
      <w:pPr>
        <w:autoSpaceDE w:val="0"/>
        <w:autoSpaceDN w:val="0"/>
        <w:adjustRightInd w:val="0"/>
        <w:jc w:val="both"/>
        <w:rPr>
          <w:bCs/>
        </w:rPr>
      </w:pPr>
      <w:r w:rsidRPr="00812B04">
        <w:rPr>
          <w:bCs/>
        </w:rPr>
        <w:t xml:space="preserve">The new PATENTSCOPE system introduced towards the end of the previous biennium continued to be developed to enhance and facilitate user access. </w:t>
      </w:r>
      <w:r w:rsidR="00CA429B">
        <w:rPr>
          <w:bCs/>
        </w:rPr>
        <w:t xml:space="preserve"> </w:t>
      </w:r>
      <w:r w:rsidRPr="00812B04">
        <w:rPr>
          <w:bCs/>
        </w:rPr>
        <w:t>Support of three new languages (Dutch, Italian and Swedish) was added to the already existing nine languages in the Cross Lingual Information Retrieval (CLIR) multilingual searching system.  The TAPTA statistical machine translation system, developed in</w:t>
      </w:r>
      <w:r w:rsidR="006B173C">
        <w:rPr>
          <w:bCs/>
        </w:rPr>
        <w:noBreakHyphen/>
      </w:r>
      <w:r w:rsidRPr="00812B04">
        <w:rPr>
          <w:bCs/>
        </w:rPr>
        <w:t xml:space="preserve">house, was extended to include two difficult language pairs: </w:t>
      </w:r>
      <w:r w:rsidR="00CA429B">
        <w:rPr>
          <w:bCs/>
        </w:rPr>
        <w:t xml:space="preserve"> </w:t>
      </w:r>
      <w:r w:rsidRPr="00812B04">
        <w:rPr>
          <w:bCs/>
        </w:rPr>
        <w:t xml:space="preserve">English and German as well as English and Japanese.  Use of PATENTSCOPE increased by 10 per cent from 216,289 users per quarter in 2011 to 237,446 users per quarter in 2013, despite content delivery network problems experienced in 2012. </w:t>
      </w:r>
      <w:r w:rsidR="00CA429B">
        <w:rPr>
          <w:bCs/>
        </w:rPr>
        <w:t xml:space="preserve"> </w:t>
      </w:r>
      <w:r w:rsidRPr="00812B04">
        <w:rPr>
          <w:bCs/>
        </w:rPr>
        <w:t xml:space="preserve">The number of collections held in PATENTSCOPE increased steadily from 28 in 2011 to 36 in 2013 and included the significant addition of </w:t>
      </w:r>
      <w:r w:rsidRPr="00286146">
        <w:rPr>
          <w:bCs/>
        </w:rPr>
        <w:t xml:space="preserve">the </w:t>
      </w:r>
      <w:r w:rsidR="00003187" w:rsidRPr="00286146">
        <w:rPr>
          <w:bCs/>
        </w:rPr>
        <w:t>United States of America</w:t>
      </w:r>
      <w:r w:rsidRPr="00286146">
        <w:rPr>
          <w:bCs/>
        </w:rPr>
        <w:t>, Japanese</w:t>
      </w:r>
      <w:r w:rsidRPr="00812B04">
        <w:rPr>
          <w:bCs/>
        </w:rPr>
        <w:t xml:space="preserve"> and Chinese collections, more than tripling the number of records from </w:t>
      </w:r>
      <w:r w:rsidR="00EC1008">
        <w:rPr>
          <w:bCs/>
        </w:rPr>
        <w:t>ten</w:t>
      </w:r>
      <w:r w:rsidRPr="00812B04">
        <w:rPr>
          <w:bCs/>
        </w:rPr>
        <w:t xml:space="preserve"> to 34 million.</w:t>
      </w:r>
    </w:p>
    <w:p w:rsidR="00E10968" w:rsidRPr="00812B04" w:rsidRDefault="00E10968" w:rsidP="00B06EC8">
      <w:pPr>
        <w:autoSpaceDE w:val="0"/>
        <w:autoSpaceDN w:val="0"/>
        <w:adjustRightInd w:val="0"/>
        <w:jc w:val="both"/>
      </w:pPr>
    </w:p>
    <w:p w:rsidR="00B06EC8" w:rsidRPr="00812B04" w:rsidRDefault="00B06EC8" w:rsidP="00B06EC8">
      <w:pPr>
        <w:jc w:val="both"/>
        <w:rPr>
          <w:bCs/>
        </w:rPr>
      </w:pPr>
      <w:r w:rsidRPr="00812B04">
        <w:rPr>
          <w:bCs/>
        </w:rPr>
        <w:t>The Global Brand Database was launched in 2</w:t>
      </w:r>
      <w:r w:rsidR="00601859">
        <w:rPr>
          <w:bCs/>
        </w:rPr>
        <w:t>012 with the Madrid and Lisbon S</w:t>
      </w:r>
      <w:r w:rsidRPr="00812B04">
        <w:rPr>
          <w:bCs/>
        </w:rPr>
        <w:t>ystems and Article 6</w:t>
      </w:r>
      <w:r w:rsidRPr="00812B04">
        <w:rPr>
          <w:bCs/>
          <w:i/>
          <w:iCs/>
        </w:rPr>
        <w:t>ter</w:t>
      </w:r>
      <w:r w:rsidRPr="00812B04">
        <w:rPr>
          <w:bCs/>
        </w:rPr>
        <w:t xml:space="preserve"> collections and showed steady progress in the number of different visitors throughout 2012 and 2013, with 13,000 users and 23,000 users per quarter respectively as compared to 9,000 in 2011.  Furthermore, the process of adding national collections, initiated in 2012 with three national collections,</w:t>
      </w:r>
      <w:r w:rsidRPr="00812B04">
        <w:t xml:space="preserve"> </w:t>
      </w:r>
      <w:r w:rsidRPr="00812B04">
        <w:rPr>
          <w:bCs/>
        </w:rPr>
        <w:t xml:space="preserve">continued in 2013, bringing the total number of national collections to 12.  As a result, the number of records held in the system increased significantly from 700,000 in 2011 to two million in 2012 and to 12 million records by the end of the biennium.  </w:t>
      </w:r>
    </w:p>
    <w:p w:rsidR="00B06EC8" w:rsidRPr="00812B04" w:rsidRDefault="00B06EC8" w:rsidP="00B06EC8">
      <w:pPr>
        <w:jc w:val="both"/>
      </w:pPr>
    </w:p>
    <w:p w:rsidR="00B06EC8" w:rsidRPr="00812B04" w:rsidRDefault="00B06EC8" w:rsidP="00B06EC8">
      <w:pPr>
        <w:autoSpaceDE w:val="0"/>
        <w:autoSpaceDN w:val="0"/>
        <w:adjustRightInd w:val="0"/>
        <w:jc w:val="both"/>
      </w:pPr>
      <w:r w:rsidRPr="00812B04">
        <w:t xml:space="preserve">Significant progress was made in 2012/13 as regards International Classifications and WIPO IP Standards.  The reform of the Nice Classification was implemented and the Committee of Experts met for the first time in its annual session and adopted amendments published in the Classification, which, from 2013 onwards, will be annual. </w:t>
      </w:r>
      <w:r w:rsidR="00003187">
        <w:t xml:space="preserve"> </w:t>
      </w:r>
      <w:r w:rsidRPr="00812B04">
        <w:t xml:space="preserve">A new publication platform for the Nice Classification, which accommodates the publication of annual new versions, was successfully put into production.  In addition, this new platform will also integrate the Taxonomy, which was finalized in 2012 in cooperation with OHIM.  The new seventh-edition of the Vienna Classification was published as scheduled. </w:t>
      </w:r>
      <w:r w:rsidR="00003187">
        <w:t xml:space="preserve"> </w:t>
      </w:r>
      <w:r w:rsidRPr="00812B04">
        <w:t xml:space="preserve">The Committee of </w:t>
      </w:r>
      <w:r w:rsidRPr="00812B04">
        <w:lastRenderedPageBreak/>
        <w:t>Experts for the Locarno Classification met in November 2012 and adopted the amendments for the tenth</w:t>
      </w:r>
      <w:r w:rsidR="0086702C">
        <w:t xml:space="preserve"> </w:t>
      </w:r>
      <w:r w:rsidRPr="00812B04">
        <w:t>edition of the Classification, which was released in 2013.</w:t>
      </w:r>
      <w:r w:rsidRPr="00812B04">
        <w:rPr>
          <w:szCs w:val="22"/>
        </w:rPr>
        <w:t xml:space="preserve">  </w:t>
      </w:r>
      <w:r w:rsidRPr="00812B04">
        <w:t xml:space="preserve"> </w:t>
      </w:r>
    </w:p>
    <w:p w:rsidR="00B06EC8" w:rsidRPr="00812B04" w:rsidRDefault="00B06EC8" w:rsidP="00B06EC8">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jc w:val="both"/>
      </w:pPr>
    </w:p>
    <w:p w:rsidR="00B06EC8" w:rsidRPr="00812B04" w:rsidRDefault="00B06EC8" w:rsidP="00B06EC8">
      <w:pPr>
        <w:jc w:val="both"/>
      </w:pPr>
      <w:r w:rsidRPr="00812B04">
        <w:rPr>
          <w:iCs/>
        </w:rPr>
        <w:t>The biennium 2012/13 brought the number of Member States</w:t>
      </w:r>
      <w:r w:rsidR="00003187">
        <w:rPr>
          <w:iCs/>
        </w:rPr>
        <w:t xml:space="preserve"> that</w:t>
      </w:r>
      <w:r w:rsidRPr="00812B04">
        <w:rPr>
          <w:iCs/>
        </w:rPr>
        <w:t xml:space="preserve"> have established Technology and Innovation Support Centers (TISCs) in their countries to a total of 39. </w:t>
      </w:r>
      <w:r w:rsidR="00003187">
        <w:rPr>
          <w:iCs/>
        </w:rPr>
        <w:t xml:space="preserve"> </w:t>
      </w:r>
      <w:r w:rsidRPr="00812B04">
        <w:rPr>
          <w:iCs/>
        </w:rPr>
        <w:t xml:space="preserve">The development of online networks through the “eTISC” knowledge management and social media platform, launched at the end of 2012, further encouraged the online exchange of experiences and best practices with nearly 700 users registered by the end of 2013. </w:t>
      </w:r>
      <w:r w:rsidR="00003187">
        <w:rPr>
          <w:iCs/>
        </w:rPr>
        <w:t xml:space="preserve"> </w:t>
      </w:r>
      <w:r w:rsidRPr="00812B04">
        <w:rPr>
          <w:iCs/>
        </w:rPr>
        <w:t>The first six webinars, reproducing the onsite training presentations and including live question-and-answer sessions, started in mid-2013 with the program being rapidly expanded.</w:t>
      </w:r>
    </w:p>
    <w:p w:rsidR="00B06EC8" w:rsidRPr="00812B04" w:rsidRDefault="00B06EC8" w:rsidP="00B06EC8">
      <w:pPr>
        <w:jc w:val="both"/>
      </w:pPr>
    </w:p>
    <w:p w:rsidR="00B06EC8" w:rsidRPr="006B173C" w:rsidRDefault="00B06EC8" w:rsidP="00B06EC8">
      <w:pPr>
        <w:keepNext/>
        <w:keepLines/>
        <w:jc w:val="both"/>
      </w:pPr>
      <w:r w:rsidRPr="00812B04">
        <w:rPr>
          <w:lang w:val="en-SG"/>
        </w:rPr>
        <w:t xml:space="preserve">The deployment and upgrades of </w:t>
      </w:r>
      <w:r w:rsidRPr="00812B04">
        <w:t>IPAS (Industrial Property Automation System) continued in all regions.</w:t>
      </w:r>
      <w:r w:rsidR="006B173C">
        <w:t xml:space="preserve">  </w:t>
      </w:r>
      <w:r w:rsidRPr="00812B04">
        <w:rPr>
          <w:bCs/>
        </w:rPr>
        <w:t>Some 61 IP Offices were using WIPO’s business tools at the end of the 2012/13 biennium (comprising IPAS, the WIPO Arab Industrial Property Management System (AIPMS), EDMS, WIPOScan and the WIPO Madrid Module).  In addition, seven IP Offices were using the WIPO Centralized Access to Search and Examination (CASE) and 11 IP Offices were using DAS.</w:t>
      </w:r>
    </w:p>
    <w:p w:rsidR="00B06EC8" w:rsidRPr="00812B04" w:rsidRDefault="00B06EC8" w:rsidP="00B06EC8">
      <w:pPr>
        <w:keepNext/>
        <w:keepLines/>
        <w:jc w:val="both"/>
        <w:rPr>
          <w:bCs/>
        </w:rPr>
      </w:pPr>
    </w:p>
    <w:p w:rsidR="00B06EC8" w:rsidRDefault="00B06EC8" w:rsidP="00B06EC8">
      <w:pPr>
        <w:jc w:val="both"/>
        <w:rPr>
          <w:lang w:val="en-SG"/>
        </w:rPr>
      </w:pPr>
      <w:r w:rsidRPr="00812B04">
        <w:t>In order to manage the increased demand for WIPO systems coupled with the more complex user needs, a new support strategy was defined during the biennium, focusing on more systematic software support procedures, enhanced ownership by the users of the systems, knowledge transfer at a national and regional level and more input into the priorities for the development of the systems from the user community, always considering the specific needs and capacity of each Office.  A major enhancement of IPAS was released in 2012, successfully integrating the WIPO Electronic Document Management System (EDMS).  Good</w:t>
      </w:r>
      <w:r w:rsidRPr="00812B04">
        <w:rPr>
          <w:lang w:val="en-SG"/>
        </w:rPr>
        <w:t xml:space="preserve"> progress was also made on the development of the WIPO CASE </w:t>
      </w:r>
      <w:r w:rsidRPr="00812B04">
        <w:t xml:space="preserve">(Centralized Access to Search and Examination) </w:t>
      </w:r>
      <w:r w:rsidRPr="00812B04">
        <w:rPr>
          <w:lang w:val="en-SG"/>
        </w:rPr>
        <w:t xml:space="preserve">and DAS </w:t>
      </w:r>
      <w:r w:rsidRPr="00812B04">
        <w:t>(Digital Access Service)</w:t>
      </w:r>
      <w:r w:rsidRPr="00812B04">
        <w:rPr>
          <w:lang w:val="en-SG"/>
        </w:rPr>
        <w:t xml:space="preserve"> platforms although the number of participating Offices and overall activity remained limited.  Major upgrades were made to both systems in mid-2012. </w:t>
      </w:r>
    </w:p>
    <w:p w:rsidR="00477A1D" w:rsidRPr="00812B04" w:rsidRDefault="00477A1D" w:rsidP="00B06EC8">
      <w:pPr>
        <w:jc w:val="both"/>
        <w:rPr>
          <w:lang w:val="en-SG"/>
        </w:rPr>
      </w:pPr>
    </w:p>
    <w:p w:rsidR="00B06EC8" w:rsidRPr="00812B04" w:rsidRDefault="00B06EC8" w:rsidP="00B06EC8">
      <w:pPr>
        <w:jc w:val="both"/>
        <w:rPr>
          <w:i/>
          <w:iCs/>
        </w:rPr>
      </w:pPr>
    </w:p>
    <w:p w:rsidR="00B06EC8" w:rsidRPr="008869AE" w:rsidRDefault="00B06EC8" w:rsidP="00E94AD4">
      <w:pPr>
        <w:jc w:val="center"/>
        <w:rPr>
          <w:b/>
          <w:iCs/>
        </w:rPr>
      </w:pPr>
      <w:r w:rsidRPr="008869AE">
        <w:rPr>
          <w:b/>
          <w:iCs/>
        </w:rPr>
        <w:t xml:space="preserve">Strategic Goal V: </w:t>
      </w:r>
      <w:r w:rsidR="00595665" w:rsidRPr="008869AE">
        <w:rPr>
          <w:b/>
          <w:iCs/>
        </w:rPr>
        <w:t xml:space="preserve"> </w:t>
      </w:r>
      <w:r w:rsidRPr="008869AE">
        <w:rPr>
          <w:b/>
          <w:iCs/>
        </w:rPr>
        <w:t>World Reference Source for IP Information and Analysis</w:t>
      </w:r>
    </w:p>
    <w:p w:rsidR="005E3A6D" w:rsidRDefault="005E3A6D" w:rsidP="00B06EC8">
      <w:pPr>
        <w:jc w:val="both"/>
        <w:rPr>
          <w:i/>
          <w:iCs/>
        </w:rPr>
      </w:pPr>
    </w:p>
    <w:p w:rsidR="005E3A6D" w:rsidRDefault="005E3A6D" w:rsidP="00B06EC8">
      <w:pPr>
        <w:jc w:val="both"/>
        <w:rPr>
          <w:i/>
          <w:iCs/>
        </w:rPr>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8869AE" w:rsidRDefault="00477A1D" w:rsidP="008869AE">
      <w:pPr>
        <w:jc w:val="center"/>
        <w:rPr>
          <w:b/>
          <w:sz w:val="18"/>
          <w:szCs w:val="18"/>
        </w:rPr>
      </w:pPr>
      <w:r>
        <w:rPr>
          <w:noProof/>
        </w:rPr>
        <w:drawing>
          <wp:inline distT="0" distB="0" distL="0" distR="0" wp14:anchorId="7B952F77" wp14:editId="254AE404">
            <wp:extent cx="5940425" cy="2044877"/>
            <wp:effectExtent l="0" t="0" r="3175"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6"/>
                    <pic:cNvPicPr>
                      <a:picLocks noChangeAspect="1"/>
                    </pic:cNvPicPr>
                  </pic:nvPicPr>
                  <pic:blipFill>
                    <a:blip r:embed="rId22"/>
                    <a:stretch>
                      <a:fillRect/>
                    </a:stretch>
                  </pic:blipFill>
                  <pic:spPr>
                    <a:xfrm>
                      <a:off x="0" y="0"/>
                      <a:ext cx="5940425" cy="2044877"/>
                    </a:xfrm>
                    <a:prstGeom prst="rect">
                      <a:avLst/>
                    </a:prstGeom>
                  </pic:spPr>
                </pic:pic>
              </a:graphicData>
            </a:graphic>
          </wp:inline>
        </w:drawing>
      </w:r>
    </w:p>
    <w:p w:rsidR="000B4241" w:rsidRDefault="000B4241" w:rsidP="008869AE">
      <w:pPr>
        <w:jc w:val="center"/>
        <w:rPr>
          <w:b/>
          <w:sz w:val="18"/>
          <w:szCs w:val="18"/>
        </w:rPr>
      </w:pPr>
    </w:p>
    <w:p w:rsidR="000B4241" w:rsidRDefault="000B4241" w:rsidP="008869AE">
      <w:pPr>
        <w:jc w:val="center"/>
        <w:rPr>
          <w:b/>
          <w:sz w:val="18"/>
          <w:szCs w:val="18"/>
        </w:rPr>
      </w:pPr>
    </w:p>
    <w:p w:rsidR="00E10968" w:rsidRDefault="00E10968">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E10968" w:rsidRDefault="00E10968" w:rsidP="004808E3">
      <w:pPr>
        <w:rPr>
          <w:b/>
          <w:sz w:val="18"/>
          <w:szCs w:val="18"/>
        </w:rPr>
      </w:pPr>
    </w:p>
    <w:p w:rsidR="00E10968" w:rsidRPr="008465CB" w:rsidRDefault="00E10968" w:rsidP="00E10968">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E10968" w:rsidRPr="005E3A6D" w:rsidRDefault="00E10968" w:rsidP="008869AE">
      <w:pPr>
        <w:jc w:val="center"/>
        <w:rPr>
          <w:b/>
          <w:sz w:val="18"/>
          <w:szCs w:val="18"/>
        </w:rPr>
      </w:pPr>
    </w:p>
    <w:tbl>
      <w:tblPr>
        <w:tblW w:w="0" w:type="auto"/>
        <w:tblInd w:w="98" w:type="dxa"/>
        <w:tblLook w:val="0000" w:firstRow="0" w:lastRow="0" w:firstColumn="0" w:lastColumn="0" w:noHBand="0" w:noVBand="0"/>
      </w:tblPr>
      <w:tblGrid>
        <w:gridCol w:w="3206"/>
        <w:gridCol w:w="3467"/>
        <w:gridCol w:w="1559"/>
        <w:gridCol w:w="1134"/>
      </w:tblGrid>
      <w:tr w:rsidR="000B4241" w:rsidRPr="0089773D" w:rsidTr="004808E3">
        <w:tc>
          <w:tcPr>
            <w:tcW w:w="3206" w:type="dxa"/>
            <w:tcBorders>
              <w:top w:val="single" w:sz="4" w:space="0" w:color="auto"/>
              <w:left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3467"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559"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134" w:type="dxa"/>
            <w:tcBorders>
              <w:top w:val="single" w:sz="4" w:space="0" w:color="auto"/>
              <w:left w:val="nil"/>
              <w:bottom w:val="single" w:sz="4" w:space="0" w:color="auto"/>
              <w:right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89773D" w:rsidTr="004808E3">
        <w:tc>
          <w:tcPr>
            <w:tcW w:w="3206" w:type="dxa"/>
            <w:vMerge w:val="restart"/>
            <w:tcBorders>
              <w:top w:val="single" w:sz="4" w:space="0" w:color="auto"/>
              <w:left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Increased usage of WIPO statistical information on the performance of the international IP system</w:t>
            </w:r>
          </w:p>
        </w:tc>
        <w:tc>
          <w:tcPr>
            <w:tcW w:w="3467" w:type="dxa"/>
            <w:tcBorders>
              <w:top w:val="single" w:sz="4" w:space="0" w:color="auto"/>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downloads of two main statistical reports</w:t>
            </w:r>
          </w:p>
        </w:tc>
        <w:tc>
          <w:tcPr>
            <w:tcW w:w="1559" w:type="dxa"/>
            <w:tcBorders>
              <w:top w:val="single" w:sz="4" w:space="0" w:color="auto"/>
              <w:left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16</w:t>
            </w:r>
          </w:p>
        </w:tc>
        <w:tc>
          <w:tcPr>
            <w:tcW w:w="1134" w:type="dxa"/>
            <w:tcBorders>
              <w:top w:val="single" w:sz="4" w:space="0" w:color="auto"/>
              <w:left w:val="nil"/>
              <w:bottom w:val="nil"/>
              <w:right w:val="single" w:sz="4" w:space="0" w:color="auto"/>
            </w:tcBorders>
          </w:tcPr>
          <w:p w:rsidR="000B4241" w:rsidRPr="000B4241" w:rsidRDefault="000B4241" w:rsidP="000B4241">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89773D" w:rsidTr="004808E3">
        <w:tc>
          <w:tcPr>
            <w:tcW w:w="3206" w:type="dxa"/>
            <w:vMerge/>
            <w:tcBorders>
              <w:left w:val="single" w:sz="4" w:space="0" w:color="auto"/>
              <w:bottom w:val="nil"/>
              <w:right w:val="nil"/>
            </w:tcBorders>
            <w:shd w:val="clear" w:color="auto" w:fill="auto"/>
            <w:tcMar>
              <w:top w:w="113" w:type="dxa"/>
            </w:tcMar>
          </w:tcPr>
          <w:p w:rsidR="000B4241" w:rsidRPr="000B4241" w:rsidRDefault="000B4241" w:rsidP="000B4241">
            <w:pPr>
              <w:spacing w:before="80"/>
              <w:rPr>
                <w:rFonts w:cs="Arial"/>
                <w:sz w:val="14"/>
                <w:szCs w:val="14"/>
              </w:rPr>
            </w:pPr>
          </w:p>
        </w:tc>
        <w:tc>
          <w:tcPr>
            <w:tcW w:w="3467" w:type="dxa"/>
            <w:tcBorders>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data downloads</w:t>
            </w:r>
          </w:p>
        </w:tc>
        <w:tc>
          <w:tcPr>
            <w:tcW w:w="1559" w:type="dxa"/>
            <w:tcBorders>
              <w:left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16</w:t>
            </w:r>
          </w:p>
        </w:tc>
        <w:tc>
          <w:tcPr>
            <w:tcW w:w="1134" w:type="dxa"/>
            <w:tcBorders>
              <w:left w:val="nil"/>
              <w:bottom w:val="nil"/>
              <w:right w:val="single" w:sz="4" w:space="0" w:color="auto"/>
            </w:tcBorders>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89773D" w:rsidTr="004808E3">
        <w:tc>
          <w:tcPr>
            <w:tcW w:w="3206" w:type="dxa"/>
            <w:vMerge w:val="restart"/>
            <w:tcBorders>
              <w:top w:val="nil"/>
              <w:left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Take-up of WIPO economic analysis as an input into the formulation of IP policy</w:t>
            </w:r>
          </w:p>
        </w:tc>
        <w:tc>
          <w:tcPr>
            <w:tcW w:w="3467" w:type="dxa"/>
            <w:tcBorders>
              <w:top w:val="nil"/>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citations in economic publications and government policy reports</w:t>
            </w:r>
          </w:p>
        </w:tc>
        <w:tc>
          <w:tcPr>
            <w:tcW w:w="1559" w:type="dxa"/>
            <w:tcBorders>
              <w:top w:val="nil"/>
              <w:left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16</w:t>
            </w:r>
          </w:p>
        </w:tc>
        <w:tc>
          <w:tcPr>
            <w:tcW w:w="1134" w:type="dxa"/>
            <w:tcBorders>
              <w:top w:val="nil"/>
              <w:left w:val="nil"/>
              <w:bottom w:val="nil"/>
              <w:right w:val="single" w:sz="4" w:space="0" w:color="auto"/>
            </w:tcBorders>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89773D" w:rsidTr="004808E3">
        <w:tc>
          <w:tcPr>
            <w:tcW w:w="3206" w:type="dxa"/>
            <w:vMerge/>
            <w:tcBorders>
              <w:left w:val="single" w:sz="4" w:space="0" w:color="auto"/>
              <w:bottom w:val="nil"/>
              <w:right w:val="nil"/>
            </w:tcBorders>
            <w:shd w:val="clear" w:color="auto" w:fill="auto"/>
            <w:tcMar>
              <w:top w:w="113" w:type="dxa"/>
            </w:tcMar>
          </w:tcPr>
          <w:p w:rsidR="000B4241" w:rsidRPr="000B4241" w:rsidRDefault="000B4241" w:rsidP="000B4241">
            <w:pPr>
              <w:spacing w:before="80"/>
              <w:rPr>
                <w:rFonts w:cs="Arial"/>
                <w:sz w:val="14"/>
                <w:szCs w:val="14"/>
              </w:rPr>
            </w:pPr>
          </w:p>
        </w:tc>
        <w:tc>
          <w:tcPr>
            <w:tcW w:w="3467" w:type="dxa"/>
            <w:tcBorders>
              <w:top w:val="nil"/>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developing countries which find WIPO economic studies useful and degree of usefulness</w:t>
            </w:r>
          </w:p>
        </w:tc>
        <w:tc>
          <w:tcPr>
            <w:tcW w:w="1559" w:type="dxa"/>
            <w:tcBorders>
              <w:top w:val="nil"/>
              <w:left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16</w:t>
            </w:r>
          </w:p>
        </w:tc>
        <w:tc>
          <w:tcPr>
            <w:tcW w:w="1134" w:type="dxa"/>
            <w:tcBorders>
              <w:top w:val="nil"/>
              <w:left w:val="nil"/>
              <w:bottom w:val="nil"/>
              <w:right w:val="single" w:sz="4" w:space="0" w:color="auto"/>
            </w:tcBorders>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89773D" w:rsidTr="004808E3">
        <w:tc>
          <w:tcPr>
            <w:tcW w:w="3206" w:type="dxa"/>
            <w:tcBorders>
              <w:top w:val="nil"/>
              <w:left w:val="single" w:sz="4" w:space="0" w:color="auto"/>
              <w:bottom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Enhanced access to, and use of, IP related legal information</w:t>
            </w:r>
          </w:p>
        </w:tc>
        <w:tc>
          <w:tcPr>
            <w:tcW w:w="3467" w:type="dxa"/>
            <w:tcBorders>
              <w:top w:val="nil"/>
              <w:left w:val="nil"/>
              <w:bottom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Enhanced coverage in WIPO Lex database of IP related legal information</w:t>
            </w:r>
            <w:r w:rsidR="006B173C">
              <w:rPr>
                <w:rFonts w:cs="Arial"/>
                <w:sz w:val="14"/>
                <w:szCs w:val="14"/>
              </w:rPr>
              <w:br/>
            </w:r>
          </w:p>
        </w:tc>
        <w:tc>
          <w:tcPr>
            <w:tcW w:w="1559" w:type="dxa"/>
            <w:tcBorders>
              <w:top w:val="nil"/>
              <w:left w:val="nil"/>
              <w:bottom w:val="single" w:sz="4" w:space="0" w:color="auto"/>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34" w:type="dxa"/>
            <w:tcBorders>
              <w:top w:val="nil"/>
              <w:left w:val="nil"/>
              <w:bottom w:val="single" w:sz="4" w:space="0" w:color="auto"/>
              <w:right w:val="single" w:sz="4" w:space="0" w:color="auto"/>
            </w:tcBorders>
          </w:tcPr>
          <w:p w:rsidR="000B4241" w:rsidRPr="000B4241" w:rsidRDefault="000B4241" w:rsidP="000B4241">
            <w:pPr>
              <w:jc w:val="center"/>
              <w:rPr>
                <w:rFonts w:cs="Arial"/>
                <w:sz w:val="22"/>
                <w:szCs w:val="22"/>
              </w:rPr>
            </w:pPr>
            <w:r w:rsidRPr="000B4241">
              <w:rPr>
                <w:rFonts w:cs="Arial"/>
                <w:color w:val="008000"/>
                <w:sz w:val="22"/>
                <w:szCs w:val="22"/>
              </w:rPr>
              <w:sym w:font="Wingdings" w:char="F06C"/>
            </w:r>
          </w:p>
        </w:tc>
      </w:tr>
    </w:tbl>
    <w:p w:rsidR="005E3A6D" w:rsidRPr="00812B04" w:rsidRDefault="005E3A6D" w:rsidP="00B06EC8">
      <w:pPr>
        <w:jc w:val="both"/>
        <w:rPr>
          <w:i/>
          <w:iCs/>
        </w:rPr>
      </w:pPr>
    </w:p>
    <w:p w:rsidR="00B06EC8" w:rsidRPr="00812B04" w:rsidRDefault="00B06EC8" w:rsidP="00B06EC8">
      <w:pPr>
        <w:jc w:val="both"/>
        <w:rPr>
          <w:i/>
          <w:iCs/>
        </w:rPr>
      </w:pPr>
    </w:p>
    <w:p w:rsidR="00B06EC8" w:rsidRPr="00812B04" w:rsidRDefault="00B06EC8" w:rsidP="00B06EC8">
      <w:pPr>
        <w:jc w:val="both"/>
        <w:rPr>
          <w:bCs/>
        </w:rPr>
      </w:pPr>
      <w:r w:rsidRPr="00812B04">
        <w:rPr>
          <w:bCs/>
        </w:rPr>
        <w:t>During the biennium, key achievements under this goal included an expanded World IP Indicators report that, for the first time, provided information on patent prosecution highways and plant variety filings; the publication of the second World IP Report on the role of brands in the global economy</w:t>
      </w:r>
      <w:proofErr w:type="gramStart"/>
      <w:r w:rsidRPr="00812B04">
        <w:rPr>
          <w:bCs/>
        </w:rPr>
        <w:t xml:space="preserve">; </w:t>
      </w:r>
      <w:r w:rsidR="00003187">
        <w:rPr>
          <w:bCs/>
        </w:rPr>
        <w:t xml:space="preserve"> </w:t>
      </w:r>
      <w:r w:rsidRPr="00812B04">
        <w:rPr>
          <w:bCs/>
        </w:rPr>
        <w:t>and</w:t>
      </w:r>
      <w:proofErr w:type="gramEnd"/>
      <w:r w:rsidRPr="00812B04">
        <w:rPr>
          <w:bCs/>
        </w:rPr>
        <w:t xml:space="preserve"> the establishment of a new IP Statistics Data Center that allows for more tailor-made access to WIPO’s IP statistics.  These flagship products generated a large number of news reports and interest from policymakers and academia.  In addition, new statistical r</w:t>
      </w:r>
      <w:r w:rsidR="00601859">
        <w:rPr>
          <w:bCs/>
        </w:rPr>
        <w:t>eports on the Madrid and Hague S</w:t>
      </w:r>
      <w:r w:rsidRPr="00812B04">
        <w:rPr>
          <w:bCs/>
        </w:rPr>
        <w:t>ystems were developed, complementing WIPO’s long-standing statistical reporting tools – in particular, the Statistical Country Profiles, the World Intellectual Property Indicators, the IP Facts &amp; Figures and the PCT reports.  Moreover, WIPO assumed the role of co-publisher of the Global Innovation Index (GII), along with INSEAD and Cornell University.  The yearly launches of the GII, in 2013 in the presence of the UN</w:t>
      </w:r>
      <w:r w:rsidR="006B173C">
        <w:rPr>
          <w:bCs/>
        </w:rPr>
        <w:t> </w:t>
      </w:r>
      <w:r w:rsidRPr="00812B04">
        <w:rPr>
          <w:bCs/>
        </w:rPr>
        <w:t xml:space="preserve">Secretary General, attracted significant media attention. </w:t>
      </w:r>
    </w:p>
    <w:p w:rsidR="00B06EC8" w:rsidRPr="00812B04" w:rsidRDefault="00B06EC8" w:rsidP="00B06EC8">
      <w:pPr>
        <w:autoSpaceDE w:val="0"/>
        <w:autoSpaceDN w:val="0"/>
        <w:adjustRightInd w:val="0"/>
        <w:jc w:val="both"/>
        <w:rPr>
          <w:bCs/>
        </w:rPr>
      </w:pPr>
    </w:p>
    <w:p w:rsidR="00B06EC8" w:rsidRPr="00812B04" w:rsidRDefault="00B06EC8" w:rsidP="00B06EC8">
      <w:pPr>
        <w:jc w:val="both"/>
        <w:rPr>
          <w:bCs/>
        </w:rPr>
      </w:pPr>
      <w:r w:rsidRPr="00812B04">
        <w:rPr>
          <w:bCs/>
        </w:rPr>
        <w:t xml:space="preserve">The multi-year CDIP project on IP and Socioeconomic Development made considerable progress during the biennium with national country study projects having been completed in all six countries: </w:t>
      </w:r>
      <w:r w:rsidR="00003187">
        <w:rPr>
          <w:bCs/>
        </w:rPr>
        <w:t xml:space="preserve"> </w:t>
      </w:r>
      <w:r w:rsidRPr="00812B04">
        <w:rPr>
          <w:bCs/>
        </w:rPr>
        <w:t xml:space="preserve">Brazil, Chile, China, Egypt, Thailand and Uruguay, with four studies having been presented during the biennium and two studies yet to be presented at the </w:t>
      </w:r>
      <w:r w:rsidR="00595665">
        <w:rPr>
          <w:bCs/>
        </w:rPr>
        <w:t>t</w:t>
      </w:r>
      <w:r w:rsidRPr="00812B04">
        <w:rPr>
          <w:bCs/>
        </w:rPr>
        <w:t xml:space="preserve">hirteenth Session of the CDIP.  The evidence generated from this project as well as the two CDIP projects on IP and the informal economy and IP and brain drain helped strengthen WIPO’s role in fostering and facilitating empirical and scientifically rigorous economic research on IP for development.  </w:t>
      </w:r>
    </w:p>
    <w:p w:rsidR="00B06EC8" w:rsidRPr="00812B04" w:rsidRDefault="00B06EC8" w:rsidP="00B06EC8">
      <w:pPr>
        <w:jc w:val="both"/>
        <w:rPr>
          <w:i/>
          <w:iCs/>
        </w:rPr>
      </w:pPr>
    </w:p>
    <w:p w:rsidR="000B4241" w:rsidRDefault="000B4241" w:rsidP="00B06EC8">
      <w:pPr>
        <w:jc w:val="both"/>
        <w:rPr>
          <w:b/>
          <w:iCs/>
        </w:rPr>
      </w:pPr>
    </w:p>
    <w:p w:rsidR="00B06EC8" w:rsidRPr="008869AE" w:rsidRDefault="00B06EC8" w:rsidP="00E94AD4">
      <w:pPr>
        <w:jc w:val="center"/>
        <w:rPr>
          <w:b/>
          <w:iCs/>
        </w:rPr>
      </w:pPr>
      <w:r w:rsidRPr="008869AE">
        <w:rPr>
          <w:b/>
          <w:iCs/>
        </w:rPr>
        <w:t xml:space="preserve">Strategic Goal VI: </w:t>
      </w:r>
      <w:r w:rsidR="00595665" w:rsidRPr="008869AE">
        <w:rPr>
          <w:b/>
          <w:iCs/>
        </w:rPr>
        <w:t xml:space="preserve"> </w:t>
      </w:r>
      <w:r w:rsidRPr="008869AE">
        <w:rPr>
          <w:b/>
          <w:iCs/>
        </w:rPr>
        <w:t>International Cooperation on Building Respect for IP</w:t>
      </w:r>
    </w:p>
    <w:p w:rsidR="005E3A6D" w:rsidRDefault="005E3A6D" w:rsidP="00B06EC8">
      <w:pPr>
        <w:jc w:val="both"/>
        <w:rPr>
          <w:i/>
          <w:iCs/>
        </w:rPr>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8869AE" w:rsidRDefault="000B4241" w:rsidP="008869AE">
      <w:pPr>
        <w:jc w:val="center"/>
        <w:rPr>
          <w:b/>
          <w:sz w:val="18"/>
          <w:szCs w:val="18"/>
        </w:rPr>
      </w:pPr>
      <w:r>
        <w:rPr>
          <w:noProof/>
        </w:rPr>
        <w:drawing>
          <wp:inline distT="0" distB="0" distL="0" distR="0" wp14:anchorId="451A23A0" wp14:editId="16D5977B">
            <wp:extent cx="5940425" cy="1600615"/>
            <wp:effectExtent l="0" t="0" r="3175"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23"/>
                    <a:stretch>
                      <a:fillRect/>
                    </a:stretch>
                  </pic:blipFill>
                  <pic:spPr>
                    <a:xfrm>
                      <a:off x="0" y="0"/>
                      <a:ext cx="5940425" cy="1600615"/>
                    </a:xfrm>
                    <a:prstGeom prst="rect">
                      <a:avLst/>
                    </a:prstGeom>
                  </pic:spPr>
                </pic:pic>
              </a:graphicData>
            </a:graphic>
          </wp:inline>
        </w:drawing>
      </w:r>
    </w:p>
    <w:p w:rsidR="000B4241" w:rsidRDefault="000B4241" w:rsidP="008869AE">
      <w:pPr>
        <w:jc w:val="center"/>
        <w:rPr>
          <w:b/>
          <w:sz w:val="18"/>
          <w:szCs w:val="18"/>
        </w:rPr>
      </w:pPr>
    </w:p>
    <w:p w:rsidR="00A34E56" w:rsidRDefault="00A34E56">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A34E56" w:rsidRDefault="00A34E56" w:rsidP="004808E3">
      <w:pPr>
        <w:rPr>
          <w:b/>
          <w:sz w:val="18"/>
          <w:szCs w:val="18"/>
        </w:rPr>
      </w:pPr>
    </w:p>
    <w:p w:rsidR="00A34E56" w:rsidRPr="008465CB" w:rsidRDefault="00A34E56" w:rsidP="00A34E56">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A34E56" w:rsidRPr="005E3A6D" w:rsidRDefault="00A34E56" w:rsidP="008869AE">
      <w:pPr>
        <w:jc w:val="center"/>
        <w:rPr>
          <w:b/>
          <w:sz w:val="18"/>
          <w:szCs w:val="18"/>
        </w:rPr>
      </w:pPr>
    </w:p>
    <w:tbl>
      <w:tblPr>
        <w:tblW w:w="0" w:type="auto"/>
        <w:tblInd w:w="98" w:type="dxa"/>
        <w:tblLook w:val="0000" w:firstRow="0" w:lastRow="0" w:firstColumn="0" w:lastColumn="0" w:noHBand="0" w:noVBand="0"/>
      </w:tblPr>
      <w:tblGrid>
        <w:gridCol w:w="3323"/>
        <w:gridCol w:w="3270"/>
        <w:gridCol w:w="1388"/>
        <w:gridCol w:w="1385"/>
      </w:tblGrid>
      <w:tr w:rsidR="000B4241" w:rsidRPr="007E46D4" w:rsidTr="000B4241">
        <w:tc>
          <w:tcPr>
            <w:tcW w:w="3323" w:type="dxa"/>
            <w:tcBorders>
              <w:top w:val="single" w:sz="4" w:space="0" w:color="auto"/>
              <w:left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3270"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388"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385" w:type="dxa"/>
            <w:tcBorders>
              <w:top w:val="single" w:sz="4" w:space="0" w:color="auto"/>
              <w:left w:val="nil"/>
              <w:bottom w:val="single" w:sz="4" w:space="0" w:color="auto"/>
              <w:right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7E46D4" w:rsidTr="000B4241">
        <w:tc>
          <w:tcPr>
            <w:tcW w:w="3323" w:type="dxa"/>
            <w:tcBorders>
              <w:top w:val="nil"/>
              <w:left w:val="single" w:sz="4" w:space="0" w:color="auto"/>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Progress in the international policy dialogue among WIPO Member States on building respect for IP, guided by Recommendation 45 of the WIPO Development Agenda</w:t>
            </w:r>
          </w:p>
        </w:tc>
        <w:tc>
          <w:tcPr>
            <w:tcW w:w="3270" w:type="dxa"/>
            <w:tcBorders>
              <w:top w:val="nil"/>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Continued agreement by Member States on the substantive work of the WIPO Advisory Committee on Enforcement (ACE) in the biennium, incorporating development-oriented elements</w:t>
            </w:r>
          </w:p>
        </w:tc>
        <w:tc>
          <w:tcPr>
            <w:tcW w:w="1388" w:type="dxa"/>
            <w:tcBorders>
              <w:top w:val="nil"/>
              <w:left w:val="nil"/>
              <w:bottom w:val="nil"/>
            </w:tcBorders>
            <w:shd w:val="clear" w:color="auto" w:fill="auto"/>
            <w:tcMar>
              <w:top w:w="113" w:type="dxa"/>
            </w:tcMar>
          </w:tcPr>
          <w:p w:rsidR="000B4241" w:rsidRPr="000B4241" w:rsidRDefault="000B4241" w:rsidP="000B4241">
            <w:pPr>
              <w:spacing w:before="80"/>
              <w:ind w:left="179"/>
              <w:rPr>
                <w:rFonts w:cs="Arial"/>
                <w:sz w:val="14"/>
                <w:szCs w:val="14"/>
              </w:rPr>
            </w:pPr>
            <w:r w:rsidRPr="000B4241">
              <w:rPr>
                <w:rFonts w:cs="Arial"/>
                <w:sz w:val="14"/>
                <w:szCs w:val="14"/>
              </w:rPr>
              <w:t>Program 17</w:t>
            </w:r>
          </w:p>
        </w:tc>
        <w:tc>
          <w:tcPr>
            <w:tcW w:w="1385" w:type="dxa"/>
            <w:tcBorders>
              <w:top w:val="nil"/>
              <w:left w:val="nil"/>
              <w:bottom w:val="nil"/>
              <w:right w:val="single" w:sz="4" w:space="0" w:color="auto"/>
            </w:tcBorders>
          </w:tcPr>
          <w:p w:rsidR="000B4241" w:rsidRPr="000B4241" w:rsidRDefault="000B4241" w:rsidP="000B4241">
            <w:pPr>
              <w:ind w:left="179"/>
              <w:jc w:val="center"/>
              <w:rPr>
                <w:rFonts w:cs="Arial"/>
                <w:color w:val="008000"/>
                <w:sz w:val="22"/>
                <w:szCs w:val="22"/>
              </w:rPr>
            </w:pPr>
            <w:r w:rsidRPr="000B4241">
              <w:rPr>
                <w:rFonts w:cs="Arial"/>
                <w:color w:val="008000"/>
                <w:sz w:val="22"/>
                <w:szCs w:val="22"/>
              </w:rPr>
              <w:sym w:font="Wingdings" w:char="F06C"/>
            </w:r>
          </w:p>
        </w:tc>
      </w:tr>
      <w:tr w:rsidR="000B4241" w:rsidRPr="007E46D4" w:rsidTr="000B4241">
        <w:tc>
          <w:tcPr>
            <w:tcW w:w="3323" w:type="dxa"/>
            <w:vMerge w:val="restart"/>
            <w:tcBorders>
              <w:top w:val="nil"/>
              <w:left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Systematic and effective cooperation and coordination between the work of WIPO and other international organizations in the field of building respect for IP </w:t>
            </w:r>
          </w:p>
          <w:p w:rsidR="000B4241" w:rsidRPr="000B4241" w:rsidRDefault="000B4241" w:rsidP="000B4241">
            <w:pPr>
              <w:spacing w:before="80"/>
              <w:rPr>
                <w:rFonts w:cs="Arial"/>
                <w:sz w:val="14"/>
                <w:szCs w:val="14"/>
              </w:rPr>
            </w:pPr>
          </w:p>
        </w:tc>
        <w:tc>
          <w:tcPr>
            <w:tcW w:w="3270" w:type="dxa"/>
            <w:tcBorders>
              <w:top w:val="nil"/>
              <w:left w:val="nil"/>
              <w:bottom w:val="nil"/>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formal cooperation mechanisms in place</w:t>
            </w:r>
          </w:p>
        </w:tc>
        <w:tc>
          <w:tcPr>
            <w:tcW w:w="1388" w:type="dxa"/>
            <w:tcBorders>
              <w:top w:val="nil"/>
              <w:left w:val="nil"/>
              <w:bottom w:val="nil"/>
            </w:tcBorders>
            <w:shd w:val="clear" w:color="auto" w:fill="auto"/>
            <w:tcMar>
              <w:top w:w="113" w:type="dxa"/>
            </w:tcMar>
          </w:tcPr>
          <w:p w:rsidR="000B4241" w:rsidRPr="000B4241" w:rsidRDefault="000B4241" w:rsidP="000B4241">
            <w:pPr>
              <w:spacing w:before="80"/>
              <w:ind w:left="179"/>
              <w:rPr>
                <w:rFonts w:cs="Arial"/>
                <w:sz w:val="14"/>
                <w:szCs w:val="14"/>
              </w:rPr>
            </w:pPr>
            <w:r w:rsidRPr="000B4241">
              <w:rPr>
                <w:rFonts w:cs="Arial"/>
                <w:sz w:val="14"/>
                <w:szCs w:val="14"/>
              </w:rPr>
              <w:t>Program 17</w:t>
            </w:r>
          </w:p>
        </w:tc>
        <w:tc>
          <w:tcPr>
            <w:tcW w:w="1385" w:type="dxa"/>
            <w:tcBorders>
              <w:top w:val="nil"/>
              <w:left w:val="nil"/>
              <w:bottom w:val="nil"/>
              <w:right w:val="single" w:sz="4" w:space="0" w:color="auto"/>
            </w:tcBorders>
          </w:tcPr>
          <w:p w:rsidR="000B4241" w:rsidRPr="000B4241" w:rsidRDefault="000B4241" w:rsidP="000B4241">
            <w:pPr>
              <w:ind w:left="179"/>
              <w:jc w:val="center"/>
              <w:rPr>
                <w:rFonts w:cs="Arial"/>
                <w:color w:val="008000"/>
                <w:sz w:val="22"/>
                <w:szCs w:val="22"/>
              </w:rPr>
            </w:pPr>
            <w:r w:rsidRPr="000B4241">
              <w:rPr>
                <w:rFonts w:cs="Arial"/>
                <w:color w:val="008000"/>
                <w:sz w:val="22"/>
                <w:szCs w:val="22"/>
              </w:rPr>
              <w:sym w:font="Wingdings" w:char="F06C"/>
            </w:r>
          </w:p>
        </w:tc>
      </w:tr>
      <w:tr w:rsidR="000B4241" w:rsidRPr="007E46D4" w:rsidTr="000B4241">
        <w:tc>
          <w:tcPr>
            <w:tcW w:w="3323" w:type="dxa"/>
            <w:vMerge/>
            <w:tcBorders>
              <w:left w:val="single" w:sz="4" w:space="0" w:color="auto"/>
              <w:bottom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p>
        </w:tc>
        <w:tc>
          <w:tcPr>
            <w:tcW w:w="3270" w:type="dxa"/>
            <w:tcBorders>
              <w:top w:val="nil"/>
              <w:left w:val="nil"/>
              <w:bottom w:val="single" w:sz="4" w:space="0" w:color="auto"/>
              <w:right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joint activities</w:t>
            </w:r>
          </w:p>
        </w:tc>
        <w:tc>
          <w:tcPr>
            <w:tcW w:w="1388" w:type="dxa"/>
            <w:tcBorders>
              <w:top w:val="nil"/>
              <w:left w:val="nil"/>
              <w:bottom w:val="single" w:sz="4" w:space="0" w:color="auto"/>
            </w:tcBorders>
            <w:shd w:val="clear" w:color="auto" w:fill="auto"/>
            <w:tcMar>
              <w:top w:w="113" w:type="dxa"/>
            </w:tcMar>
          </w:tcPr>
          <w:p w:rsidR="000B4241" w:rsidRPr="000B4241" w:rsidRDefault="000B4241" w:rsidP="000B4241">
            <w:pPr>
              <w:spacing w:before="80"/>
              <w:ind w:left="179"/>
              <w:rPr>
                <w:rFonts w:cs="Arial"/>
                <w:sz w:val="14"/>
                <w:szCs w:val="14"/>
              </w:rPr>
            </w:pPr>
            <w:r w:rsidRPr="000B4241">
              <w:rPr>
                <w:rFonts w:cs="Arial"/>
                <w:sz w:val="14"/>
                <w:szCs w:val="14"/>
              </w:rPr>
              <w:t>Program 17</w:t>
            </w:r>
          </w:p>
        </w:tc>
        <w:tc>
          <w:tcPr>
            <w:tcW w:w="1385" w:type="dxa"/>
            <w:tcBorders>
              <w:top w:val="nil"/>
              <w:left w:val="nil"/>
              <w:bottom w:val="single" w:sz="4" w:space="0" w:color="auto"/>
              <w:right w:val="single" w:sz="4" w:space="0" w:color="auto"/>
            </w:tcBorders>
          </w:tcPr>
          <w:p w:rsidR="000B4241" w:rsidRPr="000B4241" w:rsidRDefault="000B4241" w:rsidP="000B4241">
            <w:pPr>
              <w:ind w:left="179"/>
              <w:jc w:val="center"/>
              <w:rPr>
                <w:rFonts w:cs="Arial"/>
                <w:color w:val="008000"/>
                <w:sz w:val="22"/>
                <w:szCs w:val="22"/>
              </w:rPr>
            </w:pPr>
            <w:r w:rsidRPr="000B4241">
              <w:rPr>
                <w:rFonts w:cs="Arial"/>
                <w:color w:val="008000"/>
                <w:sz w:val="22"/>
                <w:szCs w:val="22"/>
              </w:rPr>
              <w:sym w:font="Wingdings" w:char="F06C"/>
            </w:r>
          </w:p>
        </w:tc>
      </w:tr>
    </w:tbl>
    <w:p w:rsidR="005E3A6D" w:rsidRPr="00812B04" w:rsidRDefault="005E3A6D" w:rsidP="00B06EC8">
      <w:pPr>
        <w:jc w:val="both"/>
        <w:rPr>
          <w:i/>
          <w:iCs/>
        </w:rPr>
      </w:pPr>
    </w:p>
    <w:p w:rsidR="00B06EC8" w:rsidRPr="00812B04" w:rsidRDefault="00B06EC8" w:rsidP="00B06EC8">
      <w:pPr>
        <w:jc w:val="both"/>
        <w:rPr>
          <w:i/>
          <w:iCs/>
        </w:rPr>
      </w:pPr>
    </w:p>
    <w:p w:rsidR="00B06EC8" w:rsidRPr="00812B04" w:rsidRDefault="00B06EC8" w:rsidP="00B06EC8">
      <w:pPr>
        <w:jc w:val="both"/>
        <w:rPr>
          <w:iCs/>
        </w:rPr>
      </w:pPr>
      <w:r w:rsidRPr="00812B04">
        <w:rPr>
          <w:iCs/>
        </w:rPr>
        <w:t>Through a consultative process, steady progress continued to be made towards creating an enabling environment that promotes respect for IP in a sustainable manner.  At its eighth session, the ACE worked towards identifying the motivations, including socio-economic v</w:t>
      </w:r>
      <w:r w:rsidR="0046711D">
        <w:rPr>
          <w:iCs/>
        </w:rPr>
        <w:t>ariables, for IP infringements</w:t>
      </w:r>
      <w:proofErr w:type="gramStart"/>
      <w:r w:rsidR="0046711D">
        <w:rPr>
          <w:iCs/>
        </w:rPr>
        <w:t>;</w:t>
      </w:r>
      <w:r w:rsidR="00003187">
        <w:rPr>
          <w:iCs/>
        </w:rPr>
        <w:t xml:space="preserve"> </w:t>
      </w:r>
      <w:r w:rsidR="006B173C">
        <w:rPr>
          <w:iCs/>
        </w:rPr>
        <w:t xml:space="preserve"> </w:t>
      </w:r>
      <w:r w:rsidRPr="00812B04">
        <w:rPr>
          <w:iCs/>
        </w:rPr>
        <w:t>developing</w:t>
      </w:r>
      <w:proofErr w:type="gramEnd"/>
      <w:r w:rsidRPr="00812B04">
        <w:rPr>
          <w:iCs/>
        </w:rPr>
        <w:t xml:space="preserve"> analytical methodologies that measure the impact of counterfeiting and piracy; </w:t>
      </w:r>
      <w:r w:rsidR="00003187">
        <w:rPr>
          <w:iCs/>
        </w:rPr>
        <w:t xml:space="preserve"> </w:t>
      </w:r>
      <w:r w:rsidRPr="00812B04">
        <w:rPr>
          <w:iCs/>
        </w:rPr>
        <w:t>and analyzing alternate models to address counterfeiting and piracy.  Member States agreed that the work program for the ninth session of the ACE would be dedicated to (i) alternative dispute resolution practices in the field of IP and (ii) preventive actions, measures or successful experiences to complement enforcement measures.</w:t>
      </w:r>
    </w:p>
    <w:p w:rsidR="000B4241" w:rsidRDefault="000B4241" w:rsidP="00B06EC8">
      <w:pPr>
        <w:jc w:val="both"/>
        <w:rPr>
          <w:b/>
          <w:iCs/>
        </w:rPr>
      </w:pPr>
    </w:p>
    <w:p w:rsidR="000B4241" w:rsidRDefault="000B4241" w:rsidP="00B06EC8">
      <w:pPr>
        <w:jc w:val="both"/>
        <w:rPr>
          <w:b/>
          <w:iCs/>
        </w:rPr>
      </w:pPr>
    </w:p>
    <w:p w:rsidR="000B4241" w:rsidRDefault="000B4241" w:rsidP="00B06EC8">
      <w:pPr>
        <w:jc w:val="both"/>
        <w:rPr>
          <w:b/>
          <w:iCs/>
        </w:rPr>
      </w:pPr>
    </w:p>
    <w:p w:rsidR="00B06EC8" w:rsidRPr="008869AE" w:rsidRDefault="00B06EC8" w:rsidP="00E94AD4">
      <w:pPr>
        <w:jc w:val="center"/>
        <w:rPr>
          <w:b/>
          <w:iCs/>
        </w:rPr>
      </w:pPr>
      <w:r w:rsidRPr="008869AE">
        <w:rPr>
          <w:b/>
          <w:iCs/>
        </w:rPr>
        <w:t xml:space="preserve">Strategic Goal VII: </w:t>
      </w:r>
      <w:r w:rsidR="00595665" w:rsidRPr="008869AE">
        <w:rPr>
          <w:b/>
          <w:iCs/>
        </w:rPr>
        <w:t xml:space="preserve"> </w:t>
      </w:r>
      <w:r w:rsidRPr="008869AE">
        <w:rPr>
          <w:b/>
          <w:iCs/>
        </w:rPr>
        <w:t>Addressing IP in Relation to Global IP Policy Issues</w:t>
      </w:r>
    </w:p>
    <w:p w:rsidR="005E3A6D" w:rsidRDefault="005E3A6D" w:rsidP="00B06EC8">
      <w:pPr>
        <w:jc w:val="both"/>
        <w:rPr>
          <w:i/>
          <w:iCs/>
        </w:rPr>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8869AE" w:rsidRDefault="000B4241" w:rsidP="008869AE">
      <w:pPr>
        <w:jc w:val="center"/>
        <w:rPr>
          <w:b/>
          <w:sz w:val="18"/>
          <w:szCs w:val="18"/>
        </w:rPr>
      </w:pPr>
      <w:r>
        <w:rPr>
          <w:noProof/>
        </w:rPr>
        <w:drawing>
          <wp:inline distT="0" distB="0" distL="0" distR="0" wp14:anchorId="1B2101CF" wp14:editId="5C4F178C">
            <wp:extent cx="5940425" cy="2366650"/>
            <wp:effectExtent l="0" t="0" r="3175"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pic:cNvPicPr>
                      <a:picLocks noChangeAspect="1"/>
                    </pic:cNvPicPr>
                  </pic:nvPicPr>
                  <pic:blipFill>
                    <a:blip r:embed="rId24"/>
                    <a:stretch>
                      <a:fillRect/>
                    </a:stretch>
                  </pic:blipFill>
                  <pic:spPr>
                    <a:xfrm>
                      <a:off x="0" y="0"/>
                      <a:ext cx="5940425" cy="2366650"/>
                    </a:xfrm>
                    <a:prstGeom prst="rect">
                      <a:avLst/>
                    </a:prstGeom>
                  </pic:spPr>
                </pic:pic>
              </a:graphicData>
            </a:graphic>
          </wp:inline>
        </w:drawing>
      </w:r>
    </w:p>
    <w:p w:rsidR="000B4241" w:rsidRDefault="000B4241" w:rsidP="008869AE">
      <w:pPr>
        <w:jc w:val="center"/>
        <w:rPr>
          <w:b/>
          <w:sz w:val="18"/>
          <w:szCs w:val="18"/>
        </w:rPr>
      </w:pPr>
    </w:p>
    <w:p w:rsidR="00A34E56" w:rsidRDefault="00A34E56">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A34E56" w:rsidRDefault="00A34E56" w:rsidP="00B06EC8">
      <w:pPr>
        <w:jc w:val="both"/>
        <w:rPr>
          <w:i/>
          <w:iCs/>
        </w:rPr>
      </w:pPr>
    </w:p>
    <w:p w:rsidR="00A34E56" w:rsidRPr="008465CB" w:rsidRDefault="00A34E56" w:rsidP="00A34E56">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A34E56" w:rsidRPr="00812B04" w:rsidRDefault="00A34E56" w:rsidP="00B06EC8">
      <w:pPr>
        <w:jc w:val="both"/>
        <w:rPr>
          <w:i/>
          <w:iCs/>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0B4241" w:rsidRPr="00EB7BCC" w:rsidTr="000B4241">
        <w:tc>
          <w:tcPr>
            <w:tcW w:w="3242"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3409"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366"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349"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EB7BCC" w:rsidTr="000B4241">
        <w:tc>
          <w:tcPr>
            <w:tcW w:w="3242" w:type="dxa"/>
            <w:vMerge w:val="restart"/>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Enhanced understanding among policy makers on the interface between global challenges and innovation and intellectual property as a basis for improved policy decision making</w:t>
            </w:r>
          </w:p>
        </w:tc>
        <w:tc>
          <w:tcPr>
            <w:tcW w:w="3409" w:type="dxa"/>
            <w:tcBorders>
              <w:top w:val="single" w:sz="4" w:space="0" w:color="auto"/>
              <w:bottom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References to WIPO's work in the area of global challenges in other policy processes</w:t>
            </w:r>
          </w:p>
        </w:tc>
        <w:tc>
          <w:tcPr>
            <w:tcW w:w="1366" w:type="dxa"/>
            <w:tcBorders>
              <w:top w:val="single" w:sz="4" w:space="0" w:color="auto"/>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18 </w:t>
            </w:r>
          </w:p>
        </w:tc>
        <w:tc>
          <w:tcPr>
            <w:tcW w:w="1349" w:type="dxa"/>
            <w:tcBorders>
              <w:top w:val="single" w:sz="4" w:space="0" w:color="auto"/>
              <w:bottom w:val="nil"/>
            </w:tcBorders>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409" w:type="dxa"/>
            <w:tcBorders>
              <w:top w:val="nil"/>
              <w:bottom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Increased use of material from the Global Challenges website</w:t>
            </w:r>
          </w:p>
        </w:tc>
        <w:tc>
          <w:tcPr>
            <w:tcW w:w="1366" w:type="dxa"/>
            <w:tcBorders>
              <w:top w:val="nil"/>
              <w:bottom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18</w:t>
            </w:r>
          </w:p>
        </w:tc>
        <w:tc>
          <w:tcPr>
            <w:tcW w:w="1349" w:type="dxa"/>
            <w:tcBorders>
              <w:top w:val="nil"/>
              <w:bottom w:val="nil"/>
            </w:tcBorders>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409" w:type="dxa"/>
            <w:tcBorders>
              <w:top w:val="nil"/>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Feedback from participants in policy fora</w:t>
            </w:r>
          </w:p>
        </w:tc>
        <w:tc>
          <w:tcPr>
            <w:tcW w:w="1366" w:type="dxa"/>
            <w:tcBorders>
              <w:top w:val="nil"/>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18 </w:t>
            </w:r>
          </w:p>
        </w:tc>
        <w:tc>
          <w:tcPr>
            <w:tcW w:w="1349" w:type="dxa"/>
            <w:tcBorders>
              <w:top w:val="nil"/>
            </w:tcBorders>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WIPO established as a credible source of  support, assistance, and reference for information on innovation and IP in relevant public policy processes </w:t>
            </w:r>
          </w:p>
        </w:tc>
        <w:tc>
          <w:tcPr>
            <w:tcW w:w="340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and diversity of specific requests from Member States and international organizations for WIPO contributions on IP in relation to global public policy issues</w:t>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18 </w:t>
            </w:r>
          </w:p>
        </w:tc>
        <w:tc>
          <w:tcPr>
            <w:tcW w:w="1349" w:type="dxa"/>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IP-based tools are used for knowledge transfer from developed to developing countries, particularly least developed countries, to address global challenges</w:t>
            </w:r>
          </w:p>
        </w:tc>
        <w:tc>
          <w:tcPr>
            <w:tcW w:w="340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participants in IP-based platforms</w:t>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18 </w:t>
            </w:r>
          </w:p>
        </w:tc>
        <w:tc>
          <w:tcPr>
            <w:tcW w:w="1349" w:type="dxa"/>
          </w:tcPr>
          <w:p w:rsidR="000B4241" w:rsidRPr="000B4241" w:rsidRDefault="000B4241" w:rsidP="000B4241">
            <w:pPr>
              <w:jc w:val="center"/>
              <w:rPr>
                <w:rFonts w:cs="Arial"/>
                <w:color w:val="00B050"/>
                <w:sz w:val="22"/>
                <w:szCs w:val="22"/>
              </w:rPr>
            </w:pPr>
            <w:r w:rsidRPr="000B4241">
              <w:rPr>
                <w:rFonts w:cs="Arial"/>
                <w:color w:val="008000"/>
                <w:sz w:val="22"/>
                <w:szCs w:val="22"/>
              </w:rPr>
              <w:sym w:font="Wingdings" w:char="F06C"/>
            </w:r>
          </w:p>
        </w:tc>
      </w:tr>
      <w:tr w:rsidR="000B4241" w:rsidRPr="00EB7BCC" w:rsidTr="000B4241">
        <w:tc>
          <w:tcPr>
            <w:tcW w:w="3242" w:type="dxa"/>
            <w:vMerge/>
            <w:shd w:val="clear" w:color="auto" w:fill="auto"/>
            <w:tcMar>
              <w:top w:w="113" w:type="dxa"/>
            </w:tcMar>
          </w:tcPr>
          <w:p w:rsidR="000B4241" w:rsidRPr="000B4241" w:rsidRDefault="000B4241" w:rsidP="000B4241">
            <w:pPr>
              <w:spacing w:before="80"/>
              <w:rPr>
                <w:rFonts w:cs="Arial"/>
                <w:sz w:val="14"/>
                <w:szCs w:val="14"/>
              </w:rPr>
            </w:pPr>
          </w:p>
        </w:tc>
        <w:tc>
          <w:tcPr>
            <w:tcW w:w="340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transactions concluded using the platform(s)</w:t>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18</w:t>
            </w:r>
          </w:p>
        </w:tc>
        <w:tc>
          <w:tcPr>
            <w:tcW w:w="1349" w:type="dxa"/>
          </w:tcPr>
          <w:p w:rsidR="000B4241" w:rsidRPr="000B4241" w:rsidRDefault="000B4241" w:rsidP="000B4241">
            <w:pPr>
              <w:jc w:val="center"/>
              <w:rPr>
                <w:rFonts w:cs="Arial"/>
                <w:sz w:val="22"/>
                <w:szCs w:val="22"/>
              </w:rPr>
            </w:pPr>
            <w:r w:rsidRPr="000B4241">
              <w:rPr>
                <w:rFonts w:cs="Arial"/>
                <w:color w:val="E36C0A" w:themeColor="accent6" w:themeShade="BF"/>
                <w:sz w:val="22"/>
                <w:szCs w:val="22"/>
              </w:rPr>
              <w:sym w:font="Wingdings" w:char="F06C"/>
            </w:r>
          </w:p>
        </w:tc>
      </w:tr>
      <w:tr w:rsidR="000B4241" w:rsidRPr="00EB7BCC" w:rsidTr="000B4241">
        <w:tc>
          <w:tcPr>
            <w:tcW w:w="3242"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WIPO established as the relevant Forum for analyzing and debating issues in the field of IP and competition policy</w:t>
            </w:r>
          </w:p>
        </w:tc>
        <w:tc>
          <w:tcPr>
            <w:tcW w:w="340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No</w:t>
            </w:r>
            <w:r w:rsidRPr="000B4241">
              <w:rPr>
                <w:rFonts w:cs="Arial"/>
                <w:color w:val="000000"/>
                <w:sz w:val="14"/>
                <w:szCs w:val="14"/>
              </w:rPr>
              <w:t>. of countries requesting WIPO’s specific contributions on IP in relation to competition law-related issues</w:t>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18</w:t>
            </w:r>
          </w:p>
        </w:tc>
        <w:tc>
          <w:tcPr>
            <w:tcW w:w="1349" w:type="dxa"/>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EB7BCC" w:rsidTr="000B4241">
        <w:tc>
          <w:tcPr>
            <w:tcW w:w="3242"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340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and diversity of stakeholders (IP offices, competition authorities, relevant IGOs and NGOs) engaged in dialogue with WIPO</w:t>
            </w:r>
            <w:r w:rsidRPr="000B4241">
              <w:rPr>
                <w:rFonts w:cs="Arial"/>
                <w:sz w:val="14"/>
                <w:szCs w:val="14"/>
              </w:rPr>
              <w:br/>
            </w:r>
          </w:p>
        </w:tc>
        <w:tc>
          <w:tcPr>
            <w:tcW w:w="1366"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18</w:t>
            </w:r>
          </w:p>
        </w:tc>
        <w:tc>
          <w:tcPr>
            <w:tcW w:w="1349" w:type="dxa"/>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bl>
    <w:p w:rsidR="00B06EC8" w:rsidRDefault="00B06EC8" w:rsidP="00B06EC8">
      <w:pPr>
        <w:jc w:val="both"/>
        <w:rPr>
          <w:i/>
          <w:iCs/>
        </w:rPr>
      </w:pPr>
    </w:p>
    <w:p w:rsidR="00C525AB" w:rsidRPr="00812B04" w:rsidRDefault="00C525AB" w:rsidP="00B06EC8">
      <w:pPr>
        <w:jc w:val="both"/>
        <w:rPr>
          <w:i/>
          <w:iCs/>
        </w:rPr>
      </w:pPr>
    </w:p>
    <w:p w:rsidR="00B06EC8" w:rsidRPr="00812B04" w:rsidRDefault="00B06EC8" w:rsidP="00B06EC8">
      <w:pPr>
        <w:jc w:val="both"/>
      </w:pPr>
      <w:r w:rsidRPr="00812B04">
        <w:rPr>
          <w:bCs/>
          <w:iCs/>
        </w:rPr>
        <w:t xml:space="preserve">At the intersection of pressing global and interconnected issues, in particular Global Health, Climate Change and Food Security, substantive progress was made in supporting an enhanced understanding among policy makers on the interface between global challenges and innovation and IP.  </w:t>
      </w:r>
      <w:r w:rsidRPr="00812B04">
        <w:t>A major achievement during the biennium was the launch of WIPO GREEN, an interactive marketplace that promotes innovation, transfer and diffusion of green technologies by connecting technology and service providers with those seeking innovative solutions, as an operational platform in November 2013.  By the end of the biennium, WIPO GREEN counted a cumulative total of 62 members (37 partners and 25</w:t>
      </w:r>
      <w:r w:rsidR="006B173C">
        <w:t> </w:t>
      </w:r>
      <w:r w:rsidRPr="00812B04">
        <w:t xml:space="preserve">technology and needs providers) and 737 entries into the database.  Another notable achievement was the publication in 2013 of the joint technical study titled </w:t>
      </w:r>
      <w:r w:rsidRPr="00812B04">
        <w:rPr>
          <w:i/>
        </w:rPr>
        <w:t>Promoting Access to Medical Technologies and Innovation – Intersections between public health, intellectual property and trade</w:t>
      </w:r>
      <w:r w:rsidRPr="00812B04">
        <w:t xml:space="preserve">, resulting from the trilateral cooperation between WIPO, WHO and WTO.   </w:t>
      </w:r>
    </w:p>
    <w:p w:rsidR="00B06EC8" w:rsidRPr="00812B04" w:rsidRDefault="00B06EC8" w:rsidP="00B06EC8">
      <w:pPr>
        <w:jc w:val="both"/>
      </w:pPr>
    </w:p>
    <w:p w:rsidR="00B06EC8" w:rsidRPr="00812B04" w:rsidRDefault="00B06EC8" w:rsidP="00B06EC8">
      <w:pPr>
        <w:jc w:val="both"/>
      </w:pPr>
      <w:r w:rsidRPr="00812B04">
        <w:t>P</w:t>
      </w:r>
      <w:r w:rsidRPr="00812B04">
        <w:rPr>
          <w:bCs/>
          <w:iCs/>
        </w:rPr>
        <w:t xml:space="preserve">roviding </w:t>
      </w:r>
      <w:r w:rsidRPr="00812B04">
        <w:rPr>
          <w:rFonts w:eastAsia="Batang"/>
          <w:lang w:eastAsia="ja-JP"/>
        </w:rPr>
        <w:t>a forum for participants to share ideas, expertise and information relating to the three core areas,</w:t>
      </w:r>
      <w:r w:rsidRPr="00812B04">
        <w:t xml:space="preserve"> three seminars were organized during the biennium as part of the </w:t>
      </w:r>
      <w:r w:rsidRPr="00812B04">
        <w:rPr>
          <w:bCs/>
          <w:iCs/>
        </w:rPr>
        <w:t>WIPO Global Challenges Seminar Series, launched in March 2012.</w:t>
      </w:r>
    </w:p>
    <w:p w:rsidR="00B06EC8" w:rsidRPr="00812B04" w:rsidRDefault="00B06EC8" w:rsidP="00B06EC8">
      <w:pPr>
        <w:jc w:val="both"/>
        <w:rPr>
          <w:bCs/>
          <w:iCs/>
        </w:rPr>
      </w:pPr>
    </w:p>
    <w:p w:rsidR="00B06EC8" w:rsidRPr="00812B04" w:rsidRDefault="00B06EC8" w:rsidP="00B06EC8">
      <w:pPr>
        <w:jc w:val="both"/>
        <w:rPr>
          <w:bCs/>
          <w:iCs/>
        </w:rPr>
      </w:pPr>
      <w:r w:rsidRPr="00812B04">
        <w:rPr>
          <w:rFonts w:eastAsia="Batang"/>
          <w:lang w:eastAsia="ja-JP"/>
        </w:rPr>
        <w:t xml:space="preserve">WIPO Re:Search, </w:t>
      </w:r>
      <w:r w:rsidRPr="00812B04">
        <w:rPr>
          <w:bCs/>
          <w:iCs/>
        </w:rPr>
        <w:t>a consortium of a broad range of private and public sector institutions from developed and developing countries providing royalty-free access to IP assets to stimulate new R&amp;D for neglected tropical diseases, tuberculosis, and malaria,</w:t>
      </w:r>
      <w:r w:rsidRPr="00812B04">
        <w:rPr>
          <w:rFonts w:eastAsia="Batang"/>
          <w:lang w:eastAsia="ja-JP"/>
        </w:rPr>
        <w:t xml:space="preserve"> </w:t>
      </w:r>
      <w:r w:rsidRPr="00812B04">
        <w:rPr>
          <w:bCs/>
          <w:iCs/>
        </w:rPr>
        <w:t>made significant progress during the biennium.  It gained in recognition as a platform, with 30 new members and 11 collaborative research agreements in 2012, and 19 new members and 33 new research agreements in 2013.  This brought the total number of members to 80 and collaborations to 44 at the end of the biennium; a 260 per cent increase in members since the launch of the platform in October 2011.  Moreover, and especially important for WIPO’s broader policy goals as articulated in the WIPO DA, WIPO Re</w:t>
      </w:r>
      <w:proofErr w:type="gramStart"/>
      <w:r w:rsidRPr="00812B04">
        <w:rPr>
          <w:bCs/>
          <w:iCs/>
        </w:rPr>
        <w:t>:Search</w:t>
      </w:r>
      <w:proofErr w:type="gramEnd"/>
      <w:r w:rsidRPr="00812B04">
        <w:rPr>
          <w:bCs/>
          <w:iCs/>
        </w:rPr>
        <w:t xml:space="preserve"> includes 15 members from ten African countries.  </w:t>
      </w:r>
    </w:p>
    <w:p w:rsidR="00B06EC8" w:rsidRPr="00812B04" w:rsidRDefault="00B06EC8" w:rsidP="00B06EC8">
      <w:pPr>
        <w:jc w:val="both"/>
        <w:rPr>
          <w:i/>
          <w:iCs/>
        </w:rPr>
      </w:pPr>
    </w:p>
    <w:p w:rsidR="000B4241" w:rsidRDefault="000B4241" w:rsidP="00B06EC8">
      <w:pPr>
        <w:keepNext/>
        <w:keepLines/>
        <w:jc w:val="both"/>
        <w:rPr>
          <w:b/>
          <w:iCs/>
        </w:rPr>
      </w:pPr>
    </w:p>
    <w:p w:rsidR="00A34E56" w:rsidRDefault="00A34E56">
      <w:pPr>
        <w:rPr>
          <w:b/>
          <w:iCs/>
        </w:rPr>
      </w:pPr>
      <w:r>
        <w:rPr>
          <w:b/>
          <w:iCs/>
        </w:rPr>
        <w:br w:type="page"/>
      </w:r>
    </w:p>
    <w:p w:rsidR="00B06EC8" w:rsidRPr="008869AE" w:rsidRDefault="00B06EC8" w:rsidP="00B06EC8">
      <w:pPr>
        <w:keepNext/>
        <w:keepLines/>
        <w:jc w:val="both"/>
        <w:rPr>
          <w:b/>
          <w:iCs/>
        </w:rPr>
      </w:pPr>
      <w:r w:rsidRPr="008869AE">
        <w:rPr>
          <w:b/>
          <w:iCs/>
        </w:rPr>
        <w:lastRenderedPageBreak/>
        <w:t xml:space="preserve">Strategic Goal VIII: </w:t>
      </w:r>
      <w:r w:rsidR="00595665" w:rsidRPr="008869AE">
        <w:rPr>
          <w:b/>
          <w:iCs/>
        </w:rPr>
        <w:t xml:space="preserve"> </w:t>
      </w:r>
      <w:r w:rsidRPr="008869AE">
        <w:rPr>
          <w:b/>
          <w:iCs/>
        </w:rPr>
        <w:t>A Responsive Communications Interface between WIPO, its Member States and All Stakeholders</w:t>
      </w:r>
    </w:p>
    <w:p w:rsidR="005E3A6D" w:rsidRDefault="005E3A6D" w:rsidP="00B06EC8">
      <w:pPr>
        <w:keepNext/>
        <w:keepLines/>
        <w:jc w:val="both"/>
        <w:rPr>
          <w:i/>
          <w:iCs/>
        </w:rPr>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0B4241" w:rsidRDefault="000B4241" w:rsidP="008869AE">
      <w:pPr>
        <w:jc w:val="center"/>
        <w:rPr>
          <w:b/>
          <w:sz w:val="18"/>
          <w:szCs w:val="18"/>
        </w:rPr>
      </w:pPr>
      <w:r>
        <w:rPr>
          <w:noProof/>
        </w:rPr>
        <w:drawing>
          <wp:inline distT="0" distB="0" distL="0" distR="0" wp14:anchorId="61473C49" wp14:editId="04E0A1FA">
            <wp:extent cx="5940425" cy="2585608"/>
            <wp:effectExtent l="0" t="0" r="3175" b="5715"/>
            <wp:docPr id="4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pic:cNvPicPr>
                      <a:picLocks noChangeAspect="1"/>
                    </pic:cNvPicPr>
                  </pic:nvPicPr>
                  <pic:blipFill>
                    <a:blip r:embed="rId25"/>
                    <a:stretch>
                      <a:fillRect/>
                    </a:stretch>
                  </pic:blipFill>
                  <pic:spPr>
                    <a:xfrm>
                      <a:off x="0" y="0"/>
                      <a:ext cx="5940425" cy="2585608"/>
                    </a:xfrm>
                    <a:prstGeom prst="rect">
                      <a:avLst/>
                    </a:prstGeom>
                  </pic:spPr>
                </pic:pic>
              </a:graphicData>
            </a:graphic>
          </wp:inline>
        </w:drawing>
      </w:r>
    </w:p>
    <w:p w:rsidR="008869AE" w:rsidRDefault="008869AE" w:rsidP="008869AE">
      <w:pPr>
        <w:jc w:val="center"/>
        <w:rPr>
          <w:b/>
          <w:sz w:val="18"/>
          <w:szCs w:val="18"/>
        </w:rPr>
      </w:pPr>
    </w:p>
    <w:p w:rsidR="00A34E56" w:rsidRDefault="00A34E56" w:rsidP="008869AE">
      <w:pPr>
        <w:jc w:val="center"/>
        <w:rPr>
          <w:b/>
          <w:sz w:val="18"/>
          <w:szCs w:val="18"/>
        </w:rPr>
      </w:pPr>
    </w:p>
    <w:p w:rsidR="008869AE" w:rsidRPr="0086702C" w:rsidRDefault="008869AE" w:rsidP="008869AE">
      <w:pPr>
        <w:jc w:val="center"/>
        <w:rPr>
          <w:b/>
          <w:szCs w:val="20"/>
        </w:rPr>
      </w:pPr>
      <w:r w:rsidRPr="0086702C">
        <w:rPr>
          <w:b/>
          <w:szCs w:val="20"/>
        </w:rPr>
        <w:t>Biennial Performance Dashboard</w:t>
      </w:r>
    </w:p>
    <w:p w:rsidR="000B4241" w:rsidRDefault="000B4241" w:rsidP="008869AE">
      <w:pPr>
        <w:jc w:val="center"/>
        <w:rPr>
          <w:b/>
          <w:sz w:val="18"/>
          <w:szCs w:val="18"/>
        </w:rPr>
      </w:pPr>
    </w:p>
    <w:p w:rsidR="00A34E56" w:rsidRPr="008465CB" w:rsidRDefault="00A34E56" w:rsidP="00A34E56">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A34E56" w:rsidRPr="005E3A6D" w:rsidRDefault="00A34E56" w:rsidP="008869AE">
      <w:pPr>
        <w:jc w:val="center"/>
        <w:rPr>
          <w:b/>
          <w:sz w:val="18"/>
          <w:szCs w:val="18"/>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236"/>
      </w:tblGrid>
      <w:tr w:rsidR="000B4241" w:rsidRPr="00D51A82" w:rsidTr="004808E3">
        <w:tc>
          <w:tcPr>
            <w:tcW w:w="2704"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4173"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253"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236"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D51A82" w:rsidTr="004808E3">
        <w:tc>
          <w:tcPr>
            <w:tcW w:w="2704" w:type="dxa"/>
            <w:vMerge w:val="restart"/>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More effective communication to a broad public about intellectual property and WIPO’s role </w:t>
            </w:r>
          </w:p>
        </w:tc>
        <w:tc>
          <w:tcPr>
            <w:tcW w:w="4173" w:type="dxa"/>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press articles on WIPO's work</w:t>
            </w:r>
          </w:p>
        </w:tc>
        <w:tc>
          <w:tcPr>
            <w:tcW w:w="1253" w:type="dxa"/>
            <w:tcBorders>
              <w:top w:val="single" w:sz="4" w:space="0" w:color="auto"/>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Borders>
              <w:top w:val="single" w:sz="4" w:space="0" w:color="auto"/>
            </w:tcBorders>
          </w:tcPr>
          <w:p w:rsidR="000B4241" w:rsidRPr="000B4241" w:rsidRDefault="000B4241" w:rsidP="000B4241">
            <w:pPr>
              <w:spacing w:before="20"/>
              <w:jc w:val="center"/>
              <w:rPr>
                <w:rFonts w:cs="Arial"/>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rPr>
                <w:rFonts w:cs="Arial"/>
                <w:sz w:val="14"/>
                <w:szCs w:val="14"/>
              </w:rPr>
            </w:pP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Availability rate of WIPO core publications in all official UN languages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Number of views (on average) per WIPO video on YouTube </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downloads (on average) per WIPO publication </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countries with reported World IP Day events and activities </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external information requests serviced by the WIPO Library</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 of stakeholders with a positive recognition of WIPO’s mission, activities and organizational image </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Improved service orientation and responsiveness to inquiries</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Customer/stakeholder satisfaction rate</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rPr>
                <w:rFonts w:cs="Arial"/>
                <w:sz w:val="14"/>
                <w:szCs w:val="14"/>
              </w:rPr>
            </w:pP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Processing time of information inquiries handled through ticketing system</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19</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val="restart"/>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WIPO effectively interacts and partners with UN and other IGO processes and negotiations</w:t>
            </w:r>
          </w:p>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Use of WIPO’s contributions in reports, resolutions and documents from targeted processes.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Feedback</w:t>
            </w:r>
            <w:r w:rsidRPr="000B4241">
              <w:rPr>
                <w:rFonts w:cs="Arial"/>
                <w:color w:val="000000"/>
                <w:sz w:val="14"/>
                <w:szCs w:val="14"/>
              </w:rPr>
              <w:t xml:space="preserve"> on WIPO’s contribution/participation in UN and other IGO processes and fora.</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spacing w:before="20"/>
              <w:jc w:val="center"/>
              <w:rPr>
                <w:sz w:val="22"/>
                <w:szCs w:val="22"/>
              </w:rPr>
            </w:pPr>
            <w:r w:rsidRPr="000B4241">
              <w:rPr>
                <w:rFonts w:cs="Arial"/>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of responses to external requests for contributions from the UN, IGOs, etc, submitted on time</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joint activities/workplans implemented and reviewed in line with agreements with partner organizations (new and existing MoU’s with IGOs)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vMerge/>
            <w:shd w:val="clear" w:color="auto" w:fill="auto"/>
            <w:tcMar>
              <w:top w:w="113" w:type="dxa"/>
            </w:tcMar>
          </w:tcPr>
          <w:p w:rsidR="000B4241" w:rsidRPr="000B4241" w:rsidRDefault="000B4241" w:rsidP="000B4241">
            <w:pPr>
              <w:spacing w:before="80"/>
              <w:rPr>
                <w:rFonts w:cs="Arial"/>
                <w:sz w:val="14"/>
                <w:szCs w:val="14"/>
              </w:rPr>
            </w:pP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New joint initiatives with other UN agencies</w:t>
            </w:r>
            <w:r w:rsidR="006B173C">
              <w:rPr>
                <w:rFonts w:cs="Arial"/>
                <w:sz w:val="14"/>
                <w:szCs w:val="14"/>
              </w:rPr>
              <w:br/>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lastRenderedPageBreak/>
              <w:t>Open, transparent and responsive interaction with NGOs</w:t>
            </w:r>
          </w:p>
        </w:tc>
        <w:tc>
          <w:tcPr>
            <w:tcW w:w="4173"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briefing sessions and meetings/activities organized for NGOs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rPr>
                <w:rFonts w:cs="Arial"/>
                <w:sz w:val="14"/>
                <w:szCs w:val="14"/>
              </w:rPr>
            </w:pPr>
          </w:p>
        </w:tc>
        <w:tc>
          <w:tcPr>
            <w:tcW w:w="4173" w:type="dxa"/>
            <w:shd w:val="clear" w:color="auto" w:fill="auto"/>
            <w:tcMar>
              <w:top w:w="113" w:type="dxa"/>
            </w:tcMar>
          </w:tcPr>
          <w:p w:rsidR="000B4241" w:rsidRPr="000B4241" w:rsidRDefault="000B4241" w:rsidP="000B4241">
            <w:pPr>
              <w:rPr>
                <w:rFonts w:cs="Arial"/>
                <w:color w:val="000000"/>
                <w:sz w:val="14"/>
                <w:szCs w:val="14"/>
              </w:rPr>
            </w:pPr>
            <w:r w:rsidRPr="000B4241">
              <w:rPr>
                <w:rFonts w:cs="Arial"/>
                <w:color w:val="000000"/>
                <w:sz w:val="14"/>
                <w:szCs w:val="14"/>
              </w:rPr>
              <w:t>No. of briefing sessions/activities organized for developing country and LDC NGOs</w:t>
            </w:r>
          </w:p>
        </w:tc>
        <w:tc>
          <w:tcPr>
            <w:tcW w:w="1253" w:type="dxa"/>
            <w:shd w:val="clear" w:color="auto" w:fill="auto"/>
            <w:tcMar>
              <w:top w:w="113" w:type="dxa"/>
            </w:tcMar>
          </w:tcPr>
          <w:p w:rsidR="000B4241" w:rsidRPr="000B4241" w:rsidRDefault="000B4241" w:rsidP="000B4241">
            <w:pPr>
              <w:jc w:val="center"/>
              <w:rPr>
                <w:rFonts w:cs="Arial"/>
                <w:sz w:val="14"/>
                <w:szCs w:val="14"/>
              </w:rPr>
            </w:pPr>
            <w:r w:rsidRPr="000B4241">
              <w:rPr>
                <w:rFonts w:cs="Arial"/>
                <w:sz w:val="14"/>
                <w:szCs w:val="14"/>
              </w:rPr>
              <w:t>Program 20</w:t>
            </w:r>
          </w:p>
        </w:tc>
        <w:tc>
          <w:tcPr>
            <w:tcW w:w="1236" w:type="dxa"/>
          </w:tcPr>
          <w:p w:rsidR="000B4241" w:rsidRPr="000B4241" w:rsidRDefault="000B4241" w:rsidP="000B4241">
            <w:pPr>
              <w:jc w:val="center"/>
              <w:rPr>
                <w:color w:val="00B050"/>
                <w:sz w:val="22"/>
                <w:szCs w:val="22"/>
              </w:rPr>
            </w:pPr>
            <w:r w:rsidRPr="000B4241">
              <w:rPr>
                <w:rFonts w:cs="Arial"/>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Effective</w:t>
            </w:r>
            <w:r w:rsidRPr="000B4241">
              <w:rPr>
                <w:rFonts w:cs="Arial"/>
                <w:color w:val="000000"/>
                <w:sz w:val="14"/>
                <w:szCs w:val="14"/>
              </w:rPr>
              <w:t xml:space="preserve"> engagement with Member States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of Committee Meetings for which pre-Committee information meetings for MS are held</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of letters to the DG from Member States are responded to within 2 weeks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Member</w:t>
            </w:r>
            <w:r w:rsidRPr="000B4241">
              <w:rPr>
                <w:rFonts w:cs="Arial"/>
                <w:color w:val="000000"/>
                <w:sz w:val="14"/>
                <w:szCs w:val="14"/>
              </w:rPr>
              <w:t xml:space="preserve"> States satisfaction levels with the preparation and functioning of the Assemblies</w:t>
            </w: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D51A82" w:rsidTr="004808E3">
        <w:tc>
          <w:tcPr>
            <w:tcW w:w="2704" w:type="dxa"/>
            <w:shd w:val="clear" w:color="auto" w:fill="auto"/>
            <w:tcMar>
              <w:top w:w="113" w:type="dxa"/>
            </w:tcMar>
          </w:tcPr>
          <w:p w:rsidR="000B4241" w:rsidRPr="000B4241" w:rsidRDefault="000B4241" w:rsidP="000B4241">
            <w:pPr>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Timeliness</w:t>
            </w:r>
            <w:r w:rsidRPr="000B4241">
              <w:rPr>
                <w:rFonts w:cs="Arial"/>
                <w:color w:val="000000"/>
                <w:sz w:val="14"/>
                <w:szCs w:val="14"/>
              </w:rPr>
              <w:t xml:space="preserve"> of publication of Assembly documents</w:t>
            </w:r>
          </w:p>
          <w:p w:rsidR="000B4241" w:rsidRPr="000B4241" w:rsidRDefault="000B4241" w:rsidP="000B4241">
            <w:pPr>
              <w:spacing w:before="80"/>
              <w:rPr>
                <w:rFonts w:cs="Arial"/>
                <w:color w:val="000000"/>
                <w:sz w:val="14"/>
                <w:szCs w:val="14"/>
              </w:rPr>
            </w:pPr>
          </w:p>
        </w:tc>
        <w:tc>
          <w:tcPr>
            <w:tcW w:w="1253"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236"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bl>
    <w:p w:rsidR="005E3A6D" w:rsidRPr="00812B04" w:rsidRDefault="005E3A6D" w:rsidP="00B06EC8">
      <w:pPr>
        <w:keepNext/>
        <w:keepLines/>
        <w:jc w:val="both"/>
        <w:rPr>
          <w:i/>
          <w:iCs/>
        </w:rPr>
      </w:pPr>
    </w:p>
    <w:p w:rsidR="00B06EC8" w:rsidRPr="00812B04" w:rsidRDefault="00B06EC8" w:rsidP="00B06EC8">
      <w:pPr>
        <w:keepNext/>
        <w:keepLines/>
        <w:jc w:val="both"/>
        <w:rPr>
          <w:i/>
          <w:iCs/>
        </w:rPr>
      </w:pPr>
    </w:p>
    <w:p w:rsidR="00B06EC8" w:rsidRPr="00812B04" w:rsidRDefault="00B06EC8" w:rsidP="00B06EC8">
      <w:pPr>
        <w:keepNext/>
        <w:keepLines/>
        <w:jc w:val="both"/>
      </w:pPr>
      <w:r w:rsidRPr="00812B04">
        <w:t>WIPO continued its progress on major strategic improvement projects on web communications, organizational identity, customer service and internal communications, which helped improve the quality, usability and delivery of WIPO’s content</w:t>
      </w:r>
      <w:proofErr w:type="gramStart"/>
      <w:r w:rsidRPr="00812B04">
        <w:t xml:space="preserve">; </w:t>
      </w:r>
      <w:r w:rsidR="006B173C">
        <w:t xml:space="preserve"> </w:t>
      </w:r>
      <w:r w:rsidRPr="00812B04">
        <w:t>increase</w:t>
      </w:r>
      <w:proofErr w:type="gramEnd"/>
      <w:r w:rsidRPr="00812B04">
        <w:t xml:space="preserve"> understanding of WIPO’s work and organizational identity; </w:t>
      </w:r>
      <w:r w:rsidR="006B173C">
        <w:t xml:space="preserve"> </w:t>
      </w:r>
      <w:r w:rsidRPr="00812B04">
        <w:t>and build an internal culture of communication and service.  As a result of the new media strategies, exponential increases were achieved in 2012/13 in the number of people worldwide who accessed unique WIPO content.</w:t>
      </w:r>
    </w:p>
    <w:p w:rsidR="00B06EC8" w:rsidRPr="00812B04" w:rsidRDefault="00B06EC8" w:rsidP="00B06EC8">
      <w:pPr>
        <w:keepNext/>
        <w:keepLines/>
        <w:jc w:val="both"/>
      </w:pPr>
    </w:p>
    <w:p w:rsidR="00B06EC8" w:rsidRPr="00812B04" w:rsidRDefault="00B06EC8" w:rsidP="00B06EC8">
      <w:pPr>
        <w:autoSpaceDE w:val="0"/>
        <w:autoSpaceDN w:val="0"/>
        <w:adjustRightInd w:val="0"/>
        <w:jc w:val="both"/>
      </w:pPr>
      <w:r w:rsidRPr="00812B04">
        <w:t xml:space="preserve">A notable achievement during the biennium was the total overhaul of WIPO’s website, which was launched in November 2013 and drew overwhelmingly positive feedback from users. </w:t>
      </w:r>
      <w:r w:rsidR="00003187">
        <w:t xml:space="preserve"> </w:t>
      </w:r>
      <w:r w:rsidRPr="00812B04">
        <w:t xml:space="preserve">Popular content improvements included the new WIPO Country Profile pages, which pull together dynamic content from over 190 countries from some 20 underlying WIPO databases.  </w:t>
      </w:r>
    </w:p>
    <w:p w:rsidR="00B06EC8" w:rsidRPr="00812B04" w:rsidRDefault="00B06EC8" w:rsidP="00B06EC8">
      <w:pPr>
        <w:jc w:val="both"/>
        <w:rPr>
          <w:sz w:val="16"/>
          <w:szCs w:val="16"/>
        </w:rPr>
      </w:pPr>
    </w:p>
    <w:p w:rsidR="00B06EC8" w:rsidRPr="00812B04" w:rsidRDefault="00B06EC8" w:rsidP="00B06EC8">
      <w:pPr>
        <w:autoSpaceDE w:val="0"/>
        <w:autoSpaceDN w:val="0"/>
        <w:adjustRightInd w:val="0"/>
        <w:jc w:val="both"/>
      </w:pPr>
      <w:r w:rsidRPr="00812B04">
        <w:t>WIPO’s enhanced social media strategy, launched in March 2012, has enabled direct engagement with stakeholders and improvement of delivery of WIPO content to broad and specialized audiences.  Total views of WIPO’s photos on Flickr rose from 150,000 at the end of 2012 to over 900,000 by the end of 2013.  A total of 122 new videos were created for the WIPO YouTube Channel and website in the biennium, including more news-style content and IP stories, as well as tutorials and presentations. Viewing figures rocketed following the addition of the “</w:t>
      </w:r>
      <w:r w:rsidRPr="00812B04">
        <w:rPr>
          <w:i/>
          <w:iCs/>
        </w:rPr>
        <w:t>Pororo</w:t>
      </w:r>
      <w:r w:rsidRPr="00812B04">
        <w:t>” animations for children (over 3.8 million views)</w:t>
      </w:r>
      <w:proofErr w:type="gramStart"/>
      <w:r w:rsidRPr="00812B04">
        <w:t>,</w:t>
      </w:r>
      <w:proofErr w:type="gramEnd"/>
      <w:r w:rsidRPr="00812B04">
        <w:t xml:space="preserve"> ending the biennium with an exponential increase in total WIPO Channel views of over 2,900 per cent compared to end 2011.</w:t>
      </w:r>
    </w:p>
    <w:p w:rsidR="00B06EC8" w:rsidRPr="00812B04" w:rsidRDefault="00B06EC8" w:rsidP="00B06EC8">
      <w:pPr>
        <w:autoSpaceDE w:val="0"/>
        <w:autoSpaceDN w:val="0"/>
        <w:adjustRightInd w:val="0"/>
        <w:jc w:val="both"/>
      </w:pPr>
    </w:p>
    <w:p w:rsidR="00B06EC8" w:rsidRPr="00812B04" w:rsidRDefault="00B06EC8" w:rsidP="00B06EC8">
      <w:pPr>
        <w:autoSpaceDE w:val="0"/>
        <w:autoSpaceDN w:val="0"/>
        <w:adjustRightInd w:val="0"/>
        <w:jc w:val="both"/>
      </w:pPr>
      <w:r w:rsidRPr="00812B04">
        <w:t xml:space="preserve">For the annual World IP Day campaign, WIPO’s most high profile, annual public outreach activity, WIPO intensified its use of social media to engage a broad public and to build a broader sense of public ownership. </w:t>
      </w:r>
      <w:r w:rsidR="00003187">
        <w:t xml:space="preserve"> </w:t>
      </w:r>
      <w:r w:rsidRPr="00812B04">
        <w:t>The total reach of the World IP Day Facebook page more than doubled in 2013 (reaching 375,000) compared to 2012, with the most page “likes” coming from India, the United States</w:t>
      </w:r>
      <w:r w:rsidR="00003187">
        <w:t xml:space="preserve"> of America</w:t>
      </w:r>
      <w:r w:rsidRPr="00812B04">
        <w:t xml:space="preserve">, Mexico, Brazil and the United Kingdom. </w:t>
      </w:r>
      <w:r w:rsidR="00003187">
        <w:t xml:space="preserve"> </w:t>
      </w:r>
      <w:r w:rsidRPr="00812B04">
        <w:t xml:space="preserve">The WIPO website recorded more than twice as many visits on April 26, 2013, as on any other day in the preceding twelve months. </w:t>
      </w:r>
      <w:r w:rsidR="00003187">
        <w:t xml:space="preserve"> </w:t>
      </w:r>
      <w:r w:rsidRPr="00812B04">
        <w:t>Content on the themes included “Visionary Innovators</w:t>
      </w:r>
      <w:r w:rsidRPr="00CD26D6">
        <w:rPr>
          <w:iCs/>
        </w:rPr>
        <w:t>”</w:t>
      </w:r>
      <w:r w:rsidRPr="00812B04">
        <w:rPr>
          <w:i/>
          <w:iCs/>
        </w:rPr>
        <w:t xml:space="preserve"> </w:t>
      </w:r>
      <w:r w:rsidRPr="00812B04">
        <w:t>and</w:t>
      </w:r>
      <w:r w:rsidRPr="00812B04">
        <w:rPr>
          <w:i/>
          <w:iCs/>
        </w:rPr>
        <w:t xml:space="preserve"> </w:t>
      </w:r>
      <w:r w:rsidR="00003187" w:rsidRPr="00CD26D6">
        <w:rPr>
          <w:iCs/>
        </w:rPr>
        <w:t>“</w:t>
      </w:r>
      <w:r w:rsidRPr="00812B04">
        <w:t>Creativity – the Next Generation</w:t>
      </w:r>
      <w:r w:rsidRPr="00CD26D6">
        <w:rPr>
          <w:iCs/>
        </w:rPr>
        <w:t>”</w:t>
      </w:r>
      <w:r w:rsidRPr="00812B04">
        <w:rPr>
          <w:i/>
          <w:iCs/>
        </w:rPr>
        <w:t>,</w:t>
      </w:r>
      <w:r w:rsidRPr="00812B04">
        <w:t xml:space="preserve"> and World IP Day exhibitions on </w:t>
      </w:r>
      <w:r w:rsidR="00003187" w:rsidRPr="00812B04">
        <w:t>Steve</w:t>
      </w:r>
      <w:r w:rsidR="00003187">
        <w:t> </w:t>
      </w:r>
      <w:r w:rsidRPr="00812B04">
        <w:t>Jobs’ patents (2012) and 3D Printing (2013).</w:t>
      </w:r>
    </w:p>
    <w:p w:rsidR="00B06EC8" w:rsidRPr="00812B04" w:rsidRDefault="00B06EC8" w:rsidP="00B06EC8">
      <w:pPr>
        <w:jc w:val="both"/>
      </w:pPr>
    </w:p>
    <w:p w:rsidR="00B06EC8" w:rsidRPr="00812B04" w:rsidRDefault="00B06EC8" w:rsidP="00B06EC8">
      <w:pPr>
        <w:autoSpaceDE w:val="0"/>
        <w:autoSpaceDN w:val="0"/>
        <w:adjustRightInd w:val="0"/>
        <w:jc w:val="both"/>
      </w:pPr>
      <w:r w:rsidRPr="00812B04">
        <w:t>A more integrated approach to promoting major events, products and achievements contributed to raise public visibility and understanding of WIPO’s activities.  This included more consistent messaging frameworks</w:t>
      </w:r>
      <w:proofErr w:type="gramStart"/>
      <w:r w:rsidRPr="00812B04">
        <w:t xml:space="preserve">; </w:t>
      </w:r>
      <w:r w:rsidR="006B173C">
        <w:t xml:space="preserve"> </w:t>
      </w:r>
      <w:r w:rsidRPr="00812B04">
        <w:t>the</w:t>
      </w:r>
      <w:proofErr w:type="gramEnd"/>
      <w:r w:rsidRPr="00812B04">
        <w:t xml:space="preserve"> creation of tailored, original content (editorial, visual and web) in six languages</w:t>
      </w:r>
      <w:r w:rsidR="0046711D" w:rsidRPr="00812B04">
        <w:t xml:space="preserve">; </w:t>
      </w:r>
      <w:r w:rsidR="006B173C">
        <w:t xml:space="preserve"> </w:t>
      </w:r>
      <w:r w:rsidR="0046711D">
        <w:t>cultivation</w:t>
      </w:r>
      <w:r w:rsidRPr="00812B04">
        <w:t xml:space="preserve"> of p</w:t>
      </w:r>
      <w:r w:rsidR="0046711D">
        <w:t>ress and stakeholder relations;</w:t>
      </w:r>
      <w:r w:rsidR="00003187">
        <w:t xml:space="preserve"> </w:t>
      </w:r>
      <w:r w:rsidR="006B173C">
        <w:t xml:space="preserve"> </w:t>
      </w:r>
      <w:r w:rsidRPr="00812B04">
        <w:t>leveraging the use of well-known personalities as spokespeople</w:t>
      </w:r>
      <w:r w:rsidR="004B6074" w:rsidRPr="00812B04">
        <w:t xml:space="preserve">; </w:t>
      </w:r>
      <w:r w:rsidR="006B173C">
        <w:t xml:space="preserve"> </w:t>
      </w:r>
      <w:r w:rsidR="004B6074">
        <w:t>and</w:t>
      </w:r>
      <w:r w:rsidRPr="00812B04">
        <w:t xml:space="preserve"> dissemination via multiple channels.  A concerted communications effort was devoted to significant events, products and results during the biennium, such as the two new WIPO treaty adoptions, the publication of WIPO’s world-leading IP reports, the milestone expansions of the Global Brand Database and PATENTSCOPE, and the launch of the WIPO GREEN partnership initiative.  The integrated approach also boosted global media coverage of the </w:t>
      </w:r>
      <w:r w:rsidRPr="00812B04">
        <w:rPr>
          <w:iCs/>
        </w:rPr>
        <w:t>World IP Indicators</w:t>
      </w:r>
      <w:r w:rsidRPr="00812B04">
        <w:t xml:space="preserve"> (including 2.3 million potential impressions of the top tweet)</w:t>
      </w:r>
      <w:proofErr w:type="gramStart"/>
      <w:r w:rsidRPr="00812B04">
        <w:t xml:space="preserve">; </w:t>
      </w:r>
      <w:r w:rsidR="00003187">
        <w:t xml:space="preserve"> </w:t>
      </w:r>
      <w:r w:rsidRPr="00812B04">
        <w:t>the</w:t>
      </w:r>
      <w:proofErr w:type="gramEnd"/>
      <w:r w:rsidRPr="00812B04">
        <w:t xml:space="preserve"> </w:t>
      </w:r>
      <w:r w:rsidRPr="00812B04">
        <w:rPr>
          <w:iCs/>
        </w:rPr>
        <w:t>Global Innovation Index</w:t>
      </w:r>
      <w:r w:rsidRPr="00812B04">
        <w:t xml:space="preserve"> (more than 400 articles worldwide; </w:t>
      </w:r>
      <w:r w:rsidR="00003187">
        <w:t xml:space="preserve"> </w:t>
      </w:r>
      <w:r w:rsidRPr="00812B04">
        <w:t xml:space="preserve">and over 400 per cent increase in page views in both 2012 and 2013 compared to 2011). </w:t>
      </w:r>
    </w:p>
    <w:p w:rsidR="00B06EC8" w:rsidRPr="00812B04" w:rsidRDefault="00B06EC8" w:rsidP="00B06EC8">
      <w:pPr>
        <w:jc w:val="both"/>
        <w:rPr>
          <w:i/>
          <w:iCs/>
        </w:rPr>
      </w:pPr>
    </w:p>
    <w:p w:rsidR="000B4241" w:rsidRDefault="000B4241" w:rsidP="00B06EC8">
      <w:pPr>
        <w:jc w:val="both"/>
        <w:rPr>
          <w:b/>
          <w:iCs/>
        </w:rPr>
      </w:pPr>
    </w:p>
    <w:p w:rsidR="00A34E56" w:rsidRDefault="00A34E56">
      <w:pPr>
        <w:rPr>
          <w:b/>
          <w:iCs/>
        </w:rPr>
      </w:pPr>
      <w:r>
        <w:rPr>
          <w:b/>
          <w:iCs/>
        </w:rPr>
        <w:br w:type="page"/>
      </w:r>
    </w:p>
    <w:p w:rsidR="00B06EC8" w:rsidRPr="008869AE" w:rsidRDefault="00B06EC8" w:rsidP="00E94AD4">
      <w:pPr>
        <w:jc w:val="center"/>
        <w:rPr>
          <w:b/>
          <w:iCs/>
        </w:rPr>
      </w:pPr>
      <w:r w:rsidRPr="008869AE">
        <w:rPr>
          <w:b/>
          <w:iCs/>
        </w:rPr>
        <w:lastRenderedPageBreak/>
        <w:t xml:space="preserve">Strategic Goal IX: </w:t>
      </w:r>
      <w:r w:rsidR="00595665" w:rsidRPr="008869AE">
        <w:rPr>
          <w:b/>
          <w:iCs/>
        </w:rPr>
        <w:t xml:space="preserve"> </w:t>
      </w:r>
      <w:r w:rsidRPr="008869AE">
        <w:rPr>
          <w:b/>
          <w:iCs/>
        </w:rPr>
        <w:t xml:space="preserve">Efficient Administrative and Financial Support Structure to enable WIPO to </w:t>
      </w:r>
      <w:proofErr w:type="gramStart"/>
      <w:r w:rsidRPr="008869AE">
        <w:rPr>
          <w:b/>
          <w:iCs/>
        </w:rPr>
        <w:t>Deliver</w:t>
      </w:r>
      <w:proofErr w:type="gramEnd"/>
      <w:r w:rsidRPr="008869AE">
        <w:rPr>
          <w:b/>
          <w:iCs/>
        </w:rPr>
        <w:t xml:space="preserve"> its Programs</w:t>
      </w:r>
    </w:p>
    <w:p w:rsidR="00B06EC8" w:rsidRDefault="00B06EC8" w:rsidP="00B06EC8">
      <w:pPr>
        <w:jc w:val="both"/>
      </w:pPr>
    </w:p>
    <w:p w:rsidR="005E3A6D" w:rsidRDefault="005E3A6D" w:rsidP="00B06EC8">
      <w:pPr>
        <w:jc w:val="both"/>
      </w:pPr>
    </w:p>
    <w:p w:rsidR="008869AE" w:rsidRDefault="008869AE" w:rsidP="008869AE">
      <w:pPr>
        <w:jc w:val="center"/>
        <w:rPr>
          <w:b/>
          <w:sz w:val="18"/>
          <w:szCs w:val="18"/>
        </w:rPr>
      </w:pPr>
      <w:r w:rsidRPr="00515B63">
        <w:rPr>
          <w:b/>
          <w:sz w:val="18"/>
          <w:szCs w:val="18"/>
        </w:rPr>
        <w:t>Summary of Achievements by Expected Result</w:t>
      </w:r>
    </w:p>
    <w:p w:rsidR="008869AE" w:rsidRDefault="008869AE" w:rsidP="008869AE">
      <w:pPr>
        <w:jc w:val="center"/>
        <w:rPr>
          <w:b/>
          <w:sz w:val="18"/>
          <w:szCs w:val="18"/>
        </w:rPr>
      </w:pPr>
    </w:p>
    <w:p w:rsidR="008869AE" w:rsidRDefault="00600088" w:rsidP="008869AE">
      <w:pPr>
        <w:jc w:val="center"/>
        <w:rPr>
          <w:b/>
          <w:sz w:val="18"/>
          <w:szCs w:val="18"/>
        </w:rPr>
      </w:pPr>
      <w:r>
        <w:rPr>
          <w:noProof/>
        </w:rPr>
        <w:drawing>
          <wp:inline distT="0" distB="0" distL="0" distR="0" wp14:anchorId="38B2A50D" wp14:editId="3872A429">
            <wp:extent cx="5940425" cy="5715755"/>
            <wp:effectExtent l="0" t="0" r="3175" b="0"/>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26"/>
                    <a:stretch>
                      <a:fillRect/>
                    </a:stretch>
                  </pic:blipFill>
                  <pic:spPr>
                    <a:xfrm>
                      <a:off x="0" y="0"/>
                      <a:ext cx="5940425" cy="5715755"/>
                    </a:xfrm>
                    <a:prstGeom prst="rect">
                      <a:avLst/>
                    </a:prstGeom>
                  </pic:spPr>
                </pic:pic>
              </a:graphicData>
            </a:graphic>
          </wp:inline>
        </w:drawing>
      </w:r>
    </w:p>
    <w:p w:rsidR="000B4241" w:rsidRDefault="000B4241" w:rsidP="008869AE">
      <w:pPr>
        <w:jc w:val="center"/>
        <w:rPr>
          <w:b/>
          <w:sz w:val="18"/>
          <w:szCs w:val="18"/>
        </w:rPr>
      </w:pPr>
    </w:p>
    <w:p w:rsidR="000B4241" w:rsidRDefault="000B4241"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5E75A4" w:rsidRDefault="005E75A4" w:rsidP="008869AE">
      <w:pPr>
        <w:jc w:val="center"/>
        <w:rPr>
          <w:b/>
          <w:sz w:val="18"/>
          <w:szCs w:val="18"/>
        </w:rPr>
      </w:pPr>
    </w:p>
    <w:p w:rsidR="00A34E56" w:rsidRDefault="00A34E56">
      <w:pPr>
        <w:rPr>
          <w:b/>
          <w:sz w:val="18"/>
          <w:szCs w:val="18"/>
        </w:rPr>
      </w:pPr>
      <w:r>
        <w:rPr>
          <w:b/>
          <w:sz w:val="18"/>
          <w:szCs w:val="18"/>
        </w:rPr>
        <w:br w:type="page"/>
      </w:r>
    </w:p>
    <w:p w:rsidR="008869AE" w:rsidRPr="0086702C" w:rsidRDefault="008869AE" w:rsidP="008869AE">
      <w:pPr>
        <w:jc w:val="center"/>
        <w:rPr>
          <w:b/>
          <w:szCs w:val="20"/>
        </w:rPr>
      </w:pPr>
      <w:r w:rsidRPr="0086702C">
        <w:rPr>
          <w:b/>
          <w:szCs w:val="20"/>
        </w:rPr>
        <w:lastRenderedPageBreak/>
        <w:t>Biennial Performance Dashboard</w:t>
      </w:r>
    </w:p>
    <w:p w:rsidR="000B4241" w:rsidRDefault="000B4241" w:rsidP="008869AE">
      <w:pPr>
        <w:jc w:val="center"/>
        <w:rPr>
          <w:b/>
          <w:sz w:val="18"/>
          <w:szCs w:val="18"/>
        </w:rPr>
      </w:pPr>
    </w:p>
    <w:p w:rsidR="00A34E56" w:rsidRPr="008465CB" w:rsidRDefault="00A34E56" w:rsidP="00A34E56">
      <w:pPr>
        <w:autoSpaceDE w:val="0"/>
        <w:autoSpaceDN w:val="0"/>
        <w:adjustRightInd w:val="0"/>
        <w:jc w:val="both"/>
        <w:rPr>
          <w:rFonts w:cs="Arial"/>
        </w:rPr>
      </w:pPr>
      <w:r>
        <w:rPr>
          <w:rFonts w:cs="Arial"/>
        </w:rPr>
        <w:t xml:space="preserve">The dashboard below provides a summary of the achievement of the expected results in the biennium 2012/13 as measured by the indicators under the Programs contributing to this Strategic Goal.  </w:t>
      </w:r>
    </w:p>
    <w:p w:rsidR="00A34E56" w:rsidRPr="005E3A6D" w:rsidRDefault="00A34E56" w:rsidP="008869AE">
      <w:pPr>
        <w:jc w:val="center"/>
        <w:rPr>
          <w:b/>
          <w:sz w:val="18"/>
          <w:szCs w:val="18"/>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0B4241" w:rsidRPr="00FD430C" w:rsidTr="000B4241">
        <w:trPr>
          <w:cantSplit/>
          <w:tblHeader/>
        </w:trPr>
        <w:tc>
          <w:tcPr>
            <w:tcW w:w="2987"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Expected Results</w:t>
            </w:r>
          </w:p>
        </w:tc>
        <w:tc>
          <w:tcPr>
            <w:tcW w:w="3799"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Performance Indicators</w:t>
            </w:r>
          </w:p>
        </w:tc>
        <w:tc>
          <w:tcPr>
            <w:tcW w:w="1417"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Responsible Program(s)</w:t>
            </w:r>
          </w:p>
        </w:tc>
        <w:tc>
          <w:tcPr>
            <w:tcW w:w="1163" w:type="dxa"/>
            <w:tcBorders>
              <w:top w:val="single" w:sz="4" w:space="0" w:color="auto"/>
              <w:bottom w:val="single" w:sz="4" w:space="0" w:color="auto"/>
            </w:tcBorders>
            <w:shd w:val="clear" w:color="auto" w:fill="CCFFFF"/>
            <w:vAlign w:val="center"/>
          </w:tcPr>
          <w:p w:rsidR="000B4241" w:rsidRPr="000B4241" w:rsidRDefault="000B4241" w:rsidP="000B4241">
            <w:pPr>
              <w:spacing w:before="120" w:after="120"/>
              <w:jc w:val="center"/>
              <w:rPr>
                <w:rFonts w:cs="Arial"/>
                <w:b/>
                <w:bCs/>
                <w:sz w:val="14"/>
                <w:szCs w:val="14"/>
              </w:rPr>
            </w:pPr>
            <w:r w:rsidRPr="000B4241">
              <w:rPr>
                <w:rFonts w:cs="Arial"/>
                <w:b/>
                <w:bCs/>
                <w:sz w:val="14"/>
                <w:szCs w:val="14"/>
              </w:rPr>
              <w:t>TLS</w:t>
            </w:r>
          </w:p>
        </w:tc>
      </w:tr>
      <w:tr w:rsidR="000B4241" w:rsidRPr="00FD430C" w:rsidTr="000B4241">
        <w:trPr>
          <w:cantSplit/>
        </w:trPr>
        <w:tc>
          <w:tcPr>
            <w:tcW w:w="2987" w:type="dxa"/>
            <w:vMerge w:val="restart"/>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Effective, efficient, quality and customer-oriented support services both to internal clients and to external stakeholders (human resources, IT, conference, language, procurement, travel, printing and publication, premises management)</w:t>
            </w:r>
          </w:p>
        </w:tc>
        <w:tc>
          <w:tcPr>
            <w:tcW w:w="3799" w:type="dxa"/>
            <w:tcBorders>
              <w:top w:val="single" w:sz="4" w:space="0" w:color="auto"/>
            </w:tcBorders>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Cost savings for goods and services procured by WIPO  (derived from RFPs, negotiations, or UN globalization actions)</w:t>
            </w:r>
          </w:p>
        </w:tc>
        <w:tc>
          <w:tcPr>
            <w:tcW w:w="1417" w:type="dxa"/>
            <w:tcBorders>
              <w:top w:val="single" w:sz="4" w:space="0" w:color="auto"/>
            </w:tcBorders>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r w:rsidRPr="000B4241">
              <w:rPr>
                <w:rFonts w:cs="Arial"/>
                <w:sz w:val="14"/>
                <w:szCs w:val="14"/>
              </w:rPr>
              <w:br/>
            </w:r>
          </w:p>
        </w:tc>
        <w:tc>
          <w:tcPr>
            <w:tcW w:w="1163" w:type="dxa"/>
            <w:tcBorders>
              <w:top w:val="single" w:sz="4" w:space="0" w:color="auto"/>
            </w:tcBorders>
          </w:tcPr>
          <w:p w:rsidR="000B4241" w:rsidRPr="000B4241" w:rsidRDefault="000B4241" w:rsidP="000B4241">
            <w:pPr>
              <w:spacing w:before="20"/>
              <w:jc w:val="center"/>
              <w:rPr>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 of internal clients satisfied with procurement services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spend subject to UN leverage or benchmark</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6B173C">
            <w:pPr>
              <w:spacing w:before="60"/>
              <w:rPr>
                <w:rFonts w:cs="Arial"/>
                <w:sz w:val="14"/>
                <w:szCs w:val="14"/>
              </w:rPr>
            </w:pPr>
            <w:r w:rsidRPr="000B4241">
              <w:rPr>
                <w:rFonts w:cs="Arial"/>
                <w:sz w:val="14"/>
                <w:szCs w:val="14"/>
              </w:rPr>
              <w:t>Processing time of e-Travel Authorization (TA) and e-Event Request (subject to respected deadline)</w:t>
            </w:r>
          </w:p>
        </w:tc>
        <w:tc>
          <w:tcPr>
            <w:tcW w:w="1417" w:type="dxa"/>
            <w:shd w:val="clear" w:color="auto" w:fill="auto"/>
            <w:tcMar>
              <w:top w:w="113" w:type="dxa"/>
            </w:tcMar>
          </w:tcPr>
          <w:p w:rsidR="000B4241" w:rsidRPr="000B4241" w:rsidRDefault="000B4241" w:rsidP="006B173C">
            <w:pPr>
              <w:spacing w:before="60"/>
              <w:jc w:val="center"/>
              <w:rPr>
                <w:rFonts w:cs="Arial"/>
                <w:sz w:val="14"/>
                <w:szCs w:val="14"/>
              </w:rPr>
            </w:pPr>
            <w:r w:rsidRPr="000B4241">
              <w:rPr>
                <w:rFonts w:cs="Arial"/>
                <w:sz w:val="14"/>
                <w:szCs w:val="14"/>
              </w:rPr>
              <w:t xml:space="preserve">Program 24 </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6B173C">
            <w:pPr>
              <w:spacing w:before="60"/>
              <w:rPr>
                <w:rFonts w:cs="Arial"/>
                <w:sz w:val="14"/>
                <w:szCs w:val="14"/>
              </w:rPr>
            </w:pPr>
            <w:r w:rsidRPr="000B4241">
              <w:rPr>
                <w:rFonts w:cs="Arial"/>
                <w:sz w:val="14"/>
                <w:szCs w:val="14"/>
              </w:rPr>
              <w:t>Processing time for 3rd party visas</w:t>
            </w:r>
          </w:p>
        </w:tc>
        <w:tc>
          <w:tcPr>
            <w:tcW w:w="1417" w:type="dxa"/>
            <w:shd w:val="clear" w:color="auto" w:fill="auto"/>
            <w:tcMar>
              <w:top w:w="113" w:type="dxa"/>
            </w:tcMar>
          </w:tcPr>
          <w:p w:rsidR="000B4241" w:rsidRPr="000B4241" w:rsidRDefault="000B4241" w:rsidP="006B173C">
            <w:pPr>
              <w:spacing w:before="6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Reduction in travel costs as a result of e-conferences and video conferences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color w:val="008000"/>
                <w:sz w:val="22"/>
                <w:szCs w:val="22"/>
              </w:rPr>
            </w:pPr>
            <w:r w:rsidRPr="007A05CE">
              <w:rPr>
                <w:rFonts w:cs="Arial"/>
                <w:color w:val="A6A6A6" w:themeColor="background1" w:themeShade="A6"/>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Reduced time from submission to completion of standard human resources transactions (education, grant, dependency allowances)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spacing w:before="20"/>
              <w:jc w:val="center"/>
              <w:rPr>
                <w:rFonts w:cs="Arial"/>
                <w:color w:val="FF0000"/>
                <w:sz w:val="22"/>
                <w:szCs w:val="22"/>
              </w:rPr>
            </w:pPr>
            <w:r w:rsidRPr="000B4241">
              <w:rPr>
                <w:rFonts w:cs="Arial"/>
                <w:color w:val="FF0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Ratio of employees (full time equivalent) to human resources staff</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spacing w:before="20"/>
              <w:jc w:val="center"/>
              <w:rPr>
                <w:sz w:val="22"/>
                <w:szCs w:val="22"/>
              </w:rPr>
            </w:pPr>
            <w:r w:rsidRPr="000B4241">
              <w:rPr>
                <w:rFonts w:cs="Arial"/>
                <w:color w:val="FF0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staff satisfied with HR services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spacing w:before="20"/>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Productivity rate for calculations, data input and collection and provision of statistics (mail delivery)</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PCT Media batch in paper and electronic format on time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 of Madrid Notifications in paper format on time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Madrid Romarin in electronic format on time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sz w:val="22"/>
                <w:szCs w:val="22"/>
              </w:rPr>
            </w:pPr>
            <w:r w:rsidRPr="000B4241">
              <w:rPr>
                <w:rFonts w:cs="Arial"/>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 of internal and external users satisfied with WIPO's conference services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Translation productivity standards and cost per page of translation</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A comprehensive language policy adopted by Member States together with related resource allocation requirements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27</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Outsourcing in operation and provision of IT technical infrastructure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WIPO meetings are accessible real-time over the Internet or after the event</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communication channels seamlessly integrated</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Rental of additional workplaces and related facilities (assuming same headcount as end 2011)</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No. of main technical installations (electrical, sanitary, heating and cooling) improved in line with applicable standards (to be defined)</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24 </w:t>
            </w:r>
          </w:p>
        </w:tc>
        <w:tc>
          <w:tcPr>
            <w:tcW w:w="1163" w:type="dxa"/>
          </w:tcPr>
          <w:p w:rsidR="000B4241" w:rsidRPr="000B4241" w:rsidRDefault="000B4241" w:rsidP="000B4241">
            <w:pPr>
              <w:jc w:val="center"/>
              <w:rPr>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6B173C">
            <w:pPr>
              <w:keepNext/>
              <w:keepLines/>
              <w:spacing w:before="60"/>
              <w:rPr>
                <w:rFonts w:cs="Arial"/>
                <w:sz w:val="14"/>
                <w:szCs w:val="14"/>
              </w:rPr>
            </w:pPr>
            <w:r w:rsidRPr="000B4241">
              <w:rPr>
                <w:rFonts w:cs="Arial"/>
                <w:sz w:val="14"/>
                <w:szCs w:val="14"/>
              </w:rPr>
              <w:t>ICT investments are closely aligned with strategic priorities and yield business benefits</w:t>
            </w:r>
          </w:p>
        </w:tc>
        <w:tc>
          <w:tcPr>
            <w:tcW w:w="3799" w:type="dxa"/>
            <w:shd w:val="clear" w:color="auto" w:fill="auto"/>
            <w:tcMar>
              <w:top w:w="113" w:type="dxa"/>
            </w:tcMar>
          </w:tcPr>
          <w:p w:rsidR="000B4241" w:rsidRPr="000B4241" w:rsidRDefault="000B4241" w:rsidP="006B173C">
            <w:pPr>
              <w:keepNext/>
              <w:keepLines/>
              <w:spacing w:before="60"/>
              <w:rPr>
                <w:rFonts w:cs="Arial"/>
                <w:sz w:val="14"/>
                <w:szCs w:val="14"/>
              </w:rPr>
            </w:pPr>
            <w:r w:rsidRPr="000B4241">
              <w:rPr>
                <w:rFonts w:cs="Arial"/>
                <w:sz w:val="14"/>
                <w:szCs w:val="14"/>
              </w:rPr>
              <w:t>% of projects having benefit realization assessed post project implementation</w:t>
            </w:r>
          </w:p>
        </w:tc>
        <w:tc>
          <w:tcPr>
            <w:tcW w:w="1417" w:type="dxa"/>
            <w:shd w:val="clear" w:color="auto" w:fill="auto"/>
            <w:tcMar>
              <w:top w:w="113" w:type="dxa"/>
            </w:tcMar>
          </w:tcPr>
          <w:p w:rsidR="000B4241" w:rsidRPr="000B4241" w:rsidRDefault="000B4241" w:rsidP="006B173C">
            <w:pPr>
              <w:keepNext/>
              <w:keepLines/>
              <w:spacing w:before="6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keepNext/>
              <w:keepLines/>
              <w:spacing w:before="20"/>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6B173C">
            <w:pPr>
              <w:spacing w:before="60"/>
              <w:rPr>
                <w:rFonts w:cs="Arial"/>
                <w:sz w:val="14"/>
                <w:szCs w:val="14"/>
              </w:rPr>
            </w:pPr>
            <w:r w:rsidRPr="000B4241">
              <w:rPr>
                <w:rFonts w:cs="Arial"/>
                <w:sz w:val="14"/>
                <w:szCs w:val="14"/>
              </w:rPr>
              <w:t>Maturity level of ITIL implementation based upon the official self-assessment on scale 5</w:t>
            </w:r>
          </w:p>
        </w:tc>
        <w:tc>
          <w:tcPr>
            <w:tcW w:w="1417" w:type="dxa"/>
            <w:shd w:val="clear" w:color="auto" w:fill="auto"/>
            <w:tcMar>
              <w:top w:w="113" w:type="dxa"/>
            </w:tcMar>
          </w:tcPr>
          <w:p w:rsidR="000B4241" w:rsidRPr="000B4241" w:rsidRDefault="000B4241" w:rsidP="006B173C">
            <w:pPr>
              <w:spacing w:before="6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spacing w:before="20"/>
              <w:jc w:val="center"/>
              <w:rPr>
                <w:color w:val="006600"/>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6B173C">
            <w:pPr>
              <w:spacing w:before="60"/>
              <w:rPr>
                <w:rFonts w:cs="Arial"/>
                <w:sz w:val="14"/>
                <w:szCs w:val="14"/>
              </w:rPr>
            </w:pPr>
            <w:r w:rsidRPr="000B4241">
              <w:rPr>
                <w:rFonts w:cs="Arial"/>
                <w:sz w:val="14"/>
                <w:szCs w:val="14"/>
              </w:rPr>
              <w:t xml:space="preserve">Efficient and effective results-based programmatic and financial planning, processing, implementation, assessment and reporting </w:t>
            </w:r>
          </w:p>
        </w:tc>
        <w:tc>
          <w:tcPr>
            <w:tcW w:w="3799" w:type="dxa"/>
            <w:shd w:val="clear" w:color="auto" w:fill="auto"/>
            <w:tcMar>
              <w:top w:w="113" w:type="dxa"/>
            </w:tcMar>
          </w:tcPr>
          <w:p w:rsidR="000B4241" w:rsidRPr="000B4241" w:rsidRDefault="000B4241" w:rsidP="006B173C">
            <w:pPr>
              <w:spacing w:before="60"/>
              <w:rPr>
                <w:sz w:val="14"/>
                <w:szCs w:val="14"/>
                <w:lang w:bidi="th-TH"/>
              </w:rPr>
            </w:pPr>
            <w:r w:rsidRPr="000B4241">
              <w:rPr>
                <w:sz w:val="14"/>
                <w:szCs w:val="14"/>
                <w:lang w:bidi="th-TH"/>
              </w:rPr>
              <w:t>% of WIPO Programs using performance data for managing Program performance</w:t>
            </w:r>
          </w:p>
        </w:tc>
        <w:tc>
          <w:tcPr>
            <w:tcW w:w="1417" w:type="dxa"/>
            <w:shd w:val="clear" w:color="auto" w:fill="auto"/>
            <w:noWrap/>
            <w:tcMar>
              <w:top w:w="113" w:type="dxa"/>
            </w:tcMar>
          </w:tcPr>
          <w:p w:rsidR="000B4241" w:rsidRPr="000B4241" w:rsidRDefault="000B4241" w:rsidP="006B173C">
            <w:pPr>
              <w:spacing w:before="60"/>
              <w:jc w:val="center"/>
              <w:rPr>
                <w:rFonts w:cs="Arial"/>
                <w:sz w:val="14"/>
                <w:szCs w:val="14"/>
              </w:rPr>
            </w:pPr>
            <w:r w:rsidRPr="000B4241">
              <w:rPr>
                <w:rFonts w:cs="Arial"/>
                <w:sz w:val="14"/>
                <w:szCs w:val="14"/>
              </w:rPr>
              <w:t xml:space="preserve">Program 22 </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sz w:val="14"/>
                <w:szCs w:val="14"/>
                <w:lang w:bidi="th-TH"/>
              </w:rPr>
            </w:pPr>
            <w:r w:rsidRPr="000B4241">
              <w:rPr>
                <w:sz w:val="14"/>
                <w:szCs w:val="14"/>
                <w:lang w:bidi="th-TH"/>
              </w:rPr>
              <w:t>% of (WIPO) respondents who perceive that WIPO is accountable for its results</w:t>
            </w:r>
            <w:r w:rsidR="006B173C">
              <w:rPr>
                <w:sz w:val="14"/>
                <w:szCs w:val="14"/>
                <w:lang w:bidi="th-TH"/>
              </w:rPr>
              <w:br/>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22 </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Financial operations and budget management conform to the provisions of the applicable WIPO conventions and treaties, the WIPO Financial Rules and regulations and applicable accounting standards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22 </w:t>
            </w:r>
          </w:p>
        </w:tc>
        <w:tc>
          <w:tcPr>
            <w:tcW w:w="1163" w:type="dxa"/>
          </w:tcPr>
          <w:p w:rsidR="000B4241" w:rsidRPr="000B4241" w:rsidRDefault="000B4241" w:rsidP="000B4241">
            <w:pPr>
              <w:jc w:val="center"/>
              <w:rPr>
                <w:color w:val="E36C0A" w:themeColor="accent6" w:themeShade="BF"/>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Satisfactory financial report from the External Auditors confirms the conformity of accounting operations with applicable regulations, rules and standards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 xml:space="preserve">Program 22 </w:t>
            </w:r>
          </w:p>
        </w:tc>
        <w:tc>
          <w:tcPr>
            <w:tcW w:w="1163" w:type="dxa"/>
          </w:tcPr>
          <w:p w:rsidR="000B4241" w:rsidRPr="000B4241" w:rsidRDefault="008E7E92" w:rsidP="000B4241">
            <w:pPr>
              <w:jc w:val="center"/>
              <w:rPr>
                <w:color w:val="00B050"/>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Well managed, diversified, motivated and appropriately skilled professional workforce</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staff whose performance is evaluated against their individual objectives and competencies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00B05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Recruitment lead time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00B05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total mass salary invested in staff development</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Geographical diversity - % of Member States represented</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women in professional and higher positions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FF0000"/>
                <w:sz w:val="22"/>
                <w:szCs w:val="22"/>
              </w:rPr>
            </w:pPr>
            <w:r w:rsidRPr="000B4241">
              <w:rPr>
                <w:rFonts w:cs="Arial"/>
                <w:color w:val="FF0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Decreased absenteeism</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FF0000"/>
                <w:sz w:val="22"/>
                <w:szCs w:val="22"/>
              </w:rPr>
            </w:pPr>
            <w:r w:rsidRPr="000B4241">
              <w:rPr>
                <w:rFonts w:cs="Arial"/>
                <w:color w:val="FF0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Decreased appeals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23</w:t>
            </w:r>
          </w:p>
        </w:tc>
        <w:tc>
          <w:tcPr>
            <w:tcW w:w="1163" w:type="dxa"/>
          </w:tcPr>
          <w:p w:rsidR="000B4241" w:rsidRPr="000B4241" w:rsidRDefault="000B4241" w:rsidP="000B4241">
            <w:pPr>
              <w:jc w:val="center"/>
              <w:rPr>
                <w:color w:val="FF0000"/>
                <w:sz w:val="22"/>
                <w:szCs w:val="22"/>
              </w:rPr>
            </w:pPr>
            <w:r w:rsidRPr="000B4241">
              <w:rPr>
                <w:rFonts w:cs="Arial"/>
                <w:color w:val="FF0000"/>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WIPO staff, delegates, visitors and information and physical assets are safe and secure</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WIPO staff, delegates and visitors reporting a work related injury or incident</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28</w:t>
            </w:r>
          </w:p>
        </w:tc>
        <w:tc>
          <w:tcPr>
            <w:tcW w:w="1163" w:type="dxa"/>
          </w:tcPr>
          <w:p w:rsidR="000B4241" w:rsidRPr="000B4241" w:rsidRDefault="000B4241" w:rsidP="000B4241">
            <w:pPr>
              <w:jc w:val="center"/>
              <w:rPr>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timely requests for safety &amp; security assistance at conferences or events held in or outside of Geneva</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28</w:t>
            </w:r>
          </w:p>
        </w:tc>
        <w:tc>
          <w:tcPr>
            <w:tcW w:w="1163" w:type="dxa"/>
          </w:tcPr>
          <w:p w:rsidR="000B4241" w:rsidRPr="000B4241" w:rsidRDefault="000B4241" w:rsidP="000B4241">
            <w:pPr>
              <w:jc w:val="center"/>
              <w:rPr>
                <w:sz w:val="22"/>
                <w:szCs w:val="22"/>
              </w:rPr>
            </w:pPr>
            <w:r w:rsidRPr="000B4241">
              <w:rPr>
                <w:rFonts w:cs="Arial"/>
                <w:color w:val="008000"/>
                <w:sz w:val="22"/>
                <w:szCs w:val="22"/>
              </w:rPr>
              <w:sym w:font="Wingdings" w:char="F06C"/>
            </w: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Comprehensiveness and relevance of the set of information security policies, procedures and standards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noWrap/>
            <w:tcMar>
              <w:top w:w="113" w:type="dxa"/>
            </w:tcMar>
          </w:tcPr>
          <w:p w:rsidR="000B4241" w:rsidRPr="000B4241" w:rsidRDefault="000B4241" w:rsidP="000B4241">
            <w:pPr>
              <w:spacing w:before="8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Up-to-date information security risk registry</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25</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Costs related to the new administrative building are kept to a minimum</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Use of remaining funds available under the approved consolidated budget and provisions during the construction guarantee period</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29</w:t>
            </w:r>
          </w:p>
        </w:tc>
        <w:tc>
          <w:tcPr>
            <w:tcW w:w="1163" w:type="dxa"/>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New conference hall and related facilities available for meetings of Member States </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Construction of new conference hall and related facilities in compliance with the approved quality, budget and time framework</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29</w:t>
            </w:r>
          </w:p>
        </w:tc>
        <w:tc>
          <w:tcPr>
            <w:tcW w:w="1163" w:type="dxa"/>
          </w:tcPr>
          <w:p w:rsidR="000B4241" w:rsidRPr="000B4241" w:rsidRDefault="000B4241" w:rsidP="000B4241">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xml:space="preserve">Enhanced </w:t>
            </w:r>
            <w:r w:rsidRPr="000B4241">
              <w:rPr>
                <w:rFonts w:cs="Arial"/>
                <w:sz w:val="14"/>
                <w:szCs w:val="14"/>
              </w:rPr>
              <w:t>coordination</w:t>
            </w:r>
            <w:r w:rsidRPr="000B4241">
              <w:rPr>
                <w:rFonts w:cs="Arial"/>
                <w:color w:val="000000"/>
                <w:sz w:val="14"/>
                <w:szCs w:val="14"/>
              </w:rPr>
              <w:t xml:space="preserve"> and coherence within the Secretariat</w:t>
            </w:r>
          </w:p>
        </w:tc>
        <w:tc>
          <w:tcPr>
            <w:tcW w:w="379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sz w:val="14"/>
                <w:szCs w:val="14"/>
              </w:rPr>
              <w:t>Completion</w:t>
            </w:r>
            <w:r w:rsidRPr="000B4241">
              <w:rPr>
                <w:rFonts w:cs="Arial"/>
                <w:color w:val="000000"/>
                <w:sz w:val="14"/>
                <w:szCs w:val="14"/>
              </w:rPr>
              <w:t xml:space="preserve"> of the SRP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noWrap/>
            <w:tcMar>
              <w:top w:w="113" w:type="dxa"/>
            </w:tcMar>
          </w:tcPr>
          <w:p w:rsidR="000B4241" w:rsidRPr="000B4241" w:rsidRDefault="000B4241" w:rsidP="000B4241">
            <w:pPr>
              <w:keepNext/>
              <w:keepLines/>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keepNext/>
              <w:keepLines/>
              <w:spacing w:before="80"/>
              <w:rPr>
                <w:rFonts w:cs="Arial"/>
                <w:color w:val="000000"/>
                <w:sz w:val="14"/>
                <w:szCs w:val="14"/>
              </w:rPr>
            </w:pPr>
            <w:r w:rsidRPr="000B4241">
              <w:rPr>
                <w:rFonts w:cs="Arial"/>
                <w:sz w:val="14"/>
                <w:szCs w:val="14"/>
              </w:rPr>
              <w:t>Achievement</w:t>
            </w:r>
            <w:r w:rsidRPr="000B4241">
              <w:rPr>
                <w:rFonts w:cs="Arial"/>
                <w:color w:val="000000"/>
                <w:sz w:val="14"/>
                <w:szCs w:val="14"/>
              </w:rPr>
              <w:t xml:space="preserve"> of SRP Value Level Outcomes</w:t>
            </w:r>
          </w:p>
        </w:tc>
        <w:tc>
          <w:tcPr>
            <w:tcW w:w="1417" w:type="dxa"/>
            <w:shd w:val="clear" w:color="auto" w:fill="auto"/>
            <w:tcMar>
              <w:top w:w="113" w:type="dxa"/>
            </w:tcMar>
          </w:tcPr>
          <w:p w:rsidR="000B4241" w:rsidRPr="000B4241" w:rsidRDefault="000B4241" w:rsidP="000B4241">
            <w:pPr>
              <w:keepNext/>
              <w:keepLines/>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keepNext/>
              <w:keepLines/>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queries for legal advice which receive a response from the Office of the Legal Counsel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of adherence notifications processed in a timely manner</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p>
          <w:p w:rsidR="000B4241" w:rsidRPr="000B4241" w:rsidRDefault="000B4241" w:rsidP="000B4241">
            <w:pPr>
              <w:spacing w:before="80"/>
              <w:rPr>
                <w:rFonts w:cs="Arial"/>
                <w:sz w:val="14"/>
                <w:szCs w:val="14"/>
              </w:rPr>
            </w:pPr>
          </w:p>
          <w:p w:rsidR="000B4241" w:rsidRPr="000B4241" w:rsidRDefault="000B4241" w:rsidP="000B4241">
            <w:pPr>
              <w:spacing w:before="80"/>
              <w:rPr>
                <w:rFonts w:cs="Arial"/>
                <w:color w:val="000000"/>
                <w:sz w:val="14"/>
                <w:szCs w:val="14"/>
              </w:rPr>
            </w:pPr>
            <w:r w:rsidRPr="000B4241">
              <w:rPr>
                <w:rFonts w:cs="Arial"/>
                <w:sz w:val="14"/>
                <w:szCs w:val="14"/>
              </w:rPr>
              <w:t>Improved</w:t>
            </w:r>
            <w:r w:rsidRPr="000B4241">
              <w:rPr>
                <w:rFonts w:cs="Arial"/>
                <w:color w:val="000000"/>
                <w:sz w:val="14"/>
                <w:szCs w:val="14"/>
              </w:rPr>
              <w:t xml:space="preserve"> working environment supported by enabling regulatory framework and effective channels to address staff concerns</w:t>
            </w:r>
          </w:p>
        </w:tc>
        <w:tc>
          <w:tcPr>
            <w:tcW w:w="379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xml:space="preserve">% of users satisfied with standard of service </w:t>
            </w:r>
            <w:r w:rsidRPr="000B4241">
              <w:rPr>
                <w:rFonts w:cs="Arial"/>
                <w:sz w:val="14"/>
                <w:szCs w:val="14"/>
              </w:rPr>
              <w:t>obtained</w:t>
            </w:r>
            <w:r w:rsidRPr="000B4241">
              <w:rPr>
                <w:rFonts w:cs="Arial"/>
                <w:color w:val="000000"/>
                <w:sz w:val="14"/>
                <w:szCs w:val="14"/>
              </w:rPr>
              <w:t xml:space="preserve"> from Ombuds-Office</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spacing w:before="20"/>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noWrap/>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color w:val="000000"/>
                <w:sz w:val="14"/>
                <w:szCs w:val="14"/>
              </w:rPr>
            </w:pPr>
            <w:r w:rsidRPr="000B4241">
              <w:rPr>
                <w:rFonts w:cs="Arial"/>
                <w:color w:val="000000"/>
                <w:sz w:val="14"/>
                <w:szCs w:val="14"/>
              </w:rPr>
              <w:t>% of staff aware of WIPO ethical principles and policies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21</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Reduced impact of WIPO’s activities on the environment </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Programs with environmental improvement indicators, baselines and targets.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sz w:val="22"/>
                <w:szCs w:val="22"/>
              </w:rPr>
            </w:pPr>
            <w:r w:rsidRPr="000B4241">
              <w:rPr>
                <w:rFonts w:cs="Arial"/>
                <w:color w:val="FF0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of reduction in carbon emissions in respect of energy consumption (in relation to WIPO buildings)</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sz w:val="22"/>
                <w:szCs w:val="22"/>
              </w:rPr>
            </w:pPr>
            <w:r w:rsidRPr="000B4241">
              <w:rPr>
                <w:rFonts w:cs="Arial"/>
                <w:color w:val="A6A6A6" w:themeColor="background1" w:themeShade="A6"/>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Improved physical access to the WIPO Campus </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relevant Programs with physical accessibility indicators, baselines and targets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24</w:t>
            </w:r>
          </w:p>
        </w:tc>
        <w:tc>
          <w:tcPr>
            <w:tcW w:w="1163" w:type="dxa"/>
          </w:tcPr>
          <w:p w:rsidR="000B4241" w:rsidRPr="000B4241" w:rsidRDefault="000B4241" w:rsidP="000B4241">
            <w:pPr>
              <w:jc w:val="center"/>
              <w:rPr>
                <w:sz w:val="22"/>
                <w:szCs w:val="22"/>
              </w:rPr>
            </w:pPr>
            <w:r w:rsidRPr="000B4241">
              <w:rPr>
                <w:rFonts w:cs="Arial"/>
                <w:color w:val="E36C0A" w:themeColor="accent6" w:themeShade="BF"/>
                <w:sz w:val="22"/>
                <w:szCs w:val="22"/>
              </w:rPr>
              <w:sym w:font="Wingdings" w:char="F06C"/>
            </w:r>
          </w:p>
        </w:tc>
      </w:tr>
      <w:tr w:rsidR="000B4241" w:rsidRPr="00FD430C" w:rsidTr="000B4241">
        <w:trPr>
          <w:cantSplit/>
        </w:trPr>
        <w:tc>
          <w:tcPr>
            <w:tcW w:w="2987" w:type="dxa"/>
            <w:vMerge w:val="restart"/>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An effective and professional internal audit function is in place covering all high risk work areas</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 xml:space="preserve">No. of audits performed in high risk areas </w:t>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The professional standards, code of ethics, and practice advisories of the Institute of Internal Auditors (IIA) are applied</w:t>
            </w:r>
            <w:r w:rsidR="006B173C">
              <w:rPr>
                <w:rFonts w:cs="Arial"/>
                <w:sz w:val="14"/>
                <w:szCs w:val="14"/>
              </w:rPr>
              <w:br/>
            </w:r>
          </w:p>
        </w:tc>
        <w:tc>
          <w:tcPr>
            <w:tcW w:w="1417" w:type="dxa"/>
            <w:shd w:val="clear" w:color="auto" w:fill="auto"/>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rFonts w:cs="Arial"/>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vMerge/>
            <w:shd w:val="clear" w:color="auto" w:fill="auto"/>
            <w:tcMar>
              <w:top w:w="113" w:type="dxa"/>
            </w:tcMar>
          </w:tcPr>
          <w:p w:rsidR="000B4241" w:rsidRPr="000B4241" w:rsidRDefault="000B4241" w:rsidP="000B4241">
            <w:pPr>
              <w:spacing w:before="80"/>
              <w:ind w:firstLineChars="100" w:firstLine="140"/>
              <w:rPr>
                <w:rFonts w:cs="Arial"/>
                <w:sz w:val="14"/>
                <w:szCs w:val="14"/>
              </w:rPr>
            </w:pP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Complete and accurate tracking of the implementation of oversight recommendations, showing all historical recommendations made, new ones added and their status</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Investigation reports provide a sound basis for decision making by the Director General.</w:t>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Investigation activity is carried out in accordance with the Internal Oversight Charter, UN Uniform Guidelines for Investigation, the Investigation Procedures Manual and the Investigation Policy (currently in draft).</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r w:rsidR="000B4241" w:rsidRPr="00FD430C" w:rsidTr="000B4241">
        <w:trPr>
          <w:cantSplit/>
        </w:trPr>
        <w:tc>
          <w:tcPr>
            <w:tcW w:w="2987"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Evidence-based evaluative information is available to senior management, program managers and Member States for decision making</w:t>
            </w:r>
            <w:r w:rsidR="00A34E56">
              <w:rPr>
                <w:rFonts w:cs="Arial"/>
                <w:sz w:val="14"/>
                <w:szCs w:val="14"/>
              </w:rPr>
              <w:br/>
            </w:r>
          </w:p>
        </w:tc>
        <w:tc>
          <w:tcPr>
            <w:tcW w:w="3799" w:type="dxa"/>
            <w:shd w:val="clear" w:color="auto" w:fill="auto"/>
            <w:tcMar>
              <w:top w:w="113" w:type="dxa"/>
            </w:tcMar>
          </w:tcPr>
          <w:p w:rsidR="000B4241" w:rsidRPr="000B4241" w:rsidRDefault="000B4241" w:rsidP="000B4241">
            <w:pPr>
              <w:spacing w:before="80"/>
              <w:rPr>
                <w:rFonts w:cs="Arial"/>
                <w:sz w:val="14"/>
                <w:szCs w:val="14"/>
              </w:rPr>
            </w:pPr>
            <w:r w:rsidRPr="000B4241">
              <w:rPr>
                <w:rFonts w:cs="Arial"/>
                <w:sz w:val="14"/>
                <w:szCs w:val="14"/>
              </w:rPr>
              <w:t>Evaluations are produced in line with the Evaluation Policy and Evaluation Section Procedures Manual.</w:t>
            </w:r>
          </w:p>
        </w:tc>
        <w:tc>
          <w:tcPr>
            <w:tcW w:w="1417" w:type="dxa"/>
            <w:shd w:val="clear" w:color="auto" w:fill="auto"/>
            <w:noWrap/>
            <w:tcMar>
              <w:top w:w="113" w:type="dxa"/>
            </w:tcMar>
          </w:tcPr>
          <w:p w:rsidR="000B4241" w:rsidRPr="000B4241" w:rsidRDefault="000B4241" w:rsidP="000B4241">
            <w:pPr>
              <w:spacing w:before="80"/>
              <w:jc w:val="center"/>
              <w:rPr>
                <w:rFonts w:cs="Arial"/>
                <w:sz w:val="14"/>
                <w:szCs w:val="14"/>
              </w:rPr>
            </w:pPr>
            <w:r w:rsidRPr="000B4241">
              <w:rPr>
                <w:rFonts w:cs="Arial"/>
                <w:sz w:val="14"/>
                <w:szCs w:val="14"/>
              </w:rPr>
              <w:t>Program 26</w:t>
            </w:r>
          </w:p>
        </w:tc>
        <w:tc>
          <w:tcPr>
            <w:tcW w:w="1163" w:type="dxa"/>
          </w:tcPr>
          <w:p w:rsidR="000B4241" w:rsidRPr="000B4241" w:rsidRDefault="000B4241" w:rsidP="000B4241">
            <w:pPr>
              <w:jc w:val="center"/>
              <w:rPr>
                <w:color w:val="008000"/>
                <w:sz w:val="22"/>
                <w:szCs w:val="22"/>
              </w:rPr>
            </w:pPr>
            <w:r w:rsidRPr="000B4241">
              <w:rPr>
                <w:rFonts w:cs="Arial"/>
                <w:color w:val="008000"/>
                <w:sz w:val="22"/>
                <w:szCs w:val="22"/>
              </w:rPr>
              <w:sym w:font="Wingdings" w:char="F06C"/>
            </w:r>
          </w:p>
        </w:tc>
      </w:tr>
    </w:tbl>
    <w:p w:rsidR="005E3A6D" w:rsidRDefault="005E3A6D" w:rsidP="00B06EC8">
      <w:pPr>
        <w:jc w:val="both"/>
      </w:pPr>
    </w:p>
    <w:p w:rsidR="000B4241" w:rsidRPr="00812B04" w:rsidRDefault="000B4241" w:rsidP="00B06EC8">
      <w:pPr>
        <w:jc w:val="both"/>
      </w:pPr>
    </w:p>
    <w:p w:rsidR="00B06EC8" w:rsidRPr="00812B04" w:rsidRDefault="00B06EC8" w:rsidP="00B06EC8">
      <w:pPr>
        <w:jc w:val="both"/>
      </w:pPr>
      <w:r w:rsidRPr="00812B04">
        <w:t>The Administration and Management, through its Programs, enabled the Organization in delivering the results expected by Member States and stakeholders, on the one hand, while navigating through the continuing financial instability and serious uncertainties in the economic environment, on the other hand.</w:t>
      </w:r>
    </w:p>
    <w:p w:rsidR="00B06EC8" w:rsidRPr="00812B04" w:rsidRDefault="00B06EC8" w:rsidP="00B06EC8">
      <w:pPr>
        <w:jc w:val="both"/>
      </w:pPr>
      <w:r w:rsidRPr="00812B04">
        <w:br/>
        <w:t xml:space="preserve">Despite these uncertainties, WIPO closed the biennium with a positive overall result of 34.6 million </w:t>
      </w:r>
      <w:r w:rsidR="00003187" w:rsidRPr="00812B04">
        <w:t>Swiss</w:t>
      </w:r>
      <w:r w:rsidR="00003187">
        <w:t> </w:t>
      </w:r>
      <w:r w:rsidRPr="00812B04">
        <w:t xml:space="preserve">francs on an IPSAS basis, as a result of higher than expected income, the implementation of cost efficiency measures and </w:t>
      </w:r>
      <w:r w:rsidR="00BE77B4">
        <w:t>prudent</w:t>
      </w:r>
      <w:r w:rsidR="00BE77B4" w:rsidRPr="00812B04">
        <w:t xml:space="preserve"> </w:t>
      </w:r>
      <w:r w:rsidRPr="00812B04">
        <w:t xml:space="preserve">management of expenditure. </w:t>
      </w:r>
    </w:p>
    <w:p w:rsidR="00B06EC8" w:rsidRPr="00812B04" w:rsidRDefault="00B06EC8" w:rsidP="00B06EC8">
      <w:pPr>
        <w:jc w:val="both"/>
      </w:pPr>
    </w:p>
    <w:p w:rsidR="00B06EC8" w:rsidRPr="00812B04" w:rsidRDefault="00B06EC8" w:rsidP="00B06EC8">
      <w:pPr>
        <w:tabs>
          <w:tab w:val="left" w:pos="709"/>
        </w:tabs>
        <w:autoSpaceDE w:val="0"/>
        <w:autoSpaceDN w:val="0"/>
        <w:adjustRightInd w:val="0"/>
        <w:jc w:val="both"/>
      </w:pPr>
      <w:r w:rsidRPr="00812B04">
        <w:t xml:space="preserve">The ERP portfolio of projects, approved by the WIPO General Assemblies in 2010, as part of the Administrative and Management Sector modernization, continued to make good progress.  The biennium 2012/13 saw the upgrade of PeopleSoft to its latest version (9.1) in 2012 in preparation for the implementation of the ERP portfolio of projects.  By the end of 2013, the development and testing phases of the Peoplesoft HR module were completed and the system subsequently launched in January 2014, becoming the new system of record for HR matters.  Under the Enterprise Performance Management (EPM) project, the 2012 and 2013 annual workplanning processes were further improved, supported by a first and second generation workplanning tool, closely aligning resources with Expected Results through the workplan activities.  For the first time, this enabled the Secretariat to perform cross-organizational analysis of workplan activities on several dimensions, such as results and countries, contributing to better coordination among implementing entities.  This system also allowed managers to track, for the first time, actual expenditure against their workplan during implementation. </w:t>
      </w:r>
      <w:r w:rsidR="005002F7">
        <w:t xml:space="preserve"> </w:t>
      </w:r>
      <w:r w:rsidRPr="00812B04">
        <w:t xml:space="preserve">In addition, the EPM tool to support the planning process for the biennium 2014/15 was completed and rolled-out to managers at the beginning of 2013.  The tool enhanced the efficiency of the planning process and considerably improved the ability to analyze Program Managers’ submissions. </w:t>
      </w:r>
      <w:r w:rsidR="005002F7">
        <w:t xml:space="preserve"> </w:t>
      </w:r>
      <w:r w:rsidRPr="00812B04">
        <w:t xml:space="preserve">Comprehensive briefings and trainings on the planning context, end-to-end processes and the use of the upgraded and new systems was provided to over </w:t>
      </w:r>
      <w:r w:rsidR="005002F7" w:rsidRPr="00812B04">
        <w:t>900</w:t>
      </w:r>
      <w:r w:rsidR="005002F7">
        <w:t> </w:t>
      </w:r>
      <w:r w:rsidRPr="00812B04">
        <w:t>staff throughout the biennium.</w:t>
      </w:r>
    </w:p>
    <w:p w:rsidR="00B06EC8" w:rsidRPr="00812B04" w:rsidRDefault="00B06EC8" w:rsidP="00B06EC8">
      <w:pPr>
        <w:jc w:val="both"/>
      </w:pPr>
    </w:p>
    <w:p w:rsidR="00B06EC8" w:rsidRPr="00812B04" w:rsidRDefault="00B06EC8" w:rsidP="00B06EC8">
      <w:pPr>
        <w:jc w:val="both"/>
      </w:pPr>
      <w:r w:rsidRPr="00812B04">
        <w:t xml:space="preserve">One of the initiatives implemented within the context of the SRP pertained to the strengthening of risk management and internal control systems of WIPO.  A number of important milestones were achieved in the biennium, carrying the Organization forward on the path established under its risk management roadmap, and on the way to having Enterprise Risk Management (ERM) fully implemented by the end of the 2016/17 biennium.  These milestones include the integration of risk management into the annual work planning cycle and the identification of risks and risk mitigation measures in the 2014/15 Program and Budget.  Risk assessment is currently performed across the Organization to identify risk events and estimate the likelihood of occurrence and impact on expected results, if they were to materialize.  This establishes the basis for developing appropriate risk responses to adequately address these risks either through one-off mitigation measures or recurring internal controls.  </w:t>
      </w:r>
    </w:p>
    <w:p w:rsidR="00B06EC8" w:rsidRPr="00812B04" w:rsidRDefault="00B06EC8" w:rsidP="00B06EC8">
      <w:pPr>
        <w:jc w:val="both"/>
      </w:pPr>
    </w:p>
    <w:p w:rsidR="00B06EC8" w:rsidRPr="00812B04" w:rsidRDefault="00B06EC8" w:rsidP="00B06EC8">
      <w:pPr>
        <w:jc w:val="both"/>
      </w:pPr>
      <w:r w:rsidRPr="00812B04">
        <w:t xml:space="preserve">The 2012/13 biennium saw the introduction of workforce planning as a key business activity in WIPO systematically integrated into the biennial and annual work planning cycles.  WIPO continued to pursue efforts to ensure that the Organization’s workforce is continually assessed against future workforce needs, thus ensuring that the Organization aligns its human resources to meet the needs of its Programs in the most efficient manner.  The outputs from the 2012 organizational design reviews were used to inform the 2014/15 Program and Budget biennial planning, ensuring appropriate human resources for each Program required for effective delivery of results.  Enhancements were also made in the EPM </w:t>
      </w:r>
      <w:r w:rsidRPr="00812B04">
        <w:lastRenderedPageBreak/>
        <w:t xml:space="preserve">system to allow for greater accuracy in the allocation of personnel to program activities and improved reporting on the use of the Organization’s human resources. </w:t>
      </w:r>
    </w:p>
    <w:p w:rsidR="00B06EC8" w:rsidRPr="00812B04" w:rsidRDefault="00B06EC8" w:rsidP="00B06EC8">
      <w:pPr>
        <w:jc w:val="both"/>
      </w:pPr>
      <w:r w:rsidRPr="00812B04">
        <w:t xml:space="preserve"> </w:t>
      </w:r>
    </w:p>
    <w:p w:rsidR="00B06EC8" w:rsidRPr="00812B04" w:rsidRDefault="00B06EC8" w:rsidP="00B06EC8">
      <w:pPr>
        <w:jc w:val="both"/>
      </w:pPr>
      <w:r w:rsidRPr="00812B04">
        <w:t xml:space="preserve">The regularization process for long-serving temporary employees, which was approved by Member States in 2010, was almost completed during the biennium. </w:t>
      </w:r>
      <w:r w:rsidR="005002F7">
        <w:t xml:space="preserve"> </w:t>
      </w:r>
      <w:r w:rsidRPr="00812B04">
        <w:t>Some 67 employees performing continuing functions and having five or more years of continuous and satisfactory service on January 1, 2012</w:t>
      </w:r>
      <w:r w:rsidR="005002F7">
        <w:t>,</w:t>
      </w:r>
      <w:r w:rsidRPr="00812B04">
        <w:t xml:space="preserve"> have been regularized over the biennium following a competitive process.  The regularization process will be completed by end 2014.  In addition, the implementation of the revised Staff Regulations and Rules (SRR) on recruitment, the new Appointment Board composition introduced in 2012 and streamlined recruitment processes significantly reduced the length of the recruitment process by 57 per cent to an average of 16 weeks compared to 37.7 weeks at the end of 2011.</w:t>
      </w:r>
    </w:p>
    <w:p w:rsidR="00B06EC8" w:rsidRPr="00812B04" w:rsidRDefault="00B06EC8" w:rsidP="00B06EC8">
      <w:pPr>
        <w:jc w:val="both"/>
      </w:pPr>
    </w:p>
    <w:p w:rsidR="00B06EC8" w:rsidRPr="00812B04" w:rsidRDefault="00B06EC8" w:rsidP="00B06EC8">
      <w:pPr>
        <w:jc w:val="both"/>
        <w:rPr>
          <w:rFonts w:eastAsia="MS Mincho"/>
          <w:lang w:eastAsia="ja-JP" w:bidi="th-TH"/>
        </w:rPr>
      </w:pPr>
      <w:r w:rsidRPr="00812B04">
        <w:rPr>
          <w:rFonts w:eastAsia="MS Mincho"/>
          <w:lang w:eastAsia="ja-JP" w:bidi="th-TH"/>
        </w:rPr>
        <w:t xml:space="preserve">Following an intensive consultative process, WIPO modernized its SRR, in line with ICSC standards and best practices in the UN common system.  The revised SSR entered into force on January 1, 2013, supported by a comprehensively updated Office Instruction framework.  WIPO also implemented a streamlined contractual framework in 2012, in line with ICSC recommendations.  The new framework accorded temporary staff the status of staff members, resulting in enhanced benefits.  In addition, a review of the internal justice system, which included a comprehensive study by an external expert and intensive consultations with various stakeholders, resulted in amendments to the SRR, which entered into force on January 1, 2014.  </w:t>
      </w:r>
    </w:p>
    <w:p w:rsidR="00B06EC8" w:rsidRPr="00812B04" w:rsidRDefault="00B06EC8" w:rsidP="00B06EC8">
      <w:pPr>
        <w:jc w:val="both"/>
        <w:rPr>
          <w:rFonts w:eastAsia="Batang"/>
          <w:bCs/>
          <w:lang w:eastAsia="ja-JP"/>
        </w:rPr>
      </w:pPr>
    </w:p>
    <w:p w:rsidR="00B06EC8" w:rsidRPr="00812B04" w:rsidRDefault="00B06EC8" w:rsidP="00B06EC8">
      <w:pPr>
        <w:pStyle w:val="Test"/>
        <w:numPr>
          <w:ilvl w:val="0"/>
          <w:numId w:val="0"/>
        </w:numPr>
        <w:jc w:val="both"/>
        <w:rPr>
          <w:sz w:val="20"/>
          <w:szCs w:val="20"/>
        </w:rPr>
      </w:pPr>
      <w:r w:rsidRPr="00812B04">
        <w:rPr>
          <w:sz w:val="20"/>
          <w:szCs w:val="20"/>
        </w:rPr>
        <w:t>In the area of procurement and travel, savings continued to be yielded from the tenders carried out through cooperation with ot</w:t>
      </w:r>
      <w:r w:rsidR="003B4CDB">
        <w:rPr>
          <w:sz w:val="20"/>
          <w:szCs w:val="20"/>
        </w:rPr>
        <w:t>her international organizations</w:t>
      </w:r>
      <w:r w:rsidRPr="00812B04">
        <w:rPr>
          <w:sz w:val="20"/>
          <w:szCs w:val="20"/>
        </w:rPr>
        <w:t>.  A major highlight of the biennium was the upgrading of the ERP procurement modules and the integration of non-staff travel requests into e-Works.  The regulatory framework was also updated and enhanced with a new procurement procedure for the completion of the New Conference Hall project, a code of conduct in managing supplier relationships and a new travel policy, including a change of threshold for business class travel entitlement.</w:t>
      </w:r>
    </w:p>
    <w:p w:rsidR="00B06EC8" w:rsidRPr="00812B04" w:rsidRDefault="00B06EC8" w:rsidP="00B06EC8">
      <w:pPr>
        <w:pStyle w:val="Test"/>
        <w:numPr>
          <w:ilvl w:val="0"/>
          <w:numId w:val="0"/>
        </w:numPr>
        <w:jc w:val="both"/>
        <w:rPr>
          <w:sz w:val="20"/>
          <w:szCs w:val="20"/>
        </w:rPr>
      </w:pPr>
    </w:p>
    <w:p w:rsidR="00B06EC8" w:rsidRPr="00812B04" w:rsidRDefault="00B06EC8" w:rsidP="00B06EC8">
      <w:pPr>
        <w:pStyle w:val="Test"/>
        <w:numPr>
          <w:ilvl w:val="0"/>
          <w:numId w:val="0"/>
        </w:numPr>
        <w:jc w:val="both"/>
        <w:rPr>
          <w:sz w:val="20"/>
          <w:szCs w:val="20"/>
        </w:rPr>
      </w:pPr>
      <w:r w:rsidRPr="00812B04">
        <w:rPr>
          <w:sz w:val="20"/>
          <w:szCs w:val="20"/>
        </w:rPr>
        <w:t xml:space="preserve">As regards ICT enhancements, specific accomplishments in the biennium included: </w:t>
      </w:r>
      <w:r w:rsidR="005002F7">
        <w:rPr>
          <w:sz w:val="20"/>
          <w:szCs w:val="20"/>
        </w:rPr>
        <w:t xml:space="preserve"> </w:t>
      </w:r>
      <w:r w:rsidRPr="00812B04">
        <w:rPr>
          <w:sz w:val="20"/>
          <w:szCs w:val="20"/>
        </w:rPr>
        <w:t xml:space="preserve">full deployment of a new internal data network architecture providing reinforced network security controls and effective handling of multimedia (voice, video and data) traffic; </w:t>
      </w:r>
      <w:r w:rsidR="005002F7">
        <w:rPr>
          <w:sz w:val="20"/>
          <w:szCs w:val="20"/>
        </w:rPr>
        <w:t xml:space="preserve"> </w:t>
      </w:r>
      <w:r w:rsidRPr="00812B04">
        <w:rPr>
          <w:sz w:val="20"/>
          <w:szCs w:val="20"/>
        </w:rPr>
        <w:t xml:space="preserve">a new IP Telephony system;  live broadcast over the Internet (via webcasting) of 40 WIPO meetings, as well as the Beijing and Marrakesh Diplomatic Conferences; </w:t>
      </w:r>
      <w:r w:rsidR="005002F7">
        <w:rPr>
          <w:sz w:val="20"/>
          <w:szCs w:val="20"/>
        </w:rPr>
        <w:t xml:space="preserve"> </w:t>
      </w:r>
      <w:r w:rsidRPr="00812B04">
        <w:rPr>
          <w:sz w:val="20"/>
          <w:szCs w:val="20"/>
        </w:rPr>
        <w:t xml:space="preserve">the upgrade of office productivity systems to industry-standard platforms; </w:t>
      </w:r>
      <w:r w:rsidR="005002F7">
        <w:rPr>
          <w:sz w:val="20"/>
          <w:szCs w:val="20"/>
        </w:rPr>
        <w:t xml:space="preserve"> </w:t>
      </w:r>
      <w:r w:rsidRPr="00812B04">
        <w:rPr>
          <w:sz w:val="20"/>
          <w:szCs w:val="20"/>
        </w:rPr>
        <w:t xml:space="preserve">implementation of a Web single sign-on (SSO) platform, allowing a more secure and efficient use of the new PeopleSoft and Oracle Hyperion EPM modules within the ERP portfolio; </w:t>
      </w:r>
      <w:r w:rsidR="005002F7">
        <w:rPr>
          <w:sz w:val="20"/>
          <w:szCs w:val="20"/>
        </w:rPr>
        <w:t xml:space="preserve"> </w:t>
      </w:r>
      <w:r w:rsidRPr="00812B04">
        <w:rPr>
          <w:sz w:val="20"/>
          <w:szCs w:val="20"/>
        </w:rPr>
        <w:t xml:space="preserve">and enhancements of a number of administrative applications resulting in increased efficiency of the administrative processes.  Also, in the field of Information Security, </w:t>
      </w:r>
      <w:r w:rsidR="00936FE4">
        <w:rPr>
          <w:sz w:val="20"/>
          <w:szCs w:val="20"/>
        </w:rPr>
        <w:t xml:space="preserve">WIPO achieved certification against the </w:t>
      </w:r>
      <w:r w:rsidRPr="00812B04">
        <w:rPr>
          <w:sz w:val="20"/>
          <w:szCs w:val="20"/>
        </w:rPr>
        <w:t>ISO 27001</w:t>
      </w:r>
      <w:r w:rsidR="00BE77B4">
        <w:rPr>
          <w:sz w:val="20"/>
          <w:szCs w:val="20"/>
        </w:rPr>
        <w:t>International Standard for Information Security M</w:t>
      </w:r>
      <w:r w:rsidR="00936FE4">
        <w:rPr>
          <w:sz w:val="20"/>
          <w:szCs w:val="20"/>
        </w:rPr>
        <w:t xml:space="preserve">anagement </w:t>
      </w:r>
      <w:r w:rsidR="00BE77B4">
        <w:rPr>
          <w:sz w:val="20"/>
          <w:szCs w:val="20"/>
        </w:rPr>
        <w:t>in November 2013</w:t>
      </w:r>
      <w:r w:rsidR="00936FE4">
        <w:rPr>
          <w:sz w:val="20"/>
          <w:szCs w:val="20"/>
        </w:rPr>
        <w:t>.</w:t>
      </w:r>
      <w:r w:rsidR="00BE77B4">
        <w:rPr>
          <w:sz w:val="20"/>
          <w:szCs w:val="20"/>
        </w:rPr>
        <w:t xml:space="preserve">  WIPO is one of only three UN entities to be awarded the certification.</w:t>
      </w:r>
      <w:r w:rsidRPr="00812B04">
        <w:rPr>
          <w:sz w:val="20"/>
          <w:szCs w:val="20"/>
        </w:rPr>
        <w:t xml:space="preserve">  Organizational resilience against external attacks, including Distributed Denial of Service attacks, was enhanced through the adoption of the Content Delivery Network and the deployment of enhanced technological controls.</w:t>
      </w:r>
    </w:p>
    <w:p w:rsidR="00B06EC8" w:rsidRPr="00812B04" w:rsidRDefault="00B06EC8" w:rsidP="00B06EC8">
      <w:pPr>
        <w:pStyle w:val="Test"/>
        <w:numPr>
          <w:ilvl w:val="0"/>
          <w:numId w:val="0"/>
        </w:numPr>
        <w:jc w:val="both"/>
        <w:rPr>
          <w:sz w:val="20"/>
          <w:szCs w:val="20"/>
        </w:rPr>
      </w:pPr>
    </w:p>
    <w:p w:rsidR="00B06EC8" w:rsidRPr="00812B04" w:rsidRDefault="00B06EC8" w:rsidP="00B06EC8">
      <w:pPr>
        <w:jc w:val="both"/>
        <w:rPr>
          <w:rFonts w:eastAsia="Batang"/>
          <w:bCs/>
          <w:lang w:eastAsia="ja-JP"/>
        </w:rPr>
      </w:pPr>
      <w:r w:rsidRPr="00812B04">
        <w:rPr>
          <w:rFonts w:eastAsia="Batang"/>
          <w:bCs/>
          <w:lang w:eastAsia="ja-JP"/>
        </w:rPr>
        <w:t>The implementation of the WIPO Language Policy, adopted by Member States at the 2011 Assemblies and initiated in 2012, was completed by the end of the biennium with six-language coverage provided to documentation for meetings of all WIPO Committees and Main Bodies.</w:t>
      </w:r>
    </w:p>
    <w:p w:rsidR="00B06EC8" w:rsidRPr="00812B04" w:rsidRDefault="00B06EC8" w:rsidP="00B06EC8">
      <w:pPr>
        <w:jc w:val="both"/>
        <w:rPr>
          <w:rFonts w:eastAsia="Batang"/>
          <w:bCs/>
          <w:lang w:eastAsia="ja-JP"/>
        </w:rPr>
      </w:pPr>
    </w:p>
    <w:p w:rsidR="00205A3D" w:rsidRPr="004C5DDE" w:rsidRDefault="00B06EC8" w:rsidP="004C5DDE">
      <w:pPr>
        <w:jc w:val="both"/>
      </w:pPr>
      <w:r w:rsidRPr="00812B04">
        <w:t xml:space="preserve">The worksite for the New Conference Hall Project opened in mid-August 2011, and the excavation and construction of the main structure were ongoing until end-2011.  During the first half of 2012, WIPO engaged in a series of high-level discussions with the former general contractor, which resulted in a joint and amicable separation.  As of August 2012, the worksite has been under the direct responsibility of WIPO.  Consequently, a number of modifications to the governance and project management structure, as well as to the contractual framework, were introduced, and additional mandates were given to the architect, pilot and engineering firms so as to distribute all the elements previously included in the mandate of the general contractor.  The adapted governance and project management structure brought added flexibility and agility and led to improved response times. </w:t>
      </w:r>
      <w:r w:rsidR="006A1795">
        <w:t xml:space="preserve"> </w:t>
      </w:r>
      <w:r w:rsidRPr="00812B04">
        <w:t xml:space="preserve">The aforementioned arrangements also facilitated dealing with a number of project modifications and unforeseen matters identified during project execution in a proactive and timely manner.  The year 2013 saw the delivery and use of part of the renovated basement of the AB Building since September and one new meeting room on the AB Building mezzanine since October 2013. </w:t>
      </w:r>
    </w:p>
    <w:p w:rsidR="004C5DDE" w:rsidRDefault="004C5DDE">
      <w:pPr>
        <w:rPr>
          <w:rFonts w:cs="Arial"/>
          <w:b/>
          <w:bCs/>
          <w:iCs/>
          <w:sz w:val="22"/>
          <w:szCs w:val="28"/>
        </w:rPr>
      </w:pPr>
    </w:p>
    <w:p w:rsidR="00A34E56" w:rsidRDefault="00A34E56">
      <w:pPr>
        <w:rPr>
          <w:b/>
          <w:iCs/>
          <w:highlight w:val="yellow"/>
        </w:rPr>
      </w:pPr>
    </w:p>
    <w:p w:rsidR="006B173C" w:rsidRDefault="006B173C">
      <w:pPr>
        <w:rPr>
          <w:b/>
          <w:iCs/>
        </w:rPr>
      </w:pPr>
      <w:r>
        <w:rPr>
          <w:b/>
          <w:iCs/>
        </w:rPr>
        <w:br w:type="page"/>
      </w:r>
    </w:p>
    <w:p w:rsidR="004C5DDE" w:rsidRPr="00747496" w:rsidRDefault="004C5DDE" w:rsidP="004C5DDE">
      <w:pPr>
        <w:jc w:val="both"/>
        <w:rPr>
          <w:b/>
          <w:iCs/>
        </w:rPr>
      </w:pPr>
      <w:r w:rsidRPr="00747496">
        <w:rPr>
          <w:b/>
          <w:iCs/>
        </w:rPr>
        <w:lastRenderedPageBreak/>
        <w:t xml:space="preserve">The Strategic Realignment Program (SRP)  </w:t>
      </w:r>
    </w:p>
    <w:p w:rsidR="004C5DDE" w:rsidRPr="004C5DDE" w:rsidRDefault="004C5DDE" w:rsidP="004C5DDE">
      <w:pPr>
        <w:jc w:val="both"/>
        <w:rPr>
          <w:sz w:val="16"/>
          <w:szCs w:val="16"/>
          <w:highlight w:val="yellow"/>
        </w:rPr>
      </w:pPr>
    </w:p>
    <w:p w:rsidR="004C5DDE" w:rsidRPr="00812B04" w:rsidRDefault="004C5DDE" w:rsidP="004C5DDE">
      <w:pPr>
        <w:jc w:val="both"/>
      </w:pPr>
      <w:r w:rsidRPr="00812B04">
        <w:t xml:space="preserve">The SRP concluded as a </w:t>
      </w:r>
      <w:r w:rsidR="006B2753">
        <w:t>Program</w:t>
      </w:r>
      <w:r w:rsidR="006B2753" w:rsidRPr="00812B04">
        <w:t xml:space="preserve"> </w:t>
      </w:r>
      <w:r w:rsidRPr="00812B04">
        <w:t>of reform initiatives in December 2012.  Over the three years</w:t>
      </w:r>
      <w:r>
        <w:t>,</w:t>
      </w:r>
      <w:r w:rsidRPr="00812B04">
        <w:t xml:space="preserve"> it brought new focus to the Organization’s culture and values, greater efficiency in business processes and better alignment of Programs, structure and resources to the nine Strategic Goals. </w:t>
      </w:r>
      <w:r>
        <w:t xml:space="preserve"> </w:t>
      </w:r>
      <w:r w:rsidRPr="00812B04">
        <w:t>The initiatives all contributed to strengthening the Organization</w:t>
      </w:r>
      <w:r>
        <w:t>’</w:t>
      </w:r>
      <w:r w:rsidRPr="00812B04">
        <w:t>s four Core Values</w:t>
      </w:r>
      <w:r w:rsidR="003B4CDB">
        <w:t>, as reflected in the results of the Core Value Survey at the end of 2012</w:t>
      </w:r>
      <w:r w:rsidRPr="00812B04">
        <w:t xml:space="preserve">. </w:t>
      </w:r>
    </w:p>
    <w:p w:rsidR="004C5DDE" w:rsidRPr="00812B04" w:rsidRDefault="004C5DDE" w:rsidP="004C5DDE">
      <w:pPr>
        <w:jc w:val="both"/>
      </w:pPr>
    </w:p>
    <w:p w:rsidR="004C5DDE" w:rsidRPr="00812B04" w:rsidRDefault="004C5DDE" w:rsidP="004C5DDE">
      <w:pPr>
        <w:jc w:val="both"/>
      </w:pPr>
      <w:r w:rsidRPr="00812B04">
        <w:t xml:space="preserve">To strengthen </w:t>
      </w:r>
      <w:r w:rsidRPr="009D5239">
        <w:rPr>
          <w:i/>
        </w:rPr>
        <w:t>Service orientation</w:t>
      </w:r>
      <w:r w:rsidRPr="00812B04">
        <w:t xml:space="preserve"> - staff were trained and better systems put in place and External Offices were mobilized to provide round-the-clock availability of enhanced service.  External Communications were improved through increased availability of WIPO publications in more languages and by substantially expanding the Organization’s footprint in social media through a presence on Twitter, Facebook, Flickr and Scribd.  </w:t>
      </w:r>
    </w:p>
    <w:p w:rsidR="004C5DDE" w:rsidRPr="00812B04" w:rsidRDefault="004C5DDE" w:rsidP="004C5DDE">
      <w:pPr>
        <w:jc w:val="both"/>
      </w:pPr>
    </w:p>
    <w:p w:rsidR="004C5DDE" w:rsidRPr="00812B04" w:rsidRDefault="004C5DDE" w:rsidP="004C5DDE">
      <w:pPr>
        <w:jc w:val="both"/>
      </w:pPr>
      <w:r w:rsidRPr="00812B04">
        <w:t xml:space="preserve">Many initiatives contributed to the improvement of </w:t>
      </w:r>
      <w:r w:rsidRPr="009D5239">
        <w:rPr>
          <w:i/>
        </w:rPr>
        <w:t>Working as one</w:t>
      </w:r>
      <w:r w:rsidRPr="00812B04">
        <w:t xml:space="preserve"> - a more strategic use of information technology, a modernized human resource regulatory framework and initiatives to increase knowledge-sharing across the Organization. </w:t>
      </w:r>
    </w:p>
    <w:p w:rsidR="004C5DDE" w:rsidRPr="00812B04" w:rsidRDefault="004C5DDE" w:rsidP="004C5DDE">
      <w:pPr>
        <w:jc w:val="both"/>
      </w:pPr>
    </w:p>
    <w:p w:rsidR="004C5DDE" w:rsidRPr="00812B04" w:rsidRDefault="004C5DDE" w:rsidP="004C5DDE">
      <w:pPr>
        <w:jc w:val="both"/>
      </w:pPr>
      <w:r w:rsidRPr="00812B04">
        <w:t xml:space="preserve">Strengthening </w:t>
      </w:r>
      <w:r w:rsidRPr="009D5239">
        <w:rPr>
          <w:i/>
        </w:rPr>
        <w:t>Accountability for results</w:t>
      </w:r>
      <w:r w:rsidRPr="00812B04">
        <w:t xml:space="preserve"> - WIPO’s results framework starts at the level of the Strategic Goals and cascades through organizational </w:t>
      </w:r>
      <w:r>
        <w:t>E</w:t>
      </w:r>
      <w:r w:rsidRPr="00812B04">
        <w:t xml:space="preserve">xpected </w:t>
      </w:r>
      <w:r>
        <w:t>R</w:t>
      </w:r>
      <w:r w:rsidRPr="00812B04">
        <w:t xml:space="preserve">esults to individual work objectives. </w:t>
      </w:r>
      <w:r>
        <w:t xml:space="preserve"> </w:t>
      </w:r>
      <w:r w:rsidRPr="00812B04">
        <w:t xml:space="preserve">By the end of 2012, risk management was integrated throughout biennial and annual planning processes.  </w:t>
      </w:r>
    </w:p>
    <w:p w:rsidR="004C5DDE" w:rsidRPr="00812B04" w:rsidRDefault="004C5DDE" w:rsidP="004C5DDE">
      <w:pPr>
        <w:jc w:val="both"/>
      </w:pPr>
    </w:p>
    <w:p w:rsidR="004C5DDE" w:rsidRPr="00812B04" w:rsidRDefault="004C5DDE" w:rsidP="004C5DDE">
      <w:pPr>
        <w:jc w:val="both"/>
      </w:pPr>
      <w:r w:rsidRPr="00812B04">
        <w:t xml:space="preserve">To improve </w:t>
      </w:r>
      <w:r w:rsidRPr="009D5239">
        <w:rPr>
          <w:i/>
        </w:rPr>
        <w:t>Environmental, social and governance responsibility</w:t>
      </w:r>
      <w:r w:rsidRPr="00812B04">
        <w:t xml:space="preserve">, a Code of Ethics and a Whistleblower Protection Policy were issued and ethics training provided to every staff member.  Steps have been taken to reduce the Organization’s carbon footprint and improvements were made to enhance accessibility to WIPO’s campus and services for all. </w:t>
      </w:r>
    </w:p>
    <w:p w:rsidR="004C5DDE" w:rsidRPr="00812B04" w:rsidRDefault="004C5DDE" w:rsidP="004C5DDE">
      <w:pPr>
        <w:jc w:val="both"/>
      </w:pPr>
    </w:p>
    <w:p w:rsidR="004C5DDE" w:rsidRPr="00812B04" w:rsidRDefault="004C5DDE" w:rsidP="004C5DDE">
      <w:pPr>
        <w:jc w:val="both"/>
      </w:pPr>
      <w:r w:rsidRPr="00812B04">
        <w:t>In 2013, the Organization moved into a phase of “continuous improvement” in order to sustain and build upon the SRP achievements.</w:t>
      </w:r>
      <w:r w:rsidR="003B4CDB">
        <w:t xml:space="preserve">  At the time of writing this report, the Secretariat is in possession of the JIU M</w:t>
      </w:r>
      <w:r w:rsidR="003912D5">
        <w:t xml:space="preserve">anagement and </w:t>
      </w:r>
      <w:r w:rsidR="003B4CDB">
        <w:t>A</w:t>
      </w:r>
      <w:r w:rsidR="003912D5">
        <w:t xml:space="preserve">dministration </w:t>
      </w:r>
      <w:r w:rsidR="003B4CDB">
        <w:t>R</w:t>
      </w:r>
      <w:r w:rsidR="003912D5">
        <w:t>eview (MAR) of WIPO</w:t>
      </w:r>
      <w:r w:rsidR="003B4CDB">
        <w:t xml:space="preserve">.  The </w:t>
      </w:r>
      <w:r w:rsidR="0074697A">
        <w:t xml:space="preserve">implementation of the </w:t>
      </w:r>
      <w:r w:rsidR="003B4CDB">
        <w:t xml:space="preserve">key recommendations of the MAR will </w:t>
      </w:r>
      <w:r w:rsidR="0074697A">
        <w:t xml:space="preserve">help </w:t>
      </w:r>
      <w:r w:rsidR="003B4CDB">
        <w:t>build upon the SRP gains and will be fully integrated into</w:t>
      </w:r>
      <w:r w:rsidR="003912D5">
        <w:t xml:space="preserve"> the work of the current biennium.</w:t>
      </w:r>
    </w:p>
    <w:p w:rsidR="004C5DDE" w:rsidRDefault="004C5DDE">
      <w:pPr>
        <w:rPr>
          <w:rFonts w:cs="Arial"/>
          <w:b/>
          <w:bCs/>
          <w:iCs/>
          <w:sz w:val="22"/>
          <w:szCs w:val="28"/>
        </w:rPr>
      </w:pPr>
    </w:p>
    <w:p w:rsidR="00C525AB" w:rsidRDefault="00C525AB">
      <w:pPr>
        <w:rPr>
          <w:rFonts w:ascii="Arial Bold" w:hAnsi="Arial Bold"/>
          <w:b/>
          <w:bCs/>
          <w:caps/>
          <w:szCs w:val="28"/>
        </w:rPr>
      </w:pPr>
      <w:r>
        <w:br w:type="page"/>
      </w:r>
    </w:p>
    <w:p w:rsidR="004C5DDE" w:rsidRDefault="004C5DDE" w:rsidP="004C5DDE">
      <w:pPr>
        <w:pStyle w:val="Heading4"/>
      </w:pPr>
    </w:p>
    <w:p w:rsidR="00362FE5" w:rsidRPr="007343FE" w:rsidRDefault="00230F73" w:rsidP="004C5DDE">
      <w:pPr>
        <w:pStyle w:val="Heading1"/>
      </w:pPr>
      <w:bookmarkStart w:id="10" w:name="_Toc393956037"/>
      <w:r w:rsidRPr="007343FE">
        <w:t>CONSOLIDATED BUDGET AND ACTUAL EXPENDITURE 2012/13</w:t>
      </w:r>
      <w:bookmarkEnd w:id="10"/>
    </w:p>
    <w:p w:rsidR="00362FE5" w:rsidRDefault="00362FE5" w:rsidP="00362FE5">
      <w:pPr>
        <w:jc w:val="center"/>
        <w:rPr>
          <w:b/>
          <w:noProof/>
        </w:rPr>
      </w:pPr>
    </w:p>
    <w:p w:rsidR="00362FE5" w:rsidRPr="00035F86" w:rsidRDefault="00362FE5" w:rsidP="00362FE5">
      <w:pPr>
        <w:jc w:val="center"/>
        <w:rPr>
          <w:b/>
          <w:sz w:val="18"/>
          <w:szCs w:val="18"/>
        </w:rPr>
      </w:pPr>
      <w:r w:rsidRPr="00035F86">
        <w:rPr>
          <w:b/>
          <w:sz w:val="18"/>
          <w:szCs w:val="18"/>
        </w:rPr>
        <w:t>Table 1: 2012/13 Summary by Program</w:t>
      </w:r>
    </w:p>
    <w:p w:rsidR="00362FE5" w:rsidRPr="00035F86" w:rsidRDefault="00362FE5" w:rsidP="00362FE5">
      <w:pPr>
        <w:jc w:val="center"/>
        <w:rPr>
          <w:i/>
          <w:sz w:val="18"/>
          <w:szCs w:val="18"/>
        </w:rPr>
      </w:pPr>
      <w:r w:rsidRPr="00035F86">
        <w:rPr>
          <w:i/>
          <w:sz w:val="18"/>
          <w:szCs w:val="18"/>
        </w:rPr>
        <w:t>(</w:t>
      </w:r>
      <w:proofErr w:type="gramStart"/>
      <w:r w:rsidRPr="00035F86">
        <w:rPr>
          <w:i/>
          <w:sz w:val="18"/>
          <w:szCs w:val="18"/>
        </w:rPr>
        <w:t>in</w:t>
      </w:r>
      <w:proofErr w:type="gramEnd"/>
      <w:r w:rsidRPr="00035F86">
        <w:rPr>
          <w:i/>
          <w:sz w:val="18"/>
          <w:szCs w:val="18"/>
        </w:rPr>
        <w:t xml:space="preserve"> thousands of Swiss francs)</w:t>
      </w:r>
    </w:p>
    <w:p w:rsidR="00362FE5" w:rsidRDefault="00362FE5" w:rsidP="00362FE5">
      <w:pPr>
        <w:pStyle w:val="Caption"/>
        <w:keepNext/>
        <w:jc w:val="center"/>
      </w:pPr>
    </w:p>
    <w:p w:rsidR="00362FE5" w:rsidRDefault="00362FE5" w:rsidP="004808E3">
      <w:pPr>
        <w:jc w:val="center"/>
        <w:rPr>
          <w:noProof/>
        </w:rPr>
      </w:pPr>
      <w:r w:rsidRPr="00F93FCB">
        <w:rPr>
          <w:noProof/>
        </w:rPr>
        <w:drawing>
          <wp:inline distT="0" distB="0" distL="0" distR="0" wp14:anchorId="21109AD4" wp14:editId="15107A01">
            <wp:extent cx="5760085" cy="56641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085" cy="5664101"/>
                    </a:xfrm>
                    <a:prstGeom prst="rect">
                      <a:avLst/>
                    </a:prstGeom>
                    <a:noFill/>
                    <a:ln>
                      <a:noFill/>
                    </a:ln>
                  </pic:spPr>
                </pic:pic>
              </a:graphicData>
            </a:graphic>
          </wp:inline>
        </w:drawing>
      </w:r>
    </w:p>
    <w:p w:rsidR="00362FE5" w:rsidRDefault="00362FE5" w:rsidP="00362FE5">
      <w:pPr>
        <w:rPr>
          <w:noProof/>
        </w:rPr>
      </w:pPr>
    </w:p>
    <w:p w:rsidR="00362FE5" w:rsidRDefault="00362FE5" w:rsidP="00362FE5">
      <w:pPr>
        <w:rPr>
          <w:rFonts w:ascii="Arial Bold" w:hAnsi="Arial Bold" w:cs="Arial"/>
          <w:b/>
          <w:bCs/>
          <w:iCs/>
          <w:caps/>
          <w:noProof/>
          <w:szCs w:val="28"/>
        </w:rPr>
      </w:pPr>
      <w:r>
        <w:rPr>
          <w:noProof/>
        </w:rPr>
        <w:br w:type="page"/>
      </w:r>
    </w:p>
    <w:p w:rsidR="00362FE5" w:rsidRPr="00035F86" w:rsidRDefault="00362FE5" w:rsidP="00362FE5">
      <w:pPr>
        <w:jc w:val="center"/>
        <w:rPr>
          <w:b/>
          <w:sz w:val="18"/>
          <w:szCs w:val="18"/>
        </w:rPr>
      </w:pPr>
      <w:r w:rsidRPr="00035F86">
        <w:rPr>
          <w:b/>
          <w:sz w:val="18"/>
          <w:szCs w:val="18"/>
        </w:rPr>
        <w:lastRenderedPageBreak/>
        <w:t>Table 2: 2012/13 Summary by Expected Result</w:t>
      </w:r>
    </w:p>
    <w:p w:rsidR="00362FE5" w:rsidRPr="00035F86" w:rsidRDefault="00362FE5" w:rsidP="00362FE5">
      <w:pPr>
        <w:jc w:val="center"/>
        <w:rPr>
          <w:i/>
          <w:noProof/>
          <w:sz w:val="18"/>
          <w:szCs w:val="18"/>
        </w:rPr>
      </w:pPr>
      <w:r w:rsidRPr="00035F86">
        <w:rPr>
          <w:i/>
          <w:sz w:val="18"/>
          <w:szCs w:val="18"/>
        </w:rPr>
        <w:t>(</w:t>
      </w:r>
      <w:proofErr w:type="gramStart"/>
      <w:r w:rsidRPr="00035F86">
        <w:rPr>
          <w:i/>
          <w:sz w:val="18"/>
          <w:szCs w:val="18"/>
        </w:rPr>
        <w:t>in</w:t>
      </w:r>
      <w:proofErr w:type="gramEnd"/>
      <w:r w:rsidRPr="00035F86">
        <w:rPr>
          <w:i/>
          <w:sz w:val="18"/>
          <w:szCs w:val="18"/>
        </w:rPr>
        <w:t xml:space="preserve"> thousands of Swiss francs) </w:t>
      </w:r>
    </w:p>
    <w:p w:rsidR="00362FE5" w:rsidRDefault="00362FE5" w:rsidP="00362FE5">
      <w:pPr>
        <w:jc w:val="center"/>
        <w:rPr>
          <w:b/>
          <w:noProof/>
          <w:sz w:val="16"/>
          <w:szCs w:val="16"/>
        </w:rPr>
      </w:pPr>
    </w:p>
    <w:p w:rsidR="00362FE5" w:rsidRDefault="00362FE5" w:rsidP="00362FE5">
      <w:pPr>
        <w:jc w:val="center"/>
        <w:rPr>
          <w:b/>
          <w:noProof/>
          <w:sz w:val="16"/>
          <w:szCs w:val="16"/>
        </w:rPr>
      </w:pPr>
      <w:r w:rsidRPr="004D225E">
        <w:rPr>
          <w:noProof/>
        </w:rPr>
        <w:drawing>
          <wp:inline distT="0" distB="0" distL="0" distR="0" wp14:anchorId="34253AAD" wp14:editId="1348CF2D">
            <wp:extent cx="5760085" cy="79750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7975096"/>
                    </a:xfrm>
                    <a:prstGeom prst="rect">
                      <a:avLst/>
                    </a:prstGeom>
                    <a:noFill/>
                    <a:ln>
                      <a:noFill/>
                    </a:ln>
                  </pic:spPr>
                </pic:pic>
              </a:graphicData>
            </a:graphic>
          </wp:inline>
        </w:drawing>
      </w:r>
      <w:r w:rsidRPr="004D225E">
        <w:rPr>
          <w:b/>
          <w:noProof/>
          <w:sz w:val="16"/>
          <w:szCs w:val="16"/>
        </w:rPr>
        <w:t xml:space="preserve"> </w:t>
      </w:r>
    </w:p>
    <w:p w:rsidR="00362FE5" w:rsidRDefault="00362FE5" w:rsidP="00362FE5">
      <w:pPr>
        <w:jc w:val="center"/>
        <w:rPr>
          <w:b/>
          <w:noProof/>
          <w:sz w:val="16"/>
          <w:szCs w:val="16"/>
        </w:rPr>
      </w:pPr>
    </w:p>
    <w:p w:rsidR="00362FE5" w:rsidRDefault="00362FE5" w:rsidP="00362FE5">
      <w:pPr>
        <w:rPr>
          <w:b/>
          <w:noProof/>
          <w:sz w:val="16"/>
          <w:szCs w:val="16"/>
        </w:rPr>
      </w:pPr>
      <w:r>
        <w:rPr>
          <w:b/>
          <w:noProof/>
          <w:sz w:val="16"/>
          <w:szCs w:val="16"/>
        </w:rPr>
        <w:br w:type="page"/>
      </w:r>
    </w:p>
    <w:p w:rsidR="00362FE5" w:rsidRDefault="00362FE5" w:rsidP="00362FE5">
      <w:pPr>
        <w:jc w:val="center"/>
      </w:pPr>
      <w:r w:rsidRPr="004D225E">
        <w:rPr>
          <w:noProof/>
        </w:rPr>
        <w:lastRenderedPageBreak/>
        <w:drawing>
          <wp:inline distT="0" distB="0" distL="0" distR="0" wp14:anchorId="6B409A08" wp14:editId="286216F3">
            <wp:extent cx="5824631" cy="5331752"/>
            <wp:effectExtent l="0" t="0" r="508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8684" cy="5335462"/>
                    </a:xfrm>
                    <a:prstGeom prst="rect">
                      <a:avLst/>
                    </a:prstGeom>
                    <a:noFill/>
                    <a:ln>
                      <a:noFill/>
                    </a:ln>
                  </pic:spPr>
                </pic:pic>
              </a:graphicData>
            </a:graphic>
          </wp:inline>
        </w:drawing>
      </w:r>
    </w:p>
    <w:p w:rsidR="00362FE5" w:rsidRDefault="00362FE5" w:rsidP="00362FE5">
      <w:pPr>
        <w:jc w:val="center"/>
      </w:pPr>
    </w:p>
    <w:p w:rsidR="00362FE5" w:rsidRDefault="00362FE5" w:rsidP="00362FE5">
      <w:pPr>
        <w:pStyle w:val="Heading4"/>
      </w:pPr>
    </w:p>
    <w:p w:rsidR="00362FE5" w:rsidRDefault="00362FE5">
      <w:pPr>
        <w:rPr>
          <w:rFonts w:ascii="Arial Bold" w:hAnsi="Arial Bold"/>
          <w:b/>
          <w:bCs/>
          <w:caps/>
          <w:szCs w:val="28"/>
        </w:rPr>
      </w:pPr>
      <w:r>
        <w:br w:type="page"/>
      </w:r>
    </w:p>
    <w:p w:rsidR="00362FE5" w:rsidRPr="007343FE" w:rsidRDefault="00230F73" w:rsidP="004C5DDE">
      <w:pPr>
        <w:pStyle w:val="Heading1"/>
      </w:pPr>
      <w:bookmarkStart w:id="11" w:name="_Toc393956038"/>
      <w:r w:rsidRPr="007343FE">
        <w:lastRenderedPageBreak/>
        <w:t>REPORT ON DEVELOPMENT EXPENDITURES 2012/13</w:t>
      </w:r>
      <w:bookmarkEnd w:id="11"/>
    </w:p>
    <w:p w:rsidR="00362FE5" w:rsidRPr="00005166" w:rsidRDefault="00362FE5" w:rsidP="00362FE5">
      <w:pPr>
        <w:keepNext/>
        <w:widowControl w:val="0"/>
        <w:rPr>
          <w:rFonts w:cs="Arial"/>
          <w:u w:val="single"/>
        </w:rPr>
      </w:pPr>
    </w:p>
    <w:p w:rsidR="00362FE5" w:rsidRDefault="00362FE5" w:rsidP="00362FE5">
      <w:pPr>
        <w:autoSpaceDE w:val="0"/>
        <w:autoSpaceDN w:val="0"/>
        <w:adjustRightInd w:val="0"/>
        <w:jc w:val="both"/>
        <w:rPr>
          <w:rFonts w:cs="Arial"/>
          <w:lang w:val="en"/>
        </w:rPr>
      </w:pPr>
    </w:p>
    <w:p w:rsidR="00362FE5" w:rsidRDefault="00362FE5" w:rsidP="00362FE5">
      <w:pPr>
        <w:autoSpaceDE w:val="0"/>
        <w:autoSpaceDN w:val="0"/>
        <w:adjustRightInd w:val="0"/>
        <w:jc w:val="both"/>
        <w:rPr>
          <w:rFonts w:eastAsia="MS Mincho" w:cs="Arial"/>
          <w:szCs w:val="20"/>
          <w:lang w:eastAsia="ja-JP" w:bidi="th-TH"/>
        </w:rPr>
      </w:pPr>
      <w:r>
        <w:rPr>
          <w:rFonts w:cs="Arial"/>
          <w:lang w:val="en"/>
        </w:rPr>
        <w:t>The Program and Budget 2012/</w:t>
      </w:r>
      <w:r w:rsidRPr="00035F86">
        <w:rPr>
          <w:rFonts w:cs="Arial"/>
          <w:lang w:val="en"/>
        </w:rPr>
        <w:t>13 (Table 9) provided</w:t>
      </w:r>
      <w:r>
        <w:rPr>
          <w:rFonts w:cs="Arial"/>
          <w:lang w:val="en"/>
        </w:rPr>
        <w:t xml:space="preserve"> an estimate of </w:t>
      </w:r>
      <w:r>
        <w:rPr>
          <w:rFonts w:eastAsia="MS Mincho" w:cs="Arial"/>
          <w:szCs w:val="20"/>
          <w:lang w:eastAsia="ja-JP" w:bidi="th-TH"/>
        </w:rPr>
        <w:t>development expenditure for the biennium 2012/13 by Program (Program and Budget 2012/13 table 9) and by expected result (Results Framework table on page 12 (English version) in the Program and Budget 2012/13).  Expenditure is qualified as development expenditure, only where the beneficiary is a developing country and the equivalent expenditure is not available for developed countries.  These amounts exclude foregone revenues resulting from the fee reductions accorded under the international registration systems for applicants from developing countries</w:t>
      </w:r>
      <w:r>
        <w:rPr>
          <w:rStyle w:val="FootnoteReference"/>
          <w:rFonts w:eastAsia="MS Mincho" w:cs="Arial"/>
          <w:szCs w:val="20"/>
          <w:lang w:eastAsia="ja-JP" w:bidi="th-TH"/>
        </w:rPr>
        <w:footnoteReference w:id="1"/>
      </w:r>
      <w:r>
        <w:rPr>
          <w:rFonts w:eastAsia="MS Mincho" w:cs="Arial"/>
          <w:szCs w:val="20"/>
          <w:lang w:eastAsia="ja-JP" w:bidi="th-TH"/>
        </w:rPr>
        <w:t xml:space="preserve">. </w:t>
      </w:r>
    </w:p>
    <w:p w:rsidR="00362FE5" w:rsidRDefault="00362FE5" w:rsidP="00362FE5">
      <w:pPr>
        <w:autoSpaceDE w:val="0"/>
        <w:autoSpaceDN w:val="0"/>
        <w:adjustRightInd w:val="0"/>
        <w:jc w:val="both"/>
        <w:rPr>
          <w:rFonts w:eastAsia="MS Mincho" w:cs="Arial"/>
          <w:szCs w:val="20"/>
          <w:lang w:eastAsia="ja-JP" w:bidi="th-TH"/>
        </w:rPr>
      </w:pPr>
    </w:p>
    <w:p w:rsidR="00362FE5" w:rsidRDefault="00362FE5" w:rsidP="00362FE5">
      <w:pPr>
        <w:autoSpaceDE w:val="0"/>
        <w:autoSpaceDN w:val="0"/>
        <w:adjustRightInd w:val="0"/>
        <w:jc w:val="both"/>
        <w:rPr>
          <w:rFonts w:cs="Arial"/>
        </w:rPr>
      </w:pPr>
      <w:r>
        <w:rPr>
          <w:rFonts w:cs="Arial"/>
        </w:rPr>
        <w:t xml:space="preserve">The purpose of this Annex is to report on actual development expenditure in the biennium 2012/13.  </w:t>
      </w:r>
    </w:p>
    <w:p w:rsidR="00362FE5" w:rsidRDefault="00362FE5" w:rsidP="00362FE5">
      <w:pPr>
        <w:autoSpaceDE w:val="0"/>
        <w:autoSpaceDN w:val="0"/>
        <w:adjustRightInd w:val="0"/>
        <w:jc w:val="both"/>
        <w:rPr>
          <w:rFonts w:cs="Arial"/>
        </w:rPr>
      </w:pPr>
    </w:p>
    <w:p w:rsidR="00362FE5" w:rsidRDefault="00362FE5" w:rsidP="00362FE5">
      <w:pPr>
        <w:autoSpaceDE w:val="0"/>
        <w:autoSpaceDN w:val="0"/>
        <w:adjustRightInd w:val="0"/>
        <w:jc w:val="both"/>
        <w:rPr>
          <w:rFonts w:cs="Arial"/>
        </w:rPr>
      </w:pPr>
      <w:r>
        <w:rPr>
          <w:rFonts w:cs="Arial"/>
        </w:rPr>
        <w:t>It is recalled that a comprehensive estimation of development expenditure was introduced for the first time in the revised Program and Budget 2008/09.  During the past biennia, the Secretariat has continued to refine the development expenditure methodology and to work on establishing appropriate expenditure tracking mechanisms.  The 2010/11 methodology was, as in 2008/09, based on high level estimations at the Program level, whereas the approach has been considerably refined in the Program and Budget 2012/13 based on a detailed bottom-up activity-level approach.  This revised approach for 2012/13, complemented by the establishment of development expenditure tracking mechanisms through the ERP, has led to more refined reporting on development expenditure for 2012/13 compared to the high level estimations at the level of Programs applied in 2010/11.  This mechanism has been further refined for the biennium 2014/15.</w:t>
      </w:r>
    </w:p>
    <w:p w:rsidR="00362FE5" w:rsidRDefault="00362FE5" w:rsidP="00362FE5">
      <w:pPr>
        <w:autoSpaceDE w:val="0"/>
        <w:autoSpaceDN w:val="0"/>
        <w:adjustRightInd w:val="0"/>
        <w:jc w:val="both"/>
        <w:rPr>
          <w:rFonts w:cs="Arial"/>
        </w:rPr>
      </w:pPr>
    </w:p>
    <w:p w:rsidR="00362FE5" w:rsidRDefault="00362FE5" w:rsidP="00362FE5">
      <w:pPr>
        <w:autoSpaceDE w:val="0"/>
        <w:autoSpaceDN w:val="0"/>
        <w:adjustRightInd w:val="0"/>
        <w:ind w:left="1"/>
        <w:jc w:val="both"/>
        <w:rPr>
          <w:rFonts w:cs="Arial"/>
        </w:rPr>
      </w:pPr>
      <w:r>
        <w:rPr>
          <w:rFonts w:cs="Arial"/>
        </w:rPr>
        <w:t xml:space="preserve">Tables 3 and 4 below provide an overview of the estimated development expenditure by Program and expected result, based on the </w:t>
      </w:r>
      <w:r w:rsidR="005E75A4">
        <w:rPr>
          <w:rFonts w:cs="Arial"/>
        </w:rPr>
        <w:t>B</w:t>
      </w:r>
      <w:r>
        <w:rPr>
          <w:rFonts w:cs="Arial"/>
        </w:rPr>
        <w:t xml:space="preserve">udget after </w:t>
      </w:r>
      <w:r w:rsidR="005E75A4">
        <w:rPr>
          <w:rFonts w:cs="Arial"/>
        </w:rPr>
        <w:t>T</w:t>
      </w:r>
      <w:r>
        <w:rPr>
          <w:rFonts w:cs="Arial"/>
        </w:rPr>
        <w:t xml:space="preserve">ransfers, and actual expenditure in 2012/13.  For further information on the development related results achieved and </w:t>
      </w:r>
      <w:r>
        <w:rPr>
          <w:rFonts w:cs="Arial"/>
          <w:lang w:val="en"/>
        </w:rPr>
        <w:t>on budget utilization</w:t>
      </w:r>
      <w:r w:rsidRPr="00E00AC2">
        <w:rPr>
          <w:rFonts w:cs="Arial"/>
        </w:rPr>
        <w:t xml:space="preserve"> </w:t>
      </w:r>
      <w:r>
        <w:rPr>
          <w:rFonts w:cs="Arial"/>
        </w:rPr>
        <w:t>in the biennium, please refer to the individual Program performance assessments in this report.</w:t>
      </w:r>
    </w:p>
    <w:p w:rsidR="00362FE5" w:rsidRDefault="00362FE5" w:rsidP="00362FE5">
      <w:pPr>
        <w:autoSpaceDE w:val="0"/>
        <w:autoSpaceDN w:val="0"/>
        <w:adjustRightInd w:val="0"/>
        <w:ind w:left="1"/>
        <w:jc w:val="both"/>
        <w:rPr>
          <w:rFonts w:cs="Arial"/>
        </w:rPr>
      </w:pPr>
    </w:p>
    <w:p w:rsidR="00DE1CE8" w:rsidRDefault="00362FE5" w:rsidP="00362FE5">
      <w:pPr>
        <w:autoSpaceDE w:val="0"/>
        <w:autoSpaceDN w:val="0"/>
        <w:adjustRightInd w:val="0"/>
        <w:ind w:left="1"/>
        <w:jc w:val="both"/>
        <w:rPr>
          <w:rFonts w:cs="Arial"/>
        </w:rPr>
      </w:pPr>
      <w:r>
        <w:rPr>
          <w:rFonts w:cs="Arial"/>
        </w:rPr>
        <w:t xml:space="preserve">Explanations of differences between the Approved Budget, the Budget after Transfers and actual expenditure in the biennium 2012/13 are contained within the Budget and Actual Expenditure commentaries under each Program.     </w:t>
      </w:r>
    </w:p>
    <w:p w:rsidR="00362FE5" w:rsidRPr="00362FE5" w:rsidRDefault="00362FE5" w:rsidP="00362FE5">
      <w:pPr>
        <w:autoSpaceDE w:val="0"/>
        <w:autoSpaceDN w:val="0"/>
        <w:adjustRightInd w:val="0"/>
        <w:ind w:left="1"/>
        <w:jc w:val="both"/>
        <w:rPr>
          <w:rFonts w:cs="Arial"/>
        </w:rPr>
      </w:pPr>
      <w:r>
        <w:br w:type="page"/>
      </w:r>
    </w:p>
    <w:p w:rsidR="00362FE5" w:rsidRDefault="00362FE5" w:rsidP="00362FE5"/>
    <w:p w:rsidR="00362FE5" w:rsidRPr="00035F86" w:rsidRDefault="00362FE5" w:rsidP="00362FE5">
      <w:pPr>
        <w:jc w:val="center"/>
        <w:rPr>
          <w:rFonts w:cs="Arial"/>
          <w:b/>
          <w:sz w:val="18"/>
          <w:szCs w:val="18"/>
        </w:rPr>
      </w:pPr>
      <w:r w:rsidRPr="00035F86">
        <w:rPr>
          <w:rFonts w:cs="Arial"/>
          <w:b/>
          <w:sz w:val="18"/>
          <w:szCs w:val="18"/>
        </w:rPr>
        <w:t>Table 3:  2012/13 Development Expenditure by Program</w:t>
      </w:r>
    </w:p>
    <w:p w:rsidR="00362FE5" w:rsidRPr="00BD3B10" w:rsidRDefault="00362FE5" w:rsidP="00362FE5">
      <w:pPr>
        <w:jc w:val="center"/>
        <w:rPr>
          <w:rFonts w:cs="Arial"/>
          <w:i/>
          <w:sz w:val="18"/>
          <w:szCs w:val="18"/>
        </w:rPr>
      </w:pPr>
      <w:r w:rsidRPr="00BD3B10">
        <w:rPr>
          <w:rFonts w:cs="Arial"/>
          <w:i/>
          <w:sz w:val="18"/>
          <w:szCs w:val="18"/>
        </w:rPr>
        <w:t>(</w:t>
      </w:r>
      <w:proofErr w:type="gramStart"/>
      <w:r w:rsidRPr="00BD3B10">
        <w:rPr>
          <w:rFonts w:cs="Arial"/>
          <w:i/>
          <w:sz w:val="18"/>
          <w:szCs w:val="18"/>
        </w:rPr>
        <w:t>in</w:t>
      </w:r>
      <w:proofErr w:type="gramEnd"/>
      <w:r w:rsidRPr="00BD3B10">
        <w:rPr>
          <w:rFonts w:cs="Arial"/>
          <w:i/>
          <w:sz w:val="18"/>
          <w:szCs w:val="18"/>
        </w:rPr>
        <w:t xml:space="preserve"> thousands of Swiss francs)</w:t>
      </w:r>
    </w:p>
    <w:p w:rsidR="00362FE5" w:rsidRDefault="00362FE5" w:rsidP="00362FE5"/>
    <w:p w:rsidR="00362FE5" w:rsidRDefault="00362FE5" w:rsidP="00362FE5">
      <w:r w:rsidRPr="00BD3B10">
        <w:rPr>
          <w:noProof/>
        </w:rPr>
        <w:drawing>
          <wp:anchor distT="0" distB="0" distL="114300" distR="114300" simplePos="0" relativeHeight="251661312" behindDoc="0" locked="0" layoutInCell="1" allowOverlap="1" wp14:anchorId="56172D49" wp14:editId="52312E86">
            <wp:simplePos x="897890" y="715010"/>
            <wp:positionH relativeFrom="margin">
              <wp:align>center</wp:align>
            </wp:positionH>
            <wp:positionV relativeFrom="margin">
              <wp:posOffset>726136</wp:posOffset>
            </wp:positionV>
            <wp:extent cx="6486525" cy="3696970"/>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86705" cy="369716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FE5" w:rsidRDefault="00362FE5" w:rsidP="00362FE5">
      <w:pPr>
        <w:rPr>
          <w:rFonts w:cs="Arial"/>
          <w:szCs w:val="20"/>
        </w:rPr>
      </w:pPr>
      <w:r>
        <w:rPr>
          <w:rFonts w:cs="Arial"/>
          <w:szCs w:val="20"/>
        </w:rPr>
        <w:br w:type="page"/>
      </w:r>
    </w:p>
    <w:p w:rsidR="00362FE5" w:rsidRPr="00035F86" w:rsidRDefault="00362FE5" w:rsidP="00362FE5">
      <w:pPr>
        <w:jc w:val="center"/>
        <w:rPr>
          <w:rFonts w:cs="Arial"/>
          <w:b/>
          <w:sz w:val="18"/>
          <w:szCs w:val="18"/>
        </w:rPr>
      </w:pPr>
      <w:r w:rsidRPr="00035F86">
        <w:rPr>
          <w:rFonts w:cs="Arial"/>
          <w:b/>
          <w:sz w:val="18"/>
          <w:szCs w:val="18"/>
        </w:rPr>
        <w:lastRenderedPageBreak/>
        <w:t>Table 4:  2012/13 Development Expenditure by Expected Result*</w:t>
      </w:r>
    </w:p>
    <w:p w:rsidR="00362FE5" w:rsidRDefault="00362FE5" w:rsidP="00362FE5">
      <w:pPr>
        <w:jc w:val="center"/>
        <w:rPr>
          <w:rFonts w:cs="Arial"/>
          <w:i/>
          <w:sz w:val="18"/>
          <w:szCs w:val="18"/>
        </w:rPr>
      </w:pPr>
      <w:r w:rsidRPr="00FD13E8">
        <w:rPr>
          <w:rFonts w:cs="Arial"/>
          <w:i/>
          <w:sz w:val="18"/>
          <w:szCs w:val="18"/>
        </w:rPr>
        <w:t>(</w:t>
      </w:r>
      <w:proofErr w:type="gramStart"/>
      <w:r w:rsidRPr="00FD13E8">
        <w:rPr>
          <w:rFonts w:cs="Arial"/>
          <w:i/>
          <w:sz w:val="18"/>
          <w:szCs w:val="18"/>
        </w:rPr>
        <w:t>in</w:t>
      </w:r>
      <w:proofErr w:type="gramEnd"/>
      <w:r w:rsidRPr="00FD13E8">
        <w:rPr>
          <w:rFonts w:cs="Arial"/>
          <w:i/>
          <w:sz w:val="18"/>
          <w:szCs w:val="18"/>
        </w:rPr>
        <w:t xml:space="preserve"> thousands of Swiss francs)</w:t>
      </w:r>
    </w:p>
    <w:p w:rsidR="00362FE5" w:rsidRDefault="00362FE5" w:rsidP="00362FE5">
      <w:pPr>
        <w:jc w:val="center"/>
        <w:rPr>
          <w:rFonts w:cs="Arial"/>
          <w:i/>
          <w:sz w:val="18"/>
          <w:szCs w:val="18"/>
        </w:rPr>
      </w:pPr>
    </w:p>
    <w:p w:rsidR="00362FE5" w:rsidRDefault="00362FE5" w:rsidP="00362FE5">
      <w:pPr>
        <w:jc w:val="center"/>
      </w:pPr>
      <w:r w:rsidRPr="00BD3B10">
        <w:rPr>
          <w:noProof/>
        </w:rPr>
        <w:drawing>
          <wp:inline distT="0" distB="0" distL="0" distR="0" wp14:anchorId="43D29ED3" wp14:editId="0223DDD2">
            <wp:extent cx="5096786" cy="8239950"/>
            <wp:effectExtent l="0" t="0" r="889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6786" cy="8239950"/>
                    </a:xfrm>
                    <a:prstGeom prst="rect">
                      <a:avLst/>
                    </a:prstGeom>
                    <a:noFill/>
                    <a:ln>
                      <a:noFill/>
                    </a:ln>
                  </pic:spPr>
                </pic:pic>
              </a:graphicData>
            </a:graphic>
          </wp:inline>
        </w:drawing>
      </w:r>
    </w:p>
    <w:p w:rsidR="00362FE5" w:rsidRDefault="00362FE5" w:rsidP="00362FE5"/>
    <w:p w:rsidR="00362FE5" w:rsidRDefault="00362FE5">
      <w:r>
        <w:br w:type="page"/>
      </w:r>
    </w:p>
    <w:p w:rsidR="00362FE5" w:rsidRPr="00230F73" w:rsidRDefault="00230F73" w:rsidP="00230F73">
      <w:pPr>
        <w:pStyle w:val="Heading1"/>
        <w:rPr>
          <w:rFonts w:eastAsiaTheme="minorHAnsi"/>
        </w:rPr>
      </w:pPr>
      <w:bookmarkStart w:id="12" w:name="_Toc393956039"/>
      <w:r w:rsidRPr="0048186F">
        <w:rPr>
          <w:rFonts w:eastAsiaTheme="minorHAnsi"/>
        </w:rPr>
        <w:lastRenderedPageBreak/>
        <w:t xml:space="preserve">FINAL </w:t>
      </w:r>
      <w:r>
        <w:rPr>
          <w:rFonts w:eastAsiaTheme="minorHAnsi"/>
        </w:rPr>
        <w:t>REPORT ON THE IMPLEMENTATION OF</w:t>
      </w:r>
      <w:r>
        <w:rPr>
          <w:rFonts w:eastAsiaTheme="minorHAnsi"/>
        </w:rPr>
        <w:br/>
      </w:r>
      <w:r w:rsidRPr="0048186F">
        <w:rPr>
          <w:rFonts w:eastAsiaTheme="minorHAnsi"/>
        </w:rPr>
        <w:t>COST EFFICIENCY MEASURES</w:t>
      </w:r>
      <w:bookmarkStart w:id="13" w:name="_Toc391987560"/>
      <w:r w:rsidRPr="0048186F">
        <w:rPr>
          <w:rFonts w:eastAsiaTheme="minorHAnsi" w:hint="eastAsia"/>
        </w:rPr>
        <w:t> </w:t>
      </w:r>
      <w:r w:rsidRPr="0048186F">
        <w:rPr>
          <w:rFonts w:eastAsiaTheme="minorHAnsi"/>
        </w:rPr>
        <w:t>IN</w:t>
      </w:r>
      <w:r w:rsidRPr="0048186F">
        <w:rPr>
          <w:rFonts w:eastAsiaTheme="minorHAnsi" w:hint="eastAsia"/>
        </w:rPr>
        <w:t> </w:t>
      </w:r>
      <w:r w:rsidRPr="0048186F">
        <w:rPr>
          <w:rFonts w:eastAsiaTheme="minorHAnsi"/>
        </w:rPr>
        <w:t xml:space="preserve">THE </w:t>
      </w:r>
      <w:r w:rsidRPr="00230F73">
        <w:rPr>
          <w:rFonts w:eastAsiaTheme="minorHAnsi"/>
        </w:rPr>
        <w:t>2012/13 BIENNIUM</w:t>
      </w:r>
      <w:bookmarkEnd w:id="13"/>
      <w:bookmarkEnd w:id="12"/>
    </w:p>
    <w:p w:rsidR="00362FE5" w:rsidRDefault="00362FE5" w:rsidP="00362FE5">
      <w:pPr>
        <w:jc w:val="both"/>
        <w:rPr>
          <w:rFonts w:eastAsiaTheme="minorHAnsi" w:cs="Arial"/>
          <w:szCs w:val="20"/>
        </w:rPr>
      </w:pPr>
    </w:p>
    <w:p w:rsidR="00362FE5"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The WIPO Assemblies in September 2011 approved the Program and Budget 2012/13, subject to “efforts by the Secretariat to reduce expenditure through cost efficiency measures by 10.2 million Swiss francs, from 647.4 million Swiss francs to 637.2 million Swiss francs, through, </w:t>
      </w:r>
      <w:r w:rsidRPr="00035F86">
        <w:rPr>
          <w:rFonts w:eastAsiaTheme="minorHAnsi" w:cs="Arial"/>
          <w:i/>
          <w:szCs w:val="20"/>
        </w:rPr>
        <w:t>inter alia</w:t>
      </w:r>
      <w:r w:rsidRPr="00035F86">
        <w:rPr>
          <w:rFonts w:eastAsiaTheme="minorHAnsi" w:cs="Arial"/>
          <w:szCs w:val="20"/>
        </w:rPr>
        <w:t>, travel policies for staff and third parties, premises management, policies for payments of Special Service Agreements (SSAs) and honoraria for experts and lecturers, internship programs, receptions and rental of premises and equipment during conferences and a reduction of personnel costs through improved organizational design.”</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During the biennium, the Secretariat has provided regular updates to the Member States on the progress of various cost efficiency measures put in place during the biennium.  Specifically, the Secretariat provided the initial progress report on the implementation of cost efficiency measures in document WO/PBC/19/9 submitted to the 19</w:t>
      </w:r>
      <w:r w:rsidRPr="00035F86">
        <w:rPr>
          <w:rFonts w:eastAsiaTheme="minorHAnsi" w:cs="Arial"/>
          <w:szCs w:val="20"/>
          <w:vertAlign w:val="superscript"/>
        </w:rPr>
        <w:t>th</w:t>
      </w:r>
      <w:r w:rsidRPr="00035F86">
        <w:rPr>
          <w:rFonts w:eastAsiaTheme="minorHAnsi" w:cs="Arial"/>
          <w:szCs w:val="20"/>
        </w:rPr>
        <w:t xml:space="preserve"> session of the PBC in September 2012.  The second update was provided in document WO/PBC/21/19 submitted to the 21</w:t>
      </w:r>
      <w:r w:rsidRPr="00035F86">
        <w:rPr>
          <w:rFonts w:eastAsiaTheme="minorHAnsi" w:cs="Arial"/>
          <w:szCs w:val="20"/>
          <w:vertAlign w:val="superscript"/>
        </w:rPr>
        <w:t>st</w:t>
      </w:r>
      <w:r w:rsidRPr="00035F86">
        <w:rPr>
          <w:rFonts w:eastAsiaTheme="minorHAnsi" w:cs="Arial"/>
          <w:szCs w:val="20"/>
        </w:rPr>
        <w:t xml:space="preserve"> session of the PBC in September 2013. </w:t>
      </w:r>
    </w:p>
    <w:p w:rsidR="00362FE5" w:rsidRPr="00035F86" w:rsidRDefault="00362FE5" w:rsidP="00362FE5">
      <w:pPr>
        <w:jc w:val="both"/>
        <w:rPr>
          <w:rFonts w:eastAsiaTheme="minorHAnsi" w:cs="Arial"/>
          <w:szCs w:val="20"/>
        </w:rPr>
      </w:pPr>
    </w:p>
    <w:p w:rsidR="00362FE5" w:rsidRDefault="00362FE5" w:rsidP="00362FE5">
      <w:pPr>
        <w:jc w:val="both"/>
        <w:rPr>
          <w:rFonts w:eastAsiaTheme="minorHAnsi" w:cs="Arial"/>
          <w:szCs w:val="20"/>
        </w:rPr>
      </w:pPr>
      <w:r w:rsidRPr="00035F86">
        <w:rPr>
          <w:rFonts w:eastAsiaTheme="minorHAnsi" w:cs="Arial"/>
          <w:szCs w:val="20"/>
        </w:rPr>
        <w:t xml:space="preserve">The current report provides the final overview of cost efficiency measures implemented by the Secretariat in the course of the 2012/13 biennium.  These measures have targeted a wide range of areas, reflecting the Secretariat’s commitment to vigorously pursue all possible avenues for enhancing cost efficiencies, including measures beyond those endorsed by Member States in approving the 2012/13 Program and Budget. </w:t>
      </w:r>
      <w:r w:rsidR="00DE1CE8">
        <w:rPr>
          <w:rFonts w:eastAsiaTheme="minorHAnsi" w:cs="Arial"/>
          <w:szCs w:val="20"/>
        </w:rPr>
        <w:t xml:space="preserve"> </w:t>
      </w:r>
      <w:r w:rsidRPr="00035F86">
        <w:rPr>
          <w:rFonts w:eastAsiaTheme="minorHAnsi" w:cs="Arial"/>
          <w:szCs w:val="20"/>
        </w:rPr>
        <w:t xml:space="preserve">In particular, the following key strategies were pursued: </w:t>
      </w:r>
    </w:p>
    <w:p w:rsidR="00362FE5" w:rsidRPr="00035F86" w:rsidRDefault="00362FE5" w:rsidP="00362FE5">
      <w:pPr>
        <w:jc w:val="both"/>
        <w:rPr>
          <w:rFonts w:eastAsiaTheme="minorHAnsi" w:cs="Arial"/>
          <w:szCs w:val="20"/>
        </w:rPr>
      </w:pP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Targeting productivity gains where possible through automation;</w:t>
      </w: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Targeting productivity gains through the use of new services and tools;</w:t>
      </w: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Conducting regular contract reviews in order to maintain competitive unit costs and pricing levels, as well as focusing on joint procurement initiatives with other UN system organizations;</w:t>
      </w: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Performing regular reviews of administrative services to assess their continued relevance and effectiveness in delivering the required results;</w:t>
      </w:r>
    </w:p>
    <w:p w:rsidR="00362FE5" w:rsidRPr="00035F86"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 xml:space="preserve">Performing regular reviews of policies and procedures to assess where alignment with other UN system organizations </w:t>
      </w:r>
      <w:r w:rsidR="00747496">
        <w:rPr>
          <w:rFonts w:eastAsiaTheme="minorHAnsi" w:cs="Arial"/>
          <w:szCs w:val="20"/>
        </w:rPr>
        <w:t xml:space="preserve">or the private sector </w:t>
      </w:r>
      <w:r w:rsidRPr="00035F86">
        <w:rPr>
          <w:rFonts w:eastAsiaTheme="minorHAnsi" w:cs="Arial"/>
          <w:szCs w:val="20"/>
        </w:rPr>
        <w:t xml:space="preserve">would result in cost efficiencies; </w:t>
      </w:r>
      <w:r>
        <w:rPr>
          <w:rFonts w:eastAsiaTheme="minorHAnsi" w:cs="Arial"/>
          <w:szCs w:val="20"/>
        </w:rPr>
        <w:t xml:space="preserve"> </w:t>
      </w:r>
      <w:r w:rsidRPr="00035F86">
        <w:rPr>
          <w:rFonts w:eastAsiaTheme="minorHAnsi" w:cs="Arial"/>
          <w:szCs w:val="20"/>
        </w:rPr>
        <w:t>and</w:t>
      </w:r>
    </w:p>
    <w:p w:rsidR="00362FE5" w:rsidRDefault="00362FE5" w:rsidP="007B2B25">
      <w:pPr>
        <w:numPr>
          <w:ilvl w:val="0"/>
          <w:numId w:val="85"/>
        </w:numPr>
        <w:ind w:left="714" w:hanging="357"/>
        <w:contextualSpacing/>
        <w:rPr>
          <w:rFonts w:eastAsiaTheme="minorHAnsi" w:cs="Arial"/>
          <w:szCs w:val="20"/>
        </w:rPr>
      </w:pPr>
      <w:r w:rsidRPr="00035F86">
        <w:rPr>
          <w:rFonts w:eastAsiaTheme="minorHAnsi" w:cs="Arial"/>
          <w:szCs w:val="20"/>
        </w:rPr>
        <w:t>Applying outsourcing strategies judiciously, using non-staff resources where appropriate.</w:t>
      </w:r>
    </w:p>
    <w:p w:rsidR="00362FE5" w:rsidRPr="00035F86" w:rsidRDefault="00362FE5" w:rsidP="00362FE5">
      <w:pPr>
        <w:spacing w:line="276" w:lineRule="auto"/>
        <w:ind w:left="720"/>
        <w:contextualSpacing/>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The</w:t>
      </w:r>
      <w:r w:rsidR="0066169D">
        <w:rPr>
          <w:rFonts w:eastAsiaTheme="minorHAnsi" w:cs="Arial"/>
          <w:szCs w:val="20"/>
        </w:rPr>
        <w:t xml:space="preserve"> </w:t>
      </w:r>
      <w:r w:rsidRPr="00035F86">
        <w:rPr>
          <w:rFonts w:eastAsiaTheme="minorHAnsi" w:cs="Arial"/>
          <w:szCs w:val="20"/>
        </w:rPr>
        <w:t xml:space="preserve">specific areas targeted included: </w:t>
      </w:r>
      <w:r>
        <w:rPr>
          <w:rFonts w:eastAsiaTheme="minorHAnsi" w:cs="Arial"/>
          <w:szCs w:val="20"/>
        </w:rPr>
        <w:t xml:space="preserve"> </w:t>
      </w:r>
      <w:r w:rsidRPr="00035F86">
        <w:rPr>
          <w:rFonts w:eastAsiaTheme="minorHAnsi" w:cs="Arial"/>
          <w:szCs w:val="20"/>
        </w:rPr>
        <w:t xml:space="preserve">premises management; </w:t>
      </w:r>
      <w:r>
        <w:rPr>
          <w:rFonts w:eastAsiaTheme="minorHAnsi" w:cs="Arial"/>
          <w:szCs w:val="20"/>
        </w:rPr>
        <w:t xml:space="preserve"> </w:t>
      </w:r>
      <w:r w:rsidRPr="00035F86">
        <w:rPr>
          <w:rFonts w:eastAsiaTheme="minorHAnsi" w:cs="Arial"/>
          <w:szCs w:val="20"/>
        </w:rPr>
        <w:t xml:space="preserve">staff and third party travel; </w:t>
      </w:r>
      <w:r>
        <w:rPr>
          <w:rFonts w:eastAsiaTheme="minorHAnsi" w:cs="Arial"/>
          <w:szCs w:val="20"/>
        </w:rPr>
        <w:t xml:space="preserve"> </w:t>
      </w:r>
      <w:r w:rsidRPr="00035F86">
        <w:rPr>
          <w:rFonts w:eastAsiaTheme="minorHAnsi" w:cs="Arial"/>
          <w:szCs w:val="20"/>
        </w:rPr>
        <w:t xml:space="preserve">organization of meetings and events; procurement; </w:t>
      </w:r>
      <w:r>
        <w:rPr>
          <w:rFonts w:eastAsiaTheme="minorHAnsi" w:cs="Arial"/>
          <w:szCs w:val="20"/>
        </w:rPr>
        <w:t xml:space="preserve"> </w:t>
      </w:r>
      <w:r w:rsidRPr="00035F86">
        <w:rPr>
          <w:rFonts w:eastAsiaTheme="minorHAnsi" w:cs="Arial"/>
          <w:szCs w:val="20"/>
        </w:rPr>
        <w:t xml:space="preserve">information and communication technology; </w:t>
      </w:r>
      <w:r>
        <w:rPr>
          <w:rFonts w:eastAsiaTheme="minorHAnsi" w:cs="Arial"/>
          <w:szCs w:val="20"/>
        </w:rPr>
        <w:t xml:space="preserve"> </w:t>
      </w:r>
      <w:r w:rsidRPr="00035F86">
        <w:rPr>
          <w:rFonts w:eastAsiaTheme="minorHAnsi" w:cs="Arial"/>
          <w:szCs w:val="20"/>
        </w:rPr>
        <w:t xml:space="preserve">mail expedition services; </w:t>
      </w:r>
      <w:r>
        <w:rPr>
          <w:rFonts w:eastAsiaTheme="minorHAnsi" w:cs="Arial"/>
          <w:szCs w:val="20"/>
        </w:rPr>
        <w:t xml:space="preserve"> </w:t>
      </w:r>
      <w:r w:rsidRPr="00035F86">
        <w:rPr>
          <w:rFonts w:eastAsiaTheme="minorHAnsi" w:cs="Arial"/>
          <w:szCs w:val="20"/>
        </w:rPr>
        <w:t>personnel costs</w:t>
      </w:r>
      <w:r w:rsidR="00127BD8">
        <w:rPr>
          <w:rFonts w:eastAsiaTheme="minorHAnsi" w:cs="Arial"/>
          <w:szCs w:val="20"/>
        </w:rPr>
        <w:t>, Spe</w:t>
      </w:r>
      <w:r w:rsidR="00DE1CE8">
        <w:rPr>
          <w:rFonts w:eastAsiaTheme="minorHAnsi" w:cs="Arial"/>
          <w:szCs w:val="20"/>
        </w:rPr>
        <w:t>cial Service Agreements (SSAs)/</w:t>
      </w:r>
      <w:r w:rsidR="00127BD8">
        <w:rPr>
          <w:rFonts w:eastAsiaTheme="minorHAnsi" w:cs="Arial"/>
          <w:szCs w:val="20"/>
        </w:rPr>
        <w:t>Individual Contractual Services (ICS)</w:t>
      </w:r>
      <w:r w:rsidRPr="00035F86">
        <w:rPr>
          <w:rFonts w:eastAsiaTheme="minorHAnsi" w:cs="Arial"/>
          <w:szCs w:val="20"/>
        </w:rPr>
        <w:t xml:space="preserve"> and overall business processes and spending culture.  Information is also provided below on the efficiency gains under the PCT, Madrid and Hague international registrations systems.  </w:t>
      </w:r>
    </w:p>
    <w:p w:rsidR="00362FE5" w:rsidRPr="00035F86" w:rsidRDefault="00362FE5" w:rsidP="00362FE5">
      <w:pPr>
        <w:jc w:val="both"/>
        <w:rPr>
          <w:rFonts w:eastAsiaTheme="minorHAnsi" w:cs="Arial"/>
          <w:b/>
          <w:caps/>
          <w:szCs w:val="20"/>
        </w:rPr>
      </w:pPr>
    </w:p>
    <w:p w:rsidR="00362FE5" w:rsidRDefault="00362FE5" w:rsidP="00362FE5">
      <w:pPr>
        <w:jc w:val="both"/>
        <w:rPr>
          <w:rFonts w:eastAsiaTheme="minorHAnsi" w:cs="Arial"/>
          <w:b/>
          <w:caps/>
          <w:szCs w:val="20"/>
        </w:rPr>
      </w:pPr>
      <w:r w:rsidRPr="00035F86">
        <w:rPr>
          <w:rFonts w:eastAsiaTheme="minorHAnsi" w:cs="Arial"/>
          <w:b/>
          <w:caps/>
          <w:szCs w:val="20"/>
        </w:rPr>
        <w:t>Premises Management</w:t>
      </w:r>
    </w:p>
    <w:p w:rsidR="00362FE5" w:rsidRPr="00035F86" w:rsidRDefault="00362FE5" w:rsidP="00362FE5">
      <w:pPr>
        <w:jc w:val="both"/>
        <w:rPr>
          <w:rFonts w:eastAsiaTheme="minorHAnsi" w:cs="Arial"/>
          <w:b/>
          <w:caps/>
          <w:szCs w:val="20"/>
        </w:rPr>
      </w:pPr>
    </w:p>
    <w:p w:rsidR="00362FE5" w:rsidRDefault="00362FE5" w:rsidP="00362FE5">
      <w:pPr>
        <w:jc w:val="both"/>
        <w:rPr>
          <w:rFonts w:eastAsiaTheme="minorHAnsi" w:cs="Arial"/>
          <w:szCs w:val="20"/>
        </w:rPr>
      </w:pPr>
      <w:r w:rsidRPr="00035F86">
        <w:rPr>
          <w:rFonts w:eastAsiaTheme="minorHAnsi" w:cs="Arial"/>
          <w:szCs w:val="20"/>
        </w:rPr>
        <w:t>In the area of premises management, the following cost efficiency measures were implemented:</w:t>
      </w:r>
    </w:p>
    <w:p w:rsidR="00362FE5" w:rsidRPr="00035F86" w:rsidRDefault="00362FE5" w:rsidP="00362FE5">
      <w:pPr>
        <w:jc w:val="both"/>
        <w:rPr>
          <w:rFonts w:eastAsiaTheme="minorHAnsi" w:cs="Arial"/>
          <w:szCs w:val="20"/>
        </w:rPr>
      </w:pPr>
    </w:p>
    <w:p w:rsidR="00362FE5" w:rsidRPr="00035F86" w:rsidRDefault="00362FE5" w:rsidP="007B2B25">
      <w:pPr>
        <w:numPr>
          <w:ilvl w:val="0"/>
          <w:numId w:val="85"/>
        </w:numPr>
        <w:contextualSpacing/>
        <w:jc w:val="both"/>
        <w:rPr>
          <w:rFonts w:eastAsiaTheme="minorHAnsi" w:cs="Arial"/>
          <w:szCs w:val="20"/>
        </w:rPr>
      </w:pPr>
      <w:r w:rsidRPr="00035F86">
        <w:rPr>
          <w:rFonts w:eastAsiaTheme="minorHAnsi" w:cs="Arial"/>
          <w:szCs w:val="20"/>
        </w:rPr>
        <w:t>Implementation of a new office space allocation policy</w:t>
      </w:r>
      <w:r w:rsidRPr="00035F86" w:rsidDel="0024675E">
        <w:rPr>
          <w:rFonts w:eastAsiaTheme="minorHAnsi" w:cs="Arial"/>
          <w:szCs w:val="20"/>
        </w:rPr>
        <w:t xml:space="preserve"> </w:t>
      </w:r>
      <w:r w:rsidRPr="00035F86">
        <w:rPr>
          <w:rFonts w:eastAsiaTheme="minorHAnsi" w:cs="Arial"/>
          <w:szCs w:val="20"/>
        </w:rPr>
        <w:t>which resulted in the cancellation of the need for renting additional two floors of office space in a building outside the WIPO campus;</w:t>
      </w:r>
    </w:p>
    <w:p w:rsidR="00362FE5" w:rsidRPr="00035F86" w:rsidRDefault="00362FE5" w:rsidP="007B2B25">
      <w:pPr>
        <w:numPr>
          <w:ilvl w:val="0"/>
          <w:numId w:val="85"/>
        </w:numPr>
        <w:contextualSpacing/>
        <w:jc w:val="both"/>
        <w:rPr>
          <w:rFonts w:eastAsiaTheme="minorHAnsi" w:cs="Arial"/>
          <w:szCs w:val="20"/>
        </w:rPr>
      </w:pPr>
      <w:r w:rsidRPr="00035F86">
        <w:rPr>
          <w:rFonts w:eastAsiaTheme="minorHAnsi" w:cs="Arial"/>
          <w:szCs w:val="20"/>
        </w:rPr>
        <w:t>Postponement of the establishment of a Building Maintenance Fund;</w:t>
      </w:r>
    </w:p>
    <w:p w:rsidR="00362FE5" w:rsidRPr="00035F86" w:rsidRDefault="00362FE5" w:rsidP="007B2B25">
      <w:pPr>
        <w:numPr>
          <w:ilvl w:val="0"/>
          <w:numId w:val="85"/>
        </w:numPr>
        <w:contextualSpacing/>
        <w:jc w:val="both"/>
        <w:rPr>
          <w:rFonts w:eastAsiaTheme="minorHAnsi" w:cs="Arial"/>
          <w:szCs w:val="20"/>
        </w:rPr>
      </w:pPr>
      <w:r w:rsidRPr="00035F86">
        <w:rPr>
          <w:rFonts w:eastAsiaTheme="minorHAnsi" w:cs="Arial"/>
          <w:szCs w:val="20"/>
        </w:rPr>
        <w:t xml:space="preserve">Rationalization of storage and parking spaces; </w:t>
      </w:r>
      <w:r>
        <w:rPr>
          <w:rFonts w:eastAsiaTheme="minorHAnsi" w:cs="Arial"/>
          <w:szCs w:val="20"/>
        </w:rPr>
        <w:t xml:space="preserve"> </w:t>
      </w:r>
      <w:r w:rsidRPr="00035F86">
        <w:rPr>
          <w:rFonts w:eastAsiaTheme="minorHAnsi" w:cs="Arial"/>
          <w:szCs w:val="20"/>
        </w:rPr>
        <w:t>and</w:t>
      </w:r>
    </w:p>
    <w:p w:rsidR="00362FE5" w:rsidRDefault="00362FE5" w:rsidP="007B2B25">
      <w:pPr>
        <w:numPr>
          <w:ilvl w:val="0"/>
          <w:numId w:val="85"/>
        </w:numPr>
        <w:contextualSpacing/>
        <w:jc w:val="both"/>
        <w:rPr>
          <w:rFonts w:eastAsiaTheme="minorHAnsi" w:cs="Arial"/>
          <w:szCs w:val="20"/>
        </w:rPr>
      </w:pPr>
      <w:r w:rsidRPr="00035F86">
        <w:rPr>
          <w:rFonts w:eastAsiaTheme="minorHAnsi" w:cs="Arial"/>
          <w:szCs w:val="20"/>
        </w:rPr>
        <w:t>Reductions in electricity and water consumption.</w:t>
      </w:r>
    </w:p>
    <w:p w:rsidR="00362FE5" w:rsidRPr="00035F86" w:rsidRDefault="00362FE5" w:rsidP="00362FE5">
      <w:pPr>
        <w:ind w:left="720"/>
        <w:contextualSpacing/>
        <w:jc w:val="both"/>
        <w:rPr>
          <w:rFonts w:eastAsiaTheme="minorHAnsi" w:cs="Arial"/>
          <w:szCs w:val="20"/>
        </w:rPr>
      </w:pPr>
    </w:p>
    <w:p w:rsidR="00362FE5" w:rsidRDefault="00362FE5" w:rsidP="00362FE5">
      <w:pPr>
        <w:jc w:val="both"/>
        <w:rPr>
          <w:rFonts w:eastAsiaTheme="minorHAnsi" w:cs="Arial"/>
          <w:szCs w:val="20"/>
        </w:rPr>
      </w:pPr>
      <w:r w:rsidRPr="00035F86">
        <w:rPr>
          <w:rFonts w:eastAsiaTheme="minorHAnsi" w:cs="Arial"/>
          <w:szCs w:val="20"/>
        </w:rPr>
        <w:t xml:space="preserve">The Program and Budget 2012/13 included provisions to rent an additional two floors of office space and to establish a Building Maintenance Fund.  The rationalization of the use of office space and the postponement of the establishment of a Building Maintenance Fund resulted in biennial savings of approximately 4.5 million Swiss francs. </w:t>
      </w:r>
    </w:p>
    <w:p w:rsidR="00362FE5" w:rsidRPr="00035F86" w:rsidRDefault="00362FE5" w:rsidP="00362FE5">
      <w:pPr>
        <w:jc w:val="both"/>
        <w:rPr>
          <w:rFonts w:eastAsiaTheme="minorHAnsi" w:cs="Arial"/>
          <w:szCs w:val="20"/>
        </w:rPr>
      </w:pPr>
    </w:p>
    <w:p w:rsidR="00362FE5" w:rsidRPr="00035F86" w:rsidRDefault="00362FE5" w:rsidP="00362FE5">
      <w:pPr>
        <w:keepNext/>
        <w:keepLines/>
        <w:jc w:val="both"/>
        <w:rPr>
          <w:rFonts w:eastAsiaTheme="minorHAnsi" w:cs="Arial"/>
          <w:szCs w:val="20"/>
        </w:rPr>
      </w:pPr>
      <w:r w:rsidRPr="00035F86">
        <w:rPr>
          <w:rFonts w:eastAsiaTheme="minorHAnsi" w:cs="Arial"/>
          <w:szCs w:val="20"/>
        </w:rPr>
        <w:t>The new office space allocation policy, introduced in December 2010 was fully implemented across all WIPO buildings by the end of 2012.  As a result, at the end of 2013, a total of 1,627 workplaces were available in all buildings combined (WIPO-owned and rented premises), i.e. an increase of 48</w:t>
      </w:r>
      <w:r>
        <w:rPr>
          <w:rFonts w:eastAsiaTheme="minorHAnsi" w:cs="Arial"/>
          <w:szCs w:val="20"/>
        </w:rPr>
        <w:t> </w:t>
      </w:r>
      <w:r w:rsidRPr="00035F86">
        <w:rPr>
          <w:rFonts w:eastAsiaTheme="minorHAnsi" w:cs="Arial"/>
          <w:szCs w:val="20"/>
        </w:rPr>
        <w:t>additional workplaces as compared to the end of the previous biennium (1,579 workplaces in 2011).  Of these, 85.6</w:t>
      </w:r>
      <w:r w:rsidR="00DE1CE8">
        <w:rPr>
          <w:rFonts w:eastAsiaTheme="minorHAnsi" w:cs="Arial"/>
          <w:szCs w:val="20"/>
        </w:rPr>
        <w:t> </w:t>
      </w:r>
      <w:r w:rsidRPr="00035F86">
        <w:rPr>
          <w:rFonts w:eastAsiaTheme="minorHAnsi" w:cs="Arial"/>
          <w:szCs w:val="20"/>
        </w:rPr>
        <w:t xml:space="preserve">per cent were occupied in 2013, compared to 87 per cent at the end of 2011.  </w:t>
      </w:r>
    </w:p>
    <w:p w:rsidR="00362FE5" w:rsidRPr="00946C0C" w:rsidRDefault="00362FE5" w:rsidP="00362FE5">
      <w:pPr>
        <w:jc w:val="both"/>
        <w:rPr>
          <w:rFonts w:eastAsiaTheme="minorHAnsi" w:cs="Arial"/>
          <w:szCs w:val="20"/>
        </w:rPr>
      </w:pPr>
    </w:p>
    <w:p w:rsidR="00362FE5" w:rsidRPr="00946C0C" w:rsidRDefault="00362FE5" w:rsidP="00362FE5">
      <w:pPr>
        <w:jc w:val="both"/>
        <w:rPr>
          <w:rFonts w:eastAsiaTheme="minorHAnsi" w:cs="Arial"/>
          <w:szCs w:val="20"/>
        </w:rPr>
      </w:pPr>
      <w:r w:rsidRPr="00946C0C">
        <w:rPr>
          <w:rFonts w:eastAsiaTheme="minorHAnsi" w:cs="Arial"/>
          <w:szCs w:val="20"/>
        </w:rPr>
        <w:lastRenderedPageBreak/>
        <w:t xml:space="preserve">As regards the rationalization of storage spaces, a certain volume of stored documents, material and equipment were disposed of in the biennium, thereby contributing to a more efficient and cost-effective use of storage areas on- and off-site.  This resulted in the termination of the rental of two off-site storage areas in the course of 2012.  In addition, the rental of ten parking spaces was terminated in 2013.  The rationalization of off-site storage spaces and of parking spaces yielded a total savings of approximately 57,250 Swiss francs. </w:t>
      </w:r>
    </w:p>
    <w:p w:rsidR="00362FE5" w:rsidRPr="00946C0C" w:rsidRDefault="00362FE5" w:rsidP="00362FE5">
      <w:pPr>
        <w:jc w:val="both"/>
        <w:rPr>
          <w:rFonts w:eastAsiaTheme="minorHAnsi" w:cs="Arial"/>
          <w:szCs w:val="20"/>
        </w:rPr>
      </w:pPr>
    </w:p>
    <w:p w:rsidR="00362FE5" w:rsidRPr="00946C0C" w:rsidRDefault="00362FE5" w:rsidP="00362FE5">
      <w:pPr>
        <w:jc w:val="both"/>
        <w:rPr>
          <w:rFonts w:eastAsiaTheme="minorHAnsi" w:cs="Arial"/>
          <w:szCs w:val="20"/>
        </w:rPr>
      </w:pPr>
      <w:r w:rsidRPr="00946C0C">
        <w:rPr>
          <w:rFonts w:eastAsiaTheme="minorHAnsi" w:cs="Arial"/>
          <w:szCs w:val="20"/>
        </w:rPr>
        <w:t xml:space="preserve">The Secretariat undertook various measures aimed at reducing electricity consumption including: </w:t>
      </w:r>
      <w:r>
        <w:rPr>
          <w:rFonts w:eastAsiaTheme="minorHAnsi" w:cs="Arial"/>
          <w:szCs w:val="20"/>
        </w:rPr>
        <w:t xml:space="preserve"> </w:t>
      </w:r>
      <w:r w:rsidRPr="00946C0C">
        <w:rPr>
          <w:rFonts w:eastAsiaTheme="minorHAnsi" w:cs="Arial"/>
          <w:szCs w:val="20"/>
        </w:rPr>
        <w:t>(i)</w:t>
      </w:r>
      <w:r>
        <w:rPr>
          <w:rFonts w:eastAsiaTheme="minorHAnsi" w:cs="Arial"/>
          <w:szCs w:val="20"/>
        </w:rPr>
        <w:t> </w:t>
      </w:r>
      <w:r w:rsidRPr="00946C0C">
        <w:rPr>
          <w:rFonts w:eastAsiaTheme="minorHAnsi" w:cs="Arial"/>
          <w:szCs w:val="20"/>
        </w:rPr>
        <w:t xml:space="preserve">the upgrading of the electrical installation in the oldest building on the WIPO campus (GBI), which was completed in 2013; </w:t>
      </w:r>
      <w:r>
        <w:rPr>
          <w:rFonts w:eastAsiaTheme="minorHAnsi" w:cs="Arial"/>
          <w:szCs w:val="20"/>
        </w:rPr>
        <w:t xml:space="preserve"> </w:t>
      </w:r>
      <w:r w:rsidRPr="00946C0C">
        <w:rPr>
          <w:rFonts w:eastAsiaTheme="minorHAnsi" w:cs="Arial"/>
          <w:szCs w:val="20"/>
        </w:rPr>
        <w:t xml:space="preserve">(ii) the deployment of an environmentally friendly and cost efficient cooling system in the GBI Building in 2012 and the GBII Building in 2013; </w:t>
      </w:r>
      <w:r>
        <w:rPr>
          <w:rFonts w:eastAsiaTheme="minorHAnsi" w:cs="Arial"/>
          <w:szCs w:val="20"/>
        </w:rPr>
        <w:t xml:space="preserve"> </w:t>
      </w:r>
      <w:r w:rsidRPr="00946C0C">
        <w:rPr>
          <w:rFonts w:eastAsiaTheme="minorHAnsi" w:cs="Arial"/>
          <w:szCs w:val="20"/>
        </w:rPr>
        <w:t xml:space="preserve">(iii) the reduction by 50 per cent of the light sources on the office floors of the AB Building in 2013; </w:t>
      </w:r>
      <w:r>
        <w:rPr>
          <w:rFonts w:eastAsiaTheme="minorHAnsi" w:cs="Arial"/>
          <w:szCs w:val="20"/>
        </w:rPr>
        <w:t xml:space="preserve"> </w:t>
      </w:r>
      <w:r w:rsidRPr="00946C0C">
        <w:rPr>
          <w:rFonts w:eastAsiaTheme="minorHAnsi" w:cs="Arial"/>
          <w:szCs w:val="20"/>
        </w:rPr>
        <w:t>and (iv) the installation of automatic switches in the corridors of the AB and GBI Buildings and of twilight sensors in the GBI Building in 2013.  These measures resulted in an annual reduction in electricity consumption of approximately two per cent (140,000 kWh) between 2012 and 2013 representing annual savings of around 15,000</w:t>
      </w:r>
      <w:r>
        <w:rPr>
          <w:rFonts w:eastAsiaTheme="minorHAnsi" w:cs="Arial"/>
          <w:szCs w:val="20"/>
        </w:rPr>
        <w:t> </w:t>
      </w:r>
      <w:r w:rsidRPr="00946C0C">
        <w:rPr>
          <w:rFonts w:eastAsiaTheme="minorHAnsi" w:cs="Arial"/>
          <w:szCs w:val="20"/>
        </w:rPr>
        <w:t>Swiss francs.</w:t>
      </w:r>
    </w:p>
    <w:p w:rsidR="00362FE5" w:rsidRPr="00946C0C" w:rsidRDefault="00362FE5" w:rsidP="00362FE5">
      <w:pPr>
        <w:jc w:val="both"/>
        <w:rPr>
          <w:rFonts w:eastAsiaTheme="minorHAnsi" w:cs="Arial"/>
          <w:szCs w:val="20"/>
        </w:rPr>
      </w:pPr>
    </w:p>
    <w:p w:rsidR="00362FE5" w:rsidRPr="00946C0C" w:rsidRDefault="00127BD8" w:rsidP="00362FE5">
      <w:pPr>
        <w:jc w:val="both"/>
        <w:rPr>
          <w:rFonts w:eastAsiaTheme="minorHAnsi" w:cs="Arial"/>
          <w:szCs w:val="20"/>
        </w:rPr>
      </w:pPr>
      <w:r>
        <w:rPr>
          <w:rFonts w:eastAsiaTheme="minorHAnsi" w:cs="Arial"/>
          <w:szCs w:val="20"/>
        </w:rPr>
        <w:t>The costs related to w</w:t>
      </w:r>
      <w:r w:rsidR="00362FE5" w:rsidRPr="00946C0C">
        <w:rPr>
          <w:rFonts w:eastAsiaTheme="minorHAnsi" w:cs="Arial"/>
          <w:szCs w:val="20"/>
        </w:rPr>
        <w:t>ater consumption w</w:t>
      </w:r>
      <w:r>
        <w:rPr>
          <w:rFonts w:eastAsiaTheme="minorHAnsi" w:cs="Arial"/>
          <w:szCs w:val="20"/>
        </w:rPr>
        <w:t>ere</w:t>
      </w:r>
      <w:r w:rsidR="00362FE5" w:rsidRPr="00946C0C">
        <w:rPr>
          <w:rFonts w:eastAsiaTheme="minorHAnsi" w:cs="Arial"/>
          <w:szCs w:val="20"/>
        </w:rPr>
        <w:t xml:space="preserve"> reduced by approximately 12,000 Swiss francs in 2013 as compared to 2012, following the connection of one of the AB Building Data Center cooling units to the GLN cooling system.  In addition, the upgrade of the individual cooling and heating system in corner offices of the New Building was completed in mid-2013, offering a better control of room temperature in a number of offices.</w:t>
      </w:r>
    </w:p>
    <w:p w:rsidR="00362FE5" w:rsidRPr="00946C0C" w:rsidRDefault="00362FE5" w:rsidP="00362FE5">
      <w:pPr>
        <w:jc w:val="both"/>
        <w:rPr>
          <w:rFonts w:eastAsiaTheme="minorHAnsi" w:cs="Arial"/>
          <w:szCs w:val="20"/>
        </w:rPr>
      </w:pPr>
    </w:p>
    <w:p w:rsidR="00362FE5" w:rsidRPr="00946C0C" w:rsidRDefault="00362FE5" w:rsidP="00362FE5">
      <w:pPr>
        <w:jc w:val="both"/>
        <w:rPr>
          <w:rFonts w:eastAsiaTheme="minorHAnsi" w:cs="Arial"/>
          <w:szCs w:val="20"/>
        </w:rPr>
      </w:pPr>
      <w:r w:rsidRPr="00946C0C">
        <w:rPr>
          <w:rFonts w:eastAsiaTheme="minorHAnsi" w:cs="Arial"/>
          <w:szCs w:val="20"/>
        </w:rPr>
        <w:t xml:space="preserve">In line with WIPO’s strategy to progressively reduce its vehicle fleet and replace existing vehicles with environmentally-friendly alternatives, four of WIPO’s eleven official vehicles were sold, and a new hybrid car was purchased in the biennium. As a result, the cost of fleet maintenance decreased from 99,225 Swiss francs in 2010/11 to 79,265 Swiss francs in 2012/13, representing a savings of approximately 20,000 Swiss francs.   </w:t>
      </w:r>
    </w:p>
    <w:p w:rsidR="00362FE5" w:rsidRPr="00946C0C" w:rsidRDefault="00362FE5" w:rsidP="00362FE5">
      <w:pPr>
        <w:jc w:val="both"/>
        <w:rPr>
          <w:rFonts w:eastAsiaTheme="minorHAnsi" w:cs="Arial"/>
          <w:szCs w:val="20"/>
        </w:rPr>
      </w:pPr>
    </w:p>
    <w:p w:rsidR="00362FE5" w:rsidRPr="00946C0C" w:rsidRDefault="00362FE5" w:rsidP="00362FE5">
      <w:pPr>
        <w:jc w:val="both"/>
        <w:rPr>
          <w:rFonts w:eastAsiaTheme="minorHAnsi" w:cs="Arial"/>
          <w:szCs w:val="20"/>
        </w:rPr>
      </w:pPr>
      <w:r w:rsidRPr="00946C0C">
        <w:rPr>
          <w:rFonts w:eastAsiaTheme="minorHAnsi" w:cs="Arial"/>
          <w:szCs w:val="20"/>
        </w:rPr>
        <w:t>The table below summarizes the savings and/or efficiency gains obtained in the area of premises management.</w:t>
      </w:r>
    </w:p>
    <w:p w:rsidR="00362FE5" w:rsidRPr="00035F86" w:rsidRDefault="00362FE5" w:rsidP="00362FE5">
      <w:pPr>
        <w:jc w:val="both"/>
        <w:rPr>
          <w:rFonts w:eastAsiaTheme="minorHAnsi" w:cs="Arial"/>
          <w:szCs w:val="20"/>
        </w:rPr>
      </w:pPr>
    </w:p>
    <w:tbl>
      <w:tblPr>
        <w:tblStyle w:val="TableGrid1"/>
        <w:tblW w:w="0" w:type="auto"/>
        <w:tblInd w:w="108" w:type="dxa"/>
        <w:tblLook w:val="04A0" w:firstRow="1" w:lastRow="0" w:firstColumn="1" w:lastColumn="0" w:noHBand="0" w:noVBand="1"/>
      </w:tblPr>
      <w:tblGrid>
        <w:gridCol w:w="4678"/>
        <w:gridCol w:w="4678"/>
      </w:tblGrid>
      <w:tr w:rsidR="00362FE5" w:rsidRPr="00035F86" w:rsidTr="00DE1CE8">
        <w:tc>
          <w:tcPr>
            <w:tcW w:w="4678" w:type="dxa"/>
            <w:shd w:val="clear" w:color="auto" w:fill="DBE5F1" w:themeFill="accent1" w:themeFillTint="33"/>
            <w:vAlign w:val="center"/>
          </w:tcPr>
          <w:p w:rsidR="00362FE5" w:rsidRPr="00035F86" w:rsidRDefault="00362FE5" w:rsidP="004C5DDE">
            <w:pPr>
              <w:spacing w:before="120" w:after="120"/>
              <w:jc w:val="center"/>
              <w:rPr>
                <w:rFonts w:cs="Arial"/>
                <w:b/>
                <w:sz w:val="18"/>
                <w:szCs w:val="18"/>
              </w:rPr>
            </w:pPr>
            <w:r w:rsidRPr="00035F86">
              <w:rPr>
                <w:rFonts w:cs="Arial"/>
                <w:b/>
                <w:sz w:val="18"/>
                <w:szCs w:val="18"/>
              </w:rPr>
              <w:t>Description</w:t>
            </w:r>
          </w:p>
        </w:tc>
        <w:tc>
          <w:tcPr>
            <w:tcW w:w="4678" w:type="dxa"/>
            <w:shd w:val="clear" w:color="auto" w:fill="DBE5F1" w:themeFill="accent1" w:themeFillTint="33"/>
            <w:vAlign w:val="center"/>
          </w:tcPr>
          <w:p w:rsidR="00362FE5" w:rsidRPr="00035F86" w:rsidRDefault="00362FE5" w:rsidP="004C5DDE">
            <w:pPr>
              <w:spacing w:before="120" w:after="120"/>
              <w:jc w:val="center"/>
              <w:rPr>
                <w:rFonts w:cs="Arial"/>
                <w:b/>
                <w:sz w:val="18"/>
                <w:szCs w:val="18"/>
              </w:rPr>
            </w:pPr>
            <w:r w:rsidRPr="00035F86">
              <w:rPr>
                <w:rFonts w:cs="Arial"/>
                <w:b/>
                <w:sz w:val="18"/>
                <w:szCs w:val="18"/>
              </w:rPr>
              <w:t>Cost saving / Efficiency gain</w:t>
            </w:r>
          </w:p>
        </w:tc>
      </w:tr>
      <w:tr w:rsidR="00127BD8" w:rsidRPr="00035F86" w:rsidTr="00DE1CE8">
        <w:tc>
          <w:tcPr>
            <w:tcW w:w="4678" w:type="dxa"/>
          </w:tcPr>
          <w:p w:rsidR="00127BD8" w:rsidRPr="00035F86" w:rsidRDefault="00127BD8" w:rsidP="00D95B69">
            <w:pPr>
              <w:spacing w:before="120" w:after="120"/>
              <w:rPr>
                <w:rFonts w:cs="Arial"/>
                <w:sz w:val="16"/>
                <w:szCs w:val="16"/>
              </w:rPr>
            </w:pPr>
            <w:r w:rsidRPr="00035F86">
              <w:rPr>
                <w:rFonts w:cs="Arial"/>
                <w:sz w:val="16"/>
                <w:szCs w:val="16"/>
              </w:rPr>
              <w:t>Implementation of new office space policy</w:t>
            </w:r>
          </w:p>
        </w:tc>
        <w:tc>
          <w:tcPr>
            <w:tcW w:w="4678" w:type="dxa"/>
          </w:tcPr>
          <w:p w:rsidR="00127BD8" w:rsidRPr="00035F86" w:rsidRDefault="00127BD8" w:rsidP="00D95B69">
            <w:pPr>
              <w:spacing w:before="120" w:after="120"/>
              <w:rPr>
                <w:rFonts w:cs="Arial"/>
                <w:sz w:val="16"/>
                <w:szCs w:val="16"/>
              </w:rPr>
            </w:pPr>
            <w:r w:rsidRPr="00035F86">
              <w:rPr>
                <w:rFonts w:cs="Arial"/>
                <w:sz w:val="16"/>
                <w:szCs w:val="16"/>
              </w:rPr>
              <w:t>Cancellation of the need for renting additional office space to an amount of approximately 2 million Swiss francs</w:t>
            </w:r>
          </w:p>
          <w:p w:rsidR="00127BD8" w:rsidRPr="00035F86" w:rsidRDefault="00127BD8" w:rsidP="00D95B69">
            <w:pPr>
              <w:spacing w:before="120" w:after="120"/>
              <w:rPr>
                <w:rFonts w:cs="Arial"/>
                <w:sz w:val="16"/>
                <w:szCs w:val="16"/>
              </w:rPr>
            </w:pPr>
            <w:r w:rsidRPr="00035F86">
              <w:rPr>
                <w:rFonts w:cs="Arial"/>
                <w:sz w:val="16"/>
                <w:szCs w:val="16"/>
              </w:rPr>
              <w:t>48 additional workplaces available at the end of 2013 compared to the end of 2010/11</w:t>
            </w:r>
          </w:p>
        </w:tc>
      </w:tr>
      <w:tr w:rsidR="00362FE5" w:rsidRPr="00035F86" w:rsidTr="00DE1CE8">
        <w:tc>
          <w:tcPr>
            <w:tcW w:w="4678" w:type="dxa"/>
          </w:tcPr>
          <w:p w:rsidR="00362FE5" w:rsidRPr="00035F86" w:rsidRDefault="00127BD8" w:rsidP="004C5DDE">
            <w:pPr>
              <w:spacing w:before="120" w:after="120"/>
              <w:rPr>
                <w:rFonts w:cs="Arial"/>
                <w:sz w:val="16"/>
                <w:szCs w:val="16"/>
              </w:rPr>
            </w:pPr>
            <w:r>
              <w:rPr>
                <w:rFonts w:cs="Arial"/>
                <w:sz w:val="16"/>
                <w:szCs w:val="16"/>
              </w:rPr>
              <w:t>P</w:t>
            </w:r>
            <w:r w:rsidR="00362FE5" w:rsidRPr="00035F86">
              <w:rPr>
                <w:rFonts w:cs="Arial"/>
                <w:sz w:val="16"/>
                <w:szCs w:val="16"/>
              </w:rPr>
              <w:t xml:space="preserve">ostponement of Building Maintenance Fund </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2.5 million Swiss francs in 2012/13</w:t>
            </w:r>
          </w:p>
        </w:tc>
      </w:tr>
      <w:tr w:rsidR="00362FE5" w:rsidRPr="00035F86" w:rsidTr="00DE1CE8">
        <w:tc>
          <w:tcPr>
            <w:tcW w:w="4678" w:type="dxa"/>
          </w:tcPr>
          <w:p w:rsidR="00362FE5" w:rsidRPr="00035F86" w:rsidRDefault="00362FE5" w:rsidP="004C5DDE">
            <w:pPr>
              <w:spacing w:before="120" w:after="120"/>
              <w:rPr>
                <w:rFonts w:cs="Arial"/>
                <w:sz w:val="16"/>
                <w:szCs w:val="16"/>
              </w:rPr>
            </w:pPr>
            <w:r w:rsidRPr="00035F86">
              <w:rPr>
                <w:rFonts w:cs="Arial"/>
                <w:sz w:val="16"/>
                <w:szCs w:val="16"/>
              </w:rPr>
              <w:t>Rationalization of storage and parking spaces</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57,250 Swiss francs in 2012/13</w:t>
            </w:r>
          </w:p>
        </w:tc>
      </w:tr>
      <w:tr w:rsidR="00362FE5" w:rsidRPr="00035F86" w:rsidTr="00DE1CE8">
        <w:tc>
          <w:tcPr>
            <w:tcW w:w="4678" w:type="dxa"/>
          </w:tcPr>
          <w:p w:rsidR="00362FE5" w:rsidRPr="00035F86" w:rsidRDefault="00362FE5" w:rsidP="004C5DDE">
            <w:pPr>
              <w:spacing w:before="120" w:after="120"/>
              <w:rPr>
                <w:rFonts w:cs="Arial"/>
                <w:sz w:val="16"/>
                <w:szCs w:val="16"/>
              </w:rPr>
            </w:pPr>
            <w:r w:rsidRPr="00035F86">
              <w:rPr>
                <w:rFonts w:cs="Arial"/>
                <w:sz w:val="16"/>
                <w:szCs w:val="16"/>
              </w:rPr>
              <w:t>Reduction in electricity consumption</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Annual reduction of 2% (140,000 kWh) equivalent to savings of around 15,000 Swiss francs in 2013</w:t>
            </w:r>
          </w:p>
        </w:tc>
      </w:tr>
      <w:tr w:rsidR="00362FE5" w:rsidRPr="00035F86" w:rsidTr="00DE1CE8">
        <w:tc>
          <w:tcPr>
            <w:tcW w:w="4678" w:type="dxa"/>
          </w:tcPr>
          <w:p w:rsidR="00362FE5" w:rsidRPr="00035F86" w:rsidRDefault="00362FE5" w:rsidP="004C5DDE">
            <w:pPr>
              <w:spacing w:before="120" w:after="120"/>
              <w:rPr>
                <w:rFonts w:cs="Arial"/>
                <w:sz w:val="16"/>
                <w:szCs w:val="16"/>
              </w:rPr>
            </w:pPr>
            <w:r w:rsidRPr="00035F86">
              <w:rPr>
                <w:rFonts w:cs="Arial"/>
                <w:sz w:val="16"/>
                <w:szCs w:val="16"/>
              </w:rPr>
              <w:t>Reduction in</w:t>
            </w:r>
            <w:r w:rsidR="00127BD8">
              <w:rPr>
                <w:rFonts w:cs="Arial"/>
                <w:sz w:val="16"/>
                <w:szCs w:val="16"/>
              </w:rPr>
              <w:t xml:space="preserve"> costs related to</w:t>
            </w:r>
            <w:r w:rsidRPr="00035F86">
              <w:rPr>
                <w:rFonts w:cs="Arial"/>
                <w:sz w:val="16"/>
                <w:szCs w:val="16"/>
              </w:rPr>
              <w:t xml:space="preserve"> water consumption</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12,000 Swiss francs in 2013</w:t>
            </w:r>
          </w:p>
        </w:tc>
      </w:tr>
      <w:tr w:rsidR="00362FE5" w:rsidRPr="00035F86" w:rsidTr="00DE1CE8">
        <w:tc>
          <w:tcPr>
            <w:tcW w:w="4678" w:type="dxa"/>
          </w:tcPr>
          <w:p w:rsidR="00362FE5" w:rsidRPr="00035F86" w:rsidRDefault="00362FE5" w:rsidP="00127BD8">
            <w:pPr>
              <w:spacing w:before="120" w:after="120"/>
              <w:rPr>
                <w:rFonts w:cs="Arial"/>
                <w:sz w:val="16"/>
                <w:szCs w:val="16"/>
              </w:rPr>
            </w:pPr>
            <w:r w:rsidRPr="00035F86">
              <w:rPr>
                <w:rFonts w:cs="Arial"/>
                <w:sz w:val="16"/>
                <w:szCs w:val="16"/>
              </w:rPr>
              <w:t xml:space="preserve">Reduction in car fleet maintenance costs </w:t>
            </w:r>
          </w:p>
        </w:tc>
        <w:tc>
          <w:tcPr>
            <w:tcW w:w="4678" w:type="dxa"/>
          </w:tcPr>
          <w:p w:rsidR="00362FE5" w:rsidRPr="00035F86" w:rsidRDefault="00362FE5" w:rsidP="004C5DDE">
            <w:pPr>
              <w:spacing w:before="120" w:after="120"/>
              <w:rPr>
                <w:rFonts w:cs="Arial"/>
                <w:sz w:val="16"/>
                <w:szCs w:val="16"/>
              </w:rPr>
            </w:pPr>
            <w:r w:rsidRPr="00035F86">
              <w:rPr>
                <w:rFonts w:cs="Arial"/>
                <w:sz w:val="16"/>
                <w:szCs w:val="16"/>
              </w:rPr>
              <w:t xml:space="preserve">20,000 Swiss francs </w:t>
            </w:r>
            <w:r w:rsidR="00127BD8" w:rsidRPr="00035F86">
              <w:rPr>
                <w:rFonts w:cs="Arial"/>
                <w:sz w:val="16"/>
                <w:szCs w:val="16"/>
              </w:rPr>
              <w:t>between 2010/11 and 2012/1</w:t>
            </w:r>
            <w:r w:rsidR="00127BD8">
              <w:rPr>
                <w:rFonts w:cs="Arial"/>
                <w:sz w:val="16"/>
                <w:szCs w:val="16"/>
              </w:rPr>
              <w:t>3</w:t>
            </w:r>
          </w:p>
        </w:tc>
      </w:tr>
    </w:tbl>
    <w:p w:rsidR="00362FE5" w:rsidRPr="00035F86" w:rsidRDefault="00362FE5" w:rsidP="00362FE5">
      <w:pPr>
        <w:spacing w:after="200"/>
        <w:rPr>
          <w:rFonts w:eastAsiaTheme="minorHAnsi" w:cs="Arial"/>
          <w:szCs w:val="20"/>
        </w:rPr>
      </w:pPr>
    </w:p>
    <w:p w:rsidR="00362FE5" w:rsidRDefault="00362FE5" w:rsidP="00362FE5">
      <w:pPr>
        <w:rPr>
          <w:rFonts w:eastAsiaTheme="minorHAnsi" w:cs="Arial"/>
          <w:b/>
          <w:szCs w:val="20"/>
        </w:rPr>
      </w:pPr>
      <w:r>
        <w:rPr>
          <w:rFonts w:eastAsiaTheme="minorHAnsi" w:cs="Arial"/>
          <w:b/>
          <w:szCs w:val="20"/>
        </w:rPr>
        <w:br w:type="page"/>
      </w:r>
    </w:p>
    <w:p w:rsidR="00362FE5" w:rsidRPr="00035F86" w:rsidRDefault="00362FE5" w:rsidP="00362FE5">
      <w:pPr>
        <w:spacing w:after="200"/>
        <w:jc w:val="both"/>
        <w:rPr>
          <w:rFonts w:eastAsiaTheme="minorHAnsi" w:cs="Arial"/>
          <w:b/>
          <w:szCs w:val="20"/>
        </w:rPr>
      </w:pPr>
      <w:r w:rsidRPr="00035F86">
        <w:rPr>
          <w:rFonts w:eastAsiaTheme="minorHAnsi" w:cs="Arial"/>
          <w:b/>
          <w:szCs w:val="20"/>
        </w:rPr>
        <w:lastRenderedPageBreak/>
        <w:t>STAFF AND THIRD PARTY TRAVEL</w:t>
      </w:r>
    </w:p>
    <w:p w:rsidR="00362FE5" w:rsidRDefault="00362FE5" w:rsidP="00362FE5">
      <w:pPr>
        <w:jc w:val="both"/>
        <w:rPr>
          <w:rFonts w:eastAsiaTheme="minorHAnsi" w:cs="Arial"/>
          <w:szCs w:val="20"/>
        </w:rPr>
      </w:pPr>
      <w:r w:rsidRPr="00035F86">
        <w:rPr>
          <w:rFonts w:eastAsiaTheme="minorHAnsi" w:cs="Arial"/>
          <w:szCs w:val="20"/>
        </w:rPr>
        <w:t>The Secretariat undertook a concerted effort to achieve cost efficiencies in relation to staff and third party travel in the biennium.  To this end, the following policy measures were either prepared and/or implemented during the biennium:</w:t>
      </w:r>
    </w:p>
    <w:p w:rsidR="00362FE5" w:rsidRPr="00035F86" w:rsidRDefault="00362FE5" w:rsidP="00362FE5">
      <w:pPr>
        <w:jc w:val="both"/>
        <w:rPr>
          <w:rFonts w:eastAsiaTheme="minorHAnsi" w:cs="Arial"/>
          <w:szCs w:val="20"/>
        </w:rPr>
      </w:pPr>
    </w:p>
    <w:p w:rsidR="00362FE5" w:rsidRPr="00035F86" w:rsidRDefault="00362FE5" w:rsidP="007B2B25">
      <w:pPr>
        <w:numPr>
          <w:ilvl w:val="0"/>
          <w:numId w:val="86"/>
        </w:numPr>
        <w:contextualSpacing/>
        <w:rPr>
          <w:rFonts w:eastAsiaTheme="minorHAnsi" w:cs="Arial"/>
          <w:szCs w:val="20"/>
        </w:rPr>
      </w:pPr>
      <w:r w:rsidRPr="00035F86">
        <w:rPr>
          <w:rFonts w:eastAsiaTheme="minorHAnsi" w:cs="Arial"/>
          <w:szCs w:val="20"/>
        </w:rPr>
        <w:t>Economy class travel was made obligatory for travel of up to nine hours including stop overs;</w:t>
      </w:r>
    </w:p>
    <w:p w:rsidR="00362FE5" w:rsidRPr="00035F86" w:rsidRDefault="00362FE5" w:rsidP="007B2B25">
      <w:pPr>
        <w:numPr>
          <w:ilvl w:val="0"/>
          <w:numId w:val="86"/>
        </w:numPr>
        <w:contextualSpacing/>
        <w:rPr>
          <w:rFonts w:eastAsiaTheme="minorHAnsi" w:cs="Arial"/>
          <w:szCs w:val="20"/>
        </w:rPr>
      </w:pPr>
      <w:r w:rsidRPr="00035F86">
        <w:rPr>
          <w:rFonts w:eastAsiaTheme="minorHAnsi" w:cs="Arial"/>
          <w:szCs w:val="20"/>
        </w:rPr>
        <w:t>Travelling by the most direct and economical routing was made compulsory;</w:t>
      </w:r>
    </w:p>
    <w:p w:rsidR="00362FE5" w:rsidRPr="00035F86" w:rsidRDefault="00362FE5" w:rsidP="007B2B25">
      <w:pPr>
        <w:numPr>
          <w:ilvl w:val="0"/>
          <w:numId w:val="86"/>
        </w:numPr>
        <w:contextualSpacing/>
        <w:rPr>
          <w:rFonts w:eastAsiaTheme="minorHAnsi" w:cs="Arial"/>
          <w:szCs w:val="20"/>
        </w:rPr>
      </w:pPr>
      <w:r w:rsidRPr="00035F86">
        <w:rPr>
          <w:rFonts w:eastAsiaTheme="minorHAnsi" w:cs="Arial"/>
          <w:szCs w:val="20"/>
        </w:rPr>
        <w:t xml:space="preserve">Air tickets were required to be purchased at least ten working days before the date of departure; </w:t>
      </w:r>
    </w:p>
    <w:p w:rsidR="00362FE5" w:rsidRPr="00035F86" w:rsidRDefault="00362FE5" w:rsidP="007B2B25">
      <w:pPr>
        <w:numPr>
          <w:ilvl w:val="0"/>
          <w:numId w:val="86"/>
        </w:numPr>
        <w:contextualSpacing/>
        <w:rPr>
          <w:rFonts w:eastAsiaTheme="minorHAnsi" w:cs="Arial"/>
          <w:szCs w:val="20"/>
        </w:rPr>
      </w:pPr>
      <w:r w:rsidRPr="00035F86">
        <w:rPr>
          <w:rFonts w:eastAsiaTheme="minorHAnsi" w:cs="Arial"/>
          <w:szCs w:val="20"/>
        </w:rPr>
        <w:t>Daily subsistence allowance (DSA) payments were reduced to 50 per cent for overnight travel by air;</w:t>
      </w:r>
    </w:p>
    <w:p w:rsidR="00362FE5" w:rsidRDefault="00362FE5" w:rsidP="007B2B25">
      <w:pPr>
        <w:numPr>
          <w:ilvl w:val="0"/>
          <w:numId w:val="86"/>
        </w:numPr>
        <w:contextualSpacing/>
        <w:rPr>
          <w:rFonts w:eastAsiaTheme="minorHAnsi" w:cs="Arial"/>
          <w:szCs w:val="20"/>
        </w:rPr>
      </w:pPr>
      <w:r w:rsidRPr="00035F86">
        <w:rPr>
          <w:rFonts w:eastAsiaTheme="minorHAnsi" w:cs="Arial"/>
          <w:szCs w:val="20"/>
        </w:rPr>
        <w:t>Policy on staff home leave was revised.</w:t>
      </w:r>
    </w:p>
    <w:p w:rsidR="00362FE5" w:rsidRPr="00035F86" w:rsidRDefault="00362FE5" w:rsidP="00362FE5">
      <w:pPr>
        <w:ind w:left="720"/>
        <w:contextualSpacing/>
        <w:jc w:val="both"/>
        <w:rPr>
          <w:rFonts w:eastAsiaTheme="minorHAnsi" w:cs="Arial"/>
          <w:szCs w:val="20"/>
        </w:rPr>
      </w:pPr>
    </w:p>
    <w:p w:rsidR="00362FE5" w:rsidRDefault="00362FE5" w:rsidP="00362FE5">
      <w:pPr>
        <w:jc w:val="both"/>
        <w:rPr>
          <w:rFonts w:eastAsiaTheme="minorHAnsi" w:cs="Arial"/>
          <w:szCs w:val="20"/>
        </w:rPr>
      </w:pPr>
      <w:r w:rsidRPr="00035F86">
        <w:rPr>
          <w:rFonts w:eastAsiaTheme="minorHAnsi" w:cs="Arial"/>
          <w:szCs w:val="20"/>
        </w:rPr>
        <w:t xml:space="preserve">The revised policy on staff home leave was promulgated at the beginning of 2014. The policy includes significantly stricter travel conditions and is expected to result in significant cost savings for the Organization in the course of the 2016/17 biennium.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Savings from (i) the implementation of the nine hour economy travel, (ii) reduction of DSA payments for overnight flights and (iii) more advance ticket booking are estimated at 923,000 Swiss francs in 2012/13. </w:t>
      </w:r>
      <w:r>
        <w:rPr>
          <w:rFonts w:eastAsiaTheme="minorHAnsi" w:cs="Arial"/>
          <w:szCs w:val="20"/>
        </w:rPr>
        <w:t xml:space="preserve"> </w:t>
      </w:r>
      <w:r w:rsidRPr="00035F86">
        <w:rPr>
          <w:rFonts w:eastAsiaTheme="minorHAnsi" w:cs="Arial"/>
          <w:szCs w:val="20"/>
        </w:rPr>
        <w:t xml:space="preserve">The average ticket price for all classes of travel, type of travelers and vendors has decreased from 1,914 Swiss francs in 2012 to 1,728 Swiss francs in 2013.  Additional internal efficiency gains were also achieved in relation to the processing of third party visas and event and travel requests.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The Organization’s continued participation in the Joint Airline Negotiations, within the framework of the UN Common Procurement Activities Group (CPAG), proved important for achieving better prices and conditions from airline companies.  Related estimated savings amounted to approximately 880,000</w:t>
      </w:r>
      <w:r>
        <w:rPr>
          <w:rFonts w:eastAsiaTheme="minorHAnsi" w:cs="Arial"/>
          <w:szCs w:val="20"/>
        </w:rPr>
        <w:t> </w:t>
      </w:r>
      <w:r w:rsidRPr="00035F86">
        <w:rPr>
          <w:rFonts w:eastAsiaTheme="minorHAnsi" w:cs="Arial"/>
          <w:szCs w:val="20"/>
        </w:rPr>
        <w:t>Swiss francs in 2012 and around 740,000 Swiss francs in 2013.</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b/>
          <w:i/>
          <w:iCs/>
          <w:caps/>
          <w:szCs w:val="20"/>
        </w:rPr>
      </w:pPr>
      <w:r w:rsidRPr="00035F86">
        <w:rPr>
          <w:rFonts w:eastAsiaTheme="minorHAnsi" w:cs="Arial"/>
          <w:szCs w:val="20"/>
        </w:rPr>
        <w:t>Further efforts by the Secretariat to achieve travel related cost efficiencies</w:t>
      </w:r>
      <w:r w:rsidRPr="00035F86" w:rsidDel="00BD25EF">
        <w:rPr>
          <w:rFonts w:eastAsiaTheme="minorHAnsi" w:cs="Arial"/>
          <w:szCs w:val="20"/>
        </w:rPr>
        <w:t xml:space="preserve"> </w:t>
      </w:r>
      <w:r w:rsidRPr="00035F86">
        <w:rPr>
          <w:rFonts w:eastAsiaTheme="minorHAnsi" w:cs="Arial"/>
          <w:szCs w:val="20"/>
        </w:rPr>
        <w:t xml:space="preserve">were described in document WO/PBC/21/19, including the introduction of an Online Booking Tool (OBT) aimed at improving current business processes, obtaining substantially better ticket prices due to earlier booking and reduction in the travel agency transaction fees.  Work on the OBT commenced in the biennium 2012/13. </w:t>
      </w:r>
      <w:r>
        <w:rPr>
          <w:rFonts w:eastAsiaTheme="minorHAnsi" w:cs="Arial"/>
          <w:szCs w:val="20"/>
        </w:rPr>
        <w:t xml:space="preserve"> </w:t>
      </w:r>
      <w:r w:rsidRPr="00035F86">
        <w:rPr>
          <w:rFonts w:eastAsiaTheme="minorHAnsi" w:cs="Arial"/>
          <w:szCs w:val="20"/>
        </w:rPr>
        <w:t xml:space="preserve">The tool is expected to be launched in 2014 and is estimated to result in </w:t>
      </w:r>
      <w:r w:rsidR="00A7519E">
        <w:rPr>
          <w:rFonts w:eastAsiaTheme="minorHAnsi" w:cs="Arial"/>
          <w:szCs w:val="20"/>
        </w:rPr>
        <w:t>further</w:t>
      </w:r>
      <w:r w:rsidRPr="00035F86">
        <w:rPr>
          <w:rFonts w:eastAsiaTheme="minorHAnsi" w:cs="Arial"/>
          <w:szCs w:val="20"/>
        </w:rPr>
        <w:t xml:space="preserve"> </w:t>
      </w:r>
      <w:r w:rsidR="00A7519E">
        <w:rPr>
          <w:rFonts w:eastAsiaTheme="minorHAnsi" w:cs="Arial"/>
          <w:szCs w:val="20"/>
        </w:rPr>
        <w:t xml:space="preserve">travel cost </w:t>
      </w:r>
      <w:r w:rsidRPr="00035F86">
        <w:rPr>
          <w:rFonts w:eastAsiaTheme="minorHAnsi" w:cs="Arial"/>
          <w:szCs w:val="20"/>
        </w:rPr>
        <w:t>saving</w:t>
      </w:r>
      <w:r w:rsidR="00A7519E">
        <w:rPr>
          <w:rFonts w:eastAsiaTheme="minorHAnsi" w:cs="Arial"/>
          <w:szCs w:val="20"/>
        </w:rPr>
        <w:t>s</w:t>
      </w:r>
      <w:r w:rsidRPr="00035F86">
        <w:rPr>
          <w:rFonts w:eastAsiaTheme="minorHAnsi" w:cs="Arial"/>
          <w:szCs w:val="20"/>
        </w:rPr>
        <w:t xml:space="preserve"> as of 2015. </w:t>
      </w:r>
    </w:p>
    <w:p w:rsidR="00362FE5" w:rsidRDefault="00362FE5" w:rsidP="00362FE5">
      <w:pPr>
        <w:jc w:val="both"/>
        <w:rPr>
          <w:rFonts w:eastAsiaTheme="minorHAnsi" w:cs="Arial"/>
          <w:szCs w:val="20"/>
        </w:rPr>
      </w:pPr>
    </w:p>
    <w:p w:rsidR="00683485" w:rsidRPr="00035F86" w:rsidRDefault="00683485" w:rsidP="00683485">
      <w:pPr>
        <w:jc w:val="both"/>
        <w:rPr>
          <w:rFonts w:eastAsiaTheme="minorHAnsi" w:cs="Arial"/>
          <w:szCs w:val="20"/>
        </w:rPr>
      </w:pPr>
      <w:r w:rsidRPr="00035F86">
        <w:rPr>
          <w:rFonts w:eastAsiaTheme="minorHAnsi" w:cs="Arial"/>
          <w:szCs w:val="20"/>
        </w:rPr>
        <w:t xml:space="preserve">WIPO continued to enhance </w:t>
      </w:r>
      <w:r>
        <w:rPr>
          <w:rFonts w:eastAsiaTheme="minorHAnsi" w:cs="Arial"/>
          <w:szCs w:val="20"/>
        </w:rPr>
        <w:t xml:space="preserve">the efficiency of </w:t>
      </w:r>
      <w:r w:rsidRPr="00035F86">
        <w:rPr>
          <w:rFonts w:eastAsiaTheme="minorHAnsi" w:cs="Arial"/>
          <w:szCs w:val="20"/>
        </w:rPr>
        <w:t xml:space="preserve">its </w:t>
      </w:r>
      <w:r>
        <w:rPr>
          <w:rFonts w:eastAsiaTheme="minorHAnsi" w:cs="Arial"/>
          <w:szCs w:val="20"/>
        </w:rPr>
        <w:t>travel</w:t>
      </w:r>
      <w:r w:rsidRPr="00035F86">
        <w:rPr>
          <w:rFonts w:eastAsiaTheme="minorHAnsi" w:cs="Arial"/>
          <w:szCs w:val="20"/>
        </w:rPr>
        <w:t xml:space="preserve"> processes</w:t>
      </w:r>
      <w:r>
        <w:rPr>
          <w:rFonts w:eastAsiaTheme="minorHAnsi" w:cs="Arial"/>
          <w:szCs w:val="20"/>
        </w:rPr>
        <w:t xml:space="preserve"> which resulted </w:t>
      </w:r>
      <w:r w:rsidRPr="00035F86">
        <w:rPr>
          <w:rFonts w:eastAsiaTheme="minorHAnsi" w:cs="Arial"/>
          <w:szCs w:val="20"/>
        </w:rPr>
        <w:t xml:space="preserve">in </w:t>
      </w:r>
      <w:r>
        <w:rPr>
          <w:rFonts w:eastAsiaTheme="minorHAnsi" w:cs="Arial"/>
          <w:szCs w:val="20"/>
        </w:rPr>
        <w:t>a</w:t>
      </w:r>
      <w:r w:rsidRPr="00035F86">
        <w:rPr>
          <w:rFonts w:eastAsiaTheme="minorHAnsi" w:cs="Arial"/>
          <w:szCs w:val="20"/>
        </w:rPr>
        <w:t xml:space="preserve">bsorption of </w:t>
      </w:r>
      <w:r>
        <w:rPr>
          <w:rFonts w:eastAsiaTheme="minorHAnsi" w:cs="Arial"/>
          <w:szCs w:val="20"/>
        </w:rPr>
        <w:t xml:space="preserve">a </w:t>
      </w:r>
      <w:r w:rsidRPr="00035F86">
        <w:rPr>
          <w:rFonts w:eastAsiaTheme="minorHAnsi" w:cs="Arial"/>
          <w:szCs w:val="20"/>
        </w:rPr>
        <w:t>19.3</w:t>
      </w:r>
      <w:r w:rsidR="004E1468">
        <w:rPr>
          <w:rFonts w:eastAsiaTheme="minorHAnsi" w:cs="Arial"/>
          <w:szCs w:val="20"/>
        </w:rPr>
        <w:t> </w:t>
      </w:r>
      <w:r w:rsidRPr="00035F86">
        <w:rPr>
          <w:rFonts w:eastAsiaTheme="minorHAnsi" w:cs="Arial"/>
          <w:szCs w:val="20"/>
        </w:rPr>
        <w:t xml:space="preserve">per cent increase in the number of Electronic Travel Authorizations (ETAs) </w:t>
      </w:r>
      <w:r>
        <w:rPr>
          <w:rFonts w:eastAsiaTheme="minorHAnsi" w:cs="Arial"/>
          <w:szCs w:val="20"/>
        </w:rPr>
        <w:t>processed between 2012 and 2013.</w:t>
      </w:r>
    </w:p>
    <w:p w:rsidR="00683485" w:rsidRPr="00035F86" w:rsidRDefault="00683485" w:rsidP="00362FE5">
      <w:pPr>
        <w:jc w:val="both"/>
        <w:rPr>
          <w:rFonts w:eastAsiaTheme="minorHAnsi" w:cs="Arial"/>
          <w:szCs w:val="20"/>
        </w:rPr>
      </w:pPr>
    </w:p>
    <w:p w:rsidR="00362FE5" w:rsidRDefault="00362FE5" w:rsidP="00362FE5">
      <w:pPr>
        <w:jc w:val="both"/>
        <w:rPr>
          <w:rFonts w:eastAsiaTheme="minorHAnsi" w:cs="Arial"/>
          <w:szCs w:val="20"/>
        </w:rPr>
      </w:pPr>
      <w:r w:rsidRPr="00035F86">
        <w:rPr>
          <w:rFonts w:eastAsiaTheme="minorHAnsi" w:cs="Arial"/>
          <w:szCs w:val="20"/>
        </w:rPr>
        <w:t>The table below summarizes the savings and/or efficiency gains obtained on staff and third party travel.</w:t>
      </w:r>
    </w:p>
    <w:p w:rsidR="00362FE5" w:rsidRPr="00035F86" w:rsidRDefault="00362FE5" w:rsidP="00362FE5">
      <w:pPr>
        <w:jc w:val="both"/>
        <w:rPr>
          <w:rFonts w:eastAsiaTheme="minorHAnsi" w:cs="Arial"/>
          <w:szCs w:val="20"/>
        </w:rPr>
      </w:pPr>
    </w:p>
    <w:tbl>
      <w:tblPr>
        <w:tblStyle w:val="TableGrid1"/>
        <w:tblW w:w="0" w:type="auto"/>
        <w:tblInd w:w="108" w:type="dxa"/>
        <w:tblLook w:val="04A0" w:firstRow="1" w:lastRow="0" w:firstColumn="1" w:lastColumn="0" w:noHBand="0" w:noVBand="1"/>
      </w:tblPr>
      <w:tblGrid>
        <w:gridCol w:w="4678"/>
        <w:gridCol w:w="4678"/>
      </w:tblGrid>
      <w:tr w:rsidR="00362FE5" w:rsidRPr="00035F86" w:rsidTr="00DE1CE8">
        <w:trPr>
          <w:trHeight w:val="386"/>
        </w:trPr>
        <w:tc>
          <w:tcPr>
            <w:tcW w:w="4678" w:type="dxa"/>
            <w:shd w:val="clear" w:color="auto" w:fill="DBE5F1" w:themeFill="accent1" w:themeFillTint="33"/>
            <w:vAlign w:val="center"/>
          </w:tcPr>
          <w:p w:rsidR="00362FE5" w:rsidRPr="00035F86" w:rsidRDefault="00362FE5" w:rsidP="004808E3">
            <w:pPr>
              <w:spacing w:before="120" w:after="120"/>
              <w:jc w:val="center"/>
              <w:rPr>
                <w:rFonts w:cs="Arial"/>
                <w:b/>
                <w:sz w:val="18"/>
                <w:szCs w:val="18"/>
              </w:rPr>
            </w:pPr>
            <w:r w:rsidRPr="00035F86">
              <w:rPr>
                <w:rFonts w:cs="Arial"/>
                <w:b/>
                <w:sz w:val="18"/>
                <w:szCs w:val="18"/>
              </w:rPr>
              <w:t>Description</w:t>
            </w:r>
          </w:p>
        </w:tc>
        <w:tc>
          <w:tcPr>
            <w:tcW w:w="4678" w:type="dxa"/>
            <w:shd w:val="clear" w:color="auto" w:fill="DBE5F1" w:themeFill="accent1" w:themeFillTint="33"/>
            <w:vAlign w:val="center"/>
          </w:tcPr>
          <w:p w:rsidR="00362FE5" w:rsidRPr="00035F86" w:rsidRDefault="00362FE5" w:rsidP="004808E3">
            <w:pPr>
              <w:spacing w:before="120" w:after="120"/>
              <w:jc w:val="center"/>
              <w:rPr>
                <w:rFonts w:cs="Arial"/>
                <w:b/>
                <w:sz w:val="18"/>
                <w:szCs w:val="18"/>
              </w:rPr>
            </w:pPr>
            <w:r w:rsidRPr="00035F86">
              <w:rPr>
                <w:rFonts w:cs="Arial"/>
                <w:b/>
                <w:sz w:val="18"/>
                <w:szCs w:val="18"/>
              </w:rPr>
              <w:t>Cost saving / Efficiency gain</w:t>
            </w:r>
          </w:p>
        </w:tc>
      </w:tr>
      <w:tr w:rsidR="00362FE5" w:rsidRPr="00035F86" w:rsidTr="00DE1CE8">
        <w:trPr>
          <w:trHeight w:val="341"/>
        </w:trPr>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 xml:space="preserve">Savings from travel policy measures </w:t>
            </w:r>
          </w:p>
        </w:tc>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 xml:space="preserve">923,000 in 2012/13 </w:t>
            </w:r>
          </w:p>
        </w:tc>
      </w:tr>
      <w:tr w:rsidR="00362FE5" w:rsidRPr="00035F86" w:rsidTr="00DE1CE8">
        <w:trPr>
          <w:trHeight w:val="539"/>
        </w:trPr>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Reduction in the average ticket price (considering all classes of travel type of travelers and vendors)</w:t>
            </w:r>
          </w:p>
        </w:tc>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1,914 Swiss francs in 2012 to 1,728 Swiss francs in 2013</w:t>
            </w:r>
          </w:p>
        </w:tc>
      </w:tr>
      <w:tr w:rsidR="00362FE5" w:rsidRPr="00035F86" w:rsidTr="00DE1CE8">
        <w:trPr>
          <w:trHeight w:val="440"/>
        </w:trPr>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Savings related to an active participation to the Joint Airline Negotiations</w:t>
            </w:r>
          </w:p>
        </w:tc>
        <w:tc>
          <w:tcPr>
            <w:tcW w:w="4678" w:type="dxa"/>
            <w:vAlign w:val="center"/>
          </w:tcPr>
          <w:p w:rsidR="00362FE5" w:rsidRPr="00035F86" w:rsidRDefault="00362FE5" w:rsidP="004808E3">
            <w:pPr>
              <w:spacing w:before="120" w:after="120"/>
              <w:rPr>
                <w:rFonts w:cs="Arial"/>
                <w:sz w:val="16"/>
                <w:szCs w:val="16"/>
              </w:rPr>
            </w:pPr>
            <w:r w:rsidRPr="00035F86">
              <w:rPr>
                <w:rFonts w:cs="Arial"/>
                <w:sz w:val="16"/>
                <w:szCs w:val="16"/>
              </w:rPr>
              <w:t>880,000 in 2012 and 740,000 in 2013</w:t>
            </w:r>
          </w:p>
        </w:tc>
      </w:tr>
      <w:tr w:rsidR="00CB4FCE" w:rsidRPr="00035F86" w:rsidTr="00DE1CE8">
        <w:trPr>
          <w:trHeight w:val="683"/>
        </w:trPr>
        <w:tc>
          <w:tcPr>
            <w:tcW w:w="4678" w:type="dxa"/>
          </w:tcPr>
          <w:p w:rsidR="00CB4FCE" w:rsidRPr="00035F86" w:rsidRDefault="00CB4FCE" w:rsidP="004808E3">
            <w:pPr>
              <w:spacing w:before="120" w:after="120"/>
              <w:rPr>
                <w:rFonts w:cs="Arial"/>
                <w:sz w:val="16"/>
                <w:szCs w:val="16"/>
              </w:rPr>
            </w:pPr>
            <w:r w:rsidRPr="00035F86">
              <w:rPr>
                <w:rFonts w:cs="Arial"/>
                <w:sz w:val="16"/>
                <w:szCs w:val="16"/>
              </w:rPr>
              <w:t>Efficiency gains resulting from improvement of procurement processes</w:t>
            </w:r>
          </w:p>
        </w:tc>
        <w:tc>
          <w:tcPr>
            <w:tcW w:w="4678" w:type="dxa"/>
          </w:tcPr>
          <w:p w:rsidR="00CB4FCE" w:rsidRPr="00035F86" w:rsidRDefault="00CB4FCE" w:rsidP="004808E3">
            <w:pPr>
              <w:spacing w:before="120" w:after="120"/>
              <w:contextualSpacing/>
              <w:rPr>
                <w:rFonts w:cs="Arial"/>
                <w:sz w:val="16"/>
                <w:szCs w:val="16"/>
              </w:rPr>
            </w:pPr>
            <w:r w:rsidRPr="00035F86">
              <w:rPr>
                <w:rFonts w:cs="Arial"/>
                <w:sz w:val="16"/>
                <w:szCs w:val="16"/>
              </w:rPr>
              <w:t>Absorption of higher volumes of ETAs (19.3% increase)</w:t>
            </w:r>
            <w:r>
              <w:rPr>
                <w:rFonts w:cs="Arial"/>
                <w:sz w:val="16"/>
                <w:szCs w:val="16"/>
              </w:rPr>
              <w:t xml:space="preserve"> and of</w:t>
            </w:r>
            <w:r w:rsidRPr="00035F86">
              <w:rPr>
                <w:rFonts w:cs="Arial"/>
                <w:sz w:val="16"/>
                <w:szCs w:val="16"/>
              </w:rPr>
              <w:t xml:space="preserve"> purchase orders and tenders (16% increase) between 2012 and 2013.</w:t>
            </w:r>
          </w:p>
          <w:p w:rsidR="00CB4FCE" w:rsidRPr="00035F86" w:rsidRDefault="00CB4FCE" w:rsidP="004808E3">
            <w:pPr>
              <w:spacing w:before="120" w:after="120"/>
              <w:contextualSpacing/>
              <w:rPr>
                <w:rFonts w:cs="Arial"/>
                <w:sz w:val="16"/>
                <w:szCs w:val="16"/>
              </w:rPr>
            </w:pPr>
          </w:p>
        </w:tc>
      </w:tr>
    </w:tbl>
    <w:p w:rsidR="00DE1CE8" w:rsidRDefault="00DE1CE8" w:rsidP="00362FE5">
      <w:pPr>
        <w:keepNext/>
        <w:keepLines/>
        <w:spacing w:after="200"/>
        <w:jc w:val="both"/>
        <w:rPr>
          <w:rFonts w:eastAsiaTheme="minorHAnsi" w:cs="Arial"/>
          <w:b/>
          <w:bCs/>
          <w:caps/>
          <w:szCs w:val="20"/>
        </w:rPr>
      </w:pPr>
    </w:p>
    <w:p w:rsidR="00DE1CE8" w:rsidRDefault="00DE1CE8">
      <w:pPr>
        <w:rPr>
          <w:rFonts w:eastAsiaTheme="minorHAnsi" w:cs="Arial"/>
          <w:b/>
          <w:bCs/>
          <w:caps/>
          <w:szCs w:val="20"/>
        </w:rPr>
      </w:pPr>
      <w:r>
        <w:rPr>
          <w:rFonts w:eastAsiaTheme="minorHAnsi" w:cs="Arial"/>
          <w:b/>
          <w:bCs/>
          <w:caps/>
          <w:szCs w:val="20"/>
        </w:rPr>
        <w:br w:type="page"/>
      </w:r>
    </w:p>
    <w:p w:rsidR="00362FE5" w:rsidRPr="00035F86" w:rsidRDefault="00362FE5" w:rsidP="00362FE5">
      <w:pPr>
        <w:keepNext/>
        <w:keepLines/>
        <w:spacing w:after="200"/>
        <w:jc w:val="both"/>
        <w:rPr>
          <w:rFonts w:eastAsiaTheme="minorHAnsi" w:cs="Arial"/>
          <w:b/>
          <w:bCs/>
          <w:caps/>
          <w:szCs w:val="20"/>
        </w:rPr>
      </w:pPr>
      <w:r w:rsidRPr="00035F86">
        <w:rPr>
          <w:rFonts w:eastAsiaTheme="minorHAnsi" w:cs="Arial"/>
          <w:b/>
          <w:bCs/>
          <w:caps/>
          <w:szCs w:val="20"/>
        </w:rPr>
        <w:lastRenderedPageBreak/>
        <w:t>Organization of Meetings and Events</w:t>
      </w:r>
    </w:p>
    <w:p w:rsidR="00362FE5" w:rsidRPr="00035F86" w:rsidRDefault="00362FE5" w:rsidP="00362FE5">
      <w:pPr>
        <w:keepNext/>
        <w:keepLines/>
        <w:jc w:val="both"/>
        <w:rPr>
          <w:rFonts w:eastAsiaTheme="minorHAnsi" w:cs="Arial"/>
          <w:szCs w:val="20"/>
        </w:rPr>
      </w:pPr>
      <w:r w:rsidRPr="00035F86">
        <w:rPr>
          <w:rFonts w:eastAsiaTheme="minorHAnsi" w:cs="Arial"/>
          <w:szCs w:val="20"/>
        </w:rPr>
        <w:t>A number of cost efficiency measures related to the organization of meetings and events were implemented during the 2012/13 biennium.  These measures are described in detail in documents WO/PBC/19/9 and WO/PBC/21/19.  These included the limitation on the number of WIPO staff attending a given event, guidance for use of less expensive hotels, limitation on receptions in Geneva, as well as limitation on the maximum contribution of WIPO towards events taking place abroad, reduction in the honoraria paid to speakers and lecturers, wider use of video-conferencing and webcasting for events, meetings and recruitment activities (interviews), as well as better and more focused use of WIPO’s external offices to represent the Organization in meetings in a cost</w:t>
      </w:r>
      <w:r>
        <w:rPr>
          <w:rFonts w:eastAsiaTheme="minorHAnsi" w:cs="Arial"/>
          <w:szCs w:val="20"/>
        </w:rPr>
        <w:noBreakHyphen/>
      </w:r>
      <w:r w:rsidRPr="00035F86">
        <w:rPr>
          <w:rFonts w:eastAsiaTheme="minorHAnsi" w:cs="Arial"/>
          <w:szCs w:val="20"/>
        </w:rPr>
        <w:t xml:space="preserve">effective manner. </w:t>
      </w:r>
    </w:p>
    <w:p w:rsidR="00362FE5" w:rsidRPr="00035F86" w:rsidRDefault="00362FE5" w:rsidP="00362FE5">
      <w:pPr>
        <w:jc w:val="both"/>
        <w:rPr>
          <w:rFonts w:eastAsiaTheme="minorHAnsi" w:cs="Arial"/>
          <w:bCs/>
          <w:szCs w:val="20"/>
        </w:rPr>
      </w:pPr>
    </w:p>
    <w:p w:rsidR="00362FE5" w:rsidRPr="00035F86" w:rsidRDefault="00362FE5" w:rsidP="00362FE5">
      <w:pPr>
        <w:jc w:val="both"/>
        <w:rPr>
          <w:rFonts w:eastAsiaTheme="minorHAnsi" w:cs="Arial"/>
          <w:bCs/>
          <w:szCs w:val="20"/>
        </w:rPr>
      </w:pPr>
      <w:r w:rsidRPr="00035F86">
        <w:rPr>
          <w:rFonts w:eastAsiaTheme="minorHAnsi" w:cs="Arial"/>
          <w:bCs/>
          <w:szCs w:val="20"/>
        </w:rPr>
        <w:t>Despite rationalization and control measures, the extension of language coverage to all six UN languages in line with the WIPO Language Policy, adopted by the WIPO Assemblies in 2011, resulted in a 35</w:t>
      </w:r>
      <w:r w:rsidR="00DE1CE8">
        <w:rPr>
          <w:rFonts w:eastAsiaTheme="minorHAnsi" w:cs="Arial"/>
          <w:bCs/>
          <w:szCs w:val="20"/>
        </w:rPr>
        <w:t> </w:t>
      </w:r>
      <w:r w:rsidRPr="00035F86">
        <w:rPr>
          <w:rFonts w:eastAsiaTheme="minorHAnsi" w:cs="Arial"/>
          <w:bCs/>
          <w:szCs w:val="20"/>
        </w:rPr>
        <w:t>per</w:t>
      </w:r>
      <w:r w:rsidR="00DE1CE8">
        <w:rPr>
          <w:rFonts w:eastAsiaTheme="minorHAnsi" w:cs="Arial"/>
          <w:bCs/>
          <w:szCs w:val="20"/>
        </w:rPr>
        <w:t> </w:t>
      </w:r>
      <w:r w:rsidRPr="00035F86">
        <w:rPr>
          <w:rFonts w:eastAsiaTheme="minorHAnsi" w:cs="Arial"/>
          <w:bCs/>
          <w:szCs w:val="20"/>
        </w:rPr>
        <w:t xml:space="preserve">cent increase in workload as compared to the 2010/11 biennium. </w:t>
      </w:r>
      <w:r>
        <w:rPr>
          <w:rFonts w:eastAsiaTheme="minorHAnsi" w:cs="Arial"/>
          <w:bCs/>
          <w:szCs w:val="20"/>
        </w:rPr>
        <w:t xml:space="preserve"> </w:t>
      </w:r>
      <w:r w:rsidRPr="00035F86">
        <w:rPr>
          <w:rFonts w:eastAsiaTheme="minorHAnsi" w:cs="Arial"/>
          <w:bCs/>
          <w:szCs w:val="20"/>
        </w:rPr>
        <w:t>Following an increased level of outsourcing, rationalization of business processes both upstream and during the translation process and an effective use of translation-related IT tools, the average cost of translation was reduced from 213</w:t>
      </w:r>
      <w:r w:rsidR="00DE1CE8">
        <w:rPr>
          <w:rFonts w:eastAsiaTheme="minorHAnsi" w:cs="Arial"/>
          <w:bCs/>
          <w:szCs w:val="20"/>
        </w:rPr>
        <w:t> </w:t>
      </w:r>
      <w:r w:rsidRPr="00035F86">
        <w:rPr>
          <w:rFonts w:eastAsiaTheme="minorHAnsi" w:cs="Arial"/>
          <w:bCs/>
          <w:szCs w:val="20"/>
        </w:rPr>
        <w:t xml:space="preserve">Swiss francs in 2010/11 to 191 Swiss francs in 2012/13.  The resulting cost efficiencies amounted to 2.2 million Swiss francs. </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The table below summarizes the savings and/or efficiency gains obtained on </w:t>
      </w:r>
      <w:r w:rsidR="004576AA">
        <w:rPr>
          <w:rFonts w:eastAsiaTheme="minorHAnsi" w:cs="Arial"/>
          <w:szCs w:val="20"/>
        </w:rPr>
        <w:t>the organization of meetings and events.</w:t>
      </w:r>
    </w:p>
    <w:tbl>
      <w:tblPr>
        <w:tblStyle w:val="TableGrid1"/>
        <w:tblW w:w="0" w:type="auto"/>
        <w:tblInd w:w="108" w:type="dxa"/>
        <w:tblLook w:val="04A0" w:firstRow="1" w:lastRow="0" w:firstColumn="1" w:lastColumn="0" w:noHBand="0" w:noVBand="1"/>
      </w:tblPr>
      <w:tblGrid>
        <w:gridCol w:w="4678"/>
        <w:gridCol w:w="4678"/>
      </w:tblGrid>
      <w:tr w:rsidR="00362FE5" w:rsidRPr="00035F86" w:rsidTr="00DE1CE8">
        <w:trPr>
          <w:trHeight w:hRule="exact" w:val="415"/>
        </w:trPr>
        <w:tc>
          <w:tcPr>
            <w:tcW w:w="4678" w:type="dxa"/>
            <w:shd w:val="clear" w:color="auto" w:fill="DBE5F1" w:themeFill="accent1" w:themeFillTint="33"/>
            <w:vAlign w:val="center"/>
          </w:tcPr>
          <w:p w:rsidR="00362FE5" w:rsidRPr="00035F86" w:rsidRDefault="00362FE5" w:rsidP="004C5DDE">
            <w:pPr>
              <w:jc w:val="center"/>
              <w:rPr>
                <w:rFonts w:cs="Arial"/>
                <w:b/>
                <w:sz w:val="18"/>
                <w:szCs w:val="18"/>
              </w:rPr>
            </w:pPr>
            <w:r w:rsidRPr="00035F86">
              <w:rPr>
                <w:rFonts w:cs="Arial"/>
                <w:b/>
                <w:sz w:val="18"/>
                <w:szCs w:val="18"/>
              </w:rPr>
              <w:t>Description</w:t>
            </w:r>
          </w:p>
        </w:tc>
        <w:tc>
          <w:tcPr>
            <w:tcW w:w="4678" w:type="dxa"/>
            <w:shd w:val="clear" w:color="auto" w:fill="DBE5F1" w:themeFill="accent1" w:themeFillTint="33"/>
            <w:vAlign w:val="center"/>
          </w:tcPr>
          <w:p w:rsidR="00362FE5" w:rsidRPr="00035F86" w:rsidRDefault="00362FE5" w:rsidP="004C5DDE">
            <w:pPr>
              <w:jc w:val="center"/>
              <w:rPr>
                <w:rFonts w:cs="Arial"/>
                <w:b/>
                <w:sz w:val="18"/>
                <w:szCs w:val="18"/>
              </w:rPr>
            </w:pPr>
            <w:r w:rsidRPr="00035F86">
              <w:rPr>
                <w:rFonts w:cs="Arial"/>
                <w:b/>
                <w:sz w:val="18"/>
                <w:szCs w:val="18"/>
              </w:rPr>
              <w:t>Cost saving / Efficiency gain</w:t>
            </w:r>
          </w:p>
        </w:tc>
      </w:tr>
      <w:tr w:rsidR="00362FE5" w:rsidRPr="00035F86" w:rsidTr="00DE1CE8">
        <w:trPr>
          <w:trHeight w:val="530"/>
        </w:trPr>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Rationalization of translation volumes following the implementation of the WIPO Language Policy </w:t>
            </w:r>
          </w:p>
        </w:tc>
        <w:tc>
          <w:tcPr>
            <w:tcW w:w="4678" w:type="dxa"/>
            <w:vAlign w:val="center"/>
          </w:tcPr>
          <w:p w:rsidR="00362FE5" w:rsidRPr="00035F86" w:rsidRDefault="00362FE5" w:rsidP="004C5DDE">
            <w:pPr>
              <w:rPr>
                <w:rFonts w:cs="Arial"/>
                <w:sz w:val="16"/>
                <w:szCs w:val="16"/>
              </w:rPr>
            </w:pPr>
            <w:r w:rsidRPr="00035F86">
              <w:rPr>
                <w:rFonts w:cs="Arial"/>
                <w:sz w:val="16"/>
                <w:szCs w:val="16"/>
              </w:rPr>
              <w:t>35% workload increase between 2010/11 and 2012/13 mitigated by 18% workload decrease between 2012 and 2013</w:t>
            </w:r>
          </w:p>
        </w:tc>
      </w:tr>
      <w:tr w:rsidR="00362FE5" w:rsidRPr="00035F86" w:rsidTr="00DE1CE8">
        <w:trPr>
          <w:trHeight w:val="759"/>
        </w:trPr>
        <w:tc>
          <w:tcPr>
            <w:tcW w:w="4678" w:type="dxa"/>
            <w:vAlign w:val="center"/>
          </w:tcPr>
          <w:p w:rsidR="00362FE5" w:rsidRPr="00035F86" w:rsidRDefault="00362FE5" w:rsidP="004C5DDE">
            <w:pPr>
              <w:rPr>
                <w:rFonts w:cs="Arial"/>
                <w:sz w:val="16"/>
                <w:szCs w:val="16"/>
              </w:rPr>
            </w:pPr>
            <w:r w:rsidRPr="00035F86">
              <w:rPr>
                <w:rFonts w:cs="Arial"/>
                <w:sz w:val="16"/>
                <w:szCs w:val="16"/>
              </w:rPr>
              <w:t>Reduction in the cost per page due to various cost containment measures, implementation of CAT tools and outsourcing-in-house translation mix</w:t>
            </w:r>
          </w:p>
        </w:tc>
        <w:tc>
          <w:tcPr>
            <w:tcW w:w="4678" w:type="dxa"/>
            <w:vAlign w:val="center"/>
          </w:tcPr>
          <w:p w:rsidR="00362FE5" w:rsidRPr="00035F86" w:rsidRDefault="00362FE5" w:rsidP="004C5DDE">
            <w:pPr>
              <w:rPr>
                <w:rFonts w:cs="Arial"/>
                <w:sz w:val="16"/>
                <w:szCs w:val="16"/>
              </w:rPr>
            </w:pPr>
            <w:r w:rsidRPr="00035F86">
              <w:rPr>
                <w:rFonts w:cs="Arial"/>
                <w:sz w:val="16"/>
                <w:szCs w:val="16"/>
              </w:rPr>
              <w:t>213 Swiss francs in 2010/11 to 191 Swiss francs in 2012/13 with a resulting cost efficiency of 2.2 million Swiss francs</w:t>
            </w:r>
          </w:p>
        </w:tc>
      </w:tr>
    </w:tbl>
    <w:p w:rsidR="00362FE5" w:rsidRDefault="00362FE5" w:rsidP="00362FE5">
      <w:pPr>
        <w:keepNext/>
        <w:keepLines/>
        <w:spacing w:after="200"/>
        <w:rPr>
          <w:rFonts w:eastAsiaTheme="minorHAnsi" w:cs="Arial"/>
          <w:b/>
          <w:bCs/>
          <w:szCs w:val="20"/>
        </w:rPr>
      </w:pPr>
    </w:p>
    <w:p w:rsidR="00362FE5" w:rsidRPr="00035F86" w:rsidRDefault="00362FE5" w:rsidP="00362FE5">
      <w:pPr>
        <w:keepNext/>
        <w:keepLines/>
        <w:spacing w:after="200"/>
        <w:jc w:val="both"/>
        <w:rPr>
          <w:rFonts w:eastAsiaTheme="minorHAnsi" w:cs="Arial"/>
          <w:b/>
          <w:bCs/>
          <w:szCs w:val="20"/>
        </w:rPr>
      </w:pPr>
      <w:r w:rsidRPr="00035F86">
        <w:rPr>
          <w:rFonts w:eastAsiaTheme="minorHAnsi" w:cs="Arial"/>
          <w:b/>
          <w:bCs/>
          <w:szCs w:val="20"/>
        </w:rPr>
        <w:t>OTHER MEASURES</w:t>
      </w:r>
    </w:p>
    <w:p w:rsidR="00362FE5" w:rsidRPr="00035F86" w:rsidRDefault="00362FE5" w:rsidP="00362FE5">
      <w:pPr>
        <w:keepNext/>
        <w:keepLines/>
        <w:spacing w:after="200"/>
        <w:jc w:val="both"/>
        <w:rPr>
          <w:rFonts w:eastAsiaTheme="minorHAnsi" w:cs="Arial"/>
          <w:b/>
          <w:bCs/>
          <w:i/>
          <w:szCs w:val="20"/>
        </w:rPr>
      </w:pPr>
      <w:r w:rsidRPr="00035F86">
        <w:rPr>
          <w:rFonts w:eastAsiaTheme="minorHAnsi" w:cs="Arial"/>
          <w:b/>
          <w:bCs/>
          <w:i/>
          <w:szCs w:val="20"/>
        </w:rPr>
        <w:t>Procurement Contracts</w:t>
      </w:r>
    </w:p>
    <w:p w:rsidR="00362FE5" w:rsidRPr="00035F86" w:rsidRDefault="00362FE5" w:rsidP="00362FE5">
      <w:pPr>
        <w:jc w:val="both"/>
        <w:rPr>
          <w:rFonts w:eastAsiaTheme="minorHAnsi" w:cs="Arial"/>
          <w:szCs w:val="20"/>
        </w:rPr>
      </w:pPr>
      <w:r w:rsidRPr="00035F86">
        <w:rPr>
          <w:rFonts w:eastAsiaTheme="minorHAnsi" w:cs="Arial"/>
          <w:szCs w:val="20"/>
        </w:rPr>
        <w:t>Achieving cost savings in the procurement of goods and services continued to be reinforced in the biennium.  In this regard, various procurement contracts for goods and services</w:t>
      </w:r>
      <w:r w:rsidRPr="00035F86" w:rsidDel="00A6409F">
        <w:rPr>
          <w:rFonts w:eastAsiaTheme="minorHAnsi" w:cs="Arial"/>
          <w:szCs w:val="20"/>
        </w:rPr>
        <w:t xml:space="preserve"> </w:t>
      </w:r>
      <w:r w:rsidRPr="00035F86">
        <w:rPr>
          <w:rFonts w:eastAsiaTheme="minorHAnsi" w:cs="Arial"/>
          <w:szCs w:val="20"/>
        </w:rPr>
        <w:t>were re-negotiated and/or re-tendered to achieve better prices and conditions from the suppliers.  These contracts covered a wide range of areas, including premises, IT, translation services, security services, etc.  Notably, a number of major contracts were re-tendered in 2012 including for PCT translation services</w:t>
      </w:r>
      <w:proofErr w:type="gramStart"/>
      <w:r w:rsidRPr="00035F86">
        <w:rPr>
          <w:rFonts w:eastAsiaTheme="minorHAnsi" w:cs="Arial"/>
          <w:szCs w:val="20"/>
        </w:rPr>
        <w:t xml:space="preserve">; </w:t>
      </w:r>
      <w:r w:rsidR="00DE1CE8">
        <w:rPr>
          <w:rFonts w:eastAsiaTheme="minorHAnsi" w:cs="Arial"/>
          <w:szCs w:val="20"/>
        </w:rPr>
        <w:t xml:space="preserve"> </w:t>
      </w:r>
      <w:r w:rsidRPr="00035F86">
        <w:rPr>
          <w:rFonts w:eastAsiaTheme="minorHAnsi" w:cs="Arial"/>
          <w:szCs w:val="20"/>
        </w:rPr>
        <w:t>software</w:t>
      </w:r>
      <w:proofErr w:type="gramEnd"/>
      <w:r w:rsidRPr="00035F86">
        <w:rPr>
          <w:rFonts w:eastAsiaTheme="minorHAnsi" w:cs="Arial"/>
          <w:szCs w:val="20"/>
        </w:rPr>
        <w:t xml:space="preserve"> licenses for the ERP project and physical security services.  Contracts for the digitalization of IP records, scanning of PCT applications, and travel agency were either re-tendered or established during 2013. </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cs="Arial"/>
          <w:szCs w:val="20"/>
        </w:rPr>
      </w:pPr>
      <w:r w:rsidRPr="00035F86">
        <w:rPr>
          <w:rFonts w:eastAsiaTheme="minorHAnsi" w:cs="Arial"/>
          <w:szCs w:val="20"/>
        </w:rPr>
        <w:t xml:space="preserve">As indicated in the previous two progress reports, WIPO continued to be active in the area of cooperation with other UN Organizations.  As part of the Common Procurement Activities Group (CPAG), WIPO continued to </w:t>
      </w:r>
      <w:r w:rsidRPr="00035F86">
        <w:rPr>
          <w:rFonts w:cs="Arial"/>
          <w:szCs w:val="20"/>
        </w:rPr>
        <w:t>benefit from the CPAG common tenders in areas such as electricity supplies, airfares, IT equipment, such as desktop and laptop computers, rental of multifunctional network machines, travel agent services, etc.  Cost savings for services procured by WIPO are estimated at around 1.9 million Swiss francs for 2012/13.</w:t>
      </w:r>
    </w:p>
    <w:p w:rsidR="00362FE5" w:rsidRPr="00035F86" w:rsidRDefault="00362FE5" w:rsidP="00362FE5">
      <w:pPr>
        <w:jc w:val="both"/>
        <w:rPr>
          <w:rFonts w:eastAsiaTheme="minorHAnsi" w:cs="Arial"/>
          <w:szCs w:val="20"/>
        </w:rPr>
      </w:pPr>
      <w:r w:rsidRPr="00035F86">
        <w:rPr>
          <w:rFonts w:eastAsiaTheme="minorHAnsi" w:cs="Arial"/>
          <w:szCs w:val="20"/>
        </w:rPr>
        <w:t xml:space="preserve">WIPO continued to enhance its procurement processes in order to enhance efficiency.  This included a simplification of procedures for low-value purchases resulting in the elimination of unnecessary administrative steps.  The new procedures were implemented in early 2013 and resulted in the following efficiency gains: </w:t>
      </w:r>
    </w:p>
    <w:p w:rsidR="00362FE5" w:rsidRPr="00035F86" w:rsidRDefault="00362FE5" w:rsidP="00362FE5">
      <w:pPr>
        <w:jc w:val="both"/>
        <w:rPr>
          <w:rFonts w:eastAsiaTheme="minorHAnsi" w:cs="Arial"/>
          <w:szCs w:val="20"/>
        </w:rPr>
      </w:pPr>
    </w:p>
    <w:p w:rsidR="00362FE5" w:rsidRPr="00035F86" w:rsidRDefault="00362FE5" w:rsidP="007B2B25">
      <w:pPr>
        <w:numPr>
          <w:ilvl w:val="0"/>
          <w:numId w:val="87"/>
        </w:numPr>
        <w:contextualSpacing/>
        <w:rPr>
          <w:rFonts w:eastAsiaTheme="minorHAnsi" w:cs="Arial"/>
          <w:szCs w:val="20"/>
        </w:rPr>
      </w:pPr>
      <w:r w:rsidRPr="00035F86">
        <w:rPr>
          <w:rFonts w:eastAsiaTheme="minorHAnsi" w:cs="Arial"/>
          <w:szCs w:val="20"/>
        </w:rPr>
        <w:t>Absorption of a 19.3 per cent increase in the number of Electronic Travel Authorizations (ETAs) processed between 2012 and 2013;</w:t>
      </w:r>
    </w:p>
    <w:p w:rsidR="00362FE5" w:rsidRPr="00035F86" w:rsidRDefault="00362FE5" w:rsidP="007B2B25">
      <w:pPr>
        <w:numPr>
          <w:ilvl w:val="0"/>
          <w:numId w:val="87"/>
        </w:numPr>
        <w:contextualSpacing/>
        <w:rPr>
          <w:rFonts w:eastAsiaTheme="minorHAnsi" w:cs="Arial"/>
          <w:szCs w:val="20"/>
        </w:rPr>
      </w:pPr>
      <w:r w:rsidRPr="00035F86">
        <w:rPr>
          <w:rFonts w:eastAsiaTheme="minorHAnsi" w:cs="Arial"/>
          <w:szCs w:val="20"/>
        </w:rPr>
        <w:t>Absorption of a 16 per cent increase in the number of purchase orders and tenders processed between 2012 and 2013.</w:t>
      </w:r>
    </w:p>
    <w:p w:rsidR="00362FE5" w:rsidRPr="00035F86" w:rsidRDefault="00362FE5" w:rsidP="007B2B25">
      <w:pPr>
        <w:numPr>
          <w:ilvl w:val="0"/>
          <w:numId w:val="87"/>
        </w:numPr>
        <w:contextualSpacing/>
        <w:rPr>
          <w:rFonts w:eastAsiaTheme="minorHAnsi" w:cs="Arial"/>
          <w:szCs w:val="20"/>
        </w:rPr>
      </w:pPr>
      <w:r w:rsidRPr="00035F86">
        <w:rPr>
          <w:rFonts w:eastAsiaTheme="minorHAnsi" w:cs="Arial"/>
          <w:szCs w:val="20"/>
        </w:rPr>
        <w:t>Reduction by 50 per cent in the lead time for processing requisitions between 2011 and 2013;</w:t>
      </w:r>
    </w:p>
    <w:p w:rsidR="00362FE5" w:rsidRPr="00035F86" w:rsidRDefault="00362FE5" w:rsidP="007B2B25">
      <w:pPr>
        <w:numPr>
          <w:ilvl w:val="0"/>
          <w:numId w:val="87"/>
        </w:numPr>
        <w:contextualSpacing/>
        <w:rPr>
          <w:rFonts w:eastAsiaTheme="minorHAnsi" w:cs="Arial"/>
          <w:szCs w:val="20"/>
        </w:rPr>
      </w:pPr>
      <w:r w:rsidRPr="00035F86">
        <w:rPr>
          <w:rFonts w:eastAsiaTheme="minorHAnsi" w:cs="Arial"/>
          <w:szCs w:val="20"/>
        </w:rPr>
        <w:t>A decrease in the ratio of cancelled purchase orders from 14 per cent in 2010 to 6.7 per cent in 2013.</w:t>
      </w: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lastRenderedPageBreak/>
        <w:t>Information and Communication Technology (ICT)</w:t>
      </w:r>
    </w:p>
    <w:p w:rsidR="00362FE5" w:rsidRPr="00035F86" w:rsidRDefault="00362FE5" w:rsidP="00362FE5">
      <w:pPr>
        <w:spacing w:after="200"/>
        <w:jc w:val="both"/>
        <w:rPr>
          <w:rFonts w:eastAsiaTheme="minorHAnsi" w:cs="Arial"/>
          <w:szCs w:val="20"/>
        </w:rPr>
      </w:pPr>
      <w:r w:rsidRPr="00035F86">
        <w:rPr>
          <w:rFonts w:eastAsiaTheme="minorHAnsi" w:cs="Arial"/>
          <w:szCs w:val="20"/>
        </w:rPr>
        <w:t>Significant progress was made in 2012/13 in enhancing the service levels and cost effectiveness of ICT infrastructure services through a strategic outsourcing of operations, in particular to the UN International Computing Center (UNICC).  In respect of service contracts, the use of a fixed pricing approach, complemented with clearly defined performance metrics, became more widely applied.</w:t>
      </w:r>
    </w:p>
    <w:p w:rsidR="00362FE5" w:rsidRPr="00035F86" w:rsidRDefault="00362FE5" w:rsidP="00362FE5">
      <w:pPr>
        <w:spacing w:after="200"/>
        <w:jc w:val="both"/>
        <w:rPr>
          <w:rFonts w:eastAsiaTheme="minorHAnsi" w:cs="Arial"/>
          <w:szCs w:val="20"/>
        </w:rPr>
      </w:pPr>
      <w:r w:rsidRPr="00035F86">
        <w:rPr>
          <w:rFonts w:eastAsiaTheme="minorHAnsi" w:cs="Arial"/>
          <w:szCs w:val="20"/>
        </w:rPr>
        <w:t>In response to the need for enhanced ICT service availability and resilience, a radical shift took place in the biennium towards the use of server virtualization technology with around 100 new virtual servers deployed per year since the beginning of 2012.  The increased manageability and flexibility resulting from this approach let to estimated cost savings of around 150,000 Swiss francs per year.  In addition, off</w:t>
      </w:r>
      <w:r w:rsidR="00DE1CE8">
        <w:rPr>
          <w:rFonts w:eastAsiaTheme="minorHAnsi" w:cs="Arial"/>
          <w:szCs w:val="20"/>
        </w:rPr>
        <w:noBreakHyphen/>
      </w:r>
      <w:r w:rsidRPr="00035F86">
        <w:rPr>
          <w:rFonts w:eastAsiaTheme="minorHAnsi" w:cs="Arial"/>
          <w:szCs w:val="20"/>
        </w:rPr>
        <w:t xml:space="preserve">shoring was looked upon and utilized as an increasingly standard model for all large IT development project contracts, which resulted in more efficient use of available resources. </w:t>
      </w: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The mobile telecommunication contract with Swisscom was reviewed and renegotiated during the biennium with a letter of intent signed in January 2014. </w:t>
      </w:r>
      <w:r>
        <w:rPr>
          <w:rFonts w:eastAsiaTheme="minorHAnsi" w:cs="Arial"/>
          <w:szCs w:val="20"/>
        </w:rPr>
        <w:t xml:space="preserve"> </w:t>
      </w:r>
      <w:r w:rsidRPr="00035F86">
        <w:rPr>
          <w:rFonts w:eastAsiaTheme="minorHAnsi" w:cs="Arial"/>
          <w:szCs w:val="20"/>
        </w:rPr>
        <w:t>The total annual expenditure, which amounted to approximately 550,000 Swiss francs in the biennium 2012/13, is expected to decrease by up to 200,000</w:t>
      </w:r>
      <w:r w:rsidR="00DE1CE8">
        <w:rPr>
          <w:rFonts w:eastAsiaTheme="minorHAnsi" w:cs="Arial"/>
          <w:szCs w:val="20"/>
        </w:rPr>
        <w:t> </w:t>
      </w:r>
      <w:r w:rsidRPr="00035F86">
        <w:rPr>
          <w:rFonts w:eastAsiaTheme="minorHAnsi" w:cs="Arial"/>
          <w:szCs w:val="20"/>
        </w:rPr>
        <w:t>Swiss francs.  The cost savings will allow the implementation of the Mobile Device Management solution with a significant decrease in the unit cost of mobile device usage.</w:t>
      </w:r>
    </w:p>
    <w:p w:rsidR="00362FE5" w:rsidRPr="00035F86" w:rsidRDefault="00362FE5" w:rsidP="00362FE5">
      <w:pPr>
        <w:spacing w:after="200"/>
        <w:jc w:val="both"/>
        <w:rPr>
          <w:rFonts w:eastAsiaTheme="minorHAnsi" w:cs="Arial"/>
          <w:szCs w:val="20"/>
        </w:rPr>
      </w:pPr>
      <w:r w:rsidRPr="00035F86">
        <w:rPr>
          <w:rFonts w:eastAsiaTheme="minorHAnsi" w:cs="Arial"/>
          <w:szCs w:val="20"/>
        </w:rPr>
        <w:t>Contracts on the network printing services were re-negotiated.  A new agreement was concluded with the supplier at the end of 2012, resulting in a decrease of the annual cost of network printing from 300,000</w:t>
      </w:r>
      <w:r w:rsidR="00DE1CE8">
        <w:rPr>
          <w:rFonts w:eastAsiaTheme="minorHAnsi" w:cs="Arial"/>
          <w:sz w:val="18"/>
          <w:szCs w:val="20"/>
        </w:rPr>
        <w:t> </w:t>
      </w:r>
      <w:r w:rsidRPr="00035F86">
        <w:rPr>
          <w:rFonts w:eastAsiaTheme="minorHAnsi" w:cs="Arial"/>
          <w:szCs w:val="20"/>
        </w:rPr>
        <w:t xml:space="preserve">Swiss francs in 2012 to approximately 200,000 Swiss francs in 2013.  </w:t>
      </w: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Approximately 3,000 email accounts are operating at WIPO.  The introduction of more streamlined procedures for the management of these resulted in a reduction in the related operational cost of approximately 100,000 Swiss francs per year. </w:t>
      </w:r>
    </w:p>
    <w:p w:rsidR="00362FE5" w:rsidRPr="00035F86" w:rsidRDefault="00362FE5" w:rsidP="00362FE5">
      <w:pPr>
        <w:spacing w:after="200"/>
        <w:jc w:val="both"/>
        <w:rPr>
          <w:rFonts w:eastAsiaTheme="minorHAnsi" w:cs="Arial"/>
          <w:szCs w:val="20"/>
        </w:rPr>
      </w:pPr>
      <w:r w:rsidRPr="00035F86">
        <w:rPr>
          <w:rFonts w:eastAsiaTheme="minorHAnsi" w:cs="Arial"/>
          <w:szCs w:val="20"/>
        </w:rPr>
        <w:t>In 2013, the Organization implemented a “laptop as a desktop” policy, allowing users to have either laptop or desktop computers.  The annual savings from the implementation of this policy are estimated at around 50,000 Swiss francs.</w:t>
      </w: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t>Mail Expedition Service</w:t>
      </w:r>
    </w:p>
    <w:p w:rsidR="00362FE5" w:rsidRDefault="00362FE5" w:rsidP="00362FE5">
      <w:pPr>
        <w:keepNext/>
        <w:keepLines/>
        <w:jc w:val="both"/>
        <w:rPr>
          <w:rFonts w:eastAsiaTheme="minorHAnsi" w:cs="Arial"/>
          <w:szCs w:val="20"/>
        </w:rPr>
      </w:pPr>
      <w:r w:rsidRPr="00035F86">
        <w:rPr>
          <w:rFonts w:eastAsiaTheme="minorHAnsi" w:cs="Arial"/>
          <w:szCs w:val="20"/>
        </w:rPr>
        <w:t xml:space="preserve">Mail tariffs and services continued to be negotiated with external partners and business practices were improved (such as grouping of addresses) in order to reduce overall mail services costs.  Lower tariffs complemented by an increased use of electronic mail services resulted in an overall decrease of mailing costs by 23 per cent in 2013 compared to 2012. </w:t>
      </w:r>
      <w:r>
        <w:rPr>
          <w:rFonts w:eastAsiaTheme="minorHAnsi" w:cs="Arial"/>
          <w:szCs w:val="20"/>
        </w:rPr>
        <w:t xml:space="preserve"> </w:t>
      </w:r>
      <w:r w:rsidRPr="00035F86">
        <w:rPr>
          <w:rFonts w:eastAsiaTheme="minorHAnsi" w:cs="Arial"/>
          <w:szCs w:val="20"/>
        </w:rPr>
        <w:t>In 2013, a total of 1.4 million mail items were delivered at a cost of 1.7 million Swiss francs compared to a total of 1.8 million items delivered at a total cost of 2.2</w:t>
      </w:r>
      <w:r w:rsidR="00DE1CE8">
        <w:rPr>
          <w:rFonts w:eastAsiaTheme="minorHAnsi" w:cs="Arial"/>
          <w:szCs w:val="20"/>
        </w:rPr>
        <w:t> </w:t>
      </w:r>
      <w:r w:rsidRPr="00035F86">
        <w:rPr>
          <w:rFonts w:eastAsiaTheme="minorHAnsi" w:cs="Arial"/>
          <w:szCs w:val="20"/>
        </w:rPr>
        <w:t>million Swiss francs in 2012.  This compares with a delivery of 1.7 million items at a total cost of 2.5</w:t>
      </w:r>
      <w:r w:rsidR="00DE1CE8">
        <w:rPr>
          <w:rFonts w:eastAsiaTheme="minorHAnsi" w:cs="Arial"/>
          <w:szCs w:val="20"/>
        </w:rPr>
        <w:t> </w:t>
      </w:r>
      <w:r w:rsidRPr="00035F86">
        <w:rPr>
          <w:rFonts w:eastAsiaTheme="minorHAnsi" w:cs="Arial"/>
          <w:szCs w:val="20"/>
        </w:rPr>
        <w:t>million Swiss francs in 2011.</w:t>
      </w:r>
    </w:p>
    <w:p w:rsidR="00362FE5" w:rsidRPr="00035F86" w:rsidRDefault="00362FE5" w:rsidP="00362FE5">
      <w:pPr>
        <w:keepNext/>
        <w:keepLines/>
        <w:jc w:val="both"/>
        <w:rPr>
          <w:rFonts w:eastAsiaTheme="minorHAnsi" w:cs="Arial"/>
          <w:szCs w:val="20"/>
        </w:rPr>
      </w:pPr>
    </w:p>
    <w:p w:rsidR="00362FE5" w:rsidRPr="00035F86" w:rsidRDefault="00362FE5" w:rsidP="00362FE5">
      <w:pPr>
        <w:keepNext/>
        <w:keepLines/>
        <w:spacing w:after="200"/>
        <w:jc w:val="both"/>
        <w:rPr>
          <w:rFonts w:eastAsiaTheme="minorHAnsi" w:cs="Arial"/>
          <w:b/>
          <w:bCs/>
          <w:i/>
          <w:szCs w:val="20"/>
        </w:rPr>
      </w:pPr>
      <w:r w:rsidRPr="00035F86">
        <w:rPr>
          <w:rFonts w:eastAsiaTheme="minorHAnsi" w:cs="Arial"/>
          <w:b/>
          <w:bCs/>
          <w:i/>
          <w:szCs w:val="20"/>
        </w:rPr>
        <w:t>Personnel Costs</w:t>
      </w:r>
    </w:p>
    <w:p w:rsidR="00362FE5" w:rsidRPr="00035F86" w:rsidRDefault="00362FE5" w:rsidP="00362FE5">
      <w:pPr>
        <w:spacing w:after="200"/>
        <w:jc w:val="both"/>
        <w:rPr>
          <w:rFonts w:eastAsiaTheme="minorHAnsi" w:cs="Arial"/>
          <w:szCs w:val="20"/>
        </w:rPr>
      </w:pPr>
      <w:r w:rsidRPr="00035F86">
        <w:rPr>
          <w:rFonts w:eastAsiaTheme="minorHAnsi" w:cs="Arial"/>
          <w:bCs/>
          <w:szCs w:val="20"/>
        </w:rPr>
        <w:t>The majority of cost containment measures undertaken in the course of the current biennium have targeted non-personnel expenditures.  As indicated in document WO/PBC/21/19, t</w:t>
      </w:r>
      <w:r w:rsidRPr="00035F86">
        <w:rPr>
          <w:rFonts w:eastAsiaTheme="minorHAnsi" w:cs="Arial"/>
          <w:szCs w:val="20"/>
        </w:rPr>
        <w:t xml:space="preserve">he scope for such measures in respect of personnel costs is limited.  Nevertheless, the rationalization of the internship program undertaken in the current biennium resulted in some personnel cost savings, including a reduction of 305,000 Swiss francs in the actual expenditure on interns compared to an approved budget of 795,000 Swiss francs for the biennium.  Higher income levels in the biennium enabled the partial re-instatement of the provisions for the ASHI (After Service Health Insurance), in line with the Program and Budget 2012/13 which stated that “a pick-up in the projected income levels would first and foremost be proposed to be utilized to reinstate this provision at the appropriate time.” </w:t>
      </w:r>
      <w:r>
        <w:rPr>
          <w:rFonts w:eastAsiaTheme="minorHAnsi" w:cs="Arial"/>
          <w:szCs w:val="20"/>
        </w:rPr>
        <w:t xml:space="preserve"> </w:t>
      </w:r>
      <w:r w:rsidRPr="00035F86">
        <w:rPr>
          <w:rFonts w:eastAsiaTheme="minorHAnsi" w:cs="Arial"/>
          <w:szCs w:val="20"/>
        </w:rPr>
        <w:t>In addition</w:t>
      </w:r>
      <w:r>
        <w:rPr>
          <w:rFonts w:eastAsiaTheme="minorHAnsi" w:cs="Arial"/>
          <w:szCs w:val="20"/>
        </w:rPr>
        <w:t>,</w:t>
      </w:r>
      <w:r w:rsidRPr="00035F86">
        <w:rPr>
          <w:rFonts w:eastAsiaTheme="minorHAnsi" w:cs="Arial"/>
          <w:szCs w:val="20"/>
        </w:rPr>
        <w:t xml:space="preserve"> staff costs were lower than anticipated by two per cent, primarily as a result of a lower cost of regularizations and reclassifications as well as a higher vacancy rate.</w:t>
      </w: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lastRenderedPageBreak/>
        <w:t>Special Service Agreements</w:t>
      </w:r>
      <w:r w:rsidR="00127BD8">
        <w:rPr>
          <w:rFonts w:eastAsiaTheme="minorHAnsi" w:cs="Arial"/>
          <w:b/>
          <w:i/>
          <w:szCs w:val="20"/>
        </w:rPr>
        <w:t xml:space="preserve"> (SSAs)</w:t>
      </w:r>
      <w:r w:rsidRPr="00035F86">
        <w:rPr>
          <w:rFonts w:eastAsiaTheme="minorHAnsi" w:cs="Arial"/>
          <w:b/>
          <w:i/>
          <w:szCs w:val="20"/>
        </w:rPr>
        <w:t xml:space="preserve">/Individual Contractual Services (ICS) </w:t>
      </w:r>
    </w:p>
    <w:p w:rsidR="00362FE5" w:rsidRPr="00035F86" w:rsidRDefault="00362FE5" w:rsidP="00362FE5">
      <w:pPr>
        <w:keepNext/>
        <w:keepLines/>
        <w:jc w:val="both"/>
        <w:rPr>
          <w:rFonts w:eastAsiaTheme="minorHAnsi" w:cs="Arial"/>
          <w:szCs w:val="20"/>
        </w:rPr>
      </w:pPr>
      <w:r w:rsidRPr="00035F86">
        <w:rPr>
          <w:rFonts w:eastAsiaTheme="minorHAnsi" w:cs="Arial"/>
          <w:szCs w:val="20"/>
        </w:rPr>
        <w:t xml:space="preserve">The Program and Budget 2012/13 included an overall provision of around 24 million Swiss francs for </w:t>
      </w:r>
      <w:r w:rsidR="00127BD8">
        <w:rPr>
          <w:rFonts w:eastAsiaTheme="minorHAnsi" w:cs="Arial"/>
          <w:szCs w:val="20"/>
        </w:rPr>
        <w:t>ICS</w:t>
      </w:r>
      <w:r w:rsidRPr="00035F86">
        <w:rPr>
          <w:rFonts w:eastAsiaTheme="minorHAnsi" w:cs="Arial"/>
          <w:szCs w:val="20"/>
        </w:rPr>
        <w:t>.  A sizeable share of the SSA budget was related to translation, in particular in the PCT and Madrid systems.  WIPO continued to strengthen the use of various automated translation tools resulting in an overall expenditure on SSAs which amounted to 22.5</w:t>
      </w:r>
      <w:r>
        <w:rPr>
          <w:rFonts w:eastAsiaTheme="minorHAnsi" w:cs="Arial"/>
          <w:szCs w:val="20"/>
        </w:rPr>
        <w:t> </w:t>
      </w:r>
      <w:r w:rsidRPr="00035F86">
        <w:rPr>
          <w:rFonts w:eastAsiaTheme="minorHAnsi" w:cs="Arial"/>
          <w:szCs w:val="20"/>
        </w:rPr>
        <w:t>million Swiss francs</w:t>
      </w:r>
      <w:proofErr w:type="gramStart"/>
      <w:r w:rsidRPr="00035F86">
        <w:rPr>
          <w:rFonts w:eastAsiaTheme="minorHAnsi" w:cs="Arial"/>
          <w:szCs w:val="20"/>
        </w:rPr>
        <w:t xml:space="preserve">; </w:t>
      </w:r>
      <w:r w:rsidR="00DE1CE8">
        <w:rPr>
          <w:rFonts w:eastAsiaTheme="minorHAnsi" w:cs="Arial"/>
          <w:szCs w:val="20"/>
        </w:rPr>
        <w:t xml:space="preserve"> </w:t>
      </w:r>
      <w:r w:rsidRPr="00035F86">
        <w:rPr>
          <w:rFonts w:eastAsiaTheme="minorHAnsi" w:cs="Arial"/>
          <w:szCs w:val="20"/>
        </w:rPr>
        <w:t>a</w:t>
      </w:r>
      <w:proofErr w:type="gramEnd"/>
      <w:r w:rsidRPr="00035F86">
        <w:rPr>
          <w:rFonts w:eastAsiaTheme="minorHAnsi" w:cs="Arial"/>
          <w:szCs w:val="20"/>
        </w:rPr>
        <w:t xml:space="preserve"> reduction by 1.5 million Swiss francs compared to the approved budget. </w:t>
      </w:r>
      <w:r w:rsidR="00DE1CE8">
        <w:rPr>
          <w:rFonts w:eastAsiaTheme="minorHAnsi" w:cs="Arial"/>
          <w:szCs w:val="20"/>
        </w:rPr>
        <w:t xml:space="preserve"> </w:t>
      </w:r>
      <w:r w:rsidRPr="00035F86">
        <w:rPr>
          <w:rFonts w:eastAsiaTheme="minorHAnsi" w:cs="Arial"/>
          <w:szCs w:val="20"/>
        </w:rPr>
        <w:t xml:space="preserve">This was achieved despite increased translation volumes.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In 2013, the External Auditor </w:t>
      </w:r>
      <w:r w:rsidRPr="00035F86">
        <w:rPr>
          <w:rFonts w:eastAsiaTheme="minorHAnsi" w:cs="Arial"/>
          <w:szCs w:val="20"/>
          <w:lang w:val="en"/>
        </w:rPr>
        <w:t xml:space="preserve">recommended that WIPO should “draw up and implement an effective cost efficient [sic] strategy in relation to expenditure on SSAs”, noting that key elements of such a strategy could be the competitive sourcing of SSAs and a certification by Program Manager that the work assignment does not include functions assigned, or intended to be assigned, to regular staff.  </w:t>
      </w:r>
    </w:p>
    <w:p w:rsidR="00362FE5" w:rsidRPr="00035F86" w:rsidRDefault="00362FE5" w:rsidP="00362FE5">
      <w:pPr>
        <w:keepNext/>
        <w:keepLines/>
        <w:jc w:val="both"/>
        <w:rPr>
          <w:rFonts w:eastAsiaTheme="minorHAnsi" w:cs="Arial"/>
          <w:szCs w:val="20"/>
        </w:rPr>
      </w:pPr>
    </w:p>
    <w:p w:rsidR="00362FE5" w:rsidRPr="00035F86" w:rsidRDefault="00362FE5" w:rsidP="00362FE5">
      <w:pPr>
        <w:keepNext/>
        <w:keepLines/>
        <w:spacing w:after="200"/>
        <w:jc w:val="both"/>
        <w:rPr>
          <w:rFonts w:eastAsiaTheme="minorHAnsi" w:cs="Arial"/>
          <w:szCs w:val="20"/>
        </w:rPr>
      </w:pPr>
      <w:r w:rsidRPr="00035F86">
        <w:rPr>
          <w:rFonts w:eastAsiaTheme="minorHAnsi" w:cs="Arial"/>
          <w:szCs w:val="20"/>
        </w:rPr>
        <w:t>In response to the recommendation by the External Auditor, and with the objective of strengthening internal controls and processes for the use of individual contractual services to better achieve expected results, a new WIPO Policy on Individual Contractual Services (ICS) (Office Instruction 45/2013) was developed and promulgated at the end of 2013.  The new framework replaces the previous SSAs and other non-staff contract types.  The use of ICS is limited to tasks and functions of non-continuing nature.  The general principles underlying the use of such contracts are</w:t>
      </w:r>
      <w:r>
        <w:rPr>
          <w:rFonts w:eastAsiaTheme="minorHAnsi" w:cs="Arial"/>
          <w:szCs w:val="20"/>
        </w:rPr>
        <w:t xml:space="preserve">: </w:t>
      </w:r>
      <w:r w:rsidRPr="00035F86">
        <w:rPr>
          <w:rFonts w:eastAsiaTheme="minorHAnsi" w:cs="Arial"/>
          <w:szCs w:val="20"/>
        </w:rPr>
        <w:t xml:space="preserve"> (i)</w:t>
      </w:r>
      <w:r>
        <w:rPr>
          <w:rFonts w:eastAsiaTheme="minorHAnsi" w:cs="Arial"/>
          <w:szCs w:val="20"/>
        </w:rPr>
        <w:t> </w:t>
      </w:r>
      <w:r w:rsidRPr="00035F86">
        <w:rPr>
          <w:rFonts w:eastAsiaTheme="minorHAnsi" w:cs="Arial"/>
          <w:szCs w:val="20"/>
        </w:rPr>
        <w:t xml:space="preserve">competitive and effective selective procedures; </w:t>
      </w:r>
      <w:r>
        <w:rPr>
          <w:rFonts w:eastAsiaTheme="minorHAnsi" w:cs="Arial"/>
          <w:szCs w:val="20"/>
        </w:rPr>
        <w:t xml:space="preserve"> </w:t>
      </w:r>
      <w:r w:rsidRPr="00035F86">
        <w:rPr>
          <w:rFonts w:eastAsiaTheme="minorHAnsi" w:cs="Arial"/>
          <w:szCs w:val="20"/>
        </w:rPr>
        <w:t xml:space="preserve">(ii) effective provision of services to the Organization; </w:t>
      </w:r>
      <w:r>
        <w:rPr>
          <w:rFonts w:eastAsiaTheme="minorHAnsi" w:cs="Arial"/>
          <w:szCs w:val="20"/>
        </w:rPr>
        <w:t xml:space="preserve"> </w:t>
      </w:r>
      <w:r w:rsidRPr="00035F86">
        <w:rPr>
          <w:rFonts w:eastAsiaTheme="minorHAnsi" w:cs="Arial"/>
          <w:szCs w:val="20"/>
        </w:rPr>
        <w:t xml:space="preserve">(iii) best value for money; </w:t>
      </w:r>
      <w:r>
        <w:rPr>
          <w:rFonts w:eastAsiaTheme="minorHAnsi" w:cs="Arial"/>
          <w:szCs w:val="20"/>
        </w:rPr>
        <w:t xml:space="preserve"> </w:t>
      </w:r>
      <w:r w:rsidRPr="00035F86">
        <w:rPr>
          <w:rFonts w:eastAsiaTheme="minorHAnsi" w:cs="Arial"/>
          <w:szCs w:val="20"/>
        </w:rPr>
        <w:t>(iv)</w:t>
      </w:r>
      <w:r w:rsidR="00DE1CE8">
        <w:rPr>
          <w:rFonts w:eastAsiaTheme="minorHAnsi" w:cs="Arial"/>
          <w:szCs w:val="20"/>
        </w:rPr>
        <w:t> </w:t>
      </w:r>
      <w:r w:rsidRPr="00035F86">
        <w:rPr>
          <w:rFonts w:eastAsiaTheme="minorHAnsi" w:cs="Arial"/>
          <w:szCs w:val="20"/>
        </w:rPr>
        <w:t xml:space="preserve">integrity, confidentiality and transparency in implementation; </w:t>
      </w:r>
      <w:r>
        <w:rPr>
          <w:rFonts w:eastAsiaTheme="minorHAnsi" w:cs="Arial"/>
          <w:szCs w:val="20"/>
        </w:rPr>
        <w:t xml:space="preserve"> </w:t>
      </w:r>
      <w:r w:rsidRPr="00035F86">
        <w:rPr>
          <w:rFonts w:eastAsiaTheme="minorHAnsi" w:cs="Arial"/>
          <w:szCs w:val="20"/>
        </w:rPr>
        <w:t>(v) upholding of WIPO’s interests</w:t>
      </w:r>
      <w:r>
        <w:rPr>
          <w:rFonts w:eastAsiaTheme="minorHAnsi" w:cs="Arial"/>
          <w:szCs w:val="20"/>
        </w:rPr>
        <w:t xml:space="preserve">; </w:t>
      </w:r>
      <w:r w:rsidRPr="00035F86">
        <w:rPr>
          <w:rFonts w:eastAsiaTheme="minorHAnsi" w:cs="Arial"/>
          <w:szCs w:val="20"/>
        </w:rPr>
        <w:t xml:space="preserve"> and (vi) prudent engagement practices.  The new established processes are also expected to lead to a better monitoring of the use, and the associated costs, of such resources. </w:t>
      </w: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t>Business Processes and Spending Culture</w:t>
      </w:r>
    </w:p>
    <w:p w:rsidR="00362FE5" w:rsidRPr="00035F86" w:rsidRDefault="00362FE5" w:rsidP="00362FE5">
      <w:pPr>
        <w:autoSpaceDE w:val="0"/>
        <w:autoSpaceDN w:val="0"/>
        <w:adjustRightInd w:val="0"/>
        <w:jc w:val="both"/>
        <w:rPr>
          <w:rFonts w:eastAsia="SimSun" w:cs="Arial"/>
          <w:bCs/>
          <w:color w:val="000000"/>
          <w:szCs w:val="20"/>
          <w:lang w:eastAsia="zh-CN"/>
        </w:rPr>
      </w:pPr>
      <w:r w:rsidRPr="00035F86">
        <w:rPr>
          <w:rFonts w:eastAsiaTheme="minorHAnsi" w:cs="Arial"/>
          <w:szCs w:val="20"/>
        </w:rPr>
        <w:t xml:space="preserve">The implementation of reform initiatives under the Strategic Realignment Program (SRP) were completed at the end of 2012. </w:t>
      </w:r>
      <w:r>
        <w:rPr>
          <w:rFonts w:eastAsiaTheme="minorHAnsi" w:cs="Arial"/>
          <w:szCs w:val="20"/>
        </w:rPr>
        <w:t xml:space="preserve"> </w:t>
      </w:r>
      <w:r w:rsidRPr="00035F86">
        <w:rPr>
          <w:rFonts w:eastAsiaTheme="minorHAnsi" w:cs="Arial"/>
          <w:szCs w:val="20"/>
        </w:rPr>
        <w:t xml:space="preserve">The SRP aimed at streamlining the Organization’s structures and systems and at making the Organization more professional with business processes based on best practices. </w:t>
      </w:r>
      <w:r>
        <w:rPr>
          <w:rFonts w:eastAsiaTheme="minorHAnsi" w:cs="Arial"/>
          <w:szCs w:val="20"/>
        </w:rPr>
        <w:t xml:space="preserve"> </w:t>
      </w:r>
      <w:r w:rsidRPr="00035F86">
        <w:rPr>
          <w:rFonts w:eastAsiaTheme="minorHAnsi" w:cs="Arial"/>
          <w:szCs w:val="20"/>
        </w:rPr>
        <w:t>T</w:t>
      </w:r>
      <w:r w:rsidRPr="00035F86">
        <w:rPr>
          <w:rFonts w:eastAsia="SimSun" w:cs="Arial"/>
          <w:szCs w:val="20"/>
          <w:lang w:eastAsia="zh-CN"/>
        </w:rPr>
        <w:t>he SRP brought a new focus to the Secretariat’s culture and values, a greater efficiency to its business processes and better alignment of Programs, structure and resources to the Strategic Goals of the Organization.</w:t>
      </w:r>
      <w:r w:rsidRPr="00035F86">
        <w:rPr>
          <w:rFonts w:eastAsiaTheme="minorHAnsi" w:cs="Arial"/>
          <w:szCs w:val="20"/>
        </w:rPr>
        <w:t xml:space="preserve">  As of 2013, the Organization moved into a phase of “continuous improvement” in order to sustain and build upon the SRP achievements.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b/>
          <w:i/>
          <w:iCs/>
          <w:caps/>
          <w:szCs w:val="20"/>
        </w:rPr>
      </w:pPr>
      <w:r w:rsidRPr="00035F86">
        <w:rPr>
          <w:rFonts w:eastAsiaTheme="minorHAnsi" w:cs="Arial"/>
          <w:szCs w:val="20"/>
        </w:rPr>
        <w:t>The 2012 and 2013 annual workplan exercises, supported by a first generation workplanning tool delivered by the ERP Enterprise Performance Management (EPM) project, focused on reducing overlaps across Programs and enhancing cost efficiencies.  The workplanning tools have been further enhanced for the launch of the 2014/15 biennium.</w:t>
      </w:r>
    </w:p>
    <w:p w:rsidR="00362FE5" w:rsidRPr="00035F86" w:rsidRDefault="00362FE5" w:rsidP="00362FE5">
      <w:pPr>
        <w:jc w:val="both"/>
        <w:rPr>
          <w:rFonts w:eastAsiaTheme="minorHAnsi" w:cs="Arial"/>
          <w:b/>
          <w:i/>
          <w:iCs/>
          <w:caps/>
          <w:szCs w:val="20"/>
        </w:rPr>
      </w:pPr>
      <w:r w:rsidRPr="00035F86">
        <w:rPr>
          <w:rFonts w:eastAsiaTheme="minorHAnsi" w:cs="Arial"/>
          <w:szCs w:val="20"/>
        </w:rPr>
        <w:t xml:space="preserve">  </w:t>
      </w:r>
    </w:p>
    <w:p w:rsidR="00362FE5" w:rsidRDefault="00362FE5" w:rsidP="00362FE5">
      <w:pPr>
        <w:jc w:val="both"/>
        <w:rPr>
          <w:rFonts w:eastAsiaTheme="minorHAnsi" w:cs="Arial"/>
          <w:b/>
          <w:i/>
          <w:iCs/>
          <w:caps/>
          <w:szCs w:val="20"/>
        </w:rPr>
      </w:pPr>
      <w:r w:rsidRPr="00035F86">
        <w:rPr>
          <w:rFonts w:eastAsiaTheme="minorHAnsi" w:cs="Arial"/>
          <w:szCs w:val="20"/>
        </w:rPr>
        <w:t xml:space="preserve">The ERP implementation will continue to enable the Organization to standardize processes, better understand cost structures, uncover untapped efficiencies and thereby reduce costs and provide visibility to managers to inform decision making.  The PeopleSoft HR module, which went live early 2014, automates many of the HR related administrative tasks and is expected to enhance the efficiency of HR processes, boost workforce productivity and reduce administrative costs.  </w:t>
      </w:r>
    </w:p>
    <w:p w:rsidR="00362FE5" w:rsidRPr="00035F86" w:rsidRDefault="00362FE5" w:rsidP="00362FE5">
      <w:pPr>
        <w:jc w:val="both"/>
        <w:rPr>
          <w:rFonts w:eastAsiaTheme="minorHAnsi" w:cs="Arial"/>
          <w:b/>
          <w:i/>
          <w:iCs/>
          <w:caps/>
          <w:szCs w:val="20"/>
        </w:rPr>
      </w:pPr>
    </w:p>
    <w:p w:rsidR="00362FE5" w:rsidRPr="00035F86" w:rsidRDefault="00362FE5" w:rsidP="00362FE5">
      <w:pPr>
        <w:keepNext/>
        <w:keepLines/>
        <w:spacing w:after="200"/>
        <w:jc w:val="both"/>
        <w:rPr>
          <w:rFonts w:eastAsiaTheme="minorHAnsi" w:cs="Arial"/>
          <w:b/>
          <w:i/>
          <w:szCs w:val="20"/>
        </w:rPr>
      </w:pPr>
      <w:r w:rsidRPr="00035F86">
        <w:rPr>
          <w:rFonts w:eastAsiaTheme="minorHAnsi" w:cs="Arial"/>
          <w:b/>
          <w:i/>
          <w:szCs w:val="20"/>
        </w:rPr>
        <w:t>Efficiency Gains under the International Registration Systems (PCT, Madrid and Hague)</w:t>
      </w:r>
    </w:p>
    <w:p w:rsidR="00362FE5" w:rsidRDefault="00362FE5" w:rsidP="00362FE5">
      <w:pPr>
        <w:keepNext/>
        <w:keepLines/>
        <w:jc w:val="both"/>
        <w:rPr>
          <w:rFonts w:eastAsiaTheme="minorHAnsi" w:cs="Arial"/>
          <w:szCs w:val="20"/>
        </w:rPr>
      </w:pPr>
      <w:r w:rsidRPr="00035F86">
        <w:rPr>
          <w:rFonts w:eastAsiaTheme="minorHAnsi" w:cs="Arial"/>
          <w:szCs w:val="20"/>
        </w:rPr>
        <w:t xml:space="preserve">The biennium 2012/13 saw considerable growth in registrations activities under the PCT, Madrid and Hague systems.  At the same time, the International Bureau (IB) continued to deliver quality services to its users while improving productivity and cost efficiency.  Various ICT initiatives leading, to increased automation, played an important role in productivity and cost efficiency improvements as contained in document WO/PBC/21/19. </w:t>
      </w:r>
    </w:p>
    <w:p w:rsidR="00362FE5" w:rsidRPr="00035F86" w:rsidRDefault="00362FE5" w:rsidP="00362FE5">
      <w:pPr>
        <w:keepNext/>
        <w:keepLines/>
        <w:jc w:val="both"/>
        <w:rPr>
          <w:rFonts w:eastAsiaTheme="minorHAnsi" w:cs="Arial"/>
          <w:szCs w:val="20"/>
        </w:rPr>
      </w:pPr>
    </w:p>
    <w:p w:rsidR="00362FE5" w:rsidRPr="00035F86" w:rsidRDefault="00362FE5" w:rsidP="00362FE5">
      <w:pPr>
        <w:spacing w:after="200"/>
        <w:jc w:val="both"/>
        <w:rPr>
          <w:rFonts w:eastAsiaTheme="minorHAnsi" w:cs="Arial"/>
          <w:i/>
          <w:szCs w:val="20"/>
        </w:rPr>
      </w:pPr>
      <w:r w:rsidRPr="00035F86">
        <w:rPr>
          <w:rFonts w:eastAsiaTheme="minorHAnsi" w:cs="Arial"/>
          <w:i/>
          <w:szCs w:val="20"/>
        </w:rPr>
        <w:t>Patent Cooperation Treaty (PCT) System</w:t>
      </w:r>
    </w:p>
    <w:p w:rsidR="00362FE5" w:rsidRPr="00035F86" w:rsidRDefault="00362FE5" w:rsidP="00362FE5">
      <w:pPr>
        <w:jc w:val="both"/>
        <w:rPr>
          <w:rFonts w:eastAsiaTheme="minorHAnsi" w:cs="Arial"/>
          <w:szCs w:val="20"/>
        </w:rPr>
      </w:pPr>
      <w:r w:rsidRPr="00035F86">
        <w:rPr>
          <w:rFonts w:eastAsiaTheme="minorHAnsi" w:cs="Arial"/>
          <w:szCs w:val="20"/>
        </w:rPr>
        <w:t xml:space="preserve">The </w:t>
      </w:r>
      <w:r w:rsidR="00DE1CE8">
        <w:rPr>
          <w:rFonts w:eastAsiaTheme="minorHAnsi" w:cs="Arial"/>
          <w:szCs w:val="20"/>
        </w:rPr>
        <w:t>IB</w:t>
      </w:r>
      <w:r w:rsidRPr="00035F86">
        <w:rPr>
          <w:rFonts w:eastAsiaTheme="minorHAnsi" w:cs="Arial"/>
          <w:szCs w:val="20"/>
        </w:rPr>
        <w:t xml:space="preserve"> received approximately 196,200 and 202,700 record copies in 2012 and 2013, representing an increase of nine and three per cent, respectively, compared with the previous years.  </w:t>
      </w:r>
      <w:proofErr w:type="gramStart"/>
      <w:r w:rsidRPr="00035F86">
        <w:rPr>
          <w:rFonts w:eastAsiaTheme="minorHAnsi" w:cs="Arial"/>
          <w:szCs w:val="20"/>
        </w:rPr>
        <w:t xml:space="preserve">The productivity of formalities examination increased by </w:t>
      </w:r>
      <w:r w:rsidR="002363C1">
        <w:rPr>
          <w:rFonts w:eastAsiaTheme="minorHAnsi" w:cs="Arial"/>
          <w:szCs w:val="20"/>
        </w:rPr>
        <w:t>ten</w:t>
      </w:r>
      <w:r w:rsidRPr="00035F86">
        <w:rPr>
          <w:rFonts w:eastAsiaTheme="minorHAnsi" w:cs="Arial"/>
          <w:szCs w:val="20"/>
        </w:rPr>
        <w:t xml:space="preserve"> per cent from 2011 to 2012 and by a further eight per cent from 2012 to 2013.</w:t>
      </w:r>
      <w:proofErr w:type="gramEnd"/>
      <w:r w:rsidRPr="00035F86">
        <w:rPr>
          <w:rFonts w:eastAsiaTheme="minorHAnsi" w:cs="Arial"/>
          <w:szCs w:val="20"/>
        </w:rPr>
        <w:t xml:space="preserve">  This was mainly due to the significant progress in the automation of certain processes relating to formalities examination which permitted the processing of much larger workloads with the </w:t>
      </w:r>
      <w:r w:rsidRPr="00035F86">
        <w:rPr>
          <w:rFonts w:eastAsiaTheme="minorHAnsi" w:cs="Arial"/>
          <w:szCs w:val="20"/>
        </w:rPr>
        <w:lastRenderedPageBreak/>
        <w:t xml:space="preserve">same level of staff.  The productivity of formalities examination is defined as the ratio between the number of PCT publications and the number of available staff for formalities examination.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The share of fully electronic filings continued to increase in 2012/13 representing 89 per cent of total filings in 2013.  The IB continued to promote the electronic exchange of documents and data between the IB and Offices with 92 and 93 per cent of documents received in 2012 and 2013, respectively, by the IB from Offices in electronic format.  The ePCT system became available to Offices as well as applicants and added a wide range of new features.  Use of the new services contributed towards more timely and consistent international phase processing with a reduced risk of errors.  The actual timeliness of formalities examination of PCT international applications improved markedly </w:t>
      </w:r>
      <w:r w:rsidR="00747496">
        <w:rPr>
          <w:rFonts w:eastAsiaTheme="minorHAnsi" w:cs="Arial"/>
          <w:szCs w:val="20"/>
        </w:rPr>
        <w:t xml:space="preserve">due to automation </w:t>
      </w:r>
      <w:r w:rsidRPr="00035F86">
        <w:rPr>
          <w:rFonts w:eastAsiaTheme="minorHAnsi" w:cs="Arial"/>
          <w:szCs w:val="20"/>
        </w:rPr>
        <w:t xml:space="preserve">in 2013 with 82.58 per cent completed within three weeks from receipt, compared to 69.46 per cent in 2012 and 71.37 per cent in 2011.   </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The Secretariat also made progress in introducing more flexibility into translation workflow management through the introduction of the Translation Management System World Server in order to semi-automate translation allocation and distribution processes. </w:t>
      </w:r>
      <w:r w:rsidR="00747496">
        <w:rPr>
          <w:rFonts w:eastAsiaTheme="minorHAnsi" w:cs="Arial"/>
          <w:szCs w:val="20"/>
        </w:rPr>
        <w:t xml:space="preserve"> The successful expansion of the fellowship program resulted in further cost savings as a result of graduates from the Program becoming external translators at rates of less than those previously paid to translation agencies.  Work on public tenders during the course of 2013 has also laid the foundation for further future savings.  </w:t>
      </w:r>
    </w:p>
    <w:p w:rsidR="00362FE5" w:rsidRDefault="00362FE5" w:rsidP="00362FE5">
      <w:pPr>
        <w:jc w:val="both"/>
        <w:rPr>
          <w:rFonts w:eastAsiaTheme="minorHAnsi" w:cs="Arial"/>
          <w:szCs w:val="20"/>
        </w:rPr>
      </w:pPr>
      <w:r w:rsidRPr="00035F86">
        <w:rPr>
          <w:rFonts w:eastAsiaTheme="minorHAnsi" w:cs="Arial"/>
          <w:szCs w:val="20"/>
        </w:rPr>
        <w:t xml:space="preserve">The re-negotiation of the contract with an external agent for the physical archiving and transportation of PCT files to storage spaces resulted in significantly cost savings; </w:t>
      </w:r>
      <w:r w:rsidR="00DE1CE8">
        <w:rPr>
          <w:rFonts w:eastAsiaTheme="minorHAnsi" w:cs="Arial"/>
          <w:szCs w:val="20"/>
        </w:rPr>
        <w:t xml:space="preserve"> </w:t>
      </w:r>
      <w:r w:rsidRPr="00035F86">
        <w:rPr>
          <w:rFonts w:eastAsiaTheme="minorHAnsi" w:cs="Arial"/>
          <w:szCs w:val="20"/>
        </w:rPr>
        <w:t>from a total of 217,000 to 37,500</w:t>
      </w:r>
      <w:r w:rsidR="00DE1CE8">
        <w:rPr>
          <w:rFonts w:eastAsiaTheme="minorHAnsi" w:cs="Arial"/>
          <w:szCs w:val="20"/>
        </w:rPr>
        <w:t> </w:t>
      </w:r>
      <w:r w:rsidRPr="00035F86">
        <w:rPr>
          <w:rFonts w:eastAsiaTheme="minorHAnsi" w:cs="Arial"/>
          <w:szCs w:val="20"/>
        </w:rPr>
        <w:t>Swiss</w:t>
      </w:r>
      <w:r w:rsidR="00DE1CE8">
        <w:rPr>
          <w:rFonts w:eastAsiaTheme="minorHAnsi" w:cs="Arial"/>
          <w:szCs w:val="20"/>
        </w:rPr>
        <w:t> </w:t>
      </w:r>
      <w:r w:rsidRPr="00035F86">
        <w:rPr>
          <w:rFonts w:eastAsiaTheme="minorHAnsi" w:cs="Arial"/>
          <w:szCs w:val="20"/>
        </w:rPr>
        <w:t xml:space="preserve">francs per year (document WO/PBC/21/19).  This was achieved by considerably reducing the number of interventions by the contractor and reorganizing internal storage spaces.  Future savings are also expected as a result of current plans to scan, and electronically store, old PCT applications files. </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eastAsiaTheme="minorHAnsi" w:cs="Arial"/>
          <w:i/>
          <w:szCs w:val="20"/>
        </w:rPr>
      </w:pPr>
      <w:r w:rsidRPr="00035F86">
        <w:rPr>
          <w:rFonts w:eastAsiaTheme="minorHAnsi" w:cs="Arial"/>
          <w:i/>
          <w:szCs w:val="20"/>
        </w:rPr>
        <w:t>Madrid System</w:t>
      </w:r>
    </w:p>
    <w:p w:rsidR="00362FE5" w:rsidRPr="00035F86" w:rsidRDefault="00362FE5" w:rsidP="00362FE5">
      <w:pPr>
        <w:jc w:val="both"/>
        <w:rPr>
          <w:rFonts w:eastAsiaTheme="minorHAnsi" w:cs="Arial"/>
          <w:szCs w:val="20"/>
        </w:rPr>
      </w:pPr>
      <w:r w:rsidRPr="00035F86">
        <w:rPr>
          <w:rFonts w:eastAsiaTheme="minorHAnsi" w:cs="Arial"/>
          <w:szCs w:val="20"/>
        </w:rPr>
        <w:t>In the 2012/13 biennium, Madrid Operations continued to focus on increasing its overall efficiency, effectiveness and productivity.  There was a sizable increase in workload, with a total of 574,761</w:t>
      </w:r>
      <w:r>
        <w:rPr>
          <w:rFonts w:eastAsiaTheme="minorHAnsi" w:cs="Arial"/>
          <w:szCs w:val="20"/>
        </w:rPr>
        <w:t> </w:t>
      </w:r>
      <w:r w:rsidRPr="00035F86">
        <w:rPr>
          <w:rFonts w:eastAsiaTheme="minorHAnsi" w:cs="Arial"/>
          <w:szCs w:val="20"/>
        </w:rPr>
        <w:t>requests received in 2013 (for acquisition and maintenance of rights; decisions by the designated Contracting Parties and modifications to the International Register), representing a 7.9</w:t>
      </w:r>
      <w:r>
        <w:rPr>
          <w:rFonts w:eastAsiaTheme="minorHAnsi" w:cs="Arial"/>
          <w:szCs w:val="20"/>
        </w:rPr>
        <w:t> </w:t>
      </w:r>
      <w:r w:rsidRPr="00035F86">
        <w:rPr>
          <w:rFonts w:eastAsiaTheme="minorHAnsi" w:cs="Arial"/>
          <w:szCs w:val="20"/>
        </w:rPr>
        <w:t>per</w:t>
      </w:r>
      <w:r>
        <w:rPr>
          <w:rFonts w:eastAsiaTheme="minorHAnsi" w:cs="Arial"/>
          <w:szCs w:val="20"/>
        </w:rPr>
        <w:t> </w:t>
      </w:r>
      <w:r w:rsidRPr="00035F86">
        <w:rPr>
          <w:rFonts w:eastAsiaTheme="minorHAnsi" w:cs="Arial"/>
          <w:szCs w:val="20"/>
        </w:rPr>
        <w:t>cent increase from 2012.  The increase in 2012 from 2011 amounted to three per cent.</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The main efficiency gain in Madrid Operations in the biennium stemmed from automation, primarily in the translation area.  Between 2012 and 2013, the decrease in </w:t>
      </w:r>
      <w:r>
        <w:rPr>
          <w:rFonts w:eastAsiaTheme="minorHAnsi" w:cs="Arial"/>
          <w:szCs w:val="20"/>
        </w:rPr>
        <w:t xml:space="preserve">the </w:t>
      </w:r>
      <w:r w:rsidRPr="00035F86">
        <w:rPr>
          <w:rFonts w:eastAsiaTheme="minorHAnsi" w:cs="Arial"/>
          <w:szCs w:val="20"/>
        </w:rPr>
        <w:t>unit cost per application amounted to 7.4</w:t>
      </w:r>
      <w:r w:rsidR="00DE1CE8">
        <w:rPr>
          <w:rFonts w:eastAsiaTheme="minorHAnsi" w:cs="Arial"/>
          <w:szCs w:val="20"/>
        </w:rPr>
        <w:t> </w:t>
      </w:r>
      <w:r w:rsidRPr="00035F86">
        <w:rPr>
          <w:rFonts w:eastAsiaTheme="minorHAnsi" w:cs="Arial"/>
          <w:szCs w:val="20"/>
        </w:rPr>
        <w:t xml:space="preserve">per cent.  </w:t>
      </w:r>
    </w:p>
    <w:p w:rsidR="00362FE5" w:rsidRPr="00035F86" w:rsidRDefault="00362FE5" w:rsidP="00362FE5">
      <w:pPr>
        <w:jc w:val="both"/>
        <w:rPr>
          <w:rFonts w:eastAsiaTheme="minorHAnsi" w:cs="Arial"/>
          <w:szCs w:val="20"/>
        </w:rPr>
      </w:pPr>
    </w:p>
    <w:p w:rsidR="00362FE5" w:rsidRPr="00035F86" w:rsidRDefault="00362FE5" w:rsidP="00362FE5">
      <w:pPr>
        <w:jc w:val="both"/>
        <w:rPr>
          <w:rFonts w:eastAsiaTheme="minorHAnsi" w:cs="Arial"/>
          <w:szCs w:val="20"/>
        </w:rPr>
      </w:pPr>
      <w:r w:rsidRPr="00035F86">
        <w:rPr>
          <w:rFonts w:eastAsiaTheme="minorHAnsi" w:cs="Arial"/>
          <w:szCs w:val="20"/>
        </w:rPr>
        <w:t xml:space="preserve">Increased use of electronic communications and changes in the postage and publication policy led to a decrease in postage costs. </w:t>
      </w:r>
      <w:r>
        <w:rPr>
          <w:rFonts w:eastAsiaTheme="minorHAnsi" w:cs="Arial"/>
          <w:szCs w:val="20"/>
        </w:rPr>
        <w:t xml:space="preserve"> </w:t>
      </w:r>
      <w:r w:rsidRPr="00035F86">
        <w:rPr>
          <w:rFonts w:eastAsiaTheme="minorHAnsi" w:cs="Arial"/>
          <w:szCs w:val="20"/>
        </w:rPr>
        <w:t xml:space="preserve">The share of electronic files continued to grow in the 2012/13 biennium, with 65 per cent of documents received electronically in 2012 and 67 per cent in 2013.  </w:t>
      </w:r>
      <w:r w:rsidRPr="00035F86">
        <w:rPr>
          <w:rFonts w:eastAsiaTheme="minorHAnsi" w:cs="Arial"/>
          <w:color w:val="000080"/>
          <w:szCs w:val="20"/>
        </w:rPr>
        <w:t>T</w:t>
      </w:r>
      <w:r w:rsidRPr="00035F86">
        <w:rPr>
          <w:rFonts w:eastAsiaTheme="minorHAnsi" w:cs="Arial"/>
          <w:szCs w:val="20"/>
        </w:rPr>
        <w:t>he Organization is striving to increase this rate to further achieve increases in the levels of electronic processing.</w:t>
      </w:r>
    </w:p>
    <w:p w:rsidR="00362FE5" w:rsidRPr="00035F86" w:rsidRDefault="00362FE5" w:rsidP="00362FE5">
      <w:pPr>
        <w:jc w:val="both"/>
        <w:rPr>
          <w:rFonts w:eastAsiaTheme="minorHAnsi" w:cs="Arial"/>
          <w:szCs w:val="20"/>
        </w:rPr>
      </w:pPr>
    </w:p>
    <w:p w:rsidR="00362FE5" w:rsidRPr="00035F86" w:rsidRDefault="00362FE5" w:rsidP="00362FE5">
      <w:pPr>
        <w:spacing w:after="200"/>
        <w:jc w:val="both"/>
        <w:rPr>
          <w:rFonts w:eastAsiaTheme="minorHAnsi" w:cs="Arial"/>
          <w:i/>
          <w:szCs w:val="20"/>
        </w:rPr>
      </w:pPr>
      <w:r>
        <w:rPr>
          <w:rFonts w:eastAsiaTheme="minorHAnsi" w:cs="Arial"/>
          <w:i/>
          <w:szCs w:val="20"/>
        </w:rPr>
        <w:t xml:space="preserve">The </w:t>
      </w:r>
      <w:r w:rsidRPr="00035F86">
        <w:rPr>
          <w:rFonts w:eastAsiaTheme="minorHAnsi" w:cs="Arial"/>
          <w:i/>
          <w:szCs w:val="20"/>
        </w:rPr>
        <w:t>Hague System</w:t>
      </w:r>
    </w:p>
    <w:p w:rsidR="00362FE5" w:rsidRPr="00035F86" w:rsidRDefault="00362FE5" w:rsidP="00362FE5">
      <w:pPr>
        <w:spacing w:after="200"/>
        <w:jc w:val="both"/>
        <w:rPr>
          <w:rFonts w:eastAsiaTheme="minorHAnsi" w:cs="Arial"/>
          <w:szCs w:val="20"/>
        </w:rPr>
      </w:pPr>
      <w:r w:rsidRPr="00035F86">
        <w:rPr>
          <w:rFonts w:eastAsiaTheme="minorHAnsi" w:cs="Arial"/>
          <w:szCs w:val="20"/>
        </w:rPr>
        <w:t xml:space="preserve">Efforts continued to increase the efficiency of promotion and outreach activities under the Hague system as detailed in document WO/PBC/21/19.  These included: </w:t>
      </w:r>
      <w:r>
        <w:rPr>
          <w:rFonts w:eastAsiaTheme="minorHAnsi" w:cs="Arial"/>
          <w:szCs w:val="20"/>
        </w:rPr>
        <w:t xml:space="preserve"> </w:t>
      </w:r>
      <w:r w:rsidRPr="00035F86">
        <w:rPr>
          <w:rFonts w:eastAsiaTheme="minorHAnsi" w:cs="Arial"/>
          <w:szCs w:val="20"/>
        </w:rPr>
        <w:t xml:space="preserve">better use of synergies between the Madrid and </w:t>
      </w:r>
      <w:r w:rsidR="00D70D8E">
        <w:rPr>
          <w:rFonts w:eastAsiaTheme="minorHAnsi" w:cs="Arial"/>
          <w:szCs w:val="20"/>
        </w:rPr>
        <w:t xml:space="preserve">the </w:t>
      </w:r>
      <w:r w:rsidRPr="00035F86">
        <w:rPr>
          <w:rFonts w:eastAsiaTheme="minorHAnsi" w:cs="Arial"/>
          <w:szCs w:val="20"/>
        </w:rPr>
        <w:t xml:space="preserve">Hague </w:t>
      </w:r>
      <w:r w:rsidR="00D70D8E">
        <w:rPr>
          <w:rFonts w:eastAsiaTheme="minorHAnsi" w:cs="Arial"/>
          <w:szCs w:val="20"/>
        </w:rPr>
        <w:t>S</w:t>
      </w:r>
      <w:r w:rsidRPr="00035F86">
        <w:rPr>
          <w:rFonts w:eastAsiaTheme="minorHAnsi" w:cs="Arial"/>
          <w:szCs w:val="20"/>
        </w:rPr>
        <w:t xml:space="preserve">ystem activities; </w:t>
      </w:r>
      <w:r>
        <w:rPr>
          <w:rFonts w:eastAsiaTheme="minorHAnsi" w:cs="Arial"/>
          <w:szCs w:val="20"/>
        </w:rPr>
        <w:t xml:space="preserve"> </w:t>
      </w:r>
      <w:r w:rsidRPr="00035F86">
        <w:rPr>
          <w:rFonts w:eastAsiaTheme="minorHAnsi" w:cs="Arial"/>
          <w:szCs w:val="20"/>
        </w:rPr>
        <w:t xml:space="preserve">enhanced use of regional consultants for developing Madrid and </w:t>
      </w:r>
      <w:r w:rsidR="00D70D8E">
        <w:rPr>
          <w:rFonts w:eastAsiaTheme="minorHAnsi" w:cs="Arial"/>
          <w:szCs w:val="20"/>
        </w:rPr>
        <w:t xml:space="preserve">the </w:t>
      </w:r>
      <w:r w:rsidRPr="00035F86">
        <w:rPr>
          <w:rFonts w:eastAsiaTheme="minorHAnsi" w:cs="Arial"/>
          <w:szCs w:val="20"/>
        </w:rPr>
        <w:t xml:space="preserve">Hague </w:t>
      </w:r>
      <w:r w:rsidR="00D70D8E">
        <w:rPr>
          <w:rFonts w:eastAsiaTheme="minorHAnsi" w:cs="Arial"/>
          <w:szCs w:val="20"/>
        </w:rPr>
        <w:t>S</w:t>
      </w:r>
      <w:r w:rsidRPr="00035F86">
        <w:rPr>
          <w:rFonts w:eastAsiaTheme="minorHAnsi" w:cs="Arial"/>
          <w:szCs w:val="20"/>
        </w:rPr>
        <w:t>ystems</w:t>
      </w:r>
      <w:r w:rsidRPr="00035F86" w:rsidDel="00503462">
        <w:rPr>
          <w:rFonts w:eastAsiaTheme="minorHAnsi" w:cs="Arial"/>
          <w:szCs w:val="20"/>
        </w:rPr>
        <w:t xml:space="preserve"> </w:t>
      </w:r>
      <w:r w:rsidRPr="00035F86">
        <w:rPr>
          <w:rFonts w:eastAsiaTheme="minorHAnsi" w:cs="Arial"/>
          <w:szCs w:val="20"/>
        </w:rPr>
        <w:t>accessions plans; </w:t>
      </w:r>
      <w:r>
        <w:rPr>
          <w:rFonts w:eastAsiaTheme="minorHAnsi" w:cs="Arial"/>
          <w:szCs w:val="20"/>
        </w:rPr>
        <w:t xml:space="preserve"> </w:t>
      </w:r>
      <w:r w:rsidRPr="00035F86">
        <w:rPr>
          <w:rFonts w:eastAsiaTheme="minorHAnsi" w:cs="Arial"/>
          <w:szCs w:val="20"/>
        </w:rPr>
        <w:t xml:space="preserve">wider use of video conferencing tools; </w:t>
      </w:r>
      <w:r>
        <w:rPr>
          <w:rFonts w:eastAsiaTheme="minorHAnsi" w:cs="Arial"/>
          <w:szCs w:val="20"/>
        </w:rPr>
        <w:t xml:space="preserve"> </w:t>
      </w:r>
      <w:r w:rsidRPr="00035F86">
        <w:rPr>
          <w:rFonts w:eastAsiaTheme="minorHAnsi" w:cs="Arial"/>
          <w:szCs w:val="20"/>
        </w:rPr>
        <w:t xml:space="preserve">and replacement of paper documentation by electronic devices such as USB sticks.  </w:t>
      </w:r>
    </w:p>
    <w:p w:rsidR="00362FE5" w:rsidRPr="00035F86" w:rsidRDefault="00362FE5" w:rsidP="00362FE5">
      <w:pPr>
        <w:spacing w:after="200"/>
        <w:jc w:val="both"/>
        <w:rPr>
          <w:rFonts w:eastAsiaTheme="minorHAnsi" w:cs="Arial"/>
          <w:szCs w:val="20"/>
        </w:rPr>
      </w:pPr>
      <w:r w:rsidRPr="00035F86">
        <w:rPr>
          <w:rFonts w:eastAsiaTheme="minorHAnsi" w:cs="Arial"/>
          <w:szCs w:val="20"/>
        </w:rPr>
        <w:t>The new E-Filing tool, launched in June 2013, includes dynamic safeguards enabling applicants to avoid formal mistakes and thus encouraging electronic application filing.  In 2013, electronic applications represented 86 per cent of the total number of applications, compared to 85 per cent in 2012.  In addition, the planned Hague Portfolio Manager will introduce further electronic interfaces.  It is foreseen that all communications between the applicant/holder/representative and the IB will take place through the Hague Portfolio Manager.  These initiatives are expected to result in a reduction in the number of paper applications with an associated savings in mailing costs.</w:t>
      </w:r>
      <w:r w:rsidR="00D70D8E">
        <w:rPr>
          <w:rFonts w:eastAsiaTheme="minorHAnsi" w:cs="Arial"/>
          <w:szCs w:val="20"/>
        </w:rPr>
        <w:t xml:space="preserve">  Finally, mid-2013, Hague operations started benefitting from some of the translation automation tools developed for the Madrid System.</w:t>
      </w:r>
    </w:p>
    <w:p w:rsidR="00362FE5" w:rsidRPr="00035F86" w:rsidRDefault="00362FE5" w:rsidP="00DE1CE8">
      <w:pPr>
        <w:keepNext/>
        <w:keepLines/>
        <w:jc w:val="both"/>
        <w:rPr>
          <w:rFonts w:eastAsiaTheme="minorHAnsi" w:cs="Arial"/>
          <w:szCs w:val="20"/>
        </w:rPr>
      </w:pPr>
      <w:r w:rsidRPr="00035F86">
        <w:rPr>
          <w:rFonts w:eastAsiaTheme="minorHAnsi" w:cs="Arial"/>
          <w:szCs w:val="20"/>
        </w:rPr>
        <w:lastRenderedPageBreak/>
        <w:t xml:space="preserve">The table below summarizes the savings and/or efficiency gains obtained </w:t>
      </w:r>
      <w:r>
        <w:rPr>
          <w:rFonts w:eastAsiaTheme="minorHAnsi" w:cs="Arial"/>
          <w:szCs w:val="20"/>
        </w:rPr>
        <w:t xml:space="preserve">as a result of other implemented measures, i.e. in relation to procurement contracts, ICT, mail expedition service, personnel costs, SSAs, business processes and spending culture and efficiency gains under the international registration systems (PCT, Madrid and </w:t>
      </w:r>
      <w:proofErr w:type="gramStart"/>
      <w:r>
        <w:rPr>
          <w:rFonts w:eastAsiaTheme="minorHAnsi" w:cs="Arial"/>
          <w:szCs w:val="20"/>
        </w:rPr>
        <w:t>the</w:t>
      </w:r>
      <w:proofErr w:type="gramEnd"/>
      <w:r>
        <w:rPr>
          <w:rFonts w:eastAsiaTheme="minorHAnsi" w:cs="Arial"/>
          <w:szCs w:val="20"/>
        </w:rPr>
        <w:t xml:space="preserve"> Hague).   </w:t>
      </w:r>
    </w:p>
    <w:p w:rsidR="00362FE5" w:rsidRPr="00035F86" w:rsidRDefault="00362FE5" w:rsidP="00362FE5">
      <w:pPr>
        <w:spacing w:after="200"/>
        <w:rPr>
          <w:rFonts w:eastAsiaTheme="minorHAnsi" w:cs="Arial"/>
          <w:szCs w:val="20"/>
        </w:rPr>
      </w:pPr>
    </w:p>
    <w:tbl>
      <w:tblPr>
        <w:tblStyle w:val="TableGrid1"/>
        <w:tblW w:w="0" w:type="auto"/>
        <w:tblInd w:w="108" w:type="dxa"/>
        <w:tblLook w:val="04A0" w:firstRow="1" w:lastRow="0" w:firstColumn="1" w:lastColumn="0" w:noHBand="0" w:noVBand="1"/>
      </w:tblPr>
      <w:tblGrid>
        <w:gridCol w:w="4678"/>
        <w:gridCol w:w="4678"/>
      </w:tblGrid>
      <w:tr w:rsidR="00362FE5" w:rsidRPr="00035F86" w:rsidTr="00DE1CE8">
        <w:trPr>
          <w:trHeight w:val="476"/>
        </w:trPr>
        <w:tc>
          <w:tcPr>
            <w:tcW w:w="4678" w:type="dxa"/>
            <w:shd w:val="clear" w:color="auto" w:fill="DBE5F1" w:themeFill="accent1" w:themeFillTint="33"/>
            <w:vAlign w:val="center"/>
          </w:tcPr>
          <w:p w:rsidR="00362FE5" w:rsidRPr="00035F86" w:rsidRDefault="00362FE5" w:rsidP="004C5DDE">
            <w:pPr>
              <w:jc w:val="center"/>
              <w:rPr>
                <w:rFonts w:cs="Arial"/>
                <w:b/>
                <w:sz w:val="18"/>
                <w:szCs w:val="18"/>
              </w:rPr>
            </w:pPr>
            <w:r w:rsidRPr="00035F86">
              <w:rPr>
                <w:rFonts w:cs="Arial"/>
                <w:b/>
                <w:sz w:val="18"/>
                <w:szCs w:val="18"/>
              </w:rPr>
              <w:t>Description</w:t>
            </w:r>
          </w:p>
        </w:tc>
        <w:tc>
          <w:tcPr>
            <w:tcW w:w="4678" w:type="dxa"/>
            <w:shd w:val="clear" w:color="auto" w:fill="DBE5F1" w:themeFill="accent1" w:themeFillTint="33"/>
            <w:vAlign w:val="center"/>
          </w:tcPr>
          <w:p w:rsidR="00362FE5" w:rsidRPr="00035F86" w:rsidRDefault="00362FE5" w:rsidP="004C5DDE">
            <w:pPr>
              <w:jc w:val="center"/>
              <w:rPr>
                <w:rFonts w:cs="Arial"/>
                <w:b/>
                <w:sz w:val="18"/>
                <w:szCs w:val="18"/>
              </w:rPr>
            </w:pPr>
            <w:r w:rsidRPr="00035F86">
              <w:rPr>
                <w:rFonts w:cs="Arial"/>
                <w:b/>
                <w:sz w:val="18"/>
                <w:szCs w:val="18"/>
              </w:rPr>
              <w:t>Cost saving / Efficiency gain</w:t>
            </w:r>
          </w:p>
        </w:tc>
      </w:tr>
      <w:tr w:rsidR="00362FE5" w:rsidRPr="00035F86" w:rsidTr="00DE1CE8">
        <w:trPr>
          <w:trHeight w:val="849"/>
        </w:trPr>
        <w:tc>
          <w:tcPr>
            <w:tcW w:w="4678" w:type="dxa"/>
            <w:vAlign w:val="center"/>
          </w:tcPr>
          <w:p w:rsidR="00362FE5" w:rsidRPr="00035F86" w:rsidRDefault="00362FE5" w:rsidP="004C5DDE">
            <w:pPr>
              <w:rPr>
                <w:rFonts w:cs="Arial"/>
                <w:sz w:val="16"/>
                <w:szCs w:val="16"/>
              </w:rPr>
            </w:pPr>
            <w:r w:rsidRPr="00035F86">
              <w:rPr>
                <w:rFonts w:cs="Arial"/>
                <w:sz w:val="16"/>
                <w:szCs w:val="16"/>
              </w:rPr>
              <w:t>Cost savings stemming from re-negotiating and/or re-tendering contracts as well as an active cooperation with other UN organizations in particular through the CPAG</w:t>
            </w:r>
          </w:p>
        </w:tc>
        <w:tc>
          <w:tcPr>
            <w:tcW w:w="4678" w:type="dxa"/>
            <w:vAlign w:val="center"/>
          </w:tcPr>
          <w:p w:rsidR="00362FE5" w:rsidRPr="00035F86" w:rsidRDefault="00362FE5" w:rsidP="004C5DDE">
            <w:pPr>
              <w:rPr>
                <w:rFonts w:cs="Arial"/>
                <w:sz w:val="16"/>
                <w:szCs w:val="16"/>
              </w:rPr>
            </w:pPr>
            <w:r w:rsidRPr="00035F86">
              <w:rPr>
                <w:rFonts w:cs="Arial"/>
                <w:sz w:val="16"/>
                <w:szCs w:val="16"/>
              </w:rPr>
              <w:t>1.9 million Swiss francs in 2012/13</w:t>
            </w:r>
          </w:p>
        </w:tc>
      </w:tr>
      <w:tr w:rsidR="00362FE5" w:rsidRPr="00035F86" w:rsidTr="00DE1CE8">
        <w:trPr>
          <w:trHeight w:val="953"/>
        </w:trPr>
        <w:tc>
          <w:tcPr>
            <w:tcW w:w="4678" w:type="dxa"/>
            <w:vAlign w:val="center"/>
          </w:tcPr>
          <w:p w:rsidR="00362FE5" w:rsidRPr="00035F86" w:rsidRDefault="00362FE5" w:rsidP="004C5DDE">
            <w:pPr>
              <w:rPr>
                <w:rFonts w:cs="Arial"/>
                <w:sz w:val="16"/>
                <w:szCs w:val="16"/>
              </w:rPr>
            </w:pPr>
            <w:r w:rsidRPr="00035F86">
              <w:rPr>
                <w:rFonts w:cs="Arial"/>
                <w:sz w:val="16"/>
                <w:szCs w:val="16"/>
              </w:rPr>
              <w:t>Efficiency gains resulting from improvement of procurement processes</w:t>
            </w:r>
          </w:p>
        </w:tc>
        <w:tc>
          <w:tcPr>
            <w:tcW w:w="4678" w:type="dxa"/>
            <w:vAlign w:val="center"/>
          </w:tcPr>
          <w:p w:rsidR="00362FE5" w:rsidRPr="00035F86" w:rsidRDefault="00362FE5" w:rsidP="007B2B25">
            <w:pPr>
              <w:numPr>
                <w:ilvl w:val="0"/>
                <w:numId w:val="88"/>
              </w:numPr>
              <w:contextualSpacing/>
              <w:rPr>
                <w:rFonts w:cs="Arial"/>
                <w:sz w:val="16"/>
                <w:szCs w:val="16"/>
              </w:rPr>
            </w:pPr>
            <w:r w:rsidRPr="00035F86">
              <w:rPr>
                <w:rFonts w:cs="Arial"/>
                <w:sz w:val="16"/>
                <w:szCs w:val="16"/>
              </w:rPr>
              <w:t>50% reduction in the lead time for processing requisitions between 2011 and 2013;</w:t>
            </w:r>
          </w:p>
          <w:p w:rsidR="00362FE5" w:rsidRPr="00035F86" w:rsidRDefault="00362FE5" w:rsidP="007B2B25">
            <w:pPr>
              <w:numPr>
                <w:ilvl w:val="0"/>
                <w:numId w:val="88"/>
              </w:numPr>
              <w:contextualSpacing/>
              <w:rPr>
                <w:rFonts w:cs="Arial"/>
                <w:sz w:val="16"/>
                <w:szCs w:val="16"/>
              </w:rPr>
            </w:pPr>
            <w:r w:rsidRPr="00035F86">
              <w:rPr>
                <w:rFonts w:cs="Arial"/>
                <w:sz w:val="16"/>
                <w:szCs w:val="16"/>
              </w:rPr>
              <w:t>Decrease in the ratio of cancelled purchase orders from 14% in 2010 to 6.7% in 2013.</w:t>
            </w:r>
          </w:p>
        </w:tc>
      </w:tr>
      <w:tr w:rsidR="00362FE5" w:rsidRPr="00035F86" w:rsidTr="00DE1CE8">
        <w:trPr>
          <w:trHeight w:val="930"/>
        </w:trPr>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Cost savings resulting from: (i) the use of server virtualization technology, (ii) a more streamlined procedure for management of email accounts, (iii) the implementation of a “laptop as desktop” policy </w:t>
            </w:r>
          </w:p>
        </w:tc>
        <w:tc>
          <w:tcPr>
            <w:tcW w:w="4678" w:type="dxa"/>
            <w:vAlign w:val="center"/>
          </w:tcPr>
          <w:p w:rsidR="00362FE5" w:rsidRPr="00035F86" w:rsidRDefault="00362FE5" w:rsidP="007B2B25">
            <w:pPr>
              <w:numPr>
                <w:ilvl w:val="0"/>
                <w:numId w:val="89"/>
              </w:numPr>
              <w:contextualSpacing/>
              <w:rPr>
                <w:rFonts w:cs="Arial"/>
                <w:sz w:val="16"/>
                <w:szCs w:val="16"/>
              </w:rPr>
            </w:pPr>
            <w:r w:rsidRPr="00035F86">
              <w:rPr>
                <w:rFonts w:cs="Arial"/>
                <w:sz w:val="16"/>
                <w:szCs w:val="16"/>
              </w:rPr>
              <w:t>150,000 Swiss francs per year</w:t>
            </w:r>
          </w:p>
          <w:p w:rsidR="00362FE5" w:rsidRPr="00035F86" w:rsidRDefault="00362FE5" w:rsidP="007B2B25">
            <w:pPr>
              <w:numPr>
                <w:ilvl w:val="0"/>
                <w:numId w:val="89"/>
              </w:numPr>
              <w:contextualSpacing/>
              <w:rPr>
                <w:rFonts w:cs="Arial"/>
                <w:sz w:val="16"/>
                <w:szCs w:val="16"/>
              </w:rPr>
            </w:pPr>
            <w:r w:rsidRPr="00035F86">
              <w:rPr>
                <w:rFonts w:cs="Arial"/>
                <w:sz w:val="16"/>
                <w:szCs w:val="16"/>
              </w:rPr>
              <w:t>Approximately 100,000 Swiss francs per year</w:t>
            </w:r>
          </w:p>
          <w:p w:rsidR="00362FE5" w:rsidRPr="00035F86" w:rsidRDefault="00362FE5" w:rsidP="007B2B25">
            <w:pPr>
              <w:numPr>
                <w:ilvl w:val="0"/>
                <w:numId w:val="89"/>
              </w:numPr>
              <w:contextualSpacing/>
              <w:rPr>
                <w:rFonts w:cs="Arial"/>
                <w:sz w:val="16"/>
                <w:szCs w:val="16"/>
              </w:rPr>
            </w:pPr>
            <w:r w:rsidRPr="00035F86">
              <w:rPr>
                <w:rFonts w:cs="Arial"/>
                <w:sz w:val="16"/>
                <w:szCs w:val="16"/>
              </w:rPr>
              <w:t>Approximately 50,000 Swiss francs in 2013</w:t>
            </w:r>
          </w:p>
        </w:tc>
      </w:tr>
      <w:tr w:rsidR="00362FE5" w:rsidRPr="00035F86" w:rsidTr="00DE1CE8">
        <w:trPr>
          <w:trHeight w:val="440"/>
        </w:trPr>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Reduction in annual network printing costs  </w:t>
            </w:r>
          </w:p>
        </w:tc>
        <w:tc>
          <w:tcPr>
            <w:tcW w:w="4678" w:type="dxa"/>
            <w:vAlign w:val="center"/>
          </w:tcPr>
          <w:p w:rsidR="00362FE5" w:rsidRPr="00035F86" w:rsidRDefault="00362FE5" w:rsidP="004C5DDE">
            <w:pPr>
              <w:rPr>
                <w:rFonts w:cs="Arial"/>
                <w:sz w:val="16"/>
                <w:szCs w:val="16"/>
              </w:rPr>
            </w:pPr>
            <w:r w:rsidRPr="00035F86">
              <w:rPr>
                <w:rFonts w:cs="Arial"/>
                <w:sz w:val="16"/>
                <w:szCs w:val="16"/>
              </w:rPr>
              <w:t>Savings of 100,000 Swiss francs in 2013</w:t>
            </w:r>
          </w:p>
        </w:tc>
      </w:tr>
      <w:tr w:rsidR="00362FE5" w:rsidRPr="00035F86" w:rsidTr="00DE1CE8">
        <w:trPr>
          <w:trHeight w:val="543"/>
        </w:trPr>
        <w:tc>
          <w:tcPr>
            <w:tcW w:w="4678" w:type="dxa"/>
            <w:vAlign w:val="center"/>
          </w:tcPr>
          <w:p w:rsidR="00362FE5" w:rsidRPr="00035F86" w:rsidRDefault="00362FE5" w:rsidP="004C5DDE">
            <w:pPr>
              <w:rPr>
                <w:rFonts w:cs="Arial"/>
                <w:sz w:val="16"/>
                <w:szCs w:val="16"/>
              </w:rPr>
            </w:pPr>
            <w:r w:rsidRPr="00035F86">
              <w:rPr>
                <w:rFonts w:cs="Arial"/>
                <w:sz w:val="16"/>
                <w:szCs w:val="16"/>
              </w:rPr>
              <w:t>Reduction in total mailing costs due to negotiations with external partners and improved business practices</w:t>
            </w:r>
          </w:p>
        </w:tc>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23% decrease in overall mailing costs </w:t>
            </w:r>
          </w:p>
        </w:tc>
      </w:tr>
      <w:tr w:rsidR="00362FE5" w:rsidRPr="00035F86" w:rsidTr="00DE1CE8">
        <w:trPr>
          <w:trHeight w:val="480"/>
        </w:trPr>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Reduction of actual expenditure on interns due to the rationalization of the internship program </w:t>
            </w:r>
          </w:p>
        </w:tc>
        <w:tc>
          <w:tcPr>
            <w:tcW w:w="4678" w:type="dxa"/>
            <w:vAlign w:val="center"/>
          </w:tcPr>
          <w:p w:rsidR="00362FE5" w:rsidRPr="00035F86" w:rsidRDefault="00362FE5" w:rsidP="004C5DDE">
            <w:pPr>
              <w:rPr>
                <w:rFonts w:cs="Arial"/>
                <w:sz w:val="16"/>
                <w:szCs w:val="16"/>
              </w:rPr>
            </w:pPr>
            <w:r w:rsidRPr="00035F86">
              <w:rPr>
                <w:rFonts w:cs="Arial"/>
                <w:sz w:val="16"/>
                <w:szCs w:val="16"/>
              </w:rPr>
              <w:t>305,000 Swiss francs in 2012/13</w:t>
            </w:r>
          </w:p>
        </w:tc>
      </w:tr>
      <w:tr w:rsidR="00362FE5" w:rsidRPr="00035F86" w:rsidTr="00DE1CE8">
        <w:trPr>
          <w:trHeight w:val="732"/>
        </w:trPr>
        <w:tc>
          <w:tcPr>
            <w:tcW w:w="4678" w:type="dxa"/>
            <w:vAlign w:val="center"/>
          </w:tcPr>
          <w:p w:rsidR="00362FE5" w:rsidRPr="00035F86" w:rsidRDefault="00362FE5" w:rsidP="004C5DDE">
            <w:pPr>
              <w:rPr>
                <w:rFonts w:cs="Arial"/>
                <w:sz w:val="16"/>
                <w:szCs w:val="16"/>
              </w:rPr>
            </w:pPr>
            <w:r w:rsidRPr="00035F86">
              <w:rPr>
                <w:rFonts w:cs="Arial"/>
                <w:sz w:val="16"/>
                <w:szCs w:val="16"/>
              </w:rPr>
              <w:t xml:space="preserve">Reduction of actual expenditure on SSAs due to the increased use of automated translation tools in particular in the PCT and Madrid Systems </w:t>
            </w:r>
          </w:p>
        </w:tc>
        <w:tc>
          <w:tcPr>
            <w:tcW w:w="4678" w:type="dxa"/>
            <w:vAlign w:val="center"/>
          </w:tcPr>
          <w:p w:rsidR="00362FE5" w:rsidRPr="00035F86" w:rsidRDefault="00362FE5" w:rsidP="004C5DDE">
            <w:pPr>
              <w:rPr>
                <w:rFonts w:cs="Arial"/>
                <w:sz w:val="16"/>
                <w:szCs w:val="16"/>
              </w:rPr>
            </w:pPr>
            <w:r w:rsidRPr="00035F86">
              <w:rPr>
                <w:rFonts w:cs="Arial"/>
                <w:sz w:val="16"/>
                <w:szCs w:val="16"/>
              </w:rPr>
              <w:t>1.5 million Swiss francs in 2012/13</w:t>
            </w:r>
          </w:p>
        </w:tc>
      </w:tr>
      <w:tr w:rsidR="00127BD8" w:rsidRPr="00035F86" w:rsidTr="00DE1CE8">
        <w:trPr>
          <w:trHeight w:val="525"/>
        </w:trPr>
        <w:tc>
          <w:tcPr>
            <w:tcW w:w="4678" w:type="dxa"/>
            <w:vAlign w:val="center"/>
          </w:tcPr>
          <w:p w:rsidR="00127BD8" w:rsidRPr="00035F86" w:rsidRDefault="00127BD8" w:rsidP="004C5DDE">
            <w:pPr>
              <w:rPr>
                <w:rFonts w:cs="Arial"/>
                <w:sz w:val="16"/>
                <w:szCs w:val="16"/>
              </w:rPr>
            </w:pPr>
            <w:r>
              <w:rPr>
                <w:rFonts w:cs="Arial"/>
                <w:sz w:val="16"/>
                <w:szCs w:val="16"/>
              </w:rPr>
              <w:t>Increased productivity of formalities examination</w:t>
            </w:r>
            <w:r w:rsidR="004B3FED">
              <w:rPr>
                <w:rFonts w:cs="Arial"/>
                <w:sz w:val="16"/>
                <w:szCs w:val="16"/>
              </w:rPr>
              <w:t xml:space="preserve"> (the ration between the number of PCT publications and the number of available staff)</w:t>
            </w:r>
            <w:r>
              <w:rPr>
                <w:rFonts w:cs="Arial"/>
                <w:sz w:val="16"/>
                <w:szCs w:val="16"/>
              </w:rPr>
              <w:t xml:space="preserve"> resulting from the automation of certain processes</w:t>
            </w:r>
          </w:p>
        </w:tc>
        <w:tc>
          <w:tcPr>
            <w:tcW w:w="4678" w:type="dxa"/>
            <w:vAlign w:val="center"/>
          </w:tcPr>
          <w:p w:rsidR="00127BD8" w:rsidRDefault="00EC1008" w:rsidP="004C5DDE">
            <w:pPr>
              <w:rPr>
                <w:rFonts w:cs="Arial"/>
                <w:sz w:val="16"/>
                <w:szCs w:val="16"/>
              </w:rPr>
            </w:pPr>
            <w:r>
              <w:rPr>
                <w:rFonts w:cs="Arial"/>
                <w:sz w:val="16"/>
                <w:szCs w:val="16"/>
              </w:rPr>
              <w:t>ten per cent</w:t>
            </w:r>
            <w:r w:rsidR="00127BD8">
              <w:rPr>
                <w:rFonts w:cs="Arial"/>
                <w:sz w:val="16"/>
                <w:szCs w:val="16"/>
              </w:rPr>
              <w:t xml:space="preserve"> increase between 2011 and 2012 and </w:t>
            </w:r>
          </w:p>
          <w:p w:rsidR="00127BD8" w:rsidRPr="00035F86" w:rsidRDefault="00127BD8" w:rsidP="004C5DDE">
            <w:pPr>
              <w:rPr>
                <w:rFonts w:cs="Arial"/>
                <w:sz w:val="16"/>
                <w:szCs w:val="16"/>
              </w:rPr>
            </w:pPr>
            <w:r>
              <w:rPr>
                <w:rFonts w:cs="Arial"/>
                <w:sz w:val="16"/>
                <w:szCs w:val="16"/>
              </w:rPr>
              <w:t>8% increase between 2012 and 2013</w:t>
            </w:r>
          </w:p>
        </w:tc>
      </w:tr>
      <w:tr w:rsidR="00362FE5" w:rsidRPr="00035F86" w:rsidTr="00DE1CE8">
        <w:trPr>
          <w:trHeight w:val="525"/>
        </w:trPr>
        <w:tc>
          <w:tcPr>
            <w:tcW w:w="4678" w:type="dxa"/>
            <w:vAlign w:val="center"/>
          </w:tcPr>
          <w:p w:rsidR="00362FE5" w:rsidRPr="00035F86" w:rsidRDefault="00362FE5" w:rsidP="004C5DDE">
            <w:pPr>
              <w:rPr>
                <w:rFonts w:cs="Arial"/>
                <w:sz w:val="16"/>
                <w:szCs w:val="16"/>
              </w:rPr>
            </w:pPr>
            <w:r w:rsidRPr="00035F86">
              <w:rPr>
                <w:rFonts w:cs="Arial"/>
                <w:sz w:val="16"/>
                <w:szCs w:val="16"/>
              </w:rPr>
              <w:t>Improved timeliness of formalities examination of PCT international applications</w:t>
            </w:r>
          </w:p>
        </w:tc>
        <w:tc>
          <w:tcPr>
            <w:tcW w:w="4678" w:type="dxa"/>
            <w:vAlign w:val="center"/>
          </w:tcPr>
          <w:p w:rsidR="00362FE5" w:rsidRPr="00035F86" w:rsidRDefault="00362FE5" w:rsidP="004C5DDE">
            <w:pPr>
              <w:rPr>
                <w:rFonts w:cs="Arial"/>
                <w:sz w:val="16"/>
                <w:szCs w:val="16"/>
              </w:rPr>
            </w:pPr>
            <w:r w:rsidRPr="00035F86">
              <w:rPr>
                <w:rFonts w:cs="Arial"/>
                <w:sz w:val="16"/>
                <w:szCs w:val="16"/>
              </w:rPr>
              <w:t>82.58% completion rate within 3 weeks from receipt in 2013 against 69.46% in 2012</w:t>
            </w:r>
          </w:p>
        </w:tc>
      </w:tr>
      <w:tr w:rsidR="00362FE5" w:rsidRPr="00035F86" w:rsidTr="00DE1CE8">
        <w:trPr>
          <w:trHeight w:val="516"/>
        </w:trPr>
        <w:tc>
          <w:tcPr>
            <w:tcW w:w="4678" w:type="dxa"/>
            <w:vAlign w:val="center"/>
          </w:tcPr>
          <w:p w:rsidR="00362FE5" w:rsidRPr="00035F86" w:rsidRDefault="00362FE5" w:rsidP="004C5DDE">
            <w:pPr>
              <w:rPr>
                <w:rFonts w:cs="Arial"/>
                <w:sz w:val="16"/>
                <w:szCs w:val="16"/>
              </w:rPr>
            </w:pPr>
            <w:r w:rsidRPr="00035F86">
              <w:rPr>
                <w:rFonts w:cs="Arial"/>
                <w:sz w:val="16"/>
                <w:szCs w:val="16"/>
              </w:rPr>
              <w:t>Reduction in costs following the re-negotiation of contracts for the physical archiving and transportation of PCT files</w:t>
            </w:r>
          </w:p>
        </w:tc>
        <w:tc>
          <w:tcPr>
            <w:tcW w:w="4678" w:type="dxa"/>
            <w:vAlign w:val="center"/>
          </w:tcPr>
          <w:p w:rsidR="00362FE5" w:rsidRPr="00035F86" w:rsidRDefault="00362FE5" w:rsidP="004C5DDE">
            <w:pPr>
              <w:rPr>
                <w:rFonts w:cs="Arial"/>
                <w:sz w:val="16"/>
                <w:szCs w:val="16"/>
              </w:rPr>
            </w:pPr>
            <w:r w:rsidRPr="00035F86">
              <w:rPr>
                <w:rFonts w:cs="Arial"/>
                <w:sz w:val="16"/>
                <w:szCs w:val="16"/>
              </w:rPr>
              <w:t>From 217,000 Swiss francs per year to 37,500 000 Swiss francs per year</w:t>
            </w:r>
          </w:p>
        </w:tc>
      </w:tr>
      <w:tr w:rsidR="00362FE5" w:rsidRPr="00035F86" w:rsidTr="00DE1CE8">
        <w:trPr>
          <w:trHeight w:val="660"/>
        </w:trPr>
        <w:tc>
          <w:tcPr>
            <w:tcW w:w="4678" w:type="dxa"/>
            <w:vAlign w:val="center"/>
          </w:tcPr>
          <w:p w:rsidR="00362FE5" w:rsidRPr="00035F86" w:rsidRDefault="00362FE5" w:rsidP="004C5DDE">
            <w:pPr>
              <w:rPr>
                <w:rFonts w:cs="Arial"/>
                <w:sz w:val="16"/>
                <w:szCs w:val="16"/>
              </w:rPr>
            </w:pPr>
            <w:r w:rsidRPr="00035F86">
              <w:rPr>
                <w:rFonts w:cs="Arial"/>
                <w:sz w:val="16"/>
                <w:szCs w:val="16"/>
              </w:rPr>
              <w:t>Cost saving resulting from the automation of translation in Madrid Operations</w:t>
            </w:r>
          </w:p>
        </w:tc>
        <w:tc>
          <w:tcPr>
            <w:tcW w:w="4678" w:type="dxa"/>
            <w:vAlign w:val="center"/>
          </w:tcPr>
          <w:p w:rsidR="00362FE5" w:rsidRPr="00035F86" w:rsidRDefault="00362FE5" w:rsidP="004C5DDE">
            <w:pPr>
              <w:rPr>
                <w:rFonts w:cs="Arial"/>
                <w:sz w:val="16"/>
                <w:szCs w:val="16"/>
              </w:rPr>
            </w:pPr>
            <w:r w:rsidRPr="00035F86">
              <w:rPr>
                <w:rFonts w:cs="Arial"/>
                <w:sz w:val="16"/>
                <w:szCs w:val="16"/>
              </w:rPr>
              <w:t>7.4% decrease in unit cost per application</w:t>
            </w:r>
            <w:r>
              <w:rPr>
                <w:rFonts w:cs="Arial"/>
                <w:sz w:val="16"/>
                <w:szCs w:val="16"/>
              </w:rPr>
              <w:t xml:space="preserve"> from 2012 to 2013</w:t>
            </w:r>
          </w:p>
        </w:tc>
      </w:tr>
    </w:tbl>
    <w:p w:rsidR="00362FE5" w:rsidRPr="00CF558F" w:rsidRDefault="00362FE5" w:rsidP="00362FE5">
      <w:pPr>
        <w:rPr>
          <w:rFonts w:eastAsiaTheme="minorHAnsi" w:cs="Arial"/>
          <w:sz w:val="22"/>
          <w:szCs w:val="22"/>
        </w:rPr>
      </w:pPr>
    </w:p>
    <w:p w:rsidR="00B06EC8" w:rsidRDefault="00B06EC8">
      <w:r>
        <w:br w:type="page"/>
      </w:r>
    </w:p>
    <w:p w:rsidR="00362FE5" w:rsidRDefault="00362FE5"/>
    <w:p w:rsidR="00145892" w:rsidRDefault="00145892" w:rsidP="001525FC">
      <w:pPr>
        <w:pStyle w:val="Heading1"/>
      </w:pPr>
      <w:bookmarkStart w:id="14" w:name="_Toc301357240"/>
      <w:bookmarkStart w:id="15" w:name="_Toc393956040"/>
      <w:r>
        <w:t>PROGRAM ACHIEVEMENTS BY STRATEGIC GOAL</w:t>
      </w:r>
      <w:bookmarkEnd w:id="15"/>
    </w:p>
    <w:p w:rsidR="000B2E9F" w:rsidRPr="000B2E9F" w:rsidRDefault="000B2E9F" w:rsidP="000B2E9F"/>
    <w:p w:rsidR="00582788" w:rsidRDefault="000B2E9F" w:rsidP="00CF5213">
      <w:pPr>
        <w:pStyle w:val="Heading2"/>
      </w:pPr>
      <w:bookmarkStart w:id="16" w:name="_Toc310951132"/>
      <w:bookmarkStart w:id="17" w:name="_Toc393956041"/>
      <w:bookmarkEnd w:id="14"/>
      <w:r w:rsidRPr="00A522FE">
        <w:t xml:space="preserve">STRATEGIC GOAL </w:t>
      </w:r>
      <w:proofErr w:type="gramStart"/>
      <w:r w:rsidRPr="00A522FE">
        <w:t xml:space="preserve">I  </w:t>
      </w:r>
      <w:proofErr w:type="gramEnd"/>
      <w:r w:rsidRPr="00A522FE">
        <w:br/>
        <w:t xml:space="preserve">Balanced Evolution of the International </w:t>
      </w:r>
      <w:r w:rsidR="00EE0B22">
        <w:br/>
      </w:r>
      <w:r w:rsidRPr="00A522FE">
        <w:t>Normative Framework for IP</w:t>
      </w:r>
      <w:bookmarkEnd w:id="16"/>
      <w:bookmarkEnd w:id="17"/>
    </w:p>
    <w:p w:rsidR="00CF5213" w:rsidRDefault="00CF5213" w:rsidP="00582788"/>
    <w:p w:rsidR="00DC2CFA" w:rsidRDefault="00DC2CFA" w:rsidP="00CF5213">
      <w:pPr>
        <w:jc w:val="center"/>
      </w:pPr>
    </w:p>
    <w:p w:rsidR="00DC2CFA" w:rsidRDefault="00DC2CFA" w:rsidP="00CF5213">
      <w:pPr>
        <w:jc w:val="center"/>
      </w:pPr>
    </w:p>
    <w:p w:rsidR="00582788" w:rsidRPr="000B2E9F" w:rsidRDefault="00145892" w:rsidP="00CF5213">
      <w:pPr>
        <w:jc w:val="center"/>
      </w:pPr>
      <w:r w:rsidRPr="000B2E9F">
        <w:t>BIENNIAL PERFORMANCE DASHBOARD</w:t>
      </w:r>
    </w:p>
    <w:p w:rsidR="00145892" w:rsidRPr="00A522FE" w:rsidRDefault="00145892" w:rsidP="001525FC">
      <w:pPr>
        <w:jc w:val="center"/>
      </w:pPr>
    </w:p>
    <w:p w:rsidR="00145892" w:rsidRDefault="00145892" w:rsidP="00145892">
      <w:pPr>
        <w:autoSpaceDE w:val="0"/>
        <w:autoSpaceDN w:val="0"/>
        <w:adjustRightInd w:val="0"/>
        <w:jc w:val="both"/>
        <w:rPr>
          <w:rFonts w:cs="Arial"/>
        </w:rPr>
      </w:pPr>
      <w:r>
        <w:rPr>
          <w:rFonts w:cs="Arial"/>
        </w:rPr>
        <w:t xml:space="preserve">The dashboard </w:t>
      </w:r>
      <w:r w:rsidR="006A1795">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555AFA" w:rsidRDefault="00555AFA" w:rsidP="00145892">
      <w:pPr>
        <w:autoSpaceDE w:val="0"/>
        <w:autoSpaceDN w:val="0"/>
        <w:adjustRightInd w:val="0"/>
        <w:jc w:val="both"/>
        <w:rPr>
          <w:rFonts w:cs="Arial"/>
        </w:rPr>
      </w:pPr>
    </w:p>
    <w:p w:rsidR="00555AFA" w:rsidRDefault="00555AFA" w:rsidP="00145892">
      <w:pPr>
        <w:autoSpaceDE w:val="0"/>
        <w:autoSpaceDN w:val="0"/>
        <w:adjustRightInd w:val="0"/>
        <w:jc w:val="both"/>
        <w:rPr>
          <w:rFonts w:cs="Arial"/>
        </w:rPr>
      </w:pPr>
    </w:p>
    <w:p w:rsidR="00555AFA" w:rsidRDefault="004D3186" w:rsidP="00555AFA">
      <w:pPr>
        <w:autoSpaceDE w:val="0"/>
        <w:autoSpaceDN w:val="0"/>
        <w:adjustRightInd w:val="0"/>
        <w:jc w:val="center"/>
        <w:rPr>
          <w:rFonts w:cs="Arial"/>
        </w:rPr>
      </w:pPr>
      <w:r>
        <w:rPr>
          <w:noProof/>
        </w:rPr>
        <w:drawing>
          <wp:inline distT="0" distB="0" distL="0" distR="0" wp14:anchorId="35017A9C" wp14:editId="14C98ACB">
            <wp:extent cx="4281714" cy="2357764"/>
            <wp:effectExtent l="0" t="0" r="508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pic:cNvPicPr>
                      <a:picLocks noChangeAspect="1"/>
                    </pic:cNvPicPr>
                  </pic:nvPicPr>
                  <pic:blipFill>
                    <a:blip r:embed="rId32"/>
                    <a:stretch>
                      <a:fillRect/>
                    </a:stretch>
                  </pic:blipFill>
                  <pic:spPr>
                    <a:xfrm>
                      <a:off x="0" y="0"/>
                      <a:ext cx="4287321" cy="2360852"/>
                    </a:xfrm>
                    <a:prstGeom prst="rect">
                      <a:avLst/>
                    </a:prstGeom>
                  </pic:spPr>
                </pic:pic>
              </a:graphicData>
            </a:graphic>
          </wp:inline>
        </w:drawing>
      </w:r>
    </w:p>
    <w:p w:rsidR="00DC2CFA" w:rsidRPr="00FA331B" w:rsidRDefault="00DC2CFA" w:rsidP="00555AFA">
      <w:pPr>
        <w:autoSpaceDE w:val="0"/>
        <w:autoSpaceDN w:val="0"/>
        <w:adjustRightInd w:val="0"/>
        <w:jc w:val="center"/>
        <w:rPr>
          <w:rFonts w:cs="Arial"/>
        </w:rPr>
      </w:pPr>
    </w:p>
    <w:p w:rsidR="00145892" w:rsidRDefault="00145892" w:rsidP="00145892">
      <w:pPr>
        <w:tabs>
          <w:tab w:val="left" w:pos="0"/>
        </w:tabs>
        <w:rPr>
          <w:rFonts w:cs="Arial"/>
          <w:i/>
          <w:sz w:val="22"/>
          <w:szCs w:val="22"/>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99"/>
        <w:gridCol w:w="3284"/>
        <w:gridCol w:w="1238"/>
        <w:gridCol w:w="1445"/>
      </w:tblGrid>
      <w:tr w:rsidR="00DC2CFA" w:rsidRPr="00680A69" w:rsidTr="000B4241">
        <w:trPr>
          <w:tblHeader/>
        </w:trPr>
        <w:tc>
          <w:tcPr>
            <w:tcW w:w="3399" w:type="dxa"/>
            <w:tcBorders>
              <w:top w:val="single" w:sz="4" w:space="0" w:color="auto"/>
              <w:bottom w:val="single" w:sz="4" w:space="0" w:color="auto"/>
            </w:tcBorders>
            <w:shd w:val="clear" w:color="auto" w:fill="CCFFFF"/>
            <w:vAlign w:val="center"/>
          </w:tcPr>
          <w:p w:rsidR="00DC2CFA" w:rsidRPr="008869AE" w:rsidRDefault="00DC2CFA" w:rsidP="000B4241">
            <w:pPr>
              <w:spacing w:before="120" w:after="120"/>
              <w:rPr>
                <w:rFonts w:cs="Arial"/>
                <w:b/>
                <w:bCs/>
                <w:sz w:val="14"/>
                <w:szCs w:val="14"/>
              </w:rPr>
            </w:pPr>
            <w:r w:rsidRPr="008869AE">
              <w:rPr>
                <w:rFonts w:cs="Arial"/>
                <w:b/>
                <w:bCs/>
                <w:sz w:val="14"/>
                <w:szCs w:val="14"/>
              </w:rPr>
              <w:t>Expected Results</w:t>
            </w:r>
          </w:p>
        </w:tc>
        <w:tc>
          <w:tcPr>
            <w:tcW w:w="3284" w:type="dxa"/>
            <w:tcBorders>
              <w:top w:val="single" w:sz="4" w:space="0" w:color="auto"/>
              <w:bottom w:val="single" w:sz="4" w:space="0" w:color="auto"/>
            </w:tcBorders>
            <w:shd w:val="clear" w:color="auto" w:fill="CCFFFF"/>
            <w:vAlign w:val="center"/>
          </w:tcPr>
          <w:p w:rsidR="00DC2CFA" w:rsidRPr="008869AE" w:rsidRDefault="00DC2CFA" w:rsidP="000B4241">
            <w:pPr>
              <w:spacing w:before="120" w:after="120"/>
              <w:rPr>
                <w:rFonts w:cs="Arial"/>
                <w:b/>
                <w:bCs/>
                <w:sz w:val="14"/>
                <w:szCs w:val="14"/>
              </w:rPr>
            </w:pPr>
            <w:r w:rsidRPr="008869AE">
              <w:rPr>
                <w:rFonts w:cs="Arial"/>
                <w:b/>
                <w:bCs/>
                <w:sz w:val="14"/>
                <w:szCs w:val="14"/>
              </w:rPr>
              <w:t>Performance Indicators</w:t>
            </w:r>
          </w:p>
        </w:tc>
        <w:tc>
          <w:tcPr>
            <w:tcW w:w="1238" w:type="dxa"/>
            <w:tcBorders>
              <w:top w:val="single" w:sz="4" w:space="0" w:color="auto"/>
              <w:bottom w:val="single" w:sz="4" w:space="0" w:color="auto"/>
            </w:tcBorders>
            <w:shd w:val="clear" w:color="auto" w:fill="CCFFFF"/>
            <w:vAlign w:val="center"/>
          </w:tcPr>
          <w:p w:rsidR="00DC2CFA" w:rsidRPr="008869AE" w:rsidRDefault="00DC2CFA" w:rsidP="000B4241">
            <w:pPr>
              <w:spacing w:before="120" w:after="120"/>
              <w:jc w:val="center"/>
              <w:rPr>
                <w:rFonts w:cs="Arial"/>
                <w:b/>
                <w:bCs/>
                <w:sz w:val="14"/>
                <w:szCs w:val="14"/>
              </w:rPr>
            </w:pPr>
            <w:r w:rsidRPr="008869AE">
              <w:rPr>
                <w:rFonts w:cs="Arial"/>
                <w:b/>
                <w:bCs/>
                <w:sz w:val="14"/>
                <w:szCs w:val="14"/>
              </w:rPr>
              <w:t>Responsible Program(s)</w:t>
            </w:r>
          </w:p>
        </w:tc>
        <w:tc>
          <w:tcPr>
            <w:tcW w:w="1445" w:type="dxa"/>
            <w:tcBorders>
              <w:top w:val="single" w:sz="4" w:space="0" w:color="auto"/>
              <w:bottom w:val="single" w:sz="4" w:space="0" w:color="auto"/>
            </w:tcBorders>
            <w:shd w:val="clear" w:color="auto" w:fill="CCFFFF"/>
            <w:vAlign w:val="center"/>
          </w:tcPr>
          <w:p w:rsidR="00DC2CFA" w:rsidRPr="008869AE" w:rsidRDefault="00DC2CFA" w:rsidP="000B4241">
            <w:pPr>
              <w:spacing w:before="120" w:after="120"/>
              <w:jc w:val="center"/>
              <w:rPr>
                <w:rFonts w:cs="Arial"/>
                <w:b/>
                <w:bCs/>
                <w:sz w:val="14"/>
                <w:szCs w:val="14"/>
              </w:rPr>
            </w:pPr>
            <w:r w:rsidRPr="008869AE">
              <w:rPr>
                <w:rFonts w:cs="Arial"/>
                <w:b/>
                <w:bCs/>
                <w:sz w:val="14"/>
                <w:szCs w:val="14"/>
              </w:rPr>
              <w:t>TLS</w:t>
            </w:r>
          </w:p>
        </w:tc>
      </w:tr>
      <w:tr w:rsidR="00DC2CFA" w:rsidRPr="00680A69" w:rsidTr="000B4241">
        <w:tc>
          <w:tcPr>
            <w:tcW w:w="3399" w:type="dxa"/>
            <w:vMerge w:val="restart"/>
            <w:tcBorders>
              <w:top w:val="single" w:sz="4" w:space="0" w:color="auto"/>
            </w:tcBorders>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Enhanced cooperation/ greater consensus among Member States on further developing balanced policy and normative frameworks for the international patent system, trademarks, industrial designs, geographical indications, copyright, related rights, TK, TCEs and GRs</w:t>
            </w:r>
          </w:p>
        </w:tc>
        <w:tc>
          <w:tcPr>
            <w:tcW w:w="3284" w:type="dxa"/>
            <w:tcBorders>
              <w:top w:val="single" w:sz="4" w:space="0" w:color="auto"/>
            </w:tcBorders>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Progress on the implementation of SCP agreed steps/plans</w:t>
            </w:r>
          </w:p>
        </w:tc>
        <w:tc>
          <w:tcPr>
            <w:tcW w:w="1238" w:type="dxa"/>
            <w:tcBorders>
              <w:top w:val="single" w:sz="4" w:space="0" w:color="auto"/>
            </w:tcBorders>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1</w:t>
            </w:r>
          </w:p>
        </w:tc>
        <w:tc>
          <w:tcPr>
            <w:tcW w:w="1445" w:type="dxa"/>
            <w:tcBorders>
              <w:top w:val="single" w:sz="4" w:space="0" w:color="auto"/>
            </w:tcBorders>
          </w:tcPr>
          <w:p w:rsidR="00DC2CFA" w:rsidRPr="004A7442" w:rsidRDefault="00DC2CFA" w:rsidP="000B4241">
            <w:pPr>
              <w:spacing w:before="20"/>
              <w:jc w:val="center"/>
              <w:rPr>
                <w:rFonts w:cs="Arial"/>
                <w:b/>
                <w:color w:val="008000"/>
                <w:sz w:val="22"/>
                <w:szCs w:val="22"/>
              </w:rPr>
            </w:pPr>
            <w:r w:rsidRPr="004A7442">
              <w:rPr>
                <w:rFonts w:cs="Arial"/>
                <w:color w:val="008000"/>
                <w:sz w:val="22"/>
                <w:szCs w:val="22"/>
              </w:rPr>
              <w:sym w:font="Wingdings" w:char="F06C"/>
            </w:r>
          </w:p>
        </w:tc>
      </w:tr>
      <w:tr w:rsidR="00DC2CFA" w:rsidRPr="00680A69" w:rsidTr="000B4241">
        <w:tc>
          <w:tcPr>
            <w:tcW w:w="3399" w:type="dxa"/>
            <w:vMerge/>
            <w:shd w:val="clear" w:color="auto" w:fill="auto"/>
            <w:tcMar>
              <w:top w:w="113" w:type="dxa"/>
            </w:tcMar>
          </w:tcPr>
          <w:p w:rsidR="00DC2CFA" w:rsidRPr="008869AE" w:rsidRDefault="00DC2CFA" w:rsidP="000B4241">
            <w:pPr>
              <w:spacing w:before="8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 xml:space="preserve">International agreement on a normative framework for Industrial Designs </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b/>
                <w:color w:val="E36C0A" w:themeColor="accent6" w:themeShade="BF"/>
                <w:sz w:val="22"/>
                <w:szCs w:val="22"/>
              </w:rPr>
            </w:pPr>
            <w:r w:rsidRPr="004A7442">
              <w:rPr>
                <w:rFonts w:cs="Arial"/>
                <w:color w:val="E36C0A" w:themeColor="accent6" w:themeShade="BF"/>
                <w:sz w:val="22"/>
                <w:szCs w:val="22"/>
              </w:rPr>
              <w:sym w:font="Wingdings" w:char="F06C"/>
            </w:r>
          </w:p>
        </w:tc>
      </w:tr>
      <w:tr w:rsidR="00DC2CFA" w:rsidRPr="00680A69" w:rsidTr="000B4241">
        <w:tc>
          <w:tcPr>
            <w:tcW w:w="3399" w:type="dxa"/>
            <w:vMerge/>
            <w:shd w:val="clear" w:color="auto" w:fill="auto"/>
            <w:tcMar>
              <w:top w:w="113" w:type="dxa"/>
            </w:tcMar>
          </w:tcPr>
          <w:p w:rsidR="00DC2CFA" w:rsidRPr="008869AE" w:rsidRDefault="00DC2CFA" w:rsidP="000B4241">
            <w:pPr>
              <w:spacing w:before="8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Progress towards agreement on current issues on the SCT Agenda</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b/>
                <w:color w:val="10862C"/>
                <w:sz w:val="22"/>
                <w:szCs w:val="22"/>
              </w:rPr>
            </w:pPr>
            <w:r w:rsidRPr="004A7442">
              <w:rPr>
                <w:rFonts w:cs="Arial"/>
                <w:color w:val="10862C"/>
                <w:sz w:val="22"/>
                <w:szCs w:val="22"/>
              </w:rPr>
              <w:sym w:font="Wingdings" w:char="F06C"/>
            </w:r>
          </w:p>
        </w:tc>
      </w:tr>
      <w:tr w:rsidR="00DC2CFA" w:rsidRPr="00680A69" w:rsidTr="000B4241">
        <w:tc>
          <w:tcPr>
            <w:tcW w:w="3399" w:type="dxa"/>
            <w:vMerge/>
            <w:shd w:val="clear" w:color="auto" w:fill="auto"/>
            <w:tcMar>
              <w:top w:w="113" w:type="dxa"/>
            </w:tcMar>
          </w:tcPr>
          <w:p w:rsidR="00DC2CFA" w:rsidRPr="008869AE" w:rsidRDefault="00DC2CFA" w:rsidP="000B4241">
            <w:pPr>
              <w:spacing w:before="8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Conclusions agreed by Member States in each session of the SCCR</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spacing w:before="20"/>
              <w:jc w:val="center"/>
              <w:rPr>
                <w:rFonts w:cs="Arial"/>
                <w:b/>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Progress towards agreement on current issues on the SCCR agenda</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spacing w:before="20"/>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Progress in the IGC’s negotiations towards development of an  international legal instrument(s)</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4</w:t>
            </w:r>
          </w:p>
        </w:tc>
        <w:tc>
          <w:tcPr>
            <w:tcW w:w="1445" w:type="dxa"/>
          </w:tcPr>
          <w:p w:rsidR="00DC2CFA" w:rsidRPr="004A7442" w:rsidRDefault="00DC2CFA" w:rsidP="000B4241">
            <w:pPr>
              <w:spacing w:before="20"/>
              <w:jc w:val="center"/>
              <w:rPr>
                <w:rFonts w:cs="Arial"/>
                <w:sz w:val="22"/>
                <w:szCs w:val="22"/>
              </w:rPr>
            </w:pPr>
            <w:r w:rsidRPr="004A7442">
              <w:rPr>
                <w:rFonts w:cs="Arial"/>
                <w:color w:val="E36C0A" w:themeColor="accent6" w:themeShade="BF"/>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 xml:space="preserve">Work initiated by the SCT on Geographical Indications (GIs)  </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sz w:val="22"/>
                <w:szCs w:val="22"/>
              </w:rPr>
            </w:pPr>
            <w:r w:rsidRPr="004A7442">
              <w:rPr>
                <w:rFonts w:cs="Arial"/>
                <w:color w:val="E36C0A" w:themeColor="accent6" w:themeShade="BF"/>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of ratifications/accessions to the Singapore Treaty</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sz w:val="22"/>
                <w:szCs w:val="22"/>
              </w:rPr>
            </w:pPr>
            <w:r w:rsidRPr="004A7442">
              <w:rPr>
                <w:rFonts w:cs="Arial"/>
                <w:color w:val="E36C0A" w:themeColor="accent6" w:themeShade="BF"/>
                <w:sz w:val="22"/>
                <w:szCs w:val="22"/>
              </w:rPr>
              <w:sym w:font="Wingdings" w:char="F06C"/>
            </w:r>
          </w:p>
        </w:tc>
      </w:tr>
      <w:tr w:rsidR="00DC2CFA" w:rsidRPr="00680A69" w:rsidTr="000B4241">
        <w:tc>
          <w:tcPr>
            <w:tcW w:w="3399" w:type="dxa"/>
            <w:vMerge w:val="restart"/>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Increased protection of State emblems and names and emblems of International Intergovernmental Organizations</w:t>
            </w: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of requests for communication under Article 6</w:t>
            </w:r>
            <w:r w:rsidRPr="008869AE">
              <w:rPr>
                <w:rFonts w:cs="Arial"/>
                <w:i/>
                <w:iCs/>
                <w:sz w:val="14"/>
                <w:szCs w:val="14"/>
              </w:rPr>
              <w:t>ter</w:t>
            </w:r>
            <w:r w:rsidRPr="008869AE">
              <w:rPr>
                <w:rFonts w:cs="Arial"/>
                <w:sz w:val="14"/>
                <w:szCs w:val="14"/>
              </w:rPr>
              <w:t xml:space="preserve"> Paris Convention dealt with</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vMerge/>
            <w:shd w:val="clear" w:color="auto" w:fill="auto"/>
            <w:tcMar>
              <w:top w:w="113" w:type="dxa"/>
            </w:tcMar>
          </w:tcPr>
          <w:p w:rsidR="00DC2CFA" w:rsidRPr="008869AE" w:rsidRDefault="00DC2CFA" w:rsidP="000B4241">
            <w:pPr>
              <w:spacing w:before="8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of signs published in Article 6</w:t>
            </w:r>
            <w:r w:rsidRPr="00D853FF">
              <w:rPr>
                <w:rFonts w:cs="Arial"/>
                <w:i/>
                <w:sz w:val="14"/>
                <w:szCs w:val="14"/>
              </w:rPr>
              <w:t>ter</w:t>
            </w:r>
            <w:r w:rsidRPr="008869AE">
              <w:rPr>
                <w:rFonts w:cs="Arial"/>
                <w:sz w:val="14"/>
                <w:szCs w:val="14"/>
              </w:rPr>
              <w:t xml:space="preserve"> database</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rPr>
                <w:rFonts w:cs="Arial"/>
                <w:color w:val="000000"/>
                <w:sz w:val="14"/>
                <w:szCs w:val="14"/>
              </w:rPr>
            </w:pPr>
          </w:p>
        </w:tc>
        <w:tc>
          <w:tcPr>
            <w:tcW w:w="3284" w:type="dxa"/>
            <w:shd w:val="clear" w:color="auto" w:fill="auto"/>
            <w:tcMar>
              <w:top w:w="113" w:type="dxa"/>
            </w:tcMar>
          </w:tcPr>
          <w:p w:rsidR="00DC2CFA" w:rsidRPr="008869AE" w:rsidRDefault="00DC2CFA" w:rsidP="000B4241">
            <w:pPr>
              <w:spacing w:before="80"/>
              <w:rPr>
                <w:rFonts w:cs="Arial"/>
                <w:color w:val="000000"/>
                <w:sz w:val="14"/>
                <w:szCs w:val="14"/>
              </w:rPr>
            </w:pPr>
            <w:r w:rsidRPr="008869AE">
              <w:rPr>
                <w:rFonts w:cs="Arial"/>
                <w:color w:val="000000"/>
                <w:sz w:val="14"/>
                <w:szCs w:val="14"/>
              </w:rPr>
              <w:t xml:space="preserve">Comprehensive </w:t>
            </w:r>
            <w:r w:rsidRPr="008869AE">
              <w:rPr>
                <w:rFonts w:cs="Arial"/>
                <w:sz w:val="14"/>
                <w:szCs w:val="14"/>
              </w:rPr>
              <w:t>guidelines</w:t>
            </w:r>
            <w:r w:rsidRPr="008869AE">
              <w:rPr>
                <w:rFonts w:cs="Arial"/>
                <w:color w:val="000000"/>
                <w:sz w:val="14"/>
                <w:szCs w:val="14"/>
              </w:rPr>
              <w:t xml:space="preserve"> for the application of Article 6</w:t>
            </w:r>
            <w:r w:rsidRPr="008869AE">
              <w:rPr>
                <w:rFonts w:cs="Arial"/>
                <w:i/>
                <w:iCs/>
                <w:color w:val="000000"/>
                <w:sz w:val="14"/>
                <w:szCs w:val="14"/>
              </w:rPr>
              <w:t>ter</w:t>
            </w:r>
            <w:r w:rsidR="00DE1CE8">
              <w:rPr>
                <w:rFonts w:cs="Arial"/>
                <w:i/>
                <w:iCs/>
                <w:color w:val="000000"/>
                <w:sz w:val="14"/>
                <w:szCs w:val="14"/>
              </w:rPr>
              <w:br/>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2</w:t>
            </w:r>
          </w:p>
        </w:tc>
        <w:tc>
          <w:tcPr>
            <w:tcW w:w="1445" w:type="dxa"/>
          </w:tcPr>
          <w:p w:rsidR="00DC2CFA" w:rsidRPr="004A7442" w:rsidRDefault="00DC2CFA" w:rsidP="000B4241">
            <w:pPr>
              <w:spacing w:before="20"/>
              <w:jc w:val="center"/>
              <w:rPr>
                <w:rFonts w:cs="Arial"/>
                <w:sz w:val="22"/>
                <w:szCs w:val="22"/>
              </w:rPr>
            </w:pPr>
            <w:r w:rsidRPr="004A7442">
              <w:rPr>
                <w:rFonts w:cs="Arial"/>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lastRenderedPageBreak/>
              <w:t>Evidence-based decision making on copyright issues</w:t>
            </w:r>
          </w:p>
        </w:tc>
        <w:tc>
          <w:tcPr>
            <w:tcW w:w="3284" w:type="dxa"/>
            <w:shd w:val="clear" w:color="auto" w:fill="auto"/>
            <w:tcMar>
              <w:top w:w="113" w:type="dxa"/>
            </w:tcMar>
          </w:tcPr>
          <w:p w:rsidR="00DC2CFA" w:rsidRPr="008869AE" w:rsidRDefault="00DC2CFA" w:rsidP="000B4241">
            <w:pPr>
              <w:spacing w:before="80"/>
              <w:rPr>
                <w:rFonts w:cs="Arial"/>
                <w:color w:val="000000"/>
                <w:sz w:val="14"/>
                <w:szCs w:val="14"/>
              </w:rPr>
            </w:pPr>
            <w:r w:rsidRPr="008869AE">
              <w:rPr>
                <w:rFonts w:cs="Arial"/>
                <w:color w:val="000000"/>
                <w:sz w:val="14"/>
                <w:szCs w:val="14"/>
              </w:rPr>
              <w:t xml:space="preserve">No. of follow-up requests for specific studies </w:t>
            </w:r>
            <w:r w:rsidRPr="008869AE">
              <w:rPr>
                <w:rFonts w:cs="Arial"/>
                <w:sz w:val="14"/>
                <w:szCs w:val="14"/>
              </w:rPr>
              <w:t>or</w:t>
            </w:r>
            <w:r w:rsidRPr="008869AE">
              <w:rPr>
                <w:rFonts w:cs="Arial"/>
                <w:color w:val="000000"/>
                <w:sz w:val="14"/>
                <w:szCs w:val="14"/>
              </w:rPr>
              <w:t xml:space="preserve"> guidance on activities contributing to  policy decision </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color w:val="000000"/>
                <w:sz w:val="14"/>
                <w:szCs w:val="14"/>
              </w:rPr>
            </w:pPr>
            <w:r w:rsidRPr="008869AE">
              <w:rPr>
                <w:rFonts w:cs="Arial"/>
                <w:color w:val="000000"/>
                <w:sz w:val="14"/>
                <w:szCs w:val="14"/>
              </w:rPr>
              <w:t xml:space="preserve">No. </w:t>
            </w:r>
            <w:r w:rsidRPr="008869AE">
              <w:rPr>
                <w:rFonts w:cs="Arial"/>
                <w:sz w:val="14"/>
                <w:szCs w:val="14"/>
              </w:rPr>
              <w:t>of</w:t>
            </w:r>
            <w:r w:rsidRPr="008869AE">
              <w:rPr>
                <w:rFonts w:cs="Arial"/>
                <w:color w:val="000000"/>
                <w:sz w:val="14"/>
                <w:szCs w:val="14"/>
              </w:rPr>
              <w:t xml:space="preserve"> countries using WIPO studies on their creative industries for developing creative industry strategies</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color w:val="000000"/>
                <w:sz w:val="14"/>
                <w:szCs w:val="14"/>
              </w:rPr>
            </w:pPr>
            <w:r w:rsidRPr="008869AE">
              <w:rPr>
                <w:rFonts w:cs="Arial"/>
                <w:color w:val="000000"/>
                <w:sz w:val="14"/>
                <w:szCs w:val="14"/>
              </w:rPr>
              <w:t xml:space="preserve">No. of </w:t>
            </w:r>
            <w:r w:rsidRPr="008869AE">
              <w:rPr>
                <w:rFonts w:cs="Arial"/>
                <w:sz w:val="14"/>
                <w:szCs w:val="14"/>
              </w:rPr>
              <w:t>downloads</w:t>
            </w:r>
            <w:r w:rsidRPr="008869AE">
              <w:rPr>
                <w:rFonts w:cs="Arial"/>
                <w:color w:val="000000"/>
                <w:sz w:val="14"/>
                <w:szCs w:val="14"/>
              </w:rPr>
              <w:t xml:space="preserve">, requests and distribution of WIPO tools for management of copyright in specific creative industries </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 xml:space="preserve">Tailored and balanced IP legislative, regulatory and policy frameworks  </w:t>
            </w: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of countries that have initiated legislative reform in the area of copyright and related rights</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3</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80"/>
              <w:rPr>
                <w:rFonts w:cs="Arial"/>
                <w:sz w:val="14"/>
                <w:szCs w:val="14"/>
              </w:rPr>
            </w:pPr>
            <w:r w:rsidRPr="008869AE">
              <w:rPr>
                <w:rFonts w:cs="Arial"/>
                <w:sz w:val="14"/>
                <w:szCs w:val="14"/>
              </w:rPr>
              <w:t>No. and types of legislative advice provided to Member States related to patents, utility models, trade secrets and integrated circuits</w:t>
            </w:r>
          </w:p>
        </w:tc>
        <w:tc>
          <w:tcPr>
            <w:tcW w:w="1238" w:type="dxa"/>
            <w:shd w:val="clear" w:color="auto" w:fill="auto"/>
            <w:tcMar>
              <w:top w:w="113" w:type="dxa"/>
            </w:tcMar>
          </w:tcPr>
          <w:p w:rsidR="00DC2CFA" w:rsidRPr="008869AE" w:rsidRDefault="00DC2CFA" w:rsidP="000B4241">
            <w:pPr>
              <w:spacing w:before="80"/>
              <w:ind w:left="176"/>
              <w:rPr>
                <w:rFonts w:cs="Arial"/>
                <w:sz w:val="14"/>
                <w:szCs w:val="14"/>
              </w:rPr>
            </w:pPr>
            <w:r w:rsidRPr="008869AE">
              <w:rPr>
                <w:rFonts w:cs="Arial"/>
                <w:sz w:val="14"/>
                <w:szCs w:val="14"/>
              </w:rPr>
              <w:t>Program 1</w:t>
            </w:r>
          </w:p>
          <w:p w:rsidR="00DC2CFA" w:rsidRPr="008869AE" w:rsidRDefault="00DC2CFA" w:rsidP="000B4241">
            <w:pPr>
              <w:spacing w:before="120"/>
              <w:ind w:left="176"/>
              <w:rPr>
                <w:rFonts w:cs="Arial"/>
                <w:sz w:val="14"/>
                <w:szCs w:val="14"/>
              </w:rPr>
            </w:pPr>
            <w:r w:rsidRPr="008869AE">
              <w:rPr>
                <w:rFonts w:cs="Arial"/>
                <w:sz w:val="14"/>
                <w:szCs w:val="14"/>
              </w:rPr>
              <w:t>Program 9</w:t>
            </w:r>
          </w:p>
          <w:p w:rsidR="00DC2CFA" w:rsidRPr="008869AE" w:rsidRDefault="00DC2CFA" w:rsidP="000B4241">
            <w:pPr>
              <w:spacing w:before="120"/>
              <w:ind w:left="176"/>
              <w:rPr>
                <w:rFonts w:cs="Arial"/>
                <w:sz w:val="14"/>
                <w:szCs w:val="14"/>
              </w:rPr>
            </w:pPr>
            <w:r w:rsidRPr="008869AE">
              <w:rPr>
                <w:rFonts w:cs="Arial"/>
                <w:sz w:val="14"/>
                <w:szCs w:val="14"/>
              </w:rPr>
              <w:t>Program 10</w:t>
            </w:r>
            <w:r w:rsidRPr="008869AE">
              <w:rPr>
                <w:rFonts w:cs="Arial"/>
                <w:sz w:val="14"/>
                <w:szCs w:val="14"/>
              </w:rPr>
              <w:br/>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006600"/>
                <w:sz w:val="22"/>
                <w:szCs w:val="22"/>
              </w:rPr>
            </w:pPr>
            <w:r w:rsidRPr="004A7442">
              <w:rPr>
                <w:rFonts w:cs="Arial"/>
                <w:color w:val="A6A6A6" w:themeColor="background1" w:themeShade="A6"/>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keepNext/>
              <w:keepLines/>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keepNext/>
              <w:keepLines/>
              <w:spacing w:before="60"/>
              <w:rPr>
                <w:rFonts w:cs="Arial"/>
                <w:sz w:val="14"/>
                <w:szCs w:val="14"/>
              </w:rPr>
            </w:pPr>
            <w:r w:rsidRPr="008869AE">
              <w:rPr>
                <w:rFonts w:cs="Arial"/>
                <w:sz w:val="14"/>
                <w:szCs w:val="14"/>
              </w:rPr>
              <w:t>% of countries which found WIPO's legislative advice related to patents, utility models, trade secrets and integrated circuits useful</w:t>
            </w:r>
          </w:p>
        </w:tc>
        <w:tc>
          <w:tcPr>
            <w:tcW w:w="1238" w:type="dxa"/>
            <w:shd w:val="clear" w:color="auto" w:fill="auto"/>
            <w:tcMar>
              <w:top w:w="113" w:type="dxa"/>
            </w:tcMar>
          </w:tcPr>
          <w:p w:rsidR="00DC2CFA" w:rsidRPr="008869AE" w:rsidRDefault="00DC2CFA" w:rsidP="000B4241">
            <w:pPr>
              <w:keepNext/>
              <w:keepLines/>
              <w:spacing w:before="80"/>
              <w:ind w:left="176"/>
              <w:rPr>
                <w:rFonts w:cs="Arial"/>
                <w:sz w:val="14"/>
                <w:szCs w:val="14"/>
              </w:rPr>
            </w:pPr>
            <w:r w:rsidRPr="008869AE">
              <w:rPr>
                <w:rFonts w:cs="Arial"/>
                <w:sz w:val="14"/>
                <w:szCs w:val="14"/>
              </w:rPr>
              <w:t>Program 1</w:t>
            </w:r>
          </w:p>
          <w:p w:rsidR="00DC2CFA" w:rsidRPr="008869AE" w:rsidRDefault="00DC2CFA" w:rsidP="000B4241">
            <w:pPr>
              <w:keepNext/>
              <w:keepLines/>
              <w:spacing w:before="120"/>
              <w:ind w:left="176"/>
              <w:rPr>
                <w:rFonts w:cs="Arial"/>
                <w:sz w:val="14"/>
                <w:szCs w:val="14"/>
              </w:rPr>
            </w:pPr>
            <w:r w:rsidRPr="008869AE">
              <w:rPr>
                <w:rFonts w:cs="Arial"/>
                <w:sz w:val="14"/>
                <w:szCs w:val="14"/>
              </w:rPr>
              <w:t>Program 9</w:t>
            </w:r>
          </w:p>
          <w:p w:rsidR="00DC2CFA" w:rsidRPr="008869AE" w:rsidRDefault="00DC2CFA" w:rsidP="000B4241">
            <w:pPr>
              <w:keepNext/>
              <w:keepLines/>
              <w:spacing w:before="120"/>
              <w:ind w:left="176"/>
              <w:rPr>
                <w:rFonts w:cs="Arial"/>
                <w:sz w:val="14"/>
                <w:szCs w:val="14"/>
              </w:rPr>
            </w:pPr>
            <w:r w:rsidRPr="008869AE">
              <w:rPr>
                <w:rFonts w:cs="Arial"/>
                <w:sz w:val="14"/>
                <w:szCs w:val="14"/>
              </w:rPr>
              <w:t>Program 10</w:t>
            </w:r>
          </w:p>
        </w:tc>
        <w:tc>
          <w:tcPr>
            <w:tcW w:w="1445" w:type="dxa"/>
          </w:tcPr>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keepNext/>
              <w:keepLines/>
              <w:spacing w:before="60"/>
              <w:rPr>
                <w:rFonts w:cs="Arial"/>
                <w:sz w:val="14"/>
                <w:szCs w:val="14"/>
              </w:rPr>
            </w:pPr>
            <w:r w:rsidRPr="008869AE">
              <w:rPr>
                <w:rFonts w:cs="Arial"/>
                <w:sz w:val="14"/>
                <w:szCs w:val="14"/>
              </w:rPr>
              <w:t>% of countries which found the provided information concerning the legal principles and practices of the patent system, including the flexibilities existing in the system and the challenges it faces, useful</w:t>
            </w:r>
          </w:p>
        </w:tc>
        <w:tc>
          <w:tcPr>
            <w:tcW w:w="1238" w:type="dxa"/>
            <w:shd w:val="clear" w:color="auto" w:fill="auto"/>
            <w:tcMar>
              <w:top w:w="113" w:type="dxa"/>
            </w:tcMar>
          </w:tcPr>
          <w:p w:rsidR="00DC2CFA" w:rsidRPr="008869AE" w:rsidRDefault="00DC2CFA" w:rsidP="000B4241">
            <w:pPr>
              <w:keepNext/>
              <w:keepLines/>
              <w:spacing w:before="60"/>
              <w:ind w:left="176"/>
              <w:rPr>
                <w:rFonts w:cs="Arial"/>
                <w:sz w:val="14"/>
                <w:szCs w:val="14"/>
              </w:rPr>
            </w:pPr>
            <w:r w:rsidRPr="008869AE">
              <w:rPr>
                <w:rFonts w:cs="Arial"/>
                <w:sz w:val="14"/>
                <w:szCs w:val="14"/>
              </w:rPr>
              <w:t>Program 1</w:t>
            </w:r>
          </w:p>
          <w:p w:rsidR="00DC2CFA" w:rsidRPr="008869AE" w:rsidRDefault="00DC2CFA" w:rsidP="000B4241">
            <w:pPr>
              <w:keepNext/>
              <w:keepLines/>
              <w:spacing w:before="120"/>
              <w:ind w:left="176"/>
              <w:rPr>
                <w:rFonts w:cs="Arial"/>
                <w:sz w:val="14"/>
                <w:szCs w:val="14"/>
              </w:rPr>
            </w:pPr>
            <w:r w:rsidRPr="008869AE">
              <w:rPr>
                <w:rFonts w:cs="Arial"/>
                <w:sz w:val="14"/>
                <w:szCs w:val="14"/>
              </w:rPr>
              <w:t>Program 9</w:t>
            </w:r>
          </w:p>
          <w:p w:rsidR="00DC2CFA" w:rsidRPr="008869AE" w:rsidRDefault="00DC2CFA" w:rsidP="000B4241">
            <w:pPr>
              <w:keepNext/>
              <w:keepLines/>
              <w:spacing w:before="120"/>
              <w:ind w:left="176"/>
              <w:rPr>
                <w:rFonts w:cs="Arial"/>
                <w:sz w:val="14"/>
                <w:szCs w:val="14"/>
              </w:rPr>
            </w:pPr>
            <w:r w:rsidRPr="008869AE">
              <w:rPr>
                <w:rFonts w:cs="Arial"/>
                <w:sz w:val="14"/>
                <w:szCs w:val="14"/>
              </w:rPr>
              <w:t>Program 10</w:t>
            </w:r>
          </w:p>
        </w:tc>
        <w:tc>
          <w:tcPr>
            <w:tcW w:w="1445" w:type="dxa"/>
          </w:tcPr>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keepNext/>
              <w:keepLines/>
              <w:spacing w:before="60"/>
              <w:rPr>
                <w:rFonts w:cs="Arial"/>
                <w:sz w:val="14"/>
                <w:szCs w:val="14"/>
              </w:rPr>
            </w:pPr>
            <w:r w:rsidRPr="008869AE">
              <w:rPr>
                <w:rFonts w:cs="Arial"/>
                <w:sz w:val="14"/>
                <w:szCs w:val="14"/>
              </w:rPr>
              <w:t xml:space="preserve">% of satisfied participants in targeted workshops/seminars held on specific patent-related questions </w:t>
            </w:r>
          </w:p>
        </w:tc>
        <w:tc>
          <w:tcPr>
            <w:tcW w:w="1238" w:type="dxa"/>
            <w:shd w:val="clear" w:color="auto" w:fill="auto"/>
            <w:tcMar>
              <w:top w:w="113" w:type="dxa"/>
            </w:tcMar>
          </w:tcPr>
          <w:p w:rsidR="00DC2CFA" w:rsidRPr="008869AE" w:rsidRDefault="00DC2CFA" w:rsidP="000B4241">
            <w:pPr>
              <w:keepNext/>
              <w:keepLines/>
              <w:spacing w:before="60"/>
              <w:ind w:left="176"/>
              <w:rPr>
                <w:rFonts w:cs="Arial"/>
                <w:sz w:val="14"/>
                <w:szCs w:val="14"/>
              </w:rPr>
            </w:pPr>
            <w:r w:rsidRPr="008869AE">
              <w:rPr>
                <w:rFonts w:cs="Arial"/>
                <w:sz w:val="14"/>
                <w:szCs w:val="14"/>
              </w:rPr>
              <w:t>Program 1</w:t>
            </w:r>
          </w:p>
          <w:p w:rsidR="00DC2CFA" w:rsidRPr="008869AE" w:rsidRDefault="00DC2CFA" w:rsidP="000B4241">
            <w:pPr>
              <w:keepNext/>
              <w:keepLines/>
              <w:spacing w:before="120"/>
              <w:ind w:left="176"/>
              <w:rPr>
                <w:rFonts w:cs="Arial"/>
                <w:sz w:val="14"/>
                <w:szCs w:val="14"/>
              </w:rPr>
            </w:pPr>
            <w:r w:rsidRPr="008869AE">
              <w:rPr>
                <w:rFonts w:cs="Arial"/>
                <w:sz w:val="14"/>
                <w:szCs w:val="14"/>
              </w:rPr>
              <w:t>Program 9</w:t>
            </w:r>
          </w:p>
          <w:p w:rsidR="00DC2CFA" w:rsidRPr="008869AE" w:rsidRDefault="00DC2CFA" w:rsidP="000B4241">
            <w:pPr>
              <w:keepNext/>
              <w:keepLines/>
              <w:spacing w:before="120"/>
              <w:ind w:left="176"/>
              <w:rPr>
                <w:rFonts w:cs="Arial"/>
                <w:sz w:val="14"/>
                <w:szCs w:val="14"/>
              </w:rPr>
            </w:pPr>
            <w:r w:rsidRPr="008869AE">
              <w:rPr>
                <w:rFonts w:cs="Arial"/>
                <w:sz w:val="14"/>
                <w:szCs w:val="14"/>
              </w:rPr>
              <w:t>Program 10</w:t>
            </w:r>
          </w:p>
        </w:tc>
        <w:tc>
          <w:tcPr>
            <w:tcW w:w="1445" w:type="dxa"/>
          </w:tcPr>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keepNext/>
              <w:keepLines/>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60"/>
              <w:rPr>
                <w:rFonts w:cs="Arial"/>
                <w:color w:val="000000"/>
                <w:sz w:val="14"/>
                <w:szCs w:val="14"/>
              </w:rPr>
            </w:pPr>
            <w:r w:rsidRPr="008869AE">
              <w:rPr>
                <w:rFonts w:cs="Arial"/>
                <w:color w:val="000000"/>
                <w:sz w:val="14"/>
                <w:szCs w:val="14"/>
              </w:rPr>
              <w:t xml:space="preserve">No. of Member States having received legislative advice in the area of trademarks, industrial </w:t>
            </w:r>
            <w:r w:rsidRPr="008869AE">
              <w:rPr>
                <w:rFonts w:cs="Arial"/>
                <w:sz w:val="14"/>
                <w:szCs w:val="14"/>
              </w:rPr>
              <w:t>designs</w:t>
            </w:r>
            <w:r w:rsidRPr="008869AE">
              <w:rPr>
                <w:rFonts w:cs="Arial"/>
                <w:color w:val="000000"/>
                <w:sz w:val="14"/>
                <w:szCs w:val="14"/>
              </w:rPr>
              <w:t xml:space="preserve"> and geographical indications </w:t>
            </w:r>
          </w:p>
        </w:tc>
        <w:tc>
          <w:tcPr>
            <w:tcW w:w="1238" w:type="dxa"/>
            <w:shd w:val="clear" w:color="auto" w:fill="auto"/>
            <w:tcMar>
              <w:top w:w="113" w:type="dxa"/>
            </w:tcMar>
          </w:tcPr>
          <w:p w:rsidR="00DC2CFA" w:rsidRPr="008869AE" w:rsidRDefault="00DC2CFA" w:rsidP="000B4241">
            <w:pPr>
              <w:spacing w:before="60"/>
              <w:ind w:left="176"/>
              <w:rPr>
                <w:rFonts w:cs="Arial"/>
                <w:sz w:val="14"/>
                <w:szCs w:val="14"/>
              </w:rPr>
            </w:pPr>
            <w:r w:rsidRPr="008869AE">
              <w:rPr>
                <w:rFonts w:cs="Arial"/>
                <w:sz w:val="14"/>
                <w:szCs w:val="14"/>
              </w:rPr>
              <w:t>Program 2</w:t>
            </w:r>
          </w:p>
          <w:p w:rsidR="00DC2CFA" w:rsidRPr="008869AE" w:rsidRDefault="00DC2CFA" w:rsidP="000B4241">
            <w:pPr>
              <w:spacing w:before="120"/>
              <w:ind w:left="176"/>
              <w:rPr>
                <w:rFonts w:cs="Arial"/>
                <w:sz w:val="14"/>
                <w:szCs w:val="14"/>
              </w:rPr>
            </w:pPr>
            <w:r w:rsidRPr="008869AE">
              <w:rPr>
                <w:rFonts w:cs="Arial"/>
                <w:sz w:val="14"/>
                <w:szCs w:val="14"/>
              </w:rPr>
              <w:t>Program 9</w:t>
            </w:r>
          </w:p>
          <w:p w:rsidR="00DC2CFA" w:rsidRPr="008869AE" w:rsidRDefault="00DC2CFA" w:rsidP="000B4241">
            <w:pPr>
              <w:spacing w:before="120"/>
              <w:ind w:left="176"/>
              <w:rPr>
                <w:rFonts w:cs="Arial"/>
                <w:sz w:val="14"/>
                <w:szCs w:val="14"/>
              </w:rPr>
            </w:pPr>
            <w:r w:rsidRPr="008869AE">
              <w:rPr>
                <w:rFonts w:cs="Arial"/>
                <w:sz w:val="14"/>
                <w:szCs w:val="14"/>
              </w:rPr>
              <w:t>Program 10</w:t>
            </w:r>
          </w:p>
        </w:tc>
        <w:tc>
          <w:tcPr>
            <w:tcW w:w="1445" w:type="dxa"/>
          </w:tcPr>
          <w:p w:rsidR="00DC2CFA" w:rsidRPr="003C6864" w:rsidRDefault="00DC2CFA" w:rsidP="000B4241">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3912D5" w:rsidRDefault="003912D5" w:rsidP="000B4241">
            <w:pPr>
              <w:jc w:val="center"/>
              <w:rPr>
                <w:rFonts w:cs="Arial"/>
                <w:color w:val="E36C0A" w:themeColor="accent6" w:themeShade="BF"/>
                <w:sz w:val="22"/>
                <w:szCs w:val="22"/>
              </w:rPr>
            </w:pPr>
            <w:r w:rsidRPr="003C6864">
              <w:rPr>
                <w:rFonts w:cs="Arial"/>
                <w:color w:val="E36C0A" w:themeColor="accent6" w:themeShade="BF"/>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60"/>
              <w:rPr>
                <w:rFonts w:cs="Arial"/>
                <w:color w:val="000000"/>
                <w:sz w:val="14"/>
                <w:szCs w:val="14"/>
              </w:rPr>
            </w:pPr>
            <w:r w:rsidRPr="008869AE">
              <w:rPr>
                <w:rFonts w:cs="Arial"/>
                <w:color w:val="000000"/>
                <w:sz w:val="14"/>
                <w:szCs w:val="14"/>
              </w:rPr>
              <w:t xml:space="preserve">No. of countries providing positive feedback on the usefulness of the provided legislative advice in the area of trademarks, industrial designs and geographical indications </w:t>
            </w:r>
          </w:p>
        </w:tc>
        <w:tc>
          <w:tcPr>
            <w:tcW w:w="1238" w:type="dxa"/>
            <w:shd w:val="clear" w:color="auto" w:fill="auto"/>
            <w:tcMar>
              <w:top w:w="113" w:type="dxa"/>
            </w:tcMar>
          </w:tcPr>
          <w:p w:rsidR="00DC2CFA" w:rsidRPr="008869AE" w:rsidRDefault="00DC2CFA" w:rsidP="000B4241">
            <w:pPr>
              <w:spacing w:before="60"/>
              <w:ind w:left="176"/>
              <w:rPr>
                <w:rFonts w:cs="Arial"/>
                <w:sz w:val="14"/>
                <w:szCs w:val="14"/>
              </w:rPr>
            </w:pPr>
            <w:r w:rsidRPr="008869AE">
              <w:rPr>
                <w:rFonts w:cs="Arial"/>
                <w:sz w:val="14"/>
                <w:szCs w:val="14"/>
              </w:rPr>
              <w:t>Program 2</w:t>
            </w:r>
          </w:p>
          <w:p w:rsidR="00DC2CFA" w:rsidRPr="008869AE" w:rsidRDefault="00DC2CFA" w:rsidP="000B4241">
            <w:pPr>
              <w:spacing w:before="120"/>
              <w:ind w:left="176"/>
              <w:rPr>
                <w:rFonts w:cs="Arial"/>
                <w:sz w:val="14"/>
                <w:szCs w:val="14"/>
              </w:rPr>
            </w:pPr>
            <w:r w:rsidRPr="008869AE">
              <w:rPr>
                <w:rFonts w:cs="Arial"/>
                <w:sz w:val="14"/>
                <w:szCs w:val="14"/>
              </w:rPr>
              <w:t>Program 9</w:t>
            </w:r>
          </w:p>
          <w:p w:rsidR="00DC2CFA" w:rsidRPr="008869AE" w:rsidRDefault="00DC2CFA" w:rsidP="000B4241">
            <w:pPr>
              <w:spacing w:before="120"/>
              <w:ind w:left="176"/>
              <w:rPr>
                <w:rFonts w:cs="Arial"/>
                <w:sz w:val="14"/>
                <w:szCs w:val="14"/>
              </w:rPr>
            </w:pPr>
            <w:r w:rsidRPr="008869AE">
              <w:rPr>
                <w:rFonts w:cs="Arial"/>
                <w:sz w:val="14"/>
                <w:szCs w:val="14"/>
              </w:rPr>
              <w:t>Program 10</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r w:rsidR="00DC2CFA" w:rsidRPr="00680A69" w:rsidTr="000B4241">
        <w:tc>
          <w:tcPr>
            <w:tcW w:w="3399" w:type="dxa"/>
            <w:shd w:val="clear" w:color="auto" w:fill="auto"/>
            <w:tcMar>
              <w:top w:w="113" w:type="dxa"/>
            </w:tcMar>
          </w:tcPr>
          <w:p w:rsidR="00DC2CFA" w:rsidRPr="008869AE" w:rsidRDefault="00DC2CFA" w:rsidP="000B4241">
            <w:pPr>
              <w:spacing w:before="80"/>
              <w:ind w:firstLineChars="100" w:firstLine="140"/>
              <w:rPr>
                <w:rFonts w:cs="Arial"/>
                <w:sz w:val="14"/>
                <w:szCs w:val="14"/>
              </w:rPr>
            </w:pPr>
          </w:p>
        </w:tc>
        <w:tc>
          <w:tcPr>
            <w:tcW w:w="3284" w:type="dxa"/>
            <w:shd w:val="clear" w:color="auto" w:fill="auto"/>
            <w:tcMar>
              <w:top w:w="113" w:type="dxa"/>
            </w:tcMar>
          </w:tcPr>
          <w:p w:rsidR="00DC2CFA" w:rsidRPr="008869AE" w:rsidRDefault="00DC2CFA" w:rsidP="000B4241">
            <w:pPr>
              <w:spacing w:before="60"/>
              <w:rPr>
                <w:sz w:val="14"/>
                <w:szCs w:val="14"/>
                <w:lang w:bidi="th-TH"/>
              </w:rPr>
            </w:pPr>
            <w:r w:rsidRPr="008869AE">
              <w:rPr>
                <w:sz w:val="14"/>
                <w:szCs w:val="14"/>
                <w:lang w:bidi="th-TH"/>
              </w:rPr>
              <w:t>No. of countries provided with technical assistance on new or updated legislative frameworks for effective enforcement, taking into account flexibilities in Part III of TRIPS</w:t>
            </w:r>
          </w:p>
          <w:p w:rsidR="00DC2CFA" w:rsidRPr="008869AE" w:rsidRDefault="00DC2CFA" w:rsidP="000B4241">
            <w:pPr>
              <w:spacing w:before="60"/>
              <w:rPr>
                <w:rFonts w:cs="Arial"/>
                <w:color w:val="000000"/>
                <w:sz w:val="14"/>
                <w:szCs w:val="14"/>
              </w:rPr>
            </w:pPr>
          </w:p>
        </w:tc>
        <w:tc>
          <w:tcPr>
            <w:tcW w:w="1238" w:type="dxa"/>
            <w:shd w:val="clear" w:color="auto" w:fill="auto"/>
            <w:tcMar>
              <w:top w:w="113" w:type="dxa"/>
            </w:tcMar>
          </w:tcPr>
          <w:p w:rsidR="00DC2CFA" w:rsidRPr="008869AE" w:rsidRDefault="00DC2CFA" w:rsidP="000B4241">
            <w:pPr>
              <w:spacing w:before="60"/>
              <w:ind w:left="176"/>
              <w:rPr>
                <w:rFonts w:cs="Arial"/>
                <w:sz w:val="14"/>
                <w:szCs w:val="14"/>
              </w:rPr>
            </w:pPr>
            <w:r w:rsidRPr="008869AE">
              <w:rPr>
                <w:rFonts w:cs="Arial"/>
                <w:sz w:val="14"/>
                <w:szCs w:val="14"/>
              </w:rPr>
              <w:t>Program 17</w:t>
            </w:r>
          </w:p>
          <w:p w:rsidR="00DC2CFA" w:rsidRPr="008869AE" w:rsidRDefault="00DC2CFA" w:rsidP="000B4241">
            <w:pPr>
              <w:spacing w:before="120"/>
              <w:ind w:left="176"/>
              <w:rPr>
                <w:rFonts w:cs="Arial"/>
                <w:sz w:val="14"/>
                <w:szCs w:val="14"/>
              </w:rPr>
            </w:pPr>
            <w:r w:rsidRPr="008869AE">
              <w:rPr>
                <w:rFonts w:cs="Arial"/>
                <w:sz w:val="14"/>
                <w:szCs w:val="14"/>
              </w:rPr>
              <w:t>Program 9</w:t>
            </w:r>
          </w:p>
        </w:tc>
        <w:tc>
          <w:tcPr>
            <w:tcW w:w="1445" w:type="dxa"/>
          </w:tcPr>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p w:rsidR="00DC2CFA" w:rsidRPr="004A7442" w:rsidRDefault="00DC2CFA" w:rsidP="000B4241">
            <w:pPr>
              <w:jc w:val="center"/>
              <w:rPr>
                <w:rFonts w:cs="Arial"/>
                <w:color w:val="10862C"/>
                <w:sz w:val="22"/>
                <w:szCs w:val="22"/>
              </w:rPr>
            </w:pPr>
            <w:r w:rsidRPr="004A7442">
              <w:rPr>
                <w:rFonts w:cs="Arial"/>
                <w:color w:val="10862C"/>
                <w:sz w:val="22"/>
                <w:szCs w:val="22"/>
              </w:rPr>
              <w:sym w:font="Wingdings" w:char="F06C"/>
            </w:r>
          </w:p>
        </w:tc>
      </w:tr>
    </w:tbl>
    <w:p w:rsidR="00145892" w:rsidRPr="00A522FE" w:rsidRDefault="00145892" w:rsidP="00145892">
      <w:pPr>
        <w:tabs>
          <w:tab w:val="left" w:pos="0"/>
        </w:tabs>
        <w:rPr>
          <w:rFonts w:cs="Arial"/>
          <w:iCs/>
          <w:sz w:val="21"/>
          <w:szCs w:val="21"/>
        </w:rPr>
      </w:pPr>
    </w:p>
    <w:p w:rsidR="00145892" w:rsidRPr="00A522FE" w:rsidRDefault="00145892" w:rsidP="00145892">
      <w:pPr>
        <w:tabs>
          <w:tab w:val="left" w:pos="0"/>
        </w:tabs>
        <w:rPr>
          <w:b/>
          <w:iCs/>
        </w:rPr>
      </w:pPr>
    </w:p>
    <w:p w:rsidR="006F036E" w:rsidRDefault="006F036E" w:rsidP="00555AFA">
      <w:pPr>
        <w:jc w:val="center"/>
        <w:rPr>
          <w:rFonts w:ascii="Arial Bold" w:hAnsi="Arial Bold" w:cs="Arial"/>
          <w:b/>
          <w:bCs/>
          <w:iCs/>
          <w:caps/>
          <w:sz w:val="22"/>
          <w:szCs w:val="28"/>
        </w:rPr>
      </w:pPr>
      <w:r>
        <w:br w:type="page"/>
      </w:r>
    </w:p>
    <w:p w:rsidR="00A8525E" w:rsidRPr="00982926" w:rsidRDefault="00305272" w:rsidP="000B2E9F">
      <w:pPr>
        <w:pStyle w:val="Heading3"/>
      </w:pPr>
      <w:bookmarkStart w:id="18" w:name="_Toc393956042"/>
      <w:r>
        <w:lastRenderedPageBreak/>
        <w:t>Program</w:t>
      </w:r>
      <w:r w:rsidR="00A8525E" w:rsidRPr="00982926">
        <w:t xml:space="preserve"> 1</w:t>
      </w:r>
      <w:bookmarkEnd w:id="0"/>
      <w:r w:rsidR="000E148D" w:rsidRPr="00982926">
        <w:tab/>
      </w:r>
      <w:r>
        <w:t>Patent Law</w:t>
      </w:r>
      <w:bookmarkEnd w:id="18"/>
    </w:p>
    <w:p w:rsidR="00A8525E" w:rsidRPr="00035B75" w:rsidRDefault="00A8525E" w:rsidP="000E148D">
      <w:pPr>
        <w:rPr>
          <w:szCs w:val="20"/>
        </w:rPr>
      </w:pPr>
    </w:p>
    <w:p w:rsidR="00A8525E" w:rsidRPr="00D55DB3" w:rsidRDefault="000E148D" w:rsidP="000E148D">
      <w:pPr>
        <w:rPr>
          <w:b/>
          <w:sz w:val="22"/>
          <w:szCs w:val="22"/>
        </w:rPr>
      </w:pPr>
      <w:r>
        <w:rPr>
          <w:b/>
          <w:sz w:val="22"/>
          <w:szCs w:val="22"/>
        </w:rPr>
        <w:t>Program Manager</w:t>
      </w:r>
      <w:r>
        <w:rPr>
          <w:b/>
          <w:sz w:val="22"/>
          <w:szCs w:val="22"/>
        </w:rPr>
        <w:tab/>
      </w:r>
      <w:r w:rsidR="00A8525E" w:rsidRPr="00D55DB3">
        <w:rPr>
          <w:b/>
          <w:sz w:val="22"/>
          <w:szCs w:val="22"/>
        </w:rPr>
        <w:t>Mr. J. Pooley</w:t>
      </w:r>
    </w:p>
    <w:p w:rsidR="00A8525E" w:rsidRPr="008F4A6D" w:rsidRDefault="00A8525E" w:rsidP="000E148D">
      <w:pPr>
        <w:rPr>
          <w:szCs w:val="20"/>
        </w:rPr>
      </w:pPr>
    </w:p>
    <w:p w:rsidR="00A8525E" w:rsidRPr="001C6F4D" w:rsidRDefault="00A8525E" w:rsidP="000E148D">
      <w:pPr>
        <w:rPr>
          <w:szCs w:val="20"/>
        </w:rPr>
      </w:pPr>
    </w:p>
    <w:p w:rsidR="00A8525E" w:rsidRPr="005E6AFC" w:rsidRDefault="00D218A3" w:rsidP="000E148D">
      <w:pPr>
        <w:rPr>
          <w:bCs/>
          <w:sz w:val="22"/>
          <w:szCs w:val="22"/>
        </w:rPr>
      </w:pPr>
      <w:r>
        <w:rPr>
          <w:bCs/>
          <w:sz w:val="22"/>
          <w:szCs w:val="22"/>
        </w:rPr>
        <w:t>ACHIEVEMENTS IN THE 2012/13 BIENNIUM</w:t>
      </w:r>
    </w:p>
    <w:p w:rsidR="00A8525E" w:rsidRPr="00035B75" w:rsidRDefault="00A8525E" w:rsidP="000E148D">
      <w:pPr>
        <w:rPr>
          <w:szCs w:val="20"/>
        </w:rPr>
      </w:pPr>
    </w:p>
    <w:p w:rsidR="00DA2231" w:rsidRDefault="00CF19D4" w:rsidP="00CF19D4">
      <w:pPr>
        <w:tabs>
          <w:tab w:val="left" w:pos="709"/>
        </w:tabs>
        <w:autoSpaceDE w:val="0"/>
        <w:autoSpaceDN w:val="0"/>
        <w:adjustRightInd w:val="0"/>
        <w:jc w:val="both"/>
        <w:rPr>
          <w:rFonts w:eastAsia="SimSun" w:cs="Arial"/>
          <w:bCs/>
          <w:color w:val="000000"/>
          <w:szCs w:val="20"/>
          <w:lang w:eastAsia="zh-CN"/>
        </w:rPr>
      </w:pPr>
      <w:r>
        <w:rPr>
          <w:rFonts w:eastAsia="SimSun" w:cs="Arial"/>
          <w:bCs/>
          <w:color w:val="000000"/>
          <w:szCs w:val="20"/>
          <w:lang w:eastAsia="zh-CN"/>
        </w:rPr>
        <w:t>1.1.</w:t>
      </w:r>
      <w:r>
        <w:rPr>
          <w:rFonts w:eastAsia="SimSun" w:cs="Arial"/>
          <w:bCs/>
          <w:color w:val="000000"/>
          <w:szCs w:val="20"/>
          <w:lang w:eastAsia="zh-CN"/>
        </w:rPr>
        <w:tab/>
      </w:r>
      <w:r w:rsidR="00DA2231" w:rsidRPr="00577D22">
        <w:rPr>
          <w:rFonts w:eastAsia="SimSun" w:cs="Arial"/>
          <w:bCs/>
          <w:color w:val="000000"/>
          <w:szCs w:val="20"/>
          <w:lang w:eastAsia="zh-CN"/>
        </w:rPr>
        <w:t>In view of enhancing cooperation among Member States on further developing balanced policy and normative frameworks for the international patent system, the eighteenth and nineteenth sessions of the Standing Committee on the Law of Patents (SCP) were held in May 2012 and February 2013, respectively.  The SCP continued to examine five topics on its agenda, namely:  (i)</w:t>
      </w:r>
      <w:r w:rsidR="00577D22">
        <w:rPr>
          <w:rFonts w:eastAsia="SimSun" w:cs="Arial"/>
          <w:bCs/>
          <w:color w:val="000000"/>
          <w:szCs w:val="20"/>
          <w:lang w:eastAsia="zh-CN"/>
        </w:rPr>
        <w:t> </w:t>
      </w:r>
      <w:r w:rsidR="00DA2231" w:rsidRPr="00577D22">
        <w:rPr>
          <w:rFonts w:eastAsia="SimSun" w:cs="Arial"/>
          <w:bCs/>
          <w:color w:val="000000"/>
          <w:szCs w:val="20"/>
          <w:lang w:eastAsia="zh-CN"/>
        </w:rPr>
        <w:t>exceptions and limitations to patent rights;  (ii) quality of patents, including opposition systems;  (iii)</w:t>
      </w:r>
      <w:r w:rsidR="00577D22">
        <w:rPr>
          <w:rFonts w:eastAsia="SimSun" w:cs="Arial"/>
          <w:bCs/>
          <w:color w:val="000000"/>
          <w:szCs w:val="20"/>
          <w:lang w:eastAsia="zh-CN"/>
        </w:rPr>
        <w:t> </w:t>
      </w:r>
      <w:r w:rsidR="00DA2231" w:rsidRPr="00577D22">
        <w:rPr>
          <w:rFonts w:eastAsia="SimSun" w:cs="Arial"/>
          <w:bCs/>
          <w:color w:val="000000"/>
          <w:szCs w:val="20"/>
          <w:lang w:eastAsia="zh-CN"/>
        </w:rPr>
        <w:t xml:space="preserve">patents and health;  (iv) confidentiality of communication between clients and their patent advisors; </w:t>
      </w:r>
      <w:r w:rsidR="003A5FF7" w:rsidRPr="00577D22">
        <w:rPr>
          <w:rFonts w:eastAsia="SimSun" w:cs="Arial"/>
          <w:bCs/>
          <w:color w:val="000000"/>
          <w:szCs w:val="20"/>
          <w:lang w:eastAsia="zh-CN"/>
        </w:rPr>
        <w:t xml:space="preserve"> </w:t>
      </w:r>
      <w:r w:rsidR="00DA2231" w:rsidRPr="00577D22">
        <w:rPr>
          <w:rFonts w:eastAsia="SimSun" w:cs="Arial"/>
          <w:bCs/>
          <w:color w:val="000000"/>
          <w:szCs w:val="20"/>
          <w:lang w:eastAsia="zh-CN"/>
        </w:rPr>
        <w:t>and (v) transfer of technology.</w:t>
      </w:r>
    </w:p>
    <w:p w:rsidR="00E37CE6" w:rsidRDefault="00E37CE6" w:rsidP="00CF19D4">
      <w:pPr>
        <w:tabs>
          <w:tab w:val="left" w:pos="709"/>
        </w:tabs>
        <w:autoSpaceDE w:val="0"/>
        <w:autoSpaceDN w:val="0"/>
        <w:adjustRightInd w:val="0"/>
        <w:jc w:val="both"/>
        <w:rPr>
          <w:rFonts w:eastAsia="SimSun" w:cs="Arial"/>
          <w:bCs/>
          <w:color w:val="000000"/>
          <w:szCs w:val="20"/>
          <w:lang w:eastAsia="zh-CN"/>
        </w:rPr>
      </w:pPr>
    </w:p>
    <w:p w:rsidR="00DA2231" w:rsidRDefault="00582788" w:rsidP="00582788">
      <w:pPr>
        <w:tabs>
          <w:tab w:val="left" w:pos="709"/>
        </w:tabs>
        <w:autoSpaceDE w:val="0"/>
        <w:autoSpaceDN w:val="0"/>
        <w:adjustRightInd w:val="0"/>
        <w:jc w:val="both"/>
        <w:rPr>
          <w:rFonts w:eastAsia="SimSun" w:cs="Arial"/>
          <w:bCs/>
          <w:color w:val="000000"/>
          <w:szCs w:val="20"/>
          <w:lang w:eastAsia="zh-CN"/>
        </w:rPr>
      </w:pPr>
      <w:r>
        <w:rPr>
          <w:rFonts w:eastAsia="SimSun" w:cs="Arial"/>
          <w:bCs/>
          <w:color w:val="000000"/>
          <w:szCs w:val="20"/>
          <w:lang w:eastAsia="zh-CN"/>
        </w:rPr>
        <w:t>1.2.</w:t>
      </w:r>
      <w:r>
        <w:rPr>
          <w:rFonts w:eastAsia="SimSun" w:cs="Arial"/>
          <w:bCs/>
          <w:color w:val="000000"/>
          <w:szCs w:val="20"/>
          <w:lang w:eastAsia="zh-CN"/>
        </w:rPr>
        <w:tab/>
      </w:r>
      <w:r w:rsidR="00DA2231" w:rsidRPr="00577D22">
        <w:rPr>
          <w:rFonts w:eastAsia="SimSun" w:cs="Arial"/>
          <w:bCs/>
          <w:color w:val="000000"/>
          <w:szCs w:val="20"/>
          <w:lang w:eastAsia="zh-CN"/>
        </w:rPr>
        <w:t xml:space="preserve">The examination of substantive studies allowed the SCP to review the current international patent system in a holistic manner that took into account different needs and interests of </w:t>
      </w:r>
      <w:r w:rsidR="00FA73B6" w:rsidRPr="00577D22">
        <w:rPr>
          <w:rFonts w:eastAsia="SimSun" w:cs="Arial"/>
          <w:bCs/>
          <w:color w:val="000000"/>
          <w:szCs w:val="20"/>
          <w:lang w:eastAsia="zh-CN"/>
        </w:rPr>
        <w:t>Member</w:t>
      </w:r>
      <w:r w:rsidR="00FA73B6">
        <w:rPr>
          <w:rFonts w:eastAsia="SimSun" w:cs="Arial"/>
          <w:bCs/>
          <w:color w:val="000000"/>
          <w:szCs w:val="20"/>
          <w:lang w:eastAsia="zh-CN"/>
        </w:rPr>
        <w:t> </w:t>
      </w:r>
      <w:r w:rsidR="00DA2231" w:rsidRPr="00577D22">
        <w:rPr>
          <w:rFonts w:eastAsia="SimSun" w:cs="Arial"/>
          <w:bCs/>
          <w:color w:val="000000"/>
          <w:szCs w:val="20"/>
          <w:lang w:eastAsia="zh-CN"/>
        </w:rPr>
        <w:t>States and stakeholders.  A step-by-step approach broadened the common base from which the Committee could develop its discussions.  Further, various methodologies employed by the Committee, including preparation of background studies and sharing information on national implementation of patent law and national experiences and challenges, contributed to advancin</w:t>
      </w:r>
      <w:r w:rsidR="00972729" w:rsidRPr="00577D22">
        <w:rPr>
          <w:rFonts w:eastAsia="SimSun" w:cs="Arial"/>
          <w:bCs/>
          <w:color w:val="000000"/>
          <w:szCs w:val="20"/>
          <w:lang w:eastAsia="zh-CN"/>
        </w:rPr>
        <w:t>g discussions on</w:t>
      </w:r>
      <w:r w:rsidR="00DA2231" w:rsidRPr="00577D22">
        <w:rPr>
          <w:rFonts w:eastAsia="SimSun" w:cs="Arial"/>
          <w:bCs/>
          <w:color w:val="000000"/>
          <w:szCs w:val="20"/>
          <w:lang w:eastAsia="zh-CN"/>
        </w:rPr>
        <w:t xml:space="preserve"> issues of common interest at the SCP.  During the 2012/13 biennium, a number of proposals were put forward by Member States on the above topics, showing commitments by </w:t>
      </w:r>
      <w:r w:rsidR="00FA73B6" w:rsidRPr="00577D22">
        <w:rPr>
          <w:rFonts w:eastAsia="SimSun" w:cs="Arial"/>
          <w:bCs/>
          <w:color w:val="000000"/>
          <w:szCs w:val="20"/>
          <w:lang w:eastAsia="zh-CN"/>
        </w:rPr>
        <w:t>Member</w:t>
      </w:r>
      <w:r w:rsidR="00FA73B6">
        <w:rPr>
          <w:rFonts w:eastAsia="SimSun" w:cs="Arial"/>
          <w:bCs/>
          <w:color w:val="000000"/>
          <w:szCs w:val="20"/>
          <w:lang w:eastAsia="zh-CN"/>
        </w:rPr>
        <w:t> </w:t>
      </w:r>
      <w:r w:rsidR="00DA2231" w:rsidRPr="00577D22">
        <w:rPr>
          <w:rFonts w:eastAsia="SimSun" w:cs="Arial"/>
          <w:bCs/>
          <w:color w:val="000000"/>
          <w:szCs w:val="20"/>
          <w:lang w:eastAsia="zh-CN"/>
        </w:rPr>
        <w:t>States in the SCP process.  Through active participation of Member States, the discussions in the Committee resulted in a gradual con</w:t>
      </w:r>
      <w:r w:rsidR="00D81C79" w:rsidRPr="00577D22">
        <w:rPr>
          <w:rFonts w:eastAsia="SimSun" w:cs="Arial"/>
          <w:bCs/>
          <w:color w:val="000000"/>
          <w:szCs w:val="20"/>
          <w:lang w:eastAsia="zh-CN"/>
        </w:rPr>
        <w:t>cretization of its activities.</w:t>
      </w:r>
    </w:p>
    <w:p w:rsidR="00E37CE6" w:rsidRPr="00577D22" w:rsidRDefault="00E37CE6" w:rsidP="00CF19D4">
      <w:pPr>
        <w:tabs>
          <w:tab w:val="left" w:pos="709"/>
        </w:tabs>
        <w:autoSpaceDE w:val="0"/>
        <w:autoSpaceDN w:val="0"/>
        <w:adjustRightInd w:val="0"/>
        <w:jc w:val="both"/>
        <w:rPr>
          <w:rFonts w:eastAsia="SimSun" w:cs="Arial"/>
          <w:bCs/>
          <w:color w:val="000000"/>
          <w:szCs w:val="20"/>
          <w:lang w:eastAsia="zh-CN"/>
        </w:rPr>
      </w:pPr>
    </w:p>
    <w:p w:rsidR="00DA2231" w:rsidRDefault="00582788" w:rsidP="00CF19D4">
      <w:pPr>
        <w:tabs>
          <w:tab w:val="left" w:pos="709"/>
        </w:tabs>
        <w:autoSpaceDE w:val="0"/>
        <w:autoSpaceDN w:val="0"/>
        <w:adjustRightInd w:val="0"/>
        <w:jc w:val="both"/>
        <w:rPr>
          <w:rFonts w:eastAsia="SimSun" w:cs="Arial"/>
          <w:bCs/>
          <w:color w:val="000000"/>
          <w:szCs w:val="20"/>
          <w:lang w:eastAsia="zh-CN"/>
        </w:rPr>
      </w:pPr>
      <w:r>
        <w:rPr>
          <w:rFonts w:eastAsia="SimSun" w:cs="Arial"/>
          <w:bCs/>
          <w:color w:val="000000"/>
          <w:szCs w:val="20"/>
          <w:lang w:eastAsia="zh-CN"/>
        </w:rPr>
        <w:t>1.3.</w:t>
      </w:r>
      <w:r>
        <w:rPr>
          <w:rFonts w:eastAsia="SimSun" w:cs="Arial"/>
          <w:bCs/>
          <w:color w:val="000000"/>
          <w:szCs w:val="20"/>
          <w:lang w:eastAsia="zh-CN"/>
        </w:rPr>
        <w:tab/>
      </w:r>
      <w:r w:rsidR="00DA2231" w:rsidRPr="00577D22">
        <w:rPr>
          <w:rFonts w:eastAsia="SimSun" w:cs="Arial"/>
          <w:bCs/>
          <w:color w:val="000000"/>
          <w:szCs w:val="20"/>
          <w:lang w:eastAsia="zh-CN"/>
        </w:rPr>
        <w:t>With respect to WIPO administered treaties in the field of patents, in 2012/13, Samoa joined the Paris Convention</w:t>
      </w:r>
      <w:r w:rsidR="00D853FF">
        <w:rPr>
          <w:rFonts w:eastAsia="SimSun" w:cs="Arial"/>
          <w:bCs/>
          <w:color w:val="000000"/>
          <w:szCs w:val="20"/>
          <w:lang w:eastAsia="zh-CN"/>
        </w:rPr>
        <w:t xml:space="preserve">; </w:t>
      </w:r>
      <w:r w:rsidR="00DA2231" w:rsidRPr="00577D22">
        <w:rPr>
          <w:rFonts w:eastAsia="SimSun" w:cs="Arial"/>
          <w:bCs/>
          <w:color w:val="000000"/>
          <w:szCs w:val="20"/>
          <w:lang w:eastAsia="zh-CN"/>
        </w:rPr>
        <w:t>Armenia, Bosnia and Herzegovina, Ireland, Saudi Arabia, Spain and the United States of America joined the Pa</w:t>
      </w:r>
      <w:r w:rsidR="003573DD" w:rsidRPr="00577D22">
        <w:rPr>
          <w:rFonts w:eastAsia="SimSun" w:cs="Arial"/>
          <w:bCs/>
          <w:color w:val="000000"/>
          <w:szCs w:val="20"/>
          <w:lang w:eastAsia="zh-CN"/>
        </w:rPr>
        <w:t>tent Law Treaty (PLT)</w:t>
      </w:r>
      <w:r w:rsidR="003A5FF7" w:rsidRPr="00577D22">
        <w:rPr>
          <w:rFonts w:eastAsia="SimSun" w:cs="Arial"/>
          <w:bCs/>
          <w:color w:val="000000"/>
          <w:szCs w:val="20"/>
          <w:lang w:eastAsia="zh-CN"/>
        </w:rPr>
        <w:t xml:space="preserve">; </w:t>
      </w:r>
      <w:r w:rsidR="003573DD" w:rsidRPr="00577D22">
        <w:rPr>
          <w:rFonts w:eastAsia="SimSun" w:cs="Arial"/>
          <w:bCs/>
          <w:color w:val="000000"/>
          <w:szCs w:val="20"/>
          <w:lang w:eastAsia="zh-CN"/>
        </w:rPr>
        <w:t xml:space="preserve">and </w:t>
      </w:r>
      <w:r w:rsidR="00DA2231" w:rsidRPr="00577D22">
        <w:rPr>
          <w:rFonts w:eastAsia="SimSun" w:cs="Arial"/>
          <w:bCs/>
          <w:color w:val="000000"/>
          <w:szCs w:val="20"/>
          <w:lang w:eastAsia="zh-CN"/>
        </w:rPr>
        <w:t>Bahrain, Brunei Darussalam, Panama and Qatar</w:t>
      </w:r>
      <w:r w:rsidR="007A29A7" w:rsidRPr="00577D22">
        <w:rPr>
          <w:rFonts w:eastAsia="SimSun" w:cs="Arial"/>
          <w:bCs/>
          <w:color w:val="000000"/>
          <w:szCs w:val="20"/>
          <w:lang w:eastAsia="zh-CN"/>
        </w:rPr>
        <w:t xml:space="preserve"> joined the Budapest Treaty.</w:t>
      </w:r>
    </w:p>
    <w:p w:rsidR="00E37CE6" w:rsidRPr="00577D22" w:rsidRDefault="00E37CE6" w:rsidP="00CF19D4">
      <w:pPr>
        <w:tabs>
          <w:tab w:val="left" w:pos="709"/>
        </w:tabs>
        <w:autoSpaceDE w:val="0"/>
        <w:autoSpaceDN w:val="0"/>
        <w:adjustRightInd w:val="0"/>
        <w:jc w:val="both"/>
        <w:rPr>
          <w:rFonts w:eastAsia="SimSun" w:cs="Arial"/>
          <w:bCs/>
          <w:color w:val="000000"/>
          <w:szCs w:val="20"/>
          <w:lang w:eastAsia="zh-CN"/>
        </w:rPr>
      </w:pPr>
    </w:p>
    <w:p w:rsidR="00DA2231" w:rsidRDefault="00CF19D4" w:rsidP="00CF19D4">
      <w:pPr>
        <w:tabs>
          <w:tab w:val="left" w:pos="709"/>
        </w:tabs>
        <w:autoSpaceDE w:val="0"/>
        <w:autoSpaceDN w:val="0"/>
        <w:adjustRightInd w:val="0"/>
        <w:jc w:val="both"/>
        <w:rPr>
          <w:rFonts w:eastAsia="SimSun" w:cs="Arial"/>
          <w:bCs/>
          <w:color w:val="000000"/>
          <w:szCs w:val="20"/>
          <w:lang w:eastAsia="zh-CN"/>
        </w:rPr>
      </w:pPr>
      <w:r>
        <w:rPr>
          <w:rFonts w:eastAsia="SimSun" w:cs="Arial"/>
          <w:bCs/>
          <w:color w:val="000000"/>
          <w:szCs w:val="20"/>
          <w:lang w:eastAsia="zh-CN"/>
        </w:rPr>
        <w:t>1.</w:t>
      </w:r>
      <w:r w:rsidR="00582788">
        <w:rPr>
          <w:rFonts w:eastAsia="SimSun" w:cs="Arial"/>
          <w:bCs/>
          <w:color w:val="000000"/>
          <w:szCs w:val="20"/>
          <w:lang w:eastAsia="zh-CN"/>
        </w:rPr>
        <w:t>4</w:t>
      </w:r>
      <w:r>
        <w:rPr>
          <w:rFonts w:eastAsia="SimSun" w:cs="Arial"/>
          <w:bCs/>
          <w:color w:val="000000"/>
          <w:szCs w:val="20"/>
          <w:lang w:eastAsia="zh-CN"/>
        </w:rPr>
        <w:t>.</w:t>
      </w:r>
      <w:r>
        <w:rPr>
          <w:rFonts w:eastAsia="SimSun" w:cs="Arial"/>
          <w:bCs/>
          <w:color w:val="000000"/>
          <w:szCs w:val="20"/>
          <w:lang w:eastAsia="zh-CN"/>
        </w:rPr>
        <w:tab/>
      </w:r>
      <w:r w:rsidR="007D027C" w:rsidRPr="00577D22">
        <w:rPr>
          <w:rFonts w:eastAsia="SimSun" w:cs="Arial"/>
          <w:bCs/>
          <w:color w:val="000000"/>
          <w:szCs w:val="20"/>
          <w:lang w:eastAsia="zh-CN"/>
        </w:rPr>
        <w:t>WIPO</w:t>
      </w:r>
      <w:r w:rsidR="00720AE1">
        <w:rPr>
          <w:rFonts w:eastAsia="SimSun" w:cs="Arial"/>
          <w:bCs/>
          <w:color w:val="000000"/>
          <w:szCs w:val="20"/>
          <w:lang w:eastAsia="zh-CN"/>
        </w:rPr>
        <w:t>’</w:t>
      </w:r>
      <w:r w:rsidR="007D027C" w:rsidRPr="00577D22">
        <w:rPr>
          <w:rFonts w:eastAsia="SimSun" w:cs="Arial"/>
          <w:bCs/>
          <w:color w:val="000000"/>
          <w:szCs w:val="20"/>
          <w:lang w:eastAsia="zh-CN"/>
        </w:rPr>
        <w:t xml:space="preserve">s legislative and policy assistance </w:t>
      </w:r>
      <w:r w:rsidR="00EA0990">
        <w:rPr>
          <w:rFonts w:eastAsia="SimSun" w:cs="Arial"/>
          <w:bCs/>
          <w:color w:val="000000"/>
          <w:szCs w:val="20"/>
          <w:lang w:eastAsia="zh-CN"/>
        </w:rPr>
        <w:t>was</w:t>
      </w:r>
      <w:r w:rsidR="00EA0990" w:rsidRPr="00577D22">
        <w:rPr>
          <w:rFonts w:eastAsia="SimSun" w:cs="Arial"/>
          <w:bCs/>
          <w:color w:val="000000"/>
          <w:szCs w:val="20"/>
          <w:lang w:eastAsia="zh-CN"/>
        </w:rPr>
        <w:t xml:space="preserve"> </w:t>
      </w:r>
      <w:r w:rsidR="007D027C" w:rsidRPr="00577D22">
        <w:rPr>
          <w:rFonts w:eastAsia="SimSun" w:cs="Arial"/>
          <w:bCs/>
          <w:color w:val="000000"/>
          <w:szCs w:val="20"/>
          <w:lang w:eastAsia="zh-CN"/>
        </w:rPr>
        <w:t>consistently based on the multilateral legal framework.  Member St</w:t>
      </w:r>
      <w:r w:rsidR="005C2300" w:rsidRPr="00577D22">
        <w:rPr>
          <w:rFonts w:eastAsia="SimSun" w:cs="Arial"/>
          <w:bCs/>
          <w:color w:val="000000"/>
          <w:szCs w:val="20"/>
          <w:lang w:eastAsia="zh-CN"/>
        </w:rPr>
        <w:t>ate</w:t>
      </w:r>
      <w:r w:rsidR="003A5FF7" w:rsidRPr="00577D22">
        <w:rPr>
          <w:rFonts w:eastAsia="SimSun" w:cs="Arial"/>
          <w:bCs/>
          <w:color w:val="000000"/>
          <w:szCs w:val="20"/>
          <w:lang w:eastAsia="zh-CN"/>
        </w:rPr>
        <w:t>s</w:t>
      </w:r>
      <w:r w:rsidR="005C2300" w:rsidRPr="00577D22">
        <w:rPr>
          <w:rFonts w:eastAsia="SimSun" w:cs="Arial"/>
          <w:bCs/>
          <w:color w:val="000000"/>
          <w:szCs w:val="20"/>
          <w:lang w:eastAsia="zh-CN"/>
        </w:rPr>
        <w:t>’ legislative activity has grow</w:t>
      </w:r>
      <w:r w:rsidR="007D027C" w:rsidRPr="00577D22">
        <w:rPr>
          <w:rFonts w:eastAsia="SimSun" w:cs="Arial"/>
          <w:bCs/>
          <w:color w:val="000000"/>
          <w:szCs w:val="20"/>
          <w:lang w:eastAsia="zh-CN"/>
        </w:rPr>
        <w:t>n, particularly due</w:t>
      </w:r>
      <w:r w:rsidR="003A5FF7" w:rsidRPr="00577D22">
        <w:rPr>
          <w:rFonts w:eastAsia="SimSun" w:cs="Arial"/>
          <w:bCs/>
          <w:color w:val="000000"/>
          <w:szCs w:val="20"/>
          <w:lang w:eastAsia="zh-CN"/>
        </w:rPr>
        <w:t xml:space="preserve"> to</w:t>
      </w:r>
      <w:r w:rsidR="007D027C" w:rsidRPr="00577D22">
        <w:rPr>
          <w:rFonts w:eastAsia="SimSun" w:cs="Arial"/>
          <w:bCs/>
          <w:color w:val="000000"/>
          <w:szCs w:val="20"/>
          <w:lang w:eastAsia="zh-CN"/>
        </w:rPr>
        <w:t xml:space="preserve"> their </w:t>
      </w:r>
      <w:r w:rsidR="005C2300" w:rsidRPr="00577D22">
        <w:rPr>
          <w:rFonts w:eastAsia="SimSun" w:cs="Arial"/>
          <w:bCs/>
          <w:color w:val="000000"/>
          <w:szCs w:val="20"/>
          <w:lang w:eastAsia="zh-CN"/>
        </w:rPr>
        <w:t>participation</w:t>
      </w:r>
      <w:r w:rsidR="00B40BD2" w:rsidRPr="00577D22">
        <w:rPr>
          <w:rFonts w:eastAsia="SimSun" w:cs="Arial"/>
          <w:bCs/>
          <w:color w:val="000000"/>
          <w:szCs w:val="20"/>
          <w:lang w:eastAsia="zh-CN"/>
        </w:rPr>
        <w:t xml:space="preserve"> in</w:t>
      </w:r>
      <w:r w:rsidR="003A5FF7" w:rsidRPr="00577D22">
        <w:rPr>
          <w:rFonts w:eastAsia="SimSun" w:cs="Arial"/>
          <w:bCs/>
          <w:color w:val="000000"/>
          <w:szCs w:val="20"/>
          <w:lang w:eastAsia="zh-CN"/>
        </w:rPr>
        <w:t xml:space="preserve"> </w:t>
      </w:r>
      <w:r w:rsidR="007D027C" w:rsidRPr="00577D22">
        <w:rPr>
          <w:rFonts w:eastAsia="SimSun" w:cs="Arial"/>
          <w:bCs/>
          <w:color w:val="000000"/>
          <w:szCs w:val="20"/>
          <w:lang w:eastAsia="zh-CN"/>
        </w:rPr>
        <w:t>regional economic integration process</w:t>
      </w:r>
      <w:r w:rsidR="00B40BD2" w:rsidRPr="00577D22">
        <w:rPr>
          <w:rFonts w:eastAsia="SimSun" w:cs="Arial"/>
          <w:bCs/>
          <w:color w:val="000000"/>
          <w:szCs w:val="20"/>
          <w:lang w:eastAsia="zh-CN"/>
        </w:rPr>
        <w:t>es and</w:t>
      </w:r>
      <w:r w:rsidR="003A5FF7" w:rsidRPr="00577D22">
        <w:rPr>
          <w:rFonts w:eastAsia="SimSun" w:cs="Arial"/>
          <w:bCs/>
          <w:color w:val="000000"/>
          <w:szCs w:val="20"/>
          <w:lang w:eastAsia="zh-CN"/>
        </w:rPr>
        <w:t xml:space="preserve"> </w:t>
      </w:r>
      <w:r w:rsidR="007D027C" w:rsidRPr="00577D22">
        <w:rPr>
          <w:rFonts w:eastAsia="SimSun" w:cs="Arial"/>
          <w:bCs/>
          <w:color w:val="000000"/>
          <w:szCs w:val="20"/>
          <w:lang w:eastAsia="zh-CN"/>
        </w:rPr>
        <w:t>preferential trade agreement</w:t>
      </w:r>
      <w:r w:rsidR="00782C0D" w:rsidRPr="00577D22">
        <w:rPr>
          <w:rFonts w:eastAsia="SimSun" w:cs="Arial"/>
          <w:bCs/>
          <w:color w:val="000000"/>
          <w:szCs w:val="20"/>
          <w:lang w:eastAsia="zh-CN"/>
        </w:rPr>
        <w:t>s.  Additionally, a number of Member States</w:t>
      </w:r>
      <w:r w:rsidR="007D027C" w:rsidRPr="00577D22">
        <w:rPr>
          <w:rFonts w:eastAsia="SimSun" w:cs="Arial"/>
          <w:bCs/>
          <w:color w:val="000000"/>
          <w:szCs w:val="20"/>
          <w:lang w:eastAsia="zh-CN"/>
        </w:rPr>
        <w:t xml:space="preserve"> are revising their patent law</w:t>
      </w:r>
      <w:r w:rsidR="00730079">
        <w:rPr>
          <w:rFonts w:eastAsia="SimSun" w:cs="Arial"/>
          <w:bCs/>
          <w:color w:val="000000"/>
          <w:szCs w:val="20"/>
          <w:lang w:eastAsia="zh-CN"/>
        </w:rPr>
        <w:t>s</w:t>
      </w:r>
      <w:r w:rsidR="007D027C" w:rsidRPr="00577D22">
        <w:rPr>
          <w:rFonts w:eastAsia="SimSun" w:cs="Arial"/>
          <w:bCs/>
          <w:color w:val="000000"/>
          <w:szCs w:val="20"/>
          <w:lang w:eastAsia="zh-CN"/>
        </w:rPr>
        <w:t xml:space="preserve"> to accommodate local public policies or because</w:t>
      </w:r>
      <w:r w:rsidR="003A5FF7" w:rsidRPr="00577D22">
        <w:rPr>
          <w:rFonts w:eastAsia="SimSun" w:cs="Arial"/>
          <w:bCs/>
          <w:color w:val="000000"/>
          <w:szCs w:val="20"/>
          <w:lang w:eastAsia="zh-CN"/>
        </w:rPr>
        <w:t xml:space="preserve"> of</w:t>
      </w:r>
      <w:r w:rsidR="007D027C" w:rsidRPr="00577D22">
        <w:rPr>
          <w:rFonts w:eastAsia="SimSun" w:cs="Arial"/>
          <w:bCs/>
          <w:color w:val="000000"/>
          <w:szCs w:val="20"/>
          <w:lang w:eastAsia="zh-CN"/>
        </w:rPr>
        <w:t xml:space="preserve"> their accession to multilateral treaties on patents, namely, PCT, Budapest and PLT.  Needless to say</w:t>
      </w:r>
      <w:r w:rsidR="00730079">
        <w:rPr>
          <w:rFonts w:eastAsia="SimSun" w:cs="Arial"/>
          <w:bCs/>
          <w:color w:val="000000"/>
          <w:szCs w:val="20"/>
          <w:lang w:eastAsia="zh-CN"/>
        </w:rPr>
        <w:t>,</w:t>
      </w:r>
      <w:r w:rsidR="007D027C" w:rsidRPr="00577D22">
        <w:rPr>
          <w:rFonts w:eastAsia="SimSun" w:cs="Arial"/>
          <w:bCs/>
          <w:color w:val="000000"/>
          <w:szCs w:val="20"/>
          <w:lang w:eastAsia="zh-CN"/>
        </w:rPr>
        <w:t xml:space="preserve"> </w:t>
      </w:r>
      <w:r w:rsidR="00B6736A" w:rsidRPr="00577D22">
        <w:rPr>
          <w:rFonts w:eastAsia="SimSun" w:cs="Arial"/>
          <w:bCs/>
          <w:color w:val="000000"/>
          <w:szCs w:val="20"/>
          <w:lang w:eastAsia="zh-CN"/>
        </w:rPr>
        <w:t>those countries joining the WTO systematically revise</w:t>
      </w:r>
      <w:r w:rsidR="007D027C" w:rsidRPr="00577D22">
        <w:rPr>
          <w:rFonts w:eastAsia="SimSun" w:cs="Arial"/>
          <w:bCs/>
          <w:color w:val="000000"/>
          <w:szCs w:val="20"/>
          <w:lang w:eastAsia="zh-CN"/>
        </w:rPr>
        <w:t xml:space="preserve"> their legal framework.</w:t>
      </w:r>
      <w:r w:rsidR="00DA2231" w:rsidRPr="00577D22">
        <w:rPr>
          <w:rFonts w:eastAsia="SimSun" w:cs="Arial"/>
          <w:bCs/>
          <w:color w:val="000000"/>
          <w:szCs w:val="20"/>
          <w:lang w:eastAsia="zh-CN"/>
        </w:rPr>
        <w:t xml:space="preserve"> </w:t>
      </w:r>
      <w:r w:rsidR="00513DF5">
        <w:rPr>
          <w:rFonts w:eastAsia="SimSun" w:cs="Arial"/>
          <w:bCs/>
          <w:color w:val="000000"/>
          <w:szCs w:val="20"/>
          <w:lang w:eastAsia="zh-CN"/>
        </w:rPr>
        <w:t xml:space="preserve"> </w:t>
      </w:r>
      <w:r w:rsidR="00E8703A">
        <w:rPr>
          <w:rFonts w:eastAsia="SimSun" w:cs="Arial"/>
          <w:bCs/>
          <w:color w:val="000000"/>
          <w:szCs w:val="20"/>
          <w:lang w:eastAsia="zh-CN"/>
        </w:rPr>
        <w:t>Therefore requests for legislative advice follow the same trend.</w:t>
      </w:r>
    </w:p>
    <w:p w:rsidR="00E37CE6" w:rsidRPr="00577D22" w:rsidRDefault="00E37CE6" w:rsidP="00CF19D4">
      <w:pPr>
        <w:tabs>
          <w:tab w:val="left" w:pos="709"/>
        </w:tabs>
        <w:autoSpaceDE w:val="0"/>
        <w:autoSpaceDN w:val="0"/>
        <w:adjustRightInd w:val="0"/>
        <w:jc w:val="both"/>
        <w:rPr>
          <w:rFonts w:eastAsia="SimSun" w:cs="Arial"/>
          <w:bCs/>
          <w:color w:val="000000"/>
          <w:szCs w:val="20"/>
          <w:lang w:eastAsia="zh-CN"/>
        </w:rPr>
      </w:pPr>
    </w:p>
    <w:p w:rsidR="00DA2231" w:rsidRPr="0009042A" w:rsidRDefault="00CF19D4" w:rsidP="00CF19D4">
      <w:pPr>
        <w:tabs>
          <w:tab w:val="left" w:pos="709"/>
        </w:tabs>
        <w:autoSpaceDE w:val="0"/>
        <w:autoSpaceDN w:val="0"/>
        <w:adjustRightInd w:val="0"/>
        <w:jc w:val="both"/>
        <w:rPr>
          <w:sz w:val="22"/>
          <w:szCs w:val="22"/>
        </w:rPr>
      </w:pPr>
      <w:r>
        <w:rPr>
          <w:rFonts w:eastAsia="SimSun" w:cs="Arial"/>
          <w:bCs/>
          <w:color w:val="000000"/>
          <w:szCs w:val="20"/>
          <w:lang w:eastAsia="zh-CN"/>
        </w:rPr>
        <w:t>1.</w:t>
      </w:r>
      <w:r w:rsidR="00582788">
        <w:rPr>
          <w:rFonts w:eastAsia="SimSun" w:cs="Arial"/>
          <w:bCs/>
          <w:color w:val="000000"/>
          <w:szCs w:val="20"/>
          <w:lang w:eastAsia="zh-CN"/>
        </w:rPr>
        <w:t>5</w:t>
      </w:r>
      <w:r>
        <w:rPr>
          <w:rFonts w:eastAsia="SimSun" w:cs="Arial"/>
          <w:bCs/>
          <w:color w:val="000000"/>
          <w:szCs w:val="20"/>
          <w:lang w:eastAsia="zh-CN"/>
        </w:rPr>
        <w:t>.</w:t>
      </w:r>
      <w:r>
        <w:rPr>
          <w:rFonts w:eastAsia="SimSun" w:cs="Arial"/>
          <w:bCs/>
          <w:color w:val="000000"/>
          <w:szCs w:val="20"/>
          <w:lang w:eastAsia="zh-CN"/>
        </w:rPr>
        <w:tab/>
      </w:r>
      <w:r w:rsidR="00B40BD2" w:rsidRPr="00577D22">
        <w:rPr>
          <w:rFonts w:eastAsia="SimSun" w:cs="Arial"/>
          <w:bCs/>
          <w:color w:val="000000"/>
          <w:szCs w:val="20"/>
          <w:lang w:eastAsia="zh-CN"/>
        </w:rPr>
        <w:t>Furthermore, during the</w:t>
      </w:r>
      <w:r w:rsidR="003A5FF7" w:rsidRPr="00577D22">
        <w:rPr>
          <w:rFonts w:eastAsia="SimSun" w:cs="Arial"/>
          <w:bCs/>
          <w:color w:val="000000"/>
          <w:szCs w:val="20"/>
          <w:lang w:eastAsia="zh-CN"/>
        </w:rPr>
        <w:t xml:space="preserve"> </w:t>
      </w:r>
      <w:r w:rsidR="00B40BD2" w:rsidRPr="00577D22">
        <w:rPr>
          <w:rFonts w:eastAsia="SimSun" w:cs="Arial"/>
          <w:bCs/>
          <w:color w:val="000000"/>
          <w:szCs w:val="20"/>
          <w:lang w:eastAsia="zh-CN"/>
        </w:rPr>
        <w:t>biennium</w:t>
      </w:r>
      <w:r w:rsidR="00DA2231" w:rsidRPr="00577D22">
        <w:rPr>
          <w:rFonts w:eastAsia="SimSun" w:cs="Arial"/>
          <w:bCs/>
          <w:color w:val="000000"/>
          <w:szCs w:val="20"/>
          <w:lang w:eastAsia="zh-CN"/>
        </w:rPr>
        <w:t xml:space="preserve"> the Secretariat continued to contribute to </w:t>
      </w:r>
      <w:r w:rsidR="003A5FF7" w:rsidRPr="00577D22">
        <w:rPr>
          <w:rFonts w:eastAsia="SimSun" w:cs="Arial"/>
          <w:bCs/>
          <w:color w:val="000000"/>
          <w:szCs w:val="20"/>
          <w:lang w:eastAsia="zh-CN"/>
        </w:rPr>
        <w:t xml:space="preserve">the promotion of </w:t>
      </w:r>
      <w:r w:rsidR="00DA2231" w:rsidRPr="00577D22">
        <w:rPr>
          <w:rFonts w:eastAsia="SimSun" w:cs="Arial"/>
          <w:bCs/>
          <w:color w:val="000000"/>
          <w:szCs w:val="20"/>
          <w:lang w:eastAsia="zh-CN"/>
        </w:rPr>
        <w:t xml:space="preserve">a greater awareness of the legal principles and practices of the patent system through </w:t>
      </w:r>
      <w:r w:rsidR="003A5FF7" w:rsidRPr="00577D22">
        <w:rPr>
          <w:rFonts w:eastAsia="SimSun" w:cs="Arial"/>
          <w:bCs/>
          <w:color w:val="000000"/>
          <w:szCs w:val="20"/>
          <w:lang w:eastAsia="zh-CN"/>
        </w:rPr>
        <w:t xml:space="preserve">the </w:t>
      </w:r>
      <w:r w:rsidR="00DA2231" w:rsidRPr="00577D22">
        <w:rPr>
          <w:rFonts w:eastAsia="SimSun" w:cs="Arial"/>
          <w:bCs/>
          <w:color w:val="000000"/>
          <w:szCs w:val="20"/>
          <w:lang w:eastAsia="zh-CN"/>
        </w:rPr>
        <w:t>provision of rel</w:t>
      </w:r>
      <w:r w:rsidR="001D6536" w:rsidRPr="00577D22">
        <w:rPr>
          <w:rFonts w:eastAsia="SimSun" w:cs="Arial"/>
          <w:bCs/>
          <w:color w:val="000000"/>
          <w:szCs w:val="20"/>
          <w:lang w:eastAsia="zh-CN"/>
        </w:rPr>
        <w:t xml:space="preserve">evant </w:t>
      </w:r>
      <w:r w:rsidR="00DA2231" w:rsidRPr="00577D22">
        <w:rPr>
          <w:rFonts w:eastAsia="SimSun" w:cs="Arial"/>
          <w:bCs/>
          <w:color w:val="000000"/>
          <w:szCs w:val="20"/>
          <w:lang w:eastAsia="zh-CN"/>
        </w:rPr>
        <w:t>information to intergovernmental organizations, United Nations bodies, non-governmental organizations and other parties on is</w:t>
      </w:r>
      <w:r w:rsidR="005C2300" w:rsidRPr="00577D22">
        <w:rPr>
          <w:rFonts w:eastAsia="SimSun" w:cs="Arial"/>
          <w:bCs/>
          <w:color w:val="000000"/>
          <w:szCs w:val="20"/>
          <w:lang w:eastAsia="zh-CN"/>
        </w:rPr>
        <w:t>sues covered by this Program</w:t>
      </w:r>
      <w:r w:rsidR="005C2300" w:rsidRPr="006819EA">
        <w:rPr>
          <w:szCs w:val="20"/>
        </w:rPr>
        <w:t>.</w:t>
      </w:r>
    </w:p>
    <w:p w:rsidR="0009042A" w:rsidRDefault="0009042A" w:rsidP="00CF19D4">
      <w:pPr>
        <w:tabs>
          <w:tab w:val="left" w:pos="709"/>
        </w:tabs>
        <w:autoSpaceDE w:val="0"/>
        <w:autoSpaceDN w:val="0"/>
        <w:adjustRightInd w:val="0"/>
        <w:jc w:val="both"/>
        <w:rPr>
          <w:szCs w:val="20"/>
        </w:rPr>
      </w:pPr>
    </w:p>
    <w:p w:rsidR="0009042A" w:rsidRPr="002C4083" w:rsidRDefault="0009042A" w:rsidP="0009042A">
      <w:pPr>
        <w:rPr>
          <w:bCs/>
          <w:sz w:val="22"/>
          <w:szCs w:val="22"/>
        </w:rPr>
      </w:pPr>
      <w:r w:rsidRPr="002C4083">
        <w:rPr>
          <w:bCs/>
          <w:sz w:val="22"/>
          <w:szCs w:val="22"/>
        </w:rPr>
        <w:t xml:space="preserve">IMPLEMENTATION OF THE DEVELOPMENT AGENDA </w:t>
      </w:r>
    </w:p>
    <w:p w:rsidR="0009042A" w:rsidRDefault="0009042A" w:rsidP="0009042A">
      <w:pPr>
        <w:autoSpaceDE w:val="0"/>
        <w:autoSpaceDN w:val="0"/>
        <w:adjustRightInd w:val="0"/>
        <w:jc w:val="both"/>
        <w:rPr>
          <w:szCs w:val="20"/>
        </w:rPr>
      </w:pPr>
    </w:p>
    <w:p w:rsidR="0009042A" w:rsidRPr="0009042A" w:rsidRDefault="00CF19D4" w:rsidP="00CD26D6">
      <w:pPr>
        <w:tabs>
          <w:tab w:val="left" w:pos="709"/>
        </w:tabs>
        <w:autoSpaceDE w:val="0"/>
        <w:autoSpaceDN w:val="0"/>
        <w:adjustRightInd w:val="0"/>
        <w:jc w:val="both"/>
        <w:rPr>
          <w:sz w:val="22"/>
          <w:szCs w:val="22"/>
        </w:rPr>
      </w:pPr>
      <w:r>
        <w:rPr>
          <w:rFonts w:cs="Arial"/>
          <w:bCs/>
          <w:szCs w:val="20"/>
        </w:rPr>
        <w:t>1.</w:t>
      </w:r>
      <w:r w:rsidR="00582788">
        <w:rPr>
          <w:rFonts w:cs="Arial"/>
          <w:bCs/>
          <w:szCs w:val="20"/>
        </w:rPr>
        <w:t>6</w:t>
      </w:r>
      <w:r>
        <w:rPr>
          <w:rFonts w:cs="Arial"/>
          <w:bCs/>
          <w:szCs w:val="20"/>
        </w:rPr>
        <w:t>.</w:t>
      </w:r>
      <w:r>
        <w:rPr>
          <w:rFonts w:cs="Arial"/>
          <w:bCs/>
          <w:szCs w:val="20"/>
        </w:rPr>
        <w:tab/>
      </w:r>
      <w:r w:rsidR="0009042A" w:rsidRPr="002C4902">
        <w:rPr>
          <w:rFonts w:cs="Arial"/>
          <w:bCs/>
          <w:szCs w:val="20"/>
        </w:rPr>
        <w:t>The design, planning and implementation of activities by Program 1 were informed and guided by th</w:t>
      </w:r>
      <w:r w:rsidR="00513DF5">
        <w:rPr>
          <w:rFonts w:cs="Arial"/>
          <w:bCs/>
          <w:szCs w:val="20"/>
        </w:rPr>
        <w:t>e relevant DA Recommendations. </w:t>
      </w:r>
      <w:r w:rsidR="0009042A" w:rsidRPr="002C4902">
        <w:rPr>
          <w:rFonts w:cs="Arial"/>
          <w:bCs/>
          <w:szCs w:val="20"/>
        </w:rPr>
        <w:t xml:space="preserve"> Discussions </w:t>
      </w:r>
      <w:r w:rsidR="0009042A">
        <w:rPr>
          <w:rFonts w:cs="Arial"/>
          <w:bCs/>
          <w:szCs w:val="20"/>
        </w:rPr>
        <w:t>on</w:t>
      </w:r>
      <w:r w:rsidR="0009042A" w:rsidRPr="002C4902">
        <w:rPr>
          <w:rFonts w:cs="Arial"/>
          <w:bCs/>
          <w:szCs w:val="20"/>
        </w:rPr>
        <w:t xml:space="preserve"> the progressive development of the international patent system within the SCP continued to be inclusive and member-driven, taking into account different levels of development, representing a participatory process and being in line with the principle of neutrality of the WIPO Secretariat (Recommendation 15).  The</w:t>
      </w:r>
      <w:r w:rsidR="0009042A">
        <w:rPr>
          <w:rFonts w:cs="Arial"/>
          <w:bCs/>
          <w:szCs w:val="20"/>
        </w:rPr>
        <w:t xml:space="preserve"> discussions</w:t>
      </w:r>
      <w:r w:rsidR="0009042A" w:rsidRPr="002C4902">
        <w:rPr>
          <w:rFonts w:cs="Arial"/>
          <w:bCs/>
          <w:szCs w:val="20"/>
        </w:rPr>
        <w:t xml:space="preserve"> also took into account existing flexibilities in international IP agreements (Recommendation 17).  The activities of the SCP were based upon open and balanced consultations (Recommendations 21 and 42), while being supportive of the UN development goals (Recommendation 22).</w:t>
      </w:r>
      <w:r w:rsidR="0009042A" w:rsidRPr="002C4902">
        <w:rPr>
          <w:rFonts w:cs="Arial"/>
          <w:b/>
          <w:bCs/>
          <w:szCs w:val="20"/>
        </w:rPr>
        <w:t>  </w:t>
      </w:r>
      <w:r w:rsidR="0009042A" w:rsidRPr="002C4902">
        <w:rPr>
          <w:rFonts w:cs="Arial"/>
          <w:szCs w:val="20"/>
        </w:rPr>
        <w:t>In particular, in line with Recommendation 22, working documents of the SCP address</w:t>
      </w:r>
      <w:r w:rsidR="0009042A">
        <w:rPr>
          <w:rFonts w:cs="Arial"/>
          <w:szCs w:val="20"/>
        </w:rPr>
        <w:t>ed</w:t>
      </w:r>
      <w:r w:rsidR="0009042A" w:rsidRPr="002C4902">
        <w:rPr>
          <w:rFonts w:cs="Arial"/>
          <w:szCs w:val="20"/>
        </w:rPr>
        <w:t xml:space="preserve"> issues such as:  (i) patent-related transfer of technology;</w:t>
      </w:r>
      <w:r w:rsidR="00513DF5">
        <w:rPr>
          <w:rFonts w:cs="Arial"/>
          <w:szCs w:val="20"/>
        </w:rPr>
        <w:t xml:space="preserve"> </w:t>
      </w:r>
      <w:r w:rsidR="0009042A" w:rsidRPr="002C4902">
        <w:rPr>
          <w:rFonts w:cs="Arial"/>
          <w:szCs w:val="20"/>
        </w:rPr>
        <w:t>and (ii) potential flexibilities, exceptions and limitations for Member States</w:t>
      </w:r>
      <w:r w:rsidR="0009042A">
        <w:rPr>
          <w:rFonts w:cs="Arial"/>
          <w:szCs w:val="20"/>
        </w:rPr>
        <w:t>.</w:t>
      </w:r>
    </w:p>
    <w:p w:rsidR="0009042A" w:rsidRPr="0009042A" w:rsidRDefault="0009042A" w:rsidP="0009042A">
      <w:pPr>
        <w:autoSpaceDE w:val="0"/>
        <w:autoSpaceDN w:val="0"/>
        <w:adjustRightInd w:val="0"/>
        <w:jc w:val="both"/>
        <w:rPr>
          <w:sz w:val="22"/>
          <w:szCs w:val="22"/>
        </w:rPr>
      </w:pPr>
    </w:p>
    <w:p w:rsidR="0009042A" w:rsidRPr="0009042A" w:rsidRDefault="00CF19D4" w:rsidP="00CF19D4">
      <w:pPr>
        <w:tabs>
          <w:tab w:val="left" w:pos="709"/>
        </w:tabs>
        <w:autoSpaceDE w:val="0"/>
        <w:autoSpaceDN w:val="0"/>
        <w:adjustRightInd w:val="0"/>
        <w:jc w:val="both"/>
        <w:rPr>
          <w:sz w:val="22"/>
          <w:szCs w:val="22"/>
        </w:rPr>
      </w:pPr>
      <w:r>
        <w:rPr>
          <w:rFonts w:cs="Arial"/>
          <w:bCs/>
          <w:szCs w:val="20"/>
        </w:rPr>
        <w:t>1.</w:t>
      </w:r>
      <w:r w:rsidR="00582788">
        <w:rPr>
          <w:rFonts w:cs="Arial"/>
          <w:bCs/>
          <w:szCs w:val="20"/>
        </w:rPr>
        <w:t>7</w:t>
      </w:r>
      <w:r>
        <w:rPr>
          <w:rFonts w:cs="Arial"/>
          <w:bCs/>
          <w:szCs w:val="20"/>
        </w:rPr>
        <w:t>.</w:t>
      </w:r>
      <w:r>
        <w:rPr>
          <w:rFonts w:cs="Arial"/>
          <w:bCs/>
          <w:szCs w:val="20"/>
        </w:rPr>
        <w:tab/>
      </w:r>
      <w:r w:rsidR="0009042A" w:rsidRPr="002C4902">
        <w:rPr>
          <w:rFonts w:cs="Arial"/>
          <w:bCs/>
          <w:szCs w:val="20"/>
        </w:rPr>
        <w:t>The Program’s capacity-building and legislative and policy assistance activities were development-oriented, demand-driven and carried out within the timeframe planned (Recommendations 1, 13 and</w:t>
      </w:r>
      <w:r w:rsidR="0009042A">
        <w:rPr>
          <w:rFonts w:cs="Arial"/>
          <w:bCs/>
          <w:szCs w:val="20"/>
        </w:rPr>
        <w:t> </w:t>
      </w:r>
      <w:r w:rsidR="0009042A" w:rsidRPr="002C4902">
        <w:rPr>
          <w:rFonts w:cs="Arial"/>
          <w:bCs/>
          <w:szCs w:val="20"/>
        </w:rPr>
        <w:t>14).</w:t>
      </w:r>
    </w:p>
    <w:p w:rsidR="0009042A" w:rsidRPr="0009042A" w:rsidRDefault="00CF19D4" w:rsidP="00CF19D4">
      <w:pPr>
        <w:tabs>
          <w:tab w:val="left" w:pos="709"/>
        </w:tabs>
        <w:autoSpaceDE w:val="0"/>
        <w:autoSpaceDN w:val="0"/>
        <w:adjustRightInd w:val="0"/>
        <w:jc w:val="both"/>
        <w:rPr>
          <w:sz w:val="22"/>
          <w:szCs w:val="22"/>
        </w:rPr>
      </w:pPr>
      <w:r>
        <w:rPr>
          <w:rFonts w:cs="Arial"/>
          <w:bCs/>
          <w:szCs w:val="20"/>
        </w:rPr>
        <w:lastRenderedPageBreak/>
        <w:t>1.</w:t>
      </w:r>
      <w:r w:rsidR="00582788">
        <w:rPr>
          <w:rFonts w:cs="Arial"/>
          <w:bCs/>
          <w:szCs w:val="20"/>
        </w:rPr>
        <w:t>8</w:t>
      </w:r>
      <w:r>
        <w:rPr>
          <w:rFonts w:cs="Arial"/>
          <w:bCs/>
          <w:szCs w:val="20"/>
        </w:rPr>
        <w:t>.</w:t>
      </w:r>
      <w:r>
        <w:rPr>
          <w:rFonts w:cs="Arial"/>
          <w:bCs/>
          <w:szCs w:val="20"/>
        </w:rPr>
        <w:tab/>
      </w:r>
      <w:r w:rsidR="0009042A" w:rsidRPr="002C4902">
        <w:rPr>
          <w:rFonts w:cs="Arial"/>
          <w:bCs/>
          <w:szCs w:val="20"/>
        </w:rPr>
        <w:t xml:space="preserve">In addition, in accordance with Recommendations 16 and 20, the Program was engaged in the implementation of the </w:t>
      </w:r>
      <w:r w:rsidR="0009042A">
        <w:rPr>
          <w:rFonts w:cs="Arial"/>
          <w:bCs/>
          <w:szCs w:val="20"/>
        </w:rPr>
        <w:t xml:space="preserve">DA </w:t>
      </w:r>
      <w:r w:rsidR="0009042A" w:rsidRPr="002C4902">
        <w:rPr>
          <w:rFonts w:cs="Arial"/>
          <w:bCs/>
          <w:szCs w:val="20"/>
        </w:rPr>
        <w:t xml:space="preserve">Project on Patents and the Public Domain.  In this regard, a Study on Patents and the Public Domain (II) was presented to the twelfth session of the CDIP. </w:t>
      </w:r>
      <w:r w:rsidR="0009042A">
        <w:rPr>
          <w:rFonts w:cs="Arial"/>
          <w:bCs/>
          <w:szCs w:val="20"/>
        </w:rPr>
        <w:t xml:space="preserve"> </w:t>
      </w:r>
      <w:r w:rsidR="0009042A" w:rsidRPr="002C4902">
        <w:rPr>
          <w:rFonts w:cs="Arial"/>
          <w:bCs/>
          <w:szCs w:val="20"/>
        </w:rPr>
        <w:t xml:space="preserve">The Program also contributed to the evaluation of </w:t>
      </w:r>
      <w:r w:rsidR="0009042A">
        <w:rPr>
          <w:rFonts w:cs="Arial"/>
          <w:bCs/>
          <w:szCs w:val="20"/>
        </w:rPr>
        <w:t>the</w:t>
      </w:r>
      <w:r w:rsidR="0009042A" w:rsidRPr="002C4902">
        <w:rPr>
          <w:rFonts w:cs="Arial"/>
          <w:bCs/>
          <w:szCs w:val="20"/>
        </w:rPr>
        <w:t xml:space="preserve"> Projects on IP and the Public Domain and </w:t>
      </w:r>
      <w:r w:rsidR="0009042A">
        <w:rPr>
          <w:rFonts w:cs="Arial"/>
          <w:bCs/>
          <w:szCs w:val="20"/>
        </w:rPr>
        <w:t xml:space="preserve">on </w:t>
      </w:r>
      <w:r w:rsidR="0009042A" w:rsidRPr="002C4902">
        <w:rPr>
          <w:rFonts w:cs="Arial"/>
          <w:bCs/>
          <w:szCs w:val="20"/>
        </w:rPr>
        <w:t>Patents and the Public Domain</w:t>
      </w:r>
      <w:r w:rsidR="0009042A">
        <w:rPr>
          <w:rFonts w:cs="Arial"/>
          <w:bCs/>
          <w:szCs w:val="20"/>
        </w:rPr>
        <w:t>.</w:t>
      </w:r>
    </w:p>
    <w:p w:rsidR="0009042A" w:rsidRPr="0009042A" w:rsidRDefault="0009042A" w:rsidP="00CF19D4">
      <w:pPr>
        <w:tabs>
          <w:tab w:val="num" w:pos="680"/>
        </w:tabs>
        <w:autoSpaceDE w:val="0"/>
        <w:autoSpaceDN w:val="0"/>
        <w:adjustRightInd w:val="0"/>
        <w:jc w:val="both"/>
        <w:rPr>
          <w:sz w:val="22"/>
          <w:szCs w:val="22"/>
        </w:rPr>
      </w:pPr>
    </w:p>
    <w:p w:rsidR="0009042A" w:rsidRPr="0009042A" w:rsidRDefault="00CF19D4" w:rsidP="00CD26D6">
      <w:pPr>
        <w:tabs>
          <w:tab w:val="left" w:pos="709"/>
        </w:tabs>
        <w:autoSpaceDE w:val="0"/>
        <w:autoSpaceDN w:val="0"/>
        <w:adjustRightInd w:val="0"/>
        <w:jc w:val="both"/>
        <w:rPr>
          <w:sz w:val="22"/>
          <w:szCs w:val="22"/>
        </w:rPr>
      </w:pPr>
      <w:r>
        <w:rPr>
          <w:rFonts w:cs="Arial"/>
          <w:bCs/>
          <w:szCs w:val="20"/>
        </w:rPr>
        <w:t>1.</w:t>
      </w:r>
      <w:r w:rsidR="00582788">
        <w:rPr>
          <w:rFonts w:cs="Arial"/>
          <w:bCs/>
          <w:szCs w:val="20"/>
        </w:rPr>
        <w:t>9</w:t>
      </w:r>
      <w:r>
        <w:rPr>
          <w:rFonts w:cs="Arial"/>
          <w:bCs/>
          <w:szCs w:val="20"/>
        </w:rPr>
        <w:t>.</w:t>
      </w:r>
      <w:r>
        <w:rPr>
          <w:rFonts w:cs="Arial"/>
          <w:bCs/>
          <w:szCs w:val="20"/>
        </w:rPr>
        <w:tab/>
      </w:r>
      <w:r w:rsidR="0009042A" w:rsidRPr="002C4902">
        <w:rPr>
          <w:rFonts w:cs="Arial"/>
          <w:bCs/>
          <w:szCs w:val="20"/>
        </w:rPr>
        <w:t>The Program also presented a document on the Work Program on Flexibilities in the Intellectual Property System – New Elements Proposed at CDIP/8 (CDIP/9/11) to the ninth session of the CDIP.  Documents providing information on four topics pertaining to patent-related flexibilities (CDIP10/11 and CDIP/10/11 Add.) were prepared and discussed by the CDIP at its tenth and eleventh session</w:t>
      </w:r>
      <w:r w:rsidR="00C74BEB">
        <w:rPr>
          <w:rFonts w:cs="Arial"/>
          <w:bCs/>
          <w:szCs w:val="20"/>
        </w:rPr>
        <w:t>s</w:t>
      </w:r>
      <w:r w:rsidR="0009042A">
        <w:rPr>
          <w:rFonts w:cs="Arial"/>
          <w:bCs/>
          <w:szCs w:val="20"/>
        </w:rPr>
        <w:t>.</w:t>
      </w:r>
    </w:p>
    <w:p w:rsidR="0009042A" w:rsidRPr="0009042A" w:rsidRDefault="0009042A" w:rsidP="00CF19D4">
      <w:pPr>
        <w:tabs>
          <w:tab w:val="num" w:pos="680"/>
        </w:tabs>
        <w:autoSpaceDE w:val="0"/>
        <w:autoSpaceDN w:val="0"/>
        <w:adjustRightInd w:val="0"/>
        <w:jc w:val="both"/>
        <w:rPr>
          <w:sz w:val="22"/>
          <w:szCs w:val="22"/>
        </w:rPr>
      </w:pPr>
    </w:p>
    <w:p w:rsidR="0009042A" w:rsidRPr="0009042A" w:rsidRDefault="00CF19D4" w:rsidP="00CD26D6">
      <w:pPr>
        <w:tabs>
          <w:tab w:val="left" w:pos="709"/>
        </w:tabs>
        <w:autoSpaceDE w:val="0"/>
        <w:autoSpaceDN w:val="0"/>
        <w:adjustRightInd w:val="0"/>
        <w:jc w:val="both"/>
        <w:rPr>
          <w:sz w:val="22"/>
          <w:szCs w:val="22"/>
        </w:rPr>
      </w:pPr>
      <w:r>
        <w:rPr>
          <w:rFonts w:cs="Arial"/>
          <w:bCs/>
          <w:szCs w:val="20"/>
        </w:rPr>
        <w:t>1.</w:t>
      </w:r>
      <w:r w:rsidR="00582788">
        <w:rPr>
          <w:rFonts w:cs="Arial"/>
          <w:bCs/>
          <w:szCs w:val="20"/>
        </w:rPr>
        <w:t>10</w:t>
      </w:r>
      <w:r>
        <w:rPr>
          <w:rFonts w:cs="Arial"/>
          <w:bCs/>
          <w:szCs w:val="20"/>
        </w:rPr>
        <w:t>.</w:t>
      </w:r>
      <w:r>
        <w:rPr>
          <w:rFonts w:cs="Arial"/>
          <w:bCs/>
          <w:szCs w:val="20"/>
        </w:rPr>
        <w:tab/>
      </w:r>
      <w:r w:rsidR="0009042A" w:rsidRPr="002C4902">
        <w:rPr>
          <w:rFonts w:cs="Arial"/>
          <w:bCs/>
          <w:szCs w:val="20"/>
        </w:rPr>
        <w:t>The Program also undertook activities aimed at raising awareness on the practical implementation of flexibilities at the national level.  In this regard, in 2013, a WIPO Regional Seminar for Certain African Countries on the Implementation and Use of Several Patent-Related Flexibilities was organized in Durban, South Africa;</w:t>
      </w:r>
      <w:r w:rsidR="0009042A" w:rsidRPr="002C4902">
        <w:rPr>
          <w:rFonts w:cs="Arial"/>
          <w:b/>
          <w:bCs/>
          <w:szCs w:val="20"/>
        </w:rPr>
        <w:t xml:space="preserve"> </w:t>
      </w:r>
      <w:r w:rsidR="0009042A" w:rsidRPr="002C4902">
        <w:rPr>
          <w:rFonts w:cs="Arial"/>
          <w:szCs w:val="20"/>
        </w:rPr>
        <w:t>and a Seminar for Certain Caucasian, Central Asian and Eastern European Countries and Central European, Baltic and Mediterranean Countries on the Implementation and Use of Several Patent-Related Flexibilities was organized in Astana, Kazakhstan</w:t>
      </w:r>
      <w:r w:rsidR="0009042A">
        <w:rPr>
          <w:rFonts w:cs="Arial"/>
          <w:szCs w:val="20"/>
        </w:rPr>
        <w:t>.</w:t>
      </w:r>
    </w:p>
    <w:p w:rsidR="0042797C" w:rsidRPr="0009042A" w:rsidRDefault="0042797C" w:rsidP="0009042A">
      <w:pPr>
        <w:rPr>
          <w:rFonts w:cs="Arial"/>
          <w:bCs/>
          <w:szCs w:val="20"/>
        </w:rPr>
      </w:pPr>
    </w:p>
    <w:p w:rsidR="00B63AC7" w:rsidRPr="00035B75" w:rsidRDefault="00B63AC7" w:rsidP="00A8525E">
      <w:pPr>
        <w:jc w:val="both"/>
        <w:rPr>
          <w:rFonts w:cs="Arial"/>
          <w:szCs w:val="20"/>
        </w:rPr>
      </w:pPr>
    </w:p>
    <w:p w:rsidR="00A8525E" w:rsidRDefault="00A8525E" w:rsidP="00A8525E">
      <w:pPr>
        <w:jc w:val="both"/>
        <w:rPr>
          <w:rFonts w:cs="Arial"/>
          <w:sz w:val="22"/>
          <w:szCs w:val="22"/>
        </w:rPr>
      </w:pPr>
      <w:r w:rsidRPr="005E6AFC">
        <w:rPr>
          <w:rFonts w:cs="Arial"/>
          <w:sz w:val="22"/>
          <w:szCs w:val="22"/>
        </w:rPr>
        <w:t>PERFORMANCE DATA</w:t>
      </w:r>
    </w:p>
    <w:p w:rsidR="00A8525E" w:rsidRPr="00035B75" w:rsidRDefault="00A8525E" w:rsidP="00A8525E">
      <w:pPr>
        <w:rPr>
          <w:b/>
          <w:szCs w:val="20"/>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32"/>
        <w:gridCol w:w="1795"/>
        <w:gridCol w:w="1615"/>
        <w:gridCol w:w="3423"/>
        <w:gridCol w:w="992"/>
      </w:tblGrid>
      <w:tr w:rsidR="005E6AFC" w:rsidRPr="00B36F18" w:rsidTr="00AB2445">
        <w:tc>
          <w:tcPr>
            <w:tcW w:w="5000" w:type="pct"/>
            <w:gridSpan w:val="5"/>
            <w:tcBorders>
              <w:top w:val="single" w:sz="4" w:space="0" w:color="auto"/>
              <w:bottom w:val="single" w:sz="4" w:space="0" w:color="auto"/>
            </w:tcBorders>
            <w:shd w:val="clear" w:color="auto" w:fill="CCFFFF"/>
            <w:vAlign w:val="center"/>
          </w:tcPr>
          <w:p w:rsidR="005E6AFC" w:rsidRPr="00B36F18" w:rsidRDefault="005E6AFC" w:rsidP="005E6AFC">
            <w:pPr>
              <w:keepNext/>
              <w:keepLines/>
              <w:tabs>
                <w:tab w:val="left" w:pos="1452"/>
              </w:tabs>
              <w:spacing w:before="120" w:after="120"/>
              <w:ind w:left="1452" w:hanging="1452"/>
              <w:rPr>
                <w:rFonts w:cs="Arial"/>
                <w:b/>
                <w:bCs/>
                <w:sz w:val="16"/>
                <w:szCs w:val="16"/>
              </w:rPr>
            </w:pPr>
            <w:r w:rsidRPr="00B36F18">
              <w:rPr>
                <w:rFonts w:cs="Arial"/>
                <w:b/>
                <w:bCs/>
                <w:sz w:val="16"/>
                <w:szCs w:val="16"/>
              </w:rPr>
              <w:t>Expected Result:</w:t>
            </w:r>
            <w:r w:rsidRPr="00B36F18">
              <w:rPr>
                <w:rFonts w:cs="Arial"/>
                <w:b/>
                <w:bCs/>
                <w:sz w:val="16"/>
                <w:szCs w:val="16"/>
              </w:rPr>
              <w:tab/>
            </w:r>
            <w:r w:rsidRPr="00B36F18">
              <w:rPr>
                <w:rFonts w:cs="Arial"/>
                <w:sz w:val="16"/>
                <w:szCs w:val="16"/>
                <w:lang w:bidi="th-TH"/>
              </w:rPr>
              <w:t>Enhanced cooperation/ greater consensus among Member States on further developing balanced policy and normative frameworks for the international patent system, trademarks, industrial designs, geographical indications, copyright and related rights, TK, TCEs and GRs</w:t>
            </w:r>
          </w:p>
        </w:tc>
      </w:tr>
      <w:tr w:rsidR="00400A45" w:rsidRPr="00B36F18" w:rsidTr="00AB2445">
        <w:tc>
          <w:tcPr>
            <w:tcW w:w="819" w:type="pct"/>
            <w:tcBorders>
              <w:top w:val="single" w:sz="4" w:space="0" w:color="auto"/>
            </w:tcBorders>
            <w:shd w:val="clear" w:color="auto" w:fill="auto"/>
            <w:vAlign w:val="center"/>
          </w:tcPr>
          <w:p w:rsidR="00400A45" w:rsidRPr="00B36F18" w:rsidRDefault="00400A45" w:rsidP="00582788">
            <w:pPr>
              <w:rPr>
                <w:rFonts w:cs="Arial"/>
                <w:sz w:val="16"/>
                <w:szCs w:val="16"/>
              </w:rPr>
            </w:pPr>
            <w:r w:rsidRPr="00B36F18">
              <w:rPr>
                <w:rFonts w:cs="Arial"/>
                <w:b/>
                <w:bCs/>
                <w:sz w:val="16"/>
                <w:szCs w:val="16"/>
              </w:rPr>
              <w:t>Performance Indicators</w:t>
            </w:r>
          </w:p>
        </w:tc>
        <w:tc>
          <w:tcPr>
            <w:tcW w:w="959" w:type="pct"/>
            <w:tcBorders>
              <w:top w:val="single" w:sz="4" w:space="0" w:color="auto"/>
            </w:tcBorders>
            <w:shd w:val="clear" w:color="auto" w:fill="auto"/>
            <w:vAlign w:val="center"/>
          </w:tcPr>
          <w:p w:rsidR="00400A45" w:rsidRPr="00B36F18" w:rsidRDefault="00400A45" w:rsidP="00582788">
            <w:pPr>
              <w:rPr>
                <w:rFonts w:cs="Arial"/>
                <w:b/>
                <w:bCs/>
                <w:sz w:val="16"/>
                <w:szCs w:val="16"/>
              </w:rPr>
            </w:pPr>
            <w:r w:rsidRPr="00B36F18">
              <w:rPr>
                <w:rFonts w:cs="Arial"/>
                <w:b/>
                <w:bCs/>
                <w:sz w:val="16"/>
                <w:szCs w:val="16"/>
              </w:rPr>
              <w:t>Baselines</w:t>
            </w:r>
          </w:p>
        </w:tc>
        <w:tc>
          <w:tcPr>
            <w:tcW w:w="863" w:type="pct"/>
            <w:tcBorders>
              <w:top w:val="single" w:sz="4" w:space="0" w:color="auto"/>
            </w:tcBorders>
            <w:shd w:val="clear" w:color="auto" w:fill="auto"/>
            <w:tcMar>
              <w:top w:w="110" w:type="dxa"/>
            </w:tcMar>
            <w:vAlign w:val="center"/>
          </w:tcPr>
          <w:p w:rsidR="00400A45" w:rsidRPr="00B36F18" w:rsidRDefault="00A41C49" w:rsidP="00582788">
            <w:pPr>
              <w:rPr>
                <w:rFonts w:cs="Arial"/>
                <w:b/>
                <w:sz w:val="16"/>
                <w:szCs w:val="16"/>
              </w:rPr>
            </w:pPr>
            <w:r w:rsidRPr="00B36F18">
              <w:rPr>
                <w:rFonts w:cs="Arial"/>
                <w:b/>
                <w:sz w:val="16"/>
                <w:szCs w:val="16"/>
              </w:rPr>
              <w:t>Target</w:t>
            </w:r>
            <w:r w:rsidR="00582788" w:rsidRPr="00B36F18">
              <w:rPr>
                <w:rFonts w:cs="Arial"/>
                <w:b/>
                <w:sz w:val="16"/>
                <w:szCs w:val="16"/>
              </w:rPr>
              <w:t>s</w:t>
            </w:r>
          </w:p>
        </w:tc>
        <w:tc>
          <w:tcPr>
            <w:tcW w:w="1829" w:type="pct"/>
            <w:tcBorders>
              <w:top w:val="single" w:sz="4" w:space="0" w:color="auto"/>
            </w:tcBorders>
            <w:shd w:val="clear" w:color="auto" w:fill="FFFFFF"/>
            <w:tcMar>
              <w:top w:w="110" w:type="dxa"/>
            </w:tcMar>
            <w:vAlign w:val="center"/>
          </w:tcPr>
          <w:p w:rsidR="00400A45" w:rsidRPr="00B36F18" w:rsidRDefault="00400A45" w:rsidP="00582788">
            <w:pPr>
              <w:rPr>
                <w:rFonts w:cs="Arial"/>
                <w:sz w:val="16"/>
                <w:szCs w:val="16"/>
              </w:rPr>
            </w:pPr>
            <w:r w:rsidRPr="00B36F18">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400A45" w:rsidRPr="00B36F18" w:rsidRDefault="00400A45" w:rsidP="00582788">
            <w:pPr>
              <w:keepNext/>
              <w:keepLines/>
              <w:jc w:val="center"/>
              <w:rPr>
                <w:rFonts w:cs="Arial"/>
                <w:b/>
                <w:sz w:val="16"/>
                <w:szCs w:val="16"/>
              </w:rPr>
            </w:pPr>
            <w:r w:rsidRPr="00B36F18">
              <w:rPr>
                <w:rFonts w:cs="Arial"/>
                <w:b/>
                <w:bCs/>
                <w:sz w:val="16"/>
                <w:szCs w:val="16"/>
              </w:rPr>
              <w:t>TLS</w:t>
            </w:r>
          </w:p>
        </w:tc>
      </w:tr>
      <w:tr w:rsidR="00400A45" w:rsidRPr="00B36F18" w:rsidTr="00AB2445">
        <w:tc>
          <w:tcPr>
            <w:tcW w:w="819" w:type="pct"/>
            <w:tcBorders>
              <w:bottom w:val="single" w:sz="4" w:space="0" w:color="auto"/>
            </w:tcBorders>
            <w:shd w:val="clear" w:color="auto" w:fill="auto"/>
          </w:tcPr>
          <w:p w:rsidR="00400A45" w:rsidRPr="00B36F18" w:rsidRDefault="00400A45" w:rsidP="00A8525E">
            <w:pPr>
              <w:rPr>
                <w:rFonts w:cs="Arial"/>
                <w:sz w:val="16"/>
                <w:szCs w:val="16"/>
              </w:rPr>
            </w:pPr>
            <w:r w:rsidRPr="00B36F18">
              <w:rPr>
                <w:rFonts w:cs="Arial"/>
                <w:sz w:val="16"/>
                <w:szCs w:val="16"/>
                <w:lang w:bidi="th-TH"/>
              </w:rPr>
              <w:t>Progress on the implementation of SCP agreed steps/plans</w:t>
            </w:r>
          </w:p>
        </w:tc>
        <w:tc>
          <w:tcPr>
            <w:tcW w:w="959" w:type="pct"/>
            <w:tcBorders>
              <w:bottom w:val="single" w:sz="4" w:space="0" w:color="auto"/>
            </w:tcBorders>
            <w:shd w:val="clear" w:color="auto" w:fill="auto"/>
          </w:tcPr>
          <w:p w:rsidR="00A41C49" w:rsidRPr="00B36F18" w:rsidRDefault="00A41C49" w:rsidP="00B36F18">
            <w:pPr>
              <w:rPr>
                <w:rFonts w:cs="Arial"/>
                <w:i/>
                <w:color w:val="002060"/>
                <w:sz w:val="16"/>
                <w:szCs w:val="16"/>
              </w:rPr>
            </w:pPr>
            <w:r w:rsidRPr="00B36F18">
              <w:rPr>
                <w:rFonts w:cs="Arial"/>
                <w:i/>
                <w:color w:val="002060"/>
                <w:sz w:val="16"/>
                <w:szCs w:val="16"/>
              </w:rPr>
              <w:t>Updated Baseline</w:t>
            </w:r>
            <w:r w:rsidRPr="00B36F18">
              <w:rPr>
                <w:rFonts w:cs="Arial"/>
                <w:i/>
                <w:color w:val="002060"/>
                <w:sz w:val="16"/>
                <w:szCs w:val="16"/>
              </w:rPr>
              <w:br/>
              <w:t>end 2011:</w:t>
            </w:r>
            <w:r w:rsidR="00B36F18" w:rsidRPr="00B36F18">
              <w:rPr>
                <w:rFonts w:cs="Arial"/>
                <w:i/>
                <w:color w:val="002060"/>
                <w:sz w:val="16"/>
                <w:szCs w:val="16"/>
              </w:rPr>
              <w:t xml:space="preserve">  </w:t>
            </w:r>
            <w:r w:rsidRPr="00B36F18">
              <w:rPr>
                <w:rFonts w:cs="Arial"/>
                <w:color w:val="002060"/>
                <w:sz w:val="16"/>
                <w:szCs w:val="16"/>
                <w:lang w:bidi="th-TH"/>
              </w:rPr>
              <w:t>SCP/17 agreed to continue work on five issues (December 2011)</w:t>
            </w:r>
          </w:p>
          <w:p w:rsidR="00A41C49" w:rsidRPr="00B36F18" w:rsidRDefault="00A41C49" w:rsidP="00B36F18">
            <w:pPr>
              <w:rPr>
                <w:rFonts w:cs="Arial"/>
                <w:i/>
                <w:sz w:val="8"/>
                <w:szCs w:val="8"/>
              </w:rPr>
            </w:pPr>
          </w:p>
          <w:p w:rsidR="001B013D" w:rsidRPr="00B36F18" w:rsidRDefault="0009042A" w:rsidP="00B36F18">
            <w:pPr>
              <w:rPr>
                <w:rFonts w:cs="Arial"/>
                <w:i/>
                <w:sz w:val="16"/>
                <w:szCs w:val="16"/>
                <w:lang w:bidi="th-TH"/>
              </w:rPr>
            </w:pPr>
            <w:r w:rsidRPr="00B36F18">
              <w:rPr>
                <w:rFonts w:cs="Arial"/>
                <w:i/>
                <w:sz w:val="16"/>
                <w:szCs w:val="16"/>
                <w:lang w:bidi="th-TH"/>
              </w:rPr>
              <w:t xml:space="preserve">Original </w:t>
            </w:r>
            <w:r w:rsidR="00400A45" w:rsidRPr="00B36F18">
              <w:rPr>
                <w:rFonts w:cs="Arial"/>
                <w:i/>
                <w:sz w:val="16"/>
                <w:szCs w:val="16"/>
                <w:lang w:bidi="th-TH"/>
              </w:rPr>
              <w:t>Baselin</w:t>
            </w:r>
            <w:r w:rsidR="00D24708" w:rsidRPr="00B36F18">
              <w:rPr>
                <w:rFonts w:cs="Arial"/>
                <w:i/>
                <w:sz w:val="16"/>
                <w:szCs w:val="16"/>
                <w:lang w:bidi="th-TH"/>
              </w:rPr>
              <w:t>e</w:t>
            </w:r>
            <w:r w:rsidR="00A41C49" w:rsidRPr="00B36F18">
              <w:rPr>
                <w:rFonts w:cs="Arial"/>
                <w:i/>
                <w:sz w:val="16"/>
                <w:szCs w:val="16"/>
                <w:lang w:bidi="th-TH"/>
              </w:rPr>
              <w:t xml:space="preserve"> </w:t>
            </w:r>
            <w:r w:rsidR="00A41C49" w:rsidRPr="00B36F18">
              <w:rPr>
                <w:rFonts w:cs="Arial"/>
                <w:i/>
                <w:sz w:val="16"/>
                <w:szCs w:val="16"/>
                <w:lang w:bidi="th-TH"/>
              </w:rPr>
              <w:br/>
              <w:t>P&amp;B 2012/13</w:t>
            </w:r>
            <w:r w:rsidR="00D24708" w:rsidRPr="00B36F18">
              <w:rPr>
                <w:rFonts w:cs="Arial"/>
                <w:i/>
                <w:sz w:val="16"/>
                <w:szCs w:val="16"/>
                <w:lang w:bidi="th-TH"/>
              </w:rPr>
              <w:t>:</w:t>
            </w:r>
            <w:r w:rsidR="00B36F18" w:rsidRPr="00B36F18">
              <w:rPr>
                <w:rFonts w:cs="Arial"/>
                <w:i/>
                <w:sz w:val="16"/>
                <w:szCs w:val="16"/>
                <w:lang w:bidi="th-TH"/>
              </w:rPr>
              <w:t xml:space="preserve"> </w:t>
            </w:r>
            <w:r w:rsidR="00400A45" w:rsidRPr="00B36F18">
              <w:rPr>
                <w:rFonts w:cs="Arial"/>
                <w:sz w:val="16"/>
                <w:szCs w:val="16"/>
                <w:lang w:bidi="th-TH"/>
              </w:rPr>
              <w:t>SCP/15 agreed its future work in five areas (October 15, 2010)</w:t>
            </w:r>
          </w:p>
          <w:p w:rsidR="00400A45" w:rsidRPr="00B36F18" w:rsidRDefault="00400A45" w:rsidP="00A41C49">
            <w:pPr>
              <w:rPr>
                <w:rFonts w:cs="Arial"/>
                <w:sz w:val="16"/>
                <w:szCs w:val="16"/>
              </w:rPr>
            </w:pPr>
          </w:p>
        </w:tc>
        <w:tc>
          <w:tcPr>
            <w:tcW w:w="863" w:type="pct"/>
            <w:tcBorders>
              <w:bottom w:val="single" w:sz="4" w:space="0" w:color="auto"/>
            </w:tcBorders>
            <w:shd w:val="clear" w:color="auto" w:fill="auto"/>
            <w:tcMar>
              <w:top w:w="110" w:type="dxa"/>
            </w:tcMar>
          </w:tcPr>
          <w:p w:rsidR="00A41C49" w:rsidRPr="00B36F18" w:rsidRDefault="00A41C49" w:rsidP="00A41C49">
            <w:pPr>
              <w:autoSpaceDE w:val="0"/>
              <w:autoSpaceDN w:val="0"/>
              <w:adjustRightInd w:val="0"/>
              <w:rPr>
                <w:rFonts w:cs="Arial"/>
                <w:sz w:val="16"/>
                <w:szCs w:val="16"/>
              </w:rPr>
            </w:pPr>
            <w:r w:rsidRPr="00B36F18">
              <w:rPr>
                <w:rFonts w:cs="Arial"/>
                <w:sz w:val="16"/>
                <w:szCs w:val="16"/>
              </w:rPr>
              <w:t>Advancement on</w:t>
            </w:r>
          </w:p>
          <w:p w:rsidR="00A41C49" w:rsidRPr="00B36F18" w:rsidRDefault="00A41C49" w:rsidP="00A41C49">
            <w:pPr>
              <w:autoSpaceDE w:val="0"/>
              <w:autoSpaceDN w:val="0"/>
              <w:adjustRightInd w:val="0"/>
              <w:rPr>
                <w:rFonts w:cs="Arial"/>
                <w:sz w:val="16"/>
                <w:szCs w:val="16"/>
              </w:rPr>
            </w:pPr>
            <w:r w:rsidRPr="00B36F18">
              <w:rPr>
                <w:rFonts w:cs="Arial"/>
                <w:sz w:val="16"/>
                <w:szCs w:val="16"/>
              </w:rPr>
              <w:t>issues of common</w:t>
            </w:r>
          </w:p>
          <w:p w:rsidR="00400A45" w:rsidRPr="00B36F18" w:rsidRDefault="00A41C49" w:rsidP="00A8525E">
            <w:pPr>
              <w:rPr>
                <w:rFonts w:cs="Arial"/>
                <w:i/>
                <w:sz w:val="16"/>
                <w:szCs w:val="16"/>
              </w:rPr>
            </w:pPr>
            <w:r w:rsidRPr="00B36F18">
              <w:rPr>
                <w:rFonts w:cs="Arial"/>
                <w:sz w:val="16"/>
                <w:szCs w:val="16"/>
              </w:rPr>
              <w:t>interest at the SCP</w:t>
            </w:r>
          </w:p>
        </w:tc>
        <w:tc>
          <w:tcPr>
            <w:tcW w:w="1829" w:type="pct"/>
            <w:tcBorders>
              <w:bottom w:val="single" w:sz="4" w:space="0" w:color="auto"/>
            </w:tcBorders>
            <w:shd w:val="clear" w:color="auto" w:fill="FFFFFF"/>
            <w:tcMar>
              <w:top w:w="110" w:type="dxa"/>
            </w:tcMar>
          </w:tcPr>
          <w:p w:rsidR="00400A45" w:rsidRPr="00B36F18" w:rsidRDefault="00D81C79" w:rsidP="00AB2445">
            <w:pPr>
              <w:rPr>
                <w:rFonts w:cs="Arial"/>
                <w:sz w:val="16"/>
                <w:szCs w:val="16"/>
              </w:rPr>
            </w:pPr>
            <w:r w:rsidRPr="00B36F18">
              <w:rPr>
                <w:rFonts w:cs="Arial"/>
                <w:sz w:val="16"/>
                <w:szCs w:val="16"/>
                <w:lang w:bidi="th-TH"/>
              </w:rPr>
              <w:t>The SCP has concentrated its efforts on progress</w:t>
            </w:r>
            <w:r w:rsidR="00787009" w:rsidRPr="00B36F18">
              <w:rPr>
                <w:rFonts w:cs="Arial"/>
                <w:sz w:val="16"/>
                <w:szCs w:val="16"/>
                <w:lang w:bidi="th-TH"/>
              </w:rPr>
              <w:t>ing</w:t>
            </w:r>
            <w:r w:rsidRPr="00B36F18">
              <w:rPr>
                <w:rFonts w:cs="Arial"/>
                <w:sz w:val="16"/>
                <w:szCs w:val="16"/>
                <w:lang w:bidi="th-TH"/>
              </w:rPr>
              <w:t xml:space="preserve"> the five topics </w:t>
            </w:r>
            <w:r w:rsidR="00787009" w:rsidRPr="00B36F18">
              <w:rPr>
                <w:rFonts w:cs="Arial"/>
                <w:sz w:val="16"/>
                <w:szCs w:val="16"/>
                <w:lang w:bidi="th-TH"/>
              </w:rPr>
              <w:t xml:space="preserve">on </w:t>
            </w:r>
            <w:r w:rsidRPr="00B36F18">
              <w:rPr>
                <w:rFonts w:cs="Arial"/>
                <w:sz w:val="16"/>
                <w:szCs w:val="16"/>
                <w:lang w:bidi="th-TH"/>
              </w:rPr>
              <w:t xml:space="preserve">its agenda, and advanced its discussions through, for example, collecting information </w:t>
            </w:r>
            <w:r w:rsidR="00787009" w:rsidRPr="00B36F18">
              <w:rPr>
                <w:rFonts w:cs="Arial"/>
                <w:sz w:val="16"/>
                <w:szCs w:val="16"/>
                <w:lang w:bidi="th-TH"/>
              </w:rPr>
              <w:t xml:space="preserve">through </w:t>
            </w:r>
            <w:r w:rsidRPr="00B36F18">
              <w:rPr>
                <w:rFonts w:cs="Arial"/>
                <w:sz w:val="16"/>
                <w:szCs w:val="16"/>
                <w:lang w:bidi="th-TH"/>
              </w:rPr>
              <w:t>a questionnaire, preparing studies and exchanging national practices and experiences among Member States.</w:t>
            </w:r>
          </w:p>
        </w:tc>
        <w:tc>
          <w:tcPr>
            <w:tcW w:w="531" w:type="pct"/>
            <w:tcBorders>
              <w:bottom w:val="single" w:sz="4" w:space="0" w:color="auto"/>
            </w:tcBorders>
            <w:shd w:val="clear" w:color="auto" w:fill="auto"/>
            <w:tcMar>
              <w:top w:w="110" w:type="dxa"/>
            </w:tcMar>
          </w:tcPr>
          <w:p w:rsidR="00400A45" w:rsidRPr="00B36F18" w:rsidRDefault="00A41C49" w:rsidP="00A41C49">
            <w:pPr>
              <w:keepNext/>
              <w:keepLines/>
              <w:spacing w:after="240"/>
              <w:jc w:val="center"/>
              <w:rPr>
                <w:rFonts w:cs="Arial"/>
                <w:color w:val="10862C"/>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p>
        </w:tc>
      </w:tr>
      <w:tr w:rsidR="001E6CC3" w:rsidRPr="00B36F18" w:rsidTr="00AB2445">
        <w:tc>
          <w:tcPr>
            <w:tcW w:w="5000" w:type="pct"/>
            <w:gridSpan w:val="5"/>
            <w:tcBorders>
              <w:top w:val="single" w:sz="4" w:space="0" w:color="auto"/>
              <w:bottom w:val="single" w:sz="4" w:space="0" w:color="auto"/>
            </w:tcBorders>
            <w:shd w:val="clear" w:color="auto" w:fill="CCFFFF"/>
            <w:vAlign w:val="center"/>
          </w:tcPr>
          <w:p w:rsidR="001E6CC3" w:rsidRPr="00B36F18" w:rsidRDefault="001E6CC3" w:rsidP="001B1BAF">
            <w:pPr>
              <w:keepNext/>
              <w:keepLines/>
              <w:tabs>
                <w:tab w:val="left" w:pos="1452"/>
              </w:tabs>
              <w:spacing w:before="120" w:after="120"/>
              <w:ind w:left="1452" w:hanging="1452"/>
              <w:rPr>
                <w:rFonts w:cs="Arial"/>
                <w:b/>
                <w:bCs/>
                <w:sz w:val="16"/>
                <w:szCs w:val="16"/>
              </w:rPr>
            </w:pPr>
            <w:r w:rsidRPr="00B36F18">
              <w:rPr>
                <w:rFonts w:cs="Arial"/>
                <w:b/>
                <w:bCs/>
                <w:sz w:val="16"/>
                <w:szCs w:val="16"/>
              </w:rPr>
              <w:t>Expected Result:</w:t>
            </w:r>
            <w:r w:rsidRPr="00B36F18">
              <w:rPr>
                <w:rFonts w:cs="Arial"/>
                <w:b/>
                <w:bCs/>
                <w:sz w:val="16"/>
                <w:szCs w:val="16"/>
              </w:rPr>
              <w:tab/>
            </w:r>
            <w:r w:rsidRPr="00B36F18">
              <w:rPr>
                <w:rFonts w:cs="Arial"/>
                <w:sz w:val="16"/>
                <w:szCs w:val="16"/>
                <w:lang w:bidi="th-TH"/>
              </w:rPr>
              <w:t xml:space="preserve">Tailored and balanced IP legislative, regulatory and policy frameworks  </w:t>
            </w:r>
          </w:p>
        </w:tc>
      </w:tr>
      <w:tr w:rsidR="00692F6F" w:rsidRPr="00B36F18" w:rsidTr="00AB2445">
        <w:tc>
          <w:tcPr>
            <w:tcW w:w="819" w:type="pct"/>
            <w:tcBorders>
              <w:top w:val="single" w:sz="4" w:space="0" w:color="auto"/>
            </w:tcBorders>
            <w:shd w:val="clear" w:color="auto" w:fill="auto"/>
            <w:vAlign w:val="center"/>
          </w:tcPr>
          <w:p w:rsidR="00692F6F" w:rsidRPr="00B36F18" w:rsidRDefault="00692F6F" w:rsidP="00035B75">
            <w:pPr>
              <w:rPr>
                <w:rFonts w:cs="Arial"/>
                <w:sz w:val="16"/>
                <w:szCs w:val="16"/>
              </w:rPr>
            </w:pPr>
            <w:r w:rsidRPr="00B36F18">
              <w:rPr>
                <w:rFonts w:cs="Arial"/>
                <w:b/>
                <w:bCs/>
                <w:sz w:val="16"/>
                <w:szCs w:val="16"/>
              </w:rPr>
              <w:t>Performance Indicators</w:t>
            </w:r>
          </w:p>
        </w:tc>
        <w:tc>
          <w:tcPr>
            <w:tcW w:w="959" w:type="pct"/>
            <w:tcBorders>
              <w:top w:val="single" w:sz="4" w:space="0" w:color="auto"/>
            </w:tcBorders>
            <w:shd w:val="clear" w:color="auto" w:fill="auto"/>
            <w:vAlign w:val="center"/>
          </w:tcPr>
          <w:p w:rsidR="00692F6F" w:rsidRPr="00B36F18" w:rsidRDefault="00692F6F" w:rsidP="00035B75">
            <w:pPr>
              <w:rPr>
                <w:rFonts w:cs="Arial"/>
                <w:b/>
                <w:bCs/>
                <w:sz w:val="16"/>
                <w:szCs w:val="16"/>
              </w:rPr>
            </w:pPr>
            <w:r w:rsidRPr="00B36F18">
              <w:rPr>
                <w:rFonts w:cs="Arial"/>
                <w:b/>
                <w:bCs/>
                <w:sz w:val="16"/>
                <w:szCs w:val="16"/>
              </w:rPr>
              <w:t>Baselines</w:t>
            </w:r>
          </w:p>
        </w:tc>
        <w:tc>
          <w:tcPr>
            <w:tcW w:w="863" w:type="pct"/>
            <w:tcBorders>
              <w:top w:val="single" w:sz="4" w:space="0" w:color="auto"/>
            </w:tcBorders>
            <w:shd w:val="clear" w:color="auto" w:fill="auto"/>
            <w:tcMar>
              <w:top w:w="110" w:type="dxa"/>
            </w:tcMar>
            <w:vAlign w:val="center"/>
          </w:tcPr>
          <w:p w:rsidR="00692F6F" w:rsidRPr="00B36F18" w:rsidRDefault="00692F6F" w:rsidP="00035B75">
            <w:pPr>
              <w:rPr>
                <w:rFonts w:cs="Arial"/>
                <w:b/>
                <w:sz w:val="16"/>
                <w:szCs w:val="16"/>
              </w:rPr>
            </w:pPr>
            <w:r w:rsidRPr="00B36F18">
              <w:rPr>
                <w:rFonts w:cs="Arial"/>
                <w:b/>
                <w:sz w:val="16"/>
                <w:szCs w:val="16"/>
              </w:rPr>
              <w:t>Target</w:t>
            </w:r>
            <w:r w:rsidR="00582788" w:rsidRPr="00B36F18">
              <w:rPr>
                <w:rFonts w:cs="Arial"/>
                <w:b/>
                <w:sz w:val="16"/>
                <w:szCs w:val="16"/>
              </w:rPr>
              <w:t>s</w:t>
            </w:r>
          </w:p>
        </w:tc>
        <w:tc>
          <w:tcPr>
            <w:tcW w:w="1829" w:type="pct"/>
            <w:tcBorders>
              <w:top w:val="single" w:sz="4" w:space="0" w:color="auto"/>
            </w:tcBorders>
            <w:shd w:val="clear" w:color="auto" w:fill="auto"/>
            <w:tcMar>
              <w:top w:w="110" w:type="dxa"/>
            </w:tcMar>
            <w:vAlign w:val="center"/>
          </w:tcPr>
          <w:p w:rsidR="00692F6F" w:rsidRPr="00B36F18" w:rsidRDefault="00692F6F" w:rsidP="00035B75">
            <w:pPr>
              <w:rPr>
                <w:rFonts w:cs="Arial"/>
                <w:sz w:val="16"/>
                <w:szCs w:val="16"/>
              </w:rPr>
            </w:pPr>
            <w:r w:rsidRPr="00B36F18">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692F6F" w:rsidRPr="00B36F18" w:rsidRDefault="00692F6F" w:rsidP="00035B75">
            <w:pPr>
              <w:keepNext/>
              <w:keepLines/>
              <w:jc w:val="center"/>
              <w:rPr>
                <w:rFonts w:cs="Arial"/>
                <w:b/>
                <w:sz w:val="16"/>
                <w:szCs w:val="16"/>
              </w:rPr>
            </w:pPr>
            <w:r w:rsidRPr="00B36F18">
              <w:rPr>
                <w:rFonts w:cs="Arial"/>
                <w:b/>
                <w:bCs/>
                <w:sz w:val="16"/>
                <w:szCs w:val="16"/>
              </w:rPr>
              <w:t>TLS</w:t>
            </w:r>
          </w:p>
        </w:tc>
      </w:tr>
      <w:tr w:rsidR="00DF671C" w:rsidRPr="00B36F18" w:rsidTr="00AB2445">
        <w:tc>
          <w:tcPr>
            <w:tcW w:w="819" w:type="pct"/>
            <w:shd w:val="clear" w:color="auto" w:fill="FFFFFF"/>
          </w:tcPr>
          <w:p w:rsidR="00DF671C" w:rsidRPr="00B36F18" w:rsidRDefault="00DF671C" w:rsidP="001B1BAF">
            <w:pPr>
              <w:rPr>
                <w:rFonts w:cs="Arial"/>
                <w:sz w:val="16"/>
                <w:szCs w:val="16"/>
                <w:lang w:bidi="th-TH"/>
              </w:rPr>
            </w:pPr>
            <w:r w:rsidRPr="00B36F18">
              <w:rPr>
                <w:rFonts w:cs="Arial"/>
                <w:sz w:val="16"/>
                <w:szCs w:val="16"/>
                <w:lang w:bidi="th-TH"/>
              </w:rPr>
              <w:t>No. and types of legislative advice provided to Member States related to patents, utility models, trade secrets and integrated circuits</w:t>
            </w:r>
          </w:p>
        </w:tc>
        <w:tc>
          <w:tcPr>
            <w:tcW w:w="959" w:type="pct"/>
            <w:shd w:val="clear" w:color="auto" w:fill="auto"/>
          </w:tcPr>
          <w:p w:rsidR="001B013D" w:rsidRPr="00B36F18" w:rsidRDefault="001B013D" w:rsidP="00B36F18">
            <w:pPr>
              <w:rPr>
                <w:rFonts w:cs="Arial"/>
                <w:i/>
                <w:color w:val="002060"/>
                <w:sz w:val="16"/>
                <w:szCs w:val="16"/>
              </w:rPr>
            </w:pPr>
            <w:r w:rsidRPr="00B36F18">
              <w:rPr>
                <w:rFonts w:cs="Arial"/>
                <w:i/>
                <w:color w:val="002060"/>
                <w:sz w:val="16"/>
                <w:szCs w:val="16"/>
              </w:rPr>
              <w:t>Updated Baseline</w:t>
            </w:r>
            <w:r w:rsidRPr="00B36F18">
              <w:rPr>
                <w:rFonts w:cs="Arial"/>
                <w:i/>
                <w:color w:val="002060"/>
                <w:sz w:val="16"/>
                <w:szCs w:val="16"/>
              </w:rPr>
              <w:br/>
              <w:t>end 2011:</w:t>
            </w:r>
            <w:r w:rsidR="00B36F18" w:rsidRPr="00B36F18">
              <w:rPr>
                <w:rFonts w:cs="Arial"/>
                <w:i/>
                <w:color w:val="002060"/>
                <w:sz w:val="16"/>
                <w:szCs w:val="16"/>
              </w:rPr>
              <w:t xml:space="preserve">  </w:t>
            </w:r>
            <w:r w:rsidRPr="00B36F18">
              <w:rPr>
                <w:rFonts w:cs="Arial"/>
                <w:color w:val="002060"/>
                <w:sz w:val="16"/>
                <w:szCs w:val="16"/>
                <w:lang w:bidi="th-TH"/>
              </w:rPr>
              <w:t xml:space="preserve">In 2011, 10 written comments were provided to Member States; </w:t>
            </w:r>
            <w:r w:rsidR="00C74BEB">
              <w:rPr>
                <w:rFonts w:cs="Arial"/>
                <w:color w:val="002060"/>
                <w:sz w:val="16"/>
                <w:szCs w:val="16"/>
                <w:lang w:bidi="th-TH"/>
              </w:rPr>
              <w:t xml:space="preserve"> </w:t>
            </w:r>
            <w:r w:rsidR="00C74BEB" w:rsidRPr="00B36F18">
              <w:rPr>
                <w:rFonts w:cs="Arial"/>
                <w:color w:val="002060"/>
                <w:sz w:val="16"/>
                <w:szCs w:val="16"/>
                <w:lang w:bidi="th-TH"/>
              </w:rPr>
              <w:t>In</w:t>
            </w:r>
            <w:r w:rsidR="00C74BEB">
              <w:rPr>
                <w:rFonts w:cs="Arial"/>
                <w:color w:val="002060"/>
                <w:sz w:val="16"/>
                <w:szCs w:val="16"/>
                <w:lang w:bidi="th-TH"/>
              </w:rPr>
              <w:t> </w:t>
            </w:r>
            <w:r w:rsidR="00B36F18" w:rsidRPr="00B36F18">
              <w:rPr>
                <w:rFonts w:cs="Arial"/>
                <w:color w:val="002060"/>
                <w:sz w:val="16"/>
                <w:szCs w:val="16"/>
                <w:lang w:bidi="th-TH"/>
              </w:rPr>
              <w:t xml:space="preserve">addition, </w:t>
            </w:r>
            <w:r w:rsidRPr="00B36F18">
              <w:rPr>
                <w:rFonts w:cs="Arial"/>
                <w:color w:val="002060"/>
                <w:sz w:val="16"/>
                <w:szCs w:val="16"/>
                <w:lang w:bidi="th-TH"/>
              </w:rPr>
              <w:t>8 events were organized, to discuss, revise and draft legal texts or to analyze policy options</w:t>
            </w:r>
            <w:r w:rsidRPr="00B36F18">
              <w:rPr>
                <w:rFonts w:cs="Arial"/>
                <w:i/>
                <w:color w:val="002060"/>
                <w:sz w:val="16"/>
                <w:szCs w:val="16"/>
                <w:lang w:bidi="th-TH"/>
              </w:rPr>
              <w:t xml:space="preserve"> </w:t>
            </w:r>
          </w:p>
          <w:p w:rsidR="001B013D" w:rsidRPr="00B36F18" w:rsidRDefault="001B013D" w:rsidP="00B36F18">
            <w:pPr>
              <w:rPr>
                <w:rFonts w:cs="Arial"/>
                <w:i/>
                <w:sz w:val="8"/>
                <w:szCs w:val="8"/>
                <w:lang w:bidi="th-TH"/>
              </w:rPr>
            </w:pPr>
          </w:p>
          <w:p w:rsidR="001B013D" w:rsidRPr="00B36F18" w:rsidRDefault="008F4A6D" w:rsidP="00B36F18">
            <w:pPr>
              <w:rPr>
                <w:rFonts w:cs="Arial"/>
                <w:i/>
                <w:sz w:val="16"/>
                <w:szCs w:val="16"/>
                <w:lang w:bidi="th-TH"/>
              </w:rPr>
            </w:pPr>
            <w:r w:rsidRPr="00B36F18">
              <w:rPr>
                <w:rFonts w:cs="Arial"/>
                <w:i/>
                <w:sz w:val="16"/>
                <w:szCs w:val="16"/>
                <w:lang w:bidi="th-TH"/>
              </w:rPr>
              <w:t xml:space="preserve">Original Baseline </w:t>
            </w:r>
            <w:r w:rsidRPr="00B36F18">
              <w:rPr>
                <w:rFonts w:cs="Arial"/>
                <w:i/>
                <w:sz w:val="16"/>
                <w:szCs w:val="16"/>
                <w:lang w:bidi="th-TH"/>
              </w:rPr>
              <w:br/>
              <w:t>P&amp;B 2012/13:</w:t>
            </w:r>
            <w:r w:rsidR="00B36F18" w:rsidRPr="00B36F18">
              <w:rPr>
                <w:rFonts w:cs="Arial"/>
                <w:i/>
                <w:sz w:val="16"/>
                <w:szCs w:val="16"/>
                <w:lang w:bidi="th-TH"/>
              </w:rPr>
              <w:t xml:space="preserve"> </w:t>
            </w:r>
            <w:r w:rsidR="00DF671C" w:rsidRPr="00B36F18">
              <w:rPr>
                <w:rFonts w:cs="Arial"/>
                <w:sz w:val="16"/>
                <w:szCs w:val="16"/>
                <w:lang w:bidi="th-TH"/>
              </w:rPr>
              <w:t>In 2010, 12</w:t>
            </w:r>
            <w:r w:rsidR="00FE573E" w:rsidRPr="00B36F18">
              <w:rPr>
                <w:rFonts w:cs="Arial"/>
                <w:sz w:val="16"/>
                <w:szCs w:val="16"/>
                <w:lang w:bidi="th-TH"/>
              </w:rPr>
              <w:t> </w:t>
            </w:r>
            <w:r w:rsidR="00DF671C" w:rsidRPr="00B36F18">
              <w:rPr>
                <w:rFonts w:cs="Arial"/>
                <w:sz w:val="16"/>
                <w:szCs w:val="16"/>
                <w:lang w:bidi="th-TH"/>
              </w:rPr>
              <w:t>comments were provided to Member States</w:t>
            </w:r>
          </w:p>
          <w:p w:rsidR="00DF671C" w:rsidRPr="00B36F18" w:rsidRDefault="00DF671C" w:rsidP="00B36F18">
            <w:pPr>
              <w:keepNext/>
              <w:keepLines/>
              <w:rPr>
                <w:rFonts w:cs="Arial"/>
                <w:sz w:val="16"/>
                <w:szCs w:val="16"/>
                <w:lang w:bidi="th-TH"/>
              </w:rPr>
            </w:pPr>
          </w:p>
        </w:tc>
        <w:tc>
          <w:tcPr>
            <w:tcW w:w="863" w:type="pct"/>
            <w:shd w:val="clear" w:color="auto" w:fill="auto"/>
            <w:tcMar>
              <w:top w:w="110" w:type="dxa"/>
            </w:tcMar>
          </w:tcPr>
          <w:p w:rsidR="00DF671C" w:rsidRPr="00B36F18" w:rsidRDefault="001B013D" w:rsidP="00B36F18">
            <w:pPr>
              <w:autoSpaceDE w:val="0"/>
              <w:autoSpaceDN w:val="0"/>
              <w:adjustRightInd w:val="0"/>
              <w:rPr>
                <w:rFonts w:cs="Arial"/>
                <w:sz w:val="16"/>
                <w:szCs w:val="16"/>
              </w:rPr>
            </w:pPr>
            <w:r w:rsidRPr="00B36F18">
              <w:rPr>
                <w:rFonts w:cs="Arial"/>
                <w:sz w:val="16"/>
                <w:szCs w:val="16"/>
              </w:rPr>
              <w:t>25 comments on</w:t>
            </w:r>
            <w:r w:rsidR="00B36F18" w:rsidRPr="00B36F18">
              <w:rPr>
                <w:rFonts w:cs="Arial"/>
                <w:sz w:val="16"/>
                <w:szCs w:val="16"/>
              </w:rPr>
              <w:t xml:space="preserve"> </w:t>
            </w:r>
            <w:r w:rsidRPr="00B36F18">
              <w:rPr>
                <w:rFonts w:cs="Arial"/>
                <w:sz w:val="16"/>
                <w:szCs w:val="16"/>
              </w:rPr>
              <w:t>drafts prepared by</w:t>
            </w:r>
            <w:r w:rsidR="00B36F18" w:rsidRPr="00B36F18">
              <w:rPr>
                <w:rFonts w:cs="Arial"/>
                <w:sz w:val="16"/>
                <w:szCs w:val="16"/>
              </w:rPr>
              <w:t xml:space="preserve"> </w:t>
            </w:r>
            <w:r w:rsidRPr="00B36F18">
              <w:rPr>
                <w:rFonts w:cs="Arial"/>
                <w:sz w:val="16"/>
                <w:szCs w:val="16"/>
              </w:rPr>
              <w:t>Member States and</w:t>
            </w:r>
            <w:r w:rsidR="00B36F18" w:rsidRPr="00B36F18">
              <w:rPr>
                <w:rFonts w:cs="Arial"/>
                <w:sz w:val="16"/>
                <w:szCs w:val="16"/>
              </w:rPr>
              <w:t xml:space="preserve"> </w:t>
            </w:r>
            <w:r w:rsidRPr="00B36F18">
              <w:rPr>
                <w:rFonts w:cs="Arial"/>
                <w:sz w:val="16"/>
                <w:szCs w:val="16"/>
              </w:rPr>
              <w:t>10 draft laws</w:t>
            </w:r>
            <w:r w:rsidR="00B36F18" w:rsidRPr="00B36F18">
              <w:rPr>
                <w:rFonts w:cs="Arial"/>
                <w:sz w:val="16"/>
                <w:szCs w:val="16"/>
              </w:rPr>
              <w:t xml:space="preserve"> </w:t>
            </w:r>
            <w:r w:rsidRPr="00B36F18">
              <w:rPr>
                <w:rFonts w:cs="Arial"/>
                <w:sz w:val="16"/>
                <w:szCs w:val="16"/>
              </w:rPr>
              <w:t>prepared by the</w:t>
            </w:r>
            <w:r w:rsidR="00B36F18" w:rsidRPr="00B36F18">
              <w:rPr>
                <w:rFonts w:cs="Arial"/>
                <w:sz w:val="16"/>
                <w:szCs w:val="16"/>
              </w:rPr>
              <w:t xml:space="preserve"> </w:t>
            </w:r>
            <w:r w:rsidRPr="00B36F18">
              <w:rPr>
                <w:rFonts w:cs="Arial"/>
                <w:sz w:val="16"/>
                <w:szCs w:val="16"/>
              </w:rPr>
              <w:t>Secretariat</w:t>
            </w:r>
            <w:r w:rsidRPr="00B36F18" w:rsidDel="001B013D">
              <w:rPr>
                <w:rFonts w:cs="Arial"/>
                <w:sz w:val="16"/>
                <w:szCs w:val="16"/>
                <w:lang w:bidi="th-TH"/>
              </w:rPr>
              <w:t xml:space="preserve"> </w:t>
            </w:r>
          </w:p>
        </w:tc>
        <w:tc>
          <w:tcPr>
            <w:tcW w:w="1829" w:type="pct"/>
            <w:shd w:val="clear" w:color="auto" w:fill="FFFFFF"/>
            <w:tcMar>
              <w:top w:w="110" w:type="dxa"/>
            </w:tcMar>
          </w:tcPr>
          <w:p w:rsidR="006F4686" w:rsidRPr="00B36F18" w:rsidRDefault="00497647" w:rsidP="00AB2445">
            <w:pPr>
              <w:rPr>
                <w:rFonts w:cs="Arial"/>
                <w:sz w:val="16"/>
                <w:szCs w:val="16"/>
                <w:lang w:bidi="th-TH"/>
              </w:rPr>
            </w:pPr>
            <w:r w:rsidRPr="00B36F18">
              <w:rPr>
                <w:rFonts w:cs="Arial"/>
                <w:sz w:val="16"/>
                <w:szCs w:val="16"/>
                <w:lang w:bidi="th-TH"/>
              </w:rPr>
              <w:t>19 written comments/drafts of patent laws were provided to M</w:t>
            </w:r>
            <w:r w:rsidR="00B14A06" w:rsidRPr="00B36F18">
              <w:rPr>
                <w:rFonts w:cs="Arial"/>
                <w:sz w:val="16"/>
                <w:szCs w:val="16"/>
                <w:lang w:bidi="th-TH"/>
              </w:rPr>
              <w:t xml:space="preserve">ember </w:t>
            </w:r>
            <w:r w:rsidRPr="00B36F18">
              <w:rPr>
                <w:rFonts w:cs="Arial"/>
                <w:sz w:val="16"/>
                <w:szCs w:val="16"/>
                <w:lang w:bidi="th-TH"/>
              </w:rPr>
              <w:t>S</w:t>
            </w:r>
            <w:r w:rsidR="00B14A06" w:rsidRPr="00B36F18">
              <w:rPr>
                <w:rFonts w:cs="Arial"/>
                <w:sz w:val="16"/>
                <w:szCs w:val="16"/>
                <w:lang w:bidi="th-TH"/>
              </w:rPr>
              <w:t>tates</w:t>
            </w:r>
          </w:p>
          <w:p w:rsidR="006F4686" w:rsidRPr="00B36F18" w:rsidRDefault="006765DD" w:rsidP="00AB2445">
            <w:pPr>
              <w:rPr>
                <w:rFonts w:cs="Arial"/>
                <w:sz w:val="16"/>
                <w:szCs w:val="16"/>
                <w:lang w:bidi="th-TH"/>
              </w:rPr>
            </w:pPr>
            <w:r w:rsidRPr="00B36F18">
              <w:rPr>
                <w:rFonts w:cs="Arial"/>
                <w:sz w:val="16"/>
                <w:szCs w:val="16"/>
                <w:lang w:bidi="th-TH"/>
              </w:rPr>
              <w:t>(</w:t>
            </w:r>
            <w:r w:rsidR="006F4686" w:rsidRPr="00B36F18">
              <w:rPr>
                <w:rFonts w:cs="Arial"/>
                <w:sz w:val="16"/>
                <w:szCs w:val="16"/>
                <w:lang w:bidi="th-TH"/>
              </w:rPr>
              <w:t>Africa 3;</w:t>
            </w:r>
            <w:r w:rsidRPr="00B36F18">
              <w:rPr>
                <w:rFonts w:cs="Arial"/>
                <w:sz w:val="16"/>
                <w:szCs w:val="16"/>
                <w:lang w:bidi="th-TH"/>
              </w:rPr>
              <w:t xml:space="preserve"> </w:t>
            </w:r>
            <w:r w:rsidR="006F4686" w:rsidRPr="00B36F18">
              <w:rPr>
                <w:rFonts w:cs="Arial"/>
                <w:sz w:val="16"/>
                <w:szCs w:val="16"/>
                <w:lang w:bidi="th-TH"/>
              </w:rPr>
              <w:t>Asia and Pacific 9; Latin America and the Caribbean 6</w:t>
            </w:r>
            <w:r w:rsidRPr="00B36F18">
              <w:rPr>
                <w:rFonts w:cs="Arial"/>
                <w:sz w:val="16"/>
                <w:szCs w:val="16"/>
                <w:lang w:bidi="th-TH"/>
              </w:rPr>
              <w:t xml:space="preserve">; </w:t>
            </w:r>
            <w:r w:rsidR="009210CD" w:rsidRPr="00B36F18">
              <w:rPr>
                <w:rFonts w:cs="Arial"/>
                <w:sz w:val="16"/>
                <w:szCs w:val="16"/>
                <w:lang w:bidi="th-TH"/>
              </w:rPr>
              <w:t>Other 1</w:t>
            </w:r>
            <w:r w:rsidR="009A10A8" w:rsidRPr="00B36F18">
              <w:rPr>
                <w:rFonts w:cs="Arial"/>
                <w:sz w:val="16"/>
                <w:szCs w:val="16"/>
                <w:lang w:bidi="th-TH"/>
              </w:rPr>
              <w:t>)</w:t>
            </w:r>
            <w:r w:rsidR="00497647" w:rsidRPr="00B36F18">
              <w:rPr>
                <w:rFonts w:cs="Arial"/>
                <w:sz w:val="16"/>
                <w:szCs w:val="16"/>
                <w:lang w:bidi="th-TH"/>
              </w:rPr>
              <w:t xml:space="preserve">.  </w:t>
            </w:r>
          </w:p>
          <w:p w:rsidR="00DF671C" w:rsidRPr="00B36F18" w:rsidRDefault="00497647" w:rsidP="00AB2445">
            <w:pPr>
              <w:rPr>
                <w:rFonts w:cs="Arial"/>
                <w:sz w:val="16"/>
                <w:szCs w:val="16"/>
                <w:lang w:bidi="th-TH"/>
              </w:rPr>
            </w:pPr>
            <w:r w:rsidRPr="00B36F18">
              <w:rPr>
                <w:rFonts w:cs="Arial"/>
                <w:sz w:val="16"/>
                <w:szCs w:val="16"/>
                <w:lang w:bidi="th-TH"/>
              </w:rPr>
              <w:t>Additionally, with the aim to discuss, revise and draft legal texts or to analyze policy options</w:t>
            </w:r>
            <w:r w:rsidR="007047F4" w:rsidRPr="00B36F18">
              <w:rPr>
                <w:rFonts w:cs="Arial"/>
                <w:sz w:val="16"/>
                <w:szCs w:val="16"/>
                <w:lang w:bidi="th-TH"/>
              </w:rPr>
              <w:t>,</w:t>
            </w:r>
            <w:r w:rsidRPr="00B36F18">
              <w:rPr>
                <w:rFonts w:cs="Arial"/>
                <w:sz w:val="16"/>
                <w:szCs w:val="16"/>
                <w:lang w:bidi="th-TH"/>
              </w:rPr>
              <w:t xml:space="preserve"> an increasing number of consultations with authorities and other stakeholders were organized </w:t>
            </w:r>
            <w:r w:rsidR="006765DD" w:rsidRPr="00B36F18">
              <w:rPr>
                <w:rFonts w:cs="Arial"/>
                <w:sz w:val="16"/>
                <w:szCs w:val="16"/>
                <w:lang w:bidi="th-TH"/>
              </w:rPr>
              <w:t>(</w:t>
            </w:r>
            <w:r w:rsidR="006F4686" w:rsidRPr="00B36F18">
              <w:rPr>
                <w:rFonts w:cs="Arial"/>
                <w:sz w:val="16"/>
                <w:szCs w:val="16"/>
                <w:lang w:bidi="th-TH"/>
              </w:rPr>
              <w:t>Africa 4</w:t>
            </w:r>
            <w:proofErr w:type="gramStart"/>
            <w:r w:rsidR="006F4686" w:rsidRPr="00B36F18">
              <w:rPr>
                <w:rFonts w:cs="Arial"/>
                <w:sz w:val="16"/>
                <w:szCs w:val="16"/>
                <w:lang w:bidi="th-TH"/>
              </w:rPr>
              <w:t xml:space="preserve">; </w:t>
            </w:r>
            <w:r w:rsidR="003B323B">
              <w:rPr>
                <w:rFonts w:cs="Arial"/>
                <w:sz w:val="16"/>
                <w:szCs w:val="16"/>
                <w:lang w:bidi="th-TH"/>
              </w:rPr>
              <w:t xml:space="preserve"> </w:t>
            </w:r>
            <w:r w:rsidR="006F4686" w:rsidRPr="00B36F18">
              <w:rPr>
                <w:rFonts w:cs="Arial"/>
                <w:sz w:val="16"/>
                <w:szCs w:val="16"/>
                <w:lang w:bidi="th-TH"/>
              </w:rPr>
              <w:t>Asia</w:t>
            </w:r>
            <w:proofErr w:type="gramEnd"/>
            <w:r w:rsidR="006F4686" w:rsidRPr="00B36F18">
              <w:rPr>
                <w:rFonts w:cs="Arial"/>
                <w:sz w:val="16"/>
                <w:szCs w:val="16"/>
                <w:lang w:bidi="th-TH"/>
              </w:rPr>
              <w:t xml:space="preserve"> and Pacific </w:t>
            </w:r>
            <w:r w:rsidR="00420F90" w:rsidRPr="00B36F18">
              <w:rPr>
                <w:rFonts w:cs="Arial"/>
                <w:sz w:val="16"/>
                <w:szCs w:val="16"/>
                <w:lang w:bidi="th-TH"/>
              </w:rPr>
              <w:t>9</w:t>
            </w:r>
            <w:r w:rsidR="006F4686" w:rsidRPr="00B36F18">
              <w:rPr>
                <w:rFonts w:cs="Arial"/>
                <w:sz w:val="16"/>
                <w:szCs w:val="16"/>
                <w:lang w:bidi="th-TH"/>
              </w:rPr>
              <w:t xml:space="preserve">; </w:t>
            </w:r>
            <w:r w:rsidR="003B323B">
              <w:rPr>
                <w:rFonts w:cs="Arial"/>
                <w:sz w:val="16"/>
                <w:szCs w:val="16"/>
                <w:lang w:bidi="th-TH"/>
              </w:rPr>
              <w:t xml:space="preserve"> </w:t>
            </w:r>
            <w:r w:rsidR="006F4686" w:rsidRPr="00B36F18">
              <w:rPr>
                <w:rFonts w:cs="Arial"/>
                <w:sz w:val="16"/>
                <w:szCs w:val="16"/>
                <w:lang w:bidi="th-TH"/>
              </w:rPr>
              <w:t xml:space="preserve">Latin America and the Caribbean </w:t>
            </w:r>
            <w:r w:rsidR="00420F90" w:rsidRPr="00B36F18">
              <w:rPr>
                <w:rFonts w:cs="Arial"/>
                <w:sz w:val="16"/>
                <w:szCs w:val="16"/>
                <w:lang w:bidi="th-TH"/>
              </w:rPr>
              <w:t>7</w:t>
            </w:r>
            <w:r w:rsidR="006765DD" w:rsidRPr="00B36F18">
              <w:rPr>
                <w:rFonts w:cs="Arial"/>
                <w:sz w:val="16"/>
                <w:szCs w:val="16"/>
                <w:lang w:bidi="th-TH"/>
              </w:rPr>
              <w:t>)</w:t>
            </w:r>
            <w:r w:rsidR="00C74BEB">
              <w:rPr>
                <w:rFonts w:cs="Arial"/>
                <w:sz w:val="16"/>
                <w:szCs w:val="16"/>
                <w:lang w:bidi="th-TH"/>
              </w:rPr>
              <w:t>.</w:t>
            </w:r>
          </w:p>
        </w:tc>
        <w:tc>
          <w:tcPr>
            <w:tcW w:w="531" w:type="pct"/>
            <w:shd w:val="clear" w:color="auto" w:fill="auto"/>
            <w:tcMar>
              <w:top w:w="110" w:type="dxa"/>
            </w:tcMar>
          </w:tcPr>
          <w:p w:rsidR="00DF671C" w:rsidRPr="00B36F18" w:rsidRDefault="001B013D" w:rsidP="00FC4F64">
            <w:pPr>
              <w:keepNext/>
              <w:keepLines/>
              <w:spacing w:after="240"/>
              <w:jc w:val="center"/>
              <w:rPr>
                <w:rFonts w:cs="Arial"/>
                <w:color w:val="00B050"/>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p>
        </w:tc>
      </w:tr>
      <w:tr w:rsidR="001B013D" w:rsidRPr="00B36F18" w:rsidTr="00AB2445">
        <w:tc>
          <w:tcPr>
            <w:tcW w:w="5000" w:type="pct"/>
            <w:gridSpan w:val="5"/>
            <w:tcBorders>
              <w:top w:val="single" w:sz="4" w:space="0" w:color="auto"/>
              <w:bottom w:val="single" w:sz="4" w:space="0" w:color="auto"/>
            </w:tcBorders>
            <w:shd w:val="clear" w:color="auto" w:fill="CCFFFF"/>
            <w:vAlign w:val="center"/>
          </w:tcPr>
          <w:p w:rsidR="001B013D" w:rsidRPr="00B36F18" w:rsidRDefault="001B013D" w:rsidP="00B36F18">
            <w:pPr>
              <w:keepNext/>
              <w:keepLines/>
              <w:tabs>
                <w:tab w:val="left" w:pos="1452"/>
              </w:tabs>
              <w:spacing w:before="120" w:after="120"/>
              <w:ind w:left="1452" w:hanging="1452"/>
              <w:rPr>
                <w:rFonts w:cs="Arial"/>
                <w:b/>
                <w:bCs/>
                <w:sz w:val="16"/>
                <w:szCs w:val="16"/>
              </w:rPr>
            </w:pPr>
            <w:r w:rsidRPr="00B36F18">
              <w:rPr>
                <w:rFonts w:cs="Arial"/>
                <w:b/>
                <w:bCs/>
                <w:sz w:val="16"/>
                <w:szCs w:val="16"/>
              </w:rPr>
              <w:lastRenderedPageBreak/>
              <w:t>Expected Result:</w:t>
            </w:r>
            <w:r w:rsidRPr="00B36F18">
              <w:rPr>
                <w:rFonts w:cs="Arial"/>
                <w:b/>
                <w:bCs/>
                <w:sz w:val="16"/>
                <w:szCs w:val="16"/>
              </w:rPr>
              <w:tab/>
            </w:r>
            <w:r w:rsidRPr="00B36F18">
              <w:rPr>
                <w:rFonts w:cs="Arial"/>
                <w:sz w:val="16"/>
                <w:szCs w:val="16"/>
                <w:lang w:bidi="th-TH"/>
              </w:rPr>
              <w:t xml:space="preserve">Tailored and balanced IP legislative, regulatory and policy frameworks  </w:t>
            </w:r>
          </w:p>
        </w:tc>
      </w:tr>
      <w:tr w:rsidR="008F4A6D" w:rsidRPr="00B36F18" w:rsidTr="00AB2445">
        <w:tc>
          <w:tcPr>
            <w:tcW w:w="819" w:type="pct"/>
            <w:tcBorders>
              <w:top w:val="single" w:sz="4" w:space="0" w:color="auto"/>
            </w:tcBorders>
            <w:shd w:val="clear" w:color="auto" w:fill="auto"/>
            <w:vAlign w:val="center"/>
          </w:tcPr>
          <w:p w:rsidR="008F4A6D" w:rsidRPr="00B36F18" w:rsidRDefault="008F4A6D" w:rsidP="00B36F18">
            <w:pPr>
              <w:keepNext/>
              <w:keepLines/>
              <w:rPr>
                <w:rFonts w:cs="Arial"/>
                <w:sz w:val="16"/>
                <w:szCs w:val="16"/>
              </w:rPr>
            </w:pPr>
            <w:r w:rsidRPr="00B36F18">
              <w:rPr>
                <w:rFonts w:cs="Arial"/>
                <w:b/>
                <w:bCs/>
                <w:sz w:val="16"/>
                <w:szCs w:val="16"/>
              </w:rPr>
              <w:t>Performance Indicators</w:t>
            </w:r>
          </w:p>
        </w:tc>
        <w:tc>
          <w:tcPr>
            <w:tcW w:w="959" w:type="pct"/>
            <w:tcBorders>
              <w:top w:val="single" w:sz="4" w:space="0" w:color="auto"/>
            </w:tcBorders>
            <w:shd w:val="clear" w:color="auto" w:fill="auto"/>
            <w:vAlign w:val="center"/>
          </w:tcPr>
          <w:p w:rsidR="008F4A6D" w:rsidRPr="00B36F18" w:rsidRDefault="008F4A6D" w:rsidP="00B36F18">
            <w:pPr>
              <w:keepNext/>
              <w:keepLines/>
              <w:rPr>
                <w:rFonts w:cs="Arial"/>
                <w:b/>
                <w:bCs/>
                <w:sz w:val="16"/>
                <w:szCs w:val="16"/>
              </w:rPr>
            </w:pPr>
            <w:r w:rsidRPr="00B36F18">
              <w:rPr>
                <w:rFonts w:cs="Arial"/>
                <w:b/>
                <w:bCs/>
                <w:sz w:val="16"/>
                <w:szCs w:val="16"/>
              </w:rPr>
              <w:t>Baselines</w:t>
            </w:r>
          </w:p>
        </w:tc>
        <w:tc>
          <w:tcPr>
            <w:tcW w:w="863" w:type="pct"/>
            <w:tcBorders>
              <w:top w:val="single" w:sz="4" w:space="0" w:color="auto"/>
            </w:tcBorders>
            <w:shd w:val="clear" w:color="auto" w:fill="auto"/>
            <w:tcMar>
              <w:top w:w="110" w:type="dxa"/>
            </w:tcMar>
            <w:vAlign w:val="center"/>
          </w:tcPr>
          <w:p w:rsidR="008F4A6D" w:rsidRPr="00B36F18" w:rsidRDefault="008F4A6D" w:rsidP="00B36F18">
            <w:pPr>
              <w:keepNext/>
              <w:keepLines/>
              <w:rPr>
                <w:rFonts w:cs="Arial"/>
                <w:b/>
                <w:sz w:val="16"/>
                <w:szCs w:val="16"/>
              </w:rPr>
            </w:pPr>
            <w:r w:rsidRPr="00B36F18">
              <w:rPr>
                <w:rFonts w:cs="Arial"/>
                <w:b/>
                <w:sz w:val="16"/>
                <w:szCs w:val="16"/>
              </w:rPr>
              <w:t>Target</w:t>
            </w:r>
            <w:r w:rsidR="00582788" w:rsidRPr="00B36F18">
              <w:rPr>
                <w:rFonts w:cs="Arial"/>
                <w:b/>
                <w:sz w:val="16"/>
                <w:szCs w:val="16"/>
              </w:rPr>
              <w:t>s</w:t>
            </w:r>
          </w:p>
        </w:tc>
        <w:tc>
          <w:tcPr>
            <w:tcW w:w="1829" w:type="pct"/>
            <w:tcBorders>
              <w:top w:val="single" w:sz="4" w:space="0" w:color="auto"/>
            </w:tcBorders>
            <w:shd w:val="clear" w:color="auto" w:fill="auto"/>
            <w:tcMar>
              <w:top w:w="110" w:type="dxa"/>
            </w:tcMar>
            <w:vAlign w:val="center"/>
          </w:tcPr>
          <w:p w:rsidR="008F4A6D" w:rsidRPr="00B36F18" w:rsidRDefault="008F4A6D" w:rsidP="00B36F18">
            <w:pPr>
              <w:keepNext/>
              <w:keepLines/>
              <w:rPr>
                <w:rFonts w:cs="Arial"/>
                <w:sz w:val="16"/>
                <w:szCs w:val="16"/>
              </w:rPr>
            </w:pPr>
            <w:r w:rsidRPr="00B36F18">
              <w:rPr>
                <w:rFonts w:cs="Arial"/>
                <w:b/>
                <w:bCs/>
                <w:sz w:val="16"/>
                <w:szCs w:val="16"/>
              </w:rPr>
              <w:t>Performance Data</w:t>
            </w:r>
          </w:p>
        </w:tc>
        <w:tc>
          <w:tcPr>
            <w:tcW w:w="531" w:type="pct"/>
            <w:tcBorders>
              <w:top w:val="single" w:sz="4" w:space="0" w:color="auto"/>
            </w:tcBorders>
            <w:shd w:val="clear" w:color="auto" w:fill="auto"/>
            <w:tcMar>
              <w:top w:w="110" w:type="dxa"/>
            </w:tcMar>
            <w:vAlign w:val="center"/>
          </w:tcPr>
          <w:p w:rsidR="008F4A6D" w:rsidRPr="00B36F18" w:rsidRDefault="008F4A6D" w:rsidP="00B36F18">
            <w:pPr>
              <w:keepNext/>
              <w:keepLines/>
              <w:jc w:val="center"/>
              <w:rPr>
                <w:rFonts w:cs="Arial"/>
                <w:b/>
                <w:sz w:val="16"/>
                <w:szCs w:val="16"/>
              </w:rPr>
            </w:pPr>
            <w:r w:rsidRPr="00B36F18">
              <w:rPr>
                <w:rFonts w:cs="Arial"/>
                <w:b/>
                <w:bCs/>
                <w:sz w:val="16"/>
                <w:szCs w:val="16"/>
              </w:rPr>
              <w:t>TLS</w:t>
            </w:r>
          </w:p>
        </w:tc>
      </w:tr>
      <w:tr w:rsidR="001E6CC3" w:rsidRPr="00B36F18" w:rsidTr="00AB2445">
        <w:tc>
          <w:tcPr>
            <w:tcW w:w="819" w:type="pct"/>
            <w:shd w:val="clear" w:color="auto" w:fill="auto"/>
          </w:tcPr>
          <w:p w:rsidR="00FA73B6" w:rsidRPr="00B36F18" w:rsidRDefault="001E6CC3" w:rsidP="00B36F18">
            <w:pPr>
              <w:keepNext/>
              <w:keepLines/>
              <w:rPr>
                <w:rFonts w:cs="Arial"/>
                <w:sz w:val="16"/>
                <w:szCs w:val="16"/>
                <w:lang w:bidi="th-TH"/>
              </w:rPr>
            </w:pPr>
            <w:r w:rsidRPr="00B36F18">
              <w:rPr>
                <w:rFonts w:cs="Arial"/>
                <w:sz w:val="16"/>
                <w:szCs w:val="16"/>
                <w:lang w:bidi="th-TH"/>
              </w:rPr>
              <w:t>% of countries which found WIPO's legislative advice</w:t>
            </w:r>
            <w:r w:rsidR="00D46130" w:rsidRPr="00B36F18">
              <w:rPr>
                <w:rFonts w:cs="Arial"/>
                <w:sz w:val="16"/>
                <w:szCs w:val="16"/>
                <w:lang w:bidi="th-TH"/>
              </w:rPr>
              <w:t>,</w:t>
            </w:r>
            <w:r w:rsidRPr="00B36F18">
              <w:rPr>
                <w:rFonts w:cs="Arial"/>
                <w:sz w:val="16"/>
                <w:szCs w:val="16"/>
                <w:lang w:bidi="th-TH"/>
              </w:rPr>
              <w:t xml:space="preserve"> related to patents, utility models, trade secrets and integrated circuits useful</w:t>
            </w:r>
          </w:p>
        </w:tc>
        <w:tc>
          <w:tcPr>
            <w:tcW w:w="959" w:type="pct"/>
            <w:shd w:val="clear" w:color="auto" w:fill="auto"/>
          </w:tcPr>
          <w:p w:rsidR="00400A45" w:rsidRPr="00B36F18" w:rsidRDefault="001E6CC3" w:rsidP="00B36F18">
            <w:pPr>
              <w:keepNext/>
              <w:keepLines/>
              <w:rPr>
                <w:rFonts w:cs="Arial"/>
                <w:sz w:val="16"/>
                <w:szCs w:val="16"/>
                <w:lang w:bidi="th-TH"/>
              </w:rPr>
            </w:pPr>
            <w:r w:rsidRPr="00B36F18">
              <w:rPr>
                <w:rFonts w:cs="Arial"/>
                <w:sz w:val="16"/>
                <w:szCs w:val="16"/>
                <w:lang w:bidi="th-TH"/>
              </w:rPr>
              <w:t>Not available</w:t>
            </w:r>
          </w:p>
        </w:tc>
        <w:tc>
          <w:tcPr>
            <w:tcW w:w="863" w:type="pct"/>
            <w:shd w:val="clear" w:color="auto" w:fill="auto"/>
            <w:tcMar>
              <w:top w:w="110" w:type="dxa"/>
            </w:tcMar>
          </w:tcPr>
          <w:p w:rsidR="001E6CC3" w:rsidRPr="00B36F18" w:rsidRDefault="008F4A6D" w:rsidP="00B36F18">
            <w:pPr>
              <w:keepNext/>
              <w:keepLines/>
              <w:rPr>
                <w:rFonts w:cs="Arial"/>
                <w:sz w:val="16"/>
                <w:szCs w:val="16"/>
                <w:lang w:bidi="th-TH"/>
              </w:rPr>
            </w:pPr>
            <w:r w:rsidRPr="00B36F18">
              <w:rPr>
                <w:rFonts w:cs="Arial"/>
                <w:sz w:val="16"/>
                <w:szCs w:val="16"/>
              </w:rPr>
              <w:t>90%</w:t>
            </w:r>
          </w:p>
        </w:tc>
        <w:tc>
          <w:tcPr>
            <w:tcW w:w="1829" w:type="pct"/>
            <w:shd w:val="clear" w:color="auto" w:fill="FFFFFF"/>
            <w:tcMar>
              <w:top w:w="110" w:type="dxa"/>
            </w:tcMar>
          </w:tcPr>
          <w:p w:rsidR="001E6CC3" w:rsidRPr="00B36F18" w:rsidRDefault="00497647" w:rsidP="00AB2445">
            <w:pPr>
              <w:keepNext/>
              <w:keepLines/>
              <w:rPr>
                <w:rFonts w:cs="Arial"/>
                <w:sz w:val="16"/>
                <w:szCs w:val="16"/>
                <w:lang w:bidi="th-TH"/>
              </w:rPr>
            </w:pPr>
            <w:r w:rsidRPr="00B36F18">
              <w:rPr>
                <w:rFonts w:cs="Arial"/>
                <w:sz w:val="16"/>
                <w:szCs w:val="16"/>
                <w:lang w:bidi="th-TH"/>
              </w:rPr>
              <w:t xml:space="preserve">A survey conducted by IAOD </w:t>
            </w:r>
            <w:r w:rsidR="007D2229" w:rsidRPr="00B36F18">
              <w:rPr>
                <w:rFonts w:cs="Arial"/>
                <w:sz w:val="16"/>
                <w:szCs w:val="16"/>
                <w:lang w:bidi="th-TH"/>
              </w:rPr>
              <w:t xml:space="preserve">covering </w:t>
            </w:r>
            <w:r w:rsidRPr="00B36F18">
              <w:rPr>
                <w:rFonts w:cs="Arial"/>
                <w:sz w:val="16"/>
                <w:szCs w:val="16"/>
                <w:lang w:bidi="th-TH"/>
              </w:rPr>
              <w:t>a representative number of M</w:t>
            </w:r>
            <w:r w:rsidR="00B14A06" w:rsidRPr="00B36F18">
              <w:rPr>
                <w:rFonts w:cs="Arial"/>
                <w:sz w:val="16"/>
                <w:szCs w:val="16"/>
                <w:lang w:bidi="th-TH"/>
              </w:rPr>
              <w:t xml:space="preserve">ember </w:t>
            </w:r>
            <w:r w:rsidRPr="00B36F18">
              <w:rPr>
                <w:rFonts w:cs="Arial"/>
                <w:sz w:val="16"/>
                <w:szCs w:val="16"/>
                <w:lang w:bidi="th-TH"/>
              </w:rPr>
              <w:t>S</w:t>
            </w:r>
            <w:r w:rsidR="00B14A06" w:rsidRPr="00B36F18">
              <w:rPr>
                <w:rFonts w:cs="Arial"/>
                <w:sz w:val="16"/>
                <w:szCs w:val="16"/>
                <w:lang w:bidi="th-TH"/>
              </w:rPr>
              <w:t>tates</w:t>
            </w:r>
            <w:r w:rsidR="00201AE9" w:rsidRPr="00B36F18">
              <w:rPr>
                <w:rFonts w:cs="Arial"/>
                <w:sz w:val="16"/>
                <w:szCs w:val="16"/>
                <w:lang w:bidi="th-TH"/>
              </w:rPr>
              <w:t xml:space="preserve"> which were</w:t>
            </w:r>
            <w:r w:rsidRPr="00B36F18">
              <w:rPr>
                <w:rFonts w:cs="Arial"/>
                <w:sz w:val="16"/>
                <w:szCs w:val="16"/>
                <w:lang w:bidi="th-TH"/>
              </w:rPr>
              <w:t xml:space="preserve"> recipients of</w:t>
            </w:r>
            <w:r w:rsidR="00201AE9" w:rsidRPr="00B36F18">
              <w:rPr>
                <w:rFonts w:cs="Arial"/>
                <w:sz w:val="16"/>
                <w:szCs w:val="16"/>
                <w:lang w:bidi="th-TH"/>
              </w:rPr>
              <w:t xml:space="preserve"> legislative advice provided by WIPO, as well as evaluation questionnaires receive</w:t>
            </w:r>
            <w:r w:rsidR="00C1709D" w:rsidRPr="00B36F18">
              <w:rPr>
                <w:rFonts w:cs="Arial"/>
                <w:sz w:val="16"/>
                <w:szCs w:val="16"/>
                <w:lang w:bidi="th-TH"/>
              </w:rPr>
              <w:t>d</w:t>
            </w:r>
            <w:r w:rsidR="00201AE9" w:rsidRPr="00B36F18">
              <w:rPr>
                <w:rFonts w:cs="Arial"/>
                <w:sz w:val="16"/>
                <w:szCs w:val="16"/>
                <w:lang w:bidi="th-TH"/>
              </w:rPr>
              <w:t xml:space="preserve"> by the Secretariat showed a level of satisfaction</w:t>
            </w:r>
            <w:r w:rsidR="00C234F4" w:rsidRPr="00B36F18">
              <w:rPr>
                <w:rFonts w:cs="Arial"/>
                <w:sz w:val="16"/>
                <w:szCs w:val="16"/>
                <w:lang w:bidi="th-TH"/>
              </w:rPr>
              <w:t xml:space="preserve"> above 90%</w:t>
            </w:r>
            <w:r w:rsidR="00201AE9" w:rsidRPr="00B36F18">
              <w:rPr>
                <w:rFonts w:cs="Arial"/>
                <w:sz w:val="16"/>
                <w:szCs w:val="16"/>
                <w:lang w:bidi="th-TH"/>
              </w:rPr>
              <w:t xml:space="preserve"> concerning the quality of the assistance provided.  A mechanism for systematic evaluation </w:t>
            </w:r>
            <w:r w:rsidR="00D46130" w:rsidRPr="00B36F18">
              <w:rPr>
                <w:rFonts w:cs="Arial"/>
                <w:sz w:val="16"/>
                <w:szCs w:val="16"/>
                <w:lang w:bidi="th-TH"/>
              </w:rPr>
              <w:t xml:space="preserve">has been </w:t>
            </w:r>
            <w:r w:rsidR="00201AE9" w:rsidRPr="00B36F18">
              <w:rPr>
                <w:rFonts w:cs="Arial"/>
                <w:sz w:val="16"/>
                <w:szCs w:val="16"/>
                <w:lang w:bidi="th-TH"/>
              </w:rPr>
              <w:t>put</w:t>
            </w:r>
            <w:r w:rsidR="00B44B17" w:rsidRPr="00B36F18">
              <w:rPr>
                <w:rFonts w:cs="Arial"/>
                <w:sz w:val="16"/>
                <w:szCs w:val="16"/>
                <w:lang w:bidi="th-TH"/>
              </w:rPr>
              <w:t xml:space="preserve"> </w:t>
            </w:r>
            <w:r w:rsidR="00201AE9" w:rsidRPr="00B36F18">
              <w:rPr>
                <w:rFonts w:cs="Arial"/>
                <w:sz w:val="16"/>
                <w:szCs w:val="16"/>
                <w:lang w:bidi="th-TH"/>
              </w:rPr>
              <w:t>in place for the biennium</w:t>
            </w:r>
            <w:r w:rsidR="00D84431" w:rsidRPr="00B36F18">
              <w:rPr>
                <w:rFonts w:cs="Arial"/>
                <w:sz w:val="16"/>
                <w:szCs w:val="16"/>
                <w:lang w:bidi="th-TH"/>
              </w:rPr>
              <w:t xml:space="preserve"> 2014/15</w:t>
            </w:r>
            <w:r w:rsidR="00E40CF9">
              <w:rPr>
                <w:rFonts w:cs="Arial"/>
                <w:sz w:val="16"/>
                <w:szCs w:val="16"/>
                <w:lang w:bidi="th-TH"/>
              </w:rPr>
              <w:t>.</w:t>
            </w:r>
          </w:p>
        </w:tc>
        <w:tc>
          <w:tcPr>
            <w:tcW w:w="531" w:type="pct"/>
            <w:shd w:val="clear" w:color="auto" w:fill="auto"/>
          </w:tcPr>
          <w:p w:rsidR="001E6CC3" w:rsidRPr="00B36F18" w:rsidRDefault="00FA73B6" w:rsidP="00B36F18">
            <w:pPr>
              <w:keepNext/>
              <w:keepLines/>
              <w:jc w:val="center"/>
              <w:rPr>
                <w:rFonts w:cs="Arial"/>
                <w:bCs/>
                <w:color w:val="333333"/>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p>
        </w:tc>
      </w:tr>
      <w:tr w:rsidR="001E6CC3" w:rsidRPr="00B36F18" w:rsidTr="00AB2445">
        <w:tc>
          <w:tcPr>
            <w:tcW w:w="819" w:type="pct"/>
            <w:shd w:val="clear" w:color="auto" w:fill="auto"/>
          </w:tcPr>
          <w:p w:rsidR="00FA73B6" w:rsidRPr="00B36F18" w:rsidRDefault="001E6CC3" w:rsidP="001B1BAF">
            <w:pPr>
              <w:rPr>
                <w:rFonts w:cs="Arial"/>
                <w:sz w:val="16"/>
                <w:szCs w:val="16"/>
                <w:lang w:bidi="th-TH"/>
              </w:rPr>
            </w:pPr>
            <w:r w:rsidRPr="00B36F18">
              <w:rPr>
                <w:rFonts w:cs="Arial"/>
                <w:sz w:val="16"/>
                <w:szCs w:val="16"/>
                <w:lang w:bidi="th-TH"/>
              </w:rPr>
              <w:t>% of Member States which found the provided information concerning the legal principles and practices of the patent system, including the flexibilities existing in the system and the challenges it faces, useful</w:t>
            </w:r>
          </w:p>
        </w:tc>
        <w:tc>
          <w:tcPr>
            <w:tcW w:w="959" w:type="pct"/>
            <w:shd w:val="clear" w:color="auto" w:fill="auto"/>
          </w:tcPr>
          <w:p w:rsidR="008F4A6D" w:rsidRPr="00B36F18" w:rsidRDefault="008F4A6D" w:rsidP="00B36F18">
            <w:pPr>
              <w:rPr>
                <w:rFonts w:cs="Arial"/>
                <w:i/>
                <w:color w:val="002060"/>
                <w:sz w:val="16"/>
                <w:szCs w:val="16"/>
              </w:rPr>
            </w:pPr>
            <w:r w:rsidRPr="00B36F18">
              <w:rPr>
                <w:rFonts w:cs="Arial"/>
                <w:i/>
                <w:color w:val="002060"/>
                <w:sz w:val="16"/>
                <w:szCs w:val="16"/>
              </w:rPr>
              <w:t>Updated Baseline</w:t>
            </w:r>
            <w:r w:rsidRPr="00B36F18">
              <w:rPr>
                <w:rFonts w:cs="Arial"/>
                <w:i/>
                <w:color w:val="002060"/>
                <w:sz w:val="16"/>
                <w:szCs w:val="16"/>
              </w:rPr>
              <w:br/>
              <w:t>end 2011:</w:t>
            </w:r>
            <w:r w:rsidR="00B36F18">
              <w:rPr>
                <w:rFonts w:cs="Arial"/>
                <w:i/>
                <w:color w:val="002060"/>
                <w:sz w:val="16"/>
                <w:szCs w:val="16"/>
              </w:rPr>
              <w:t xml:space="preserve">  </w:t>
            </w:r>
            <w:r w:rsidRPr="00B36F18">
              <w:rPr>
                <w:rFonts w:cs="Arial"/>
                <w:color w:val="002060"/>
                <w:sz w:val="16"/>
                <w:szCs w:val="16"/>
                <w:lang w:bidi="th-TH"/>
              </w:rPr>
              <w:t xml:space="preserve">SCP and CDIP </w:t>
            </w:r>
            <w:r w:rsidR="00E40CF9">
              <w:rPr>
                <w:rFonts w:cs="Arial"/>
                <w:color w:val="002060"/>
                <w:sz w:val="16"/>
                <w:szCs w:val="16"/>
                <w:lang w:bidi="th-TH"/>
              </w:rPr>
              <w:t>r</w:t>
            </w:r>
            <w:r w:rsidR="00E40CF9" w:rsidRPr="00B36F18">
              <w:rPr>
                <w:rFonts w:cs="Arial"/>
                <w:color w:val="002060"/>
                <w:sz w:val="16"/>
                <w:szCs w:val="16"/>
                <w:lang w:bidi="th-TH"/>
              </w:rPr>
              <w:t xml:space="preserve">eports </w:t>
            </w:r>
            <w:r w:rsidRPr="00B36F18">
              <w:rPr>
                <w:rFonts w:cs="Arial"/>
                <w:color w:val="002060"/>
                <w:sz w:val="16"/>
                <w:szCs w:val="16"/>
                <w:lang w:bidi="th-TH"/>
              </w:rPr>
              <w:t>provide feedback from Member States (no statistics available)</w:t>
            </w:r>
          </w:p>
          <w:p w:rsidR="008F4A6D" w:rsidRPr="00B36F18" w:rsidRDefault="008F4A6D" w:rsidP="00B36F18">
            <w:pPr>
              <w:rPr>
                <w:rFonts w:cs="Arial"/>
                <w:sz w:val="8"/>
                <w:szCs w:val="8"/>
                <w:lang w:bidi="th-TH"/>
              </w:rPr>
            </w:pPr>
          </w:p>
          <w:p w:rsidR="00400A45" w:rsidRPr="00B36F18" w:rsidRDefault="008F4A6D" w:rsidP="00B36F18">
            <w:pPr>
              <w:rPr>
                <w:rFonts w:cs="Arial"/>
                <w:sz w:val="16"/>
                <w:szCs w:val="16"/>
                <w:lang w:bidi="th-TH"/>
              </w:rPr>
            </w:pPr>
            <w:r w:rsidRPr="00B36F18">
              <w:rPr>
                <w:rFonts w:cs="Arial"/>
                <w:i/>
                <w:sz w:val="16"/>
                <w:szCs w:val="16"/>
                <w:lang w:bidi="th-TH"/>
              </w:rPr>
              <w:t>Original Baseline P&amp;B 2012/13:</w:t>
            </w:r>
            <w:r w:rsidR="00B36F18">
              <w:rPr>
                <w:rFonts w:cs="Arial"/>
                <w:sz w:val="16"/>
                <w:szCs w:val="16"/>
                <w:lang w:bidi="th-TH"/>
              </w:rPr>
              <w:t xml:space="preserve">  </w:t>
            </w:r>
            <w:r w:rsidR="001E6CC3" w:rsidRPr="00B36F18">
              <w:rPr>
                <w:rFonts w:cs="Arial"/>
                <w:sz w:val="16"/>
                <w:szCs w:val="16"/>
                <w:lang w:bidi="th-TH"/>
              </w:rPr>
              <w:t>Not available</w:t>
            </w:r>
          </w:p>
        </w:tc>
        <w:tc>
          <w:tcPr>
            <w:tcW w:w="863" w:type="pct"/>
            <w:shd w:val="clear" w:color="auto" w:fill="auto"/>
            <w:tcMar>
              <w:top w:w="110" w:type="dxa"/>
            </w:tcMar>
          </w:tcPr>
          <w:p w:rsidR="001E6CC3" w:rsidRPr="00B36F18" w:rsidRDefault="008F4A6D" w:rsidP="001B1BAF">
            <w:pPr>
              <w:rPr>
                <w:rFonts w:cs="Arial"/>
                <w:sz w:val="16"/>
                <w:szCs w:val="16"/>
                <w:lang w:bidi="th-TH"/>
              </w:rPr>
            </w:pPr>
            <w:r w:rsidRPr="00B36F18">
              <w:rPr>
                <w:rFonts w:cs="Arial"/>
                <w:sz w:val="16"/>
                <w:szCs w:val="16"/>
                <w:lang w:bidi="th-TH"/>
              </w:rPr>
              <w:t>90%</w:t>
            </w:r>
          </w:p>
        </w:tc>
        <w:tc>
          <w:tcPr>
            <w:tcW w:w="1829" w:type="pct"/>
            <w:shd w:val="clear" w:color="auto" w:fill="FFFFFF"/>
            <w:tcMar>
              <w:top w:w="110" w:type="dxa"/>
            </w:tcMar>
          </w:tcPr>
          <w:p w:rsidR="00D81C79" w:rsidRPr="00B36F18" w:rsidRDefault="00D81C79" w:rsidP="00AB2445">
            <w:pPr>
              <w:rPr>
                <w:rFonts w:cs="Arial"/>
                <w:sz w:val="16"/>
                <w:szCs w:val="16"/>
                <w:lang w:bidi="th-TH"/>
              </w:rPr>
            </w:pPr>
            <w:r w:rsidRPr="00B36F18">
              <w:rPr>
                <w:rFonts w:cs="Arial"/>
                <w:sz w:val="16"/>
                <w:szCs w:val="16"/>
                <w:lang w:bidi="th-TH"/>
              </w:rPr>
              <w:t xml:space="preserve">All feedback received indicated that the provided information was useful.  According to a survey conducted in conjunction with the </w:t>
            </w:r>
            <w:r w:rsidR="00D84431" w:rsidRPr="00B36F18">
              <w:rPr>
                <w:rFonts w:cs="Arial"/>
                <w:sz w:val="16"/>
                <w:szCs w:val="16"/>
                <w:lang w:bidi="th-TH"/>
              </w:rPr>
              <w:t xml:space="preserve">IAOD evaluation </w:t>
            </w:r>
            <w:r w:rsidRPr="00B36F18">
              <w:rPr>
                <w:rFonts w:cs="Arial"/>
                <w:sz w:val="16"/>
                <w:szCs w:val="16"/>
                <w:lang w:bidi="th-TH"/>
              </w:rPr>
              <w:t>of Program 1, more than 90</w:t>
            </w:r>
            <w:r w:rsidR="00CF4C76" w:rsidRPr="00B36F18">
              <w:rPr>
                <w:rFonts w:cs="Arial"/>
                <w:sz w:val="16"/>
                <w:szCs w:val="16"/>
                <w:lang w:bidi="th-TH"/>
              </w:rPr>
              <w:t>%</w:t>
            </w:r>
            <w:r w:rsidRPr="00B36F18">
              <w:rPr>
                <w:rFonts w:cs="Arial"/>
                <w:sz w:val="16"/>
                <w:szCs w:val="16"/>
                <w:lang w:bidi="th-TH"/>
              </w:rPr>
              <w:t xml:space="preserve"> of respondents rated the quality of substantive documents prepared by the Secretariat “excellent” or “good”</w:t>
            </w:r>
            <w:r w:rsidR="00E40CF9">
              <w:rPr>
                <w:rFonts w:cs="Arial"/>
                <w:sz w:val="16"/>
                <w:szCs w:val="16"/>
                <w:lang w:bidi="th-TH"/>
              </w:rPr>
              <w:t>.</w:t>
            </w:r>
          </w:p>
        </w:tc>
        <w:tc>
          <w:tcPr>
            <w:tcW w:w="531" w:type="pct"/>
            <w:shd w:val="clear" w:color="auto" w:fill="auto"/>
            <w:tcMar>
              <w:top w:w="110" w:type="dxa"/>
            </w:tcMar>
          </w:tcPr>
          <w:p w:rsidR="001E6CC3" w:rsidRPr="00B36F18" w:rsidRDefault="00FA73B6" w:rsidP="00DF671C">
            <w:pPr>
              <w:keepNext/>
              <w:keepLines/>
              <w:spacing w:after="120"/>
              <w:jc w:val="center"/>
              <w:rPr>
                <w:rFonts w:cs="Arial"/>
                <w:bCs/>
                <w:color w:val="008000"/>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r w:rsidRPr="00B36F18" w:rsidDel="008F4A6D">
              <w:rPr>
                <w:rStyle w:val="Style5"/>
                <w:rFonts w:ascii="Arial" w:hAnsi="Arial" w:cs="Arial"/>
                <w:sz w:val="16"/>
                <w:szCs w:val="16"/>
              </w:rPr>
              <w:t xml:space="preserve"> </w:t>
            </w:r>
          </w:p>
        </w:tc>
      </w:tr>
      <w:tr w:rsidR="001E6CC3" w:rsidRPr="00B36F18" w:rsidTr="00AB2445">
        <w:tc>
          <w:tcPr>
            <w:tcW w:w="819" w:type="pct"/>
            <w:shd w:val="clear" w:color="auto" w:fill="auto"/>
          </w:tcPr>
          <w:p w:rsidR="001E6CC3" w:rsidRPr="00B36F18" w:rsidRDefault="001E6CC3" w:rsidP="001B1BAF">
            <w:pPr>
              <w:rPr>
                <w:rFonts w:cs="Arial"/>
                <w:sz w:val="16"/>
                <w:szCs w:val="16"/>
                <w:lang w:bidi="th-TH"/>
              </w:rPr>
            </w:pPr>
            <w:r w:rsidRPr="00B36F18">
              <w:rPr>
                <w:rFonts w:cs="Arial"/>
                <w:sz w:val="16"/>
                <w:szCs w:val="16"/>
                <w:lang w:bidi="th-TH"/>
              </w:rPr>
              <w:t xml:space="preserve">% of satisfied participants in targeted workshops/ seminars held on specific patent-related questions </w:t>
            </w:r>
          </w:p>
          <w:p w:rsidR="008F4A6D" w:rsidRPr="00B36F18" w:rsidRDefault="008F4A6D" w:rsidP="001B1BAF">
            <w:pPr>
              <w:rPr>
                <w:rFonts w:cs="Arial"/>
                <w:sz w:val="16"/>
                <w:szCs w:val="16"/>
                <w:lang w:bidi="th-TH"/>
              </w:rPr>
            </w:pPr>
          </w:p>
        </w:tc>
        <w:tc>
          <w:tcPr>
            <w:tcW w:w="959" w:type="pct"/>
            <w:shd w:val="clear" w:color="auto" w:fill="auto"/>
          </w:tcPr>
          <w:p w:rsidR="00D24708" w:rsidRPr="00B36F18" w:rsidRDefault="001E6CC3" w:rsidP="00B36F18">
            <w:pPr>
              <w:rPr>
                <w:rFonts w:cs="Arial"/>
                <w:sz w:val="16"/>
                <w:szCs w:val="16"/>
                <w:lang w:bidi="th-TH"/>
              </w:rPr>
            </w:pPr>
            <w:r w:rsidRPr="00B36F18">
              <w:rPr>
                <w:rFonts w:cs="Arial"/>
                <w:sz w:val="16"/>
                <w:szCs w:val="16"/>
                <w:lang w:bidi="th-TH"/>
              </w:rPr>
              <w:t>Not available</w:t>
            </w:r>
          </w:p>
        </w:tc>
        <w:tc>
          <w:tcPr>
            <w:tcW w:w="863" w:type="pct"/>
            <w:shd w:val="clear" w:color="auto" w:fill="auto"/>
            <w:tcMar>
              <w:top w:w="110" w:type="dxa"/>
            </w:tcMar>
          </w:tcPr>
          <w:p w:rsidR="001E6CC3" w:rsidRPr="00B36F18" w:rsidRDefault="008F4A6D" w:rsidP="005A580A">
            <w:pPr>
              <w:rPr>
                <w:rFonts w:cs="Arial"/>
                <w:i/>
                <w:sz w:val="16"/>
                <w:szCs w:val="16"/>
                <w:lang w:bidi="th-TH"/>
              </w:rPr>
            </w:pPr>
            <w:r w:rsidRPr="00B36F18">
              <w:rPr>
                <w:rFonts w:cs="Arial"/>
                <w:sz w:val="16"/>
                <w:szCs w:val="16"/>
                <w:lang w:bidi="th-TH"/>
              </w:rPr>
              <w:t>90%</w:t>
            </w:r>
          </w:p>
        </w:tc>
        <w:tc>
          <w:tcPr>
            <w:tcW w:w="1829" w:type="pct"/>
            <w:shd w:val="clear" w:color="auto" w:fill="FFFFFF"/>
            <w:tcMar>
              <w:top w:w="110" w:type="dxa"/>
            </w:tcMar>
          </w:tcPr>
          <w:p w:rsidR="001E6CC3" w:rsidRPr="00B36F18" w:rsidRDefault="000F345E" w:rsidP="00AB2445">
            <w:pPr>
              <w:rPr>
                <w:rFonts w:cs="Arial"/>
                <w:sz w:val="16"/>
                <w:szCs w:val="16"/>
              </w:rPr>
            </w:pPr>
            <w:r w:rsidRPr="00B36F18">
              <w:rPr>
                <w:rFonts w:cs="Arial"/>
                <w:sz w:val="16"/>
                <w:szCs w:val="16"/>
              </w:rPr>
              <w:t>92.5%</w:t>
            </w:r>
            <w:r w:rsidR="00CF4C76" w:rsidRPr="00B36F18" w:rsidDel="00935016">
              <w:rPr>
                <w:rFonts w:cs="Arial"/>
                <w:sz w:val="16"/>
                <w:szCs w:val="16"/>
              </w:rPr>
              <w:t xml:space="preserve"> </w:t>
            </w:r>
            <w:r w:rsidR="00B44B17" w:rsidRPr="00B36F18">
              <w:rPr>
                <w:rFonts w:cs="Arial"/>
                <w:sz w:val="16"/>
                <w:szCs w:val="16"/>
              </w:rPr>
              <w:t>of participants in</w:t>
            </w:r>
            <w:r w:rsidR="004E0F97" w:rsidRPr="00B36F18">
              <w:rPr>
                <w:rFonts w:cs="Arial"/>
                <w:sz w:val="16"/>
                <w:szCs w:val="16"/>
              </w:rPr>
              <w:t xml:space="preserve"> </w:t>
            </w:r>
            <w:r w:rsidR="00B44B17" w:rsidRPr="00B36F18">
              <w:rPr>
                <w:rFonts w:cs="Arial"/>
                <w:sz w:val="16"/>
                <w:szCs w:val="16"/>
                <w:lang w:bidi="th-TH"/>
              </w:rPr>
              <w:t xml:space="preserve">workshops/ seminars organized by the </w:t>
            </w:r>
            <w:r w:rsidR="00420F90" w:rsidRPr="00B36F18">
              <w:rPr>
                <w:rFonts w:cs="Arial"/>
                <w:sz w:val="16"/>
                <w:szCs w:val="16"/>
                <w:lang w:bidi="th-TH"/>
              </w:rPr>
              <w:t>Program</w:t>
            </w:r>
            <w:r w:rsidR="00420F90" w:rsidRPr="00B36F18">
              <w:rPr>
                <w:rFonts w:cs="Arial"/>
                <w:sz w:val="16"/>
                <w:szCs w:val="16"/>
              </w:rPr>
              <w:t xml:space="preserve"> were satisfied with the organized events</w:t>
            </w:r>
            <w:r w:rsidR="00E9391C">
              <w:rPr>
                <w:rFonts w:cs="Arial"/>
                <w:sz w:val="16"/>
                <w:szCs w:val="16"/>
              </w:rPr>
              <w:t>.</w:t>
            </w:r>
          </w:p>
        </w:tc>
        <w:tc>
          <w:tcPr>
            <w:tcW w:w="531" w:type="pct"/>
            <w:shd w:val="clear" w:color="auto" w:fill="auto"/>
          </w:tcPr>
          <w:p w:rsidR="001E6CC3" w:rsidRPr="00B36F18" w:rsidRDefault="00FA73B6" w:rsidP="00B14F1C">
            <w:pPr>
              <w:keepNext/>
              <w:keepLines/>
              <w:jc w:val="center"/>
              <w:rPr>
                <w:rStyle w:val="Style5"/>
                <w:rFonts w:ascii="Arial" w:hAnsi="Arial" w:cs="Arial"/>
                <w:sz w:val="16"/>
                <w:szCs w:val="16"/>
              </w:rPr>
            </w:pPr>
            <w:r w:rsidRPr="00B36F18">
              <w:rPr>
                <w:rStyle w:val="Style5"/>
                <w:rFonts w:ascii="Arial" w:hAnsi="Arial" w:cs="Arial"/>
                <w:color w:val="10862C"/>
                <w:sz w:val="16"/>
                <w:szCs w:val="16"/>
              </w:rPr>
              <w:t>Fully</w:t>
            </w:r>
            <w:r w:rsidR="004312A2" w:rsidRPr="00B36F18">
              <w:rPr>
                <w:rStyle w:val="Style5"/>
                <w:rFonts w:ascii="Arial" w:hAnsi="Arial" w:cs="Arial"/>
                <w:color w:val="10862C"/>
                <w:sz w:val="16"/>
                <w:szCs w:val="16"/>
              </w:rPr>
              <w:br/>
            </w:r>
            <w:r w:rsidRPr="00B36F18">
              <w:rPr>
                <w:rStyle w:val="Style5"/>
                <w:rFonts w:ascii="Arial" w:hAnsi="Arial" w:cs="Arial"/>
                <w:color w:val="10862C"/>
                <w:sz w:val="16"/>
                <w:szCs w:val="16"/>
              </w:rPr>
              <w:t>Achieved</w:t>
            </w:r>
            <w:r w:rsidRPr="00B36F18" w:rsidDel="008F4A6D">
              <w:rPr>
                <w:rStyle w:val="Style5"/>
                <w:rFonts w:ascii="Arial" w:hAnsi="Arial" w:cs="Arial"/>
                <w:sz w:val="16"/>
                <w:szCs w:val="16"/>
              </w:rPr>
              <w:t xml:space="preserve"> </w:t>
            </w:r>
          </w:p>
          <w:p w:rsidR="00DF671C" w:rsidRPr="00B36F18" w:rsidRDefault="00DF671C" w:rsidP="00B14F1C">
            <w:pPr>
              <w:keepNext/>
              <w:keepLines/>
              <w:jc w:val="center"/>
              <w:rPr>
                <w:rFonts w:cs="Arial"/>
                <w:bCs/>
                <w:color w:val="333333"/>
                <w:sz w:val="16"/>
                <w:szCs w:val="16"/>
              </w:rPr>
            </w:pPr>
          </w:p>
        </w:tc>
      </w:tr>
    </w:tbl>
    <w:p w:rsidR="00A8525E" w:rsidRPr="00035B75" w:rsidRDefault="00A8525E" w:rsidP="00A8525E">
      <w:pPr>
        <w:rPr>
          <w:szCs w:val="20"/>
        </w:rPr>
      </w:pPr>
    </w:p>
    <w:p w:rsidR="00144890" w:rsidRPr="00035B75" w:rsidRDefault="00144890" w:rsidP="00A8525E">
      <w:pPr>
        <w:rPr>
          <w:szCs w:val="20"/>
        </w:rPr>
      </w:pPr>
    </w:p>
    <w:p w:rsidR="00144890" w:rsidRDefault="007E7815" w:rsidP="00A8525E">
      <w:pPr>
        <w:rPr>
          <w:b/>
          <w:sz w:val="18"/>
          <w:szCs w:val="18"/>
        </w:rPr>
      </w:pPr>
      <w:r>
        <w:rPr>
          <w:rFonts w:cs="Arial"/>
          <w:color w:val="000000"/>
          <w:sz w:val="22"/>
          <w:szCs w:val="22"/>
        </w:rPr>
        <w:t>BUDGET AND ACTUAL EXPENDITURE</w:t>
      </w:r>
    </w:p>
    <w:p w:rsidR="007E7815" w:rsidRPr="008F4A6D" w:rsidRDefault="007E7815">
      <w:pPr>
        <w:rPr>
          <w:szCs w:val="20"/>
        </w:rPr>
      </w:pPr>
    </w:p>
    <w:p w:rsidR="004611B9" w:rsidRPr="00035B75" w:rsidRDefault="004611B9" w:rsidP="004611B9">
      <w:pPr>
        <w:pStyle w:val="NormalWeb"/>
        <w:spacing w:before="0" w:beforeAutospacing="0" w:after="0" w:afterAutospacing="0"/>
        <w:jc w:val="center"/>
        <w:rPr>
          <w:sz w:val="20"/>
          <w:szCs w:val="20"/>
        </w:rPr>
      </w:pPr>
      <w:r w:rsidRPr="00035B75">
        <w:rPr>
          <w:color w:val="000000"/>
          <w:sz w:val="20"/>
          <w:szCs w:val="20"/>
        </w:rPr>
        <w:t xml:space="preserve">Budget and Actual Expenditure (by result) </w:t>
      </w:r>
    </w:p>
    <w:p w:rsidR="004611B9" w:rsidRPr="00035B75" w:rsidRDefault="004611B9" w:rsidP="004611B9">
      <w:pPr>
        <w:pStyle w:val="NormalWeb"/>
        <w:spacing w:before="0" w:beforeAutospacing="0" w:after="0" w:afterAutospacing="0"/>
        <w:jc w:val="center"/>
        <w:rPr>
          <w:sz w:val="20"/>
          <w:szCs w:val="20"/>
        </w:rPr>
      </w:pPr>
      <w:r w:rsidRPr="00035B75">
        <w:rPr>
          <w:i/>
          <w:iCs/>
          <w:color w:val="000000"/>
          <w:sz w:val="20"/>
          <w:szCs w:val="20"/>
        </w:rPr>
        <w:t>(</w:t>
      </w:r>
      <w:proofErr w:type="gramStart"/>
      <w:r w:rsidRPr="00035B75">
        <w:rPr>
          <w:i/>
          <w:iCs/>
          <w:color w:val="000000"/>
          <w:sz w:val="20"/>
          <w:szCs w:val="20"/>
        </w:rPr>
        <w:t>in</w:t>
      </w:r>
      <w:proofErr w:type="gramEnd"/>
      <w:r w:rsidRPr="00035B75">
        <w:rPr>
          <w:i/>
          <w:iCs/>
          <w:color w:val="000000"/>
          <w:sz w:val="20"/>
          <w:szCs w:val="20"/>
        </w:rPr>
        <w:t xml:space="preserve"> thousands of Swiss francs)</w:t>
      </w:r>
    </w:p>
    <w:p w:rsidR="004611B9" w:rsidRDefault="004611B9"/>
    <w:tbl>
      <w:tblPr>
        <w:tblW w:w="0" w:type="auto"/>
        <w:tblInd w:w="108" w:type="dxa"/>
        <w:tblLayout w:type="fixed"/>
        <w:tblLook w:val="04A0" w:firstRow="1" w:lastRow="0" w:firstColumn="1" w:lastColumn="0" w:noHBand="0" w:noVBand="1"/>
      </w:tblPr>
      <w:tblGrid>
        <w:gridCol w:w="709"/>
        <w:gridCol w:w="4536"/>
        <w:gridCol w:w="1417"/>
        <w:gridCol w:w="1418"/>
        <w:gridCol w:w="1276"/>
      </w:tblGrid>
      <w:tr w:rsidR="004611B9" w:rsidRPr="00513DF5" w:rsidTr="00AB2445">
        <w:tc>
          <w:tcPr>
            <w:tcW w:w="524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4611B9" w:rsidRPr="00513DF5" w:rsidRDefault="004611B9" w:rsidP="00B36F18">
            <w:pPr>
              <w:spacing w:before="120" w:after="120"/>
              <w:jc w:val="center"/>
              <w:rPr>
                <w:rFonts w:cs="Arial"/>
                <w:bCs/>
                <w:color w:val="000000"/>
                <w:sz w:val="16"/>
                <w:szCs w:val="16"/>
              </w:rPr>
            </w:pPr>
            <w:r w:rsidRPr="00513DF5">
              <w:rPr>
                <w:rFonts w:cs="Arial"/>
                <w:bCs/>
                <w:color w:val="000000"/>
                <w:sz w:val="16"/>
                <w:szCs w:val="16"/>
              </w:rPr>
              <w:t>Expected Result No. and Description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4611B9" w:rsidRPr="00513DF5" w:rsidRDefault="004611B9" w:rsidP="00B36F18">
            <w:pPr>
              <w:spacing w:before="120" w:after="120"/>
              <w:jc w:val="center"/>
              <w:rPr>
                <w:rFonts w:cs="Arial"/>
                <w:bCs/>
                <w:color w:val="000000"/>
                <w:sz w:val="16"/>
                <w:szCs w:val="16"/>
              </w:rPr>
            </w:pPr>
            <w:r w:rsidRPr="00513DF5">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4611B9" w:rsidRPr="00513DF5" w:rsidRDefault="004611B9" w:rsidP="00B36F18">
            <w:pPr>
              <w:spacing w:before="120" w:after="120"/>
              <w:jc w:val="center"/>
              <w:rPr>
                <w:rFonts w:cs="Arial"/>
                <w:bCs/>
                <w:color w:val="000000"/>
                <w:sz w:val="16"/>
                <w:szCs w:val="16"/>
              </w:rPr>
            </w:pPr>
            <w:r w:rsidRPr="00513DF5">
              <w:rPr>
                <w:rFonts w:cs="Arial"/>
                <w:bCs/>
                <w:color w:val="000000"/>
                <w:sz w:val="16"/>
                <w:szCs w:val="16"/>
              </w:rPr>
              <w:t xml:space="preserve">2012/13 Budget </w:t>
            </w:r>
            <w:r w:rsidRPr="00513DF5">
              <w:rPr>
                <w:rFonts w:cs="Arial"/>
                <w:bCs/>
                <w:color w:val="000000"/>
                <w:sz w:val="16"/>
                <w:szCs w:val="16"/>
              </w:rPr>
              <w:br/>
              <w:t>After Transfers</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4611B9" w:rsidRPr="00513DF5" w:rsidRDefault="004611B9" w:rsidP="00B36F18">
            <w:pPr>
              <w:spacing w:before="120" w:after="120"/>
              <w:jc w:val="center"/>
              <w:rPr>
                <w:rFonts w:cs="Arial"/>
                <w:bCs/>
                <w:color w:val="000000"/>
                <w:sz w:val="16"/>
                <w:szCs w:val="16"/>
              </w:rPr>
            </w:pPr>
            <w:r w:rsidRPr="00513DF5">
              <w:rPr>
                <w:rFonts w:cs="Arial"/>
                <w:bCs/>
                <w:color w:val="000000"/>
                <w:sz w:val="16"/>
                <w:szCs w:val="16"/>
              </w:rPr>
              <w:t xml:space="preserve">2012/13 </w:t>
            </w:r>
            <w:r w:rsidRPr="00513DF5">
              <w:rPr>
                <w:rFonts w:cs="Arial"/>
                <w:bCs/>
                <w:color w:val="000000"/>
                <w:sz w:val="16"/>
                <w:szCs w:val="16"/>
              </w:rPr>
              <w:br/>
              <w:t>Expenditure</w:t>
            </w:r>
          </w:p>
        </w:tc>
      </w:tr>
      <w:tr w:rsidR="004312A2" w:rsidRPr="00D366D5" w:rsidTr="00AB2445">
        <w:tc>
          <w:tcPr>
            <w:tcW w:w="709" w:type="dxa"/>
            <w:tcBorders>
              <w:top w:val="nil"/>
              <w:left w:val="single" w:sz="4" w:space="0" w:color="auto"/>
              <w:bottom w:val="nil"/>
              <w:right w:val="nil"/>
            </w:tcBorders>
            <w:shd w:val="clear" w:color="000000" w:fill="FFFFFF"/>
            <w:noWrap/>
            <w:hideMark/>
          </w:tcPr>
          <w:p w:rsidR="004611B9" w:rsidRPr="00035B75" w:rsidRDefault="004611B9" w:rsidP="00B36F18">
            <w:pPr>
              <w:spacing w:before="120"/>
              <w:jc w:val="center"/>
              <w:rPr>
                <w:rFonts w:cs="Arial"/>
                <w:color w:val="000000"/>
                <w:sz w:val="16"/>
                <w:szCs w:val="16"/>
              </w:rPr>
            </w:pPr>
            <w:r w:rsidRPr="00035B75">
              <w:rPr>
                <w:rFonts w:cs="Arial"/>
                <w:color w:val="000000"/>
                <w:sz w:val="16"/>
                <w:szCs w:val="16"/>
              </w:rPr>
              <w:t>I.1</w:t>
            </w:r>
          </w:p>
        </w:tc>
        <w:tc>
          <w:tcPr>
            <w:tcW w:w="4536" w:type="dxa"/>
            <w:tcBorders>
              <w:top w:val="nil"/>
              <w:left w:val="nil"/>
              <w:bottom w:val="nil"/>
              <w:right w:val="nil"/>
            </w:tcBorders>
            <w:shd w:val="clear" w:color="000000" w:fill="FFFFFF"/>
            <w:hideMark/>
          </w:tcPr>
          <w:p w:rsidR="004611B9" w:rsidRPr="00035B75" w:rsidRDefault="004611B9" w:rsidP="00B36F18">
            <w:pPr>
              <w:spacing w:before="120"/>
              <w:rPr>
                <w:rFonts w:cs="Arial"/>
                <w:color w:val="000000"/>
                <w:sz w:val="16"/>
                <w:szCs w:val="16"/>
              </w:rPr>
            </w:pPr>
            <w:r w:rsidRPr="00035B75">
              <w:rPr>
                <w:rFonts w:cs="Arial"/>
                <w:color w:val="000000"/>
                <w:sz w:val="16"/>
                <w:szCs w:val="16"/>
              </w:rPr>
              <w:t>Enhanced cooperation/greater consensus among Member States on further developing the policy and legal framework for the international patent system, trademarks, industrial designs, geographical indications, copyright and related rights, TK, TCEs GRs</w:t>
            </w:r>
          </w:p>
        </w:tc>
        <w:tc>
          <w:tcPr>
            <w:tcW w:w="1417" w:type="dxa"/>
            <w:tcBorders>
              <w:top w:val="nil"/>
              <w:left w:val="nil"/>
              <w:bottom w:val="nil"/>
              <w:right w:val="nil"/>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3,105 </w:t>
            </w:r>
          </w:p>
        </w:tc>
        <w:tc>
          <w:tcPr>
            <w:tcW w:w="1418" w:type="dxa"/>
            <w:tcBorders>
              <w:top w:val="nil"/>
              <w:left w:val="nil"/>
              <w:bottom w:val="nil"/>
              <w:right w:val="nil"/>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2,914 </w:t>
            </w:r>
          </w:p>
        </w:tc>
        <w:tc>
          <w:tcPr>
            <w:tcW w:w="1276" w:type="dxa"/>
            <w:tcBorders>
              <w:top w:val="nil"/>
              <w:left w:val="nil"/>
              <w:bottom w:val="nil"/>
              <w:right w:val="single" w:sz="4" w:space="0" w:color="auto"/>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2,677 </w:t>
            </w:r>
          </w:p>
        </w:tc>
      </w:tr>
      <w:tr w:rsidR="004312A2" w:rsidRPr="00D366D5" w:rsidTr="00AB2445">
        <w:tc>
          <w:tcPr>
            <w:tcW w:w="709" w:type="dxa"/>
            <w:tcBorders>
              <w:top w:val="nil"/>
              <w:left w:val="single" w:sz="4" w:space="0" w:color="auto"/>
              <w:bottom w:val="nil"/>
              <w:right w:val="nil"/>
            </w:tcBorders>
            <w:shd w:val="clear" w:color="000000" w:fill="FFFFFF"/>
            <w:noWrap/>
            <w:hideMark/>
          </w:tcPr>
          <w:p w:rsidR="004611B9" w:rsidRPr="00035B75" w:rsidRDefault="004611B9" w:rsidP="00B36F18">
            <w:pPr>
              <w:spacing w:before="120"/>
              <w:jc w:val="center"/>
              <w:rPr>
                <w:rFonts w:cs="Arial"/>
                <w:color w:val="000000"/>
                <w:sz w:val="16"/>
                <w:szCs w:val="16"/>
              </w:rPr>
            </w:pPr>
            <w:r w:rsidRPr="00035B75">
              <w:rPr>
                <w:rFonts w:cs="Arial"/>
                <w:color w:val="000000"/>
                <w:sz w:val="16"/>
                <w:szCs w:val="16"/>
              </w:rPr>
              <w:t>I.4</w:t>
            </w:r>
          </w:p>
        </w:tc>
        <w:tc>
          <w:tcPr>
            <w:tcW w:w="4536" w:type="dxa"/>
            <w:tcBorders>
              <w:top w:val="nil"/>
              <w:left w:val="nil"/>
              <w:bottom w:val="nil"/>
              <w:right w:val="nil"/>
            </w:tcBorders>
            <w:shd w:val="clear" w:color="000000" w:fill="FFFFFF"/>
            <w:hideMark/>
          </w:tcPr>
          <w:p w:rsidR="004611B9" w:rsidRPr="00035B75" w:rsidRDefault="004611B9" w:rsidP="00B36F18">
            <w:pPr>
              <w:spacing w:before="120"/>
              <w:rPr>
                <w:rFonts w:cs="Arial"/>
                <w:color w:val="000000"/>
                <w:sz w:val="16"/>
                <w:szCs w:val="16"/>
              </w:rPr>
            </w:pPr>
            <w:r w:rsidRPr="00035B75">
              <w:rPr>
                <w:rFonts w:cs="Arial"/>
                <w:color w:val="000000"/>
                <w:sz w:val="16"/>
                <w:szCs w:val="16"/>
              </w:rPr>
              <w:t>Tailored and balanced IP legislative, regulatory and policy frameworks</w:t>
            </w:r>
          </w:p>
        </w:tc>
        <w:tc>
          <w:tcPr>
            <w:tcW w:w="1417" w:type="dxa"/>
            <w:tcBorders>
              <w:top w:val="nil"/>
              <w:left w:val="nil"/>
              <w:bottom w:val="nil"/>
              <w:right w:val="nil"/>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1,611 </w:t>
            </w:r>
          </w:p>
        </w:tc>
        <w:tc>
          <w:tcPr>
            <w:tcW w:w="1418" w:type="dxa"/>
            <w:tcBorders>
              <w:top w:val="nil"/>
              <w:left w:val="nil"/>
              <w:bottom w:val="nil"/>
              <w:right w:val="nil"/>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2,463 </w:t>
            </w:r>
          </w:p>
        </w:tc>
        <w:tc>
          <w:tcPr>
            <w:tcW w:w="1276" w:type="dxa"/>
            <w:tcBorders>
              <w:top w:val="nil"/>
              <w:left w:val="nil"/>
              <w:bottom w:val="nil"/>
              <w:right w:val="single" w:sz="4" w:space="0" w:color="auto"/>
            </w:tcBorders>
            <w:shd w:val="clear" w:color="000000" w:fill="FFFFFF"/>
            <w:vAlign w:val="center"/>
            <w:hideMark/>
          </w:tcPr>
          <w:p w:rsidR="004611B9" w:rsidRPr="00035B75" w:rsidRDefault="004611B9" w:rsidP="00B36F18">
            <w:pPr>
              <w:spacing w:before="120"/>
              <w:jc w:val="right"/>
              <w:rPr>
                <w:rFonts w:cs="Arial"/>
                <w:color w:val="000000"/>
                <w:sz w:val="16"/>
                <w:szCs w:val="16"/>
              </w:rPr>
            </w:pPr>
            <w:r w:rsidRPr="00035B75">
              <w:rPr>
                <w:rFonts w:cs="Arial"/>
                <w:color w:val="000000"/>
                <w:sz w:val="16"/>
                <w:szCs w:val="16"/>
              </w:rPr>
              <w:t xml:space="preserve">2,101 </w:t>
            </w:r>
          </w:p>
        </w:tc>
      </w:tr>
      <w:tr w:rsidR="004312A2" w:rsidRPr="00D366D5" w:rsidTr="00AB2445">
        <w:tc>
          <w:tcPr>
            <w:tcW w:w="709" w:type="dxa"/>
            <w:tcBorders>
              <w:top w:val="nil"/>
              <w:left w:val="single" w:sz="4" w:space="0" w:color="auto"/>
              <w:bottom w:val="single" w:sz="4" w:space="0" w:color="auto"/>
              <w:right w:val="nil"/>
            </w:tcBorders>
            <w:shd w:val="clear" w:color="000000" w:fill="FFFFFF"/>
            <w:noWrap/>
            <w:hideMark/>
          </w:tcPr>
          <w:p w:rsidR="004611B9" w:rsidRPr="00035B75" w:rsidRDefault="004611B9" w:rsidP="00B36F18">
            <w:pPr>
              <w:spacing w:before="120" w:after="120"/>
              <w:jc w:val="center"/>
              <w:rPr>
                <w:rFonts w:cs="Arial"/>
                <w:color w:val="000000"/>
                <w:sz w:val="16"/>
                <w:szCs w:val="16"/>
              </w:rPr>
            </w:pPr>
            <w:r w:rsidRPr="00035B75">
              <w:rPr>
                <w:rFonts w:cs="Arial"/>
                <w:color w:val="000000"/>
                <w:sz w:val="16"/>
                <w:szCs w:val="16"/>
              </w:rPr>
              <w:t>VII.1</w:t>
            </w:r>
          </w:p>
        </w:tc>
        <w:tc>
          <w:tcPr>
            <w:tcW w:w="4536" w:type="dxa"/>
            <w:tcBorders>
              <w:top w:val="nil"/>
              <w:left w:val="nil"/>
              <w:bottom w:val="single" w:sz="4" w:space="0" w:color="auto"/>
              <w:right w:val="nil"/>
            </w:tcBorders>
            <w:shd w:val="clear" w:color="000000" w:fill="FFFFFF"/>
            <w:hideMark/>
          </w:tcPr>
          <w:p w:rsidR="004611B9" w:rsidRPr="00035B75" w:rsidRDefault="004611B9" w:rsidP="00B36F18">
            <w:pPr>
              <w:spacing w:before="120" w:after="120"/>
              <w:rPr>
                <w:rFonts w:cs="Arial"/>
                <w:color w:val="000000"/>
                <w:sz w:val="16"/>
                <w:szCs w:val="16"/>
              </w:rPr>
            </w:pPr>
            <w:r w:rsidRPr="00035B75">
              <w:rPr>
                <w:rFonts w:cs="Arial"/>
                <w:color w:val="000000"/>
                <w:sz w:val="16"/>
                <w:szCs w:val="16"/>
              </w:rPr>
              <w:t>Enhanced understanding among policy makers on the interface between global challenges and innovation and intellectual property as a basis for improved policy decision making</w:t>
            </w:r>
          </w:p>
        </w:tc>
        <w:tc>
          <w:tcPr>
            <w:tcW w:w="1417" w:type="dxa"/>
            <w:tcBorders>
              <w:top w:val="nil"/>
              <w:left w:val="nil"/>
              <w:bottom w:val="single" w:sz="4" w:space="0" w:color="auto"/>
              <w:right w:val="nil"/>
            </w:tcBorders>
            <w:shd w:val="clear" w:color="000000" w:fill="FFFFFF"/>
            <w:vAlign w:val="center"/>
            <w:hideMark/>
          </w:tcPr>
          <w:p w:rsidR="004611B9" w:rsidRPr="00035B75" w:rsidRDefault="004611B9" w:rsidP="00B36F18">
            <w:pPr>
              <w:spacing w:before="120" w:after="120"/>
              <w:jc w:val="right"/>
              <w:rPr>
                <w:rFonts w:cs="Arial"/>
                <w:color w:val="000000"/>
                <w:sz w:val="16"/>
                <w:szCs w:val="16"/>
              </w:rPr>
            </w:pPr>
            <w:r w:rsidRPr="00035B75">
              <w:rPr>
                <w:rFonts w:cs="Arial"/>
                <w:color w:val="000000"/>
                <w:sz w:val="16"/>
                <w:szCs w:val="16"/>
              </w:rPr>
              <w:t xml:space="preserve">128 </w:t>
            </w:r>
          </w:p>
        </w:tc>
        <w:tc>
          <w:tcPr>
            <w:tcW w:w="1418" w:type="dxa"/>
            <w:tcBorders>
              <w:top w:val="nil"/>
              <w:left w:val="nil"/>
              <w:bottom w:val="single" w:sz="4" w:space="0" w:color="auto"/>
              <w:right w:val="nil"/>
            </w:tcBorders>
            <w:shd w:val="clear" w:color="000000" w:fill="FFFFFF"/>
            <w:vAlign w:val="center"/>
            <w:hideMark/>
          </w:tcPr>
          <w:p w:rsidR="004611B9" w:rsidRPr="00035B75" w:rsidRDefault="004611B9" w:rsidP="00B36F18">
            <w:pPr>
              <w:spacing w:before="120" w:after="120"/>
              <w:jc w:val="right"/>
              <w:rPr>
                <w:rFonts w:cs="Arial"/>
                <w:color w:val="000000"/>
                <w:sz w:val="16"/>
                <w:szCs w:val="16"/>
              </w:rPr>
            </w:pPr>
            <w:r w:rsidRPr="00035B75">
              <w:rPr>
                <w:rFonts w:cs="Arial"/>
                <w:color w:val="000000"/>
                <w:sz w:val="16"/>
                <w:szCs w:val="16"/>
              </w:rPr>
              <w:t xml:space="preserve">50 </w:t>
            </w:r>
          </w:p>
        </w:tc>
        <w:tc>
          <w:tcPr>
            <w:tcW w:w="1276" w:type="dxa"/>
            <w:tcBorders>
              <w:top w:val="nil"/>
              <w:left w:val="nil"/>
              <w:bottom w:val="single" w:sz="4" w:space="0" w:color="auto"/>
              <w:right w:val="single" w:sz="4" w:space="0" w:color="auto"/>
            </w:tcBorders>
            <w:shd w:val="clear" w:color="000000" w:fill="FFFFFF"/>
            <w:vAlign w:val="center"/>
            <w:hideMark/>
          </w:tcPr>
          <w:p w:rsidR="004611B9" w:rsidRPr="00035B75" w:rsidRDefault="004611B9" w:rsidP="00B36F18">
            <w:pPr>
              <w:spacing w:before="120" w:after="120"/>
              <w:jc w:val="right"/>
              <w:rPr>
                <w:rFonts w:cs="Arial"/>
                <w:color w:val="000000"/>
                <w:sz w:val="16"/>
                <w:szCs w:val="16"/>
              </w:rPr>
            </w:pPr>
            <w:r w:rsidRPr="00035B75">
              <w:rPr>
                <w:rFonts w:cs="Arial"/>
                <w:color w:val="000000"/>
                <w:sz w:val="16"/>
                <w:szCs w:val="16"/>
              </w:rPr>
              <w:t xml:space="preserve">42 </w:t>
            </w:r>
          </w:p>
        </w:tc>
      </w:tr>
      <w:tr w:rsidR="004312A2" w:rsidRPr="00D366D5" w:rsidTr="00AB2445">
        <w:tc>
          <w:tcPr>
            <w:tcW w:w="709" w:type="dxa"/>
            <w:tcBorders>
              <w:top w:val="nil"/>
              <w:left w:val="single" w:sz="4" w:space="0" w:color="auto"/>
              <w:bottom w:val="single" w:sz="4" w:space="0" w:color="auto"/>
              <w:right w:val="nil"/>
            </w:tcBorders>
            <w:shd w:val="clear" w:color="000000" w:fill="CCFFFF"/>
            <w:noWrap/>
            <w:vAlign w:val="bottom"/>
            <w:hideMark/>
          </w:tcPr>
          <w:p w:rsidR="004611B9" w:rsidRPr="00035B75" w:rsidRDefault="004611B9" w:rsidP="00B36F18">
            <w:pPr>
              <w:spacing w:before="120" w:after="120"/>
              <w:rPr>
                <w:rFonts w:cs="Arial"/>
                <w:b/>
                <w:bCs/>
                <w:color w:val="000000"/>
                <w:sz w:val="16"/>
                <w:szCs w:val="16"/>
              </w:rPr>
            </w:pPr>
            <w:r w:rsidRPr="00035B75">
              <w:rPr>
                <w:rFonts w:cs="Arial"/>
                <w:b/>
                <w:bCs/>
                <w:color w:val="000000"/>
                <w:sz w:val="16"/>
                <w:szCs w:val="16"/>
              </w:rPr>
              <w:t> </w:t>
            </w:r>
          </w:p>
        </w:tc>
        <w:tc>
          <w:tcPr>
            <w:tcW w:w="4536" w:type="dxa"/>
            <w:tcBorders>
              <w:top w:val="nil"/>
              <w:left w:val="nil"/>
              <w:bottom w:val="single" w:sz="4" w:space="0" w:color="auto"/>
              <w:right w:val="nil"/>
            </w:tcBorders>
            <w:shd w:val="clear" w:color="000000" w:fill="CCFFFF"/>
            <w:noWrap/>
            <w:vAlign w:val="center"/>
            <w:hideMark/>
          </w:tcPr>
          <w:p w:rsidR="004611B9" w:rsidRPr="00035B75" w:rsidRDefault="004611B9" w:rsidP="00B36F18">
            <w:pPr>
              <w:spacing w:before="120" w:after="120"/>
              <w:rPr>
                <w:rFonts w:cs="Arial"/>
                <w:b/>
                <w:bCs/>
                <w:color w:val="000000"/>
                <w:sz w:val="16"/>
                <w:szCs w:val="16"/>
              </w:rPr>
            </w:pPr>
            <w:r w:rsidRPr="00035B75">
              <w:rPr>
                <w:rFonts w:cs="Arial"/>
                <w:b/>
                <w:bCs/>
                <w:color w:val="000000"/>
                <w:sz w:val="16"/>
                <w:szCs w:val="16"/>
              </w:rPr>
              <w:t>Total</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4611B9" w:rsidRPr="00035B75" w:rsidRDefault="004611B9" w:rsidP="00B36F18">
            <w:pPr>
              <w:spacing w:before="120" w:after="120"/>
              <w:jc w:val="right"/>
              <w:rPr>
                <w:rFonts w:cs="Arial"/>
                <w:b/>
                <w:bCs/>
                <w:color w:val="000000"/>
                <w:sz w:val="16"/>
                <w:szCs w:val="16"/>
              </w:rPr>
            </w:pPr>
            <w:r w:rsidRPr="00035B75">
              <w:rPr>
                <w:rFonts w:cs="Arial"/>
                <w:b/>
                <w:bCs/>
                <w:color w:val="000000"/>
                <w:sz w:val="16"/>
                <w:szCs w:val="16"/>
              </w:rPr>
              <w:t>4,843</w:t>
            </w:r>
          </w:p>
        </w:tc>
        <w:tc>
          <w:tcPr>
            <w:tcW w:w="1418" w:type="dxa"/>
            <w:tcBorders>
              <w:top w:val="nil"/>
              <w:left w:val="nil"/>
              <w:bottom w:val="single" w:sz="4" w:space="0" w:color="auto"/>
              <w:right w:val="single" w:sz="4" w:space="0" w:color="auto"/>
            </w:tcBorders>
            <w:shd w:val="clear" w:color="000000" w:fill="CCFFFF"/>
            <w:noWrap/>
            <w:vAlign w:val="center"/>
            <w:hideMark/>
          </w:tcPr>
          <w:p w:rsidR="004611B9" w:rsidRPr="00035B75" w:rsidRDefault="004611B9" w:rsidP="00B36F18">
            <w:pPr>
              <w:spacing w:before="120" w:after="120"/>
              <w:jc w:val="right"/>
              <w:rPr>
                <w:rFonts w:cs="Arial"/>
                <w:b/>
                <w:bCs/>
                <w:color w:val="000000"/>
                <w:sz w:val="16"/>
                <w:szCs w:val="16"/>
              </w:rPr>
            </w:pPr>
            <w:r w:rsidRPr="00035B75">
              <w:rPr>
                <w:rFonts w:cs="Arial"/>
                <w:b/>
                <w:bCs/>
                <w:color w:val="000000"/>
                <w:sz w:val="16"/>
                <w:szCs w:val="16"/>
              </w:rPr>
              <w:t>5,427</w:t>
            </w:r>
          </w:p>
        </w:tc>
        <w:tc>
          <w:tcPr>
            <w:tcW w:w="1276" w:type="dxa"/>
            <w:tcBorders>
              <w:top w:val="nil"/>
              <w:left w:val="nil"/>
              <w:bottom w:val="single" w:sz="4" w:space="0" w:color="auto"/>
              <w:right w:val="single" w:sz="4" w:space="0" w:color="auto"/>
            </w:tcBorders>
            <w:shd w:val="clear" w:color="000000" w:fill="CCFFFF"/>
            <w:vAlign w:val="center"/>
            <w:hideMark/>
          </w:tcPr>
          <w:p w:rsidR="004611B9" w:rsidRPr="00035B75" w:rsidRDefault="004611B9" w:rsidP="00B36F18">
            <w:pPr>
              <w:spacing w:before="120" w:after="120"/>
              <w:jc w:val="right"/>
              <w:rPr>
                <w:rFonts w:cs="Arial"/>
                <w:b/>
                <w:bCs/>
                <w:color w:val="000000"/>
                <w:sz w:val="16"/>
                <w:szCs w:val="16"/>
              </w:rPr>
            </w:pPr>
            <w:r w:rsidRPr="00035B75">
              <w:rPr>
                <w:rFonts w:cs="Arial"/>
                <w:b/>
                <w:bCs/>
                <w:color w:val="000000"/>
                <w:sz w:val="16"/>
                <w:szCs w:val="16"/>
              </w:rPr>
              <w:t>4,819</w:t>
            </w:r>
          </w:p>
        </w:tc>
      </w:tr>
    </w:tbl>
    <w:p w:rsidR="001B013D" w:rsidRDefault="001B013D"/>
    <w:p w:rsidR="008F4A6D" w:rsidRDefault="008F4A6D"/>
    <w:p w:rsidR="004611B9" w:rsidRPr="00035B75" w:rsidRDefault="004611B9" w:rsidP="00035B75">
      <w:pPr>
        <w:pStyle w:val="NormalWeb"/>
        <w:keepNext/>
        <w:keepLines/>
        <w:spacing w:before="0" w:beforeAutospacing="0" w:after="0" w:afterAutospacing="0"/>
        <w:jc w:val="center"/>
        <w:rPr>
          <w:sz w:val="20"/>
          <w:szCs w:val="20"/>
        </w:rPr>
      </w:pPr>
      <w:r w:rsidRPr="00035B75">
        <w:rPr>
          <w:color w:val="000000"/>
          <w:sz w:val="20"/>
          <w:szCs w:val="20"/>
        </w:rPr>
        <w:lastRenderedPageBreak/>
        <w:t xml:space="preserve">Budget and Actual Expenditure (personnel and non-personnel) </w:t>
      </w:r>
    </w:p>
    <w:p w:rsidR="004611B9" w:rsidRPr="00035B75" w:rsidRDefault="004611B9" w:rsidP="00035B75">
      <w:pPr>
        <w:pStyle w:val="NormalWeb"/>
        <w:keepNext/>
        <w:keepLines/>
        <w:spacing w:before="0" w:beforeAutospacing="0" w:after="0" w:afterAutospacing="0"/>
        <w:jc w:val="center"/>
        <w:rPr>
          <w:i/>
          <w:iCs/>
          <w:color w:val="000000"/>
          <w:sz w:val="20"/>
          <w:szCs w:val="20"/>
        </w:rPr>
      </w:pPr>
      <w:r w:rsidRPr="00035B75">
        <w:rPr>
          <w:i/>
          <w:iCs/>
          <w:color w:val="000000"/>
          <w:sz w:val="20"/>
          <w:szCs w:val="20"/>
        </w:rPr>
        <w:t>(</w:t>
      </w:r>
      <w:proofErr w:type="gramStart"/>
      <w:r w:rsidRPr="00035B75">
        <w:rPr>
          <w:i/>
          <w:iCs/>
          <w:color w:val="000000"/>
          <w:sz w:val="20"/>
          <w:szCs w:val="20"/>
        </w:rPr>
        <w:t>in</w:t>
      </w:r>
      <w:proofErr w:type="gramEnd"/>
      <w:r w:rsidRPr="00035B75">
        <w:rPr>
          <w:i/>
          <w:iCs/>
          <w:color w:val="000000"/>
          <w:sz w:val="20"/>
          <w:szCs w:val="20"/>
        </w:rPr>
        <w:t xml:space="preserve"> thousands of Swiss francs)</w:t>
      </w:r>
    </w:p>
    <w:p w:rsidR="001B013D" w:rsidRDefault="001B013D" w:rsidP="00035B75">
      <w:pPr>
        <w:pStyle w:val="NormalWeb"/>
        <w:keepNext/>
        <w:keepLines/>
        <w:spacing w:before="0" w:beforeAutospacing="0" w:after="0" w:afterAutospacing="0"/>
        <w:jc w:val="center"/>
      </w:pPr>
    </w:p>
    <w:tbl>
      <w:tblPr>
        <w:tblW w:w="0" w:type="auto"/>
        <w:tblInd w:w="93" w:type="dxa"/>
        <w:tblLayout w:type="fixed"/>
        <w:tblLook w:val="04A0" w:firstRow="1" w:lastRow="0" w:firstColumn="1" w:lastColumn="0" w:noHBand="0" w:noVBand="1"/>
      </w:tblPr>
      <w:tblGrid>
        <w:gridCol w:w="2283"/>
        <w:gridCol w:w="1772"/>
        <w:gridCol w:w="1772"/>
        <w:gridCol w:w="1772"/>
        <w:gridCol w:w="1772"/>
      </w:tblGrid>
      <w:tr w:rsidR="004611B9" w:rsidRPr="00513DF5" w:rsidTr="00AB2445">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4611B9" w:rsidRPr="00513DF5" w:rsidRDefault="004611B9" w:rsidP="00B73AC5">
            <w:pPr>
              <w:keepNext/>
              <w:keepLines/>
              <w:spacing w:before="120" w:after="120"/>
              <w:rPr>
                <w:rFonts w:cs="Arial"/>
                <w:color w:val="000000"/>
                <w:sz w:val="16"/>
                <w:szCs w:val="16"/>
              </w:rPr>
            </w:pPr>
            <w:r w:rsidRPr="00513DF5">
              <w:rPr>
                <w:rFonts w:cs="Arial"/>
                <w:color w:val="000000"/>
                <w:sz w:val="16"/>
                <w:szCs w:val="16"/>
              </w:rPr>
              <w:t> </w:t>
            </w:r>
          </w:p>
        </w:tc>
        <w:tc>
          <w:tcPr>
            <w:tcW w:w="1772" w:type="dxa"/>
            <w:tcBorders>
              <w:top w:val="single" w:sz="4" w:space="0" w:color="auto"/>
              <w:left w:val="nil"/>
              <w:bottom w:val="nil"/>
              <w:right w:val="single" w:sz="4" w:space="0" w:color="auto"/>
            </w:tcBorders>
            <w:shd w:val="clear" w:color="000000" w:fill="CCFFFF"/>
            <w:vAlign w:val="center"/>
            <w:hideMark/>
          </w:tcPr>
          <w:p w:rsidR="004611B9" w:rsidRPr="00513DF5" w:rsidRDefault="004611B9" w:rsidP="00B73AC5">
            <w:pPr>
              <w:keepNext/>
              <w:keepLines/>
              <w:spacing w:before="120" w:after="120"/>
              <w:jc w:val="center"/>
              <w:rPr>
                <w:rFonts w:cs="Arial"/>
                <w:bCs/>
                <w:color w:val="000000"/>
                <w:sz w:val="16"/>
                <w:szCs w:val="16"/>
              </w:rPr>
            </w:pPr>
            <w:r w:rsidRPr="00513DF5">
              <w:rPr>
                <w:rFonts w:cs="Arial"/>
                <w:bCs/>
                <w:color w:val="000000"/>
                <w:sz w:val="16"/>
                <w:szCs w:val="16"/>
              </w:rPr>
              <w:t>Approved Budget 2012/13</w:t>
            </w:r>
          </w:p>
        </w:tc>
        <w:tc>
          <w:tcPr>
            <w:tcW w:w="1772" w:type="dxa"/>
            <w:tcBorders>
              <w:top w:val="single" w:sz="4" w:space="0" w:color="auto"/>
              <w:left w:val="nil"/>
              <w:bottom w:val="nil"/>
              <w:right w:val="single" w:sz="4" w:space="0" w:color="auto"/>
            </w:tcBorders>
            <w:shd w:val="clear" w:color="000000" w:fill="CCFFFF"/>
            <w:vAlign w:val="center"/>
            <w:hideMark/>
          </w:tcPr>
          <w:p w:rsidR="004611B9" w:rsidRPr="00513DF5" w:rsidRDefault="004611B9" w:rsidP="00B73AC5">
            <w:pPr>
              <w:keepNext/>
              <w:keepLines/>
              <w:spacing w:before="120" w:after="120"/>
              <w:jc w:val="center"/>
              <w:rPr>
                <w:rFonts w:cs="Arial"/>
                <w:bCs/>
                <w:color w:val="000000"/>
                <w:sz w:val="16"/>
                <w:szCs w:val="16"/>
              </w:rPr>
            </w:pPr>
            <w:r w:rsidRPr="00513DF5">
              <w:rPr>
                <w:rFonts w:cs="Arial"/>
                <w:bCs/>
                <w:color w:val="000000"/>
                <w:sz w:val="16"/>
                <w:szCs w:val="16"/>
              </w:rPr>
              <w:t>Budget after transfers 2012/13</w:t>
            </w:r>
          </w:p>
        </w:tc>
        <w:tc>
          <w:tcPr>
            <w:tcW w:w="1772" w:type="dxa"/>
            <w:tcBorders>
              <w:top w:val="single" w:sz="4" w:space="0" w:color="auto"/>
              <w:left w:val="nil"/>
              <w:bottom w:val="nil"/>
              <w:right w:val="single" w:sz="4" w:space="0" w:color="auto"/>
            </w:tcBorders>
            <w:shd w:val="clear" w:color="000000" w:fill="CCFFFF"/>
            <w:vAlign w:val="center"/>
            <w:hideMark/>
          </w:tcPr>
          <w:p w:rsidR="004611B9" w:rsidRPr="00513DF5" w:rsidRDefault="004611B9" w:rsidP="00B73AC5">
            <w:pPr>
              <w:keepNext/>
              <w:keepLines/>
              <w:spacing w:before="120" w:after="120"/>
              <w:jc w:val="center"/>
              <w:rPr>
                <w:rFonts w:cs="Arial"/>
                <w:bCs/>
                <w:color w:val="000000"/>
                <w:sz w:val="16"/>
                <w:szCs w:val="16"/>
              </w:rPr>
            </w:pPr>
            <w:r w:rsidRPr="00513DF5">
              <w:rPr>
                <w:rFonts w:cs="Arial"/>
                <w:bCs/>
                <w:color w:val="000000"/>
                <w:sz w:val="16"/>
                <w:szCs w:val="16"/>
              </w:rPr>
              <w:t>Expenditures 2012/13</w:t>
            </w:r>
          </w:p>
        </w:tc>
        <w:tc>
          <w:tcPr>
            <w:tcW w:w="1772" w:type="dxa"/>
            <w:tcBorders>
              <w:top w:val="single" w:sz="4" w:space="0" w:color="auto"/>
              <w:left w:val="nil"/>
              <w:bottom w:val="nil"/>
              <w:right w:val="single" w:sz="4" w:space="0" w:color="auto"/>
            </w:tcBorders>
            <w:shd w:val="clear" w:color="000000" w:fill="CCFFFF"/>
            <w:vAlign w:val="center"/>
            <w:hideMark/>
          </w:tcPr>
          <w:p w:rsidR="004611B9" w:rsidRPr="00513DF5" w:rsidRDefault="004611B9" w:rsidP="00B73AC5">
            <w:pPr>
              <w:keepNext/>
              <w:keepLines/>
              <w:spacing w:before="120" w:after="120"/>
              <w:jc w:val="center"/>
              <w:rPr>
                <w:rFonts w:cs="Arial"/>
                <w:bCs/>
                <w:color w:val="000000"/>
                <w:sz w:val="16"/>
                <w:szCs w:val="16"/>
              </w:rPr>
            </w:pPr>
            <w:r w:rsidRPr="00513DF5">
              <w:rPr>
                <w:rFonts w:cs="Arial"/>
                <w:bCs/>
                <w:color w:val="000000"/>
                <w:sz w:val="16"/>
                <w:szCs w:val="16"/>
              </w:rPr>
              <w:t>Utilization rate (%)</w:t>
            </w:r>
          </w:p>
        </w:tc>
      </w:tr>
      <w:tr w:rsidR="004611B9" w:rsidRPr="00D366D5" w:rsidTr="00AB2445">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611B9" w:rsidRPr="00035B75" w:rsidRDefault="004611B9" w:rsidP="00B73AC5">
            <w:pPr>
              <w:keepNext/>
              <w:keepLines/>
              <w:spacing w:before="120" w:after="120"/>
              <w:rPr>
                <w:rFonts w:cs="Arial"/>
                <w:color w:val="000000"/>
                <w:sz w:val="16"/>
                <w:szCs w:val="16"/>
              </w:rPr>
            </w:pPr>
            <w:r w:rsidRPr="00035B75">
              <w:rPr>
                <w:rFonts w:cs="Arial"/>
                <w:color w:val="000000"/>
                <w:sz w:val="16"/>
                <w:szCs w:val="16"/>
              </w:rPr>
              <w:t xml:space="preserve">Personnel Resources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3,107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3,936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3,936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100%</w:t>
            </w:r>
          </w:p>
        </w:tc>
      </w:tr>
      <w:tr w:rsidR="004611B9" w:rsidRPr="00D366D5" w:rsidTr="00AB2445">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611B9" w:rsidRPr="00035B75" w:rsidRDefault="004611B9" w:rsidP="00B73AC5">
            <w:pPr>
              <w:keepNext/>
              <w:keepLines/>
              <w:spacing w:before="120" w:after="120"/>
              <w:rPr>
                <w:rFonts w:cs="Arial"/>
                <w:color w:val="000000"/>
                <w:sz w:val="16"/>
                <w:szCs w:val="16"/>
              </w:rPr>
            </w:pPr>
            <w:r w:rsidRPr="00035B75">
              <w:rPr>
                <w:rFonts w:cs="Arial"/>
                <w:color w:val="000000"/>
                <w:sz w:val="16"/>
                <w:szCs w:val="16"/>
              </w:rPr>
              <w:t xml:space="preserve">Non-personnel Resources </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1,736</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1,491</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883</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keepNext/>
              <w:keepLines/>
              <w:spacing w:before="120" w:after="120"/>
              <w:jc w:val="center"/>
              <w:rPr>
                <w:rFonts w:cs="Arial"/>
                <w:color w:val="000000"/>
                <w:sz w:val="16"/>
                <w:szCs w:val="16"/>
              </w:rPr>
            </w:pPr>
            <w:r w:rsidRPr="00035B75">
              <w:rPr>
                <w:rFonts w:cs="Arial"/>
                <w:color w:val="000000"/>
                <w:sz w:val="16"/>
                <w:szCs w:val="16"/>
              </w:rPr>
              <w:t>59%</w:t>
            </w:r>
          </w:p>
        </w:tc>
      </w:tr>
      <w:tr w:rsidR="004611B9" w:rsidRPr="00D366D5" w:rsidTr="00AB2445">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4611B9" w:rsidRPr="00035B75" w:rsidRDefault="004611B9" w:rsidP="00B73AC5">
            <w:pPr>
              <w:spacing w:before="120" w:after="120"/>
              <w:jc w:val="right"/>
              <w:rPr>
                <w:rFonts w:cs="Arial"/>
                <w:b/>
                <w:bCs/>
                <w:color w:val="000000"/>
                <w:sz w:val="16"/>
                <w:szCs w:val="16"/>
              </w:rPr>
            </w:pPr>
            <w:r w:rsidRPr="00035B75">
              <w:rPr>
                <w:rFonts w:cs="Arial"/>
                <w:b/>
                <w:bCs/>
                <w:color w:val="000000"/>
                <w:sz w:val="16"/>
                <w:szCs w:val="16"/>
              </w:rPr>
              <w:t xml:space="preserve"> TOTAL </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spacing w:before="120" w:after="120"/>
              <w:jc w:val="center"/>
              <w:rPr>
                <w:rFonts w:cs="Arial"/>
                <w:b/>
                <w:bCs/>
                <w:color w:val="000000"/>
                <w:sz w:val="16"/>
                <w:szCs w:val="16"/>
              </w:rPr>
            </w:pPr>
            <w:r w:rsidRPr="00035B75">
              <w:rPr>
                <w:rFonts w:cs="Arial"/>
                <w:b/>
                <w:bCs/>
                <w:color w:val="000000"/>
                <w:sz w:val="16"/>
                <w:szCs w:val="16"/>
              </w:rPr>
              <w:t>4,843</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spacing w:before="120" w:after="120"/>
              <w:jc w:val="center"/>
              <w:rPr>
                <w:rFonts w:cs="Arial"/>
                <w:b/>
                <w:bCs/>
                <w:color w:val="000000"/>
                <w:sz w:val="16"/>
                <w:szCs w:val="16"/>
              </w:rPr>
            </w:pPr>
            <w:r w:rsidRPr="00035B75">
              <w:rPr>
                <w:rFonts w:cs="Arial"/>
                <w:b/>
                <w:bCs/>
                <w:color w:val="000000"/>
                <w:sz w:val="16"/>
                <w:szCs w:val="16"/>
              </w:rPr>
              <w:t>5,427</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spacing w:before="120" w:after="120"/>
              <w:jc w:val="center"/>
              <w:rPr>
                <w:rFonts w:cs="Arial"/>
                <w:b/>
                <w:bCs/>
                <w:color w:val="000000"/>
                <w:sz w:val="16"/>
                <w:szCs w:val="16"/>
              </w:rPr>
            </w:pPr>
            <w:r w:rsidRPr="00035B75">
              <w:rPr>
                <w:rFonts w:cs="Arial"/>
                <w:b/>
                <w:bCs/>
                <w:color w:val="000000"/>
                <w:sz w:val="16"/>
                <w:szCs w:val="16"/>
              </w:rPr>
              <w:t>4,819</w:t>
            </w:r>
          </w:p>
        </w:tc>
        <w:tc>
          <w:tcPr>
            <w:tcW w:w="1772" w:type="dxa"/>
            <w:tcBorders>
              <w:top w:val="nil"/>
              <w:left w:val="nil"/>
              <w:bottom w:val="single" w:sz="4" w:space="0" w:color="auto"/>
              <w:right w:val="single" w:sz="4" w:space="0" w:color="auto"/>
            </w:tcBorders>
            <w:shd w:val="clear" w:color="auto" w:fill="auto"/>
            <w:vAlign w:val="center"/>
            <w:hideMark/>
          </w:tcPr>
          <w:p w:rsidR="004611B9" w:rsidRPr="00035B75" w:rsidRDefault="004611B9" w:rsidP="00B73AC5">
            <w:pPr>
              <w:spacing w:before="120" w:after="120"/>
              <w:jc w:val="center"/>
              <w:rPr>
                <w:rFonts w:cs="Arial"/>
                <w:b/>
                <w:bCs/>
                <w:color w:val="000000"/>
                <w:sz w:val="16"/>
                <w:szCs w:val="16"/>
              </w:rPr>
            </w:pPr>
            <w:r w:rsidRPr="00035B75">
              <w:rPr>
                <w:rFonts w:cs="Arial"/>
                <w:b/>
                <w:bCs/>
                <w:color w:val="000000"/>
                <w:sz w:val="16"/>
                <w:szCs w:val="16"/>
              </w:rPr>
              <w:t>89%</w:t>
            </w:r>
          </w:p>
        </w:tc>
      </w:tr>
    </w:tbl>
    <w:p w:rsidR="007E7815" w:rsidRPr="00035B75" w:rsidRDefault="007E7815" w:rsidP="00FC4F64">
      <w:pPr>
        <w:rPr>
          <w:szCs w:val="20"/>
        </w:rPr>
      </w:pPr>
    </w:p>
    <w:p w:rsidR="00DD012F" w:rsidRPr="004312A2" w:rsidRDefault="00DD012F" w:rsidP="00DD012F">
      <w:pPr>
        <w:keepNext/>
        <w:autoSpaceDE w:val="0"/>
        <w:autoSpaceDN w:val="0"/>
        <w:rPr>
          <w:sz w:val="16"/>
          <w:szCs w:val="16"/>
        </w:rPr>
      </w:pPr>
      <w:r w:rsidRPr="004312A2">
        <w:rPr>
          <w:sz w:val="16"/>
          <w:szCs w:val="16"/>
        </w:rPr>
        <w:t>NOTES:</w:t>
      </w:r>
    </w:p>
    <w:p w:rsidR="00DD012F" w:rsidRPr="004312A2" w:rsidRDefault="00DD012F" w:rsidP="00DD012F">
      <w:pPr>
        <w:keepNext/>
        <w:autoSpaceDE w:val="0"/>
        <w:autoSpaceDN w:val="0"/>
        <w:rPr>
          <w:sz w:val="16"/>
          <w:szCs w:val="16"/>
        </w:rPr>
      </w:pPr>
    </w:p>
    <w:p w:rsidR="00DD012F" w:rsidRPr="004312A2" w:rsidRDefault="00DD012F" w:rsidP="00DD012F">
      <w:pPr>
        <w:keepNext/>
        <w:autoSpaceDE w:val="0"/>
        <w:autoSpaceDN w:val="0"/>
        <w:rPr>
          <w:sz w:val="16"/>
          <w:szCs w:val="16"/>
        </w:rPr>
      </w:pPr>
      <w:r w:rsidRPr="004312A2">
        <w:rPr>
          <w:sz w:val="16"/>
          <w:szCs w:val="16"/>
        </w:rPr>
        <w:t>(1)  Budget after transfers reflects the adjusted budget of Programs, following transfers during 2012/13 in line with Financial Regulation 5.5.</w:t>
      </w:r>
    </w:p>
    <w:p w:rsidR="00582788" w:rsidRDefault="00582788" w:rsidP="00DD012F">
      <w:pPr>
        <w:keepNext/>
        <w:autoSpaceDE w:val="0"/>
        <w:autoSpaceDN w:val="0"/>
        <w:rPr>
          <w:sz w:val="16"/>
          <w:szCs w:val="16"/>
        </w:rPr>
      </w:pPr>
    </w:p>
    <w:p w:rsidR="00DD012F" w:rsidRPr="004312A2" w:rsidRDefault="00DD012F" w:rsidP="00DD012F">
      <w:pPr>
        <w:keepNext/>
        <w:autoSpaceDE w:val="0"/>
        <w:autoSpaceDN w:val="0"/>
        <w:rPr>
          <w:sz w:val="16"/>
          <w:szCs w:val="16"/>
        </w:rPr>
      </w:pPr>
      <w:r w:rsidRPr="004312A2">
        <w:rPr>
          <w:sz w:val="16"/>
          <w:szCs w:val="16"/>
        </w:rPr>
        <w:t>(2)  The personnel allocation for the 2012/13 Budget after transfers represent</w:t>
      </w:r>
      <w:r w:rsidR="00DC2CFA">
        <w:rPr>
          <w:sz w:val="16"/>
          <w:szCs w:val="16"/>
        </w:rPr>
        <w:t>s</w:t>
      </w:r>
      <w:r w:rsidRPr="004312A2">
        <w:rPr>
          <w:sz w:val="16"/>
          <w:szCs w:val="16"/>
        </w:rPr>
        <w:t xml:space="preserve"> actual expenditures incurred in the biennium. </w:t>
      </w:r>
    </w:p>
    <w:p w:rsidR="007E7815" w:rsidRPr="008F4A6D" w:rsidRDefault="007E7815" w:rsidP="00420F90">
      <w:pPr>
        <w:widowControl w:val="0"/>
        <w:autoSpaceDE w:val="0"/>
        <w:autoSpaceDN w:val="0"/>
        <w:adjustRightInd w:val="0"/>
        <w:rPr>
          <w:rFonts w:cs="Arial"/>
          <w:szCs w:val="20"/>
        </w:rPr>
      </w:pPr>
    </w:p>
    <w:p w:rsidR="007E7815" w:rsidRPr="001C6F4D" w:rsidRDefault="007E7815" w:rsidP="00420F90">
      <w:pPr>
        <w:widowControl w:val="0"/>
        <w:autoSpaceDE w:val="0"/>
        <w:autoSpaceDN w:val="0"/>
        <w:adjustRightInd w:val="0"/>
        <w:rPr>
          <w:rFonts w:cs="Arial"/>
          <w:szCs w:val="20"/>
        </w:rPr>
      </w:pPr>
    </w:p>
    <w:p w:rsidR="007E7815" w:rsidRDefault="007E7815" w:rsidP="00CF19D4">
      <w:pPr>
        <w:tabs>
          <w:tab w:val="left" w:pos="709"/>
        </w:tabs>
        <w:rPr>
          <w:rFonts w:cs="Arial"/>
          <w:u w:val="single"/>
        </w:rPr>
      </w:pPr>
      <w:r w:rsidRPr="00420F90">
        <w:rPr>
          <w:rFonts w:cs="Arial"/>
          <w:szCs w:val="20"/>
        </w:rPr>
        <w:t>A.</w:t>
      </w:r>
      <w:r w:rsidRPr="00420F90">
        <w:rPr>
          <w:rFonts w:cs="Arial"/>
        </w:rPr>
        <w:tab/>
      </w:r>
      <w:r w:rsidRPr="00420F90">
        <w:rPr>
          <w:rFonts w:cs="Arial"/>
          <w:u w:val="single"/>
        </w:rPr>
        <w:t>Budget after Transfers 2012/13</w:t>
      </w:r>
    </w:p>
    <w:p w:rsidR="007E7815" w:rsidRPr="00420F90" w:rsidRDefault="007E7815" w:rsidP="00A93FCA">
      <w:pPr>
        <w:rPr>
          <w:rFonts w:cs="Arial"/>
          <w:u w:val="single"/>
        </w:rPr>
      </w:pPr>
    </w:p>
    <w:p w:rsidR="008F4A6D" w:rsidRDefault="00CF19D4" w:rsidP="00145892">
      <w:pPr>
        <w:pStyle w:val="ListParagraph"/>
        <w:tabs>
          <w:tab w:val="left" w:pos="709"/>
        </w:tabs>
        <w:ind w:left="0"/>
        <w:jc w:val="both"/>
        <w:rPr>
          <w:lang w:eastAsia="ko-KR"/>
        </w:rPr>
      </w:pPr>
      <w:r>
        <w:rPr>
          <w:lang w:eastAsia="ko-KR"/>
        </w:rPr>
        <w:t>1.1</w:t>
      </w:r>
      <w:r w:rsidR="00582788">
        <w:rPr>
          <w:lang w:eastAsia="ko-KR"/>
        </w:rPr>
        <w:t>1</w:t>
      </w:r>
      <w:r>
        <w:rPr>
          <w:lang w:eastAsia="ko-KR"/>
        </w:rPr>
        <w:t>.</w:t>
      </w:r>
      <w:r>
        <w:rPr>
          <w:lang w:eastAsia="ko-KR"/>
        </w:rPr>
        <w:tab/>
      </w:r>
      <w:r w:rsidR="007E7815" w:rsidRPr="008F4A6D">
        <w:rPr>
          <w:lang w:eastAsia="ko-KR"/>
        </w:rPr>
        <w:t xml:space="preserve">The overall increase </w:t>
      </w:r>
      <w:r w:rsidR="004F4CE3" w:rsidRPr="008F4A6D">
        <w:rPr>
          <w:lang w:eastAsia="ko-KR"/>
        </w:rPr>
        <w:t xml:space="preserve">in the Budget after Transfer </w:t>
      </w:r>
      <w:r w:rsidR="007E7815" w:rsidRPr="008F4A6D">
        <w:rPr>
          <w:lang w:eastAsia="ko-KR"/>
        </w:rPr>
        <w:t>result</w:t>
      </w:r>
      <w:r w:rsidR="004F4CE3" w:rsidRPr="008F4A6D">
        <w:rPr>
          <w:lang w:eastAsia="ko-KR"/>
        </w:rPr>
        <w:t>ed</w:t>
      </w:r>
      <w:r w:rsidR="007E7815" w:rsidRPr="008F4A6D">
        <w:rPr>
          <w:lang w:eastAsia="ko-KR"/>
        </w:rPr>
        <w:t xml:space="preserve"> </w:t>
      </w:r>
      <w:r w:rsidR="004F4CE3" w:rsidRPr="008F4A6D">
        <w:rPr>
          <w:lang w:eastAsia="ko-KR"/>
        </w:rPr>
        <w:t xml:space="preserve">from the allocation of </w:t>
      </w:r>
      <w:r w:rsidR="007E7815" w:rsidRPr="008F4A6D">
        <w:rPr>
          <w:lang w:eastAsia="ko-KR"/>
        </w:rPr>
        <w:t>additional personnel resources to Result I.4 (Legislative advice)</w:t>
      </w:r>
      <w:r w:rsidR="00D84431" w:rsidRPr="008F4A6D">
        <w:rPr>
          <w:lang w:eastAsia="ko-KR"/>
        </w:rPr>
        <w:t xml:space="preserve"> </w:t>
      </w:r>
      <w:r w:rsidR="004F4CE3" w:rsidRPr="008F4A6D">
        <w:rPr>
          <w:lang w:eastAsia="ko-KR"/>
        </w:rPr>
        <w:t xml:space="preserve">following an </w:t>
      </w:r>
      <w:r w:rsidR="00D84431" w:rsidRPr="008F4A6D">
        <w:rPr>
          <w:lang w:eastAsia="ko-KR"/>
        </w:rPr>
        <w:t>increase of requests for legislative advice from Member States</w:t>
      </w:r>
      <w:r w:rsidR="007E7815" w:rsidRPr="008F4A6D">
        <w:rPr>
          <w:lang w:eastAsia="ko-KR"/>
        </w:rPr>
        <w:t>.</w:t>
      </w:r>
    </w:p>
    <w:p w:rsidR="008F4A6D" w:rsidRDefault="008F4A6D" w:rsidP="00145892">
      <w:pPr>
        <w:pStyle w:val="ListParagraph"/>
        <w:tabs>
          <w:tab w:val="num" w:pos="709"/>
        </w:tabs>
        <w:ind w:left="0"/>
        <w:jc w:val="both"/>
        <w:rPr>
          <w:lang w:eastAsia="ko-KR"/>
        </w:rPr>
      </w:pPr>
    </w:p>
    <w:p w:rsidR="005431EB" w:rsidRPr="008F4A6D" w:rsidRDefault="00CF19D4" w:rsidP="00145892">
      <w:pPr>
        <w:pStyle w:val="ListParagraph"/>
        <w:tabs>
          <w:tab w:val="left" w:pos="709"/>
        </w:tabs>
        <w:ind w:left="0"/>
        <w:jc w:val="both"/>
        <w:rPr>
          <w:lang w:eastAsia="ko-KR"/>
        </w:rPr>
      </w:pPr>
      <w:r>
        <w:rPr>
          <w:rFonts w:eastAsia="Batang"/>
          <w:lang w:eastAsia="ko-KR"/>
        </w:rPr>
        <w:t>1.1</w:t>
      </w:r>
      <w:r w:rsidR="00582788">
        <w:rPr>
          <w:rFonts w:eastAsia="Batang"/>
          <w:lang w:eastAsia="ko-KR"/>
        </w:rPr>
        <w:t>2</w:t>
      </w:r>
      <w:r>
        <w:rPr>
          <w:rFonts w:eastAsia="Batang"/>
          <w:lang w:eastAsia="ko-KR"/>
        </w:rPr>
        <w:t>.</w:t>
      </w:r>
      <w:r>
        <w:rPr>
          <w:rFonts w:eastAsia="Batang"/>
          <w:lang w:eastAsia="ko-KR"/>
        </w:rPr>
        <w:tab/>
      </w:r>
      <w:r w:rsidR="005431EB" w:rsidRPr="008F4A6D">
        <w:rPr>
          <w:rFonts w:eastAsia="Batang"/>
          <w:lang w:eastAsia="ko-KR"/>
        </w:rPr>
        <w:t>The non-personnel allocation for the 2012/13 Budget after Transfers reflects downward adjustments made for cost efficiency gains, in accordance with the Organization’s commitment to reduce expenditures by 10.2 million Swiss francs in the 2012/13 biennium.</w:t>
      </w:r>
    </w:p>
    <w:p w:rsidR="005431EB" w:rsidRDefault="005431EB" w:rsidP="00FC4F64">
      <w:pPr>
        <w:autoSpaceDE w:val="0"/>
        <w:autoSpaceDN w:val="0"/>
        <w:jc w:val="both"/>
        <w:rPr>
          <w:rFonts w:cs="Arial"/>
          <w:szCs w:val="20"/>
          <w:lang w:eastAsia="ko-KR"/>
        </w:rPr>
      </w:pPr>
    </w:p>
    <w:p w:rsidR="007E7815" w:rsidRDefault="007E7815" w:rsidP="00D44A34">
      <w:pPr>
        <w:tabs>
          <w:tab w:val="left" w:pos="709"/>
        </w:tabs>
        <w:jc w:val="both"/>
        <w:rPr>
          <w:rFonts w:cs="Arial"/>
          <w:szCs w:val="20"/>
          <w:u w:val="single"/>
          <w:lang w:eastAsia="ko-KR"/>
        </w:rPr>
      </w:pPr>
      <w:r>
        <w:rPr>
          <w:rFonts w:cs="Arial"/>
          <w:szCs w:val="20"/>
          <w:lang w:eastAsia="ko-KR"/>
        </w:rPr>
        <w:t>B.</w:t>
      </w:r>
      <w:r>
        <w:rPr>
          <w:rFonts w:cs="Arial"/>
          <w:szCs w:val="20"/>
          <w:lang w:eastAsia="ko-KR"/>
        </w:rPr>
        <w:tab/>
      </w:r>
      <w:r w:rsidR="00D44A34">
        <w:rPr>
          <w:rFonts w:cs="Arial"/>
          <w:szCs w:val="20"/>
          <w:u w:val="single"/>
          <w:lang w:eastAsia="ko-KR"/>
        </w:rPr>
        <w:t>Budget U</w:t>
      </w:r>
      <w:r>
        <w:rPr>
          <w:rFonts w:cs="Arial"/>
          <w:szCs w:val="20"/>
          <w:u w:val="single"/>
          <w:lang w:eastAsia="ko-KR"/>
        </w:rPr>
        <w:t>tilization 2012/13</w:t>
      </w:r>
    </w:p>
    <w:p w:rsidR="007E7815" w:rsidRDefault="007E7815" w:rsidP="00035B75">
      <w:pPr>
        <w:tabs>
          <w:tab w:val="left" w:pos="709"/>
        </w:tabs>
        <w:jc w:val="both"/>
        <w:rPr>
          <w:rFonts w:cs="Arial"/>
          <w:szCs w:val="20"/>
          <w:u w:val="single"/>
          <w:lang w:eastAsia="ko-KR"/>
        </w:rPr>
      </w:pPr>
    </w:p>
    <w:p w:rsidR="00D84431" w:rsidRPr="008F4A6D" w:rsidRDefault="00CF19D4" w:rsidP="00CF19D4">
      <w:pPr>
        <w:pStyle w:val="ListParagraph"/>
        <w:tabs>
          <w:tab w:val="left" w:pos="709"/>
        </w:tabs>
        <w:autoSpaceDE w:val="0"/>
        <w:autoSpaceDN w:val="0"/>
        <w:ind w:left="0"/>
        <w:jc w:val="both"/>
        <w:rPr>
          <w:rFonts w:cs="Arial"/>
          <w:lang w:eastAsia="ko-KR"/>
        </w:rPr>
      </w:pPr>
      <w:r>
        <w:rPr>
          <w:rFonts w:cs="Arial"/>
          <w:lang w:eastAsia="ko-KR"/>
        </w:rPr>
        <w:t>1.1</w:t>
      </w:r>
      <w:r w:rsidR="00582788">
        <w:rPr>
          <w:rFonts w:cs="Arial"/>
          <w:lang w:eastAsia="ko-KR"/>
        </w:rPr>
        <w:t>3</w:t>
      </w:r>
      <w:r>
        <w:rPr>
          <w:rFonts w:cs="Arial"/>
          <w:lang w:eastAsia="ko-KR"/>
        </w:rPr>
        <w:t>.</w:t>
      </w:r>
      <w:r>
        <w:rPr>
          <w:rFonts w:cs="Arial"/>
          <w:lang w:eastAsia="ko-KR"/>
        </w:rPr>
        <w:tab/>
      </w:r>
      <w:r w:rsidR="007E7815" w:rsidRPr="008F4A6D">
        <w:rPr>
          <w:rFonts w:cs="Arial"/>
          <w:lang w:eastAsia="ko-KR"/>
        </w:rPr>
        <w:t xml:space="preserve">The utilization rate of non-personnel resources was low </w:t>
      </w:r>
      <w:r w:rsidR="00D84431" w:rsidRPr="008F4A6D">
        <w:rPr>
          <w:rFonts w:cs="Arial"/>
          <w:lang w:eastAsia="ko-KR"/>
        </w:rPr>
        <w:t xml:space="preserve">primarily </w:t>
      </w:r>
      <w:r w:rsidR="007E7815" w:rsidRPr="008F4A6D">
        <w:rPr>
          <w:rFonts w:cs="Arial"/>
          <w:lang w:eastAsia="ko-KR"/>
        </w:rPr>
        <w:t>due to</w:t>
      </w:r>
      <w:r w:rsidR="00D84431" w:rsidRPr="008F4A6D">
        <w:rPr>
          <w:rFonts w:cs="Arial"/>
          <w:lang w:eastAsia="ko-KR"/>
        </w:rPr>
        <w:t xml:space="preserve">: </w:t>
      </w:r>
    </w:p>
    <w:p w:rsidR="00D84431" w:rsidRDefault="00D84431" w:rsidP="00FC4F64">
      <w:pPr>
        <w:autoSpaceDE w:val="0"/>
        <w:autoSpaceDN w:val="0"/>
        <w:jc w:val="both"/>
        <w:rPr>
          <w:rFonts w:cs="Arial"/>
          <w:szCs w:val="20"/>
          <w:lang w:eastAsia="ko-KR"/>
        </w:rPr>
      </w:pPr>
    </w:p>
    <w:p w:rsidR="007E7815" w:rsidRPr="00022EBD" w:rsidRDefault="007E7815" w:rsidP="005703CF">
      <w:pPr>
        <w:pStyle w:val="ListParagraph"/>
        <w:numPr>
          <w:ilvl w:val="0"/>
          <w:numId w:val="2"/>
        </w:numPr>
        <w:autoSpaceDE w:val="0"/>
        <w:autoSpaceDN w:val="0"/>
        <w:ind w:left="993" w:hanging="283"/>
        <w:jc w:val="both"/>
        <w:rPr>
          <w:rFonts w:cs="Arial"/>
          <w:lang w:eastAsia="ko-KR"/>
        </w:rPr>
      </w:pPr>
      <w:r w:rsidRPr="00856E62">
        <w:rPr>
          <w:rFonts w:cs="Arial"/>
          <w:lang w:eastAsia="ko-KR"/>
        </w:rPr>
        <w:t xml:space="preserve">the postponement of two </w:t>
      </w:r>
      <w:r w:rsidR="00D84431" w:rsidRPr="00856E62">
        <w:rPr>
          <w:rFonts w:cs="Arial"/>
          <w:lang w:eastAsia="ko-KR"/>
        </w:rPr>
        <w:t xml:space="preserve">sessions of the </w:t>
      </w:r>
      <w:r w:rsidRPr="00856E62">
        <w:rPr>
          <w:rFonts w:cs="Arial"/>
          <w:lang w:eastAsia="ko-KR"/>
        </w:rPr>
        <w:t xml:space="preserve">SCP out of </w:t>
      </w:r>
      <w:r w:rsidR="00D84431" w:rsidRPr="00856E62">
        <w:rPr>
          <w:rFonts w:cs="Arial"/>
          <w:lang w:eastAsia="ko-KR"/>
        </w:rPr>
        <w:t xml:space="preserve">the </w:t>
      </w:r>
      <w:r w:rsidRPr="00856E62">
        <w:rPr>
          <w:rFonts w:cs="Arial"/>
          <w:lang w:eastAsia="ko-KR"/>
        </w:rPr>
        <w:t xml:space="preserve">four </w:t>
      </w:r>
      <w:r w:rsidR="00D84431" w:rsidRPr="00856E62">
        <w:rPr>
          <w:rFonts w:cs="Arial"/>
          <w:lang w:eastAsia="ko-KR"/>
        </w:rPr>
        <w:t xml:space="preserve">sessions </w:t>
      </w:r>
      <w:r w:rsidRPr="00856E62">
        <w:rPr>
          <w:rFonts w:cs="Arial"/>
          <w:lang w:eastAsia="ko-KR"/>
        </w:rPr>
        <w:t>planned in the biennium</w:t>
      </w:r>
      <w:r w:rsidR="00C14481" w:rsidRPr="00856E62">
        <w:rPr>
          <w:rFonts w:cs="Arial"/>
          <w:lang w:eastAsia="ko-KR"/>
        </w:rPr>
        <w:t>, a</w:t>
      </w:r>
      <w:r w:rsidR="00D853FF">
        <w:rPr>
          <w:rFonts w:cs="Arial"/>
          <w:lang w:eastAsia="ko-KR"/>
        </w:rPr>
        <w:t>s</w:t>
      </w:r>
      <w:r w:rsidR="00D84431" w:rsidRPr="00856E62">
        <w:rPr>
          <w:rFonts w:cs="Arial"/>
          <w:lang w:eastAsia="ko-KR"/>
        </w:rPr>
        <w:t xml:space="preserve"> </w:t>
      </w:r>
      <w:r w:rsidRPr="00856E62">
        <w:rPr>
          <w:rFonts w:cs="Arial"/>
          <w:lang w:eastAsia="ko-KR"/>
        </w:rPr>
        <w:t>reflected under Result I.1 (Development of balanced international normative frameworks for IP)</w:t>
      </w:r>
      <w:r w:rsidR="00C14481" w:rsidRPr="00856E62">
        <w:rPr>
          <w:rFonts w:cs="Arial"/>
          <w:lang w:eastAsia="ko-KR"/>
        </w:rPr>
        <w:t xml:space="preserve">; </w:t>
      </w:r>
      <w:r w:rsidR="004312A2">
        <w:rPr>
          <w:rFonts w:cs="Arial"/>
          <w:lang w:eastAsia="ko-KR"/>
        </w:rPr>
        <w:t xml:space="preserve"> </w:t>
      </w:r>
      <w:r w:rsidR="00C14481" w:rsidRPr="00856E62">
        <w:rPr>
          <w:rFonts w:cs="Arial"/>
          <w:lang w:eastAsia="ko-KR"/>
        </w:rPr>
        <w:t>and</w:t>
      </w:r>
    </w:p>
    <w:p w:rsidR="007E7815" w:rsidRDefault="007E7815" w:rsidP="00035B75">
      <w:pPr>
        <w:autoSpaceDE w:val="0"/>
        <w:autoSpaceDN w:val="0"/>
        <w:ind w:left="993" w:hanging="283"/>
        <w:jc w:val="both"/>
        <w:rPr>
          <w:rFonts w:cs="Arial"/>
          <w:szCs w:val="20"/>
          <w:lang w:eastAsia="ko-KR"/>
        </w:rPr>
      </w:pPr>
    </w:p>
    <w:p w:rsidR="00FA2144" w:rsidRPr="00035B75" w:rsidRDefault="006E7692" w:rsidP="005703CF">
      <w:pPr>
        <w:pStyle w:val="ListParagraph"/>
        <w:numPr>
          <w:ilvl w:val="0"/>
          <w:numId w:val="3"/>
        </w:numPr>
        <w:autoSpaceDE w:val="0"/>
        <w:autoSpaceDN w:val="0"/>
        <w:ind w:left="993" w:hanging="283"/>
        <w:jc w:val="both"/>
      </w:pPr>
      <w:proofErr w:type="gramStart"/>
      <w:r w:rsidRPr="00856E62">
        <w:rPr>
          <w:rFonts w:cs="Arial"/>
          <w:lang w:eastAsia="ko-KR"/>
        </w:rPr>
        <w:t>t</w:t>
      </w:r>
      <w:r w:rsidR="00D84431" w:rsidRPr="00856E62">
        <w:rPr>
          <w:rFonts w:cs="Arial"/>
          <w:lang w:eastAsia="ko-KR"/>
        </w:rPr>
        <w:t>he</w:t>
      </w:r>
      <w:proofErr w:type="gramEnd"/>
      <w:r w:rsidR="00D84431" w:rsidRPr="00856E62">
        <w:rPr>
          <w:rFonts w:cs="Arial"/>
          <w:lang w:eastAsia="ko-KR"/>
        </w:rPr>
        <w:t xml:space="preserve"> postponement to 2014 of </w:t>
      </w:r>
      <w:r w:rsidR="007E7815" w:rsidRPr="00856E62">
        <w:rPr>
          <w:rFonts w:cs="Arial"/>
          <w:lang w:eastAsia="ko-KR"/>
        </w:rPr>
        <w:t xml:space="preserve">a meeting on patent policy and legislative implementation and </w:t>
      </w:r>
      <w:r w:rsidRPr="00856E62">
        <w:rPr>
          <w:rFonts w:cs="Arial"/>
          <w:lang w:eastAsia="ko-KR"/>
        </w:rPr>
        <w:t xml:space="preserve">the cancellation of </w:t>
      </w:r>
      <w:r w:rsidR="007E7815" w:rsidRPr="004F4CE3">
        <w:rPr>
          <w:rFonts w:cs="Arial"/>
          <w:lang w:eastAsia="ko-KR"/>
        </w:rPr>
        <w:t xml:space="preserve">a regional conference on patents and innovation </w:t>
      </w:r>
      <w:r w:rsidRPr="004F4CE3">
        <w:rPr>
          <w:rFonts w:cs="Arial"/>
          <w:lang w:eastAsia="ko-KR"/>
        </w:rPr>
        <w:t xml:space="preserve">and </w:t>
      </w:r>
      <w:r w:rsidR="007E7815" w:rsidRPr="004F4CE3">
        <w:rPr>
          <w:rFonts w:cs="Arial"/>
          <w:lang w:eastAsia="ko-KR"/>
        </w:rPr>
        <w:t>a conference</w:t>
      </w:r>
      <w:r w:rsidR="00331BD0" w:rsidRPr="004F4CE3">
        <w:rPr>
          <w:rFonts w:cs="Arial"/>
          <w:lang w:eastAsia="ko-KR"/>
        </w:rPr>
        <w:t>/</w:t>
      </w:r>
      <w:r w:rsidR="007E7815" w:rsidRPr="004F4CE3">
        <w:rPr>
          <w:rFonts w:cs="Arial"/>
          <w:lang w:eastAsia="ko-KR"/>
        </w:rPr>
        <w:t>experts meeting on patents and standards</w:t>
      </w:r>
      <w:r w:rsidR="00A311F4" w:rsidRPr="005431EB">
        <w:rPr>
          <w:rFonts w:cs="Arial"/>
          <w:lang w:eastAsia="ko-KR"/>
        </w:rPr>
        <w:t xml:space="preserve">, as </w:t>
      </w:r>
      <w:r w:rsidR="00D84431" w:rsidRPr="005431EB">
        <w:rPr>
          <w:rFonts w:cs="Arial"/>
          <w:lang w:eastAsia="ko-KR"/>
        </w:rPr>
        <w:t>reflected under Result I.4 (Legislative advice)</w:t>
      </w:r>
      <w:r w:rsidR="00A311F4" w:rsidRPr="005431EB">
        <w:rPr>
          <w:rFonts w:cs="Arial"/>
          <w:lang w:eastAsia="ko-KR"/>
        </w:rPr>
        <w:t>.</w:t>
      </w:r>
    </w:p>
    <w:p w:rsidR="00035B75" w:rsidRDefault="00035B75" w:rsidP="00035B75">
      <w:pPr>
        <w:pStyle w:val="ListParagraph"/>
        <w:autoSpaceDE w:val="0"/>
        <w:autoSpaceDN w:val="0"/>
        <w:ind w:left="993"/>
        <w:jc w:val="both"/>
        <w:rPr>
          <w:rFonts w:cs="Arial"/>
          <w:lang w:eastAsia="ko-KR"/>
        </w:rPr>
      </w:pPr>
    </w:p>
    <w:p w:rsidR="00035B75" w:rsidRDefault="00035B75">
      <w:pPr>
        <w:rPr>
          <w:rFonts w:cs="Arial"/>
          <w:szCs w:val="20"/>
          <w:lang w:eastAsia="ko-KR"/>
        </w:rPr>
      </w:pPr>
      <w:r>
        <w:rPr>
          <w:rFonts w:cs="Arial"/>
          <w:lang w:eastAsia="ko-KR"/>
        </w:rPr>
        <w:br w:type="page"/>
      </w:r>
    </w:p>
    <w:p w:rsidR="00035B75" w:rsidRPr="00305272" w:rsidRDefault="00305272" w:rsidP="00305272">
      <w:pPr>
        <w:pStyle w:val="Heading3"/>
      </w:pPr>
      <w:bookmarkStart w:id="19" w:name="_Toc393956043"/>
      <w:r w:rsidRPr="00305272">
        <w:lastRenderedPageBreak/>
        <w:t>Program 2</w:t>
      </w:r>
      <w:r w:rsidRPr="00305272">
        <w:tab/>
      </w:r>
      <w:r w:rsidRPr="00305272">
        <w:rPr>
          <w:rStyle w:val="StyleStyleHeading3ComplexItalicLatin12ptChar"/>
          <w:rFonts w:ascii="Arial Bold" w:hAnsi="Arial Bold"/>
          <w:b/>
          <w:iCs w:val="0"/>
          <w:caps/>
          <w:szCs w:val="24"/>
        </w:rPr>
        <w:t>Trademarks</w:t>
      </w:r>
      <w:r w:rsidRPr="00305272">
        <w:t xml:space="preserve">, </w:t>
      </w:r>
      <w:r w:rsidRPr="00305272">
        <w:rPr>
          <w:rStyle w:val="StyleStyleHeading3ComplexItalicLatin12ptChar"/>
          <w:rFonts w:ascii="Arial Bold" w:hAnsi="Arial Bold"/>
          <w:b/>
          <w:iCs w:val="0"/>
          <w:caps/>
          <w:szCs w:val="24"/>
        </w:rPr>
        <w:t>Industrial</w:t>
      </w:r>
      <w:r w:rsidRPr="00305272">
        <w:t xml:space="preserve"> </w:t>
      </w:r>
      <w:r w:rsidRPr="00305272">
        <w:rPr>
          <w:rStyle w:val="StyleStyleHeading3ComplexItalicLatin12ptChar"/>
          <w:rFonts w:ascii="Arial Bold" w:hAnsi="Arial Bold"/>
          <w:b/>
          <w:iCs w:val="0"/>
          <w:caps/>
          <w:szCs w:val="24"/>
        </w:rPr>
        <w:t>Designs</w:t>
      </w:r>
      <w:r w:rsidRPr="00305272">
        <w:t xml:space="preserve"> </w:t>
      </w:r>
      <w:r w:rsidRPr="00305272">
        <w:rPr>
          <w:rStyle w:val="StyleStyleHeading3ComplexItalicLatin12ptChar"/>
          <w:rFonts w:ascii="Arial Bold" w:hAnsi="Arial Bold"/>
          <w:b/>
          <w:iCs w:val="0"/>
          <w:caps/>
          <w:szCs w:val="24"/>
        </w:rPr>
        <w:t>and</w:t>
      </w:r>
      <w:r w:rsidRPr="00305272">
        <w:t xml:space="preserve"> </w:t>
      </w:r>
      <w:r w:rsidRPr="00305272">
        <w:br/>
      </w:r>
      <w:r w:rsidRPr="00305272">
        <w:rPr>
          <w:rStyle w:val="StyleStyleHeading3ComplexItalicLatin12ptChar"/>
          <w:rFonts w:ascii="Arial Bold" w:hAnsi="Arial Bold"/>
          <w:b/>
          <w:iCs w:val="0"/>
          <w:caps/>
          <w:szCs w:val="24"/>
        </w:rPr>
        <w:t>Geographical</w:t>
      </w:r>
      <w:r w:rsidRPr="00305272">
        <w:t xml:space="preserve"> </w:t>
      </w:r>
      <w:r w:rsidRPr="00305272">
        <w:rPr>
          <w:rStyle w:val="StyleStyleHeading3ComplexItalicLatin12ptChar"/>
          <w:rFonts w:ascii="Arial Bold" w:hAnsi="Arial Bold"/>
          <w:b/>
          <w:iCs w:val="0"/>
          <w:caps/>
          <w:szCs w:val="24"/>
        </w:rPr>
        <w:t>Indications</w:t>
      </w:r>
      <w:bookmarkEnd w:id="19"/>
    </w:p>
    <w:p w:rsidR="00035B75" w:rsidRPr="00CF1045" w:rsidRDefault="00035B75" w:rsidP="00035B75">
      <w:pPr>
        <w:tabs>
          <w:tab w:val="left" w:pos="2268"/>
        </w:tabs>
        <w:rPr>
          <w:sz w:val="22"/>
          <w:szCs w:val="22"/>
        </w:rPr>
      </w:pPr>
    </w:p>
    <w:p w:rsidR="00035B75" w:rsidRPr="00CF1045" w:rsidRDefault="00035B75" w:rsidP="00035B75">
      <w:pPr>
        <w:tabs>
          <w:tab w:val="left" w:pos="2268"/>
        </w:tabs>
        <w:rPr>
          <w:b/>
          <w:sz w:val="22"/>
          <w:szCs w:val="22"/>
        </w:rPr>
      </w:pPr>
      <w:r w:rsidRPr="00CF1045">
        <w:rPr>
          <w:b/>
          <w:sz w:val="22"/>
          <w:szCs w:val="22"/>
        </w:rPr>
        <w:t>Program Manager</w:t>
      </w:r>
      <w:r w:rsidRPr="00CF1045">
        <w:rPr>
          <w:b/>
          <w:sz w:val="22"/>
          <w:szCs w:val="22"/>
        </w:rPr>
        <w:tab/>
        <w:t>Ms. B</w:t>
      </w:r>
      <w:r w:rsidR="00D853FF">
        <w:rPr>
          <w:b/>
          <w:sz w:val="22"/>
          <w:szCs w:val="22"/>
        </w:rPr>
        <w:t>.</w:t>
      </w:r>
      <w:r w:rsidRPr="00CF1045">
        <w:rPr>
          <w:b/>
          <w:sz w:val="22"/>
          <w:szCs w:val="22"/>
        </w:rPr>
        <w:t xml:space="preserve"> Wang</w:t>
      </w:r>
    </w:p>
    <w:p w:rsidR="00035B75" w:rsidRPr="00CF1045" w:rsidRDefault="00035B75" w:rsidP="00035B75">
      <w:pPr>
        <w:tabs>
          <w:tab w:val="left" w:pos="2268"/>
        </w:tabs>
        <w:rPr>
          <w:sz w:val="22"/>
          <w:szCs w:val="22"/>
        </w:rPr>
      </w:pPr>
    </w:p>
    <w:p w:rsidR="00035B75" w:rsidRPr="00CF1045" w:rsidRDefault="00035B75" w:rsidP="00035B75">
      <w:pPr>
        <w:tabs>
          <w:tab w:val="left" w:pos="2268"/>
        </w:tabs>
        <w:rPr>
          <w:bCs/>
          <w:sz w:val="22"/>
          <w:szCs w:val="22"/>
        </w:rPr>
      </w:pPr>
    </w:p>
    <w:p w:rsidR="00035B75" w:rsidRPr="00CF1045" w:rsidRDefault="00035B75" w:rsidP="00035B75">
      <w:pPr>
        <w:tabs>
          <w:tab w:val="left" w:pos="2268"/>
        </w:tabs>
        <w:rPr>
          <w:bCs/>
          <w:sz w:val="22"/>
          <w:szCs w:val="22"/>
        </w:rPr>
      </w:pPr>
      <w:r w:rsidRPr="00CF1045">
        <w:rPr>
          <w:bCs/>
          <w:sz w:val="22"/>
          <w:szCs w:val="22"/>
        </w:rPr>
        <w:t>ACHIEVEMENTS IN THE 2012/13 BIENNIUM</w:t>
      </w:r>
    </w:p>
    <w:p w:rsidR="00035B75" w:rsidRPr="00CF1045" w:rsidRDefault="00035B75" w:rsidP="00035B75">
      <w:pPr>
        <w:tabs>
          <w:tab w:val="left" w:pos="2268"/>
        </w:tabs>
        <w:jc w:val="both"/>
        <w:rPr>
          <w:sz w:val="22"/>
          <w:szCs w:val="22"/>
        </w:rPr>
      </w:pPr>
    </w:p>
    <w:p w:rsidR="00035B75" w:rsidRDefault="00035B75" w:rsidP="00035B75">
      <w:pPr>
        <w:pStyle w:val="ListParagraph"/>
        <w:tabs>
          <w:tab w:val="left" w:pos="709"/>
          <w:tab w:val="left" w:pos="2268"/>
        </w:tabs>
        <w:ind w:left="0"/>
        <w:jc w:val="both"/>
      </w:pPr>
      <w:r>
        <w:t>2.1.</w:t>
      </w:r>
      <w:r>
        <w:tab/>
      </w:r>
      <w:r w:rsidRPr="007D719F">
        <w:t>During the period under consideration, the Standing Committee on the Law</w:t>
      </w:r>
      <w:r w:rsidRPr="00B072A8">
        <w:t xml:space="preserve"> of Trademarks, Industrial Designs</w:t>
      </w:r>
      <w:r w:rsidRPr="00775DAD">
        <w:t xml:space="preserve"> and Geographical Indications (SCT) made progress in its work towards an international agreement on industrial design law and practice.  At its session in December 2013, the WIPO General Assembly requested the SCT to finalize its work on the text of a basic proposal for a Design Law Treaty and agreed that it would make a decision on the convening of a Diplomatic Conference at its extraordinary session in May 2014.  Likewise, the SCT continued its work on the protection of country names and considered a study prepared by the Secretariat, as well as a number of proposals by </w:t>
      </w:r>
      <w:r w:rsidR="00483CBD" w:rsidRPr="00775DAD">
        <w:t>Member</w:t>
      </w:r>
      <w:r w:rsidR="00483CBD">
        <w:t> </w:t>
      </w:r>
      <w:r w:rsidRPr="00775DAD">
        <w:t>States.  The SCT also held an information meeting on the role and responsibility of Internet intermediaries in the field of trademarks, but subsequently decided not to continue work on this particular topic.  Furthermore, a Forum on Innovation by Design was organized in conjunction with the 29</w:t>
      </w:r>
      <w:r w:rsidRPr="00775DAD">
        <w:rPr>
          <w:vertAlign w:val="superscript"/>
        </w:rPr>
        <w:t>th</w:t>
      </w:r>
      <w:r w:rsidRPr="00775DAD">
        <w:t> session of the SCT, which brought together a panel of prominent representatives of the design community who shared their views on the importance of design in innovation, creativity, and stimulating economic development.</w:t>
      </w:r>
    </w:p>
    <w:p w:rsidR="00035B75" w:rsidRPr="00B072A8" w:rsidRDefault="00035B75" w:rsidP="00035B75">
      <w:pPr>
        <w:pStyle w:val="ListParagraph"/>
        <w:tabs>
          <w:tab w:val="left" w:pos="709"/>
          <w:tab w:val="left" w:pos="2268"/>
        </w:tabs>
        <w:ind w:left="0"/>
        <w:jc w:val="both"/>
      </w:pPr>
    </w:p>
    <w:p w:rsidR="00035B75" w:rsidRDefault="00035B75" w:rsidP="00035B75">
      <w:pPr>
        <w:pStyle w:val="ListParagraph"/>
        <w:tabs>
          <w:tab w:val="left" w:pos="709"/>
          <w:tab w:val="left" w:pos="2268"/>
        </w:tabs>
        <w:ind w:left="0"/>
        <w:jc w:val="both"/>
      </w:pPr>
      <w:r>
        <w:t>2.2.</w:t>
      </w:r>
      <w:r>
        <w:tab/>
      </w:r>
      <w:r w:rsidRPr="0027745B">
        <w:t>As regards increased protection of State emblems and names and emblems of international intergovernmental organizations under Article 6</w:t>
      </w:r>
      <w:r w:rsidRPr="0027745B">
        <w:rPr>
          <w:i/>
        </w:rPr>
        <w:t>ter</w:t>
      </w:r>
      <w:r w:rsidRPr="0027745B">
        <w:t xml:space="preserve"> Paris Convention, communications and responses to requests were well on track throughout the period under review.  The discrepancy between the target for requests to be dealt with and the actual number of requests is due to an overestimation of requests at the planning stage.  The same applies for the actual number of signs published (i.e.123), which falls short of the target, but corresponds to the number of actual requests received and communicated.</w:t>
      </w:r>
    </w:p>
    <w:p w:rsidR="00035B75" w:rsidRDefault="00035B75" w:rsidP="00035B75">
      <w:pPr>
        <w:pStyle w:val="ListParagraph"/>
        <w:tabs>
          <w:tab w:val="left" w:pos="709"/>
          <w:tab w:val="left" w:pos="2268"/>
        </w:tabs>
        <w:ind w:left="0"/>
        <w:jc w:val="both"/>
      </w:pPr>
    </w:p>
    <w:p w:rsidR="00035B75" w:rsidRPr="0027745B" w:rsidRDefault="00035B75" w:rsidP="00035B75">
      <w:pPr>
        <w:pStyle w:val="ListParagraph"/>
        <w:tabs>
          <w:tab w:val="left" w:pos="709"/>
          <w:tab w:val="left" w:pos="2268"/>
        </w:tabs>
        <w:ind w:left="0"/>
        <w:jc w:val="both"/>
      </w:pPr>
      <w:r>
        <w:t>2.3.</w:t>
      </w:r>
      <w:r>
        <w:tab/>
      </w:r>
      <w:r w:rsidRPr="0027745B">
        <w:t xml:space="preserve">With regard to work on tailored and balanced IP legislative, regulatory and policy frameworks, the Program delivered individual advice corresponding to 36 requests in the area of trademark, industrial design and geographical indications law emanating from 24 Member States during the period under review.  </w:t>
      </w:r>
    </w:p>
    <w:p w:rsidR="00035B75" w:rsidRPr="00CD26D6" w:rsidRDefault="00035B75" w:rsidP="00035B75">
      <w:pPr>
        <w:tabs>
          <w:tab w:val="left" w:pos="709"/>
          <w:tab w:val="left" w:pos="2268"/>
        </w:tabs>
        <w:jc w:val="both"/>
        <w:rPr>
          <w:bCs/>
          <w:sz w:val="22"/>
          <w:szCs w:val="22"/>
        </w:rPr>
      </w:pPr>
    </w:p>
    <w:p w:rsidR="00035B75" w:rsidRPr="002C4083" w:rsidRDefault="00035B75" w:rsidP="00035B75">
      <w:pPr>
        <w:tabs>
          <w:tab w:val="left" w:pos="2268"/>
        </w:tabs>
        <w:jc w:val="both"/>
        <w:rPr>
          <w:bCs/>
          <w:sz w:val="22"/>
          <w:szCs w:val="22"/>
        </w:rPr>
      </w:pPr>
      <w:r w:rsidRPr="002C4083">
        <w:rPr>
          <w:bCs/>
          <w:sz w:val="22"/>
          <w:szCs w:val="22"/>
        </w:rPr>
        <w:t xml:space="preserve">IMPLEMENTATION OF THE DEVELOPMENT AGENDA </w:t>
      </w:r>
    </w:p>
    <w:p w:rsidR="00035B75" w:rsidRPr="0027745B" w:rsidRDefault="00035B75" w:rsidP="00035B75">
      <w:pPr>
        <w:tabs>
          <w:tab w:val="left" w:pos="2268"/>
        </w:tabs>
        <w:jc w:val="both"/>
        <w:rPr>
          <w:bCs/>
          <w:color w:val="000000"/>
          <w:sz w:val="22"/>
          <w:szCs w:val="22"/>
        </w:rPr>
      </w:pPr>
    </w:p>
    <w:p w:rsidR="00035B75" w:rsidRPr="0027745B" w:rsidRDefault="00035B75" w:rsidP="00035B75">
      <w:pPr>
        <w:pStyle w:val="ListParagraph"/>
        <w:tabs>
          <w:tab w:val="left" w:pos="709"/>
          <w:tab w:val="left" w:pos="2268"/>
        </w:tabs>
        <w:ind w:left="0"/>
        <w:jc w:val="both"/>
        <w:rPr>
          <w:rFonts w:eastAsia="MS Mincho"/>
          <w:lang w:eastAsia="ja-JP" w:bidi="th-TH"/>
        </w:rPr>
      </w:pPr>
      <w:r>
        <w:rPr>
          <w:rFonts w:eastAsia="MS Mincho"/>
          <w:lang w:eastAsia="ja-JP" w:bidi="th-TH"/>
        </w:rPr>
        <w:t>2.4.</w:t>
      </w:r>
      <w:r>
        <w:rPr>
          <w:rFonts w:eastAsia="MS Mincho"/>
          <w:lang w:eastAsia="ja-JP" w:bidi="th-TH"/>
        </w:rPr>
        <w:tab/>
      </w:r>
      <w:r w:rsidRPr="0027745B">
        <w:rPr>
          <w:rFonts w:eastAsia="MS Mincho"/>
          <w:lang w:eastAsia="ja-JP" w:bidi="th-TH"/>
        </w:rPr>
        <w:t xml:space="preserve">The design, planning and implementation of activities by Program 2 were informed and guided by the relevant DA Recommendations.  The Program’s norm-setting activities within the SCT continued to be inclusive and member-driven (Recommendation 15).  The SCT negotiations were based upon open and balanced consultations (Recommendations 21 and 42).  The Program’s technical assistance, capacity-building and legislative assistance activities were development-oriented, demand-driven and reported on during the biennium (Recommendations 1 and 13).  </w:t>
      </w:r>
    </w:p>
    <w:p w:rsidR="00035B75" w:rsidRPr="0027745B" w:rsidRDefault="00035B75" w:rsidP="00035B75">
      <w:pPr>
        <w:tabs>
          <w:tab w:val="left" w:pos="2268"/>
        </w:tabs>
        <w:jc w:val="both"/>
        <w:rPr>
          <w:rFonts w:eastAsia="MS Mincho"/>
          <w:szCs w:val="20"/>
          <w:lang w:eastAsia="ja-JP" w:bidi="th-TH"/>
        </w:rPr>
      </w:pPr>
    </w:p>
    <w:p w:rsidR="00035B75" w:rsidRPr="0027745B" w:rsidRDefault="00035B75" w:rsidP="00035B75">
      <w:pPr>
        <w:pStyle w:val="ListParagraph"/>
        <w:tabs>
          <w:tab w:val="left" w:pos="709"/>
          <w:tab w:val="left" w:pos="2268"/>
        </w:tabs>
        <w:ind w:left="0"/>
        <w:jc w:val="both"/>
        <w:rPr>
          <w:rFonts w:eastAsia="MS Mincho"/>
          <w:lang w:eastAsia="ja-JP" w:bidi="th-TH"/>
        </w:rPr>
      </w:pPr>
      <w:r>
        <w:rPr>
          <w:rFonts w:eastAsia="MS Mincho"/>
          <w:lang w:eastAsia="ja-JP" w:bidi="th-TH"/>
        </w:rPr>
        <w:t>2.5.</w:t>
      </w:r>
      <w:r>
        <w:rPr>
          <w:rFonts w:eastAsia="MS Mincho"/>
          <w:lang w:eastAsia="ja-JP" w:bidi="th-TH"/>
        </w:rPr>
        <w:tab/>
      </w:r>
      <w:r w:rsidRPr="0027745B">
        <w:rPr>
          <w:rFonts w:eastAsia="MS Mincho"/>
          <w:lang w:eastAsia="ja-JP" w:bidi="th-TH"/>
        </w:rPr>
        <w:t xml:space="preserve">In addition, the Program contributed to the implementation and evaluation of the project on IP and Product Branding for Business Development in Developing Countries and LDCs.  It also managed the preparation of a Study on Misappropriation of Signs in the context of the DA project on Intellectual Property and the Public Domain and presented the findings to the CDIP.  The Program participated in the evaluation of the latter project and assisted in the drafting of the project document of the Pilot Project on Intellectual Property (IP) and Design Management for Business Development in Developing and Least Developed Countries (LDCs) (CDIP/12/6).  This project was proposed by the Republic of Korea and approved by the CDIP at its twelfth session held in November 2013.  </w:t>
      </w:r>
    </w:p>
    <w:p w:rsidR="00035B75" w:rsidRDefault="00035B75" w:rsidP="00035B75">
      <w:pPr>
        <w:rPr>
          <w:rFonts w:eastAsia="MS Mincho"/>
          <w:sz w:val="22"/>
          <w:szCs w:val="22"/>
          <w:lang w:eastAsia="ja-JP" w:bidi="th-TH"/>
        </w:rPr>
      </w:pPr>
      <w:r>
        <w:rPr>
          <w:rFonts w:eastAsia="MS Mincho"/>
          <w:sz w:val="22"/>
          <w:szCs w:val="22"/>
          <w:lang w:eastAsia="ja-JP" w:bidi="th-TH"/>
        </w:rPr>
        <w:br w:type="page"/>
      </w:r>
    </w:p>
    <w:p w:rsidR="00035B75" w:rsidRPr="00CF1045" w:rsidRDefault="00035B75" w:rsidP="00035B75">
      <w:pPr>
        <w:tabs>
          <w:tab w:val="left" w:pos="2268"/>
        </w:tabs>
        <w:rPr>
          <w:sz w:val="22"/>
          <w:szCs w:val="22"/>
        </w:rPr>
      </w:pPr>
      <w:r w:rsidRPr="00CF1045">
        <w:rPr>
          <w:sz w:val="22"/>
          <w:szCs w:val="22"/>
        </w:rPr>
        <w:lastRenderedPageBreak/>
        <w:t>PERFORMANCE DATA</w:t>
      </w:r>
    </w:p>
    <w:p w:rsidR="00035B75" w:rsidRPr="00CF1045" w:rsidRDefault="00035B75" w:rsidP="00035B75">
      <w:pPr>
        <w:tabs>
          <w:tab w:val="left" w:pos="2268"/>
        </w:tabs>
        <w:rPr>
          <w:b/>
          <w:sz w:val="22"/>
          <w:szCs w:val="22"/>
        </w:rPr>
      </w:pPr>
    </w:p>
    <w:tbl>
      <w:tblPr>
        <w:tblW w:w="4884"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66"/>
        <w:gridCol w:w="1763"/>
        <w:gridCol w:w="1544"/>
        <w:gridCol w:w="3336"/>
        <w:gridCol w:w="1240"/>
      </w:tblGrid>
      <w:tr w:rsidR="00035B75" w:rsidRPr="001A1334" w:rsidTr="00FC4F64">
        <w:trPr>
          <w:cantSplit/>
        </w:trPr>
        <w:tc>
          <w:tcPr>
            <w:tcW w:w="5000" w:type="pct"/>
            <w:gridSpan w:val="5"/>
            <w:tcBorders>
              <w:top w:val="single" w:sz="4" w:space="0" w:color="auto"/>
              <w:bottom w:val="single" w:sz="4" w:space="0" w:color="auto"/>
            </w:tcBorders>
            <w:shd w:val="clear" w:color="auto" w:fill="CCFFFF"/>
            <w:vAlign w:val="center"/>
          </w:tcPr>
          <w:p w:rsidR="00035B75" w:rsidRPr="001A1334" w:rsidRDefault="00035B75" w:rsidP="00FC4F64">
            <w:pPr>
              <w:keepNext/>
              <w:keepLines/>
              <w:tabs>
                <w:tab w:val="left" w:pos="1452"/>
              </w:tabs>
              <w:spacing w:before="120" w:after="120"/>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1A1334">
              <w:rPr>
                <w:rFonts w:cs="Arial"/>
                <w:sz w:val="16"/>
                <w:szCs w:val="16"/>
                <w:lang w:bidi="th-TH"/>
              </w:rPr>
              <w:t>Enhanced cooperation/ greater consensus among Member States on further developing balanced policy and normative frameworks for the international patent system, trademarks, industrial designs, geographical indications, copyright and related rights, TK, TCEs and GRs</w:t>
            </w:r>
          </w:p>
        </w:tc>
      </w:tr>
      <w:tr w:rsidR="00035B75" w:rsidRPr="001A1334" w:rsidTr="00FC4F64">
        <w:trPr>
          <w:cantSplit/>
        </w:trPr>
        <w:tc>
          <w:tcPr>
            <w:tcW w:w="784" w:type="pct"/>
            <w:tcBorders>
              <w:top w:val="single" w:sz="4" w:space="0" w:color="auto"/>
            </w:tcBorders>
            <w:shd w:val="clear" w:color="auto" w:fill="auto"/>
            <w:vAlign w:val="center"/>
          </w:tcPr>
          <w:p w:rsidR="00035B75" w:rsidRPr="001A1334" w:rsidRDefault="00035B75" w:rsidP="00FC4F64">
            <w:pPr>
              <w:rPr>
                <w:rFonts w:cs="Arial"/>
                <w:sz w:val="16"/>
                <w:szCs w:val="16"/>
              </w:rPr>
            </w:pPr>
            <w:r w:rsidRPr="001A1334">
              <w:rPr>
                <w:rFonts w:cs="Arial"/>
                <w:b/>
                <w:bCs/>
                <w:sz w:val="16"/>
                <w:szCs w:val="16"/>
              </w:rPr>
              <w:t>Performance Indicators</w:t>
            </w:r>
          </w:p>
        </w:tc>
        <w:tc>
          <w:tcPr>
            <w:tcW w:w="943" w:type="pct"/>
            <w:tcBorders>
              <w:top w:val="single" w:sz="4" w:space="0" w:color="auto"/>
            </w:tcBorders>
            <w:shd w:val="clear" w:color="auto" w:fill="auto"/>
            <w:vAlign w:val="center"/>
          </w:tcPr>
          <w:p w:rsidR="00035B75" w:rsidRPr="001A1334" w:rsidRDefault="00035B75" w:rsidP="00FC4F64">
            <w:pPr>
              <w:rPr>
                <w:rFonts w:cs="Arial"/>
                <w:b/>
                <w:bCs/>
                <w:sz w:val="16"/>
                <w:szCs w:val="16"/>
              </w:rPr>
            </w:pPr>
            <w:r w:rsidRPr="001A1334">
              <w:rPr>
                <w:rFonts w:cs="Arial"/>
                <w:b/>
                <w:bCs/>
                <w:sz w:val="16"/>
                <w:szCs w:val="16"/>
              </w:rPr>
              <w:t>Baselines</w:t>
            </w:r>
          </w:p>
        </w:tc>
        <w:tc>
          <w:tcPr>
            <w:tcW w:w="826" w:type="pct"/>
            <w:tcBorders>
              <w:top w:val="single" w:sz="4" w:space="0" w:color="auto"/>
            </w:tcBorders>
            <w:shd w:val="clear" w:color="auto" w:fill="auto"/>
            <w:tcMar>
              <w:top w:w="110" w:type="dxa"/>
            </w:tcMar>
            <w:vAlign w:val="center"/>
          </w:tcPr>
          <w:p w:rsidR="00035B75" w:rsidRPr="001A1334" w:rsidRDefault="00035B75" w:rsidP="00FC4F64">
            <w:pPr>
              <w:rPr>
                <w:rFonts w:cs="Arial"/>
                <w:b/>
                <w:sz w:val="16"/>
                <w:szCs w:val="16"/>
              </w:rPr>
            </w:pPr>
            <w:r w:rsidRPr="001A1334">
              <w:rPr>
                <w:rFonts w:cs="Arial"/>
                <w:b/>
                <w:sz w:val="16"/>
                <w:szCs w:val="16"/>
              </w:rPr>
              <w:t>Target</w:t>
            </w:r>
            <w:r w:rsidR="002F7D53" w:rsidRPr="001A1334">
              <w:rPr>
                <w:rFonts w:cs="Arial"/>
                <w:b/>
                <w:sz w:val="16"/>
                <w:szCs w:val="16"/>
              </w:rPr>
              <w:t>s</w:t>
            </w:r>
          </w:p>
        </w:tc>
        <w:tc>
          <w:tcPr>
            <w:tcW w:w="1784" w:type="pct"/>
            <w:tcBorders>
              <w:top w:val="single" w:sz="4" w:space="0" w:color="auto"/>
            </w:tcBorders>
            <w:shd w:val="clear" w:color="auto" w:fill="auto"/>
            <w:tcMar>
              <w:top w:w="110" w:type="dxa"/>
            </w:tcMar>
            <w:vAlign w:val="center"/>
          </w:tcPr>
          <w:p w:rsidR="00035B75" w:rsidRPr="001A1334" w:rsidRDefault="00035B75" w:rsidP="00FC4F64">
            <w:pPr>
              <w:rPr>
                <w:rFonts w:cs="Arial"/>
                <w:sz w:val="16"/>
                <w:szCs w:val="16"/>
              </w:rPr>
            </w:pPr>
            <w:r w:rsidRPr="001A1334">
              <w:rPr>
                <w:rFonts w:cs="Arial"/>
                <w:b/>
                <w:bCs/>
                <w:sz w:val="16"/>
                <w:szCs w:val="16"/>
              </w:rPr>
              <w:t>Performance Data</w:t>
            </w:r>
          </w:p>
        </w:tc>
        <w:tc>
          <w:tcPr>
            <w:tcW w:w="663" w:type="pct"/>
            <w:tcBorders>
              <w:top w:val="single" w:sz="4" w:space="0" w:color="auto"/>
            </w:tcBorders>
            <w:shd w:val="clear" w:color="auto" w:fill="auto"/>
            <w:tcMar>
              <w:top w:w="110" w:type="dxa"/>
            </w:tcMar>
            <w:vAlign w:val="center"/>
          </w:tcPr>
          <w:p w:rsidR="00035B75" w:rsidRPr="001A1334" w:rsidRDefault="00035B75" w:rsidP="00FC4F64">
            <w:pPr>
              <w:keepNext/>
              <w:keepLines/>
              <w:jc w:val="center"/>
              <w:rPr>
                <w:rFonts w:cs="Arial"/>
                <w:b/>
                <w:bCs/>
                <w:sz w:val="16"/>
                <w:szCs w:val="16"/>
              </w:rPr>
            </w:pPr>
            <w:r w:rsidRPr="001A1334">
              <w:rPr>
                <w:rFonts w:cs="Arial"/>
                <w:b/>
                <w:bCs/>
                <w:sz w:val="16"/>
                <w:szCs w:val="16"/>
              </w:rPr>
              <w:t>TLS</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rPr>
            </w:pPr>
            <w:r w:rsidRPr="001A1334">
              <w:rPr>
                <w:rFonts w:cs="Arial"/>
                <w:color w:val="000000"/>
                <w:sz w:val="16"/>
                <w:szCs w:val="16"/>
              </w:rPr>
              <w:t>International agreement on a normative framework for Industrial Designs</w:t>
            </w:r>
          </w:p>
        </w:tc>
        <w:tc>
          <w:tcPr>
            <w:tcW w:w="943" w:type="pct"/>
            <w:shd w:val="clear" w:color="auto" w:fill="auto"/>
          </w:tcPr>
          <w:p w:rsidR="00035B75" w:rsidRPr="001A1334" w:rsidRDefault="00035B75" w:rsidP="00FC4F64">
            <w:pPr>
              <w:rPr>
                <w:rFonts w:cs="Arial"/>
                <w:sz w:val="16"/>
                <w:szCs w:val="16"/>
              </w:rPr>
            </w:pPr>
            <w:r w:rsidRPr="001A1334">
              <w:rPr>
                <w:rFonts w:cs="Arial"/>
                <w:sz w:val="16"/>
                <w:szCs w:val="16"/>
              </w:rPr>
              <w:t>No existing international agreement</w:t>
            </w:r>
          </w:p>
        </w:tc>
        <w:tc>
          <w:tcPr>
            <w:tcW w:w="826" w:type="pct"/>
            <w:shd w:val="clear" w:color="auto" w:fill="auto"/>
            <w:tcMar>
              <w:top w:w="110" w:type="dxa"/>
            </w:tcMar>
          </w:tcPr>
          <w:p w:rsidR="00035B75" w:rsidRPr="001A1334" w:rsidRDefault="00035B75" w:rsidP="00483CBD">
            <w:pPr>
              <w:autoSpaceDE w:val="0"/>
              <w:autoSpaceDN w:val="0"/>
              <w:adjustRightInd w:val="0"/>
              <w:rPr>
                <w:rFonts w:cs="Arial"/>
                <w:sz w:val="16"/>
                <w:szCs w:val="16"/>
              </w:rPr>
            </w:pPr>
            <w:r w:rsidRPr="001A1334">
              <w:rPr>
                <w:rFonts w:cs="Arial"/>
                <w:sz w:val="16"/>
                <w:szCs w:val="16"/>
              </w:rPr>
              <w:t>Convening of a Diplomatic</w:t>
            </w:r>
            <w:r w:rsidR="00483CBD">
              <w:rPr>
                <w:rFonts w:cs="Arial"/>
                <w:sz w:val="16"/>
                <w:szCs w:val="16"/>
              </w:rPr>
              <w:t xml:space="preserve"> </w:t>
            </w:r>
            <w:r w:rsidRPr="001A1334">
              <w:rPr>
                <w:rFonts w:cs="Arial"/>
                <w:sz w:val="16"/>
                <w:szCs w:val="16"/>
              </w:rPr>
              <w:t>Conference for the</w:t>
            </w:r>
            <w:r w:rsidR="00483CBD">
              <w:rPr>
                <w:rFonts w:cs="Arial"/>
                <w:sz w:val="16"/>
                <w:szCs w:val="16"/>
              </w:rPr>
              <w:t xml:space="preserve"> </w:t>
            </w:r>
            <w:r w:rsidRPr="001A1334">
              <w:rPr>
                <w:rFonts w:cs="Arial"/>
                <w:sz w:val="16"/>
                <w:szCs w:val="16"/>
              </w:rPr>
              <w:t>adoption of an</w:t>
            </w:r>
            <w:r w:rsidR="00483CBD">
              <w:rPr>
                <w:rFonts w:cs="Arial"/>
                <w:sz w:val="16"/>
                <w:szCs w:val="16"/>
              </w:rPr>
              <w:t xml:space="preserve"> </w:t>
            </w:r>
            <w:r w:rsidRPr="001A1334">
              <w:rPr>
                <w:rFonts w:cs="Arial"/>
                <w:sz w:val="16"/>
                <w:szCs w:val="16"/>
              </w:rPr>
              <w:t>international treaty on the</w:t>
            </w:r>
            <w:r w:rsidR="00483CBD">
              <w:rPr>
                <w:rFonts w:cs="Arial"/>
                <w:sz w:val="16"/>
                <w:szCs w:val="16"/>
              </w:rPr>
              <w:t xml:space="preserve"> </w:t>
            </w:r>
            <w:r w:rsidRPr="001A1334">
              <w:rPr>
                <w:rFonts w:cs="Arial"/>
                <w:sz w:val="16"/>
                <w:szCs w:val="16"/>
              </w:rPr>
              <w:t>law of industrial designs</w:t>
            </w:r>
            <w:r w:rsidR="00483CBD">
              <w:rPr>
                <w:rFonts w:cs="Arial"/>
                <w:sz w:val="16"/>
                <w:szCs w:val="16"/>
              </w:rPr>
              <w:t xml:space="preserve"> </w:t>
            </w:r>
            <w:r w:rsidRPr="001A1334">
              <w:rPr>
                <w:rFonts w:cs="Arial"/>
                <w:sz w:val="16"/>
                <w:szCs w:val="16"/>
              </w:rPr>
              <w:t>subject to sufficient</w:t>
            </w:r>
            <w:r w:rsidR="00483CBD">
              <w:rPr>
                <w:rFonts w:cs="Arial"/>
                <w:sz w:val="16"/>
                <w:szCs w:val="16"/>
              </w:rPr>
              <w:t xml:space="preserve"> </w:t>
            </w:r>
            <w:r w:rsidRPr="001A1334">
              <w:rPr>
                <w:rFonts w:cs="Arial"/>
                <w:sz w:val="16"/>
                <w:szCs w:val="16"/>
              </w:rPr>
              <w:t>progress in the</w:t>
            </w:r>
            <w:r w:rsidR="00483CBD">
              <w:rPr>
                <w:rFonts w:cs="Arial"/>
                <w:sz w:val="16"/>
                <w:szCs w:val="16"/>
              </w:rPr>
              <w:t xml:space="preserve"> </w:t>
            </w:r>
            <w:r w:rsidRPr="001A1334">
              <w:rPr>
                <w:rFonts w:cs="Arial"/>
                <w:sz w:val="16"/>
                <w:szCs w:val="16"/>
              </w:rPr>
              <w:t>preparatory work</w:t>
            </w:r>
          </w:p>
        </w:tc>
        <w:tc>
          <w:tcPr>
            <w:tcW w:w="1784" w:type="pct"/>
            <w:shd w:val="clear" w:color="auto" w:fill="auto"/>
            <w:tcMar>
              <w:top w:w="110" w:type="dxa"/>
            </w:tcMar>
          </w:tcPr>
          <w:p w:rsidR="00035B75" w:rsidRPr="001A1334" w:rsidRDefault="00035B75" w:rsidP="00FC4F64">
            <w:pPr>
              <w:rPr>
                <w:rFonts w:cs="Arial"/>
                <w:sz w:val="16"/>
                <w:szCs w:val="16"/>
              </w:rPr>
            </w:pPr>
            <w:r w:rsidRPr="001A1334">
              <w:rPr>
                <w:rFonts w:cs="Arial"/>
                <w:sz w:val="16"/>
                <w:szCs w:val="16"/>
                <w:lang w:bidi="th-TH"/>
              </w:rPr>
              <w:t>WIPO General Assembly decision “requesting the SCT to finalize its work on the text of the basic proposal for a Design Law Treaty” (WO/GA/46/6 Prov.2, paragraph 89(a))</w:t>
            </w:r>
            <w:r w:rsidR="00483CBD">
              <w:rPr>
                <w:rFonts w:cs="Arial"/>
                <w:sz w:val="16"/>
                <w:szCs w:val="16"/>
                <w:lang w:bidi="th-TH"/>
              </w:rPr>
              <w:t>.</w:t>
            </w:r>
          </w:p>
        </w:tc>
        <w:tc>
          <w:tcPr>
            <w:tcW w:w="663" w:type="pct"/>
            <w:shd w:val="clear" w:color="auto" w:fill="auto"/>
            <w:tcMar>
              <w:top w:w="110" w:type="dxa"/>
            </w:tcMar>
          </w:tcPr>
          <w:p w:rsidR="00035B75" w:rsidRPr="001A1334" w:rsidRDefault="00035B75" w:rsidP="00FC4F64">
            <w:pPr>
              <w:keepNext/>
              <w:keepLines/>
              <w:jc w:val="center"/>
              <w:rPr>
                <w:rFonts w:cs="Arial"/>
                <w:bCs/>
                <w:color w:val="808080"/>
                <w:sz w:val="16"/>
                <w:szCs w:val="16"/>
              </w:rPr>
            </w:pPr>
            <w:r w:rsidRPr="001A1334">
              <w:rPr>
                <w:rStyle w:val="Style5"/>
                <w:rFonts w:ascii="Arial" w:hAnsi="Arial" w:cs="Arial"/>
                <w:color w:val="E36C0A" w:themeColor="accent6" w:themeShade="BF"/>
                <w:sz w:val="16"/>
                <w:szCs w:val="16"/>
              </w:rPr>
              <w:t>Partially</w:t>
            </w:r>
            <w:r w:rsidRPr="001A1334">
              <w:rPr>
                <w:rStyle w:val="Style5"/>
                <w:rFonts w:ascii="Arial" w:hAnsi="Arial" w:cs="Arial"/>
                <w:color w:val="E36C0A" w:themeColor="accent6" w:themeShade="BF"/>
                <w:sz w:val="16"/>
                <w:szCs w:val="16"/>
              </w:rPr>
              <w:br/>
              <w:t>Achieved</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rPr>
            </w:pPr>
            <w:r w:rsidRPr="001A1334">
              <w:rPr>
                <w:rFonts w:cs="Arial"/>
                <w:color w:val="000000"/>
                <w:sz w:val="16"/>
                <w:szCs w:val="16"/>
              </w:rPr>
              <w:t>Progress towards agreement on current issues on the SCT agenda</w:t>
            </w:r>
          </w:p>
        </w:tc>
        <w:tc>
          <w:tcPr>
            <w:tcW w:w="943" w:type="pct"/>
            <w:shd w:val="clear" w:color="auto" w:fill="auto"/>
          </w:tcPr>
          <w:p w:rsidR="00035B75" w:rsidRPr="001A1334" w:rsidRDefault="00035B75" w:rsidP="00FC4F64">
            <w:pPr>
              <w:rPr>
                <w:rFonts w:cs="Arial"/>
                <w:i/>
                <w:color w:val="002060"/>
                <w:sz w:val="16"/>
                <w:szCs w:val="16"/>
              </w:rPr>
            </w:pPr>
            <w:r w:rsidRPr="001A1334">
              <w:rPr>
                <w:rFonts w:cs="Arial"/>
                <w:i/>
                <w:color w:val="002060"/>
                <w:sz w:val="16"/>
                <w:szCs w:val="16"/>
              </w:rPr>
              <w:t>Updated Baseline end 2011:</w:t>
            </w:r>
            <w:r w:rsidR="001A1334" w:rsidRPr="001A1334">
              <w:rPr>
                <w:rFonts w:cs="Arial"/>
                <w:i/>
                <w:color w:val="002060"/>
                <w:sz w:val="16"/>
                <w:szCs w:val="16"/>
              </w:rPr>
              <w:t xml:space="preserve">  </w:t>
            </w:r>
            <w:r w:rsidRPr="001A1334">
              <w:rPr>
                <w:rFonts w:cs="Arial"/>
                <w:color w:val="002060"/>
                <w:sz w:val="16"/>
                <w:szCs w:val="16"/>
                <w:lang w:bidi="th-TH"/>
              </w:rPr>
              <w:t>Draft Reference Document on the Protection of Country Names Against Registration and Use as Trademarks</w:t>
            </w:r>
          </w:p>
          <w:p w:rsidR="00035B75" w:rsidRPr="00CD26D6" w:rsidRDefault="00035B75" w:rsidP="00FC4F64">
            <w:pPr>
              <w:rPr>
                <w:rFonts w:cs="Arial"/>
                <w:color w:val="002060"/>
                <w:sz w:val="8"/>
                <w:szCs w:val="8"/>
                <w:lang w:bidi="th-TH"/>
              </w:rPr>
            </w:pPr>
          </w:p>
          <w:p w:rsidR="00035B75" w:rsidRPr="001A1334" w:rsidRDefault="00035B75" w:rsidP="00FC4F64">
            <w:pPr>
              <w:rPr>
                <w:rFonts w:cs="Arial"/>
                <w:color w:val="002060"/>
                <w:sz w:val="16"/>
                <w:szCs w:val="16"/>
                <w:lang w:bidi="th-TH"/>
              </w:rPr>
            </w:pPr>
            <w:r w:rsidRPr="001A1334">
              <w:rPr>
                <w:rFonts w:cs="Arial"/>
                <w:color w:val="002060"/>
                <w:sz w:val="16"/>
                <w:szCs w:val="16"/>
                <w:lang w:bidi="th-TH"/>
              </w:rPr>
              <w:t>Agreement on Information Meeting on the Role and Responsibility of Internet Intermediaries in the Field of Trademarks</w:t>
            </w:r>
          </w:p>
          <w:p w:rsidR="00035B75" w:rsidRPr="001A1334" w:rsidRDefault="00035B75" w:rsidP="00FC4F64">
            <w:pPr>
              <w:rPr>
                <w:rFonts w:cs="Arial"/>
                <w:i/>
                <w:sz w:val="8"/>
                <w:szCs w:val="8"/>
              </w:rPr>
            </w:pPr>
          </w:p>
          <w:p w:rsidR="00035B75" w:rsidRPr="001A1334" w:rsidRDefault="00035B75" w:rsidP="00FC4F64">
            <w:pPr>
              <w:rPr>
                <w:rFonts w:cs="Arial"/>
                <w:sz w:val="16"/>
                <w:szCs w:val="16"/>
              </w:rPr>
            </w:pPr>
            <w:r w:rsidRPr="001A1334">
              <w:rPr>
                <w:rFonts w:cs="Arial"/>
                <w:i/>
                <w:sz w:val="16"/>
                <w:szCs w:val="16"/>
              </w:rPr>
              <w:t>Original Baseline P&amp;B 2012/13:</w:t>
            </w:r>
            <w:r w:rsidRPr="001A1334">
              <w:rPr>
                <w:rFonts w:cs="Arial"/>
                <w:sz w:val="16"/>
                <w:szCs w:val="16"/>
              </w:rPr>
              <w:br/>
              <w:t>Joint Recommendation C</w:t>
            </w:r>
            <w:r w:rsidRPr="001A1334">
              <w:rPr>
                <w:rFonts w:cs="Arial"/>
                <w:color w:val="000000"/>
                <w:sz w:val="16"/>
                <w:szCs w:val="16"/>
              </w:rPr>
              <w:t>o</w:t>
            </w:r>
            <w:r w:rsidRPr="001A1334">
              <w:rPr>
                <w:rFonts w:cs="Arial"/>
                <w:sz w:val="16"/>
                <w:szCs w:val="16"/>
              </w:rPr>
              <w:t>ncerning Trademarks on the Internet of 2001</w:t>
            </w:r>
          </w:p>
        </w:tc>
        <w:tc>
          <w:tcPr>
            <w:tcW w:w="826" w:type="pct"/>
            <w:shd w:val="clear" w:color="auto" w:fill="auto"/>
            <w:tcMar>
              <w:top w:w="110" w:type="dxa"/>
            </w:tcMar>
          </w:tcPr>
          <w:p w:rsidR="00035B75" w:rsidRPr="001A1334" w:rsidRDefault="00035B75" w:rsidP="00FC4F64">
            <w:pPr>
              <w:rPr>
                <w:rFonts w:cs="Arial"/>
                <w:i/>
                <w:sz w:val="16"/>
                <w:szCs w:val="16"/>
              </w:rPr>
            </w:pPr>
            <w:r w:rsidRPr="001A1334">
              <w:rPr>
                <w:rFonts w:cs="Arial"/>
                <w:sz w:val="16"/>
                <w:szCs w:val="16"/>
              </w:rPr>
              <w:t>SCT agreed outcomes</w:t>
            </w:r>
            <w:r w:rsidRPr="001A1334" w:rsidDel="00FA28E1">
              <w:rPr>
                <w:rFonts w:cs="Arial"/>
                <w:sz w:val="16"/>
                <w:szCs w:val="16"/>
                <w:lang w:bidi="th-TH"/>
              </w:rPr>
              <w:t xml:space="preserve"> </w:t>
            </w: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Agreement by the SCT on a substantive number of draft Articles and Rules for a Design Law Treaty</w:t>
            </w:r>
            <w:r w:rsidR="00483CBD">
              <w:rPr>
                <w:rFonts w:cs="Arial"/>
                <w:sz w:val="16"/>
                <w:szCs w:val="16"/>
                <w:lang w:bidi="th-TH"/>
              </w:rPr>
              <w:t>.</w:t>
            </w:r>
            <w:r w:rsidRPr="001A1334">
              <w:rPr>
                <w:rFonts w:cs="Arial"/>
                <w:sz w:val="16"/>
                <w:szCs w:val="16"/>
                <w:lang w:bidi="th-TH"/>
              </w:rPr>
              <w:t xml:space="preserve"> </w:t>
            </w:r>
          </w:p>
          <w:p w:rsidR="00035B75" w:rsidRPr="00CD26D6" w:rsidRDefault="00035B75" w:rsidP="00FC4F64">
            <w:pPr>
              <w:rPr>
                <w:rFonts w:cs="Arial"/>
                <w:sz w:val="8"/>
                <w:szCs w:val="8"/>
                <w:lang w:bidi="th-TH"/>
              </w:rPr>
            </w:pPr>
          </w:p>
          <w:p w:rsidR="00035B75" w:rsidRPr="001A1334" w:rsidRDefault="00035B75" w:rsidP="00FC4F64">
            <w:pPr>
              <w:rPr>
                <w:rFonts w:cs="Arial"/>
                <w:sz w:val="16"/>
                <w:szCs w:val="16"/>
              </w:rPr>
            </w:pPr>
            <w:r w:rsidRPr="001A1334">
              <w:rPr>
                <w:rFonts w:cs="Arial"/>
                <w:sz w:val="16"/>
                <w:szCs w:val="16"/>
                <w:lang w:bidi="th-TH"/>
              </w:rPr>
              <w:t>SCT agreement on the continuation of work on the protection of country names</w:t>
            </w:r>
            <w:r w:rsidR="00483CBD">
              <w:rPr>
                <w:rFonts w:cs="Arial"/>
                <w:sz w:val="16"/>
                <w:szCs w:val="16"/>
                <w:lang w:bidi="th-TH"/>
              </w:rPr>
              <w:t>.</w:t>
            </w:r>
          </w:p>
        </w:tc>
        <w:tc>
          <w:tcPr>
            <w:tcW w:w="663" w:type="pct"/>
            <w:shd w:val="clear" w:color="auto" w:fill="auto"/>
            <w:tcMar>
              <w:top w:w="110" w:type="dxa"/>
            </w:tcMar>
          </w:tcPr>
          <w:p w:rsidR="00035B75" w:rsidRPr="001A1334" w:rsidRDefault="00035B75" w:rsidP="00FC4F64">
            <w:pPr>
              <w:keepNext/>
              <w:keepLines/>
              <w:jc w:val="center"/>
              <w:rPr>
                <w:rFonts w:cs="Arial"/>
                <w:bCs/>
                <w:color w:val="808080"/>
                <w:sz w:val="16"/>
                <w:szCs w:val="16"/>
              </w:rPr>
            </w:pPr>
            <w:r w:rsidRPr="001A1334">
              <w:rPr>
                <w:rStyle w:val="Style5"/>
                <w:rFonts w:ascii="Arial" w:hAnsi="Arial" w:cs="Arial"/>
                <w:color w:val="10862C"/>
                <w:sz w:val="16"/>
                <w:szCs w:val="16"/>
              </w:rPr>
              <w:t>Fully</w:t>
            </w:r>
            <w:r w:rsidRPr="001A1334">
              <w:rPr>
                <w:rStyle w:val="Style5"/>
                <w:rFonts w:ascii="Arial" w:hAnsi="Arial" w:cs="Arial"/>
                <w:color w:val="10862C"/>
                <w:sz w:val="16"/>
                <w:szCs w:val="16"/>
              </w:rPr>
              <w:br/>
              <w:t>Achieved</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rPr>
            </w:pPr>
            <w:r w:rsidRPr="001A1334">
              <w:rPr>
                <w:rFonts w:cs="Arial"/>
                <w:color w:val="000000"/>
                <w:sz w:val="16"/>
                <w:szCs w:val="16"/>
              </w:rPr>
              <w:t>No. of ratifications/ accessions to the Singapore Treaty</w:t>
            </w:r>
          </w:p>
        </w:tc>
        <w:tc>
          <w:tcPr>
            <w:tcW w:w="943" w:type="pct"/>
            <w:shd w:val="clear" w:color="auto" w:fill="auto"/>
          </w:tcPr>
          <w:p w:rsidR="00035B75" w:rsidRPr="001A1334" w:rsidRDefault="00035B75" w:rsidP="00FC4F64">
            <w:pPr>
              <w:rPr>
                <w:rFonts w:cs="Arial"/>
                <w:color w:val="002060"/>
                <w:sz w:val="16"/>
                <w:szCs w:val="16"/>
              </w:rPr>
            </w:pPr>
            <w:r w:rsidRPr="001A1334">
              <w:rPr>
                <w:rFonts w:cs="Arial"/>
                <w:i/>
                <w:color w:val="002060"/>
                <w:sz w:val="16"/>
                <w:szCs w:val="16"/>
              </w:rPr>
              <w:t>Updated Baseline end 2011:</w:t>
            </w:r>
            <w:r w:rsidR="001A1334">
              <w:rPr>
                <w:rFonts w:cs="Arial"/>
                <w:color w:val="002060"/>
                <w:sz w:val="16"/>
                <w:szCs w:val="16"/>
              </w:rPr>
              <w:t xml:space="preserve">  </w:t>
            </w:r>
            <w:r w:rsidRPr="001A1334">
              <w:rPr>
                <w:rFonts w:cs="Arial"/>
                <w:color w:val="002060"/>
                <w:sz w:val="16"/>
                <w:szCs w:val="16"/>
                <w:lang w:bidi="th-TH"/>
              </w:rPr>
              <w:t>Total Number of Contracting Parties at the end of 2011:  24</w:t>
            </w:r>
            <w:r w:rsidRPr="001A1334">
              <w:rPr>
                <w:rStyle w:val="FootnoteReference"/>
                <w:rFonts w:cs="Arial"/>
                <w:color w:val="002060"/>
                <w:sz w:val="16"/>
                <w:szCs w:val="16"/>
                <w:lang w:bidi="th-TH"/>
              </w:rPr>
              <w:footnoteReference w:id="2"/>
            </w:r>
          </w:p>
          <w:p w:rsidR="00035B75" w:rsidRPr="001A1334" w:rsidRDefault="00035B75" w:rsidP="00FC4F64">
            <w:pPr>
              <w:rPr>
                <w:rFonts w:cs="Arial"/>
                <w:sz w:val="8"/>
                <w:szCs w:val="8"/>
              </w:rPr>
            </w:pPr>
          </w:p>
          <w:p w:rsidR="00035B75" w:rsidRPr="001A1334" w:rsidRDefault="00035B75" w:rsidP="00FC4F64">
            <w:pPr>
              <w:rPr>
                <w:rFonts w:cs="Arial"/>
                <w:sz w:val="16"/>
                <w:szCs w:val="16"/>
              </w:rPr>
            </w:pPr>
            <w:r w:rsidRPr="001A1334">
              <w:rPr>
                <w:rFonts w:cs="Arial"/>
                <w:sz w:val="16"/>
                <w:szCs w:val="16"/>
              </w:rPr>
              <w:t>Original Baseline P&amp;B 2012/13:</w:t>
            </w:r>
            <w:r w:rsidRPr="001A1334">
              <w:rPr>
                <w:rFonts w:cs="Arial"/>
                <w:sz w:val="16"/>
                <w:szCs w:val="16"/>
              </w:rPr>
              <w:br/>
              <w:t xml:space="preserve">No. of ratifications/ </w:t>
            </w:r>
            <w:r w:rsidRPr="001A1334">
              <w:rPr>
                <w:rFonts w:cs="Arial"/>
                <w:color w:val="000000"/>
                <w:sz w:val="16"/>
                <w:szCs w:val="16"/>
              </w:rPr>
              <w:t>accessions</w:t>
            </w:r>
            <w:r w:rsidRPr="001A1334">
              <w:rPr>
                <w:rFonts w:cs="Arial"/>
                <w:sz w:val="16"/>
                <w:szCs w:val="16"/>
              </w:rPr>
              <w:t xml:space="preserve"> at the end of 2011</w:t>
            </w:r>
          </w:p>
        </w:tc>
        <w:tc>
          <w:tcPr>
            <w:tcW w:w="826" w:type="pct"/>
            <w:shd w:val="clear" w:color="auto" w:fill="auto"/>
            <w:tcMar>
              <w:top w:w="110" w:type="dxa"/>
            </w:tcMar>
          </w:tcPr>
          <w:p w:rsidR="00035B75" w:rsidRPr="001A1334" w:rsidRDefault="00035B75" w:rsidP="00FC4F64">
            <w:pPr>
              <w:autoSpaceDE w:val="0"/>
              <w:autoSpaceDN w:val="0"/>
              <w:adjustRightInd w:val="0"/>
              <w:rPr>
                <w:rFonts w:cs="Arial"/>
                <w:sz w:val="16"/>
                <w:szCs w:val="16"/>
              </w:rPr>
            </w:pPr>
            <w:r w:rsidRPr="001A1334">
              <w:rPr>
                <w:rFonts w:cs="Arial"/>
                <w:sz w:val="16"/>
                <w:szCs w:val="16"/>
              </w:rPr>
              <w:t>At least 10 additional</w:t>
            </w:r>
          </w:p>
          <w:p w:rsidR="00035B75" w:rsidRPr="001A1334" w:rsidRDefault="00035B75" w:rsidP="00FC4F64">
            <w:pPr>
              <w:autoSpaceDE w:val="0"/>
              <w:autoSpaceDN w:val="0"/>
              <w:adjustRightInd w:val="0"/>
              <w:rPr>
                <w:rFonts w:cs="Arial"/>
                <w:sz w:val="16"/>
                <w:szCs w:val="16"/>
              </w:rPr>
            </w:pPr>
            <w:r w:rsidRPr="001A1334">
              <w:rPr>
                <w:rFonts w:cs="Arial"/>
                <w:sz w:val="16"/>
                <w:szCs w:val="16"/>
              </w:rPr>
              <w:t>ratifications/ accessions to</w:t>
            </w:r>
          </w:p>
          <w:p w:rsidR="00035B75" w:rsidRPr="001A1334" w:rsidRDefault="00035B75" w:rsidP="00FC4F64">
            <w:pPr>
              <w:rPr>
                <w:rFonts w:cs="Arial"/>
                <w:sz w:val="16"/>
                <w:szCs w:val="16"/>
              </w:rPr>
            </w:pPr>
            <w:r w:rsidRPr="001A1334">
              <w:rPr>
                <w:rFonts w:cs="Arial"/>
                <w:sz w:val="16"/>
                <w:szCs w:val="16"/>
              </w:rPr>
              <w:t>the Singapore Treaty</w:t>
            </w:r>
          </w:p>
        </w:tc>
        <w:tc>
          <w:tcPr>
            <w:tcW w:w="1784" w:type="pct"/>
            <w:shd w:val="clear" w:color="auto" w:fill="auto"/>
            <w:tcMar>
              <w:top w:w="110" w:type="dxa"/>
            </w:tcMar>
          </w:tcPr>
          <w:p w:rsidR="00035B75" w:rsidRPr="001A1334" w:rsidRDefault="00035B75" w:rsidP="00FC4F64">
            <w:pPr>
              <w:rPr>
                <w:rFonts w:cs="Arial"/>
                <w:sz w:val="16"/>
                <w:szCs w:val="16"/>
              </w:rPr>
            </w:pPr>
            <w:r w:rsidRPr="001A1334">
              <w:rPr>
                <w:rFonts w:cs="Arial"/>
                <w:sz w:val="16"/>
                <w:szCs w:val="16"/>
                <w:lang w:bidi="th-TH"/>
              </w:rPr>
              <w:t>Seven ratifications in 2012/13, i.e., Armenia, Germany, Iceland, Kazakhstan, Lithuania, New Zealand and the United Kingdom, which brings the total number of Contracting Parties to 31 at the end of 2013</w:t>
            </w:r>
            <w:r w:rsidR="00483CBD">
              <w:rPr>
                <w:rFonts w:cs="Arial"/>
                <w:sz w:val="16"/>
                <w:szCs w:val="16"/>
                <w:lang w:bidi="th-TH"/>
              </w:rPr>
              <w:t>.</w:t>
            </w:r>
          </w:p>
        </w:tc>
        <w:tc>
          <w:tcPr>
            <w:tcW w:w="663" w:type="pct"/>
            <w:shd w:val="clear" w:color="auto" w:fill="auto"/>
            <w:tcMar>
              <w:top w:w="110" w:type="dxa"/>
            </w:tcMar>
          </w:tcPr>
          <w:p w:rsidR="00035B75" w:rsidRPr="001A1334" w:rsidRDefault="00035B75" w:rsidP="00FC4F64">
            <w:pPr>
              <w:keepNext/>
              <w:keepLines/>
              <w:jc w:val="center"/>
              <w:rPr>
                <w:rFonts w:cs="Arial"/>
                <w:bCs/>
                <w:color w:val="808080"/>
                <w:sz w:val="16"/>
                <w:szCs w:val="16"/>
              </w:rPr>
            </w:pPr>
            <w:r w:rsidRPr="001A1334">
              <w:rPr>
                <w:rStyle w:val="Style5"/>
                <w:rFonts w:ascii="Arial" w:hAnsi="Arial" w:cs="Arial"/>
                <w:color w:val="E36C0A" w:themeColor="accent6" w:themeShade="BF"/>
                <w:sz w:val="16"/>
                <w:szCs w:val="16"/>
              </w:rPr>
              <w:t>Partially</w:t>
            </w:r>
            <w:r w:rsidRPr="001A1334">
              <w:rPr>
                <w:rStyle w:val="Style5"/>
                <w:rFonts w:ascii="Arial" w:hAnsi="Arial" w:cs="Arial"/>
                <w:color w:val="E36C0A" w:themeColor="accent6" w:themeShade="BF"/>
                <w:sz w:val="16"/>
                <w:szCs w:val="16"/>
              </w:rPr>
              <w:br/>
              <w:t>Achieved</w:t>
            </w:r>
          </w:p>
        </w:tc>
      </w:tr>
      <w:tr w:rsidR="00035B75" w:rsidRPr="001A1334" w:rsidTr="00FC4F64">
        <w:trPr>
          <w:cantSplit/>
        </w:trPr>
        <w:tc>
          <w:tcPr>
            <w:tcW w:w="784" w:type="pct"/>
            <w:tcBorders>
              <w:bottom w:val="single" w:sz="4" w:space="0" w:color="auto"/>
            </w:tcBorders>
            <w:shd w:val="clear" w:color="auto" w:fill="auto"/>
          </w:tcPr>
          <w:p w:rsidR="00035B75" w:rsidRPr="001A1334" w:rsidRDefault="00035B75" w:rsidP="00FC4F64">
            <w:pPr>
              <w:rPr>
                <w:rFonts w:cs="Arial"/>
                <w:sz w:val="16"/>
                <w:szCs w:val="16"/>
              </w:rPr>
            </w:pPr>
            <w:r w:rsidRPr="001A1334">
              <w:rPr>
                <w:rFonts w:cs="Arial"/>
                <w:color w:val="000000"/>
                <w:sz w:val="16"/>
                <w:szCs w:val="16"/>
              </w:rPr>
              <w:t xml:space="preserve">Work initiated by the SCT on Geographical Indications (GIs)  </w:t>
            </w:r>
          </w:p>
        </w:tc>
        <w:tc>
          <w:tcPr>
            <w:tcW w:w="943" w:type="pct"/>
            <w:tcBorders>
              <w:bottom w:val="single" w:sz="4" w:space="0" w:color="auto"/>
            </w:tcBorders>
            <w:shd w:val="clear" w:color="auto" w:fill="auto"/>
          </w:tcPr>
          <w:p w:rsidR="00035B75" w:rsidRPr="001A1334" w:rsidRDefault="00035B75" w:rsidP="00FC4F64">
            <w:pPr>
              <w:rPr>
                <w:rFonts w:cs="Arial"/>
                <w:i/>
                <w:color w:val="002060"/>
                <w:sz w:val="16"/>
                <w:szCs w:val="16"/>
              </w:rPr>
            </w:pPr>
            <w:r w:rsidRPr="001A1334">
              <w:rPr>
                <w:rFonts w:cs="Arial"/>
                <w:i/>
                <w:color w:val="002060"/>
                <w:sz w:val="16"/>
                <w:szCs w:val="16"/>
              </w:rPr>
              <w:t>Updated Baseline end 2011:</w:t>
            </w:r>
            <w:r w:rsidR="001A1334">
              <w:rPr>
                <w:rFonts w:cs="Arial"/>
                <w:color w:val="002060"/>
                <w:sz w:val="16"/>
                <w:szCs w:val="16"/>
              </w:rPr>
              <w:t xml:space="preserve">  </w:t>
            </w:r>
            <w:r w:rsidRPr="001A1334">
              <w:rPr>
                <w:rFonts w:cs="Arial"/>
                <w:color w:val="002060"/>
                <w:sz w:val="16"/>
                <w:szCs w:val="16"/>
                <w:lang w:bidi="th-TH"/>
              </w:rPr>
              <w:t>No work on GIs by the SCT at the end of 2011</w:t>
            </w:r>
          </w:p>
          <w:p w:rsidR="00035B75" w:rsidRPr="001A1334" w:rsidRDefault="00035B75" w:rsidP="00FC4F64">
            <w:pPr>
              <w:rPr>
                <w:rFonts w:cs="Arial"/>
                <w:i/>
                <w:sz w:val="8"/>
                <w:szCs w:val="8"/>
              </w:rPr>
            </w:pPr>
          </w:p>
          <w:p w:rsidR="00035B75" w:rsidRPr="001A1334" w:rsidRDefault="00035B75" w:rsidP="00FC4F64">
            <w:pPr>
              <w:rPr>
                <w:rFonts w:cs="Arial"/>
                <w:sz w:val="16"/>
                <w:szCs w:val="16"/>
              </w:rPr>
            </w:pPr>
            <w:r w:rsidRPr="001A1334">
              <w:rPr>
                <w:rFonts w:cs="Arial"/>
                <w:i/>
                <w:sz w:val="16"/>
                <w:szCs w:val="16"/>
              </w:rPr>
              <w:t>Original Baseline P&amp;B 2012/13:</w:t>
            </w:r>
          </w:p>
          <w:p w:rsidR="00035B75" w:rsidRPr="001A1334" w:rsidRDefault="00035B75" w:rsidP="00FC4F64">
            <w:pPr>
              <w:rPr>
                <w:rFonts w:cs="Arial"/>
                <w:sz w:val="16"/>
                <w:szCs w:val="16"/>
              </w:rPr>
            </w:pPr>
            <w:r w:rsidRPr="001A1334">
              <w:rPr>
                <w:rFonts w:cs="Arial"/>
                <w:sz w:val="16"/>
                <w:szCs w:val="16"/>
              </w:rPr>
              <w:t xml:space="preserve">Status of SCT work on GIs by </w:t>
            </w:r>
            <w:r w:rsidRPr="001A1334">
              <w:rPr>
                <w:rFonts w:cs="Arial"/>
                <w:color w:val="000000"/>
                <w:sz w:val="16"/>
                <w:szCs w:val="16"/>
              </w:rPr>
              <w:t>end</w:t>
            </w:r>
            <w:r w:rsidRPr="001A1334">
              <w:rPr>
                <w:rFonts w:cs="Arial"/>
                <w:sz w:val="16"/>
                <w:szCs w:val="16"/>
              </w:rPr>
              <w:t xml:space="preserve"> 2011</w:t>
            </w:r>
          </w:p>
          <w:p w:rsidR="00035B75" w:rsidRPr="001A1334" w:rsidRDefault="00035B75" w:rsidP="00FC4F64">
            <w:pPr>
              <w:rPr>
                <w:rFonts w:cs="Arial"/>
                <w:sz w:val="16"/>
                <w:szCs w:val="16"/>
              </w:rPr>
            </w:pPr>
          </w:p>
        </w:tc>
        <w:tc>
          <w:tcPr>
            <w:tcW w:w="826" w:type="pct"/>
            <w:tcBorders>
              <w:bottom w:val="single" w:sz="4" w:space="0" w:color="auto"/>
            </w:tcBorders>
            <w:shd w:val="clear" w:color="auto" w:fill="auto"/>
            <w:tcMar>
              <w:top w:w="110" w:type="dxa"/>
            </w:tcMar>
          </w:tcPr>
          <w:p w:rsidR="00035B75" w:rsidRPr="001A1334" w:rsidRDefault="00035B75" w:rsidP="00FC4F64">
            <w:pPr>
              <w:autoSpaceDE w:val="0"/>
              <w:autoSpaceDN w:val="0"/>
              <w:adjustRightInd w:val="0"/>
              <w:rPr>
                <w:rFonts w:cs="Arial"/>
                <w:sz w:val="16"/>
                <w:szCs w:val="16"/>
              </w:rPr>
            </w:pPr>
            <w:r w:rsidRPr="001A1334">
              <w:rPr>
                <w:rFonts w:cs="Arial"/>
                <w:sz w:val="16"/>
                <w:szCs w:val="16"/>
              </w:rPr>
              <w:t>SCT to provide feed-back</w:t>
            </w:r>
          </w:p>
          <w:p w:rsidR="00035B75" w:rsidRPr="001A1334" w:rsidRDefault="00035B75" w:rsidP="00FC4F64">
            <w:pPr>
              <w:rPr>
                <w:rFonts w:cs="Arial"/>
                <w:sz w:val="16"/>
                <w:szCs w:val="16"/>
              </w:rPr>
            </w:pPr>
            <w:r w:rsidRPr="001A1334">
              <w:rPr>
                <w:rFonts w:cs="Arial"/>
                <w:sz w:val="16"/>
                <w:szCs w:val="16"/>
              </w:rPr>
              <w:t>on an issues paper on GIs</w:t>
            </w:r>
          </w:p>
        </w:tc>
        <w:tc>
          <w:tcPr>
            <w:tcW w:w="1784" w:type="pct"/>
            <w:tcBorders>
              <w:bottom w:val="single" w:sz="4" w:space="0" w:color="auto"/>
            </w:tcBorders>
            <w:shd w:val="clear" w:color="auto" w:fill="auto"/>
            <w:tcMar>
              <w:top w:w="110" w:type="dxa"/>
            </w:tcMar>
          </w:tcPr>
          <w:p w:rsidR="00035B75" w:rsidRPr="001A1334" w:rsidRDefault="00035B75" w:rsidP="00FC4F64">
            <w:pPr>
              <w:rPr>
                <w:rFonts w:cs="Arial"/>
                <w:sz w:val="16"/>
                <w:szCs w:val="16"/>
              </w:rPr>
            </w:pPr>
            <w:r w:rsidRPr="001A1334">
              <w:rPr>
                <w:rFonts w:cs="Arial"/>
                <w:sz w:val="16"/>
                <w:szCs w:val="16"/>
                <w:lang w:bidi="th-TH"/>
              </w:rPr>
              <w:t>Initiation of work on geographical indications in the SCT</w:t>
            </w:r>
            <w:r w:rsidR="00483CBD">
              <w:rPr>
                <w:rFonts w:cs="Arial"/>
                <w:sz w:val="16"/>
                <w:szCs w:val="16"/>
                <w:lang w:bidi="th-TH"/>
              </w:rPr>
              <w:t>.</w:t>
            </w:r>
          </w:p>
        </w:tc>
        <w:tc>
          <w:tcPr>
            <w:tcW w:w="663" w:type="pct"/>
            <w:tcBorders>
              <w:bottom w:val="single" w:sz="4" w:space="0" w:color="auto"/>
            </w:tcBorders>
            <w:shd w:val="clear" w:color="auto" w:fill="auto"/>
            <w:tcMar>
              <w:top w:w="110" w:type="dxa"/>
            </w:tcMar>
          </w:tcPr>
          <w:p w:rsidR="00035B75" w:rsidRPr="001A1334" w:rsidRDefault="00035B75" w:rsidP="00FC4F64">
            <w:pPr>
              <w:keepNext/>
              <w:keepLines/>
              <w:jc w:val="center"/>
              <w:rPr>
                <w:rFonts w:cs="Arial"/>
                <w:bCs/>
                <w:color w:val="808080"/>
                <w:sz w:val="16"/>
                <w:szCs w:val="16"/>
              </w:rPr>
            </w:pPr>
            <w:r w:rsidRPr="001A1334">
              <w:rPr>
                <w:rStyle w:val="Style5"/>
                <w:rFonts w:ascii="Arial" w:hAnsi="Arial" w:cs="Arial"/>
                <w:color w:val="E36C0A" w:themeColor="accent6" w:themeShade="BF"/>
                <w:sz w:val="16"/>
                <w:szCs w:val="16"/>
              </w:rPr>
              <w:t>Partially</w:t>
            </w:r>
            <w:r w:rsidRPr="001A1334">
              <w:rPr>
                <w:rStyle w:val="Style5"/>
                <w:rFonts w:ascii="Arial" w:hAnsi="Arial" w:cs="Arial"/>
                <w:color w:val="E36C0A" w:themeColor="accent6" w:themeShade="BF"/>
                <w:sz w:val="16"/>
                <w:szCs w:val="16"/>
              </w:rPr>
              <w:br/>
              <w:t>Achieved</w:t>
            </w:r>
          </w:p>
        </w:tc>
      </w:tr>
      <w:tr w:rsidR="00035B75" w:rsidRPr="001A1334" w:rsidTr="00FC4F64">
        <w:trPr>
          <w:cantSplit/>
        </w:trPr>
        <w:tc>
          <w:tcPr>
            <w:tcW w:w="5000" w:type="pct"/>
            <w:gridSpan w:val="5"/>
            <w:tcBorders>
              <w:top w:val="single" w:sz="4" w:space="0" w:color="auto"/>
              <w:bottom w:val="single" w:sz="4" w:space="0" w:color="auto"/>
            </w:tcBorders>
            <w:shd w:val="clear" w:color="auto" w:fill="CCFFFF"/>
            <w:vAlign w:val="center"/>
          </w:tcPr>
          <w:p w:rsidR="00035B75" w:rsidRPr="001A1334" w:rsidRDefault="00035B75" w:rsidP="00483CBD">
            <w:pPr>
              <w:keepNext/>
              <w:keepLines/>
              <w:tabs>
                <w:tab w:val="left" w:pos="1452"/>
              </w:tabs>
              <w:spacing w:before="120" w:after="120"/>
              <w:ind w:left="1452" w:hanging="1452"/>
              <w:rPr>
                <w:rFonts w:cs="Arial"/>
                <w:b/>
                <w:bCs/>
                <w:sz w:val="16"/>
                <w:szCs w:val="16"/>
              </w:rPr>
            </w:pPr>
            <w:r w:rsidRPr="001A1334">
              <w:rPr>
                <w:rFonts w:cs="Arial"/>
                <w:b/>
                <w:bCs/>
                <w:sz w:val="16"/>
                <w:szCs w:val="16"/>
              </w:rPr>
              <w:lastRenderedPageBreak/>
              <w:t>Expected Result:</w:t>
            </w:r>
            <w:r w:rsidRPr="001A1334">
              <w:rPr>
                <w:rFonts w:cs="Arial"/>
                <w:b/>
                <w:bCs/>
                <w:sz w:val="16"/>
                <w:szCs w:val="16"/>
              </w:rPr>
              <w:tab/>
            </w:r>
            <w:r w:rsidRPr="001A1334">
              <w:rPr>
                <w:rFonts w:cs="Arial"/>
                <w:color w:val="000000"/>
                <w:sz w:val="16"/>
                <w:szCs w:val="16"/>
              </w:rPr>
              <w:t>Increased protection of State emblems and names and emblems of International Intergovernmental Organizations</w:t>
            </w:r>
            <w:r w:rsidRPr="001A1334" w:rsidDel="004764E5">
              <w:rPr>
                <w:rFonts w:cs="Arial"/>
                <w:sz w:val="16"/>
                <w:szCs w:val="16"/>
                <w:lang w:bidi="th-TH"/>
              </w:rPr>
              <w:t xml:space="preserve"> </w:t>
            </w:r>
          </w:p>
        </w:tc>
      </w:tr>
      <w:tr w:rsidR="00035B75" w:rsidRPr="001A1334" w:rsidTr="00FC4F64">
        <w:trPr>
          <w:cantSplit/>
        </w:trPr>
        <w:tc>
          <w:tcPr>
            <w:tcW w:w="784" w:type="pct"/>
            <w:tcBorders>
              <w:top w:val="single" w:sz="4" w:space="0" w:color="auto"/>
            </w:tcBorders>
            <w:shd w:val="clear" w:color="auto" w:fill="auto"/>
            <w:vAlign w:val="center"/>
          </w:tcPr>
          <w:p w:rsidR="00035B75" w:rsidRPr="001A1334" w:rsidRDefault="00035B75" w:rsidP="00483CBD">
            <w:pPr>
              <w:keepNext/>
              <w:keepLines/>
              <w:rPr>
                <w:rFonts w:cs="Arial"/>
                <w:sz w:val="16"/>
                <w:szCs w:val="16"/>
              </w:rPr>
            </w:pPr>
            <w:r w:rsidRPr="001A1334">
              <w:rPr>
                <w:rFonts w:cs="Arial"/>
                <w:b/>
                <w:bCs/>
                <w:sz w:val="16"/>
                <w:szCs w:val="16"/>
              </w:rPr>
              <w:t>Performance Indicators</w:t>
            </w:r>
          </w:p>
        </w:tc>
        <w:tc>
          <w:tcPr>
            <w:tcW w:w="943" w:type="pct"/>
            <w:tcBorders>
              <w:top w:val="single" w:sz="4" w:space="0" w:color="auto"/>
            </w:tcBorders>
            <w:shd w:val="clear" w:color="auto" w:fill="auto"/>
            <w:vAlign w:val="center"/>
          </w:tcPr>
          <w:p w:rsidR="00035B75" w:rsidRPr="001A1334" w:rsidRDefault="00035B75" w:rsidP="00483CBD">
            <w:pPr>
              <w:keepNext/>
              <w:keepLines/>
              <w:rPr>
                <w:rFonts w:cs="Arial"/>
                <w:b/>
                <w:bCs/>
                <w:sz w:val="16"/>
                <w:szCs w:val="16"/>
              </w:rPr>
            </w:pPr>
            <w:r w:rsidRPr="001A1334">
              <w:rPr>
                <w:rFonts w:cs="Arial"/>
                <w:b/>
                <w:bCs/>
                <w:sz w:val="16"/>
                <w:szCs w:val="16"/>
              </w:rPr>
              <w:t>Baselines</w:t>
            </w:r>
          </w:p>
        </w:tc>
        <w:tc>
          <w:tcPr>
            <w:tcW w:w="826" w:type="pct"/>
            <w:tcBorders>
              <w:top w:val="single" w:sz="4" w:space="0" w:color="auto"/>
            </w:tcBorders>
            <w:shd w:val="clear" w:color="auto" w:fill="auto"/>
            <w:tcMar>
              <w:top w:w="110" w:type="dxa"/>
            </w:tcMar>
            <w:vAlign w:val="center"/>
          </w:tcPr>
          <w:p w:rsidR="00035B75" w:rsidRPr="001A1334" w:rsidRDefault="00035B75" w:rsidP="00483CBD">
            <w:pPr>
              <w:keepNext/>
              <w:keepLines/>
              <w:rPr>
                <w:rFonts w:cs="Arial"/>
                <w:b/>
                <w:sz w:val="16"/>
                <w:szCs w:val="16"/>
              </w:rPr>
            </w:pPr>
            <w:r w:rsidRPr="001A1334">
              <w:rPr>
                <w:rFonts w:cs="Arial"/>
                <w:b/>
                <w:sz w:val="16"/>
                <w:szCs w:val="16"/>
              </w:rPr>
              <w:t>Target</w:t>
            </w:r>
            <w:r w:rsidR="00582788" w:rsidRPr="001A1334">
              <w:rPr>
                <w:rFonts w:cs="Arial"/>
                <w:b/>
                <w:sz w:val="16"/>
                <w:szCs w:val="16"/>
              </w:rPr>
              <w:t>s</w:t>
            </w:r>
          </w:p>
        </w:tc>
        <w:tc>
          <w:tcPr>
            <w:tcW w:w="1784" w:type="pct"/>
            <w:tcBorders>
              <w:top w:val="single" w:sz="4" w:space="0" w:color="auto"/>
            </w:tcBorders>
            <w:shd w:val="clear" w:color="auto" w:fill="auto"/>
            <w:tcMar>
              <w:top w:w="110" w:type="dxa"/>
            </w:tcMar>
            <w:vAlign w:val="center"/>
          </w:tcPr>
          <w:p w:rsidR="00035B75" w:rsidRPr="001A1334" w:rsidRDefault="00035B75" w:rsidP="00483CBD">
            <w:pPr>
              <w:keepNext/>
              <w:keepLines/>
              <w:rPr>
                <w:rFonts w:cs="Arial"/>
                <w:sz w:val="16"/>
                <w:szCs w:val="16"/>
              </w:rPr>
            </w:pPr>
            <w:r w:rsidRPr="001A1334">
              <w:rPr>
                <w:rFonts w:cs="Arial"/>
                <w:b/>
                <w:bCs/>
                <w:sz w:val="16"/>
                <w:szCs w:val="16"/>
              </w:rPr>
              <w:t>Performance Data</w:t>
            </w:r>
          </w:p>
        </w:tc>
        <w:tc>
          <w:tcPr>
            <w:tcW w:w="663" w:type="pct"/>
            <w:tcBorders>
              <w:top w:val="single" w:sz="4" w:space="0" w:color="auto"/>
            </w:tcBorders>
            <w:shd w:val="clear" w:color="auto" w:fill="auto"/>
            <w:tcMar>
              <w:top w:w="110" w:type="dxa"/>
            </w:tcMar>
            <w:vAlign w:val="center"/>
          </w:tcPr>
          <w:p w:rsidR="00035B75" w:rsidRPr="001A1334" w:rsidRDefault="00035B75" w:rsidP="00483CBD">
            <w:pPr>
              <w:keepNext/>
              <w:keepLines/>
              <w:jc w:val="center"/>
              <w:rPr>
                <w:rFonts w:cs="Arial"/>
                <w:b/>
                <w:bCs/>
                <w:sz w:val="16"/>
                <w:szCs w:val="16"/>
              </w:rPr>
            </w:pPr>
            <w:r w:rsidRPr="001A1334">
              <w:rPr>
                <w:rFonts w:cs="Arial"/>
                <w:b/>
                <w:bCs/>
                <w:sz w:val="16"/>
                <w:szCs w:val="16"/>
              </w:rPr>
              <w:t>TLS</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lang w:bidi="th-TH"/>
              </w:rPr>
            </w:pPr>
            <w:r w:rsidRPr="001A1334">
              <w:rPr>
                <w:rFonts w:cs="Arial"/>
                <w:color w:val="000000"/>
                <w:sz w:val="16"/>
                <w:szCs w:val="16"/>
              </w:rPr>
              <w:t>No. of requests for communication under Article 6</w:t>
            </w:r>
            <w:r w:rsidRPr="001A1334">
              <w:rPr>
                <w:rFonts w:cs="Arial"/>
                <w:i/>
                <w:iCs/>
                <w:color w:val="000000"/>
                <w:sz w:val="16"/>
                <w:szCs w:val="16"/>
              </w:rPr>
              <w:t>ter</w:t>
            </w:r>
            <w:r w:rsidRPr="001A1334">
              <w:rPr>
                <w:rFonts w:cs="Arial"/>
                <w:color w:val="000000"/>
                <w:sz w:val="16"/>
                <w:szCs w:val="16"/>
              </w:rPr>
              <w:t xml:space="preserve"> Paris Convention dealt with</w:t>
            </w:r>
          </w:p>
        </w:tc>
        <w:tc>
          <w:tcPr>
            <w:tcW w:w="943" w:type="pct"/>
            <w:shd w:val="clear" w:color="auto" w:fill="auto"/>
          </w:tcPr>
          <w:p w:rsidR="00035B75" w:rsidRPr="001A1334" w:rsidRDefault="00035B75" w:rsidP="00FC4F64">
            <w:pPr>
              <w:rPr>
                <w:rFonts w:cs="Arial"/>
                <w:i/>
                <w:color w:val="002060"/>
                <w:sz w:val="16"/>
                <w:szCs w:val="16"/>
              </w:rPr>
            </w:pPr>
            <w:r w:rsidRPr="001A1334">
              <w:rPr>
                <w:rFonts w:cs="Arial"/>
                <w:i/>
                <w:color w:val="002060"/>
                <w:sz w:val="16"/>
                <w:szCs w:val="16"/>
              </w:rPr>
              <w:t>Updated Baseline end 2011:</w:t>
            </w:r>
            <w:r w:rsidR="001A1334">
              <w:rPr>
                <w:rFonts w:cs="Arial"/>
                <w:color w:val="002060"/>
                <w:sz w:val="16"/>
                <w:szCs w:val="16"/>
              </w:rPr>
              <w:t xml:space="preserve">  </w:t>
            </w:r>
            <w:r w:rsidRPr="001A1334">
              <w:rPr>
                <w:rFonts w:cs="Arial"/>
                <w:color w:val="002060"/>
                <w:sz w:val="16"/>
                <w:szCs w:val="16"/>
                <w:lang w:bidi="th-TH"/>
              </w:rPr>
              <w:t>65</w:t>
            </w:r>
            <w:r w:rsidR="00483CBD">
              <w:rPr>
                <w:rFonts w:cs="Arial"/>
                <w:color w:val="002060"/>
                <w:sz w:val="16"/>
                <w:szCs w:val="16"/>
                <w:lang w:bidi="th-TH"/>
              </w:rPr>
              <w:t> </w:t>
            </w:r>
            <w:r w:rsidRPr="001A1334">
              <w:rPr>
                <w:rFonts w:cs="Arial"/>
                <w:color w:val="002060"/>
                <w:sz w:val="16"/>
                <w:szCs w:val="16"/>
                <w:lang w:bidi="th-TH"/>
              </w:rPr>
              <w:t>requests received in 2010/11 of which 52 were accepted for communication</w:t>
            </w:r>
          </w:p>
          <w:p w:rsidR="00035B75" w:rsidRPr="001A1334" w:rsidRDefault="00035B75" w:rsidP="00FC4F64">
            <w:pPr>
              <w:rPr>
                <w:rFonts w:cs="Arial"/>
                <w:i/>
                <w:sz w:val="8"/>
                <w:szCs w:val="8"/>
              </w:rPr>
            </w:pPr>
          </w:p>
          <w:p w:rsidR="00035B75" w:rsidRPr="001A1334" w:rsidRDefault="00035B75" w:rsidP="00FC4F64">
            <w:pPr>
              <w:rPr>
                <w:rFonts w:cs="Arial"/>
                <w:sz w:val="16"/>
                <w:szCs w:val="16"/>
              </w:rPr>
            </w:pPr>
            <w:r w:rsidRPr="001A1334">
              <w:rPr>
                <w:rFonts w:cs="Arial"/>
                <w:i/>
                <w:sz w:val="16"/>
                <w:szCs w:val="16"/>
              </w:rPr>
              <w:t>Original Baseline P&amp;B 2012/13:</w:t>
            </w:r>
          </w:p>
          <w:p w:rsidR="00035B75" w:rsidRPr="001A1334" w:rsidRDefault="00035B75" w:rsidP="00FC4F64">
            <w:pPr>
              <w:rPr>
                <w:rFonts w:cs="Arial"/>
                <w:sz w:val="16"/>
                <w:szCs w:val="16"/>
              </w:rPr>
            </w:pPr>
            <w:r w:rsidRPr="001A1334">
              <w:rPr>
                <w:rFonts w:cs="Arial"/>
                <w:sz w:val="16"/>
                <w:szCs w:val="16"/>
              </w:rPr>
              <w:t xml:space="preserve">No. of requests for </w:t>
            </w:r>
            <w:r w:rsidRPr="001A1334">
              <w:rPr>
                <w:rFonts w:cs="Arial"/>
                <w:color w:val="000000"/>
                <w:sz w:val="16"/>
                <w:szCs w:val="16"/>
              </w:rPr>
              <w:t>communication</w:t>
            </w:r>
            <w:r w:rsidRPr="001A1334">
              <w:rPr>
                <w:rFonts w:cs="Arial"/>
                <w:sz w:val="16"/>
                <w:szCs w:val="16"/>
              </w:rPr>
              <w:t xml:space="preserve"> received in 2010/11</w:t>
            </w:r>
          </w:p>
        </w:tc>
        <w:tc>
          <w:tcPr>
            <w:tcW w:w="826" w:type="pct"/>
            <w:shd w:val="clear" w:color="auto" w:fill="auto"/>
            <w:tcMar>
              <w:top w:w="110" w:type="dxa"/>
            </w:tcMar>
          </w:tcPr>
          <w:p w:rsidR="00035B75" w:rsidRPr="00483CBD" w:rsidRDefault="00035B75" w:rsidP="00483CBD">
            <w:pPr>
              <w:autoSpaceDE w:val="0"/>
              <w:autoSpaceDN w:val="0"/>
              <w:adjustRightInd w:val="0"/>
              <w:rPr>
                <w:rFonts w:cs="Arial"/>
                <w:sz w:val="16"/>
                <w:szCs w:val="16"/>
              </w:rPr>
            </w:pPr>
            <w:r w:rsidRPr="00483CBD">
              <w:rPr>
                <w:rFonts w:cs="Arial"/>
                <w:sz w:val="16"/>
                <w:szCs w:val="16"/>
              </w:rPr>
              <w:t>Response to 160</w:t>
            </w:r>
            <w:r w:rsidR="00483CBD">
              <w:rPr>
                <w:rFonts w:cs="Arial"/>
                <w:sz w:val="16"/>
                <w:szCs w:val="16"/>
              </w:rPr>
              <w:t> </w:t>
            </w:r>
            <w:r w:rsidRPr="00483CBD">
              <w:rPr>
                <w:rFonts w:cs="Arial"/>
                <w:sz w:val="16"/>
                <w:szCs w:val="16"/>
              </w:rPr>
              <w:t>requests</w:t>
            </w:r>
            <w:r w:rsidR="00483CBD" w:rsidRPr="00483CBD">
              <w:rPr>
                <w:rFonts w:cs="Arial"/>
                <w:sz w:val="16"/>
                <w:szCs w:val="16"/>
              </w:rPr>
              <w:t xml:space="preserve"> </w:t>
            </w:r>
            <w:r w:rsidRPr="00483CBD">
              <w:rPr>
                <w:rFonts w:cs="Arial"/>
                <w:sz w:val="16"/>
                <w:szCs w:val="16"/>
              </w:rPr>
              <w:t>from States/IGOs</w:t>
            </w:r>
            <w:r w:rsidR="00483CBD" w:rsidRPr="00483CBD">
              <w:rPr>
                <w:rFonts w:cs="Arial"/>
                <w:sz w:val="16"/>
                <w:szCs w:val="16"/>
              </w:rPr>
              <w:t xml:space="preserve"> </w:t>
            </w:r>
            <w:r w:rsidRPr="00483CBD">
              <w:rPr>
                <w:rFonts w:cs="Arial"/>
                <w:sz w:val="16"/>
                <w:szCs w:val="16"/>
              </w:rPr>
              <w:t>concerning</w:t>
            </w:r>
            <w:r w:rsidR="00483CBD" w:rsidRPr="00483CBD">
              <w:rPr>
                <w:rFonts w:cs="Arial"/>
                <w:sz w:val="16"/>
                <w:szCs w:val="16"/>
              </w:rPr>
              <w:t xml:space="preserve"> </w:t>
            </w:r>
            <w:r w:rsidRPr="00483CBD">
              <w:rPr>
                <w:rFonts w:cs="Arial"/>
                <w:sz w:val="16"/>
                <w:szCs w:val="16"/>
              </w:rPr>
              <w:t>communications under</w:t>
            </w:r>
            <w:r w:rsidR="00483CBD" w:rsidRPr="00483CBD">
              <w:rPr>
                <w:rFonts w:cs="Arial"/>
                <w:sz w:val="16"/>
                <w:szCs w:val="16"/>
              </w:rPr>
              <w:t xml:space="preserve"> </w:t>
            </w:r>
            <w:r w:rsidRPr="00483CBD">
              <w:rPr>
                <w:rFonts w:cs="Arial"/>
                <w:sz w:val="16"/>
                <w:szCs w:val="16"/>
              </w:rPr>
              <w:t>Article 6</w:t>
            </w:r>
            <w:r w:rsidRPr="00483CBD">
              <w:rPr>
                <w:rFonts w:cs="Arial"/>
                <w:i/>
                <w:iCs/>
                <w:sz w:val="16"/>
                <w:szCs w:val="16"/>
              </w:rPr>
              <w:t>ter</w:t>
            </w:r>
            <w:r w:rsidRPr="00483CBD" w:rsidDel="004764E5">
              <w:rPr>
                <w:rFonts w:cs="Arial"/>
                <w:sz w:val="16"/>
                <w:szCs w:val="16"/>
                <w:lang w:bidi="th-TH"/>
              </w:rPr>
              <w:t xml:space="preserve"> </w:t>
            </w:r>
          </w:p>
        </w:tc>
        <w:tc>
          <w:tcPr>
            <w:tcW w:w="1784" w:type="pct"/>
            <w:shd w:val="clear" w:color="auto" w:fill="auto"/>
            <w:tcMar>
              <w:top w:w="110" w:type="dxa"/>
            </w:tcMar>
          </w:tcPr>
          <w:p w:rsidR="00035B75" w:rsidRPr="00483CBD" w:rsidRDefault="00035B75" w:rsidP="00FC4F64">
            <w:pPr>
              <w:rPr>
                <w:rFonts w:cs="Arial"/>
                <w:sz w:val="16"/>
                <w:szCs w:val="16"/>
                <w:lang w:bidi="th-TH"/>
              </w:rPr>
            </w:pPr>
            <w:r w:rsidRPr="00483CBD">
              <w:rPr>
                <w:rFonts w:cs="Arial"/>
                <w:sz w:val="16"/>
                <w:szCs w:val="16"/>
                <w:lang w:bidi="th-TH"/>
              </w:rPr>
              <w:t>126 requests received for communication, out of which 25 resulted in publication</w:t>
            </w:r>
            <w:r w:rsidR="00483CBD">
              <w:rPr>
                <w:rFonts w:cs="Arial"/>
                <w:sz w:val="16"/>
                <w:szCs w:val="16"/>
                <w:lang w:bidi="th-TH"/>
              </w:rPr>
              <w:t>.</w:t>
            </w:r>
          </w:p>
        </w:tc>
        <w:tc>
          <w:tcPr>
            <w:tcW w:w="663" w:type="pct"/>
            <w:shd w:val="clear" w:color="auto" w:fill="auto"/>
            <w:tcMar>
              <w:top w:w="110" w:type="dxa"/>
            </w:tcMar>
          </w:tcPr>
          <w:p w:rsidR="00035B75" w:rsidRPr="001A1334" w:rsidRDefault="00035B75" w:rsidP="00FC4F64">
            <w:pPr>
              <w:keepNext/>
              <w:keepLines/>
              <w:jc w:val="center"/>
              <w:rPr>
                <w:rFonts w:cs="Arial"/>
                <w:bCs/>
                <w:color w:val="008000"/>
                <w:sz w:val="16"/>
                <w:szCs w:val="16"/>
              </w:rPr>
            </w:pPr>
            <w:r w:rsidRPr="001A1334">
              <w:rPr>
                <w:rStyle w:val="Style5"/>
                <w:rFonts w:ascii="Arial" w:hAnsi="Arial" w:cs="Arial"/>
                <w:color w:val="10862C"/>
                <w:sz w:val="16"/>
                <w:szCs w:val="16"/>
              </w:rPr>
              <w:t>Fully</w:t>
            </w:r>
            <w:r w:rsidRPr="001A1334">
              <w:rPr>
                <w:rStyle w:val="Style5"/>
                <w:rFonts w:ascii="Arial" w:hAnsi="Arial" w:cs="Arial"/>
                <w:color w:val="10862C"/>
                <w:sz w:val="16"/>
                <w:szCs w:val="16"/>
              </w:rPr>
              <w:br/>
              <w:t>Achieved</w:t>
            </w:r>
            <w:r w:rsidRPr="001A1334" w:rsidDel="004764E5">
              <w:rPr>
                <w:rStyle w:val="Style5"/>
                <w:rFonts w:ascii="Arial" w:hAnsi="Arial" w:cs="Arial"/>
                <w:b/>
                <w:color w:val="00B050"/>
                <w:sz w:val="16"/>
                <w:szCs w:val="16"/>
              </w:rPr>
              <w:t xml:space="preserve"> </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lang w:bidi="th-TH"/>
              </w:rPr>
            </w:pPr>
            <w:r w:rsidRPr="001A1334">
              <w:rPr>
                <w:rFonts w:cs="Arial"/>
                <w:color w:val="000000"/>
                <w:sz w:val="16"/>
                <w:szCs w:val="16"/>
              </w:rPr>
              <w:t>No. of signs published in</w:t>
            </w:r>
            <w:r w:rsidRPr="001A1334">
              <w:rPr>
                <w:rFonts w:cs="Arial"/>
                <w:color w:val="000000"/>
                <w:sz w:val="16"/>
                <w:szCs w:val="16"/>
              </w:rPr>
              <w:br/>
              <w:t>Article 6</w:t>
            </w:r>
            <w:r w:rsidRPr="001A1334">
              <w:rPr>
                <w:rFonts w:cs="Arial"/>
                <w:i/>
                <w:iCs/>
                <w:color w:val="000000"/>
                <w:sz w:val="16"/>
                <w:szCs w:val="16"/>
              </w:rPr>
              <w:t>ter</w:t>
            </w:r>
            <w:r w:rsidRPr="001A1334">
              <w:rPr>
                <w:rFonts w:cs="Arial"/>
                <w:color w:val="000000"/>
                <w:sz w:val="16"/>
                <w:szCs w:val="16"/>
              </w:rPr>
              <w:t xml:space="preserve"> database</w:t>
            </w:r>
          </w:p>
        </w:tc>
        <w:tc>
          <w:tcPr>
            <w:tcW w:w="943" w:type="pct"/>
            <w:shd w:val="clear" w:color="auto" w:fill="auto"/>
          </w:tcPr>
          <w:p w:rsidR="00035B75" w:rsidRPr="001A1334" w:rsidRDefault="00035B75" w:rsidP="00FC4F64">
            <w:pPr>
              <w:rPr>
                <w:rFonts w:cs="Arial"/>
                <w:color w:val="002060"/>
                <w:sz w:val="16"/>
                <w:szCs w:val="16"/>
                <w:lang w:bidi="th-TH"/>
              </w:rPr>
            </w:pPr>
            <w:r w:rsidRPr="001A1334">
              <w:rPr>
                <w:rFonts w:cs="Arial"/>
                <w:i/>
                <w:color w:val="002060"/>
                <w:sz w:val="16"/>
                <w:szCs w:val="16"/>
              </w:rPr>
              <w:t>Updated Baseline end 2011:</w:t>
            </w:r>
            <w:r w:rsidR="001A1334">
              <w:rPr>
                <w:rFonts w:cs="Arial"/>
                <w:color w:val="002060"/>
                <w:sz w:val="16"/>
                <w:szCs w:val="16"/>
              </w:rPr>
              <w:t xml:space="preserve">  </w:t>
            </w:r>
            <w:r w:rsidRPr="001A1334">
              <w:rPr>
                <w:rFonts w:cs="Arial"/>
                <w:color w:val="002060"/>
                <w:sz w:val="16"/>
                <w:szCs w:val="16"/>
                <w:lang w:bidi="th-TH"/>
              </w:rPr>
              <w:t>411 signs published in Article 6</w:t>
            </w:r>
            <w:r w:rsidRPr="001A1334">
              <w:rPr>
                <w:rFonts w:cs="Arial"/>
                <w:i/>
                <w:color w:val="002060"/>
                <w:sz w:val="16"/>
                <w:szCs w:val="16"/>
                <w:lang w:bidi="th-TH"/>
              </w:rPr>
              <w:t>ter</w:t>
            </w:r>
            <w:r w:rsidRPr="001A1334">
              <w:rPr>
                <w:rFonts w:cs="Arial"/>
                <w:color w:val="002060"/>
                <w:sz w:val="16"/>
                <w:szCs w:val="16"/>
                <w:lang w:bidi="th-TH"/>
              </w:rPr>
              <w:t xml:space="preserve"> database in 2010/11</w:t>
            </w:r>
          </w:p>
          <w:p w:rsidR="00035B75" w:rsidRPr="001A1334" w:rsidRDefault="00035B75" w:rsidP="00FC4F64">
            <w:pPr>
              <w:rPr>
                <w:rFonts w:cs="Arial"/>
                <w:color w:val="002060"/>
                <w:sz w:val="8"/>
                <w:szCs w:val="8"/>
                <w:lang w:bidi="th-TH"/>
              </w:rPr>
            </w:pPr>
          </w:p>
          <w:p w:rsidR="00035B75" w:rsidRPr="001A1334" w:rsidRDefault="00035B75" w:rsidP="00FC4F64">
            <w:pPr>
              <w:rPr>
                <w:rFonts w:cs="Arial"/>
                <w:sz w:val="16"/>
                <w:szCs w:val="16"/>
              </w:rPr>
            </w:pPr>
            <w:r w:rsidRPr="001A1334">
              <w:rPr>
                <w:rFonts w:cs="Arial"/>
                <w:i/>
                <w:sz w:val="16"/>
                <w:szCs w:val="16"/>
              </w:rPr>
              <w:t>Original Baseline P&amp;B 2012/13:</w:t>
            </w:r>
          </w:p>
          <w:p w:rsidR="00035B75" w:rsidRPr="001A1334" w:rsidRDefault="00035B75" w:rsidP="00FC4F64">
            <w:pPr>
              <w:rPr>
                <w:rFonts w:cs="Arial"/>
                <w:sz w:val="16"/>
                <w:szCs w:val="16"/>
              </w:rPr>
            </w:pPr>
            <w:r w:rsidRPr="001A1334">
              <w:rPr>
                <w:rFonts w:cs="Arial"/>
                <w:color w:val="000000"/>
                <w:sz w:val="16"/>
                <w:szCs w:val="16"/>
              </w:rPr>
              <w:t>No</w:t>
            </w:r>
            <w:r w:rsidRPr="001A1334">
              <w:rPr>
                <w:rFonts w:cs="Arial"/>
                <w:sz w:val="16"/>
                <w:szCs w:val="16"/>
              </w:rPr>
              <w:t>. of signs published in Article 6</w:t>
            </w:r>
            <w:r w:rsidRPr="001A1334">
              <w:rPr>
                <w:rFonts w:cs="Arial"/>
                <w:i/>
                <w:iCs/>
                <w:sz w:val="16"/>
                <w:szCs w:val="16"/>
              </w:rPr>
              <w:t>ter</w:t>
            </w:r>
            <w:r w:rsidRPr="001A1334">
              <w:rPr>
                <w:rFonts w:cs="Arial"/>
                <w:sz w:val="16"/>
                <w:szCs w:val="16"/>
              </w:rPr>
              <w:t xml:space="preserve"> database in 2010/11</w:t>
            </w:r>
          </w:p>
        </w:tc>
        <w:tc>
          <w:tcPr>
            <w:tcW w:w="826" w:type="pct"/>
            <w:shd w:val="clear" w:color="auto" w:fill="auto"/>
            <w:tcMar>
              <w:top w:w="110" w:type="dxa"/>
            </w:tcMar>
          </w:tcPr>
          <w:p w:rsidR="00035B75" w:rsidRPr="001A1334" w:rsidRDefault="00035B75" w:rsidP="00FC4F64">
            <w:pPr>
              <w:autoSpaceDE w:val="0"/>
              <w:autoSpaceDN w:val="0"/>
              <w:adjustRightInd w:val="0"/>
              <w:rPr>
                <w:rFonts w:cs="Arial"/>
                <w:sz w:val="16"/>
                <w:szCs w:val="16"/>
              </w:rPr>
            </w:pPr>
            <w:r w:rsidRPr="001A1334">
              <w:rPr>
                <w:rFonts w:cs="Arial"/>
                <w:sz w:val="16"/>
                <w:szCs w:val="16"/>
              </w:rPr>
              <w:t>300 signs published</w:t>
            </w:r>
          </w:p>
          <w:p w:rsidR="00035B75" w:rsidRPr="001A1334" w:rsidRDefault="00035B75" w:rsidP="00FC4F64">
            <w:pPr>
              <w:rPr>
                <w:rFonts w:cs="Arial"/>
                <w:sz w:val="16"/>
                <w:szCs w:val="16"/>
              </w:rPr>
            </w:pPr>
            <w:r w:rsidRPr="001A1334">
              <w:rPr>
                <w:rFonts w:cs="Arial"/>
                <w:sz w:val="16"/>
                <w:szCs w:val="16"/>
              </w:rPr>
              <w:t>(cumulative)</w:t>
            </w: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A total of 132 signs published during the biennium (84 individual signs published in 2012 and 48 individual signs published in 2013) (543 cumulative)</w:t>
            </w:r>
            <w:r w:rsidR="00483CBD">
              <w:rPr>
                <w:rFonts w:cs="Arial"/>
                <w:sz w:val="16"/>
                <w:szCs w:val="16"/>
                <w:lang w:bidi="th-TH"/>
              </w:rPr>
              <w:t>.</w:t>
            </w:r>
          </w:p>
        </w:tc>
        <w:tc>
          <w:tcPr>
            <w:tcW w:w="663" w:type="pct"/>
            <w:shd w:val="clear" w:color="auto" w:fill="auto"/>
          </w:tcPr>
          <w:p w:rsidR="00035B75" w:rsidRPr="001A1334" w:rsidRDefault="00035B75" w:rsidP="00FC4F64">
            <w:pPr>
              <w:keepNext/>
              <w:keepLines/>
              <w:jc w:val="center"/>
              <w:rPr>
                <w:rFonts w:cs="Arial"/>
                <w:b/>
                <w:bCs/>
                <w:color w:val="333333"/>
                <w:sz w:val="16"/>
                <w:szCs w:val="16"/>
              </w:rPr>
            </w:pPr>
            <w:r w:rsidRPr="001A1334">
              <w:rPr>
                <w:rStyle w:val="Style5"/>
                <w:rFonts w:ascii="Arial" w:hAnsi="Arial" w:cs="Arial"/>
                <w:color w:val="10862C"/>
                <w:sz w:val="16"/>
                <w:szCs w:val="16"/>
              </w:rPr>
              <w:t>Fully</w:t>
            </w:r>
            <w:r w:rsidRPr="001A1334">
              <w:rPr>
                <w:rStyle w:val="Style5"/>
                <w:rFonts w:ascii="Arial" w:hAnsi="Arial" w:cs="Arial"/>
                <w:color w:val="10862C"/>
                <w:sz w:val="16"/>
                <w:szCs w:val="16"/>
              </w:rPr>
              <w:br/>
              <w:t>Achieved</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lang w:bidi="th-TH"/>
              </w:rPr>
            </w:pPr>
            <w:r w:rsidRPr="001A1334">
              <w:rPr>
                <w:rFonts w:cs="Arial"/>
                <w:color w:val="000000"/>
                <w:sz w:val="16"/>
                <w:szCs w:val="16"/>
              </w:rPr>
              <w:t>Comprehensive guidelines for the application of Article 6</w:t>
            </w:r>
            <w:r w:rsidRPr="001A1334">
              <w:rPr>
                <w:rFonts w:cs="Arial"/>
                <w:i/>
                <w:iCs/>
                <w:color w:val="000000"/>
                <w:sz w:val="16"/>
                <w:szCs w:val="16"/>
              </w:rPr>
              <w:t>ter</w:t>
            </w:r>
          </w:p>
        </w:tc>
        <w:tc>
          <w:tcPr>
            <w:tcW w:w="943" w:type="pct"/>
            <w:shd w:val="clear" w:color="auto" w:fill="auto"/>
          </w:tcPr>
          <w:p w:rsidR="00035B75" w:rsidRPr="001A1334" w:rsidRDefault="00035B75" w:rsidP="00FC4F64">
            <w:pPr>
              <w:rPr>
                <w:rFonts w:cs="Arial"/>
                <w:sz w:val="16"/>
                <w:szCs w:val="16"/>
                <w:lang w:bidi="th-TH"/>
              </w:rPr>
            </w:pPr>
            <w:r w:rsidRPr="001A1334">
              <w:rPr>
                <w:rFonts w:cs="Arial"/>
                <w:sz w:val="16"/>
                <w:szCs w:val="16"/>
              </w:rPr>
              <w:t xml:space="preserve">Guidelines for the </w:t>
            </w:r>
            <w:r w:rsidRPr="001A1334">
              <w:rPr>
                <w:rFonts w:cs="Arial"/>
                <w:color w:val="000000"/>
                <w:sz w:val="16"/>
                <w:szCs w:val="16"/>
              </w:rPr>
              <w:t>application</w:t>
            </w:r>
            <w:r w:rsidRPr="001A1334">
              <w:rPr>
                <w:rFonts w:cs="Arial"/>
                <w:sz w:val="16"/>
                <w:szCs w:val="16"/>
              </w:rPr>
              <w:t xml:space="preserve"> of Article 6</w:t>
            </w:r>
            <w:r w:rsidRPr="001A1334">
              <w:rPr>
                <w:rFonts w:cs="Arial"/>
                <w:i/>
                <w:iCs/>
                <w:sz w:val="16"/>
                <w:szCs w:val="16"/>
              </w:rPr>
              <w:t>ter</w:t>
            </w:r>
            <w:r w:rsidRPr="001A1334">
              <w:rPr>
                <w:rFonts w:cs="Arial"/>
                <w:sz w:val="16"/>
                <w:szCs w:val="16"/>
              </w:rPr>
              <w:t>(1)(b) and (3)(b) of 1992</w:t>
            </w:r>
          </w:p>
        </w:tc>
        <w:tc>
          <w:tcPr>
            <w:tcW w:w="826" w:type="pct"/>
            <w:shd w:val="clear" w:color="auto" w:fill="auto"/>
            <w:tcMar>
              <w:top w:w="110" w:type="dxa"/>
            </w:tcMar>
          </w:tcPr>
          <w:p w:rsidR="00035B75" w:rsidRPr="001A1334" w:rsidRDefault="00035B75" w:rsidP="00483CBD">
            <w:pPr>
              <w:autoSpaceDE w:val="0"/>
              <w:autoSpaceDN w:val="0"/>
              <w:adjustRightInd w:val="0"/>
              <w:rPr>
                <w:rFonts w:cs="Arial"/>
                <w:sz w:val="16"/>
                <w:szCs w:val="16"/>
              </w:rPr>
            </w:pPr>
            <w:r w:rsidRPr="001A1334">
              <w:rPr>
                <w:rFonts w:cs="Arial"/>
                <w:sz w:val="16"/>
                <w:szCs w:val="16"/>
              </w:rPr>
              <w:t>Adoption of</w:t>
            </w:r>
            <w:r w:rsidR="00483CBD">
              <w:rPr>
                <w:rFonts w:cs="Arial"/>
                <w:sz w:val="16"/>
                <w:szCs w:val="16"/>
              </w:rPr>
              <w:t xml:space="preserve"> </w:t>
            </w:r>
            <w:r w:rsidRPr="001A1334">
              <w:rPr>
                <w:rFonts w:cs="Arial"/>
                <w:sz w:val="16"/>
                <w:szCs w:val="16"/>
              </w:rPr>
              <w:t>comprehensive guidelines</w:t>
            </w:r>
            <w:r w:rsidR="00483CBD">
              <w:rPr>
                <w:rFonts w:cs="Arial"/>
                <w:sz w:val="16"/>
                <w:szCs w:val="16"/>
              </w:rPr>
              <w:t xml:space="preserve"> </w:t>
            </w:r>
            <w:r w:rsidRPr="001A1334">
              <w:rPr>
                <w:rFonts w:cs="Arial"/>
                <w:sz w:val="16"/>
                <w:szCs w:val="16"/>
              </w:rPr>
              <w:t>by the Paris Union</w:t>
            </w:r>
            <w:r w:rsidR="00483CBD">
              <w:rPr>
                <w:rFonts w:cs="Arial"/>
                <w:sz w:val="16"/>
                <w:szCs w:val="16"/>
              </w:rPr>
              <w:t xml:space="preserve"> </w:t>
            </w:r>
            <w:r w:rsidRPr="001A1334">
              <w:rPr>
                <w:rFonts w:cs="Arial"/>
                <w:sz w:val="16"/>
                <w:szCs w:val="16"/>
              </w:rPr>
              <w:t>Assembly</w:t>
            </w:r>
          </w:p>
          <w:p w:rsidR="00035B75" w:rsidRPr="001A1334" w:rsidRDefault="00035B75" w:rsidP="00FC4F64">
            <w:pPr>
              <w:rPr>
                <w:rFonts w:cs="Arial"/>
                <w:sz w:val="16"/>
                <w:szCs w:val="16"/>
              </w:rPr>
            </w:pP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Due to the full work program of the SCT and the absence of a concrete Member State proposal, the activity was not pursued</w:t>
            </w:r>
            <w:r w:rsidR="00483CBD">
              <w:rPr>
                <w:rFonts w:cs="Arial"/>
                <w:sz w:val="16"/>
                <w:szCs w:val="16"/>
                <w:lang w:bidi="th-TH"/>
              </w:rPr>
              <w:t>.</w:t>
            </w:r>
          </w:p>
        </w:tc>
        <w:tc>
          <w:tcPr>
            <w:tcW w:w="663" w:type="pct"/>
            <w:shd w:val="clear" w:color="auto" w:fill="auto"/>
            <w:tcMar>
              <w:top w:w="110" w:type="dxa"/>
            </w:tcMar>
          </w:tcPr>
          <w:p w:rsidR="00035B75" w:rsidRPr="00CD26D6" w:rsidRDefault="00035B75" w:rsidP="00FC4F64">
            <w:pPr>
              <w:keepNext/>
              <w:keepLines/>
              <w:spacing w:after="120"/>
              <w:jc w:val="center"/>
              <w:rPr>
                <w:rFonts w:cs="Arial"/>
                <w:b/>
                <w:bCs/>
                <w:sz w:val="16"/>
                <w:szCs w:val="16"/>
              </w:rPr>
            </w:pPr>
            <w:r w:rsidRPr="00483CBD">
              <w:rPr>
                <w:rStyle w:val="Style5"/>
                <w:rFonts w:ascii="Arial" w:hAnsi="Arial" w:cs="Arial"/>
                <w:sz w:val="16"/>
                <w:szCs w:val="16"/>
              </w:rPr>
              <w:t>Discontinued</w:t>
            </w:r>
          </w:p>
        </w:tc>
      </w:tr>
      <w:tr w:rsidR="00035B75" w:rsidRPr="001A1334" w:rsidTr="00FC4F64">
        <w:trPr>
          <w:cantSplit/>
        </w:trPr>
        <w:tc>
          <w:tcPr>
            <w:tcW w:w="5000" w:type="pct"/>
            <w:gridSpan w:val="5"/>
            <w:tcBorders>
              <w:top w:val="single" w:sz="4" w:space="0" w:color="auto"/>
              <w:bottom w:val="single" w:sz="4" w:space="0" w:color="auto"/>
            </w:tcBorders>
            <w:shd w:val="clear" w:color="auto" w:fill="CCFFFF"/>
            <w:vAlign w:val="center"/>
          </w:tcPr>
          <w:p w:rsidR="00035B75" w:rsidRPr="001A1334" w:rsidRDefault="00035B75" w:rsidP="00FC4F64">
            <w:pPr>
              <w:keepNext/>
              <w:keepLines/>
              <w:tabs>
                <w:tab w:val="left" w:pos="1452"/>
              </w:tabs>
              <w:spacing w:before="120" w:after="120"/>
              <w:ind w:left="1452" w:hanging="1452"/>
              <w:rPr>
                <w:rFonts w:cs="Arial"/>
                <w:b/>
                <w:bCs/>
                <w:sz w:val="16"/>
                <w:szCs w:val="16"/>
              </w:rPr>
            </w:pPr>
            <w:r w:rsidRPr="001A1334">
              <w:rPr>
                <w:rFonts w:cs="Arial"/>
                <w:b/>
                <w:bCs/>
                <w:sz w:val="16"/>
                <w:szCs w:val="16"/>
              </w:rPr>
              <w:t>Expected Result:</w:t>
            </w:r>
            <w:r w:rsidRPr="001A1334">
              <w:rPr>
                <w:rFonts w:cs="Arial"/>
                <w:b/>
                <w:bCs/>
                <w:sz w:val="16"/>
                <w:szCs w:val="16"/>
              </w:rPr>
              <w:tab/>
            </w:r>
            <w:r w:rsidRPr="001A1334">
              <w:rPr>
                <w:rFonts w:cs="Arial"/>
                <w:sz w:val="16"/>
                <w:szCs w:val="16"/>
              </w:rPr>
              <w:t xml:space="preserve">Tailored and </w:t>
            </w:r>
            <w:r w:rsidRPr="001A1334">
              <w:rPr>
                <w:rFonts w:cs="Arial"/>
                <w:color w:val="000000"/>
                <w:sz w:val="16"/>
                <w:szCs w:val="16"/>
              </w:rPr>
              <w:t>balanced</w:t>
            </w:r>
            <w:r w:rsidRPr="001A1334">
              <w:rPr>
                <w:rFonts w:cs="Arial"/>
                <w:sz w:val="16"/>
                <w:szCs w:val="16"/>
              </w:rPr>
              <w:t xml:space="preserve"> IP legislative, regulatory and policy frameworks  </w:t>
            </w:r>
          </w:p>
        </w:tc>
      </w:tr>
      <w:tr w:rsidR="00035B75" w:rsidRPr="001A1334" w:rsidTr="00FC4F64">
        <w:trPr>
          <w:cantSplit/>
        </w:trPr>
        <w:tc>
          <w:tcPr>
            <w:tcW w:w="784" w:type="pct"/>
            <w:tcBorders>
              <w:top w:val="single" w:sz="4" w:space="0" w:color="auto"/>
            </w:tcBorders>
            <w:shd w:val="clear" w:color="auto" w:fill="auto"/>
            <w:vAlign w:val="center"/>
          </w:tcPr>
          <w:p w:rsidR="00035B75" w:rsidRPr="001A1334" w:rsidRDefault="00035B75" w:rsidP="00FC4F64">
            <w:pPr>
              <w:spacing w:after="120"/>
              <w:rPr>
                <w:rFonts w:cs="Arial"/>
                <w:sz w:val="16"/>
                <w:szCs w:val="16"/>
              </w:rPr>
            </w:pPr>
            <w:r w:rsidRPr="001A1334">
              <w:rPr>
                <w:rFonts w:cs="Arial"/>
                <w:b/>
                <w:bCs/>
                <w:sz w:val="16"/>
                <w:szCs w:val="16"/>
              </w:rPr>
              <w:t>Performance Indicators</w:t>
            </w:r>
          </w:p>
        </w:tc>
        <w:tc>
          <w:tcPr>
            <w:tcW w:w="943" w:type="pct"/>
            <w:tcBorders>
              <w:top w:val="single" w:sz="4" w:space="0" w:color="auto"/>
            </w:tcBorders>
            <w:shd w:val="clear" w:color="auto" w:fill="auto"/>
            <w:vAlign w:val="center"/>
          </w:tcPr>
          <w:p w:rsidR="00035B75" w:rsidRPr="001A1334" w:rsidRDefault="00035B75" w:rsidP="00FC4F64">
            <w:pPr>
              <w:spacing w:after="120"/>
              <w:rPr>
                <w:rFonts w:cs="Arial"/>
                <w:b/>
                <w:bCs/>
                <w:sz w:val="16"/>
                <w:szCs w:val="16"/>
              </w:rPr>
            </w:pPr>
            <w:r w:rsidRPr="001A1334">
              <w:rPr>
                <w:rFonts w:cs="Arial"/>
                <w:b/>
                <w:bCs/>
                <w:sz w:val="16"/>
                <w:szCs w:val="16"/>
              </w:rPr>
              <w:t>Baselines</w:t>
            </w:r>
          </w:p>
        </w:tc>
        <w:tc>
          <w:tcPr>
            <w:tcW w:w="826" w:type="pct"/>
            <w:tcBorders>
              <w:top w:val="single" w:sz="4" w:space="0" w:color="auto"/>
            </w:tcBorders>
            <w:shd w:val="clear" w:color="auto" w:fill="auto"/>
            <w:tcMar>
              <w:top w:w="110" w:type="dxa"/>
            </w:tcMar>
            <w:vAlign w:val="center"/>
          </w:tcPr>
          <w:p w:rsidR="00035B75" w:rsidRPr="001A1334" w:rsidRDefault="00035B75" w:rsidP="00FC4F64">
            <w:pPr>
              <w:spacing w:after="120"/>
              <w:rPr>
                <w:rFonts w:cs="Arial"/>
                <w:b/>
                <w:sz w:val="16"/>
                <w:szCs w:val="16"/>
              </w:rPr>
            </w:pPr>
            <w:r w:rsidRPr="001A1334">
              <w:rPr>
                <w:rFonts w:cs="Arial"/>
                <w:b/>
                <w:sz w:val="16"/>
                <w:szCs w:val="16"/>
              </w:rPr>
              <w:t>Target</w:t>
            </w:r>
            <w:r w:rsidR="00582788" w:rsidRPr="001A1334">
              <w:rPr>
                <w:rFonts w:cs="Arial"/>
                <w:b/>
                <w:sz w:val="16"/>
                <w:szCs w:val="16"/>
              </w:rPr>
              <w:t>s</w:t>
            </w:r>
          </w:p>
        </w:tc>
        <w:tc>
          <w:tcPr>
            <w:tcW w:w="1784" w:type="pct"/>
            <w:tcBorders>
              <w:top w:val="single" w:sz="4" w:space="0" w:color="auto"/>
            </w:tcBorders>
            <w:shd w:val="clear" w:color="auto" w:fill="auto"/>
            <w:tcMar>
              <w:top w:w="110" w:type="dxa"/>
            </w:tcMar>
            <w:vAlign w:val="center"/>
          </w:tcPr>
          <w:p w:rsidR="00035B75" w:rsidRPr="001A1334" w:rsidRDefault="00035B75" w:rsidP="00FC4F64">
            <w:pPr>
              <w:spacing w:after="120"/>
              <w:rPr>
                <w:rFonts w:cs="Arial"/>
                <w:sz w:val="16"/>
                <w:szCs w:val="16"/>
              </w:rPr>
            </w:pPr>
            <w:r w:rsidRPr="001A1334">
              <w:rPr>
                <w:rFonts w:cs="Arial"/>
                <w:b/>
                <w:bCs/>
                <w:sz w:val="16"/>
                <w:szCs w:val="16"/>
              </w:rPr>
              <w:t>Performance Data</w:t>
            </w:r>
          </w:p>
        </w:tc>
        <w:tc>
          <w:tcPr>
            <w:tcW w:w="663" w:type="pct"/>
            <w:tcBorders>
              <w:top w:val="single" w:sz="4" w:space="0" w:color="auto"/>
            </w:tcBorders>
            <w:shd w:val="clear" w:color="auto" w:fill="auto"/>
            <w:tcMar>
              <w:top w:w="110" w:type="dxa"/>
            </w:tcMar>
            <w:vAlign w:val="center"/>
          </w:tcPr>
          <w:p w:rsidR="00035B75" w:rsidRPr="001A1334" w:rsidRDefault="00035B75" w:rsidP="00FC4F64">
            <w:pPr>
              <w:keepNext/>
              <w:keepLines/>
              <w:spacing w:after="120"/>
              <w:jc w:val="center"/>
              <w:rPr>
                <w:rFonts w:cs="Arial"/>
                <w:b/>
                <w:bCs/>
                <w:sz w:val="16"/>
                <w:szCs w:val="16"/>
              </w:rPr>
            </w:pPr>
            <w:r w:rsidRPr="001A1334">
              <w:rPr>
                <w:rFonts w:cs="Arial"/>
                <w:b/>
                <w:bCs/>
                <w:sz w:val="16"/>
                <w:szCs w:val="16"/>
              </w:rPr>
              <w:t>TLS</w:t>
            </w:r>
          </w:p>
        </w:tc>
      </w:tr>
      <w:tr w:rsidR="00035B75" w:rsidRPr="001A1334" w:rsidTr="00FC4F64">
        <w:trPr>
          <w:cantSplit/>
        </w:trPr>
        <w:tc>
          <w:tcPr>
            <w:tcW w:w="784" w:type="pct"/>
            <w:shd w:val="clear" w:color="auto" w:fill="auto"/>
          </w:tcPr>
          <w:p w:rsidR="00035B75" w:rsidRPr="001A1334" w:rsidRDefault="00035B75" w:rsidP="00FC4F64">
            <w:pPr>
              <w:rPr>
                <w:rFonts w:cs="Arial"/>
                <w:sz w:val="16"/>
                <w:szCs w:val="16"/>
                <w:lang w:bidi="th-TH"/>
              </w:rPr>
            </w:pPr>
            <w:r w:rsidRPr="001A1334">
              <w:rPr>
                <w:rFonts w:cs="Arial"/>
                <w:color w:val="000000"/>
                <w:sz w:val="16"/>
                <w:szCs w:val="16"/>
              </w:rPr>
              <w:t>No. of Member States having received legislative advice in the area of trademarks, industrial designs and geographical indications</w:t>
            </w:r>
          </w:p>
        </w:tc>
        <w:tc>
          <w:tcPr>
            <w:tcW w:w="943" w:type="pct"/>
            <w:shd w:val="clear" w:color="auto" w:fill="auto"/>
          </w:tcPr>
          <w:p w:rsidR="00035B75" w:rsidRPr="001A1334" w:rsidRDefault="00035B75" w:rsidP="00FC4F64">
            <w:pPr>
              <w:rPr>
                <w:rFonts w:cs="Arial"/>
                <w:sz w:val="16"/>
                <w:szCs w:val="16"/>
              </w:rPr>
            </w:pPr>
            <w:r w:rsidRPr="001A1334">
              <w:rPr>
                <w:rFonts w:cs="Arial"/>
                <w:sz w:val="16"/>
                <w:szCs w:val="16"/>
              </w:rPr>
              <w:t>19 (2010)</w:t>
            </w:r>
          </w:p>
          <w:p w:rsidR="00035B75" w:rsidRPr="001A1334" w:rsidRDefault="00035B75" w:rsidP="00FC4F64">
            <w:pPr>
              <w:rPr>
                <w:rFonts w:cs="Arial"/>
                <w:sz w:val="16"/>
                <w:szCs w:val="16"/>
                <w:lang w:bidi="th-TH"/>
              </w:rPr>
            </w:pPr>
            <w:r w:rsidRPr="001A1334">
              <w:rPr>
                <w:rFonts w:cs="Arial"/>
                <w:sz w:val="16"/>
                <w:szCs w:val="16"/>
              </w:rPr>
              <w:t>20 (2011)</w:t>
            </w:r>
          </w:p>
        </w:tc>
        <w:tc>
          <w:tcPr>
            <w:tcW w:w="826"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Legislative advice</w:t>
            </w:r>
          </w:p>
          <w:p w:rsidR="00035B75" w:rsidRPr="001A1334" w:rsidRDefault="00035B75" w:rsidP="00FC4F64">
            <w:pPr>
              <w:rPr>
                <w:rFonts w:cs="Arial"/>
                <w:sz w:val="16"/>
                <w:szCs w:val="16"/>
                <w:lang w:bidi="th-TH"/>
              </w:rPr>
            </w:pPr>
            <w:r w:rsidRPr="001A1334">
              <w:rPr>
                <w:rFonts w:cs="Arial"/>
                <w:sz w:val="16"/>
                <w:szCs w:val="16"/>
                <w:lang w:bidi="th-TH"/>
              </w:rPr>
              <w:t>provided to 40 Member</w:t>
            </w:r>
          </w:p>
          <w:p w:rsidR="00035B75" w:rsidRPr="001A1334" w:rsidRDefault="00035B75" w:rsidP="00FC4F64">
            <w:pPr>
              <w:rPr>
                <w:rFonts w:cs="Arial"/>
                <w:sz w:val="16"/>
                <w:szCs w:val="16"/>
                <w:lang w:bidi="th-TH"/>
              </w:rPr>
            </w:pPr>
            <w:r w:rsidRPr="001A1334">
              <w:rPr>
                <w:rFonts w:cs="Arial"/>
                <w:sz w:val="16"/>
                <w:szCs w:val="16"/>
                <w:lang w:bidi="th-TH"/>
              </w:rPr>
              <w:t>States and/or Regional</w:t>
            </w:r>
          </w:p>
          <w:p w:rsidR="00035B75" w:rsidRPr="001A1334" w:rsidRDefault="00035B75" w:rsidP="00FC4F64">
            <w:pPr>
              <w:rPr>
                <w:rFonts w:cs="Arial"/>
                <w:sz w:val="16"/>
                <w:szCs w:val="16"/>
                <w:lang w:bidi="th-TH"/>
              </w:rPr>
            </w:pPr>
            <w:r w:rsidRPr="001A1334">
              <w:rPr>
                <w:rFonts w:cs="Arial"/>
                <w:sz w:val="16"/>
                <w:szCs w:val="16"/>
                <w:lang w:bidi="th-TH"/>
              </w:rPr>
              <w:t>Groups of Member States</w:t>
            </w: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2012:  Advice was provided to 11 Member States on 18 individual pieces of draft legislation (Africa 2</w:t>
            </w:r>
            <w:proofErr w:type="gramStart"/>
            <w:r w:rsidRPr="001A1334">
              <w:rPr>
                <w:rFonts w:cs="Arial"/>
                <w:sz w:val="16"/>
                <w:szCs w:val="16"/>
                <w:lang w:bidi="th-TH"/>
              </w:rPr>
              <w:t>;  Arab</w:t>
            </w:r>
            <w:proofErr w:type="gramEnd"/>
            <w:r w:rsidRPr="001A1334">
              <w:rPr>
                <w:rFonts w:cs="Arial"/>
                <w:sz w:val="16"/>
                <w:szCs w:val="16"/>
                <w:lang w:bidi="th-TH"/>
              </w:rPr>
              <w:t xml:space="preserve"> 1;  Asia and the Pacific 1;  Latin America and the Caribbean 7)</w:t>
            </w:r>
            <w:r w:rsidR="00483CBD">
              <w:rPr>
                <w:rFonts w:cs="Arial"/>
                <w:sz w:val="16"/>
                <w:szCs w:val="16"/>
                <w:lang w:bidi="th-TH"/>
              </w:rPr>
              <w:t>.</w:t>
            </w:r>
          </w:p>
          <w:p w:rsidR="00035B75" w:rsidRPr="00483CBD" w:rsidRDefault="00035B75" w:rsidP="00FC4F64">
            <w:pPr>
              <w:rPr>
                <w:rFonts w:cs="Arial"/>
                <w:sz w:val="8"/>
                <w:szCs w:val="8"/>
                <w:lang w:bidi="th-TH"/>
              </w:rPr>
            </w:pPr>
          </w:p>
          <w:p w:rsidR="00035B75" w:rsidRPr="001A1334" w:rsidRDefault="00035B75" w:rsidP="00FC4F64">
            <w:pPr>
              <w:rPr>
                <w:rFonts w:cs="Arial"/>
                <w:sz w:val="16"/>
                <w:szCs w:val="16"/>
                <w:lang w:bidi="th-TH"/>
              </w:rPr>
            </w:pPr>
            <w:r w:rsidRPr="001A1334">
              <w:rPr>
                <w:rFonts w:cs="Arial"/>
                <w:sz w:val="16"/>
                <w:szCs w:val="16"/>
                <w:lang w:bidi="th-TH"/>
              </w:rPr>
              <w:t xml:space="preserve">2013: </w:t>
            </w:r>
            <w:r w:rsidR="003B323B">
              <w:rPr>
                <w:rFonts w:cs="Arial"/>
                <w:sz w:val="16"/>
                <w:szCs w:val="16"/>
                <w:lang w:bidi="th-TH"/>
              </w:rPr>
              <w:t xml:space="preserve"> </w:t>
            </w:r>
            <w:r w:rsidRPr="001A1334">
              <w:rPr>
                <w:rFonts w:cs="Arial"/>
                <w:sz w:val="16"/>
                <w:szCs w:val="16"/>
                <w:lang w:bidi="th-TH"/>
              </w:rPr>
              <w:t>Advice was provided to 13 Member States on 18 individual pieces of draft legislation (Africa 2</w:t>
            </w:r>
            <w:proofErr w:type="gramStart"/>
            <w:r w:rsidRPr="001A1334">
              <w:rPr>
                <w:rFonts w:cs="Arial"/>
                <w:sz w:val="16"/>
                <w:szCs w:val="16"/>
                <w:lang w:bidi="th-TH"/>
              </w:rPr>
              <w:t>;  Asia</w:t>
            </w:r>
            <w:proofErr w:type="gramEnd"/>
            <w:r w:rsidRPr="001A1334">
              <w:rPr>
                <w:rFonts w:cs="Arial"/>
                <w:sz w:val="16"/>
                <w:szCs w:val="16"/>
                <w:lang w:bidi="th-TH"/>
              </w:rPr>
              <w:t xml:space="preserve"> and Pacific 8;  and Latin America and Caribbean 3)</w:t>
            </w:r>
            <w:r w:rsidR="00483CBD">
              <w:rPr>
                <w:rFonts w:cs="Arial"/>
                <w:sz w:val="16"/>
                <w:szCs w:val="16"/>
                <w:lang w:bidi="th-TH"/>
              </w:rPr>
              <w:t>.</w:t>
            </w:r>
            <w:r w:rsidRPr="001A1334">
              <w:rPr>
                <w:rFonts w:cs="Arial"/>
                <w:sz w:val="16"/>
                <w:szCs w:val="16"/>
                <w:lang w:bidi="th-TH"/>
              </w:rPr>
              <w:t xml:space="preserve">  </w:t>
            </w:r>
          </w:p>
        </w:tc>
        <w:tc>
          <w:tcPr>
            <w:tcW w:w="663" w:type="pct"/>
            <w:shd w:val="clear" w:color="auto" w:fill="auto"/>
            <w:tcMar>
              <w:top w:w="110" w:type="dxa"/>
            </w:tcMar>
          </w:tcPr>
          <w:p w:rsidR="00035B75" w:rsidRPr="001A1334" w:rsidRDefault="00035B75" w:rsidP="00FC4F64">
            <w:pPr>
              <w:keepNext/>
              <w:keepLines/>
              <w:jc w:val="center"/>
              <w:rPr>
                <w:rFonts w:cs="Arial"/>
                <w:color w:val="E36C0A" w:themeColor="accent6" w:themeShade="BF"/>
                <w:sz w:val="16"/>
                <w:szCs w:val="16"/>
              </w:rPr>
            </w:pPr>
            <w:r w:rsidRPr="001A1334">
              <w:rPr>
                <w:rStyle w:val="Style5"/>
                <w:rFonts w:ascii="Arial" w:hAnsi="Arial" w:cs="Arial"/>
                <w:color w:val="E36C0A" w:themeColor="accent6" w:themeShade="BF"/>
                <w:sz w:val="16"/>
                <w:szCs w:val="16"/>
              </w:rPr>
              <w:t>Partially</w:t>
            </w:r>
            <w:r w:rsidRPr="001A1334">
              <w:rPr>
                <w:rStyle w:val="Style5"/>
                <w:rFonts w:ascii="Arial" w:hAnsi="Arial" w:cs="Arial"/>
                <w:color w:val="E36C0A" w:themeColor="accent6" w:themeShade="BF"/>
                <w:sz w:val="16"/>
                <w:szCs w:val="16"/>
              </w:rPr>
              <w:br/>
              <w:t>Achieved</w:t>
            </w:r>
          </w:p>
        </w:tc>
      </w:tr>
      <w:tr w:rsidR="00035B75" w:rsidRPr="001A1334" w:rsidTr="00FC4F64">
        <w:trPr>
          <w:cantSplit/>
        </w:trPr>
        <w:tc>
          <w:tcPr>
            <w:tcW w:w="784" w:type="pct"/>
            <w:shd w:val="clear" w:color="auto" w:fill="auto"/>
          </w:tcPr>
          <w:p w:rsidR="00035B75" w:rsidRPr="001A1334" w:rsidRDefault="00035B75" w:rsidP="00FC4F64">
            <w:pPr>
              <w:rPr>
                <w:rFonts w:cs="Arial"/>
                <w:color w:val="000000"/>
                <w:sz w:val="16"/>
                <w:szCs w:val="16"/>
              </w:rPr>
            </w:pPr>
            <w:r w:rsidRPr="001A1334">
              <w:rPr>
                <w:rFonts w:cs="Arial"/>
                <w:color w:val="000000"/>
                <w:sz w:val="16"/>
                <w:szCs w:val="16"/>
              </w:rPr>
              <w:t>No. of countries providing positive feedback on the usefulness of the provided legislative advice in the area of trademarks, industrial designs and geographical indications</w:t>
            </w:r>
          </w:p>
          <w:p w:rsidR="00035B75" w:rsidRPr="001A1334" w:rsidRDefault="00035B75" w:rsidP="00FC4F64">
            <w:pPr>
              <w:rPr>
                <w:rFonts w:cs="Arial"/>
                <w:sz w:val="16"/>
                <w:szCs w:val="16"/>
                <w:lang w:bidi="th-TH"/>
              </w:rPr>
            </w:pPr>
          </w:p>
        </w:tc>
        <w:tc>
          <w:tcPr>
            <w:tcW w:w="943" w:type="pct"/>
            <w:shd w:val="clear" w:color="auto" w:fill="auto"/>
          </w:tcPr>
          <w:p w:rsidR="00035B75" w:rsidRPr="001A1334" w:rsidRDefault="00035B75" w:rsidP="00FC4F64">
            <w:pPr>
              <w:rPr>
                <w:rFonts w:cs="Arial"/>
                <w:sz w:val="16"/>
                <w:szCs w:val="16"/>
                <w:lang w:bidi="th-TH"/>
              </w:rPr>
            </w:pPr>
            <w:r w:rsidRPr="001A1334">
              <w:rPr>
                <w:rFonts w:cs="Arial"/>
                <w:sz w:val="16"/>
                <w:szCs w:val="16"/>
              </w:rPr>
              <w:t>Data not available</w:t>
            </w:r>
          </w:p>
        </w:tc>
        <w:tc>
          <w:tcPr>
            <w:tcW w:w="826"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rPr>
              <w:t>70%</w:t>
            </w:r>
          </w:p>
        </w:tc>
        <w:tc>
          <w:tcPr>
            <w:tcW w:w="1784" w:type="pct"/>
            <w:shd w:val="clear" w:color="auto" w:fill="auto"/>
            <w:tcMar>
              <w:top w:w="110" w:type="dxa"/>
            </w:tcMar>
          </w:tcPr>
          <w:p w:rsidR="00035B75" w:rsidRPr="001A1334" w:rsidRDefault="00035B75" w:rsidP="00FC4F64">
            <w:pPr>
              <w:rPr>
                <w:rFonts w:cs="Arial"/>
                <w:sz w:val="16"/>
                <w:szCs w:val="16"/>
                <w:lang w:bidi="th-TH"/>
              </w:rPr>
            </w:pPr>
            <w:r w:rsidRPr="001A1334">
              <w:rPr>
                <w:rFonts w:cs="Arial"/>
                <w:sz w:val="16"/>
                <w:szCs w:val="16"/>
                <w:lang w:bidi="th-TH"/>
              </w:rPr>
              <w:t>Positive feedback received from nine out of 13 countries.  Four countries did not reply.</w:t>
            </w:r>
          </w:p>
        </w:tc>
        <w:tc>
          <w:tcPr>
            <w:tcW w:w="663" w:type="pct"/>
            <w:shd w:val="clear" w:color="auto" w:fill="auto"/>
          </w:tcPr>
          <w:p w:rsidR="00035B75" w:rsidRPr="001A1334" w:rsidRDefault="00035B75" w:rsidP="00FC4F64">
            <w:pPr>
              <w:keepNext/>
              <w:keepLines/>
              <w:jc w:val="center"/>
              <w:rPr>
                <w:rFonts w:cs="Arial"/>
                <w:bCs/>
                <w:color w:val="333333"/>
                <w:sz w:val="16"/>
                <w:szCs w:val="16"/>
              </w:rPr>
            </w:pPr>
            <w:r w:rsidRPr="001A1334">
              <w:rPr>
                <w:rStyle w:val="Style5"/>
                <w:rFonts w:ascii="Arial" w:hAnsi="Arial" w:cs="Arial"/>
                <w:color w:val="10862C"/>
                <w:sz w:val="16"/>
                <w:szCs w:val="16"/>
              </w:rPr>
              <w:t>Fully</w:t>
            </w:r>
            <w:r w:rsidRPr="001A1334">
              <w:rPr>
                <w:rStyle w:val="Style5"/>
                <w:rFonts w:ascii="Arial" w:hAnsi="Arial" w:cs="Arial"/>
                <w:color w:val="10862C"/>
                <w:sz w:val="16"/>
                <w:szCs w:val="16"/>
              </w:rPr>
              <w:br/>
              <w:t>Achieved</w:t>
            </w:r>
          </w:p>
        </w:tc>
      </w:tr>
    </w:tbl>
    <w:p w:rsidR="00035B75" w:rsidRPr="002A56E1" w:rsidRDefault="00035B75" w:rsidP="00035B75"/>
    <w:p w:rsidR="00035B75" w:rsidRPr="002A56E1" w:rsidRDefault="00035B75" w:rsidP="00035B75">
      <w:pPr>
        <w:rPr>
          <w:rFonts w:cs="Arial"/>
        </w:rPr>
      </w:pPr>
    </w:p>
    <w:p w:rsidR="00035B75" w:rsidRPr="002A56E1" w:rsidRDefault="00035B75" w:rsidP="00035B75">
      <w:pPr>
        <w:rPr>
          <w:rFonts w:cs="Arial"/>
        </w:rPr>
      </w:pPr>
    </w:p>
    <w:p w:rsidR="002F7D53" w:rsidRDefault="002F7D53">
      <w:pPr>
        <w:rPr>
          <w:rFonts w:cs="Arial"/>
          <w:sz w:val="22"/>
          <w:szCs w:val="22"/>
        </w:rPr>
      </w:pPr>
      <w:r>
        <w:rPr>
          <w:rFonts w:cs="Arial"/>
          <w:sz w:val="22"/>
          <w:szCs w:val="22"/>
        </w:rPr>
        <w:br w:type="page"/>
      </w:r>
    </w:p>
    <w:p w:rsidR="00035B75" w:rsidRPr="0098133B" w:rsidRDefault="00035B75" w:rsidP="00035B75">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035B75" w:rsidRDefault="00035B75" w:rsidP="00035B75">
      <w:pPr>
        <w:keepNext/>
        <w:keepLines/>
        <w:rPr>
          <w:rFonts w:cs="Arial"/>
          <w:szCs w:val="20"/>
        </w:rPr>
      </w:pPr>
    </w:p>
    <w:p w:rsidR="00035B75" w:rsidRPr="0027745B" w:rsidRDefault="00035B75" w:rsidP="00035B75">
      <w:pPr>
        <w:pStyle w:val="NormalWeb"/>
        <w:keepNext/>
        <w:keepLines/>
        <w:spacing w:before="0" w:beforeAutospacing="0" w:after="0" w:afterAutospacing="0"/>
        <w:jc w:val="center"/>
        <w:rPr>
          <w:sz w:val="20"/>
          <w:szCs w:val="20"/>
        </w:rPr>
      </w:pPr>
      <w:r w:rsidRPr="0027745B">
        <w:rPr>
          <w:color w:val="000000"/>
          <w:sz w:val="20"/>
          <w:szCs w:val="20"/>
        </w:rPr>
        <w:t xml:space="preserve">Budget and Actual Expenditure (by result) </w:t>
      </w:r>
    </w:p>
    <w:p w:rsidR="00035B75" w:rsidRPr="0027745B" w:rsidRDefault="00035B75" w:rsidP="00035B75">
      <w:pPr>
        <w:pStyle w:val="NormalWeb"/>
        <w:keepNext/>
        <w:keepLines/>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Default="00035B75" w:rsidP="00035B75"/>
    <w:tbl>
      <w:tblPr>
        <w:tblW w:w="0" w:type="auto"/>
        <w:tblInd w:w="18" w:type="dxa"/>
        <w:tblLayout w:type="fixed"/>
        <w:tblLook w:val="04A0" w:firstRow="1" w:lastRow="0" w:firstColumn="1" w:lastColumn="0" w:noHBand="0" w:noVBand="1"/>
      </w:tblPr>
      <w:tblGrid>
        <w:gridCol w:w="445"/>
        <w:gridCol w:w="5174"/>
        <w:gridCol w:w="1275"/>
        <w:gridCol w:w="1276"/>
        <w:gridCol w:w="1276"/>
      </w:tblGrid>
      <w:tr w:rsidR="00035B75" w:rsidRPr="002379D7" w:rsidTr="00483CBD">
        <w:tc>
          <w:tcPr>
            <w:tcW w:w="5619"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Expected Result No. and Description</w:t>
            </w:r>
          </w:p>
        </w:tc>
        <w:tc>
          <w:tcPr>
            <w:tcW w:w="1275" w:type="dxa"/>
            <w:tcBorders>
              <w:top w:val="single" w:sz="4" w:space="0" w:color="auto"/>
              <w:left w:val="nil"/>
              <w:bottom w:val="single" w:sz="4" w:space="0" w:color="auto"/>
              <w:right w:val="single" w:sz="4" w:space="0" w:color="auto"/>
            </w:tcBorders>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2012/13 Approved Budget</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 xml:space="preserve">2012/13 Budget </w:t>
            </w:r>
            <w:r w:rsidRPr="0027745B">
              <w:rPr>
                <w:rFonts w:cs="Arial"/>
                <w:bCs/>
                <w:color w:val="000000"/>
                <w:sz w:val="16"/>
                <w:szCs w:val="16"/>
              </w:rPr>
              <w:br/>
              <w:t>After Transfers</w:t>
            </w:r>
          </w:p>
        </w:tc>
        <w:tc>
          <w:tcPr>
            <w:tcW w:w="1276" w:type="dxa"/>
            <w:tcBorders>
              <w:top w:val="single" w:sz="4" w:space="0" w:color="auto"/>
              <w:left w:val="nil"/>
              <w:bottom w:val="single" w:sz="4" w:space="0" w:color="auto"/>
              <w:right w:val="single" w:sz="4" w:space="0" w:color="auto"/>
            </w:tcBorders>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2012/13</w:t>
            </w:r>
          </w:p>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Expenditure</w:t>
            </w:r>
          </w:p>
        </w:tc>
      </w:tr>
      <w:tr w:rsidR="00035B75" w:rsidRPr="004C00DC" w:rsidTr="00483CBD">
        <w:tc>
          <w:tcPr>
            <w:tcW w:w="445" w:type="dxa"/>
            <w:tcBorders>
              <w:top w:val="nil"/>
              <w:left w:val="single" w:sz="4" w:space="0" w:color="auto"/>
              <w:bottom w:val="nil"/>
              <w:right w:val="nil"/>
            </w:tcBorders>
            <w:shd w:val="clear" w:color="000000" w:fill="FFFFFF"/>
            <w:noWrap/>
            <w:hideMark/>
          </w:tcPr>
          <w:p w:rsidR="00035B75" w:rsidRPr="0027745B" w:rsidRDefault="00035B75" w:rsidP="00FC4F64">
            <w:pPr>
              <w:spacing w:before="60" w:after="60"/>
              <w:jc w:val="center"/>
              <w:rPr>
                <w:rFonts w:cs="Arial"/>
                <w:color w:val="000000"/>
                <w:sz w:val="16"/>
                <w:szCs w:val="16"/>
              </w:rPr>
            </w:pPr>
            <w:r w:rsidRPr="0027745B">
              <w:rPr>
                <w:rFonts w:cs="Arial"/>
                <w:color w:val="000000"/>
                <w:sz w:val="16"/>
                <w:szCs w:val="16"/>
              </w:rPr>
              <w:t>I.1</w:t>
            </w:r>
          </w:p>
        </w:tc>
        <w:tc>
          <w:tcPr>
            <w:tcW w:w="5174" w:type="dxa"/>
            <w:tcBorders>
              <w:top w:val="nil"/>
              <w:left w:val="nil"/>
              <w:bottom w:val="nil"/>
            </w:tcBorders>
            <w:shd w:val="clear" w:color="000000" w:fill="FFFFFF"/>
            <w:hideMark/>
          </w:tcPr>
          <w:p w:rsidR="00035B75" w:rsidRPr="0027745B" w:rsidRDefault="00035B75" w:rsidP="00FC4F64">
            <w:pPr>
              <w:spacing w:before="60" w:after="60"/>
              <w:rPr>
                <w:rFonts w:cs="Arial"/>
                <w:color w:val="000000"/>
                <w:sz w:val="16"/>
                <w:szCs w:val="16"/>
              </w:rPr>
            </w:pPr>
            <w:r w:rsidRPr="0027745B">
              <w:rPr>
                <w:rFonts w:cs="Arial"/>
                <w:color w:val="000000"/>
                <w:sz w:val="16"/>
                <w:szCs w:val="16"/>
              </w:rPr>
              <w:t>Enhanced cooperation/greater consensus among Member States on further developing the policy and legal framework for the international patent system, trademarks, industrial designs, geographical indications, copyright and related rights, TK, TCEs GRs</w:t>
            </w:r>
          </w:p>
        </w:tc>
        <w:tc>
          <w:tcPr>
            <w:tcW w:w="1275" w:type="dxa"/>
            <w:tcBorders>
              <w:top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3,753</w:t>
            </w:r>
          </w:p>
        </w:tc>
        <w:tc>
          <w:tcPr>
            <w:tcW w:w="1276" w:type="dxa"/>
            <w:tcBorders>
              <w:top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3,054</w:t>
            </w:r>
          </w:p>
        </w:tc>
        <w:tc>
          <w:tcPr>
            <w:tcW w:w="1276" w:type="dxa"/>
            <w:tcBorders>
              <w:top w:val="single" w:sz="4" w:space="0" w:color="auto"/>
              <w:right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3,501</w:t>
            </w:r>
          </w:p>
        </w:tc>
      </w:tr>
      <w:tr w:rsidR="00035B75" w:rsidRPr="004C00DC" w:rsidTr="00483CBD">
        <w:tc>
          <w:tcPr>
            <w:tcW w:w="445" w:type="dxa"/>
            <w:tcBorders>
              <w:top w:val="nil"/>
              <w:left w:val="single" w:sz="4" w:space="0" w:color="auto"/>
              <w:bottom w:val="nil"/>
              <w:right w:val="nil"/>
            </w:tcBorders>
            <w:shd w:val="clear" w:color="000000" w:fill="FFFFFF"/>
            <w:noWrap/>
            <w:hideMark/>
          </w:tcPr>
          <w:p w:rsidR="00035B75" w:rsidRPr="0027745B" w:rsidRDefault="00035B75" w:rsidP="00FC4F64">
            <w:pPr>
              <w:spacing w:before="60" w:after="60"/>
              <w:jc w:val="center"/>
              <w:rPr>
                <w:rFonts w:cs="Arial"/>
                <w:color w:val="000000"/>
                <w:sz w:val="16"/>
                <w:szCs w:val="16"/>
              </w:rPr>
            </w:pPr>
            <w:r w:rsidRPr="0027745B">
              <w:rPr>
                <w:rFonts w:cs="Arial"/>
                <w:color w:val="000000"/>
                <w:sz w:val="16"/>
                <w:szCs w:val="16"/>
              </w:rPr>
              <w:t>I.2</w:t>
            </w:r>
          </w:p>
        </w:tc>
        <w:tc>
          <w:tcPr>
            <w:tcW w:w="5174" w:type="dxa"/>
            <w:tcBorders>
              <w:top w:val="nil"/>
              <w:left w:val="nil"/>
              <w:bottom w:val="nil"/>
            </w:tcBorders>
            <w:shd w:val="clear" w:color="000000" w:fill="FFFFFF"/>
            <w:hideMark/>
          </w:tcPr>
          <w:p w:rsidR="00035B75" w:rsidRPr="0027745B" w:rsidRDefault="00035B75" w:rsidP="00FC4F64">
            <w:pPr>
              <w:spacing w:before="60" w:after="60"/>
              <w:rPr>
                <w:rFonts w:cs="Arial"/>
                <w:color w:val="000000"/>
                <w:sz w:val="16"/>
                <w:szCs w:val="16"/>
              </w:rPr>
            </w:pPr>
            <w:r w:rsidRPr="0027745B">
              <w:rPr>
                <w:rFonts w:cs="Arial"/>
                <w:color w:val="000000"/>
                <w:sz w:val="16"/>
                <w:szCs w:val="16"/>
              </w:rPr>
              <w:t>Increased protection of State emblems and names and emblems of International Intergovernmental Organizations</w:t>
            </w:r>
          </w:p>
        </w:tc>
        <w:tc>
          <w:tcPr>
            <w:tcW w:w="1275" w:type="dxa"/>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556</w:t>
            </w:r>
          </w:p>
        </w:tc>
        <w:tc>
          <w:tcPr>
            <w:tcW w:w="1276" w:type="dxa"/>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679</w:t>
            </w:r>
          </w:p>
        </w:tc>
        <w:tc>
          <w:tcPr>
            <w:tcW w:w="1276" w:type="dxa"/>
            <w:tcBorders>
              <w:right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867</w:t>
            </w:r>
          </w:p>
        </w:tc>
      </w:tr>
      <w:tr w:rsidR="00035B75" w:rsidRPr="00775DAD" w:rsidTr="00483CBD">
        <w:tc>
          <w:tcPr>
            <w:tcW w:w="445" w:type="dxa"/>
            <w:tcBorders>
              <w:top w:val="nil"/>
              <w:left w:val="single" w:sz="4" w:space="0" w:color="auto"/>
              <w:bottom w:val="single" w:sz="4" w:space="0" w:color="auto"/>
              <w:right w:val="nil"/>
            </w:tcBorders>
            <w:shd w:val="clear" w:color="000000" w:fill="FFFFFF"/>
            <w:noWrap/>
            <w:hideMark/>
          </w:tcPr>
          <w:p w:rsidR="00035B75" w:rsidRPr="0027745B" w:rsidRDefault="00035B75" w:rsidP="00FC4F64">
            <w:pPr>
              <w:spacing w:before="60" w:after="60"/>
              <w:jc w:val="center"/>
              <w:rPr>
                <w:rFonts w:cs="Arial"/>
                <w:color w:val="000000"/>
                <w:sz w:val="16"/>
                <w:szCs w:val="16"/>
              </w:rPr>
            </w:pPr>
            <w:r w:rsidRPr="0027745B">
              <w:rPr>
                <w:rFonts w:cs="Arial"/>
                <w:color w:val="000000"/>
                <w:sz w:val="16"/>
                <w:szCs w:val="16"/>
              </w:rPr>
              <w:t>I.4</w:t>
            </w:r>
          </w:p>
        </w:tc>
        <w:tc>
          <w:tcPr>
            <w:tcW w:w="5174" w:type="dxa"/>
            <w:tcBorders>
              <w:top w:val="nil"/>
              <w:left w:val="nil"/>
              <w:bottom w:val="single" w:sz="4" w:space="0" w:color="auto"/>
            </w:tcBorders>
            <w:shd w:val="clear" w:color="000000" w:fill="FFFFFF"/>
            <w:hideMark/>
          </w:tcPr>
          <w:p w:rsidR="00035B75" w:rsidRPr="0027745B" w:rsidRDefault="00035B75" w:rsidP="00FC4F64">
            <w:pPr>
              <w:spacing w:before="60" w:after="60"/>
              <w:rPr>
                <w:rFonts w:cs="Arial"/>
                <w:color w:val="000000"/>
                <w:sz w:val="16"/>
                <w:szCs w:val="16"/>
              </w:rPr>
            </w:pPr>
            <w:r w:rsidRPr="0027745B">
              <w:rPr>
                <w:rFonts w:cs="Arial"/>
                <w:color w:val="000000"/>
                <w:sz w:val="16"/>
                <w:szCs w:val="16"/>
              </w:rPr>
              <w:t>Tailored and balanced IP legislative, regulatory and policy frameworks</w:t>
            </w:r>
          </w:p>
        </w:tc>
        <w:tc>
          <w:tcPr>
            <w:tcW w:w="1275" w:type="dxa"/>
            <w:tcBorders>
              <w:bottom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 xml:space="preserve">1,744 </w:t>
            </w:r>
          </w:p>
        </w:tc>
        <w:tc>
          <w:tcPr>
            <w:tcW w:w="1276" w:type="dxa"/>
            <w:tcBorders>
              <w:bottom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1,660</w:t>
            </w:r>
          </w:p>
        </w:tc>
        <w:tc>
          <w:tcPr>
            <w:tcW w:w="1276" w:type="dxa"/>
            <w:tcBorders>
              <w:bottom w:val="single" w:sz="4" w:space="0" w:color="auto"/>
              <w:right w:val="single" w:sz="4" w:space="0" w:color="auto"/>
            </w:tcBorders>
            <w:shd w:val="clear" w:color="000000" w:fill="FFFFFF"/>
            <w:vAlign w:val="center"/>
            <w:hideMark/>
          </w:tcPr>
          <w:p w:rsidR="00035B75" w:rsidRPr="0027745B" w:rsidRDefault="00035B75" w:rsidP="00FC4F64">
            <w:pPr>
              <w:spacing w:before="60" w:after="60"/>
              <w:jc w:val="right"/>
              <w:rPr>
                <w:rFonts w:cs="Arial"/>
                <w:color w:val="000000"/>
                <w:sz w:val="16"/>
                <w:szCs w:val="16"/>
              </w:rPr>
            </w:pPr>
            <w:r w:rsidRPr="0027745B">
              <w:rPr>
                <w:rFonts w:cs="Arial"/>
                <w:color w:val="000000"/>
                <w:sz w:val="16"/>
                <w:szCs w:val="16"/>
              </w:rPr>
              <w:t>944</w:t>
            </w:r>
          </w:p>
        </w:tc>
      </w:tr>
      <w:tr w:rsidR="00035B75" w:rsidRPr="00B072A8" w:rsidTr="00483CBD">
        <w:tc>
          <w:tcPr>
            <w:tcW w:w="445" w:type="dxa"/>
            <w:tcBorders>
              <w:top w:val="nil"/>
              <w:left w:val="single" w:sz="4" w:space="0" w:color="auto"/>
              <w:bottom w:val="single" w:sz="4" w:space="0" w:color="auto"/>
              <w:right w:val="nil"/>
            </w:tcBorders>
            <w:shd w:val="clear" w:color="000000" w:fill="CCFFFF"/>
            <w:noWrap/>
            <w:vAlign w:val="center"/>
            <w:hideMark/>
          </w:tcPr>
          <w:p w:rsidR="00035B75" w:rsidRPr="00B072A8" w:rsidRDefault="00035B75" w:rsidP="00FC4F64">
            <w:pPr>
              <w:spacing w:before="120" w:after="120"/>
              <w:rPr>
                <w:rFonts w:cs="Arial"/>
                <w:b/>
                <w:bCs/>
                <w:color w:val="000000"/>
                <w:sz w:val="16"/>
                <w:szCs w:val="16"/>
              </w:rPr>
            </w:pPr>
            <w:r w:rsidRPr="00B072A8">
              <w:rPr>
                <w:rFonts w:cs="Arial"/>
                <w:b/>
                <w:bCs/>
                <w:color w:val="000000"/>
                <w:sz w:val="16"/>
                <w:szCs w:val="16"/>
              </w:rPr>
              <w:t> </w:t>
            </w:r>
          </w:p>
        </w:tc>
        <w:tc>
          <w:tcPr>
            <w:tcW w:w="5174" w:type="dxa"/>
            <w:tcBorders>
              <w:top w:val="nil"/>
              <w:left w:val="nil"/>
              <w:bottom w:val="single" w:sz="4" w:space="0" w:color="auto"/>
              <w:right w:val="nil"/>
            </w:tcBorders>
            <w:shd w:val="clear" w:color="000000" w:fill="CCFFFF"/>
            <w:noWrap/>
            <w:vAlign w:val="center"/>
            <w:hideMark/>
          </w:tcPr>
          <w:p w:rsidR="00035B75" w:rsidRPr="00B072A8" w:rsidRDefault="00035B75" w:rsidP="00FC4F64">
            <w:pPr>
              <w:spacing w:before="120" w:after="120"/>
              <w:rPr>
                <w:rFonts w:cs="Arial"/>
                <w:b/>
                <w:bCs/>
                <w:color w:val="000000"/>
                <w:sz w:val="16"/>
                <w:szCs w:val="16"/>
              </w:rPr>
            </w:pPr>
            <w:r w:rsidRPr="00B072A8">
              <w:rPr>
                <w:rFonts w:cs="Arial"/>
                <w:b/>
                <w:bCs/>
                <w:color w:val="000000"/>
                <w:sz w:val="16"/>
                <w:szCs w:val="16"/>
              </w:rPr>
              <w:t>Total</w:t>
            </w:r>
          </w:p>
        </w:tc>
        <w:tc>
          <w:tcPr>
            <w:tcW w:w="1275" w:type="dxa"/>
            <w:tcBorders>
              <w:top w:val="nil"/>
              <w:left w:val="single" w:sz="4" w:space="0" w:color="auto"/>
              <w:bottom w:val="single" w:sz="4" w:space="0" w:color="auto"/>
              <w:right w:val="single" w:sz="4" w:space="0" w:color="auto"/>
            </w:tcBorders>
            <w:shd w:val="clear" w:color="000000" w:fill="CCFFFF"/>
            <w:vAlign w:val="center"/>
            <w:hideMark/>
          </w:tcPr>
          <w:p w:rsidR="00035B75" w:rsidRPr="00B072A8" w:rsidRDefault="00035B75" w:rsidP="00FC4F64">
            <w:pPr>
              <w:spacing w:before="120" w:after="120"/>
              <w:jc w:val="right"/>
              <w:rPr>
                <w:rFonts w:cs="Arial"/>
                <w:b/>
                <w:bCs/>
                <w:color w:val="000000"/>
                <w:sz w:val="16"/>
                <w:szCs w:val="16"/>
              </w:rPr>
            </w:pPr>
            <w:r w:rsidRPr="00B072A8">
              <w:rPr>
                <w:rFonts w:cs="Arial"/>
                <w:b/>
                <w:bCs/>
                <w:color w:val="000000"/>
                <w:sz w:val="16"/>
                <w:szCs w:val="16"/>
              </w:rPr>
              <w:t>6,053</w:t>
            </w:r>
          </w:p>
        </w:tc>
        <w:tc>
          <w:tcPr>
            <w:tcW w:w="1276" w:type="dxa"/>
            <w:tcBorders>
              <w:top w:val="nil"/>
              <w:left w:val="nil"/>
              <w:bottom w:val="single" w:sz="4" w:space="0" w:color="auto"/>
              <w:right w:val="single" w:sz="4" w:space="0" w:color="auto"/>
            </w:tcBorders>
            <w:shd w:val="clear" w:color="000000" w:fill="CCFFFF"/>
            <w:noWrap/>
            <w:vAlign w:val="center"/>
            <w:hideMark/>
          </w:tcPr>
          <w:p w:rsidR="00035B75" w:rsidRPr="00B072A8" w:rsidRDefault="00035B75" w:rsidP="00FC4F64">
            <w:pPr>
              <w:spacing w:before="120" w:after="120"/>
              <w:jc w:val="right"/>
              <w:rPr>
                <w:rFonts w:cs="Arial"/>
                <w:b/>
                <w:bCs/>
                <w:color w:val="000000"/>
                <w:sz w:val="16"/>
                <w:szCs w:val="16"/>
              </w:rPr>
            </w:pPr>
            <w:r w:rsidRPr="00B072A8">
              <w:rPr>
                <w:rFonts w:cs="Arial"/>
                <w:b/>
                <w:bCs/>
                <w:color w:val="000000"/>
                <w:sz w:val="16"/>
                <w:szCs w:val="16"/>
              </w:rPr>
              <w:t>5,394</w:t>
            </w:r>
          </w:p>
        </w:tc>
        <w:tc>
          <w:tcPr>
            <w:tcW w:w="1276" w:type="dxa"/>
            <w:tcBorders>
              <w:top w:val="nil"/>
              <w:left w:val="nil"/>
              <w:bottom w:val="single" w:sz="4" w:space="0" w:color="auto"/>
              <w:right w:val="single" w:sz="4" w:space="0" w:color="auto"/>
            </w:tcBorders>
            <w:shd w:val="clear" w:color="000000" w:fill="CCFFFF"/>
            <w:vAlign w:val="center"/>
            <w:hideMark/>
          </w:tcPr>
          <w:p w:rsidR="00035B75" w:rsidRPr="00B072A8" w:rsidRDefault="00035B75" w:rsidP="00FC4F64">
            <w:pPr>
              <w:spacing w:before="120" w:after="120"/>
              <w:jc w:val="right"/>
              <w:rPr>
                <w:rFonts w:cs="Arial"/>
                <w:b/>
                <w:bCs/>
                <w:color w:val="000000"/>
                <w:sz w:val="16"/>
                <w:szCs w:val="16"/>
              </w:rPr>
            </w:pPr>
            <w:r w:rsidRPr="00B072A8">
              <w:rPr>
                <w:rFonts w:cs="Arial"/>
                <w:b/>
                <w:bCs/>
                <w:color w:val="000000"/>
                <w:sz w:val="16"/>
                <w:szCs w:val="16"/>
              </w:rPr>
              <w:t>5,311</w:t>
            </w:r>
          </w:p>
        </w:tc>
      </w:tr>
    </w:tbl>
    <w:p w:rsidR="00035B75" w:rsidRPr="0027745B" w:rsidRDefault="00035B75" w:rsidP="00035B75">
      <w:pPr>
        <w:rPr>
          <w:sz w:val="16"/>
          <w:szCs w:val="16"/>
        </w:rPr>
      </w:pPr>
    </w:p>
    <w:p w:rsidR="00035B75" w:rsidRPr="0027745B" w:rsidRDefault="00035B75" w:rsidP="00035B75">
      <w:pPr>
        <w:pStyle w:val="NormalWeb"/>
        <w:spacing w:before="0" w:beforeAutospacing="0" w:after="0" w:afterAutospacing="0"/>
        <w:jc w:val="center"/>
        <w:rPr>
          <w:color w:val="000000"/>
          <w:sz w:val="16"/>
          <w:szCs w:val="16"/>
        </w:rPr>
      </w:pPr>
    </w:p>
    <w:p w:rsidR="00035B75" w:rsidRPr="00B072A8" w:rsidRDefault="00035B75" w:rsidP="00035B75">
      <w:pPr>
        <w:pStyle w:val="NormalWeb"/>
        <w:spacing w:before="0" w:beforeAutospacing="0" w:after="0" w:afterAutospacing="0"/>
        <w:jc w:val="center"/>
        <w:rPr>
          <w:sz w:val="20"/>
          <w:szCs w:val="20"/>
        </w:rPr>
      </w:pPr>
      <w:r w:rsidRPr="00B072A8">
        <w:rPr>
          <w:color w:val="000000"/>
          <w:sz w:val="20"/>
          <w:szCs w:val="20"/>
        </w:rPr>
        <w:t xml:space="preserve">Budget and Actual Expenditure (personnel and non-personnel) </w:t>
      </w:r>
    </w:p>
    <w:p w:rsidR="00035B75" w:rsidRPr="00B072A8" w:rsidRDefault="00035B75" w:rsidP="00035B75">
      <w:pPr>
        <w:pStyle w:val="NormalWeb"/>
        <w:spacing w:before="0" w:beforeAutospacing="0" w:after="0" w:afterAutospacing="0"/>
        <w:jc w:val="center"/>
        <w:rPr>
          <w:sz w:val="20"/>
          <w:szCs w:val="20"/>
        </w:rPr>
      </w:pPr>
      <w:r w:rsidRPr="00B072A8">
        <w:rPr>
          <w:i/>
          <w:iCs/>
          <w:color w:val="000000"/>
          <w:sz w:val="20"/>
          <w:szCs w:val="20"/>
        </w:rPr>
        <w:t>(</w:t>
      </w:r>
      <w:proofErr w:type="gramStart"/>
      <w:r w:rsidRPr="00B072A8">
        <w:rPr>
          <w:i/>
          <w:iCs/>
          <w:color w:val="000000"/>
          <w:sz w:val="20"/>
          <w:szCs w:val="20"/>
        </w:rPr>
        <w:t>in</w:t>
      </w:r>
      <w:proofErr w:type="gramEnd"/>
      <w:r w:rsidRPr="00B072A8">
        <w:rPr>
          <w:i/>
          <w:iCs/>
          <w:color w:val="000000"/>
          <w:sz w:val="20"/>
          <w:szCs w:val="20"/>
        </w:rPr>
        <w:t xml:space="preserve"> thousands of Swiss francs)</w:t>
      </w:r>
    </w:p>
    <w:p w:rsidR="00035B75" w:rsidRPr="0027745B" w:rsidRDefault="00035B75" w:rsidP="00035B75">
      <w:pPr>
        <w:rPr>
          <w:sz w:val="16"/>
          <w:szCs w:val="16"/>
        </w:rPr>
      </w:pP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3"/>
        <w:gridCol w:w="1772"/>
        <w:gridCol w:w="1772"/>
        <w:gridCol w:w="1772"/>
        <w:gridCol w:w="1772"/>
      </w:tblGrid>
      <w:tr w:rsidR="00035B75" w:rsidRPr="002379D7" w:rsidTr="00877725">
        <w:trPr>
          <w:trHeight w:val="515"/>
        </w:trPr>
        <w:tc>
          <w:tcPr>
            <w:tcW w:w="2283" w:type="dxa"/>
            <w:shd w:val="clear" w:color="000000" w:fill="CCFFFF"/>
            <w:noWrap/>
            <w:vAlign w:val="center"/>
            <w:hideMark/>
          </w:tcPr>
          <w:p w:rsidR="00035B75" w:rsidRPr="002379D7" w:rsidRDefault="00035B75" w:rsidP="00FC4F64">
            <w:pPr>
              <w:spacing w:before="40" w:after="40"/>
              <w:rPr>
                <w:rFonts w:cs="Arial"/>
                <w:color w:val="000000"/>
                <w:sz w:val="16"/>
                <w:szCs w:val="16"/>
              </w:rPr>
            </w:pPr>
            <w:r w:rsidRPr="002379D7">
              <w:rPr>
                <w:rFonts w:cs="Arial"/>
                <w:color w:val="000000"/>
                <w:sz w:val="16"/>
                <w:szCs w:val="16"/>
              </w:rPr>
              <w:t> </w:t>
            </w:r>
          </w:p>
        </w:tc>
        <w:tc>
          <w:tcPr>
            <w:tcW w:w="1772" w:type="dxa"/>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Approved Budget 2012/13</w:t>
            </w:r>
          </w:p>
        </w:tc>
        <w:tc>
          <w:tcPr>
            <w:tcW w:w="1772" w:type="dxa"/>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Budget after transfers 2012/13</w:t>
            </w:r>
          </w:p>
        </w:tc>
        <w:tc>
          <w:tcPr>
            <w:tcW w:w="1772" w:type="dxa"/>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Expenditures 2012/13</w:t>
            </w:r>
          </w:p>
        </w:tc>
        <w:tc>
          <w:tcPr>
            <w:tcW w:w="1772" w:type="dxa"/>
            <w:shd w:val="clear" w:color="000000" w:fill="CCFFFF"/>
            <w:vAlign w:val="center"/>
            <w:hideMark/>
          </w:tcPr>
          <w:p w:rsidR="00035B75" w:rsidRPr="0027745B" w:rsidRDefault="00035B75" w:rsidP="00FC4F64">
            <w:pPr>
              <w:spacing w:before="40" w:after="40"/>
              <w:jc w:val="center"/>
              <w:rPr>
                <w:rFonts w:cs="Arial"/>
                <w:bCs/>
                <w:color w:val="000000"/>
                <w:sz w:val="16"/>
                <w:szCs w:val="16"/>
              </w:rPr>
            </w:pPr>
            <w:r w:rsidRPr="0027745B">
              <w:rPr>
                <w:rFonts w:cs="Arial"/>
                <w:bCs/>
                <w:color w:val="000000"/>
                <w:sz w:val="16"/>
                <w:szCs w:val="16"/>
              </w:rPr>
              <w:t>Utilization rate (%)</w:t>
            </w:r>
          </w:p>
        </w:tc>
      </w:tr>
      <w:tr w:rsidR="00035B75" w:rsidRPr="00B072A8" w:rsidTr="00877725">
        <w:trPr>
          <w:trHeight w:val="419"/>
        </w:trPr>
        <w:tc>
          <w:tcPr>
            <w:tcW w:w="2283" w:type="dxa"/>
            <w:shd w:val="clear" w:color="auto" w:fill="auto"/>
            <w:noWrap/>
            <w:vAlign w:val="center"/>
            <w:hideMark/>
          </w:tcPr>
          <w:p w:rsidR="00035B75" w:rsidRPr="00B072A8" w:rsidRDefault="00035B75" w:rsidP="00FC4F64">
            <w:pPr>
              <w:spacing w:before="40" w:after="40"/>
              <w:rPr>
                <w:rFonts w:cs="Arial"/>
                <w:color w:val="000000"/>
                <w:sz w:val="16"/>
                <w:szCs w:val="16"/>
              </w:rPr>
            </w:pPr>
            <w:r w:rsidRPr="00B072A8">
              <w:rPr>
                <w:rFonts w:cs="Arial"/>
                <w:color w:val="000000"/>
                <w:sz w:val="16"/>
                <w:szCs w:val="16"/>
              </w:rPr>
              <w:t xml:space="preserve">Personnel Resources  </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3,934</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3,995</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3,995</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100%</w:t>
            </w:r>
          </w:p>
        </w:tc>
      </w:tr>
      <w:tr w:rsidR="00035B75" w:rsidRPr="00B072A8" w:rsidTr="00877725">
        <w:trPr>
          <w:trHeight w:val="547"/>
        </w:trPr>
        <w:tc>
          <w:tcPr>
            <w:tcW w:w="2283" w:type="dxa"/>
            <w:shd w:val="clear" w:color="auto" w:fill="auto"/>
            <w:noWrap/>
            <w:vAlign w:val="center"/>
            <w:hideMark/>
          </w:tcPr>
          <w:p w:rsidR="00035B75" w:rsidRPr="00B072A8" w:rsidRDefault="00035B75" w:rsidP="00FC4F64">
            <w:pPr>
              <w:spacing w:before="40" w:after="40"/>
              <w:rPr>
                <w:rFonts w:cs="Arial"/>
                <w:color w:val="000000"/>
                <w:sz w:val="16"/>
                <w:szCs w:val="16"/>
              </w:rPr>
            </w:pPr>
            <w:r w:rsidRPr="00B072A8">
              <w:rPr>
                <w:rFonts w:cs="Arial"/>
                <w:color w:val="000000"/>
                <w:sz w:val="16"/>
                <w:szCs w:val="16"/>
              </w:rPr>
              <w:t xml:space="preserve">Non-personnel Resources </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2,119</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1,399</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1,316</w:t>
            </w:r>
          </w:p>
        </w:tc>
        <w:tc>
          <w:tcPr>
            <w:tcW w:w="1772" w:type="dxa"/>
            <w:shd w:val="clear" w:color="auto" w:fill="auto"/>
            <w:vAlign w:val="center"/>
            <w:hideMark/>
          </w:tcPr>
          <w:p w:rsidR="00035B75" w:rsidRPr="00B072A8" w:rsidRDefault="00035B75" w:rsidP="00FC4F64">
            <w:pPr>
              <w:spacing w:before="40" w:after="40"/>
              <w:jc w:val="center"/>
              <w:rPr>
                <w:rFonts w:cs="Arial"/>
                <w:color w:val="000000"/>
                <w:sz w:val="16"/>
                <w:szCs w:val="16"/>
              </w:rPr>
            </w:pPr>
            <w:r w:rsidRPr="00B072A8">
              <w:rPr>
                <w:rFonts w:cs="Arial"/>
                <w:color w:val="000000"/>
                <w:sz w:val="16"/>
                <w:szCs w:val="16"/>
              </w:rPr>
              <w:t>94%</w:t>
            </w:r>
          </w:p>
        </w:tc>
      </w:tr>
      <w:tr w:rsidR="00035B75" w:rsidRPr="00B072A8" w:rsidTr="00877725">
        <w:trPr>
          <w:trHeight w:val="432"/>
        </w:trPr>
        <w:tc>
          <w:tcPr>
            <w:tcW w:w="2283" w:type="dxa"/>
            <w:shd w:val="clear" w:color="auto" w:fill="auto"/>
            <w:noWrap/>
            <w:vAlign w:val="center"/>
            <w:hideMark/>
          </w:tcPr>
          <w:p w:rsidR="00035B75" w:rsidRPr="00B072A8" w:rsidRDefault="00035B75" w:rsidP="00FC4F64">
            <w:pPr>
              <w:spacing w:before="40" w:after="40"/>
              <w:jc w:val="right"/>
              <w:rPr>
                <w:rFonts w:cs="Arial"/>
                <w:b/>
                <w:bCs/>
                <w:color w:val="000000"/>
                <w:sz w:val="16"/>
                <w:szCs w:val="16"/>
              </w:rPr>
            </w:pPr>
            <w:r w:rsidRPr="00B072A8">
              <w:rPr>
                <w:rFonts w:cs="Arial"/>
                <w:b/>
                <w:bCs/>
                <w:color w:val="000000"/>
                <w:sz w:val="16"/>
                <w:szCs w:val="16"/>
              </w:rPr>
              <w:t>TOTAL</w:t>
            </w:r>
          </w:p>
        </w:tc>
        <w:tc>
          <w:tcPr>
            <w:tcW w:w="1772" w:type="dxa"/>
            <w:shd w:val="clear" w:color="auto" w:fill="auto"/>
            <w:vAlign w:val="center"/>
            <w:hideMark/>
          </w:tcPr>
          <w:p w:rsidR="00035B75" w:rsidRPr="00B072A8" w:rsidRDefault="00035B75" w:rsidP="00FC4F64">
            <w:pPr>
              <w:spacing w:before="40" w:after="40"/>
              <w:jc w:val="center"/>
              <w:rPr>
                <w:rFonts w:cs="Arial"/>
                <w:b/>
                <w:bCs/>
                <w:color w:val="000000"/>
                <w:sz w:val="16"/>
                <w:szCs w:val="16"/>
              </w:rPr>
            </w:pPr>
            <w:r w:rsidRPr="00B072A8">
              <w:rPr>
                <w:rFonts w:cs="Arial"/>
                <w:b/>
                <w:bCs/>
                <w:color w:val="000000"/>
                <w:sz w:val="16"/>
                <w:szCs w:val="16"/>
              </w:rPr>
              <w:t>6,053</w:t>
            </w:r>
          </w:p>
        </w:tc>
        <w:tc>
          <w:tcPr>
            <w:tcW w:w="1772" w:type="dxa"/>
            <w:shd w:val="clear" w:color="auto" w:fill="auto"/>
            <w:vAlign w:val="center"/>
            <w:hideMark/>
          </w:tcPr>
          <w:p w:rsidR="00035B75" w:rsidRPr="00B072A8" w:rsidRDefault="00035B75" w:rsidP="00FC4F64">
            <w:pPr>
              <w:spacing w:before="40" w:after="40"/>
              <w:jc w:val="center"/>
              <w:rPr>
                <w:rFonts w:cs="Arial"/>
                <w:b/>
                <w:bCs/>
                <w:color w:val="000000"/>
                <w:sz w:val="16"/>
                <w:szCs w:val="16"/>
              </w:rPr>
            </w:pPr>
            <w:r w:rsidRPr="00B072A8">
              <w:rPr>
                <w:rFonts w:cs="Arial"/>
                <w:b/>
                <w:bCs/>
                <w:color w:val="000000"/>
                <w:sz w:val="16"/>
                <w:szCs w:val="16"/>
              </w:rPr>
              <w:t>5,394</w:t>
            </w:r>
          </w:p>
        </w:tc>
        <w:tc>
          <w:tcPr>
            <w:tcW w:w="1772" w:type="dxa"/>
            <w:shd w:val="clear" w:color="auto" w:fill="auto"/>
            <w:vAlign w:val="center"/>
            <w:hideMark/>
          </w:tcPr>
          <w:p w:rsidR="00035B75" w:rsidRPr="00B072A8" w:rsidRDefault="00035B75" w:rsidP="00FC4F64">
            <w:pPr>
              <w:spacing w:before="40" w:after="40"/>
              <w:jc w:val="center"/>
              <w:rPr>
                <w:rFonts w:cs="Arial"/>
                <w:b/>
                <w:bCs/>
                <w:color w:val="000000"/>
                <w:sz w:val="16"/>
                <w:szCs w:val="16"/>
              </w:rPr>
            </w:pPr>
            <w:r w:rsidRPr="00B072A8">
              <w:rPr>
                <w:rFonts w:cs="Arial"/>
                <w:b/>
                <w:bCs/>
                <w:color w:val="000000"/>
                <w:sz w:val="16"/>
                <w:szCs w:val="16"/>
              </w:rPr>
              <w:t>5,311</w:t>
            </w:r>
          </w:p>
        </w:tc>
        <w:tc>
          <w:tcPr>
            <w:tcW w:w="1772" w:type="dxa"/>
            <w:shd w:val="clear" w:color="auto" w:fill="auto"/>
            <w:vAlign w:val="center"/>
            <w:hideMark/>
          </w:tcPr>
          <w:p w:rsidR="00035B75" w:rsidRPr="00B072A8" w:rsidRDefault="00035B75" w:rsidP="00FC4F64">
            <w:pPr>
              <w:spacing w:before="40" w:after="40"/>
              <w:jc w:val="center"/>
              <w:rPr>
                <w:rFonts w:cs="Arial"/>
                <w:b/>
                <w:bCs/>
                <w:color w:val="000000"/>
                <w:sz w:val="16"/>
                <w:szCs w:val="16"/>
              </w:rPr>
            </w:pPr>
            <w:r w:rsidRPr="00B072A8">
              <w:rPr>
                <w:rFonts w:cs="Arial"/>
                <w:b/>
                <w:bCs/>
                <w:color w:val="000000"/>
                <w:sz w:val="16"/>
                <w:szCs w:val="16"/>
              </w:rPr>
              <w:t>98%</w:t>
            </w:r>
          </w:p>
        </w:tc>
      </w:tr>
    </w:tbl>
    <w:p w:rsidR="00035B75" w:rsidRDefault="00035B75" w:rsidP="00035B75"/>
    <w:p w:rsidR="00035B75" w:rsidRDefault="00035B75" w:rsidP="00035B75">
      <w:pPr>
        <w:keepNext/>
        <w:autoSpaceDE w:val="0"/>
        <w:autoSpaceDN w:val="0"/>
        <w:rPr>
          <w:sz w:val="16"/>
          <w:szCs w:val="16"/>
        </w:rPr>
      </w:pPr>
      <w:r>
        <w:rPr>
          <w:sz w:val="16"/>
          <w:szCs w:val="16"/>
        </w:rPr>
        <w:t>NOTES:</w:t>
      </w:r>
    </w:p>
    <w:p w:rsidR="00877725" w:rsidRDefault="00877725" w:rsidP="00035B75">
      <w:pPr>
        <w:keepNext/>
        <w:autoSpaceDE w:val="0"/>
        <w:autoSpaceDN w:val="0"/>
        <w:rPr>
          <w:sz w:val="16"/>
          <w:szCs w:val="16"/>
        </w:rPr>
      </w:pPr>
    </w:p>
    <w:p w:rsidR="00035B75" w:rsidRDefault="00035B75" w:rsidP="00035B75">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AB2445" w:rsidRDefault="00AB2445" w:rsidP="00035B75">
      <w:pPr>
        <w:keepNext/>
        <w:autoSpaceDE w:val="0"/>
        <w:autoSpaceDN w:val="0"/>
        <w:rPr>
          <w:sz w:val="16"/>
          <w:szCs w:val="16"/>
        </w:rPr>
      </w:pPr>
    </w:p>
    <w:p w:rsidR="00035B75" w:rsidRDefault="00DC2CFA" w:rsidP="00035B75">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035B75">
        <w:rPr>
          <w:sz w:val="16"/>
          <w:szCs w:val="16"/>
        </w:rPr>
        <w:t xml:space="preserve"> </w:t>
      </w:r>
    </w:p>
    <w:p w:rsidR="00035B75" w:rsidRPr="0027745B" w:rsidRDefault="00035B75" w:rsidP="00035B75">
      <w:pPr>
        <w:rPr>
          <w:sz w:val="16"/>
          <w:szCs w:val="16"/>
        </w:rPr>
      </w:pPr>
    </w:p>
    <w:p w:rsidR="00035B75" w:rsidRPr="0027745B" w:rsidRDefault="00035B75" w:rsidP="00035B75">
      <w:pPr>
        <w:rPr>
          <w:sz w:val="16"/>
          <w:szCs w:val="16"/>
        </w:rPr>
      </w:pPr>
    </w:p>
    <w:p w:rsidR="00035B75" w:rsidRPr="00BF58A4" w:rsidRDefault="00035B75" w:rsidP="00035B75">
      <w:pPr>
        <w:keepNext/>
        <w:keepLines/>
        <w:tabs>
          <w:tab w:val="left" w:pos="709"/>
        </w:tabs>
        <w:rPr>
          <w:u w:val="single"/>
        </w:rPr>
      </w:pPr>
      <w:r w:rsidRPr="00BF58A4">
        <w:t>A.</w:t>
      </w:r>
      <w:r w:rsidRPr="00BF58A4">
        <w:tab/>
      </w:r>
      <w:r w:rsidRPr="00BF58A4">
        <w:rPr>
          <w:u w:val="single"/>
        </w:rPr>
        <w:t>Budget after Transfers 2012/13</w:t>
      </w:r>
    </w:p>
    <w:p w:rsidR="00035B75" w:rsidRPr="00BF58A4" w:rsidRDefault="00035B75" w:rsidP="00035B75">
      <w:pPr>
        <w:keepNext/>
        <w:keepLines/>
        <w:autoSpaceDE w:val="0"/>
        <w:autoSpaceDN w:val="0"/>
        <w:adjustRightInd w:val="0"/>
        <w:jc w:val="both"/>
      </w:pPr>
    </w:p>
    <w:p w:rsidR="00035B75" w:rsidRPr="00775DAD" w:rsidRDefault="00035B75" w:rsidP="00035B75">
      <w:pPr>
        <w:pStyle w:val="ListParagraph"/>
        <w:tabs>
          <w:tab w:val="left" w:pos="709"/>
        </w:tabs>
        <w:ind w:left="0"/>
        <w:jc w:val="both"/>
        <w:rPr>
          <w:rFonts w:eastAsia="Batang"/>
          <w:lang w:eastAsia="ko-KR"/>
        </w:rPr>
      </w:pPr>
      <w:r>
        <w:rPr>
          <w:rFonts w:cs="Arial"/>
          <w:lang w:eastAsia="ko-KR"/>
        </w:rPr>
        <w:t>2.6.</w:t>
      </w:r>
      <w:r>
        <w:rPr>
          <w:rFonts w:cs="Arial"/>
          <w:lang w:eastAsia="ko-KR"/>
        </w:rPr>
        <w:tab/>
      </w:r>
      <w:r w:rsidRPr="00B072A8">
        <w:rPr>
          <w:rFonts w:cs="Arial"/>
          <w:lang w:eastAsia="ko-KR"/>
        </w:rPr>
        <w:t xml:space="preserve">The Budget after Transfer reflects a downward adjustment </w:t>
      </w:r>
      <w:r w:rsidRPr="00B072A8">
        <w:rPr>
          <w:rFonts w:eastAsia="Batang"/>
          <w:lang w:eastAsia="ko-KR"/>
        </w:rPr>
        <w:t xml:space="preserve">under Result I.1 (Development of balanced international normative frameworks for IP) </w:t>
      </w:r>
      <w:r w:rsidRPr="00775DAD">
        <w:rPr>
          <w:rFonts w:cs="Arial"/>
          <w:lang w:eastAsia="ko-KR"/>
        </w:rPr>
        <w:t xml:space="preserve">due to </w:t>
      </w:r>
      <w:r w:rsidRPr="00775DAD">
        <w:rPr>
          <w:rFonts w:eastAsia="Batang"/>
          <w:lang w:eastAsia="ko-KR"/>
        </w:rPr>
        <w:t>the transfer of resources initially budgeted for the possible Diplomatic Conference for the Adoption of a Design Law Treaty to Program 3 for the holding of the Diplomatic Conference on the Protection of Audiovisual Performances.</w:t>
      </w:r>
    </w:p>
    <w:p w:rsidR="00035B75" w:rsidRDefault="00035B75" w:rsidP="00035B75">
      <w:pPr>
        <w:jc w:val="both"/>
        <w:rPr>
          <w:rFonts w:eastAsia="Batang"/>
          <w:lang w:eastAsia="ko-KR"/>
        </w:rPr>
      </w:pPr>
    </w:p>
    <w:p w:rsidR="00035B75" w:rsidRPr="00775DAD" w:rsidRDefault="00035B75" w:rsidP="00035B75">
      <w:pPr>
        <w:pStyle w:val="ListParagraph"/>
        <w:tabs>
          <w:tab w:val="left" w:pos="709"/>
        </w:tabs>
        <w:ind w:left="0"/>
        <w:jc w:val="both"/>
        <w:rPr>
          <w:rFonts w:eastAsia="Batang"/>
          <w:lang w:eastAsia="ko-KR"/>
        </w:rPr>
      </w:pPr>
      <w:r>
        <w:rPr>
          <w:rFonts w:eastAsia="Batang"/>
          <w:lang w:eastAsia="ko-KR"/>
        </w:rPr>
        <w:t>2.7.</w:t>
      </w:r>
      <w:r>
        <w:rPr>
          <w:rFonts w:eastAsia="Batang"/>
          <w:lang w:eastAsia="ko-KR"/>
        </w:rPr>
        <w:tab/>
      </w:r>
      <w:r w:rsidRPr="00B072A8">
        <w:rPr>
          <w:rFonts w:eastAsia="Batang"/>
          <w:lang w:eastAsia="ko-KR"/>
        </w:rPr>
        <w:t>The increase in resources allocated to Result I.2 (Increased protection of State emblems) is primarily due to the assignment of additional per</w:t>
      </w:r>
      <w:r w:rsidRPr="00775DAD">
        <w:rPr>
          <w:rFonts w:eastAsia="Batang"/>
          <w:lang w:eastAsia="ko-KR"/>
        </w:rPr>
        <w:t>sonnel resources to this Result.</w:t>
      </w:r>
    </w:p>
    <w:p w:rsidR="00035B75" w:rsidRDefault="00035B75" w:rsidP="00035B75">
      <w:pPr>
        <w:jc w:val="both"/>
        <w:rPr>
          <w:rFonts w:eastAsia="Batang"/>
          <w:lang w:eastAsia="ko-KR"/>
        </w:rPr>
      </w:pPr>
    </w:p>
    <w:p w:rsidR="00035B75" w:rsidRPr="00BF58A4" w:rsidRDefault="00035B75" w:rsidP="00035B75">
      <w:pPr>
        <w:tabs>
          <w:tab w:val="left" w:pos="709"/>
        </w:tabs>
        <w:jc w:val="both"/>
        <w:rPr>
          <w:rFonts w:eastAsia="Batang"/>
          <w:u w:val="single"/>
          <w:lang w:eastAsia="ko-KR"/>
        </w:rPr>
      </w:pPr>
      <w:r w:rsidRPr="00BF58A4">
        <w:rPr>
          <w:rFonts w:eastAsia="Batang"/>
          <w:lang w:eastAsia="ko-KR"/>
        </w:rPr>
        <w:t>B</w:t>
      </w:r>
      <w:r>
        <w:rPr>
          <w:rFonts w:eastAsia="Batang"/>
          <w:lang w:eastAsia="ko-KR"/>
        </w:rPr>
        <w:t>.</w:t>
      </w:r>
      <w:r w:rsidRPr="00BF58A4">
        <w:rPr>
          <w:rFonts w:eastAsia="Batang"/>
          <w:lang w:eastAsia="ko-KR"/>
        </w:rPr>
        <w:tab/>
      </w:r>
      <w:r w:rsidR="00D44A34">
        <w:rPr>
          <w:rFonts w:eastAsia="Batang"/>
          <w:u w:val="single"/>
          <w:lang w:eastAsia="ko-KR"/>
        </w:rPr>
        <w:t>Budget U</w:t>
      </w:r>
      <w:r w:rsidRPr="00BF58A4">
        <w:rPr>
          <w:rFonts w:eastAsia="Batang"/>
          <w:u w:val="single"/>
          <w:lang w:eastAsia="ko-KR"/>
        </w:rPr>
        <w:t>tilization 2012</w:t>
      </w:r>
      <w:r>
        <w:rPr>
          <w:rFonts w:eastAsia="Batang"/>
          <w:u w:val="single"/>
          <w:lang w:eastAsia="ko-KR"/>
        </w:rPr>
        <w:t>/13</w:t>
      </w:r>
    </w:p>
    <w:p w:rsidR="00035B75" w:rsidRDefault="00035B75" w:rsidP="00035B75">
      <w:pPr>
        <w:jc w:val="both"/>
      </w:pPr>
    </w:p>
    <w:p w:rsidR="00035B75" w:rsidRDefault="00035B75" w:rsidP="00035B75">
      <w:pPr>
        <w:pStyle w:val="ListParagraph"/>
        <w:tabs>
          <w:tab w:val="left" w:pos="709"/>
        </w:tabs>
        <w:ind w:left="0"/>
        <w:jc w:val="both"/>
      </w:pPr>
      <w:r>
        <w:rPr>
          <w:rFonts w:eastAsia="Batang" w:cs="Arial"/>
          <w:lang w:eastAsia="ko-KR"/>
        </w:rPr>
        <w:t>2.8.</w:t>
      </w:r>
      <w:r>
        <w:rPr>
          <w:rFonts w:eastAsia="Batang" w:cs="Arial"/>
          <w:lang w:eastAsia="ko-KR"/>
        </w:rPr>
        <w:tab/>
      </w:r>
      <w:r w:rsidRPr="00B072A8">
        <w:rPr>
          <w:rFonts w:eastAsia="Batang" w:cs="Arial"/>
          <w:lang w:eastAsia="ko-KR"/>
        </w:rPr>
        <w:t>The non-personnel budget utilization rate for the Program amounted to 94 per cent of the Budget after Transfers.  The under</w:t>
      </w:r>
      <w:r w:rsidRPr="00775DAD">
        <w:rPr>
          <w:rFonts w:eastAsia="Batang" w:cs="Arial"/>
          <w:lang w:eastAsia="ko-KR"/>
        </w:rPr>
        <w:t xml:space="preserve">-utilization of non-personnel resources resulted primarily from cost savings due to a reduction in staff missions under </w:t>
      </w:r>
      <w:r>
        <w:t>Result I.4 (L</w:t>
      </w:r>
      <w:r w:rsidRPr="00E106DA">
        <w:t>egislative</w:t>
      </w:r>
      <w:r>
        <w:t xml:space="preserve"> advice).</w:t>
      </w:r>
    </w:p>
    <w:p w:rsidR="00035B75" w:rsidRDefault="00035B75" w:rsidP="00035B75">
      <w:pPr>
        <w:jc w:val="both"/>
      </w:pPr>
    </w:p>
    <w:p w:rsidR="00035B75" w:rsidRDefault="00035B75" w:rsidP="00035B75">
      <w:pPr>
        <w:pStyle w:val="ListParagraph"/>
        <w:tabs>
          <w:tab w:val="left" w:pos="709"/>
        </w:tabs>
        <w:ind w:left="0"/>
        <w:jc w:val="both"/>
      </w:pPr>
      <w:r>
        <w:t>2.9.</w:t>
      </w:r>
      <w:r>
        <w:tab/>
        <w:t xml:space="preserve">The increased expenditure as compared to the Budget after Transfer under </w:t>
      </w:r>
      <w:r w:rsidRPr="00B072A8">
        <w:rPr>
          <w:rFonts w:eastAsia="Batang"/>
          <w:lang w:eastAsia="ko-KR"/>
        </w:rPr>
        <w:t xml:space="preserve">Result I.1 (Development of balanced international normative frameworks for IP) </w:t>
      </w:r>
      <w:r>
        <w:t>was due to the holding of the following unforeseen events during the biennium:</w:t>
      </w:r>
    </w:p>
    <w:p w:rsidR="00035B75" w:rsidRDefault="00035B75" w:rsidP="00035B75">
      <w:pPr>
        <w:jc w:val="both"/>
      </w:pPr>
    </w:p>
    <w:p w:rsidR="00035B75" w:rsidRDefault="00035B75" w:rsidP="005703CF">
      <w:pPr>
        <w:pStyle w:val="ListParagraph"/>
        <w:numPr>
          <w:ilvl w:val="0"/>
          <w:numId w:val="4"/>
        </w:numPr>
        <w:ind w:left="714" w:hanging="357"/>
        <w:jc w:val="both"/>
      </w:pPr>
      <w:r>
        <w:t>two additional SCTs as a result of the postponement of a Diplomatic Conference;  and</w:t>
      </w:r>
    </w:p>
    <w:p w:rsidR="00035B75" w:rsidRPr="00877725" w:rsidRDefault="00035B75" w:rsidP="00877725">
      <w:pPr>
        <w:pStyle w:val="ListParagraph"/>
        <w:numPr>
          <w:ilvl w:val="0"/>
          <w:numId w:val="4"/>
        </w:numPr>
        <w:ind w:left="714" w:hanging="357"/>
        <w:jc w:val="both"/>
      </w:pPr>
      <w:proofErr w:type="gramStart"/>
      <w:r w:rsidRPr="00BD5453">
        <w:t>the</w:t>
      </w:r>
      <w:proofErr w:type="gramEnd"/>
      <w:r w:rsidRPr="00BD5453">
        <w:t xml:space="preserve"> Worldwide Symposium on Geographical Indications in Bangkok, Thailand, from March 27</w:t>
      </w:r>
      <w:r>
        <w:t xml:space="preserve"> to </w:t>
      </w:r>
      <w:r w:rsidRPr="00BD5453">
        <w:t>29</w:t>
      </w:r>
      <w:r>
        <w:t>.</w:t>
      </w:r>
      <w:r w:rsidRPr="00561F69">
        <w:rPr>
          <w:rFonts w:eastAsia="Batang"/>
          <w:lang w:eastAsia="ko-KR"/>
        </w:rPr>
        <w:t xml:space="preserve">  </w:t>
      </w:r>
      <w:r>
        <w:br w:type="page"/>
      </w:r>
    </w:p>
    <w:p w:rsidR="00035B75" w:rsidRPr="00982926" w:rsidRDefault="00305272" w:rsidP="00305272">
      <w:pPr>
        <w:pStyle w:val="Heading3"/>
      </w:pPr>
      <w:bookmarkStart w:id="20" w:name="_Toc393956044"/>
      <w:r>
        <w:lastRenderedPageBreak/>
        <w:t>Program</w:t>
      </w:r>
      <w:r w:rsidR="00035B75" w:rsidRPr="00982926">
        <w:t xml:space="preserve"> 3</w:t>
      </w:r>
      <w:r w:rsidR="00035B75" w:rsidRPr="00982926">
        <w:tab/>
      </w:r>
      <w:r w:rsidRPr="00982926">
        <w:t xml:space="preserve">Copyright </w:t>
      </w:r>
      <w:r>
        <w:t>a</w:t>
      </w:r>
      <w:r w:rsidRPr="00982926">
        <w:t>nd Related Rights</w:t>
      </w:r>
      <w:bookmarkEnd w:id="20"/>
    </w:p>
    <w:p w:rsidR="00035B75" w:rsidRPr="00901768" w:rsidRDefault="00035B75" w:rsidP="00035B75">
      <w:pPr>
        <w:tabs>
          <w:tab w:val="left" w:pos="2268"/>
        </w:tabs>
        <w:rPr>
          <w:rFonts w:cs="Arial"/>
          <w:sz w:val="22"/>
          <w:szCs w:val="22"/>
        </w:rPr>
      </w:pPr>
    </w:p>
    <w:p w:rsidR="00035B75" w:rsidRPr="00901768" w:rsidRDefault="00035B75" w:rsidP="00035B75">
      <w:pPr>
        <w:tabs>
          <w:tab w:val="left" w:pos="2268"/>
        </w:tabs>
        <w:rPr>
          <w:rFonts w:cs="Arial"/>
          <w:b/>
          <w:sz w:val="22"/>
          <w:szCs w:val="22"/>
        </w:rPr>
      </w:pPr>
      <w:r w:rsidRPr="00901768">
        <w:rPr>
          <w:rFonts w:cs="Arial"/>
          <w:b/>
          <w:sz w:val="22"/>
          <w:szCs w:val="22"/>
        </w:rPr>
        <w:t>Program Manager</w:t>
      </w:r>
      <w:r w:rsidRPr="00901768">
        <w:rPr>
          <w:rFonts w:cs="Arial"/>
          <w:b/>
          <w:sz w:val="22"/>
          <w:szCs w:val="22"/>
        </w:rPr>
        <w:tab/>
      </w:r>
      <w:r w:rsidRPr="00901768">
        <w:rPr>
          <w:rFonts w:cs="Arial"/>
          <w:b/>
          <w:sz w:val="22"/>
          <w:szCs w:val="22"/>
        </w:rPr>
        <w:tab/>
      </w:r>
      <w:r w:rsidRPr="00901768">
        <w:rPr>
          <w:rFonts w:cs="Arial"/>
          <w:b/>
          <w:bCs/>
          <w:sz w:val="22"/>
          <w:szCs w:val="22"/>
        </w:rPr>
        <w:t>Mr. T. Clarke</w:t>
      </w:r>
    </w:p>
    <w:p w:rsidR="00035B75" w:rsidRPr="00901768" w:rsidRDefault="00035B75" w:rsidP="00035B75">
      <w:pPr>
        <w:rPr>
          <w:rFonts w:cs="Arial"/>
          <w:sz w:val="22"/>
          <w:szCs w:val="22"/>
        </w:rPr>
      </w:pPr>
    </w:p>
    <w:p w:rsidR="00035B75" w:rsidRPr="00901768" w:rsidRDefault="00035B75" w:rsidP="00035B75">
      <w:pPr>
        <w:rPr>
          <w:rFonts w:cs="Arial"/>
          <w:bCs/>
          <w:sz w:val="22"/>
          <w:szCs w:val="22"/>
        </w:rPr>
      </w:pPr>
    </w:p>
    <w:p w:rsidR="00035B75" w:rsidRPr="00CD26D6" w:rsidRDefault="00035B75" w:rsidP="00035B75">
      <w:pPr>
        <w:rPr>
          <w:rFonts w:cs="Arial"/>
          <w:bCs/>
          <w:sz w:val="22"/>
          <w:szCs w:val="22"/>
        </w:rPr>
      </w:pPr>
      <w:r w:rsidRPr="00CD26D6">
        <w:rPr>
          <w:rFonts w:cs="Arial"/>
          <w:bCs/>
          <w:sz w:val="22"/>
          <w:szCs w:val="22"/>
        </w:rPr>
        <w:t>ACHIEVEMENTS IN THE 2012/13 BIENNIUM</w:t>
      </w:r>
    </w:p>
    <w:p w:rsidR="00035B75" w:rsidRPr="0027745B" w:rsidRDefault="00035B75" w:rsidP="00035B75">
      <w:pPr>
        <w:rPr>
          <w:rFonts w:cs="Arial"/>
          <w:szCs w:val="20"/>
        </w:rPr>
      </w:pPr>
    </w:p>
    <w:p w:rsidR="00035B75" w:rsidRPr="0027745B" w:rsidRDefault="00035B75" w:rsidP="00035B75">
      <w:pPr>
        <w:tabs>
          <w:tab w:val="left" w:pos="709"/>
        </w:tabs>
        <w:jc w:val="both"/>
        <w:rPr>
          <w:rFonts w:cs="Arial"/>
          <w:szCs w:val="20"/>
        </w:rPr>
      </w:pPr>
      <w:r>
        <w:rPr>
          <w:rFonts w:eastAsia="SimSun" w:cs="Arial"/>
          <w:bCs/>
          <w:szCs w:val="20"/>
          <w:lang w:eastAsia="zh-CN"/>
        </w:rPr>
        <w:t>3.1.</w:t>
      </w:r>
      <w:r>
        <w:rPr>
          <w:rFonts w:eastAsia="SimSun" w:cs="Arial"/>
          <w:bCs/>
          <w:szCs w:val="20"/>
          <w:lang w:eastAsia="zh-CN"/>
        </w:rPr>
        <w:tab/>
      </w:r>
      <w:r w:rsidRPr="0027745B">
        <w:rPr>
          <w:rFonts w:eastAsia="SimSun" w:cs="Arial"/>
          <w:bCs/>
          <w:szCs w:val="20"/>
          <w:lang w:eastAsia="zh-CN"/>
        </w:rPr>
        <w:t>The work of this Program</w:t>
      </w:r>
      <w:r w:rsidRPr="0027745B">
        <w:rPr>
          <w:rFonts w:eastAsia="SimSun" w:cs="Arial"/>
          <w:b/>
          <w:bCs/>
          <w:szCs w:val="20"/>
          <w:lang w:eastAsia="zh-CN"/>
        </w:rPr>
        <w:t xml:space="preserve"> </w:t>
      </w:r>
      <w:r w:rsidRPr="0027745B">
        <w:rPr>
          <w:rFonts w:eastAsia="SimSun" w:cs="Arial"/>
          <w:bCs/>
          <w:szCs w:val="20"/>
          <w:lang w:eastAsia="zh-CN"/>
        </w:rPr>
        <w:t xml:space="preserve">in 2012/13 focused on achieving the Expected Results in three broad areas: </w:t>
      </w:r>
      <w:r w:rsidR="00877725">
        <w:rPr>
          <w:rFonts w:eastAsia="SimSun" w:cs="Arial"/>
          <w:bCs/>
          <w:szCs w:val="20"/>
          <w:lang w:eastAsia="zh-CN"/>
        </w:rPr>
        <w:t xml:space="preserve"> </w:t>
      </w:r>
      <w:r w:rsidRPr="0027745B">
        <w:rPr>
          <w:rFonts w:eastAsia="SimSun" w:cs="Arial"/>
          <w:bCs/>
          <w:szCs w:val="20"/>
          <w:lang w:eastAsia="zh-CN"/>
        </w:rPr>
        <w:t xml:space="preserve">advancing the normative work in the </w:t>
      </w:r>
      <w:r w:rsidRPr="0027745B">
        <w:rPr>
          <w:rFonts w:eastAsia="SimSun" w:cs="Arial"/>
          <w:szCs w:val="20"/>
          <w:lang w:eastAsia="zh-CN"/>
        </w:rPr>
        <w:t>Standing Committee on Copyright and Related Rights (</w:t>
      </w:r>
      <w:r w:rsidRPr="0027745B">
        <w:rPr>
          <w:rFonts w:eastAsia="SimSun" w:cs="Arial"/>
          <w:bCs/>
          <w:szCs w:val="20"/>
          <w:lang w:eastAsia="zh-CN"/>
        </w:rPr>
        <w:t xml:space="preserve">SCCR), strengthening the development of copyright infrastructure, as well as enhancing the institutional and human capacity in developing countries and LDCs, with a view to using the copyright system to exploit the economic potential in their culture. </w:t>
      </w:r>
      <w:r w:rsidR="00877725">
        <w:rPr>
          <w:rFonts w:eastAsia="SimSun" w:cs="Arial"/>
          <w:bCs/>
          <w:szCs w:val="20"/>
          <w:lang w:eastAsia="zh-CN"/>
        </w:rPr>
        <w:t xml:space="preserve"> </w:t>
      </w:r>
      <w:r w:rsidRPr="0027745B">
        <w:rPr>
          <w:rFonts w:eastAsia="SimSun" w:cs="Arial"/>
          <w:bCs/>
          <w:szCs w:val="20"/>
          <w:lang w:eastAsia="zh-CN"/>
        </w:rPr>
        <w:t>Significant progress has been made in each of these areas, as demonstrated by the performance indicators discussed below.</w:t>
      </w:r>
    </w:p>
    <w:p w:rsidR="00035B75" w:rsidRPr="0027745B" w:rsidRDefault="00035B75" w:rsidP="00035B75">
      <w:pPr>
        <w:jc w:val="both"/>
        <w:rPr>
          <w:rFonts w:cs="Arial"/>
          <w:szCs w:val="20"/>
        </w:rPr>
      </w:pPr>
    </w:p>
    <w:p w:rsidR="00035B75" w:rsidRPr="0027745B" w:rsidRDefault="00035B75" w:rsidP="00035B75">
      <w:pPr>
        <w:keepNext/>
        <w:keepLines/>
        <w:jc w:val="both"/>
        <w:rPr>
          <w:rFonts w:eastAsia="SimSun" w:cs="Arial"/>
          <w:bCs/>
          <w:szCs w:val="20"/>
          <w:u w:val="single"/>
          <w:lang w:eastAsia="zh-CN"/>
        </w:rPr>
      </w:pPr>
      <w:r w:rsidRPr="0027745B">
        <w:rPr>
          <w:rFonts w:eastAsia="SimSun" w:cs="Arial"/>
          <w:bCs/>
          <w:szCs w:val="20"/>
          <w:u w:val="single"/>
          <w:lang w:eastAsia="zh-CN"/>
        </w:rPr>
        <w:t xml:space="preserve">Normative and </w:t>
      </w:r>
      <w:r w:rsidR="00877725">
        <w:rPr>
          <w:rFonts w:eastAsia="SimSun" w:cs="Arial"/>
          <w:bCs/>
          <w:szCs w:val="20"/>
          <w:u w:val="single"/>
          <w:lang w:eastAsia="zh-CN"/>
        </w:rPr>
        <w:t>P</w:t>
      </w:r>
      <w:r w:rsidRPr="0027745B">
        <w:rPr>
          <w:rFonts w:eastAsia="SimSun" w:cs="Arial"/>
          <w:bCs/>
          <w:szCs w:val="20"/>
          <w:u w:val="single"/>
          <w:lang w:eastAsia="zh-CN"/>
        </w:rPr>
        <w:t xml:space="preserve">olicy </w:t>
      </w:r>
      <w:r w:rsidR="00877725">
        <w:rPr>
          <w:rFonts w:eastAsia="SimSun" w:cs="Arial"/>
          <w:bCs/>
          <w:szCs w:val="20"/>
          <w:u w:val="single"/>
          <w:lang w:eastAsia="zh-CN"/>
        </w:rPr>
        <w:t>R</w:t>
      </w:r>
      <w:r w:rsidRPr="0027745B">
        <w:rPr>
          <w:rFonts w:eastAsia="SimSun" w:cs="Arial"/>
          <w:bCs/>
          <w:szCs w:val="20"/>
          <w:u w:val="single"/>
          <w:lang w:eastAsia="zh-CN"/>
        </w:rPr>
        <w:t xml:space="preserve">elated </w:t>
      </w:r>
      <w:r w:rsidR="00877725">
        <w:rPr>
          <w:rFonts w:eastAsia="SimSun" w:cs="Arial"/>
          <w:bCs/>
          <w:szCs w:val="20"/>
          <w:u w:val="single"/>
          <w:lang w:eastAsia="zh-CN"/>
        </w:rPr>
        <w:t>W</w:t>
      </w:r>
      <w:r w:rsidRPr="0027745B">
        <w:rPr>
          <w:rFonts w:eastAsia="SimSun" w:cs="Arial"/>
          <w:bCs/>
          <w:szCs w:val="20"/>
          <w:u w:val="single"/>
          <w:lang w:eastAsia="zh-CN"/>
        </w:rPr>
        <w:t>ork</w:t>
      </w:r>
    </w:p>
    <w:p w:rsidR="00035B75" w:rsidRPr="002F7D53" w:rsidRDefault="00035B75" w:rsidP="00035B75">
      <w:pPr>
        <w:keepNext/>
        <w:keepLines/>
        <w:jc w:val="both"/>
        <w:rPr>
          <w:rFonts w:eastAsia="SimSun" w:cs="Arial"/>
          <w:bCs/>
          <w:sz w:val="16"/>
          <w:szCs w:val="16"/>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bCs/>
          <w:szCs w:val="20"/>
          <w:lang w:eastAsia="zh-CN"/>
        </w:rPr>
        <w:t>3.2.</w:t>
      </w:r>
      <w:r>
        <w:rPr>
          <w:rFonts w:eastAsia="SimSun" w:cs="Arial"/>
          <w:bCs/>
          <w:szCs w:val="20"/>
          <w:lang w:eastAsia="zh-CN"/>
        </w:rPr>
        <w:tab/>
      </w:r>
      <w:r w:rsidRPr="0027745B">
        <w:rPr>
          <w:rFonts w:eastAsia="SimSun" w:cs="Arial"/>
          <w:bCs/>
          <w:szCs w:val="20"/>
          <w:lang w:eastAsia="zh-CN"/>
        </w:rPr>
        <w:t xml:space="preserve">The </w:t>
      </w:r>
      <w:r w:rsidRPr="0027745B">
        <w:rPr>
          <w:rFonts w:eastAsia="SimSun" w:cs="Arial"/>
          <w:szCs w:val="20"/>
          <w:lang w:eastAsia="zh-CN"/>
        </w:rPr>
        <w:t xml:space="preserve">most notable normative achievement in the biennium was the adoption of text for two new copyright treaties:  the Beijing Treaty on Audiovisual Performances (Beijing Treaty) and the Marrakesh Treaty to Facilitate Access to Published Works for Persons Who Are Blind, Visually Impaired or Otherwise Print Disabled (Marrakesh VIP Treaty). </w:t>
      </w:r>
      <w:r w:rsidR="00877725">
        <w:rPr>
          <w:rFonts w:eastAsia="SimSun" w:cs="Arial"/>
          <w:szCs w:val="20"/>
          <w:lang w:eastAsia="zh-CN"/>
        </w:rPr>
        <w:t xml:space="preserve"> </w:t>
      </w:r>
      <w:r w:rsidRPr="0027745B">
        <w:rPr>
          <w:rFonts w:eastAsia="SimSun" w:cs="Arial"/>
          <w:szCs w:val="20"/>
          <w:lang w:eastAsia="zh-CN"/>
        </w:rPr>
        <w:t>The Diplomatic Conference for the Beijing Treaty was convened in Beijing, China, from June 20 to 26, 2012, and the Diplomatic Conference for the Marrakesh VIP Treaty was held in Marrakesh, Morocco, from June 17 to 28, 2013.</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3.3.</w:t>
      </w:r>
      <w:r>
        <w:rPr>
          <w:rFonts w:eastAsia="SimSun" w:cs="Arial"/>
          <w:szCs w:val="20"/>
          <w:lang w:eastAsia="zh-CN"/>
        </w:rPr>
        <w:tab/>
      </w:r>
      <w:r w:rsidRPr="0027745B">
        <w:rPr>
          <w:rFonts w:eastAsia="SimSun" w:cs="Arial"/>
          <w:szCs w:val="20"/>
          <w:lang w:eastAsia="zh-CN"/>
        </w:rPr>
        <w:t>Further progress was made on the other items on the agenda of the SCCR during the three meetings held in July 2012, November 2012, and December 2013. </w:t>
      </w:r>
      <w:r w:rsidR="00877725">
        <w:rPr>
          <w:rFonts w:eastAsia="SimSun" w:cs="Arial"/>
          <w:szCs w:val="20"/>
          <w:lang w:eastAsia="zh-CN"/>
        </w:rPr>
        <w:t xml:space="preserve"> </w:t>
      </w:r>
      <w:r w:rsidRPr="0027745B">
        <w:rPr>
          <w:rFonts w:eastAsia="SimSun" w:cs="Arial"/>
          <w:szCs w:val="20"/>
          <w:lang w:eastAsia="zh-CN"/>
        </w:rPr>
        <w:t xml:space="preserve">The SCCR also adopted and submitted to the 2012 General Assemblies an updated work plan to address another proposed treaty and possible instruments on several other limitations and exceptions topics: </w:t>
      </w:r>
      <w:r w:rsidR="00877725">
        <w:rPr>
          <w:rFonts w:eastAsia="SimSun" w:cs="Arial"/>
          <w:szCs w:val="20"/>
          <w:lang w:eastAsia="zh-CN"/>
        </w:rPr>
        <w:t xml:space="preserve"> </w:t>
      </w:r>
      <w:r w:rsidRPr="0027745B">
        <w:rPr>
          <w:rFonts w:eastAsia="SimSun" w:cs="Arial"/>
          <w:szCs w:val="20"/>
          <w:lang w:eastAsia="zh-CN"/>
        </w:rPr>
        <w:t>a treaty for broadcasting organizations and limitations and exceptions related to libraries and archives, educational and research institutions, and persons with other disabilities.  Work progressed on developing working texts on these issues during each session of the SCCR.</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3.4.</w:t>
      </w:r>
      <w:r>
        <w:rPr>
          <w:rFonts w:eastAsia="SimSun" w:cs="Arial"/>
          <w:szCs w:val="20"/>
          <w:lang w:eastAsia="zh-CN"/>
        </w:rPr>
        <w:tab/>
      </w:r>
      <w:r w:rsidRPr="0027745B">
        <w:rPr>
          <w:rFonts w:eastAsia="SimSun" w:cs="Arial"/>
          <w:szCs w:val="20"/>
          <w:lang w:eastAsia="zh-CN"/>
        </w:rPr>
        <w:t>Legislative advice on copyright and related rights issues was provided to twenty-four Member States based on their requests.  Requests for such advice were increasing, in part due to the interest of Member States in ratifying the Beijing Treaty and the Marrakesh VIP Treaty.</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3.5.</w:t>
      </w:r>
      <w:r>
        <w:rPr>
          <w:rFonts w:eastAsia="SimSun" w:cs="Arial"/>
          <w:szCs w:val="20"/>
          <w:lang w:eastAsia="zh-CN"/>
        </w:rPr>
        <w:tab/>
      </w:r>
      <w:r w:rsidRPr="0027745B">
        <w:rPr>
          <w:rFonts w:eastAsia="SimSun" w:cs="Arial"/>
          <w:szCs w:val="20"/>
          <w:lang w:eastAsia="zh-CN"/>
        </w:rPr>
        <w:t xml:space="preserve">Moreover, good progress was also made on a variety of projects aimed at enhancing WIPO’s role in copyright in the digital environment.  The Program conducted two studies in an attempt to find commonalities in the way that responsibility of internet intermediaries is addressed in different jurisdictions.  A modified Creative Commons license, aimed at enabling a more flexible approach to licensing the materials of intergovernmental organizations, was agreed by the participating multilateral agencies, while the work on audio-visual contracts was completed.  A study on the treatment of videogames within various copyright law systems was also released. </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cs="Arial"/>
          <w:szCs w:val="20"/>
          <w:u w:val="single"/>
        </w:rPr>
      </w:pPr>
      <w:r w:rsidRPr="0027745B">
        <w:rPr>
          <w:rFonts w:cs="Arial"/>
          <w:szCs w:val="20"/>
          <w:u w:val="single"/>
        </w:rPr>
        <w:t>Copyright Infrastructure</w:t>
      </w:r>
    </w:p>
    <w:p w:rsidR="00035B75" w:rsidRPr="002F7D53" w:rsidRDefault="00035B75" w:rsidP="00035B75">
      <w:pPr>
        <w:tabs>
          <w:tab w:val="left" w:pos="709"/>
        </w:tabs>
        <w:jc w:val="both"/>
        <w:rPr>
          <w:rFonts w:cs="Arial"/>
          <w:sz w:val="16"/>
          <w:szCs w:val="16"/>
        </w:rPr>
      </w:pPr>
    </w:p>
    <w:p w:rsidR="00035B75" w:rsidRPr="0027745B" w:rsidRDefault="00035B75" w:rsidP="00035B75">
      <w:pPr>
        <w:tabs>
          <w:tab w:val="left" w:pos="709"/>
        </w:tabs>
        <w:jc w:val="both"/>
        <w:rPr>
          <w:rFonts w:cs="Arial"/>
          <w:szCs w:val="20"/>
          <w:lang w:val="en-GB" w:eastAsia="fr-FR"/>
        </w:rPr>
      </w:pPr>
      <w:r>
        <w:rPr>
          <w:rFonts w:cs="Arial"/>
          <w:szCs w:val="20"/>
          <w:lang w:eastAsia="fr-FR"/>
        </w:rPr>
        <w:t>3.6.</w:t>
      </w:r>
      <w:r>
        <w:rPr>
          <w:rFonts w:cs="Arial"/>
          <w:szCs w:val="20"/>
          <w:lang w:eastAsia="fr-FR"/>
        </w:rPr>
        <w:tab/>
      </w:r>
      <w:r w:rsidRPr="0027745B">
        <w:rPr>
          <w:rFonts w:cs="Arial"/>
          <w:szCs w:val="20"/>
          <w:lang w:eastAsia="fr-FR"/>
        </w:rPr>
        <w:t xml:space="preserve">Significant </w:t>
      </w:r>
      <w:r w:rsidRPr="0027745B">
        <w:rPr>
          <w:rFonts w:cs="Arial"/>
          <w:szCs w:val="20"/>
          <w:lang w:val="en-GB" w:eastAsia="fr-FR"/>
        </w:rPr>
        <w:t xml:space="preserve">progress was made towards the development of a new, voluntary, international quality assurance standard for collective management organizations (CMOs). </w:t>
      </w:r>
      <w:r w:rsidR="00877725">
        <w:rPr>
          <w:rFonts w:cs="Arial"/>
          <w:szCs w:val="20"/>
          <w:lang w:val="en-GB" w:eastAsia="fr-FR"/>
        </w:rPr>
        <w:t xml:space="preserve"> </w:t>
      </w:r>
      <w:r w:rsidRPr="0027745B">
        <w:rPr>
          <w:rFonts w:cs="Arial"/>
          <w:szCs w:val="20"/>
          <w:lang w:val="en-GB" w:eastAsia="fr-FR"/>
        </w:rPr>
        <w:t xml:space="preserve">The standard will be known as the “TAG of Excellence” (i.e. excellence in transparency, accountability and governance). </w:t>
      </w:r>
      <w:r w:rsidR="00877725">
        <w:rPr>
          <w:rFonts w:cs="Arial"/>
          <w:szCs w:val="20"/>
          <w:lang w:val="en-GB" w:eastAsia="fr-FR"/>
        </w:rPr>
        <w:t xml:space="preserve"> </w:t>
      </w:r>
      <w:r w:rsidRPr="0027745B">
        <w:rPr>
          <w:rFonts w:cs="Arial"/>
          <w:szCs w:val="20"/>
          <w:lang w:val="en-GB" w:eastAsia="fr-FR"/>
        </w:rPr>
        <w:t xml:space="preserve">This work has already attracted considerable support. </w:t>
      </w:r>
      <w:r w:rsidR="00513DF5">
        <w:rPr>
          <w:rFonts w:cs="Arial"/>
          <w:szCs w:val="20"/>
          <w:lang w:val="en-GB" w:eastAsia="fr-FR"/>
        </w:rPr>
        <w:t xml:space="preserve"> </w:t>
      </w:r>
      <w:r w:rsidRPr="0027745B">
        <w:rPr>
          <w:rFonts w:cs="Arial"/>
          <w:szCs w:val="20"/>
          <w:lang w:val="en-GB" w:eastAsia="fr-FR"/>
        </w:rPr>
        <w:t>A Reference Group of key stakeholders was formed and met on several occasions to develop the principles on which TAG will be based.</w:t>
      </w:r>
    </w:p>
    <w:p w:rsidR="00035B75" w:rsidRPr="0027745B" w:rsidRDefault="00035B75" w:rsidP="00035B75">
      <w:pPr>
        <w:tabs>
          <w:tab w:val="left" w:pos="709"/>
        </w:tabs>
        <w:jc w:val="both"/>
        <w:rPr>
          <w:rFonts w:cs="Arial"/>
          <w:szCs w:val="20"/>
          <w:lang w:val="en-GB" w:eastAsia="fr-FR"/>
        </w:rPr>
      </w:pPr>
    </w:p>
    <w:p w:rsidR="00035B75" w:rsidRPr="0027745B" w:rsidRDefault="00035B75" w:rsidP="00035B75">
      <w:pPr>
        <w:tabs>
          <w:tab w:val="left" w:pos="709"/>
        </w:tabs>
        <w:jc w:val="both"/>
        <w:rPr>
          <w:rFonts w:cs="Arial"/>
          <w:szCs w:val="20"/>
          <w:lang w:val="en-GB" w:eastAsia="fr-FR"/>
        </w:rPr>
      </w:pPr>
      <w:r>
        <w:rPr>
          <w:rFonts w:cs="Arial"/>
          <w:szCs w:val="20"/>
          <w:lang w:val="en-GB" w:eastAsia="fr-FR"/>
        </w:rPr>
        <w:t>3.7.</w:t>
      </w:r>
      <w:r>
        <w:rPr>
          <w:rFonts w:cs="Arial"/>
          <w:szCs w:val="20"/>
          <w:lang w:val="en-GB" w:eastAsia="fr-FR"/>
        </w:rPr>
        <w:tab/>
      </w:r>
      <w:r w:rsidRPr="0027745B">
        <w:rPr>
          <w:rFonts w:cs="Arial"/>
          <w:szCs w:val="20"/>
          <w:lang w:val="en-GB" w:eastAsia="fr-FR"/>
        </w:rPr>
        <w:t xml:space="preserve">Progress was also made towards strengthening WIPO’s support for the data management systems of CMOs. </w:t>
      </w:r>
      <w:r w:rsidR="00877725">
        <w:rPr>
          <w:rFonts w:cs="Arial"/>
          <w:szCs w:val="20"/>
          <w:lang w:val="en-GB" w:eastAsia="fr-FR"/>
        </w:rPr>
        <w:t xml:space="preserve"> </w:t>
      </w:r>
      <w:r w:rsidRPr="0027745B">
        <w:rPr>
          <w:rFonts w:cs="Arial"/>
          <w:szCs w:val="20"/>
          <w:lang w:val="en-GB" w:eastAsia="fr-FR"/>
        </w:rPr>
        <w:t xml:space="preserve">An independent and confidential user survey conducted in 2013 revealed an average satisfaction rating of over 75 per cent for WIPOCOS (WIPO’s current data management system for CMOs). </w:t>
      </w:r>
      <w:r w:rsidR="00877725">
        <w:rPr>
          <w:rFonts w:cs="Arial"/>
          <w:szCs w:val="20"/>
          <w:lang w:val="en-GB" w:eastAsia="fr-FR"/>
        </w:rPr>
        <w:t xml:space="preserve"> </w:t>
      </w:r>
      <w:r w:rsidRPr="0027745B">
        <w:rPr>
          <w:rFonts w:cs="Arial"/>
          <w:szCs w:val="20"/>
          <w:lang w:val="en-GB" w:eastAsia="fr-FR"/>
        </w:rPr>
        <w:t xml:space="preserve">WIPO’s commitment is to maintain the current WIPOCOS while an enhanced system is being developed.  </w:t>
      </w:r>
    </w:p>
    <w:p w:rsidR="00035B75" w:rsidRPr="0027745B" w:rsidRDefault="00035B75" w:rsidP="00035B75">
      <w:pPr>
        <w:tabs>
          <w:tab w:val="left" w:pos="709"/>
        </w:tabs>
        <w:jc w:val="both"/>
        <w:rPr>
          <w:rFonts w:cs="Arial"/>
          <w:szCs w:val="20"/>
          <w:lang w:eastAsia="fr-FR"/>
        </w:rPr>
      </w:pPr>
    </w:p>
    <w:p w:rsidR="00035B75" w:rsidRPr="0027745B" w:rsidRDefault="00035B75" w:rsidP="00035B75">
      <w:pPr>
        <w:tabs>
          <w:tab w:val="left" w:pos="709"/>
        </w:tabs>
        <w:jc w:val="both"/>
        <w:rPr>
          <w:rFonts w:cs="Arial"/>
          <w:szCs w:val="20"/>
          <w:lang w:eastAsia="fr-FR"/>
        </w:rPr>
      </w:pPr>
      <w:r>
        <w:rPr>
          <w:rFonts w:cs="Arial"/>
          <w:szCs w:val="20"/>
          <w:lang w:eastAsia="fr-FR"/>
        </w:rPr>
        <w:t>3.8.</w:t>
      </w:r>
      <w:r>
        <w:rPr>
          <w:rFonts w:cs="Arial"/>
          <w:szCs w:val="20"/>
          <w:lang w:eastAsia="fr-FR"/>
        </w:rPr>
        <w:tab/>
      </w:r>
      <w:r w:rsidRPr="0027745B">
        <w:rPr>
          <w:rFonts w:cs="Arial"/>
          <w:szCs w:val="20"/>
          <w:lang w:val="en-GB" w:eastAsia="fr-FR"/>
        </w:rPr>
        <w:t>Other noteworthy projects aimed at improving the functioning of CMOs included the development of a pilot, interactive online collective management handbook containing key facts and figures on CMOs around the world;</w:t>
      </w:r>
      <w:r w:rsidRPr="0027745B">
        <w:rPr>
          <w:rFonts w:cs="Arial"/>
          <w:szCs w:val="20"/>
          <w:lang w:eastAsia="fr-FR"/>
        </w:rPr>
        <w:t xml:space="preserve"> </w:t>
      </w:r>
      <w:r w:rsidR="00877725">
        <w:rPr>
          <w:rFonts w:cs="Arial"/>
          <w:szCs w:val="20"/>
          <w:lang w:eastAsia="fr-FR"/>
        </w:rPr>
        <w:t xml:space="preserve"> </w:t>
      </w:r>
      <w:r w:rsidRPr="0027745B">
        <w:rPr>
          <w:rFonts w:cs="Arial"/>
          <w:szCs w:val="20"/>
          <w:lang w:eastAsia="fr-FR"/>
        </w:rPr>
        <w:t xml:space="preserve">an international survey of private copying remuneration systems; </w:t>
      </w:r>
      <w:r w:rsidR="00877725">
        <w:rPr>
          <w:rFonts w:cs="Arial"/>
          <w:szCs w:val="20"/>
          <w:lang w:eastAsia="fr-FR"/>
        </w:rPr>
        <w:t xml:space="preserve"> </w:t>
      </w:r>
      <w:r w:rsidRPr="0027745B">
        <w:rPr>
          <w:rFonts w:cs="Arial"/>
          <w:szCs w:val="20"/>
          <w:lang w:eastAsia="fr-FR"/>
        </w:rPr>
        <w:t xml:space="preserve">a pilot, 100-hour Distance Learning program on CMOs; </w:t>
      </w:r>
      <w:r w:rsidR="00877725">
        <w:rPr>
          <w:rFonts w:cs="Arial"/>
          <w:szCs w:val="20"/>
          <w:lang w:eastAsia="fr-FR"/>
        </w:rPr>
        <w:t xml:space="preserve"> </w:t>
      </w:r>
      <w:r w:rsidRPr="0027745B">
        <w:rPr>
          <w:rFonts w:cs="Arial"/>
          <w:szCs w:val="20"/>
          <w:lang w:eastAsia="fr-FR"/>
        </w:rPr>
        <w:t xml:space="preserve">and a collective management training video. </w:t>
      </w:r>
      <w:r>
        <w:rPr>
          <w:rFonts w:cs="Arial"/>
          <w:szCs w:val="20"/>
          <w:lang w:eastAsia="fr-FR"/>
        </w:rPr>
        <w:t xml:space="preserve"> </w:t>
      </w:r>
      <w:r w:rsidRPr="0027745B">
        <w:rPr>
          <w:rFonts w:cs="Arial"/>
          <w:szCs w:val="20"/>
          <w:lang w:eastAsia="fr-FR"/>
        </w:rPr>
        <w:t xml:space="preserve">During 2013, a </w:t>
      </w:r>
      <w:r w:rsidRPr="0027745B">
        <w:rPr>
          <w:rFonts w:cs="Arial"/>
          <w:szCs w:val="20"/>
          <w:lang w:eastAsia="fr-FR"/>
        </w:rPr>
        <w:lastRenderedPageBreak/>
        <w:t xml:space="preserve">Mentoring Program was started linking CMOs in developed countries with CMOs in developing and least developed countries. </w:t>
      </w:r>
      <w:r w:rsidR="00877725">
        <w:rPr>
          <w:rFonts w:cs="Arial"/>
          <w:szCs w:val="20"/>
          <w:lang w:eastAsia="fr-FR"/>
        </w:rPr>
        <w:t xml:space="preserve"> </w:t>
      </w:r>
      <w:r w:rsidRPr="0027745B">
        <w:rPr>
          <w:rFonts w:cs="Arial"/>
          <w:szCs w:val="20"/>
          <w:lang w:eastAsia="fr-FR"/>
        </w:rPr>
        <w:t>Such programs (</w:t>
      </w:r>
      <w:r w:rsidR="00EC1008">
        <w:rPr>
          <w:rFonts w:cs="Arial"/>
          <w:szCs w:val="20"/>
          <w:lang w:eastAsia="fr-FR"/>
        </w:rPr>
        <w:t>ten</w:t>
      </w:r>
      <w:r w:rsidRPr="0027745B">
        <w:rPr>
          <w:rFonts w:cs="Arial"/>
          <w:szCs w:val="20"/>
          <w:lang w:eastAsia="fr-FR"/>
        </w:rPr>
        <w:t xml:space="preserve"> of which have already been launched) entail expert CMO advisers from an established CMO providing on-site and at-distance counselling.</w:t>
      </w:r>
    </w:p>
    <w:p w:rsidR="00035B75" w:rsidRPr="0027745B" w:rsidRDefault="00035B75" w:rsidP="00035B75">
      <w:pPr>
        <w:tabs>
          <w:tab w:val="left" w:pos="709"/>
        </w:tabs>
        <w:jc w:val="both"/>
        <w:rPr>
          <w:rFonts w:cs="Arial"/>
          <w:szCs w:val="20"/>
          <w:lang w:val="en-GB" w:eastAsia="fr-FR"/>
        </w:rPr>
      </w:pPr>
    </w:p>
    <w:p w:rsidR="00035B75" w:rsidRPr="0027745B" w:rsidRDefault="00035B75" w:rsidP="00035B75">
      <w:pPr>
        <w:tabs>
          <w:tab w:val="left" w:pos="709"/>
        </w:tabs>
        <w:jc w:val="both"/>
        <w:rPr>
          <w:rFonts w:cs="Arial"/>
          <w:szCs w:val="20"/>
          <w:lang w:val="en-GB" w:eastAsia="fr-FR"/>
        </w:rPr>
      </w:pPr>
      <w:r>
        <w:rPr>
          <w:rFonts w:cs="Arial"/>
          <w:szCs w:val="20"/>
          <w:lang w:val="en-GB" w:eastAsia="fr-FR"/>
        </w:rPr>
        <w:t>3.9.</w:t>
      </w:r>
      <w:r>
        <w:rPr>
          <w:rFonts w:cs="Arial"/>
          <w:szCs w:val="20"/>
          <w:lang w:val="en-GB" w:eastAsia="fr-FR"/>
        </w:rPr>
        <w:tab/>
      </w:r>
      <w:r w:rsidRPr="0027745B">
        <w:rPr>
          <w:rFonts w:cs="Arial"/>
          <w:szCs w:val="20"/>
          <w:lang w:val="en-GB" w:eastAsia="fr-FR"/>
        </w:rPr>
        <w:t xml:space="preserve">Work continued towards expanding the geographical scope of the WIPO studies on the economic contribution of the creative industries. </w:t>
      </w:r>
      <w:r w:rsidR="00877725">
        <w:rPr>
          <w:rFonts w:cs="Arial"/>
          <w:szCs w:val="20"/>
          <w:lang w:val="en-GB" w:eastAsia="fr-FR"/>
        </w:rPr>
        <w:t xml:space="preserve"> </w:t>
      </w:r>
      <w:r w:rsidRPr="0027745B">
        <w:rPr>
          <w:rFonts w:cs="Arial"/>
          <w:szCs w:val="20"/>
          <w:lang w:val="en-GB" w:eastAsia="fr-FR"/>
        </w:rPr>
        <w:t>These studies have</w:t>
      </w:r>
      <w:r w:rsidRPr="0027745B">
        <w:rPr>
          <w:rFonts w:cs="Arial"/>
          <w:szCs w:val="20"/>
          <w:lang w:eastAsia="fr-FR"/>
        </w:rPr>
        <w:t xml:space="preserve"> become one of the most globally quoted and authoritative sources on the economic contribution of copyright. </w:t>
      </w:r>
      <w:r w:rsidR="00877725">
        <w:rPr>
          <w:rFonts w:cs="Arial"/>
          <w:szCs w:val="20"/>
          <w:lang w:eastAsia="fr-FR"/>
        </w:rPr>
        <w:t xml:space="preserve"> </w:t>
      </w:r>
      <w:r w:rsidRPr="0027745B">
        <w:rPr>
          <w:rFonts w:cs="Arial"/>
          <w:szCs w:val="20"/>
          <w:lang w:eastAsia="fr-FR"/>
        </w:rPr>
        <w:t xml:space="preserve">Studies have been completed in </w:t>
      </w:r>
      <w:r w:rsidR="00877725" w:rsidRPr="0027745B">
        <w:rPr>
          <w:rFonts w:cs="Arial"/>
          <w:szCs w:val="20"/>
          <w:lang w:eastAsia="fr-FR"/>
        </w:rPr>
        <w:t>42</w:t>
      </w:r>
      <w:r w:rsidR="00877725">
        <w:rPr>
          <w:rFonts w:cs="Arial"/>
          <w:szCs w:val="20"/>
          <w:lang w:eastAsia="fr-FR"/>
        </w:rPr>
        <w:t> </w:t>
      </w:r>
      <w:r w:rsidRPr="0027745B">
        <w:rPr>
          <w:rFonts w:cs="Arial"/>
          <w:szCs w:val="20"/>
          <w:lang w:eastAsia="fr-FR"/>
        </w:rPr>
        <w:t xml:space="preserve">countries, with 15 added in this biennium.  WIPO’s publications for creators on managing their copyright in creative industries </w:t>
      </w:r>
      <w:r w:rsidRPr="0027745B">
        <w:rPr>
          <w:rFonts w:cs="Arial"/>
          <w:szCs w:val="20"/>
          <w:lang w:val="en-GB" w:eastAsia="fr-FR"/>
        </w:rPr>
        <w:t>were downloaded over 53,000 times.</w:t>
      </w:r>
    </w:p>
    <w:p w:rsidR="00035B75" w:rsidRPr="0027745B" w:rsidRDefault="00035B75" w:rsidP="00035B75">
      <w:pPr>
        <w:tabs>
          <w:tab w:val="left" w:pos="709"/>
        </w:tabs>
        <w:jc w:val="both"/>
        <w:rPr>
          <w:rFonts w:cs="Arial"/>
          <w:szCs w:val="20"/>
          <w:lang w:val="en-GB" w:eastAsia="fr-FR"/>
        </w:rPr>
      </w:pPr>
    </w:p>
    <w:p w:rsidR="00035B75" w:rsidRPr="0027745B" w:rsidRDefault="00035B75" w:rsidP="00035B75">
      <w:pPr>
        <w:tabs>
          <w:tab w:val="left" w:pos="709"/>
        </w:tabs>
        <w:jc w:val="both"/>
        <w:rPr>
          <w:rFonts w:cs="Arial"/>
          <w:szCs w:val="20"/>
          <w:lang w:val="en-GB" w:eastAsia="fr-FR"/>
        </w:rPr>
      </w:pPr>
      <w:r>
        <w:rPr>
          <w:rFonts w:cs="Arial"/>
          <w:szCs w:val="20"/>
          <w:lang w:val="en-GB" w:eastAsia="fr-FR"/>
        </w:rPr>
        <w:t>3.10.</w:t>
      </w:r>
      <w:r>
        <w:rPr>
          <w:rFonts w:cs="Arial"/>
          <w:szCs w:val="20"/>
          <w:lang w:val="en-GB" w:eastAsia="fr-FR"/>
        </w:rPr>
        <w:tab/>
      </w:r>
      <w:r w:rsidRPr="0027745B">
        <w:rPr>
          <w:rFonts w:cs="Arial"/>
          <w:szCs w:val="20"/>
          <w:lang w:val="en-GB" w:eastAsia="fr-FR"/>
        </w:rPr>
        <w:t xml:space="preserve">In collaboration with various partners, the TIGAR project progressed from the pilot phase to the operational phase. </w:t>
      </w:r>
      <w:r w:rsidR="00877725">
        <w:rPr>
          <w:rFonts w:cs="Arial"/>
          <w:szCs w:val="20"/>
          <w:lang w:val="en-GB" w:eastAsia="fr-FR"/>
        </w:rPr>
        <w:t xml:space="preserve"> </w:t>
      </w:r>
      <w:r w:rsidRPr="0027745B">
        <w:rPr>
          <w:rFonts w:cs="Arial"/>
          <w:szCs w:val="20"/>
          <w:lang w:val="en-GB" w:eastAsia="fr-FR"/>
        </w:rPr>
        <w:t xml:space="preserve">TIGAR is a centralized database containing the titles of works available in accessible formats around the world. </w:t>
      </w:r>
      <w:r w:rsidR="00877725">
        <w:rPr>
          <w:rFonts w:cs="Arial"/>
          <w:szCs w:val="20"/>
          <w:lang w:val="en-GB" w:eastAsia="fr-FR"/>
        </w:rPr>
        <w:t xml:space="preserve"> </w:t>
      </w:r>
      <w:r w:rsidRPr="0027745B">
        <w:rPr>
          <w:rFonts w:cs="Arial"/>
          <w:szCs w:val="20"/>
          <w:lang w:val="en-GB" w:eastAsia="fr-FR"/>
        </w:rPr>
        <w:t xml:space="preserve">The project is aimed at improving the knowledge </w:t>
      </w:r>
      <w:proofErr w:type="gramStart"/>
      <w:r w:rsidRPr="0027745B">
        <w:rPr>
          <w:rFonts w:cs="Arial"/>
          <w:szCs w:val="20"/>
          <w:lang w:val="en-GB" w:eastAsia="fr-FR"/>
        </w:rPr>
        <w:t>of,</w:t>
      </w:r>
      <w:proofErr w:type="gramEnd"/>
      <w:r w:rsidRPr="0027745B">
        <w:rPr>
          <w:rFonts w:cs="Arial"/>
          <w:szCs w:val="20"/>
          <w:lang w:val="en-GB" w:eastAsia="fr-FR"/>
        </w:rPr>
        <w:t xml:space="preserve"> and access to, information by visually impaired persons by expanding access to copyright works such as books. </w:t>
      </w:r>
      <w:r w:rsidR="00877725">
        <w:rPr>
          <w:rFonts w:cs="Arial"/>
          <w:szCs w:val="20"/>
          <w:lang w:val="en-GB" w:eastAsia="fr-FR"/>
        </w:rPr>
        <w:t xml:space="preserve"> </w:t>
      </w:r>
      <w:r w:rsidRPr="0027745B">
        <w:rPr>
          <w:rFonts w:cs="Arial"/>
          <w:szCs w:val="20"/>
          <w:lang w:val="en-GB" w:eastAsia="fr-FR"/>
        </w:rPr>
        <w:t xml:space="preserve">Over 218,000 titles in 45 languages were in the TIGAR database by the end of 2013 and approximately 600 books had been downloaded. </w:t>
      </w:r>
      <w:r w:rsidR="00877725">
        <w:rPr>
          <w:rFonts w:cs="Arial"/>
          <w:szCs w:val="20"/>
          <w:lang w:val="en-GB" w:eastAsia="fr-FR"/>
        </w:rPr>
        <w:t xml:space="preserve"> </w:t>
      </w:r>
      <w:r w:rsidRPr="0027745B">
        <w:rPr>
          <w:rFonts w:cs="Arial"/>
          <w:szCs w:val="20"/>
          <w:lang w:val="en-GB" w:eastAsia="fr-FR"/>
        </w:rPr>
        <w:t xml:space="preserve">WIPO also initiated a capacity building program aimed at improving the capabilities of authorized entities in developing countries and LDCs to create and distribute accessible-format works for the benefit of persons who are blind, visually impaired, or otherwise print disabled.  </w:t>
      </w:r>
    </w:p>
    <w:p w:rsidR="00035B75" w:rsidRPr="0027745B" w:rsidRDefault="00035B75" w:rsidP="00035B75">
      <w:pPr>
        <w:tabs>
          <w:tab w:val="left" w:pos="709"/>
        </w:tabs>
        <w:jc w:val="both"/>
        <w:rPr>
          <w:rFonts w:cs="Arial"/>
          <w:szCs w:val="20"/>
          <w:lang w:val="en-GB" w:eastAsia="fr-FR"/>
        </w:rPr>
      </w:pPr>
    </w:p>
    <w:p w:rsidR="00035B75" w:rsidRPr="0027745B" w:rsidRDefault="00035B75" w:rsidP="00035B75">
      <w:pPr>
        <w:tabs>
          <w:tab w:val="left" w:pos="709"/>
        </w:tabs>
        <w:jc w:val="both"/>
        <w:rPr>
          <w:rFonts w:cs="Arial"/>
          <w:szCs w:val="20"/>
        </w:rPr>
      </w:pPr>
      <w:r>
        <w:rPr>
          <w:rFonts w:cs="Arial"/>
          <w:szCs w:val="20"/>
          <w:lang w:val="en-GB" w:eastAsia="fr-FR"/>
        </w:rPr>
        <w:t>3.11.</w:t>
      </w:r>
      <w:r>
        <w:rPr>
          <w:rFonts w:cs="Arial"/>
          <w:szCs w:val="20"/>
          <w:lang w:val="en-GB" w:eastAsia="fr-FR"/>
        </w:rPr>
        <w:tab/>
      </w:r>
      <w:r w:rsidRPr="0027745B">
        <w:rPr>
          <w:rFonts w:cs="Arial"/>
          <w:szCs w:val="20"/>
          <w:lang w:val="en-GB" w:eastAsia="fr-FR"/>
        </w:rPr>
        <w:t xml:space="preserve">Finally, support continued for WIPO’s GDA, an information system for the public registration and documentation of copyright works which </w:t>
      </w:r>
      <w:r w:rsidRPr="0027745B">
        <w:rPr>
          <w:rFonts w:cs="Arial"/>
          <w:szCs w:val="20"/>
          <w:lang w:eastAsia="fr-FR"/>
        </w:rPr>
        <w:t xml:space="preserve">assists copyright Offices to improve efficiency in copyright registration processes. </w:t>
      </w:r>
      <w:r w:rsidR="00877725">
        <w:rPr>
          <w:rFonts w:cs="Arial"/>
          <w:szCs w:val="20"/>
          <w:lang w:eastAsia="fr-FR"/>
        </w:rPr>
        <w:t xml:space="preserve"> </w:t>
      </w:r>
      <w:r w:rsidRPr="0027745B">
        <w:rPr>
          <w:rFonts w:cs="Arial"/>
          <w:szCs w:val="20"/>
          <w:lang w:eastAsia="fr-FR"/>
        </w:rPr>
        <w:t xml:space="preserve">GDA has now been deployed in 18 copyright Offices in Latin America and the Caribbean and Africa. </w:t>
      </w:r>
    </w:p>
    <w:p w:rsidR="00035B75" w:rsidRPr="0027745B" w:rsidRDefault="00035B75" w:rsidP="00035B75">
      <w:pPr>
        <w:tabs>
          <w:tab w:val="left" w:pos="709"/>
        </w:tabs>
        <w:jc w:val="both"/>
        <w:rPr>
          <w:rFonts w:cs="Arial"/>
          <w:szCs w:val="20"/>
        </w:rPr>
      </w:pPr>
    </w:p>
    <w:p w:rsidR="00035B75" w:rsidRPr="0027745B" w:rsidRDefault="00035B75" w:rsidP="00035B75">
      <w:pPr>
        <w:keepNext/>
        <w:keepLines/>
        <w:tabs>
          <w:tab w:val="left" w:pos="709"/>
        </w:tabs>
        <w:jc w:val="both"/>
        <w:rPr>
          <w:rFonts w:cs="Arial"/>
          <w:bCs/>
          <w:szCs w:val="20"/>
          <w:u w:val="single"/>
        </w:rPr>
      </w:pPr>
      <w:r w:rsidRPr="0027745B">
        <w:rPr>
          <w:rFonts w:cs="Arial"/>
          <w:bCs/>
          <w:szCs w:val="20"/>
          <w:u w:val="single"/>
        </w:rPr>
        <w:t xml:space="preserve">Technical </w:t>
      </w:r>
      <w:r w:rsidR="00877725">
        <w:rPr>
          <w:rFonts w:cs="Arial"/>
          <w:bCs/>
          <w:szCs w:val="20"/>
          <w:u w:val="single"/>
        </w:rPr>
        <w:t>A</w:t>
      </w:r>
      <w:r w:rsidRPr="0027745B">
        <w:rPr>
          <w:rFonts w:cs="Arial"/>
          <w:bCs/>
          <w:szCs w:val="20"/>
          <w:u w:val="single"/>
        </w:rPr>
        <w:t xml:space="preserve">ssistance to </w:t>
      </w:r>
      <w:r w:rsidR="00877725">
        <w:rPr>
          <w:rFonts w:cs="Arial"/>
          <w:bCs/>
          <w:szCs w:val="20"/>
          <w:u w:val="single"/>
        </w:rPr>
        <w:t>D</w:t>
      </w:r>
      <w:r w:rsidRPr="0027745B">
        <w:rPr>
          <w:rFonts w:cs="Arial"/>
          <w:bCs/>
          <w:szCs w:val="20"/>
          <w:u w:val="single"/>
        </w:rPr>
        <w:t xml:space="preserve">eveloping </w:t>
      </w:r>
      <w:r w:rsidR="00877725">
        <w:rPr>
          <w:rFonts w:cs="Arial"/>
          <w:bCs/>
          <w:szCs w:val="20"/>
          <w:u w:val="single"/>
        </w:rPr>
        <w:t>C</w:t>
      </w:r>
      <w:r w:rsidRPr="0027745B">
        <w:rPr>
          <w:rFonts w:cs="Arial"/>
          <w:bCs/>
          <w:szCs w:val="20"/>
          <w:u w:val="single"/>
        </w:rPr>
        <w:t xml:space="preserve">ountries and LDCs </w:t>
      </w:r>
    </w:p>
    <w:p w:rsidR="00035B75" w:rsidRPr="0027745B" w:rsidRDefault="00035B75" w:rsidP="00035B75">
      <w:pPr>
        <w:keepNext/>
        <w:keepLines/>
        <w:tabs>
          <w:tab w:val="left" w:pos="709"/>
        </w:tabs>
        <w:jc w:val="both"/>
        <w:rPr>
          <w:rFonts w:cs="Arial"/>
          <w:bCs/>
          <w:szCs w:val="20"/>
          <w:u w:val="single"/>
        </w:rPr>
      </w:pPr>
    </w:p>
    <w:p w:rsidR="00035B75" w:rsidRPr="0027745B" w:rsidRDefault="00035B75" w:rsidP="00035B75">
      <w:pPr>
        <w:tabs>
          <w:tab w:val="left" w:pos="709"/>
        </w:tabs>
        <w:jc w:val="both"/>
        <w:rPr>
          <w:rFonts w:cs="Arial"/>
          <w:bCs/>
          <w:szCs w:val="20"/>
        </w:rPr>
      </w:pPr>
      <w:r>
        <w:rPr>
          <w:rFonts w:cs="Arial"/>
          <w:bCs/>
          <w:szCs w:val="20"/>
        </w:rPr>
        <w:t>3.12.</w:t>
      </w:r>
      <w:r>
        <w:rPr>
          <w:rFonts w:cs="Arial"/>
          <w:bCs/>
          <w:szCs w:val="20"/>
        </w:rPr>
        <w:tab/>
      </w:r>
      <w:r w:rsidRPr="0027745B">
        <w:rPr>
          <w:rFonts w:cs="Arial"/>
          <w:bCs/>
          <w:szCs w:val="20"/>
        </w:rPr>
        <w:t xml:space="preserve">Technical assistance and capacity building programs in copyright and related rights were guided by the four development pillars:  development of national IP policies and strategies, improvement of legal and regulatory frameworks, infrastructure enhancement, and the development of local technical expertise.  </w:t>
      </w:r>
    </w:p>
    <w:p w:rsidR="00035B75" w:rsidRPr="0027745B" w:rsidRDefault="00035B75" w:rsidP="00035B75">
      <w:pPr>
        <w:tabs>
          <w:tab w:val="left" w:pos="709"/>
        </w:tabs>
        <w:jc w:val="both"/>
        <w:rPr>
          <w:rFonts w:cs="Arial"/>
          <w:szCs w:val="20"/>
        </w:rPr>
      </w:pPr>
    </w:p>
    <w:p w:rsidR="00035B75" w:rsidRPr="0027745B" w:rsidRDefault="00035B75" w:rsidP="00035B75">
      <w:pPr>
        <w:tabs>
          <w:tab w:val="left" w:pos="709"/>
        </w:tabs>
        <w:jc w:val="both"/>
        <w:rPr>
          <w:rFonts w:cs="Arial"/>
          <w:szCs w:val="20"/>
        </w:rPr>
      </w:pPr>
      <w:r>
        <w:rPr>
          <w:rFonts w:cs="Arial"/>
          <w:szCs w:val="20"/>
        </w:rPr>
        <w:t>3.13.</w:t>
      </w:r>
      <w:r>
        <w:rPr>
          <w:rFonts w:cs="Arial"/>
          <w:szCs w:val="20"/>
        </w:rPr>
        <w:tab/>
      </w:r>
      <w:r w:rsidRPr="0027745B">
        <w:rPr>
          <w:rFonts w:cs="Arial"/>
          <w:szCs w:val="20"/>
        </w:rPr>
        <w:t xml:space="preserve">During the biennium, a total of 105 training programs were organized at national, regional and interregional level. </w:t>
      </w:r>
      <w:r w:rsidR="00877725">
        <w:rPr>
          <w:rFonts w:cs="Arial"/>
          <w:szCs w:val="20"/>
        </w:rPr>
        <w:t xml:space="preserve"> </w:t>
      </w:r>
      <w:r w:rsidRPr="0027745B">
        <w:rPr>
          <w:rFonts w:cs="Arial"/>
          <w:szCs w:val="20"/>
        </w:rPr>
        <w:t xml:space="preserve">Over 3,300 government officials, copyright professionals and representatives from stakeholders’ organizations from 118 developing countries and LDCs and four regional inter-governmental organizations participated in the programs.  </w:t>
      </w:r>
    </w:p>
    <w:p w:rsidR="00035B75" w:rsidRPr="0027745B" w:rsidRDefault="00035B75" w:rsidP="00035B75">
      <w:pPr>
        <w:tabs>
          <w:tab w:val="left" w:pos="709"/>
        </w:tabs>
        <w:jc w:val="both"/>
        <w:rPr>
          <w:rFonts w:cs="Arial"/>
          <w:szCs w:val="20"/>
        </w:rPr>
      </w:pPr>
    </w:p>
    <w:p w:rsidR="00035B75" w:rsidRPr="0027745B" w:rsidRDefault="00035B75" w:rsidP="00035B75">
      <w:pPr>
        <w:tabs>
          <w:tab w:val="left" w:pos="709"/>
        </w:tabs>
        <w:jc w:val="both"/>
        <w:rPr>
          <w:rFonts w:cs="Arial"/>
          <w:szCs w:val="20"/>
        </w:rPr>
      </w:pPr>
      <w:r>
        <w:rPr>
          <w:rFonts w:cs="Arial"/>
          <w:szCs w:val="20"/>
        </w:rPr>
        <w:t>3.14.</w:t>
      </w:r>
      <w:r>
        <w:rPr>
          <w:rFonts w:cs="Arial"/>
          <w:szCs w:val="20"/>
        </w:rPr>
        <w:tab/>
      </w:r>
      <w:r w:rsidRPr="0027745B">
        <w:rPr>
          <w:rFonts w:cs="Arial"/>
          <w:szCs w:val="20"/>
        </w:rPr>
        <w:t>The information and knowledge shared through the programs contributed to the enhancement of the institutional and human capacity of copyright offices and other related organizations and enabled government officials, managers and other key professionals to deal more efficiently with the broad range of requirements necessary for the effective management and use of the copyright and related rights system.  This work also included the very important objective of raising public awareness of the economic and cultural relevance and importance of copyright and related rights in the digital environment.</w:t>
      </w:r>
    </w:p>
    <w:p w:rsidR="00035B75" w:rsidRPr="0027745B" w:rsidRDefault="00035B75" w:rsidP="00035B75">
      <w:pPr>
        <w:tabs>
          <w:tab w:val="left" w:pos="709"/>
        </w:tabs>
        <w:jc w:val="both"/>
        <w:rPr>
          <w:rFonts w:cs="Arial"/>
          <w:szCs w:val="20"/>
        </w:rPr>
      </w:pPr>
    </w:p>
    <w:p w:rsidR="00035B75" w:rsidRPr="0027745B" w:rsidRDefault="00035B75" w:rsidP="00035B75">
      <w:pPr>
        <w:tabs>
          <w:tab w:val="left" w:pos="709"/>
        </w:tabs>
        <w:jc w:val="both"/>
        <w:rPr>
          <w:rFonts w:cs="Arial"/>
          <w:szCs w:val="20"/>
        </w:rPr>
      </w:pPr>
      <w:r>
        <w:rPr>
          <w:rFonts w:cs="Arial"/>
          <w:szCs w:val="20"/>
        </w:rPr>
        <w:t>3.15.</w:t>
      </w:r>
      <w:r>
        <w:rPr>
          <w:rFonts w:cs="Arial"/>
          <w:szCs w:val="20"/>
        </w:rPr>
        <w:tab/>
      </w:r>
      <w:r w:rsidRPr="0027745B">
        <w:rPr>
          <w:rFonts w:cs="Arial"/>
          <w:szCs w:val="20"/>
        </w:rPr>
        <w:t>Efforts were made to better prioritize technical assistance programs, improve internal collaboration thus reducing costs, monitor and follow-up on assistance to encourage action at the national level, and increase the use of external experts.</w:t>
      </w:r>
    </w:p>
    <w:p w:rsidR="00035B75" w:rsidRPr="00030A0B" w:rsidRDefault="00035B75" w:rsidP="00035B75">
      <w:pPr>
        <w:tabs>
          <w:tab w:val="left" w:pos="709"/>
        </w:tabs>
        <w:jc w:val="both"/>
        <w:rPr>
          <w:rFonts w:cs="Arial"/>
          <w:bCs/>
          <w:sz w:val="22"/>
          <w:szCs w:val="22"/>
        </w:rPr>
      </w:pPr>
    </w:p>
    <w:p w:rsidR="00035B75" w:rsidRPr="0027745B" w:rsidRDefault="00035B75" w:rsidP="00035B75">
      <w:pPr>
        <w:tabs>
          <w:tab w:val="left" w:pos="709"/>
        </w:tabs>
        <w:jc w:val="both"/>
        <w:rPr>
          <w:szCs w:val="20"/>
        </w:rPr>
      </w:pPr>
      <w:r w:rsidRPr="0027745B">
        <w:rPr>
          <w:szCs w:val="20"/>
        </w:rPr>
        <w:t>IMPLEMENTATION OF THE DEVELOPMENT AGENDA</w:t>
      </w:r>
    </w:p>
    <w:p w:rsidR="00035B75" w:rsidRPr="00CD26D6" w:rsidRDefault="00035B75" w:rsidP="00035B75">
      <w:pPr>
        <w:tabs>
          <w:tab w:val="left" w:pos="709"/>
        </w:tabs>
        <w:jc w:val="both"/>
        <w:rPr>
          <w:rFonts w:cs="Arial"/>
          <w:bCs/>
          <w:sz w:val="22"/>
          <w:szCs w:val="22"/>
        </w:rPr>
      </w:pPr>
    </w:p>
    <w:p w:rsidR="00035B75" w:rsidRPr="0027745B" w:rsidRDefault="00035B75" w:rsidP="00035B75">
      <w:pPr>
        <w:tabs>
          <w:tab w:val="left" w:pos="709"/>
        </w:tabs>
        <w:jc w:val="both"/>
        <w:rPr>
          <w:szCs w:val="20"/>
        </w:rPr>
      </w:pPr>
      <w:r>
        <w:rPr>
          <w:szCs w:val="20"/>
        </w:rPr>
        <w:t>3.16.</w:t>
      </w:r>
      <w:r>
        <w:rPr>
          <w:szCs w:val="20"/>
        </w:rPr>
        <w:tab/>
      </w:r>
      <w:r w:rsidRPr="0027745B">
        <w:rPr>
          <w:szCs w:val="20"/>
        </w:rPr>
        <w:t xml:space="preserve">The design, planning and implementation of activities by Program 3 were informed and guided by the relevant DA Recommendations.  The Program’s norm-setting activities within the SCCR continued to be inclusive and member-driven (Recommendation 15), duly considering the boundaries, role and contours of the “public domain” (Recommendations 16 and 20) and taking into account flexibilities in international IP agreements (Recommendation 17).  </w:t>
      </w:r>
    </w:p>
    <w:p w:rsidR="00035B75" w:rsidRPr="0027745B" w:rsidRDefault="00035B75" w:rsidP="00035B75">
      <w:pPr>
        <w:tabs>
          <w:tab w:val="left" w:pos="709"/>
        </w:tabs>
        <w:jc w:val="both"/>
        <w:rPr>
          <w:szCs w:val="20"/>
        </w:rPr>
      </w:pPr>
    </w:p>
    <w:p w:rsidR="00035B75" w:rsidRDefault="00035B75" w:rsidP="00035B75">
      <w:pPr>
        <w:tabs>
          <w:tab w:val="left" w:pos="709"/>
        </w:tabs>
        <w:jc w:val="both"/>
        <w:rPr>
          <w:szCs w:val="20"/>
        </w:rPr>
      </w:pPr>
      <w:r>
        <w:rPr>
          <w:szCs w:val="20"/>
        </w:rPr>
        <w:t>3.17.</w:t>
      </w:r>
      <w:r>
        <w:rPr>
          <w:szCs w:val="20"/>
        </w:rPr>
        <w:tab/>
      </w:r>
      <w:r w:rsidRPr="0027745B">
        <w:rPr>
          <w:szCs w:val="20"/>
        </w:rPr>
        <w:t xml:space="preserve">The SCCR negotiations were based upon open and balanced consultations (Recommendations 21 and 42) while being supportive of the UN development goals (Recommendation 22).  Moreover, in 2013, the Committee dedicated significant time to limitations and exceptions for persons who are blind, visually impaired, and print disabled.  The Diplomatic Conference convened in Marrakesh, Morocco, between June 17 and June 28, 2013, concluded its work with the adoption of the Marrakesh Treaty to Facilitate Access to Published Works </w:t>
      </w:r>
      <w:r w:rsidRPr="0027745B">
        <w:rPr>
          <w:rFonts w:eastAsia="SimSun" w:cs="Arial"/>
          <w:szCs w:val="20"/>
          <w:lang w:eastAsia="zh-CN"/>
        </w:rPr>
        <w:t>for Persons Who Are Blind, Visually Impaired or Otherwise Print Disabled</w:t>
      </w:r>
      <w:r w:rsidRPr="0027745B">
        <w:rPr>
          <w:szCs w:val="20"/>
        </w:rPr>
        <w:t>.</w:t>
      </w:r>
    </w:p>
    <w:p w:rsidR="00AB2445" w:rsidRDefault="00AB2445" w:rsidP="00035B75">
      <w:pPr>
        <w:tabs>
          <w:tab w:val="left" w:pos="709"/>
        </w:tabs>
        <w:jc w:val="both"/>
        <w:rPr>
          <w:szCs w:val="20"/>
        </w:rPr>
      </w:pPr>
    </w:p>
    <w:p w:rsidR="00035B75" w:rsidRPr="0027745B" w:rsidRDefault="00035B75" w:rsidP="00035B75">
      <w:pPr>
        <w:tabs>
          <w:tab w:val="left" w:pos="709"/>
        </w:tabs>
        <w:jc w:val="both"/>
        <w:rPr>
          <w:szCs w:val="20"/>
        </w:rPr>
      </w:pPr>
      <w:r w:rsidRPr="0027745B">
        <w:rPr>
          <w:szCs w:val="20"/>
        </w:rPr>
        <w:t>3.18.</w:t>
      </w:r>
      <w:r w:rsidRPr="0027745B">
        <w:rPr>
          <w:szCs w:val="20"/>
        </w:rPr>
        <w:tab/>
        <w:t>The Program’s technical assistance and capacity-building activities were development-oriented, demand-driven and reported on in the normal course (Recommendations 1 and 13).  Also, the legislative assistance provided to Member States, at their request, was development-oriented, balanced and tailored to unique Member State situations, in accordance with Development Agenda principles (Recommendation 13), and bearing in mind the applicable flexibilities relevant to countries at differing levels of development (Recommendations 14 and 17).</w:t>
      </w:r>
    </w:p>
    <w:p w:rsidR="00035B75" w:rsidRPr="0027745B" w:rsidRDefault="00035B75" w:rsidP="00035B75">
      <w:pPr>
        <w:tabs>
          <w:tab w:val="left" w:pos="709"/>
        </w:tabs>
        <w:jc w:val="both"/>
        <w:rPr>
          <w:szCs w:val="20"/>
        </w:rPr>
      </w:pPr>
    </w:p>
    <w:p w:rsidR="00035B75" w:rsidRPr="0027745B" w:rsidRDefault="00035B75" w:rsidP="00035B75">
      <w:pPr>
        <w:tabs>
          <w:tab w:val="left" w:pos="709"/>
        </w:tabs>
        <w:jc w:val="both"/>
        <w:rPr>
          <w:szCs w:val="20"/>
        </w:rPr>
      </w:pPr>
      <w:r>
        <w:rPr>
          <w:szCs w:val="20"/>
        </w:rPr>
        <w:t>3.19.</w:t>
      </w:r>
      <w:r>
        <w:rPr>
          <w:szCs w:val="20"/>
        </w:rPr>
        <w:tab/>
      </w:r>
      <w:r w:rsidRPr="0027745B">
        <w:rPr>
          <w:szCs w:val="20"/>
        </w:rPr>
        <w:t>In addition</w:t>
      </w:r>
      <w:r w:rsidR="00877725">
        <w:rPr>
          <w:szCs w:val="20"/>
        </w:rPr>
        <w:t>,</w:t>
      </w:r>
      <w:r w:rsidRPr="0027745B">
        <w:rPr>
          <w:szCs w:val="20"/>
        </w:rPr>
        <w:t xml:space="preserve"> the Program was engaged in the implementation of the following DA projects: </w:t>
      </w:r>
    </w:p>
    <w:p w:rsidR="00035B75" w:rsidRPr="0027745B" w:rsidRDefault="00035B75" w:rsidP="00035B75">
      <w:pPr>
        <w:tabs>
          <w:tab w:val="left" w:pos="709"/>
        </w:tabs>
        <w:jc w:val="both"/>
        <w:rPr>
          <w:szCs w:val="20"/>
        </w:rPr>
      </w:pPr>
    </w:p>
    <w:p w:rsidR="00035B75" w:rsidRPr="0027745B" w:rsidRDefault="00035B75" w:rsidP="005703CF">
      <w:pPr>
        <w:pStyle w:val="ListParagraph"/>
        <w:numPr>
          <w:ilvl w:val="0"/>
          <w:numId w:val="7"/>
        </w:numPr>
        <w:tabs>
          <w:tab w:val="left" w:pos="1134"/>
        </w:tabs>
        <w:ind w:left="1134" w:hanging="425"/>
        <w:jc w:val="both"/>
      </w:pPr>
      <w:r w:rsidRPr="0027745B">
        <w:t>A new re-orientation of the Project on Strengthening the Capacity of National IP Governmental and Stakeholder Institutions to Manage, Monitor and Promote Creative Industries, and to Enhance the Performance and Network of Copyright Collective Management Organizations, enlarging its scope for creating more efficient IP institutions and for promoting a fair balance between IP protection and the public.</w:t>
      </w:r>
    </w:p>
    <w:p w:rsidR="00035B75" w:rsidRPr="0027745B" w:rsidRDefault="00035B75" w:rsidP="00035B75">
      <w:pPr>
        <w:tabs>
          <w:tab w:val="left" w:pos="1134"/>
        </w:tabs>
        <w:ind w:left="1134" w:hanging="425"/>
        <w:jc w:val="both"/>
        <w:rPr>
          <w:szCs w:val="20"/>
        </w:rPr>
      </w:pPr>
    </w:p>
    <w:p w:rsidR="00035B75" w:rsidRPr="0027745B" w:rsidRDefault="00035B75" w:rsidP="005703CF">
      <w:pPr>
        <w:pStyle w:val="ListParagraph"/>
        <w:numPr>
          <w:ilvl w:val="0"/>
          <w:numId w:val="7"/>
        </w:numPr>
        <w:tabs>
          <w:tab w:val="left" w:pos="1134"/>
        </w:tabs>
        <w:ind w:left="1134" w:hanging="425"/>
        <w:jc w:val="both"/>
      </w:pPr>
      <w:r w:rsidRPr="0027745B">
        <w:t xml:space="preserve">Preparation of the Comparative Analysis of National Approaches on Voluntary Copyright Relinquishment following the Terms of Reference approved by the CDIP as part of the implementation of Recommendations 1c, 1f and 2a of the Scoping Study on Copyright and Related Rights and the Public Domain. </w:t>
      </w:r>
    </w:p>
    <w:p w:rsidR="00035B75" w:rsidRPr="0027745B" w:rsidRDefault="00035B75" w:rsidP="00035B75">
      <w:pPr>
        <w:tabs>
          <w:tab w:val="left" w:pos="1134"/>
        </w:tabs>
        <w:ind w:left="1134" w:hanging="425"/>
        <w:jc w:val="both"/>
        <w:rPr>
          <w:szCs w:val="20"/>
        </w:rPr>
      </w:pPr>
    </w:p>
    <w:p w:rsidR="00035B75" w:rsidRPr="0027745B" w:rsidRDefault="00035B75" w:rsidP="005703CF">
      <w:pPr>
        <w:pStyle w:val="ListParagraph"/>
        <w:numPr>
          <w:ilvl w:val="0"/>
          <w:numId w:val="7"/>
        </w:numPr>
        <w:tabs>
          <w:tab w:val="left" w:pos="1134"/>
        </w:tabs>
        <w:ind w:left="1134" w:hanging="425"/>
        <w:jc w:val="both"/>
      </w:pPr>
      <w:r w:rsidRPr="0027745B">
        <w:t xml:space="preserve">The Project on IP, Information and Communication Technologies (ICTs), the Digital Divide and Access to Knowledge </w:t>
      </w:r>
      <w:proofErr w:type="gramStart"/>
      <w:r w:rsidRPr="0027745B">
        <w:t>was</w:t>
      </w:r>
      <w:proofErr w:type="gramEnd"/>
      <w:r w:rsidRPr="0027745B">
        <w:t xml:space="preserve"> completed and evaluated. </w:t>
      </w:r>
      <w:r w:rsidR="00877725">
        <w:t xml:space="preserve"> </w:t>
      </w:r>
      <w:r w:rsidRPr="0027745B">
        <w:t xml:space="preserve">Under this project a Study on Using Copyright to Promote Access to Information and Creative Content was prepared by a group of external experts and presented to the ninth session of the CDIP.  As a follow-up activity to this project, a Feasibility Assessment on Possible New WIPO Activities Related to Using Copyright to Promote Access to Information and Creative Content (CDIP/11/6) was presented to the eleventh session of the CDIP. </w:t>
      </w:r>
      <w:r w:rsidR="00877725">
        <w:t xml:space="preserve"> </w:t>
      </w:r>
      <w:r w:rsidRPr="0027745B">
        <w:t xml:space="preserve">Further, an Implementation Proposal on Possible New WIPO Activities Related to Using Copyright to Promote Access to Information and Creative Content (CDIP/12/9), based on the document CDIP/11/6, </w:t>
      </w:r>
      <w:proofErr w:type="gramStart"/>
      <w:r w:rsidRPr="0027745B">
        <w:t>was</w:t>
      </w:r>
      <w:proofErr w:type="gramEnd"/>
      <w:r w:rsidRPr="0027745B">
        <w:t xml:space="preserve"> presented to the twelfth session of the CDIP. </w:t>
      </w:r>
      <w:r w:rsidR="00877725">
        <w:t xml:space="preserve"> </w:t>
      </w:r>
      <w:r w:rsidRPr="0027745B">
        <w:t xml:space="preserve">Based on that discussion, a revised version of the implementation plan, taking into account comments by Member States, was prepared for consideration at the </w:t>
      </w:r>
      <w:r w:rsidR="00595665">
        <w:t>thirteenth</w:t>
      </w:r>
      <w:r w:rsidR="00595665" w:rsidRPr="0027745B">
        <w:t xml:space="preserve"> </w:t>
      </w:r>
      <w:r w:rsidRPr="0027745B">
        <w:t xml:space="preserve">session.  </w:t>
      </w:r>
    </w:p>
    <w:p w:rsidR="00035B75" w:rsidRPr="0027745B" w:rsidRDefault="00035B75" w:rsidP="00035B75">
      <w:pPr>
        <w:tabs>
          <w:tab w:val="left" w:pos="1134"/>
        </w:tabs>
        <w:ind w:left="1134" w:hanging="425"/>
        <w:jc w:val="both"/>
        <w:rPr>
          <w:szCs w:val="20"/>
        </w:rPr>
      </w:pPr>
    </w:p>
    <w:p w:rsidR="00035B75" w:rsidRPr="0027745B" w:rsidRDefault="007B714B" w:rsidP="005703CF">
      <w:pPr>
        <w:pStyle w:val="ListParagraph"/>
        <w:numPr>
          <w:ilvl w:val="0"/>
          <w:numId w:val="7"/>
        </w:numPr>
        <w:tabs>
          <w:tab w:val="left" w:pos="1134"/>
        </w:tabs>
        <w:ind w:left="1134" w:hanging="425"/>
        <w:jc w:val="both"/>
      </w:pPr>
      <w:r>
        <w:t xml:space="preserve">Implementation of </w:t>
      </w:r>
      <w:r w:rsidR="00035B75" w:rsidRPr="0027745B">
        <w:t>the Project on Strengthening and Development of the Audiovisual Sector in Burkina Faso and Certain African Countries presented by the Delegation of Burkina Faso was approved by the ninth session of the CDIP.</w:t>
      </w:r>
    </w:p>
    <w:p w:rsidR="00035B75" w:rsidRDefault="00035B75" w:rsidP="00035B75">
      <w:pPr>
        <w:rPr>
          <w:rFonts w:cs="Arial"/>
          <w:sz w:val="22"/>
          <w:szCs w:val="22"/>
        </w:rPr>
      </w:pPr>
    </w:p>
    <w:p w:rsidR="00035B75" w:rsidRPr="00BF5143" w:rsidRDefault="00035B75" w:rsidP="00035B75">
      <w:pPr>
        <w:rPr>
          <w:rFonts w:cs="Arial"/>
          <w:sz w:val="22"/>
          <w:szCs w:val="22"/>
        </w:rPr>
      </w:pPr>
    </w:p>
    <w:p w:rsidR="00035B75" w:rsidRPr="00BF5143" w:rsidRDefault="00035B75" w:rsidP="00035B75">
      <w:pPr>
        <w:rPr>
          <w:rFonts w:cs="Arial"/>
          <w:sz w:val="22"/>
          <w:szCs w:val="22"/>
        </w:rPr>
      </w:pPr>
      <w:r w:rsidRPr="00BF5143">
        <w:rPr>
          <w:rFonts w:cs="Arial"/>
          <w:sz w:val="22"/>
          <w:szCs w:val="22"/>
        </w:rPr>
        <w:t>PERFORMANCE DATA</w:t>
      </w:r>
    </w:p>
    <w:p w:rsidR="00035B75" w:rsidRPr="00BF5143" w:rsidRDefault="00035B75" w:rsidP="00035B75">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8"/>
        <w:gridCol w:w="1843"/>
        <w:gridCol w:w="1432"/>
        <w:gridCol w:w="2964"/>
        <w:gridCol w:w="144"/>
        <w:gridCol w:w="1276"/>
      </w:tblGrid>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keepNext/>
              <w:keepLines/>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sz w:val="16"/>
                <w:szCs w:val="16"/>
                <w:lang w:bidi="th-TH"/>
              </w:rPr>
              <w:t>Enhanced cooperation/ greater consensus among Member States on further developing balanced policy and normative frameworks for the international patent system, trademarks, industrial designs, geographical indications, copyright and related rights, TK, TCEs and GRs</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0"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auto"/>
          </w:tcPr>
          <w:p w:rsidR="00035B75" w:rsidRPr="005C50ED" w:rsidRDefault="00035B75" w:rsidP="00FC4F64">
            <w:pPr>
              <w:rPr>
                <w:rFonts w:cs="Arial"/>
                <w:sz w:val="16"/>
                <w:szCs w:val="16"/>
              </w:rPr>
            </w:pPr>
            <w:r w:rsidRPr="005C50ED">
              <w:rPr>
                <w:rFonts w:cs="Arial"/>
                <w:sz w:val="16"/>
                <w:szCs w:val="16"/>
                <w:lang w:bidi="th-TH"/>
              </w:rPr>
              <w:t>Conclusions agreed by Member States in each session of the SCCR</w:t>
            </w:r>
          </w:p>
        </w:tc>
        <w:tc>
          <w:tcPr>
            <w:tcW w:w="985" w:type="pct"/>
            <w:shd w:val="clear" w:color="auto" w:fill="auto"/>
          </w:tcPr>
          <w:p w:rsidR="00035B75" w:rsidRPr="005C50ED" w:rsidRDefault="00035B75" w:rsidP="00FC4F64">
            <w:pPr>
              <w:rPr>
                <w:rFonts w:cs="Arial"/>
                <w:i/>
                <w:color w:val="002060"/>
                <w:sz w:val="16"/>
                <w:szCs w:val="16"/>
              </w:rPr>
            </w:pPr>
            <w:r w:rsidRPr="005C50ED">
              <w:rPr>
                <w:rFonts w:cs="Arial"/>
                <w:i/>
                <w:color w:val="002060"/>
                <w:sz w:val="16"/>
                <w:szCs w:val="16"/>
              </w:rPr>
              <w:t>Updated Baseline end 2011:</w:t>
            </w:r>
            <w:r w:rsidR="002F7D53" w:rsidRPr="005C50ED">
              <w:rPr>
                <w:rFonts w:cs="Arial"/>
                <w:i/>
                <w:color w:val="002060"/>
                <w:sz w:val="16"/>
                <w:szCs w:val="16"/>
              </w:rPr>
              <w:t xml:space="preserve">  </w:t>
            </w:r>
            <w:r w:rsidRPr="005C50ED">
              <w:rPr>
                <w:rFonts w:cs="Arial"/>
                <w:color w:val="002060"/>
                <w:sz w:val="16"/>
                <w:szCs w:val="16"/>
              </w:rPr>
              <w:t xml:space="preserve">Conclusions reached in SCCR sessions </w:t>
            </w:r>
          </w:p>
          <w:p w:rsidR="00035B75" w:rsidRPr="005C50ED" w:rsidRDefault="00035B75" w:rsidP="00FC4F64">
            <w:pPr>
              <w:rPr>
                <w:rFonts w:cs="Arial"/>
                <w:color w:val="002060"/>
                <w:sz w:val="8"/>
                <w:szCs w:val="8"/>
              </w:rPr>
            </w:pPr>
          </w:p>
          <w:p w:rsidR="00035B75" w:rsidRPr="005C50ED" w:rsidRDefault="00035B75" w:rsidP="00FC4F64">
            <w:pPr>
              <w:rPr>
                <w:rFonts w:cs="Arial"/>
                <w:sz w:val="16"/>
                <w:szCs w:val="16"/>
                <w:lang w:bidi="th-TH"/>
              </w:rPr>
            </w:pPr>
            <w:r w:rsidRPr="005C50ED">
              <w:rPr>
                <w:rFonts w:cs="Arial"/>
                <w:i/>
                <w:sz w:val="16"/>
                <w:szCs w:val="16"/>
                <w:lang w:bidi="th-TH"/>
              </w:rPr>
              <w:t>Original Baseline P&amp;B 2012/13:</w:t>
            </w:r>
            <w:r w:rsidRPr="005C50ED">
              <w:rPr>
                <w:rFonts w:cs="Arial"/>
                <w:sz w:val="16"/>
                <w:szCs w:val="16"/>
                <w:lang w:bidi="th-TH"/>
              </w:rPr>
              <w:t xml:space="preserve"> </w:t>
            </w:r>
            <w:r w:rsidR="002F7D53" w:rsidRPr="005C50ED">
              <w:rPr>
                <w:rFonts w:cs="Arial"/>
                <w:sz w:val="16"/>
                <w:szCs w:val="16"/>
                <w:lang w:bidi="th-TH"/>
              </w:rPr>
              <w:t xml:space="preserve"> </w:t>
            </w:r>
            <w:r w:rsidRPr="005C50ED">
              <w:rPr>
                <w:rFonts w:cs="Arial"/>
                <w:sz w:val="16"/>
                <w:szCs w:val="16"/>
                <w:lang w:bidi="th-TH"/>
              </w:rPr>
              <w:t>Conclusions reached in SCCR sessions during 2010-11 biennium (3)  (March 2011)</w:t>
            </w:r>
          </w:p>
          <w:p w:rsidR="00035B75" w:rsidRPr="005C50ED" w:rsidRDefault="00035B75" w:rsidP="00FC4F64">
            <w:pPr>
              <w:rPr>
                <w:rFonts w:cs="Arial"/>
                <w:sz w:val="16"/>
                <w:szCs w:val="16"/>
              </w:rPr>
            </w:pPr>
          </w:p>
        </w:tc>
        <w:tc>
          <w:tcPr>
            <w:tcW w:w="765" w:type="pct"/>
            <w:shd w:val="clear" w:color="auto" w:fill="auto"/>
            <w:tcMar>
              <w:top w:w="110" w:type="dxa"/>
            </w:tcMar>
          </w:tcPr>
          <w:p w:rsidR="00035B75" w:rsidRPr="005C50ED" w:rsidRDefault="00035B75" w:rsidP="00FC4F64">
            <w:pPr>
              <w:autoSpaceDE w:val="0"/>
              <w:autoSpaceDN w:val="0"/>
              <w:adjustRightInd w:val="0"/>
              <w:rPr>
                <w:rFonts w:cs="Arial"/>
                <w:sz w:val="16"/>
                <w:szCs w:val="16"/>
              </w:rPr>
            </w:pPr>
            <w:r w:rsidRPr="005C50ED">
              <w:rPr>
                <w:rFonts w:cs="Arial"/>
                <w:sz w:val="16"/>
                <w:szCs w:val="16"/>
              </w:rPr>
              <w:t>Conclusions reached</w:t>
            </w:r>
          </w:p>
          <w:p w:rsidR="00035B75" w:rsidRPr="005C50ED" w:rsidRDefault="00035B75" w:rsidP="00FC4F64">
            <w:pPr>
              <w:autoSpaceDE w:val="0"/>
              <w:autoSpaceDN w:val="0"/>
              <w:adjustRightInd w:val="0"/>
              <w:rPr>
                <w:rFonts w:cs="Arial"/>
                <w:sz w:val="16"/>
                <w:szCs w:val="16"/>
              </w:rPr>
            </w:pPr>
            <w:r w:rsidRPr="005C50ED">
              <w:rPr>
                <w:rFonts w:cs="Arial"/>
                <w:sz w:val="16"/>
                <w:szCs w:val="16"/>
              </w:rPr>
              <w:t>in all SCCR sessions</w:t>
            </w:r>
          </w:p>
          <w:p w:rsidR="00035B75" w:rsidRPr="005C50ED" w:rsidRDefault="00035B75" w:rsidP="00FC4F64">
            <w:pPr>
              <w:autoSpaceDE w:val="0"/>
              <w:autoSpaceDN w:val="0"/>
              <w:adjustRightInd w:val="0"/>
              <w:rPr>
                <w:rFonts w:cs="Arial"/>
                <w:sz w:val="16"/>
                <w:szCs w:val="16"/>
              </w:rPr>
            </w:pPr>
            <w:r w:rsidRPr="005C50ED">
              <w:rPr>
                <w:rFonts w:cs="Arial"/>
                <w:sz w:val="16"/>
                <w:szCs w:val="16"/>
              </w:rPr>
              <w:t>during 2012/13</w:t>
            </w:r>
          </w:p>
          <w:p w:rsidR="00035B75" w:rsidRPr="005C50ED" w:rsidRDefault="00035B75" w:rsidP="00FC4F64">
            <w:pPr>
              <w:rPr>
                <w:rFonts w:cs="Arial"/>
                <w:sz w:val="16"/>
                <w:szCs w:val="16"/>
                <w:lang w:bidi="th-TH"/>
              </w:rPr>
            </w:pPr>
            <w:r w:rsidRPr="005C50ED">
              <w:rPr>
                <w:rFonts w:cs="Arial"/>
                <w:sz w:val="16"/>
                <w:szCs w:val="16"/>
              </w:rPr>
              <w:t>biennium</w:t>
            </w:r>
          </w:p>
        </w:tc>
        <w:tc>
          <w:tcPr>
            <w:tcW w:w="1660" w:type="pct"/>
            <w:gridSpan w:val="2"/>
            <w:shd w:val="clear" w:color="auto" w:fill="FFFFFF"/>
            <w:tcMar>
              <w:top w:w="110" w:type="dxa"/>
            </w:tcMar>
          </w:tcPr>
          <w:p w:rsidR="00035B75" w:rsidRPr="005C50ED" w:rsidRDefault="00035B75" w:rsidP="00FC4F64">
            <w:pPr>
              <w:rPr>
                <w:rFonts w:cs="Arial"/>
                <w:sz w:val="16"/>
                <w:szCs w:val="16"/>
              </w:rPr>
            </w:pPr>
            <w:r w:rsidRPr="005C50ED">
              <w:rPr>
                <w:rFonts w:eastAsia="SimSun" w:cs="Arial"/>
                <w:sz w:val="16"/>
                <w:szCs w:val="16"/>
                <w:lang w:eastAsia="zh-CN" w:bidi="th-TH"/>
              </w:rPr>
              <w:t>Conclusions were reached in three SCCR sessions</w:t>
            </w:r>
            <w:r w:rsidRPr="005C50ED">
              <w:rPr>
                <w:rFonts w:eastAsia="SimSun" w:cs="Arial"/>
                <w:sz w:val="16"/>
                <w:szCs w:val="16"/>
                <w:vertAlign w:val="superscript"/>
                <w:lang w:eastAsia="zh-CN" w:bidi="th-TH"/>
              </w:rPr>
              <w:footnoteReference w:id="3"/>
            </w:r>
            <w:r w:rsidRPr="005C50ED">
              <w:rPr>
                <w:rFonts w:eastAsia="SimSun" w:cs="Arial"/>
                <w:sz w:val="16"/>
                <w:szCs w:val="16"/>
                <w:lang w:eastAsia="zh-CN" w:bidi="th-TH"/>
              </w:rPr>
              <w:t xml:space="preserve"> to advance work on all substantive agenda items including limitations and exceptions for persons who are visually impaired/print disabled; protection for broadcasting organizations; limitations and exceptions for libraries and archives; and limitations and exceptions for education and research institutions.</w:t>
            </w:r>
          </w:p>
        </w:tc>
        <w:tc>
          <w:tcPr>
            <w:tcW w:w="682" w:type="pct"/>
            <w:shd w:val="clear" w:color="auto" w:fill="auto"/>
            <w:tcMar>
              <w:top w:w="110" w:type="dxa"/>
            </w:tcMar>
          </w:tcPr>
          <w:p w:rsidR="00035B75" w:rsidRPr="005C50ED" w:rsidRDefault="00035B75" w:rsidP="00FC4F64">
            <w:pPr>
              <w:keepNext/>
              <w:keepLines/>
              <w:jc w:val="center"/>
              <w:rPr>
                <w:rFonts w:cs="Arial"/>
                <w:bCs/>
                <w:color w:val="80808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tcBorders>
              <w:bottom w:val="single" w:sz="4" w:space="0" w:color="auto"/>
            </w:tcBorders>
            <w:shd w:val="clear" w:color="auto" w:fill="auto"/>
          </w:tcPr>
          <w:p w:rsidR="00035B75" w:rsidRPr="005C50ED" w:rsidRDefault="00035B75" w:rsidP="00FC4F64">
            <w:pPr>
              <w:keepNext/>
              <w:rPr>
                <w:rFonts w:cs="Arial"/>
                <w:sz w:val="16"/>
                <w:szCs w:val="16"/>
              </w:rPr>
            </w:pPr>
            <w:r w:rsidRPr="005C50ED">
              <w:rPr>
                <w:rFonts w:cs="Arial"/>
                <w:sz w:val="16"/>
                <w:szCs w:val="16"/>
                <w:lang w:bidi="th-TH"/>
              </w:rPr>
              <w:lastRenderedPageBreak/>
              <w:t>Progress towards agreement on current issues on the SCCR agenda</w:t>
            </w:r>
          </w:p>
        </w:tc>
        <w:tc>
          <w:tcPr>
            <w:tcW w:w="985" w:type="pct"/>
            <w:tcBorders>
              <w:bottom w:val="single" w:sz="4" w:space="0" w:color="auto"/>
            </w:tcBorders>
            <w:shd w:val="clear" w:color="auto" w:fill="auto"/>
          </w:tcPr>
          <w:p w:rsidR="00035B75" w:rsidRPr="005C50ED" w:rsidRDefault="00035B75" w:rsidP="002F7D53">
            <w:pPr>
              <w:keepNext/>
              <w:rPr>
                <w:rFonts w:cs="Arial"/>
                <w:i/>
                <w:color w:val="002060"/>
                <w:sz w:val="16"/>
                <w:szCs w:val="16"/>
              </w:rPr>
            </w:pPr>
            <w:r w:rsidRPr="005C50ED">
              <w:rPr>
                <w:rFonts w:cs="Arial"/>
                <w:i/>
                <w:color w:val="002060"/>
                <w:sz w:val="16"/>
                <w:szCs w:val="16"/>
              </w:rPr>
              <w:t>Updated Baseline end 2011:</w:t>
            </w:r>
            <w:r w:rsidR="002F7D53" w:rsidRPr="005C50ED">
              <w:rPr>
                <w:rFonts w:cs="Arial"/>
                <w:i/>
                <w:color w:val="002060"/>
                <w:sz w:val="16"/>
                <w:szCs w:val="16"/>
              </w:rPr>
              <w:t xml:space="preserve">  </w:t>
            </w:r>
            <w:r w:rsidRPr="005C50ED">
              <w:rPr>
                <w:rFonts w:cs="Arial"/>
                <w:color w:val="002060"/>
                <w:sz w:val="16"/>
                <w:szCs w:val="16"/>
              </w:rPr>
              <w:t xml:space="preserve">Progress made in the SCCR Agenda </w:t>
            </w:r>
          </w:p>
          <w:p w:rsidR="00035B75" w:rsidRPr="005C50ED" w:rsidRDefault="00035B75" w:rsidP="00FC4F64">
            <w:pPr>
              <w:keepNext/>
              <w:rPr>
                <w:rFonts w:cs="Arial"/>
                <w:i/>
                <w:sz w:val="8"/>
                <w:szCs w:val="8"/>
                <w:lang w:bidi="th-TH"/>
              </w:rPr>
            </w:pPr>
          </w:p>
          <w:p w:rsidR="00035B75" w:rsidRPr="005C50ED" w:rsidRDefault="00035B75" w:rsidP="00FC4F64">
            <w:pPr>
              <w:keepNext/>
              <w:rPr>
                <w:rFonts w:cs="Arial"/>
                <w:sz w:val="16"/>
                <w:szCs w:val="16"/>
                <w:lang w:bidi="th-TH"/>
              </w:rPr>
            </w:pPr>
            <w:r w:rsidRPr="005C50ED">
              <w:rPr>
                <w:rFonts w:cs="Arial"/>
                <w:i/>
                <w:sz w:val="16"/>
                <w:szCs w:val="16"/>
                <w:lang w:bidi="th-TH"/>
              </w:rPr>
              <w:t xml:space="preserve">Original Baseline P&amp;B 2012/13: </w:t>
            </w:r>
            <w:r w:rsidR="002F7D53" w:rsidRPr="005C50ED">
              <w:rPr>
                <w:rFonts w:cs="Arial"/>
                <w:sz w:val="16"/>
                <w:szCs w:val="16"/>
                <w:lang w:bidi="th-TH"/>
              </w:rPr>
              <w:t xml:space="preserve"> </w:t>
            </w:r>
            <w:r w:rsidRPr="005C50ED">
              <w:rPr>
                <w:rFonts w:cs="Arial"/>
                <w:sz w:val="16"/>
                <w:szCs w:val="16"/>
                <w:lang w:bidi="th-TH"/>
              </w:rPr>
              <w:t>WCT, WPPT (1996), Rome Convention (1961) (March 2011)</w:t>
            </w:r>
          </w:p>
          <w:p w:rsidR="00035B75" w:rsidRPr="005C50ED" w:rsidRDefault="00035B75" w:rsidP="00FC4F64">
            <w:pPr>
              <w:keepNext/>
              <w:rPr>
                <w:rFonts w:cs="Arial"/>
                <w:sz w:val="16"/>
                <w:szCs w:val="16"/>
              </w:rPr>
            </w:pPr>
          </w:p>
        </w:tc>
        <w:tc>
          <w:tcPr>
            <w:tcW w:w="765" w:type="pct"/>
            <w:tcBorders>
              <w:bottom w:val="single" w:sz="4" w:space="0" w:color="auto"/>
            </w:tcBorders>
            <w:shd w:val="clear" w:color="auto" w:fill="auto"/>
            <w:tcMar>
              <w:top w:w="110" w:type="dxa"/>
            </w:tcMar>
          </w:tcPr>
          <w:p w:rsidR="00035B75" w:rsidRPr="002C52FB" w:rsidRDefault="00035B75" w:rsidP="00FC4F64">
            <w:pPr>
              <w:keepNext/>
              <w:rPr>
                <w:rFonts w:cs="Arial"/>
                <w:sz w:val="16"/>
                <w:szCs w:val="16"/>
              </w:rPr>
            </w:pPr>
            <w:r w:rsidRPr="005C50ED">
              <w:rPr>
                <w:rFonts w:cs="Arial"/>
                <w:sz w:val="16"/>
                <w:szCs w:val="16"/>
              </w:rPr>
              <w:t>International</w:t>
            </w:r>
            <w:r w:rsidR="002C52FB">
              <w:rPr>
                <w:rFonts w:cs="Arial"/>
                <w:sz w:val="16"/>
                <w:szCs w:val="16"/>
              </w:rPr>
              <w:t xml:space="preserve"> </w:t>
            </w:r>
            <w:r w:rsidRPr="005C50ED">
              <w:rPr>
                <w:rFonts w:cs="Arial"/>
                <w:sz w:val="16"/>
                <w:szCs w:val="16"/>
              </w:rPr>
              <w:t>instruments concluded</w:t>
            </w:r>
            <w:r w:rsidR="002C52FB">
              <w:rPr>
                <w:rFonts w:cs="Arial"/>
                <w:sz w:val="16"/>
                <w:szCs w:val="16"/>
              </w:rPr>
              <w:t xml:space="preserve"> </w:t>
            </w:r>
            <w:r w:rsidRPr="005C50ED">
              <w:rPr>
                <w:rFonts w:cs="Arial"/>
                <w:sz w:val="16"/>
                <w:szCs w:val="16"/>
              </w:rPr>
              <w:t>on exceptions and limitations,</w:t>
            </w:r>
            <w:r w:rsidR="002C52FB">
              <w:rPr>
                <w:rFonts w:cs="Arial"/>
                <w:sz w:val="16"/>
                <w:szCs w:val="16"/>
              </w:rPr>
              <w:t xml:space="preserve"> </w:t>
            </w:r>
            <w:r w:rsidRPr="005C50ED">
              <w:rPr>
                <w:rFonts w:cs="Arial"/>
                <w:sz w:val="16"/>
                <w:szCs w:val="16"/>
              </w:rPr>
              <w:t>broadcasting and audiovisual</w:t>
            </w:r>
            <w:r w:rsidR="002C52FB">
              <w:rPr>
                <w:rFonts w:cs="Arial"/>
                <w:sz w:val="16"/>
                <w:szCs w:val="16"/>
              </w:rPr>
              <w:t xml:space="preserve"> </w:t>
            </w:r>
            <w:r w:rsidRPr="005C50ED">
              <w:rPr>
                <w:rFonts w:cs="Arial"/>
                <w:sz w:val="16"/>
                <w:szCs w:val="16"/>
              </w:rPr>
              <w:t>performances</w:t>
            </w:r>
          </w:p>
        </w:tc>
        <w:tc>
          <w:tcPr>
            <w:tcW w:w="1661" w:type="pct"/>
            <w:gridSpan w:val="2"/>
            <w:tcBorders>
              <w:bottom w:val="single" w:sz="4" w:space="0" w:color="auto"/>
            </w:tcBorders>
            <w:shd w:val="clear" w:color="auto" w:fill="FFFFFF"/>
            <w:tcMar>
              <w:top w:w="110" w:type="dxa"/>
            </w:tcMar>
          </w:tcPr>
          <w:p w:rsidR="00035B75" w:rsidRPr="005C50ED" w:rsidRDefault="00035B75" w:rsidP="00FC4F64">
            <w:pPr>
              <w:rPr>
                <w:rFonts w:cs="Arial"/>
                <w:sz w:val="16"/>
                <w:szCs w:val="16"/>
              </w:rPr>
            </w:pPr>
            <w:r w:rsidRPr="005C50ED">
              <w:rPr>
                <w:rFonts w:eastAsia="SimSun" w:cs="Arial"/>
                <w:sz w:val="16"/>
                <w:szCs w:val="16"/>
                <w:lang w:eastAsia="zh-CN"/>
              </w:rPr>
              <w:t xml:space="preserve">Beijing Treaty text adopted in June 2012. </w:t>
            </w:r>
            <w:r w:rsidR="002C52FB">
              <w:rPr>
                <w:rFonts w:eastAsia="SimSun" w:cs="Arial"/>
                <w:sz w:val="16"/>
                <w:szCs w:val="16"/>
                <w:lang w:eastAsia="zh-CN"/>
              </w:rPr>
              <w:t xml:space="preserve"> </w:t>
            </w:r>
            <w:r w:rsidRPr="005C50ED">
              <w:rPr>
                <w:rFonts w:eastAsia="SimSun" w:cs="Arial"/>
                <w:sz w:val="16"/>
                <w:szCs w:val="16"/>
                <w:lang w:eastAsia="zh-CN"/>
              </w:rPr>
              <w:t>Marrakesh VIP Treaty text adopted in June 2013.  Progress consistent with SCCR work plan on all issues on the agenda.</w:t>
            </w:r>
          </w:p>
        </w:tc>
        <w:tc>
          <w:tcPr>
            <w:tcW w:w="682" w:type="pct"/>
            <w:tcBorders>
              <w:bottom w:val="single" w:sz="4" w:space="0" w:color="auto"/>
            </w:tcBorders>
            <w:shd w:val="clear" w:color="auto" w:fill="auto"/>
            <w:tcMar>
              <w:top w:w="110" w:type="dxa"/>
            </w:tcMar>
          </w:tcPr>
          <w:p w:rsidR="00035B75" w:rsidRPr="005C50ED" w:rsidRDefault="00035B75" w:rsidP="00FC4F64">
            <w:pPr>
              <w:keepNext/>
              <w:keepLines/>
              <w:jc w:val="center"/>
              <w:rPr>
                <w:rFonts w:cs="Arial"/>
                <w:bCs/>
                <w:color w:val="80808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keepNext/>
              <w:keepLines/>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color w:val="000000"/>
                <w:sz w:val="16"/>
                <w:szCs w:val="16"/>
                <w:lang w:bidi="th-TH"/>
              </w:rPr>
              <w:t>Evidence-based decision making on copyright issues</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1"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FFFFFF"/>
          </w:tcPr>
          <w:p w:rsidR="00035B75" w:rsidRPr="005C50ED" w:rsidRDefault="00035B75" w:rsidP="00FC4F64">
            <w:pPr>
              <w:rPr>
                <w:rFonts w:cs="Arial"/>
                <w:sz w:val="16"/>
                <w:szCs w:val="16"/>
                <w:lang w:bidi="th-TH"/>
              </w:rPr>
            </w:pPr>
            <w:r w:rsidRPr="005C50ED">
              <w:rPr>
                <w:rFonts w:cs="Arial"/>
                <w:color w:val="000000"/>
                <w:sz w:val="16"/>
                <w:szCs w:val="16"/>
                <w:lang w:bidi="th-TH"/>
              </w:rPr>
              <w:t>No. of follow-up requests for specific studies or guidance on activities contributing to  policy decision</w:t>
            </w:r>
          </w:p>
        </w:tc>
        <w:tc>
          <w:tcPr>
            <w:tcW w:w="985" w:type="pct"/>
            <w:shd w:val="clear" w:color="auto" w:fill="auto"/>
          </w:tcPr>
          <w:p w:rsidR="00035B75" w:rsidRPr="005C50ED" w:rsidRDefault="00035B75" w:rsidP="00FC4F64">
            <w:pPr>
              <w:keepNext/>
              <w:rPr>
                <w:rFonts w:cs="Arial"/>
                <w:i/>
                <w:color w:val="002060"/>
                <w:sz w:val="16"/>
                <w:szCs w:val="16"/>
              </w:rPr>
            </w:pPr>
            <w:r w:rsidRPr="005C50ED">
              <w:rPr>
                <w:rFonts w:cs="Arial"/>
                <w:i/>
                <w:color w:val="002060"/>
                <w:sz w:val="16"/>
                <w:szCs w:val="16"/>
              </w:rPr>
              <w:t>Updated Baseline end 2011:</w:t>
            </w:r>
            <w:r w:rsidRPr="005C50ED">
              <w:rPr>
                <w:rFonts w:cs="Arial"/>
                <w:color w:val="993300"/>
                <w:sz w:val="16"/>
                <w:szCs w:val="16"/>
                <w:lang w:bidi="th-TH"/>
              </w:rPr>
              <w:t xml:space="preserve">  </w:t>
            </w:r>
            <w:r w:rsidRPr="005C50ED">
              <w:rPr>
                <w:rFonts w:cs="Arial"/>
                <w:color w:val="002060"/>
                <w:sz w:val="16"/>
                <w:szCs w:val="16"/>
                <w:lang w:bidi="th-TH"/>
              </w:rPr>
              <w:t>Six requests</w:t>
            </w:r>
          </w:p>
          <w:p w:rsidR="00035B75" w:rsidRPr="005C50ED" w:rsidRDefault="00035B75" w:rsidP="00FC4F64">
            <w:pPr>
              <w:rPr>
                <w:rFonts w:cs="Arial"/>
                <w:i/>
                <w:color w:val="000000"/>
                <w:sz w:val="8"/>
                <w:szCs w:val="8"/>
                <w:lang w:bidi="th-TH"/>
              </w:rPr>
            </w:pPr>
          </w:p>
          <w:p w:rsidR="00035B75" w:rsidRPr="005C50ED" w:rsidRDefault="00035B75" w:rsidP="00FC4F64">
            <w:pPr>
              <w:rPr>
                <w:rFonts w:cs="Arial"/>
                <w:sz w:val="16"/>
                <w:szCs w:val="16"/>
                <w:lang w:bidi="th-TH"/>
              </w:rPr>
            </w:pPr>
            <w:r w:rsidRPr="005C50ED">
              <w:rPr>
                <w:rFonts w:cs="Arial"/>
                <w:i/>
                <w:color w:val="000000"/>
                <w:sz w:val="16"/>
                <w:szCs w:val="16"/>
                <w:lang w:bidi="th-TH"/>
              </w:rPr>
              <w:t xml:space="preserve">Original Baseline P&amp;B 2012/13: </w:t>
            </w:r>
            <w:r w:rsidRPr="005C50ED">
              <w:rPr>
                <w:rFonts w:cs="Arial"/>
                <w:color w:val="000000"/>
                <w:sz w:val="16"/>
                <w:szCs w:val="16"/>
                <w:lang w:bidi="th-TH"/>
              </w:rPr>
              <w:t xml:space="preserve"> Six by </w:t>
            </w:r>
            <w:r w:rsidRPr="005C50ED">
              <w:rPr>
                <w:rFonts w:cs="Arial"/>
                <w:sz w:val="16"/>
                <w:szCs w:val="16"/>
                <w:lang w:bidi="th-TH"/>
              </w:rPr>
              <w:t>February</w:t>
            </w:r>
            <w:r w:rsidRPr="005C50ED">
              <w:rPr>
                <w:rFonts w:cs="Arial"/>
                <w:color w:val="000000"/>
                <w:sz w:val="16"/>
                <w:szCs w:val="16"/>
                <w:lang w:bidi="th-TH"/>
              </w:rPr>
              <w:t xml:space="preserve"> 2011</w:t>
            </w:r>
          </w:p>
        </w:tc>
        <w:tc>
          <w:tcPr>
            <w:tcW w:w="765" w:type="pct"/>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15 (in 2012/13)</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 xml:space="preserve">16 requests in 2012/13 on economic performance of specific creative industries: </w:t>
            </w:r>
            <w:r w:rsidR="002C52FB">
              <w:rPr>
                <w:rFonts w:cs="Arial"/>
                <w:sz w:val="16"/>
                <w:szCs w:val="16"/>
                <w:lang w:bidi="th-TH"/>
              </w:rPr>
              <w:t xml:space="preserve"> </w:t>
            </w:r>
            <w:r w:rsidRPr="005C50ED">
              <w:rPr>
                <w:rFonts w:cs="Arial"/>
                <w:sz w:val="16"/>
                <w:szCs w:val="16"/>
                <w:lang w:bidi="th-TH"/>
              </w:rPr>
              <w:t xml:space="preserve">Africa (2), Arab (1), Asia and Pacific (7), Latin America and the Caribbean (4) and Other (2). </w:t>
            </w:r>
          </w:p>
        </w:tc>
        <w:tc>
          <w:tcPr>
            <w:tcW w:w="682" w:type="pct"/>
            <w:shd w:val="clear" w:color="auto" w:fill="auto"/>
            <w:tcMar>
              <w:top w:w="110" w:type="dxa"/>
            </w:tcMar>
          </w:tcPr>
          <w:p w:rsidR="00035B75" w:rsidRPr="005C50ED" w:rsidRDefault="00035B75" w:rsidP="00FC4F64">
            <w:pPr>
              <w:keepNext/>
              <w:keepLines/>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shd w:val="clear" w:color="auto" w:fill="auto"/>
          </w:tcPr>
          <w:p w:rsidR="00035B75" w:rsidRPr="005C50ED" w:rsidRDefault="00035B75" w:rsidP="00FC4F64">
            <w:pPr>
              <w:rPr>
                <w:rFonts w:cs="Arial"/>
                <w:sz w:val="16"/>
                <w:szCs w:val="16"/>
                <w:lang w:bidi="th-TH"/>
              </w:rPr>
            </w:pPr>
            <w:r w:rsidRPr="005C50ED">
              <w:rPr>
                <w:rFonts w:cs="Arial"/>
                <w:color w:val="000000"/>
                <w:sz w:val="16"/>
                <w:szCs w:val="16"/>
                <w:lang w:bidi="th-TH"/>
              </w:rPr>
              <w:t>No. of countries using WIPO studies on their creative industries for developing creative industry strategies</w:t>
            </w:r>
          </w:p>
        </w:tc>
        <w:tc>
          <w:tcPr>
            <w:tcW w:w="985" w:type="pct"/>
            <w:shd w:val="clear" w:color="auto" w:fill="auto"/>
          </w:tcPr>
          <w:p w:rsidR="00035B75" w:rsidRPr="005C50ED" w:rsidRDefault="00035B75" w:rsidP="00FC4F64">
            <w:pPr>
              <w:rPr>
                <w:rFonts w:cs="Arial"/>
                <w:sz w:val="16"/>
                <w:szCs w:val="16"/>
                <w:lang w:bidi="th-TH"/>
              </w:rPr>
            </w:pPr>
            <w:r w:rsidRPr="005C50ED">
              <w:rPr>
                <w:rFonts w:cs="Arial"/>
                <w:color w:val="000000"/>
                <w:sz w:val="16"/>
                <w:szCs w:val="16"/>
                <w:lang w:bidi="th-TH"/>
              </w:rPr>
              <w:t xml:space="preserve">Three </w:t>
            </w:r>
            <w:r w:rsidRPr="005C50ED">
              <w:rPr>
                <w:rFonts w:cs="Arial"/>
                <w:sz w:val="16"/>
                <w:szCs w:val="16"/>
                <w:lang w:bidi="th-TH"/>
              </w:rPr>
              <w:t>countries</w:t>
            </w:r>
          </w:p>
        </w:tc>
        <w:tc>
          <w:tcPr>
            <w:tcW w:w="765" w:type="pct"/>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10 countries</w:t>
            </w:r>
          </w:p>
          <w:p w:rsidR="00035B75" w:rsidRPr="005C50ED" w:rsidRDefault="00035B75" w:rsidP="00FC4F64">
            <w:pPr>
              <w:rPr>
                <w:rFonts w:cs="Arial"/>
                <w:sz w:val="16"/>
                <w:szCs w:val="16"/>
                <w:lang w:bidi="th-TH"/>
              </w:rPr>
            </w:pPr>
            <w:r w:rsidRPr="005C50ED">
              <w:rPr>
                <w:rFonts w:cs="Arial"/>
                <w:sz w:val="16"/>
                <w:szCs w:val="16"/>
                <w:lang w:bidi="th-TH"/>
              </w:rPr>
              <w:t>(cumulative)</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 xml:space="preserve">10 countries in 2012/13: </w:t>
            </w:r>
            <w:r w:rsidR="002C52FB">
              <w:rPr>
                <w:rFonts w:cs="Arial"/>
                <w:sz w:val="16"/>
                <w:szCs w:val="16"/>
                <w:lang w:bidi="th-TH"/>
              </w:rPr>
              <w:t xml:space="preserve"> </w:t>
            </w:r>
            <w:r w:rsidRPr="005C50ED">
              <w:rPr>
                <w:rFonts w:cs="Arial"/>
                <w:sz w:val="16"/>
                <w:szCs w:val="16"/>
                <w:lang w:bidi="th-TH"/>
              </w:rPr>
              <w:t>Bulgaria, China, Colombia, Croatia, Jamaica, Kenya, Malaysia, the United Republic of Tanzania, Thailand and Trinidad and Tobago</w:t>
            </w:r>
            <w:r w:rsidR="002C52FB">
              <w:rPr>
                <w:rFonts w:cs="Arial"/>
                <w:sz w:val="16"/>
                <w:szCs w:val="16"/>
                <w:lang w:bidi="th-TH"/>
              </w:rPr>
              <w:t>.</w:t>
            </w:r>
            <w:r w:rsidRPr="005C50ED">
              <w:rPr>
                <w:rFonts w:cs="Arial"/>
                <w:sz w:val="16"/>
                <w:szCs w:val="16"/>
                <w:lang w:bidi="th-TH"/>
              </w:rPr>
              <w:t xml:space="preserve"> </w:t>
            </w:r>
          </w:p>
        </w:tc>
        <w:tc>
          <w:tcPr>
            <w:tcW w:w="682" w:type="pct"/>
            <w:shd w:val="clear" w:color="auto" w:fill="auto"/>
          </w:tcPr>
          <w:p w:rsidR="00035B75" w:rsidRPr="005C50ED" w:rsidRDefault="00035B75" w:rsidP="00FC4F64">
            <w:pPr>
              <w:keepNext/>
              <w:keepLines/>
              <w:jc w:val="center"/>
              <w:rPr>
                <w:rFonts w:cs="Arial"/>
                <w:bCs/>
                <w:color w:val="333333"/>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tcBorders>
              <w:bottom w:val="single" w:sz="4" w:space="0" w:color="auto"/>
            </w:tcBorders>
            <w:shd w:val="clear" w:color="auto" w:fill="auto"/>
          </w:tcPr>
          <w:p w:rsidR="00035B75" w:rsidRPr="005C50ED" w:rsidRDefault="00035B75" w:rsidP="00FC4F64">
            <w:pPr>
              <w:rPr>
                <w:rFonts w:cs="Arial"/>
                <w:color w:val="000000"/>
                <w:sz w:val="16"/>
                <w:szCs w:val="16"/>
                <w:lang w:bidi="th-TH"/>
              </w:rPr>
            </w:pPr>
            <w:r w:rsidRPr="005C50ED">
              <w:rPr>
                <w:rFonts w:cs="Arial"/>
                <w:color w:val="000000"/>
                <w:sz w:val="16"/>
                <w:szCs w:val="16"/>
                <w:lang w:bidi="th-TH"/>
              </w:rPr>
              <w:t>No. of downloads, requests and distribution of WIPO tools for management of copyright in specific creative industries</w:t>
            </w:r>
          </w:p>
          <w:p w:rsidR="00035B75" w:rsidRPr="005C50ED" w:rsidRDefault="00035B75" w:rsidP="00FC4F64">
            <w:pPr>
              <w:rPr>
                <w:rFonts w:cs="Arial"/>
                <w:color w:val="000000"/>
                <w:sz w:val="16"/>
                <w:szCs w:val="16"/>
                <w:lang w:bidi="th-TH"/>
              </w:rPr>
            </w:pPr>
          </w:p>
        </w:tc>
        <w:tc>
          <w:tcPr>
            <w:tcW w:w="985" w:type="pct"/>
            <w:tcBorders>
              <w:bottom w:val="single" w:sz="4" w:space="0" w:color="auto"/>
            </w:tcBorders>
            <w:shd w:val="clear" w:color="auto" w:fill="auto"/>
          </w:tcPr>
          <w:p w:rsidR="00035B75" w:rsidRPr="005C50ED" w:rsidRDefault="00035B75" w:rsidP="00FC4F64">
            <w:pPr>
              <w:rPr>
                <w:rFonts w:cs="Arial"/>
                <w:i/>
                <w:color w:val="000000"/>
                <w:sz w:val="16"/>
                <w:szCs w:val="16"/>
                <w:lang w:bidi="th-TH"/>
              </w:rPr>
            </w:pPr>
            <w:r w:rsidRPr="005C50ED">
              <w:rPr>
                <w:rFonts w:cs="Arial"/>
                <w:sz w:val="16"/>
                <w:szCs w:val="16"/>
                <w:lang w:bidi="th-TH"/>
              </w:rPr>
              <w:t>Tbd</w:t>
            </w:r>
          </w:p>
        </w:tc>
        <w:tc>
          <w:tcPr>
            <w:tcW w:w="765" w:type="pct"/>
            <w:tcBorders>
              <w:bottom w:val="single" w:sz="4" w:space="0" w:color="auto"/>
            </w:tcBorders>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Increase in</w:t>
            </w:r>
            <w:r w:rsidR="005C50ED">
              <w:rPr>
                <w:rFonts w:cs="Arial"/>
                <w:sz w:val="16"/>
                <w:szCs w:val="16"/>
                <w:lang w:bidi="th-TH"/>
              </w:rPr>
              <w:t xml:space="preserve"> </w:t>
            </w:r>
            <w:r w:rsidRPr="005C50ED">
              <w:rPr>
                <w:rFonts w:cs="Arial"/>
                <w:sz w:val="16"/>
                <w:szCs w:val="16"/>
                <w:lang w:bidi="th-TH"/>
              </w:rPr>
              <w:t>downloads, 10</w:t>
            </w:r>
            <w:r w:rsidR="00BE2AF9">
              <w:rPr>
                <w:rFonts w:cs="Arial"/>
                <w:sz w:val="16"/>
                <w:szCs w:val="16"/>
                <w:lang w:bidi="th-TH"/>
              </w:rPr>
              <w:t> </w:t>
            </w:r>
            <w:r w:rsidRPr="005C50ED">
              <w:rPr>
                <w:rFonts w:cs="Arial"/>
                <w:sz w:val="16"/>
                <w:szCs w:val="16"/>
                <w:lang w:bidi="th-TH"/>
              </w:rPr>
              <w:t>requests, over 500</w:t>
            </w:r>
            <w:r w:rsidR="00BE2AF9">
              <w:rPr>
                <w:rFonts w:cs="Arial"/>
                <w:sz w:val="16"/>
                <w:szCs w:val="16"/>
                <w:lang w:bidi="th-TH"/>
              </w:rPr>
              <w:t xml:space="preserve"> </w:t>
            </w:r>
            <w:r w:rsidRPr="005C50ED">
              <w:rPr>
                <w:rFonts w:cs="Arial"/>
                <w:sz w:val="16"/>
                <w:szCs w:val="16"/>
                <w:lang w:bidi="th-TH"/>
              </w:rPr>
              <w:t>copies distributed</w:t>
            </w:r>
            <w:r w:rsidR="00BE2AF9">
              <w:rPr>
                <w:rFonts w:cs="Arial"/>
                <w:sz w:val="16"/>
                <w:szCs w:val="16"/>
                <w:lang w:bidi="th-TH"/>
              </w:rPr>
              <w:t xml:space="preserve"> (in </w:t>
            </w:r>
            <w:r w:rsidRPr="005C50ED">
              <w:rPr>
                <w:rFonts w:cs="Arial"/>
                <w:sz w:val="16"/>
                <w:szCs w:val="16"/>
                <w:lang w:bidi="th-TH"/>
              </w:rPr>
              <w:t>2012/13)</w:t>
            </w:r>
          </w:p>
        </w:tc>
        <w:tc>
          <w:tcPr>
            <w:tcW w:w="1661" w:type="pct"/>
            <w:gridSpan w:val="2"/>
            <w:tcBorders>
              <w:bottom w:val="single" w:sz="4" w:space="0" w:color="auto"/>
            </w:tcBorders>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 xml:space="preserve">53,185 </w:t>
            </w:r>
            <w:proofErr w:type="gramStart"/>
            <w:r w:rsidRPr="005C50ED">
              <w:rPr>
                <w:rFonts w:cs="Arial"/>
                <w:sz w:val="16"/>
                <w:szCs w:val="16"/>
                <w:lang w:bidi="th-TH"/>
              </w:rPr>
              <w:t>downloads</w:t>
            </w:r>
            <w:proofErr w:type="gramEnd"/>
            <w:r w:rsidRPr="005C50ED">
              <w:rPr>
                <w:rFonts w:cs="Arial"/>
                <w:sz w:val="16"/>
                <w:szCs w:val="16"/>
                <w:lang w:bidi="th-TH"/>
              </w:rPr>
              <w:t xml:space="preserve"> of WIPO tools on creative industries. 13 requests for publications received. </w:t>
            </w:r>
            <w:r w:rsidR="00BE2AF9">
              <w:rPr>
                <w:rFonts w:cs="Arial"/>
                <w:sz w:val="16"/>
                <w:szCs w:val="16"/>
                <w:lang w:bidi="th-TH"/>
              </w:rPr>
              <w:t xml:space="preserve"> </w:t>
            </w:r>
            <w:r w:rsidRPr="005C50ED">
              <w:rPr>
                <w:rFonts w:cs="Arial"/>
                <w:sz w:val="16"/>
                <w:szCs w:val="16"/>
                <w:lang w:bidi="th-TH"/>
              </w:rPr>
              <w:t>1,800 copies of WIPO tools for creators distributed</w:t>
            </w:r>
            <w:r w:rsidR="00BE2AF9">
              <w:rPr>
                <w:rFonts w:cs="Arial"/>
                <w:sz w:val="16"/>
                <w:szCs w:val="16"/>
                <w:lang w:bidi="th-TH"/>
              </w:rPr>
              <w:t>.</w:t>
            </w:r>
          </w:p>
        </w:tc>
        <w:tc>
          <w:tcPr>
            <w:tcW w:w="682" w:type="pct"/>
            <w:tcBorders>
              <w:bottom w:val="single" w:sz="4" w:space="0" w:color="auto"/>
            </w:tcBorders>
            <w:shd w:val="clear" w:color="auto" w:fill="auto"/>
          </w:tcPr>
          <w:p w:rsidR="00035B75" w:rsidRPr="005C50ED" w:rsidRDefault="00035B75" w:rsidP="00FC4F64">
            <w:pPr>
              <w:keepNext/>
              <w:keepLines/>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sz w:val="16"/>
                <w:szCs w:val="16"/>
                <w:lang w:bidi="th-TH"/>
              </w:rPr>
              <w:t xml:space="preserve">Tailored and balanced IP legislative, regulatory and policy frameworks  </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1"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tcBorders>
              <w:bottom w:val="single" w:sz="4" w:space="0" w:color="auto"/>
            </w:tcBorders>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No. of countries that have initiated legislative reform in the area of copyright and related rights</w:t>
            </w:r>
          </w:p>
        </w:tc>
        <w:tc>
          <w:tcPr>
            <w:tcW w:w="985" w:type="pct"/>
            <w:tcBorders>
              <w:bottom w:val="single" w:sz="4" w:space="0" w:color="auto"/>
            </w:tcBorders>
            <w:shd w:val="clear" w:color="auto" w:fill="auto"/>
          </w:tcPr>
          <w:p w:rsidR="00035B75" w:rsidRPr="005C50ED" w:rsidRDefault="00035B75" w:rsidP="002F7D53">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w:t>
            </w:r>
            <w:r w:rsidRPr="005C50ED">
              <w:rPr>
                <w:rFonts w:cs="Arial"/>
                <w:color w:val="002060"/>
                <w:sz w:val="16"/>
                <w:szCs w:val="16"/>
              </w:rPr>
              <w:t xml:space="preserve">19 countries </w:t>
            </w:r>
          </w:p>
          <w:p w:rsidR="00035B75" w:rsidRPr="005C50ED" w:rsidRDefault="00035B75" w:rsidP="00FC4F64">
            <w:pPr>
              <w:rPr>
                <w:rFonts w:cs="Arial"/>
                <w:sz w:val="8"/>
                <w:szCs w:val="8"/>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005C50ED">
              <w:rPr>
                <w:rFonts w:cs="Arial"/>
                <w:sz w:val="16"/>
                <w:szCs w:val="16"/>
                <w:lang w:bidi="th-TH"/>
              </w:rPr>
              <w:t xml:space="preserve"> </w:t>
            </w:r>
            <w:r w:rsidRPr="005C50ED">
              <w:rPr>
                <w:rFonts w:cs="Arial"/>
                <w:sz w:val="16"/>
                <w:szCs w:val="16"/>
                <w:lang w:bidi="th-TH"/>
              </w:rPr>
              <w:t>19 countries received WIPO legislative advice in 2010/11 (March 2011)</w:t>
            </w:r>
          </w:p>
          <w:p w:rsidR="00035B75" w:rsidRPr="005C50ED" w:rsidRDefault="00035B75" w:rsidP="00FC4F64">
            <w:pPr>
              <w:rPr>
                <w:rFonts w:cs="Arial"/>
                <w:sz w:val="16"/>
                <w:szCs w:val="16"/>
                <w:lang w:bidi="th-TH"/>
              </w:rPr>
            </w:pPr>
          </w:p>
        </w:tc>
        <w:tc>
          <w:tcPr>
            <w:tcW w:w="765" w:type="pct"/>
            <w:tcBorders>
              <w:bottom w:val="single" w:sz="4" w:space="0" w:color="auto"/>
            </w:tcBorders>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18 countries</w:t>
            </w:r>
          </w:p>
        </w:tc>
        <w:tc>
          <w:tcPr>
            <w:tcW w:w="1661" w:type="pct"/>
            <w:gridSpan w:val="2"/>
            <w:tcBorders>
              <w:bottom w:val="single" w:sz="4" w:space="0" w:color="auto"/>
            </w:tcBorders>
            <w:shd w:val="clear" w:color="auto" w:fill="FFFFFF"/>
            <w:tcMar>
              <w:top w:w="110" w:type="dxa"/>
            </w:tcMar>
          </w:tcPr>
          <w:p w:rsidR="00035B75" w:rsidRPr="005C50ED" w:rsidRDefault="00035B75" w:rsidP="00BE2AF9">
            <w:pPr>
              <w:rPr>
                <w:rFonts w:cs="Arial"/>
                <w:sz w:val="16"/>
                <w:szCs w:val="16"/>
                <w:lang w:bidi="th-TH"/>
              </w:rPr>
            </w:pPr>
            <w:r w:rsidRPr="005C50ED">
              <w:rPr>
                <w:rFonts w:eastAsia="SimSun" w:cs="Arial"/>
                <w:sz w:val="16"/>
                <w:szCs w:val="16"/>
                <w:lang w:eastAsia="zh-CN" w:bidi="th-TH"/>
              </w:rPr>
              <w:t>24 countries from the following regions received legislative advice in 2012/13: Africa (10), Arab (6), Asia and Pacific</w:t>
            </w:r>
            <w:r w:rsidR="00BE2AF9">
              <w:rPr>
                <w:rFonts w:eastAsia="SimSun" w:cs="Arial"/>
                <w:sz w:val="16"/>
                <w:szCs w:val="16"/>
                <w:lang w:eastAsia="zh-CN" w:bidi="th-TH"/>
              </w:rPr>
              <w:t> </w:t>
            </w:r>
            <w:r w:rsidRPr="005C50ED">
              <w:rPr>
                <w:rFonts w:eastAsia="SimSun" w:cs="Arial"/>
                <w:sz w:val="16"/>
                <w:szCs w:val="16"/>
                <w:lang w:eastAsia="zh-CN" w:bidi="th-TH"/>
              </w:rPr>
              <w:t>(6), Certain Countries in Europe and Asia (2).</w:t>
            </w:r>
          </w:p>
        </w:tc>
        <w:tc>
          <w:tcPr>
            <w:tcW w:w="682" w:type="pct"/>
            <w:tcBorders>
              <w:bottom w:val="single" w:sz="4" w:space="0" w:color="auto"/>
            </w:tcBorders>
            <w:shd w:val="clear" w:color="auto" w:fill="auto"/>
            <w:tcMar>
              <w:top w:w="110" w:type="dxa"/>
            </w:tcMar>
          </w:tcPr>
          <w:p w:rsidR="00035B75" w:rsidRPr="005C50ED" w:rsidRDefault="00035B75" w:rsidP="00FC4F64">
            <w:pPr>
              <w:spacing w:after="120"/>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keepNext/>
              <w:keepLines/>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sz w:val="16"/>
                <w:szCs w:val="16"/>
                <w:lang w:bidi="th-TH"/>
              </w:rPr>
              <w:t>Enhanced human resource capacities able to deal with the broad range of requirements for the effective use of IP for development in developing countries, LDCs and countries with economies in transition</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keepNext/>
              <w:keepLines/>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keepNext/>
              <w:keepLines/>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keepNext/>
              <w:keepLines/>
              <w:rPr>
                <w:rFonts w:cs="Arial"/>
                <w:b/>
                <w:sz w:val="16"/>
                <w:szCs w:val="16"/>
              </w:rPr>
            </w:pPr>
            <w:r w:rsidRPr="005C50ED">
              <w:rPr>
                <w:rFonts w:cs="Arial"/>
                <w:b/>
                <w:sz w:val="16"/>
                <w:szCs w:val="16"/>
              </w:rPr>
              <w:t>Target</w:t>
            </w:r>
            <w:r w:rsidR="00582788" w:rsidRPr="005C50ED">
              <w:rPr>
                <w:rFonts w:cs="Arial"/>
                <w:b/>
                <w:sz w:val="16"/>
                <w:szCs w:val="16"/>
              </w:rPr>
              <w:t>s</w:t>
            </w:r>
          </w:p>
        </w:tc>
        <w:tc>
          <w:tcPr>
            <w:tcW w:w="1584" w:type="pct"/>
            <w:tcBorders>
              <w:top w:val="single" w:sz="4" w:space="0" w:color="auto"/>
            </w:tcBorders>
            <w:shd w:val="clear" w:color="auto" w:fill="FFFFFF"/>
            <w:tcMar>
              <w:top w:w="110" w:type="dxa"/>
            </w:tcMar>
            <w:vAlign w:val="center"/>
          </w:tcPr>
          <w:p w:rsidR="00035B75" w:rsidRPr="005C50ED" w:rsidRDefault="00035B75" w:rsidP="00FC4F64">
            <w:pPr>
              <w:keepNext/>
              <w:keepLines/>
              <w:rPr>
                <w:rFonts w:cs="Arial"/>
                <w:sz w:val="16"/>
                <w:szCs w:val="16"/>
              </w:rPr>
            </w:pPr>
            <w:r w:rsidRPr="005C50ED">
              <w:rPr>
                <w:rFonts w:cs="Arial"/>
                <w:b/>
                <w:bCs/>
                <w:sz w:val="16"/>
                <w:szCs w:val="16"/>
              </w:rPr>
              <w:t>Performance Data</w:t>
            </w:r>
          </w:p>
        </w:tc>
        <w:tc>
          <w:tcPr>
            <w:tcW w:w="759" w:type="pct"/>
            <w:gridSpan w:val="2"/>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auto"/>
          </w:tcPr>
          <w:p w:rsidR="00035B75" w:rsidRPr="005C50ED" w:rsidRDefault="00035B75" w:rsidP="00FC4F64">
            <w:pPr>
              <w:rPr>
                <w:rFonts w:cs="Arial"/>
                <w:color w:val="000000"/>
                <w:sz w:val="16"/>
                <w:szCs w:val="16"/>
                <w:lang w:bidi="th-TH"/>
              </w:rPr>
            </w:pPr>
            <w:r w:rsidRPr="005C50ED">
              <w:rPr>
                <w:rFonts w:cs="Arial"/>
                <w:color w:val="000000"/>
                <w:sz w:val="16"/>
                <w:szCs w:val="16"/>
                <w:lang w:bidi="th-TH"/>
              </w:rPr>
              <w:t>% of participants’ positive rating of the usefulness of copyright related capacity building workshops</w:t>
            </w:r>
          </w:p>
        </w:tc>
        <w:tc>
          <w:tcPr>
            <w:tcW w:w="985" w:type="pct"/>
            <w:shd w:val="clear" w:color="auto" w:fill="auto"/>
          </w:tcPr>
          <w:p w:rsidR="00035B75" w:rsidRPr="005C50ED" w:rsidRDefault="00035B75" w:rsidP="00FC4F64">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About 70%</w:t>
            </w:r>
          </w:p>
          <w:p w:rsidR="00035B75" w:rsidRPr="005C50ED" w:rsidRDefault="00035B75" w:rsidP="00FC4F64">
            <w:pPr>
              <w:rPr>
                <w:rFonts w:cs="Arial"/>
                <w:color w:val="002060"/>
                <w:sz w:val="8"/>
                <w:szCs w:val="8"/>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00BE2AF9">
              <w:rPr>
                <w:rFonts w:cs="Arial"/>
                <w:i/>
                <w:sz w:val="16"/>
                <w:szCs w:val="16"/>
                <w:lang w:bidi="th-TH"/>
              </w:rPr>
              <w:t xml:space="preserve"> </w:t>
            </w:r>
            <w:r w:rsidRPr="005C50ED">
              <w:rPr>
                <w:rFonts w:cs="Arial"/>
                <w:sz w:val="16"/>
                <w:szCs w:val="16"/>
                <w:lang w:bidi="th-TH"/>
              </w:rPr>
              <w:t>N/A</w:t>
            </w:r>
          </w:p>
        </w:tc>
        <w:tc>
          <w:tcPr>
            <w:tcW w:w="765" w:type="pct"/>
            <w:shd w:val="clear" w:color="auto" w:fill="auto"/>
            <w:tcMar>
              <w:top w:w="110" w:type="dxa"/>
            </w:tcMar>
          </w:tcPr>
          <w:p w:rsidR="00035B75" w:rsidRPr="005C50ED" w:rsidRDefault="00035B75" w:rsidP="00FC4F64">
            <w:pPr>
              <w:autoSpaceDE w:val="0"/>
              <w:autoSpaceDN w:val="0"/>
              <w:adjustRightInd w:val="0"/>
              <w:rPr>
                <w:rFonts w:cs="Arial"/>
                <w:sz w:val="16"/>
                <w:szCs w:val="16"/>
              </w:rPr>
            </w:pPr>
            <w:r w:rsidRPr="005C50ED">
              <w:rPr>
                <w:rFonts w:cs="Arial"/>
                <w:sz w:val="16"/>
                <w:szCs w:val="16"/>
              </w:rPr>
              <w:t>70% agree or strongly agree</w:t>
            </w:r>
          </w:p>
        </w:tc>
        <w:tc>
          <w:tcPr>
            <w:tcW w:w="1584" w:type="pct"/>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Over 80% of the participants in the copyright and related rights capacity building programs rated the received training as being useful.</w:t>
            </w:r>
          </w:p>
        </w:tc>
        <w:tc>
          <w:tcPr>
            <w:tcW w:w="759" w:type="pct"/>
            <w:gridSpan w:val="2"/>
            <w:shd w:val="clear" w:color="auto" w:fill="auto"/>
            <w:tcMar>
              <w:top w:w="110" w:type="dxa"/>
            </w:tcMar>
          </w:tcPr>
          <w:p w:rsidR="00035B75" w:rsidRPr="005C50ED" w:rsidRDefault="00035B75" w:rsidP="00FC4F64">
            <w:pPr>
              <w:spacing w:after="120"/>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shd w:val="clear" w:color="auto" w:fill="auto"/>
          </w:tcPr>
          <w:p w:rsidR="00035B75" w:rsidRDefault="00035B75" w:rsidP="005C50ED">
            <w:pPr>
              <w:rPr>
                <w:rFonts w:cs="Arial"/>
                <w:color w:val="000000"/>
                <w:sz w:val="16"/>
                <w:szCs w:val="16"/>
                <w:lang w:bidi="th-TH"/>
              </w:rPr>
            </w:pPr>
            <w:r w:rsidRPr="005C50ED">
              <w:rPr>
                <w:rFonts w:cs="Arial"/>
                <w:color w:val="000000"/>
                <w:sz w:val="16"/>
                <w:szCs w:val="16"/>
                <w:lang w:bidi="th-TH"/>
              </w:rPr>
              <w:t>% of participants’ rating of usefulness of copyright related workshops and practical use of knowledge six months after the workshop</w:t>
            </w:r>
          </w:p>
          <w:p w:rsidR="005C50ED" w:rsidRPr="005C50ED" w:rsidRDefault="005C50ED" w:rsidP="005C50ED">
            <w:pPr>
              <w:rPr>
                <w:rFonts w:cs="Arial"/>
                <w:sz w:val="16"/>
                <w:szCs w:val="16"/>
                <w:lang w:bidi="th-TH"/>
              </w:rPr>
            </w:pPr>
          </w:p>
        </w:tc>
        <w:tc>
          <w:tcPr>
            <w:tcW w:w="985" w:type="pct"/>
            <w:shd w:val="clear" w:color="auto" w:fill="auto"/>
          </w:tcPr>
          <w:p w:rsidR="00035B75" w:rsidRPr="005C50ED" w:rsidRDefault="00035B75" w:rsidP="005C50ED">
            <w:pPr>
              <w:pStyle w:val="Default"/>
              <w:rPr>
                <w:color w:val="002060"/>
                <w:sz w:val="16"/>
                <w:szCs w:val="16"/>
                <w:lang w:bidi="th-TH"/>
              </w:rPr>
            </w:pPr>
            <w:r w:rsidRPr="005C50ED">
              <w:rPr>
                <w:i/>
                <w:color w:val="002060"/>
                <w:sz w:val="16"/>
                <w:szCs w:val="16"/>
              </w:rPr>
              <w:t>Updated Baseline end 2011:</w:t>
            </w:r>
            <w:r w:rsidRPr="005C50ED">
              <w:rPr>
                <w:color w:val="002060"/>
                <w:sz w:val="16"/>
                <w:szCs w:val="16"/>
                <w:lang w:bidi="th-TH"/>
              </w:rPr>
              <w:t xml:space="preserve">  </w:t>
            </w:r>
            <w:r w:rsidRPr="005C50ED">
              <w:rPr>
                <w:color w:val="002060"/>
                <w:sz w:val="16"/>
                <w:szCs w:val="16"/>
              </w:rPr>
              <w:t xml:space="preserve">About 70% </w:t>
            </w:r>
          </w:p>
          <w:p w:rsidR="00035B75" w:rsidRPr="005C50ED" w:rsidRDefault="00035B75" w:rsidP="005C50ED">
            <w:pPr>
              <w:rPr>
                <w:rFonts w:cs="Arial"/>
                <w:color w:val="002060"/>
                <w:sz w:val="8"/>
                <w:szCs w:val="8"/>
                <w:lang w:bidi="th-TH"/>
              </w:rPr>
            </w:pPr>
          </w:p>
          <w:p w:rsidR="00035B75" w:rsidRPr="005C50ED" w:rsidRDefault="00035B75" w:rsidP="005C50ED">
            <w:pPr>
              <w:rPr>
                <w:rFonts w:cs="Arial"/>
                <w:sz w:val="16"/>
                <w:szCs w:val="16"/>
                <w:lang w:bidi="th-TH"/>
              </w:rPr>
            </w:pPr>
            <w:r w:rsidRPr="005C50ED">
              <w:rPr>
                <w:rFonts w:cs="Arial"/>
                <w:i/>
                <w:sz w:val="16"/>
                <w:szCs w:val="16"/>
                <w:lang w:bidi="th-TH"/>
              </w:rPr>
              <w:t xml:space="preserve">Original Baseline P&amp;B 2012/13: </w:t>
            </w:r>
            <w:r w:rsidRPr="005C50ED">
              <w:rPr>
                <w:rFonts w:cs="Arial"/>
                <w:sz w:val="16"/>
                <w:szCs w:val="16"/>
                <w:lang w:bidi="th-TH"/>
              </w:rPr>
              <w:t xml:space="preserve"> N/A</w:t>
            </w:r>
          </w:p>
        </w:tc>
        <w:tc>
          <w:tcPr>
            <w:tcW w:w="765" w:type="pct"/>
            <w:shd w:val="clear" w:color="auto" w:fill="auto"/>
            <w:tcMar>
              <w:top w:w="110" w:type="dxa"/>
            </w:tcMar>
          </w:tcPr>
          <w:p w:rsidR="00035B75" w:rsidRPr="005C50ED" w:rsidRDefault="00035B75" w:rsidP="005C50ED">
            <w:pPr>
              <w:rPr>
                <w:rFonts w:cs="Arial"/>
                <w:sz w:val="16"/>
                <w:szCs w:val="16"/>
                <w:lang w:bidi="th-TH"/>
              </w:rPr>
            </w:pPr>
            <w:r w:rsidRPr="005C50ED">
              <w:rPr>
                <w:rFonts w:eastAsia="Batang" w:cs="Arial"/>
                <w:sz w:val="16"/>
                <w:szCs w:val="16"/>
                <w:lang w:eastAsia="ja-JP" w:bidi="th-TH"/>
              </w:rPr>
              <w:t>70%</w:t>
            </w:r>
          </w:p>
        </w:tc>
        <w:tc>
          <w:tcPr>
            <w:tcW w:w="1584" w:type="pct"/>
            <w:shd w:val="clear" w:color="auto" w:fill="FFFFFF"/>
            <w:tcMar>
              <w:top w:w="110" w:type="dxa"/>
            </w:tcMar>
          </w:tcPr>
          <w:p w:rsidR="00035B75" w:rsidRPr="005C50ED" w:rsidRDefault="00035B75" w:rsidP="005C50ED">
            <w:pPr>
              <w:rPr>
                <w:rFonts w:cs="Arial"/>
                <w:sz w:val="16"/>
                <w:szCs w:val="16"/>
                <w:lang w:bidi="th-TH"/>
              </w:rPr>
            </w:pPr>
            <w:r w:rsidRPr="005C50ED">
              <w:rPr>
                <w:rFonts w:cs="Arial"/>
                <w:sz w:val="16"/>
                <w:szCs w:val="16"/>
                <w:lang w:bidi="th-TH"/>
              </w:rPr>
              <w:t>Over 70% of the participants in the copyright and related rights workshops rated the obtained knowledge as of practical use six month after the workshops.</w:t>
            </w:r>
          </w:p>
        </w:tc>
        <w:tc>
          <w:tcPr>
            <w:tcW w:w="759" w:type="pct"/>
            <w:gridSpan w:val="2"/>
            <w:shd w:val="clear" w:color="auto" w:fill="auto"/>
          </w:tcPr>
          <w:p w:rsidR="00035B75" w:rsidRPr="005C50ED" w:rsidRDefault="00035B75" w:rsidP="005C50ED">
            <w:pPr>
              <w:jc w:val="center"/>
              <w:rPr>
                <w:rFonts w:cs="Arial"/>
                <w:bCs/>
                <w:color w:val="333333"/>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tcBorders>
              <w:bottom w:val="single" w:sz="4" w:space="0" w:color="auto"/>
            </w:tcBorders>
            <w:shd w:val="clear" w:color="auto" w:fill="auto"/>
          </w:tcPr>
          <w:p w:rsidR="00035B75" w:rsidRPr="005C50ED" w:rsidRDefault="00035B75" w:rsidP="005C50ED">
            <w:pPr>
              <w:keepNext/>
              <w:keepLines/>
              <w:rPr>
                <w:rFonts w:cs="Arial"/>
                <w:color w:val="000000"/>
                <w:sz w:val="16"/>
                <w:szCs w:val="16"/>
                <w:lang w:bidi="th-TH"/>
              </w:rPr>
            </w:pPr>
            <w:r w:rsidRPr="005C50ED">
              <w:rPr>
                <w:rFonts w:cs="Arial"/>
                <w:color w:val="000000"/>
                <w:sz w:val="16"/>
                <w:szCs w:val="16"/>
                <w:lang w:bidi="th-TH"/>
              </w:rPr>
              <w:lastRenderedPageBreak/>
              <w:t>No. of national copyright and related rights initiatives started directly related to the themes of workshops</w:t>
            </w:r>
          </w:p>
          <w:p w:rsidR="00035B75" w:rsidRPr="005C50ED" w:rsidRDefault="00035B75" w:rsidP="005C50ED">
            <w:pPr>
              <w:keepNext/>
              <w:keepLines/>
              <w:rPr>
                <w:rFonts w:cs="Arial"/>
                <w:color w:val="000000"/>
                <w:sz w:val="16"/>
                <w:szCs w:val="16"/>
                <w:lang w:bidi="th-TH"/>
              </w:rPr>
            </w:pPr>
          </w:p>
        </w:tc>
        <w:tc>
          <w:tcPr>
            <w:tcW w:w="985" w:type="pct"/>
            <w:tcBorders>
              <w:bottom w:val="single" w:sz="4" w:space="0" w:color="auto"/>
            </w:tcBorders>
            <w:shd w:val="clear" w:color="auto" w:fill="auto"/>
          </w:tcPr>
          <w:p w:rsidR="00035B75" w:rsidRPr="005C50ED" w:rsidRDefault="00035B75" w:rsidP="005C50ED">
            <w:pPr>
              <w:keepNext/>
              <w:keepLines/>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At least 50%</w:t>
            </w:r>
          </w:p>
          <w:p w:rsidR="00035B75" w:rsidRPr="00BE2AF9" w:rsidRDefault="00035B75" w:rsidP="005C50ED">
            <w:pPr>
              <w:keepNext/>
              <w:keepLines/>
              <w:rPr>
                <w:rFonts w:cs="Arial"/>
                <w:sz w:val="8"/>
                <w:szCs w:val="8"/>
                <w:lang w:bidi="th-TH"/>
              </w:rPr>
            </w:pPr>
          </w:p>
          <w:p w:rsidR="00035B75" w:rsidRPr="002C4083" w:rsidRDefault="00035B75" w:rsidP="005C50ED">
            <w:pPr>
              <w:keepNext/>
              <w:keepLines/>
              <w:rPr>
                <w:rFonts w:cs="Arial"/>
                <w:sz w:val="16"/>
                <w:szCs w:val="16"/>
                <w:lang w:val="pt-BR" w:bidi="th-TH"/>
              </w:rPr>
            </w:pPr>
            <w:r w:rsidRPr="002C4083">
              <w:rPr>
                <w:rFonts w:cs="Arial"/>
                <w:i/>
                <w:sz w:val="16"/>
                <w:szCs w:val="16"/>
                <w:lang w:val="pt-BR" w:bidi="th-TH"/>
              </w:rPr>
              <w:t>Original Baseline P&amp;B 2012/13:</w:t>
            </w:r>
            <w:r w:rsidR="00BE2AF9" w:rsidRPr="002C4083">
              <w:rPr>
                <w:rFonts w:cs="Arial"/>
                <w:i/>
                <w:sz w:val="16"/>
                <w:szCs w:val="16"/>
                <w:lang w:val="pt-BR" w:bidi="th-TH"/>
              </w:rPr>
              <w:t xml:space="preserve"> </w:t>
            </w:r>
            <w:r w:rsidRPr="002C4083">
              <w:rPr>
                <w:rFonts w:cs="Arial"/>
                <w:i/>
                <w:sz w:val="16"/>
                <w:szCs w:val="16"/>
                <w:lang w:val="pt-BR" w:bidi="th-TH"/>
              </w:rPr>
              <w:t xml:space="preserve"> </w:t>
            </w:r>
            <w:r w:rsidRPr="002C4083">
              <w:rPr>
                <w:rFonts w:cs="Arial"/>
                <w:sz w:val="16"/>
                <w:szCs w:val="16"/>
                <w:lang w:val="pt-BR" w:bidi="th-TH"/>
              </w:rPr>
              <w:t>N/A</w:t>
            </w:r>
          </w:p>
        </w:tc>
        <w:tc>
          <w:tcPr>
            <w:tcW w:w="765" w:type="pct"/>
            <w:tcBorders>
              <w:bottom w:val="single" w:sz="4" w:space="0" w:color="auto"/>
            </w:tcBorders>
            <w:shd w:val="clear" w:color="auto" w:fill="auto"/>
            <w:tcMar>
              <w:top w:w="110" w:type="dxa"/>
            </w:tcMar>
          </w:tcPr>
          <w:p w:rsidR="00035B75" w:rsidRPr="005C50ED" w:rsidRDefault="00035B75" w:rsidP="005C50ED">
            <w:pPr>
              <w:keepNext/>
              <w:keepLines/>
              <w:rPr>
                <w:rFonts w:cs="Arial"/>
                <w:sz w:val="16"/>
                <w:szCs w:val="16"/>
                <w:lang w:bidi="th-TH"/>
              </w:rPr>
            </w:pPr>
            <w:r w:rsidRPr="005C50ED">
              <w:rPr>
                <w:rFonts w:cs="Arial"/>
                <w:sz w:val="16"/>
                <w:szCs w:val="16"/>
                <w:lang w:bidi="th-TH"/>
              </w:rPr>
              <w:t>70%</w:t>
            </w:r>
          </w:p>
        </w:tc>
        <w:tc>
          <w:tcPr>
            <w:tcW w:w="1584" w:type="pct"/>
            <w:tcBorders>
              <w:bottom w:val="single" w:sz="4" w:space="0" w:color="auto"/>
            </w:tcBorders>
            <w:shd w:val="clear" w:color="auto" w:fill="FFFFFF"/>
            <w:tcMar>
              <w:top w:w="110" w:type="dxa"/>
            </w:tcMar>
          </w:tcPr>
          <w:p w:rsidR="00035B75" w:rsidRPr="005C50ED" w:rsidRDefault="00035B75" w:rsidP="005C50ED">
            <w:pPr>
              <w:keepNext/>
              <w:keepLines/>
              <w:rPr>
                <w:rFonts w:cs="Arial"/>
                <w:sz w:val="16"/>
                <w:szCs w:val="16"/>
                <w:lang w:bidi="th-TH"/>
              </w:rPr>
            </w:pPr>
            <w:r w:rsidRPr="005C50ED">
              <w:rPr>
                <w:rFonts w:cs="Arial"/>
                <w:sz w:val="16"/>
                <w:szCs w:val="16"/>
                <w:lang w:bidi="th-TH"/>
              </w:rPr>
              <w:t xml:space="preserve">Over 60% of national initiatives in copyright and related rights started initiatives directly related to the themes of workshops or other capacity building programs. </w:t>
            </w:r>
          </w:p>
        </w:tc>
        <w:tc>
          <w:tcPr>
            <w:tcW w:w="759" w:type="pct"/>
            <w:gridSpan w:val="2"/>
            <w:tcBorders>
              <w:bottom w:val="single" w:sz="4" w:space="0" w:color="auto"/>
            </w:tcBorders>
            <w:shd w:val="clear" w:color="auto" w:fill="auto"/>
          </w:tcPr>
          <w:p w:rsidR="00035B75" w:rsidRPr="005C50ED" w:rsidRDefault="00035B75" w:rsidP="005C50ED">
            <w:pPr>
              <w:keepNext/>
              <w:keepLines/>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sz w:val="16"/>
                <w:szCs w:val="16"/>
                <w:lang w:bidi="th-TH"/>
              </w:rPr>
              <w:t>Enhanced access to, and use of, IP information and knowledge by IP institutions and the public to promote innovation and increased access to protected creative works and creative works in the public domain</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1"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No. of trusted intermediaries (TIs) and rights holders (RHs) having joined the TIGAR system network, including from developing countries and LDCs</w:t>
            </w:r>
          </w:p>
        </w:tc>
        <w:tc>
          <w:tcPr>
            <w:tcW w:w="985" w:type="pct"/>
            <w:shd w:val="clear" w:color="auto" w:fill="auto"/>
          </w:tcPr>
          <w:p w:rsidR="00035B75" w:rsidRPr="005C50ED" w:rsidRDefault="00035B75" w:rsidP="002F7D53">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w:t>
            </w:r>
            <w:r w:rsidRPr="005C50ED">
              <w:rPr>
                <w:rFonts w:cs="Arial"/>
                <w:color w:val="002060"/>
                <w:sz w:val="16"/>
                <w:szCs w:val="16"/>
              </w:rPr>
              <w:t>4 TIs and 3</w:t>
            </w:r>
            <w:r w:rsidR="005C50ED">
              <w:rPr>
                <w:rFonts w:cs="Arial"/>
                <w:color w:val="002060"/>
                <w:sz w:val="16"/>
                <w:szCs w:val="16"/>
              </w:rPr>
              <w:t> </w:t>
            </w:r>
            <w:r w:rsidRPr="005C50ED">
              <w:rPr>
                <w:rFonts w:cs="Arial"/>
                <w:color w:val="002060"/>
                <w:sz w:val="16"/>
                <w:szCs w:val="16"/>
              </w:rPr>
              <w:t xml:space="preserve">RHs </w:t>
            </w:r>
          </w:p>
          <w:p w:rsidR="00035B75" w:rsidRPr="005C50ED" w:rsidRDefault="00035B75" w:rsidP="00FC4F64">
            <w:pPr>
              <w:rPr>
                <w:rFonts w:cs="Arial"/>
                <w:i/>
                <w:sz w:val="16"/>
                <w:szCs w:val="16"/>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Pr="005C50ED">
              <w:rPr>
                <w:rFonts w:cs="Arial"/>
                <w:sz w:val="16"/>
                <w:szCs w:val="16"/>
                <w:lang w:bidi="th-TH"/>
              </w:rPr>
              <w:t xml:space="preserve"> Four TIs and three RHs</w:t>
            </w:r>
          </w:p>
        </w:tc>
        <w:tc>
          <w:tcPr>
            <w:tcW w:w="765" w:type="pct"/>
            <w:shd w:val="clear" w:color="auto" w:fill="auto"/>
            <w:tcMar>
              <w:top w:w="110" w:type="dxa"/>
            </w:tcMar>
          </w:tcPr>
          <w:p w:rsidR="00035B75" w:rsidRPr="005C50ED" w:rsidRDefault="00035B75" w:rsidP="00FC4F64">
            <w:pPr>
              <w:autoSpaceDE w:val="0"/>
              <w:autoSpaceDN w:val="0"/>
              <w:adjustRightInd w:val="0"/>
              <w:rPr>
                <w:rFonts w:cs="Arial"/>
                <w:sz w:val="16"/>
                <w:szCs w:val="16"/>
              </w:rPr>
            </w:pPr>
            <w:r w:rsidRPr="005C50ED">
              <w:rPr>
                <w:rFonts w:cs="Arial"/>
                <w:sz w:val="16"/>
                <w:szCs w:val="16"/>
              </w:rPr>
              <w:t>10 new TIs and</w:t>
            </w:r>
          </w:p>
          <w:p w:rsidR="00035B75" w:rsidRPr="005C50ED" w:rsidRDefault="00035B75" w:rsidP="00FC4F64">
            <w:pPr>
              <w:autoSpaceDE w:val="0"/>
              <w:autoSpaceDN w:val="0"/>
              <w:adjustRightInd w:val="0"/>
              <w:rPr>
                <w:rFonts w:cs="Arial"/>
                <w:sz w:val="16"/>
                <w:szCs w:val="16"/>
              </w:rPr>
            </w:pPr>
            <w:r w:rsidRPr="005C50ED">
              <w:rPr>
                <w:rFonts w:cs="Arial"/>
                <w:sz w:val="16"/>
                <w:szCs w:val="16"/>
              </w:rPr>
              <w:t>four new RHs</w:t>
            </w:r>
          </w:p>
          <w:p w:rsidR="00035B75" w:rsidRPr="005C50ED" w:rsidRDefault="00035B75" w:rsidP="00FC4F64">
            <w:pPr>
              <w:pStyle w:val="Default"/>
              <w:rPr>
                <w:color w:val="auto"/>
                <w:sz w:val="16"/>
                <w:szCs w:val="16"/>
                <w:lang w:bidi="th-TH"/>
              </w:rPr>
            </w:pPr>
            <w:r w:rsidRPr="005C50ED">
              <w:rPr>
                <w:color w:val="auto"/>
                <w:sz w:val="16"/>
                <w:szCs w:val="16"/>
              </w:rPr>
              <w:t>(in 2012/13)</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By the end of 2013, 25 TIs and 45 RHs had signed the TIGAR Memorandum of Understanding, including TIs from developing and least developed countries.  Eleven TIs had uploaded their accessible format titles to the TIGAR database by the end of 2013.</w:t>
            </w:r>
          </w:p>
        </w:tc>
        <w:tc>
          <w:tcPr>
            <w:tcW w:w="682" w:type="pct"/>
            <w:shd w:val="clear" w:color="auto" w:fill="auto"/>
            <w:tcMar>
              <w:top w:w="110" w:type="dxa"/>
            </w:tcMar>
          </w:tcPr>
          <w:p w:rsidR="00035B75" w:rsidRPr="005C50ED" w:rsidRDefault="00035B75" w:rsidP="00FC4F64">
            <w:pPr>
              <w:spacing w:after="120"/>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tcBorders>
              <w:bottom w:val="single" w:sz="4" w:space="0" w:color="auto"/>
            </w:tcBorders>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No. of copyright protected works distributed among TIs and made accessible to VIPs across borders through the TIGAR system network</w:t>
            </w:r>
          </w:p>
        </w:tc>
        <w:tc>
          <w:tcPr>
            <w:tcW w:w="985" w:type="pct"/>
            <w:tcBorders>
              <w:bottom w:val="single" w:sz="4" w:space="0" w:color="auto"/>
            </w:tcBorders>
            <w:shd w:val="clear" w:color="auto" w:fill="auto"/>
          </w:tcPr>
          <w:p w:rsidR="00035B75" w:rsidRPr="005C50ED" w:rsidRDefault="00035B75" w:rsidP="00FC4F64">
            <w:pPr>
              <w:pStyle w:val="Default"/>
              <w:rPr>
                <w:color w:val="002060"/>
                <w:sz w:val="16"/>
                <w:szCs w:val="16"/>
              </w:rPr>
            </w:pPr>
            <w:r w:rsidRPr="005C50ED">
              <w:rPr>
                <w:i/>
                <w:color w:val="002060"/>
                <w:sz w:val="16"/>
                <w:szCs w:val="16"/>
              </w:rPr>
              <w:t>Updated Baseline end 2011:</w:t>
            </w:r>
            <w:r w:rsidRPr="005C50ED">
              <w:rPr>
                <w:color w:val="002060"/>
                <w:sz w:val="16"/>
                <w:szCs w:val="16"/>
                <w:lang w:bidi="th-TH"/>
              </w:rPr>
              <w:t xml:space="preserve">  </w:t>
            </w:r>
            <w:r w:rsidRPr="005C50ED">
              <w:rPr>
                <w:color w:val="002060"/>
                <w:sz w:val="16"/>
                <w:szCs w:val="16"/>
              </w:rPr>
              <w:t xml:space="preserve">300 books in accessible formats downloaded from the TIGAR </w:t>
            </w:r>
          </w:p>
          <w:p w:rsidR="00035B75" w:rsidRPr="005C50ED" w:rsidRDefault="00035B75" w:rsidP="00FC4F64">
            <w:pPr>
              <w:rPr>
                <w:rFonts w:cs="Arial"/>
                <w:i/>
                <w:sz w:val="16"/>
                <w:szCs w:val="16"/>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Pr="005C50ED">
              <w:rPr>
                <w:rFonts w:cs="Arial"/>
                <w:sz w:val="16"/>
                <w:szCs w:val="16"/>
                <w:lang w:bidi="th-TH"/>
              </w:rPr>
              <w:t>Not yet started</w:t>
            </w:r>
          </w:p>
          <w:p w:rsidR="00035B75" w:rsidRPr="005C50ED" w:rsidRDefault="00035B75" w:rsidP="00FC4F64">
            <w:pPr>
              <w:autoSpaceDE w:val="0"/>
              <w:autoSpaceDN w:val="0"/>
              <w:adjustRightInd w:val="0"/>
              <w:rPr>
                <w:rFonts w:cs="Arial"/>
                <w:sz w:val="16"/>
                <w:szCs w:val="16"/>
              </w:rPr>
            </w:pPr>
          </w:p>
        </w:tc>
        <w:tc>
          <w:tcPr>
            <w:tcW w:w="765" w:type="pct"/>
            <w:tcBorders>
              <w:bottom w:val="single" w:sz="4" w:space="0" w:color="auto"/>
            </w:tcBorders>
            <w:shd w:val="clear" w:color="auto" w:fill="auto"/>
            <w:tcMar>
              <w:top w:w="110" w:type="dxa"/>
            </w:tcMar>
          </w:tcPr>
          <w:p w:rsidR="00035B75" w:rsidRPr="005C50ED" w:rsidRDefault="00035B75" w:rsidP="00FC4F64">
            <w:pPr>
              <w:rPr>
                <w:rFonts w:cs="Arial"/>
                <w:sz w:val="16"/>
                <w:szCs w:val="16"/>
                <w:lang w:bidi="th-TH"/>
              </w:rPr>
            </w:pPr>
            <w:r w:rsidRPr="005C50ED">
              <w:rPr>
                <w:rFonts w:eastAsia="Batang" w:cs="Arial"/>
                <w:sz w:val="16"/>
                <w:szCs w:val="16"/>
                <w:lang w:eastAsia="ja-JP"/>
              </w:rPr>
              <w:t>The availability of at least 300 books or titles (cumulative)</w:t>
            </w:r>
          </w:p>
        </w:tc>
        <w:tc>
          <w:tcPr>
            <w:tcW w:w="1661" w:type="pct"/>
            <w:gridSpan w:val="2"/>
            <w:tcBorders>
              <w:bottom w:val="single" w:sz="4" w:space="0" w:color="auto"/>
            </w:tcBorders>
            <w:shd w:val="clear" w:color="auto" w:fill="FFFFFF"/>
            <w:tcMar>
              <w:top w:w="110" w:type="dxa"/>
            </w:tcMar>
          </w:tcPr>
          <w:p w:rsidR="00035B75" w:rsidRPr="005C50ED" w:rsidRDefault="00035B75" w:rsidP="00BE2AF9">
            <w:pPr>
              <w:rPr>
                <w:rFonts w:cs="Arial"/>
                <w:sz w:val="16"/>
                <w:szCs w:val="16"/>
                <w:lang w:bidi="th-TH"/>
              </w:rPr>
            </w:pPr>
            <w:r w:rsidRPr="005C50ED">
              <w:rPr>
                <w:rFonts w:cs="Arial"/>
                <w:sz w:val="16"/>
                <w:szCs w:val="16"/>
                <w:lang w:bidi="th-TH"/>
              </w:rPr>
              <w:t>By the end of 2013, approximately 600</w:t>
            </w:r>
            <w:r w:rsidR="00BE2AF9">
              <w:rPr>
                <w:rFonts w:cs="Arial"/>
                <w:sz w:val="16"/>
                <w:szCs w:val="16"/>
                <w:lang w:bidi="th-TH"/>
              </w:rPr>
              <w:t> </w:t>
            </w:r>
            <w:r w:rsidRPr="005C50ED">
              <w:rPr>
                <w:rFonts w:cs="Arial"/>
                <w:sz w:val="16"/>
                <w:szCs w:val="16"/>
                <w:lang w:bidi="th-TH"/>
              </w:rPr>
              <w:t>books in accessible formats had been downloaded from the TIGAR database in various countries.</w:t>
            </w:r>
          </w:p>
        </w:tc>
        <w:tc>
          <w:tcPr>
            <w:tcW w:w="682" w:type="pct"/>
            <w:tcBorders>
              <w:bottom w:val="single" w:sz="4" w:space="0" w:color="auto"/>
            </w:tcBorders>
            <w:shd w:val="clear" w:color="auto" w:fill="auto"/>
          </w:tcPr>
          <w:p w:rsidR="00035B75" w:rsidRPr="005C50ED" w:rsidRDefault="00035B75" w:rsidP="00FC4F64">
            <w:pPr>
              <w:jc w:val="center"/>
              <w:rPr>
                <w:rFonts w:cs="Arial"/>
                <w:bCs/>
                <w:color w:val="333333"/>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FC4F64">
        <w:tc>
          <w:tcPr>
            <w:tcW w:w="5000" w:type="pct"/>
            <w:gridSpan w:val="6"/>
            <w:tcBorders>
              <w:top w:val="single" w:sz="4" w:space="0" w:color="auto"/>
              <w:bottom w:val="single" w:sz="4" w:space="0" w:color="auto"/>
            </w:tcBorders>
            <w:shd w:val="clear" w:color="auto" w:fill="CCFFFF"/>
            <w:vAlign w:val="center"/>
          </w:tcPr>
          <w:p w:rsidR="00035B75" w:rsidRPr="005C50ED" w:rsidRDefault="00035B75" w:rsidP="00FC4F64">
            <w:pPr>
              <w:tabs>
                <w:tab w:val="left" w:pos="1452"/>
              </w:tabs>
              <w:spacing w:before="120" w:after="120"/>
              <w:ind w:left="1452" w:hanging="1452"/>
              <w:rPr>
                <w:rFonts w:cs="Arial"/>
                <w:b/>
                <w:bCs/>
                <w:sz w:val="16"/>
                <w:szCs w:val="16"/>
              </w:rPr>
            </w:pPr>
            <w:r w:rsidRPr="005C50ED">
              <w:rPr>
                <w:rFonts w:cs="Arial"/>
                <w:b/>
                <w:bCs/>
                <w:sz w:val="16"/>
                <w:szCs w:val="16"/>
              </w:rPr>
              <w:t>Expected Result:</w:t>
            </w:r>
            <w:r w:rsidRPr="005C50ED">
              <w:rPr>
                <w:rFonts w:cs="Arial"/>
                <w:b/>
                <w:bCs/>
                <w:sz w:val="16"/>
                <w:szCs w:val="16"/>
              </w:rPr>
              <w:tab/>
            </w:r>
            <w:r w:rsidRPr="005C50ED">
              <w:rPr>
                <w:rFonts w:cs="Arial"/>
                <w:color w:val="000000"/>
                <w:sz w:val="16"/>
                <w:szCs w:val="16"/>
                <w:lang w:bidi="th-TH"/>
              </w:rPr>
              <w:t>Enhanced technical and knowledge infrastructure for IP Offices and other IP institutions leading to better services (cheaper, faster, higher quality) to their stakeholders</w:t>
            </w:r>
          </w:p>
        </w:tc>
      </w:tr>
      <w:tr w:rsidR="00035B75" w:rsidRPr="005C50ED" w:rsidTr="002F7D53">
        <w:tc>
          <w:tcPr>
            <w:tcW w:w="907" w:type="pct"/>
            <w:tcBorders>
              <w:top w:val="single" w:sz="4" w:space="0" w:color="auto"/>
            </w:tcBorders>
            <w:shd w:val="clear" w:color="auto" w:fill="auto"/>
            <w:vAlign w:val="center"/>
          </w:tcPr>
          <w:p w:rsidR="00035B75" w:rsidRPr="005C50ED" w:rsidRDefault="00035B75" w:rsidP="00FC4F64">
            <w:pPr>
              <w:rPr>
                <w:rFonts w:cs="Arial"/>
                <w:sz w:val="16"/>
                <w:szCs w:val="16"/>
              </w:rPr>
            </w:pPr>
            <w:r w:rsidRPr="005C50ED">
              <w:rPr>
                <w:rFonts w:cs="Arial"/>
                <w:b/>
                <w:bCs/>
                <w:sz w:val="16"/>
                <w:szCs w:val="16"/>
              </w:rPr>
              <w:t>Performance Indicators</w:t>
            </w:r>
          </w:p>
        </w:tc>
        <w:tc>
          <w:tcPr>
            <w:tcW w:w="985" w:type="pct"/>
            <w:tcBorders>
              <w:top w:val="single" w:sz="4" w:space="0" w:color="auto"/>
            </w:tcBorders>
            <w:shd w:val="clear" w:color="auto" w:fill="auto"/>
            <w:vAlign w:val="center"/>
          </w:tcPr>
          <w:p w:rsidR="00035B75" w:rsidRPr="005C50ED" w:rsidRDefault="00035B75" w:rsidP="00FC4F64">
            <w:pPr>
              <w:rPr>
                <w:rFonts w:cs="Arial"/>
                <w:b/>
                <w:bCs/>
                <w:sz w:val="16"/>
                <w:szCs w:val="16"/>
              </w:rPr>
            </w:pPr>
            <w:r w:rsidRPr="005C50ED">
              <w:rPr>
                <w:rFonts w:cs="Arial"/>
                <w:b/>
                <w:bCs/>
                <w:sz w:val="16"/>
                <w:szCs w:val="16"/>
              </w:rPr>
              <w:t>Baselines</w:t>
            </w:r>
          </w:p>
        </w:tc>
        <w:tc>
          <w:tcPr>
            <w:tcW w:w="765" w:type="pct"/>
            <w:tcBorders>
              <w:top w:val="single" w:sz="4" w:space="0" w:color="auto"/>
            </w:tcBorders>
            <w:shd w:val="clear" w:color="auto" w:fill="auto"/>
            <w:tcMar>
              <w:top w:w="110" w:type="dxa"/>
            </w:tcMar>
            <w:vAlign w:val="center"/>
          </w:tcPr>
          <w:p w:rsidR="00035B75" w:rsidRPr="005C50ED" w:rsidRDefault="00035B75" w:rsidP="00FC4F64">
            <w:pPr>
              <w:rPr>
                <w:rFonts w:cs="Arial"/>
                <w:b/>
                <w:sz w:val="16"/>
                <w:szCs w:val="16"/>
              </w:rPr>
            </w:pPr>
            <w:r w:rsidRPr="005C50ED">
              <w:rPr>
                <w:rFonts w:cs="Arial"/>
                <w:b/>
                <w:sz w:val="16"/>
                <w:szCs w:val="16"/>
              </w:rPr>
              <w:t>Target</w:t>
            </w:r>
            <w:r w:rsidR="00582788" w:rsidRPr="005C50ED">
              <w:rPr>
                <w:rFonts w:cs="Arial"/>
                <w:b/>
                <w:sz w:val="16"/>
                <w:szCs w:val="16"/>
              </w:rPr>
              <w:t>s</w:t>
            </w:r>
          </w:p>
        </w:tc>
        <w:tc>
          <w:tcPr>
            <w:tcW w:w="1661" w:type="pct"/>
            <w:gridSpan w:val="2"/>
            <w:tcBorders>
              <w:top w:val="single" w:sz="4" w:space="0" w:color="auto"/>
            </w:tcBorders>
            <w:shd w:val="clear" w:color="auto" w:fill="FFFFFF"/>
            <w:tcMar>
              <w:top w:w="110" w:type="dxa"/>
            </w:tcMar>
            <w:vAlign w:val="center"/>
          </w:tcPr>
          <w:p w:rsidR="00035B75" w:rsidRPr="005C50ED" w:rsidRDefault="00035B75" w:rsidP="00FC4F64">
            <w:pPr>
              <w:rPr>
                <w:rFonts w:cs="Arial"/>
                <w:sz w:val="16"/>
                <w:szCs w:val="16"/>
              </w:rPr>
            </w:pPr>
            <w:r w:rsidRPr="005C50E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035B75" w:rsidRPr="005C50ED" w:rsidRDefault="00035B75" w:rsidP="00FC4F64">
            <w:pPr>
              <w:keepNext/>
              <w:keepLines/>
              <w:jc w:val="center"/>
              <w:rPr>
                <w:rFonts w:cs="Arial"/>
                <w:b/>
                <w:bCs/>
                <w:sz w:val="16"/>
                <w:szCs w:val="16"/>
              </w:rPr>
            </w:pPr>
            <w:r w:rsidRPr="005C50ED">
              <w:rPr>
                <w:rFonts w:cs="Arial"/>
                <w:b/>
                <w:bCs/>
                <w:sz w:val="16"/>
                <w:szCs w:val="16"/>
              </w:rPr>
              <w:t>TLS</w:t>
            </w:r>
          </w:p>
        </w:tc>
      </w:tr>
      <w:tr w:rsidR="00035B75" w:rsidRPr="005C50ED" w:rsidTr="002F7D53">
        <w:tc>
          <w:tcPr>
            <w:tcW w:w="907" w:type="pct"/>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No. of Institutions using WIPO copyright infrastructure systems (WIPOCOS and GDA)</w:t>
            </w:r>
          </w:p>
        </w:tc>
        <w:tc>
          <w:tcPr>
            <w:tcW w:w="985" w:type="pct"/>
            <w:shd w:val="clear" w:color="auto" w:fill="auto"/>
          </w:tcPr>
          <w:p w:rsidR="00035B75" w:rsidRPr="005C50ED" w:rsidRDefault="00035B75" w:rsidP="00FC4F64">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20 CMOs equipped with WIPOCOS.  </w:t>
            </w:r>
            <w:r w:rsidRPr="005C50ED">
              <w:rPr>
                <w:rFonts w:cs="Arial"/>
                <w:color w:val="002060"/>
                <w:sz w:val="16"/>
                <w:szCs w:val="16"/>
              </w:rPr>
              <w:t>8</w:t>
            </w:r>
            <w:r w:rsidR="005C50ED">
              <w:rPr>
                <w:rFonts w:cs="Arial"/>
                <w:color w:val="002060"/>
                <w:sz w:val="16"/>
                <w:szCs w:val="16"/>
              </w:rPr>
              <w:t> </w:t>
            </w:r>
            <w:r w:rsidRPr="005C50ED">
              <w:rPr>
                <w:rFonts w:cs="Arial"/>
                <w:color w:val="002060"/>
                <w:sz w:val="16"/>
                <w:szCs w:val="16"/>
              </w:rPr>
              <w:t xml:space="preserve">Copyright Offices using GDA </w:t>
            </w:r>
          </w:p>
          <w:p w:rsidR="00035B75" w:rsidRPr="005C50ED" w:rsidRDefault="00035B75" w:rsidP="00FC4F64">
            <w:pPr>
              <w:rPr>
                <w:rFonts w:cs="Arial"/>
                <w:sz w:val="8"/>
                <w:szCs w:val="8"/>
                <w:lang w:bidi="th-TH"/>
              </w:rPr>
            </w:pPr>
          </w:p>
          <w:p w:rsidR="00035B75" w:rsidRPr="005C50ED" w:rsidRDefault="00035B75" w:rsidP="00FC4F64">
            <w:pPr>
              <w:rPr>
                <w:rFonts w:cs="Arial"/>
                <w:sz w:val="16"/>
                <w:szCs w:val="16"/>
                <w:lang w:bidi="th-TH"/>
              </w:rPr>
            </w:pPr>
            <w:r w:rsidRPr="005C50ED">
              <w:rPr>
                <w:rFonts w:cs="Arial"/>
                <w:i/>
                <w:sz w:val="16"/>
                <w:szCs w:val="16"/>
                <w:lang w:bidi="th-TH"/>
              </w:rPr>
              <w:t xml:space="preserve">Original Baseline P&amp;B 2012/13:  </w:t>
            </w:r>
            <w:r w:rsidRPr="005C50ED">
              <w:rPr>
                <w:rFonts w:cs="Arial"/>
                <w:sz w:val="16"/>
                <w:szCs w:val="16"/>
                <w:lang w:bidi="th-TH"/>
              </w:rPr>
              <w:t>20 CMOs equipped with WIPOCOS (end 2011)</w:t>
            </w:r>
          </w:p>
          <w:p w:rsidR="00035B75" w:rsidRPr="005C50ED" w:rsidRDefault="00035B75" w:rsidP="00FC4F64">
            <w:pPr>
              <w:rPr>
                <w:rFonts w:cs="Arial"/>
                <w:sz w:val="8"/>
                <w:szCs w:val="8"/>
                <w:lang w:bidi="th-TH"/>
              </w:rPr>
            </w:pPr>
          </w:p>
          <w:p w:rsidR="00035B75" w:rsidRPr="005C50ED" w:rsidRDefault="00035B75" w:rsidP="00FC4F64">
            <w:pPr>
              <w:rPr>
                <w:rFonts w:cs="Arial"/>
                <w:sz w:val="16"/>
                <w:szCs w:val="16"/>
                <w:lang w:bidi="th-TH"/>
              </w:rPr>
            </w:pPr>
            <w:r w:rsidRPr="005C50ED">
              <w:rPr>
                <w:rFonts w:cs="Arial"/>
                <w:sz w:val="16"/>
                <w:szCs w:val="16"/>
                <w:lang w:bidi="th-TH"/>
              </w:rPr>
              <w:t>8 Copyright Offices using GDA (end 2011)</w:t>
            </w:r>
          </w:p>
        </w:tc>
        <w:tc>
          <w:tcPr>
            <w:tcW w:w="765" w:type="pct"/>
            <w:shd w:val="clear" w:color="auto" w:fill="auto"/>
            <w:tcMar>
              <w:top w:w="110" w:type="dxa"/>
            </w:tcMar>
          </w:tcPr>
          <w:p w:rsidR="00035B75" w:rsidRPr="005C50ED" w:rsidRDefault="00035B75" w:rsidP="00FC4F64">
            <w:pPr>
              <w:rPr>
                <w:rFonts w:cs="Arial"/>
                <w:sz w:val="16"/>
                <w:szCs w:val="16"/>
                <w:lang w:bidi="th-TH"/>
              </w:rPr>
            </w:pPr>
            <w:r w:rsidRPr="005C50ED">
              <w:rPr>
                <w:rFonts w:cs="Arial"/>
                <w:sz w:val="16"/>
                <w:szCs w:val="16"/>
                <w:lang w:bidi="th-TH"/>
              </w:rPr>
              <w:t>40 CMOs equipped</w:t>
            </w:r>
          </w:p>
          <w:p w:rsidR="00035B75" w:rsidRPr="005C50ED" w:rsidRDefault="00035B75" w:rsidP="00FC4F64">
            <w:pPr>
              <w:rPr>
                <w:rFonts w:cs="Arial"/>
                <w:sz w:val="16"/>
                <w:szCs w:val="16"/>
                <w:lang w:bidi="th-TH"/>
              </w:rPr>
            </w:pPr>
            <w:r w:rsidRPr="005C50ED">
              <w:rPr>
                <w:rFonts w:cs="Arial"/>
                <w:sz w:val="16"/>
                <w:szCs w:val="16"/>
                <w:lang w:bidi="th-TH"/>
              </w:rPr>
              <w:t>with WIPOCOS</w:t>
            </w:r>
          </w:p>
          <w:p w:rsidR="00035B75" w:rsidRPr="005C50ED" w:rsidRDefault="00035B75" w:rsidP="00FC4F64">
            <w:pPr>
              <w:rPr>
                <w:rFonts w:cs="Arial"/>
                <w:sz w:val="16"/>
                <w:szCs w:val="16"/>
                <w:lang w:bidi="th-TH"/>
              </w:rPr>
            </w:pPr>
            <w:r w:rsidRPr="005C50ED">
              <w:rPr>
                <w:rFonts w:cs="Arial"/>
                <w:sz w:val="16"/>
                <w:szCs w:val="16"/>
                <w:lang w:bidi="th-TH"/>
              </w:rPr>
              <w:t>(cumulative)</w:t>
            </w: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r w:rsidRPr="005C50ED">
              <w:rPr>
                <w:rFonts w:cs="Arial"/>
                <w:sz w:val="16"/>
                <w:szCs w:val="16"/>
                <w:lang w:bidi="th-TH"/>
              </w:rPr>
              <w:t>15 Copyright Offices</w:t>
            </w:r>
          </w:p>
          <w:p w:rsidR="00035B75" w:rsidRPr="005C50ED" w:rsidRDefault="00035B75" w:rsidP="00FC4F64">
            <w:pPr>
              <w:rPr>
                <w:rFonts w:cs="Arial"/>
                <w:sz w:val="16"/>
                <w:szCs w:val="16"/>
                <w:lang w:bidi="th-TH"/>
              </w:rPr>
            </w:pPr>
            <w:r w:rsidRPr="005C50ED">
              <w:rPr>
                <w:rFonts w:cs="Arial"/>
                <w:sz w:val="16"/>
                <w:szCs w:val="16"/>
                <w:lang w:bidi="th-TH"/>
              </w:rPr>
              <w:t>using GDA</w:t>
            </w:r>
            <w:r w:rsidRPr="005C50ED" w:rsidDel="002B4EDA">
              <w:rPr>
                <w:rFonts w:cs="Arial"/>
                <w:sz w:val="16"/>
                <w:szCs w:val="16"/>
                <w:lang w:bidi="th-TH"/>
              </w:rPr>
              <w:t xml:space="preserve"> </w:t>
            </w:r>
            <w:r w:rsidRPr="005C50ED">
              <w:rPr>
                <w:rFonts w:cs="Arial"/>
                <w:sz w:val="16"/>
                <w:szCs w:val="16"/>
                <w:lang w:bidi="th-TH"/>
              </w:rPr>
              <w:t>(cumulative)</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26 CMOs equipped with WIPOCOS</w:t>
            </w:r>
            <w:r w:rsidR="00BE2AF9">
              <w:rPr>
                <w:rFonts w:cs="Arial"/>
                <w:sz w:val="16"/>
                <w:szCs w:val="16"/>
                <w:lang w:bidi="th-TH"/>
              </w:rPr>
              <w:t>.</w:t>
            </w:r>
            <w:r w:rsidRPr="005C50ED">
              <w:rPr>
                <w:rFonts w:cs="Arial"/>
                <w:sz w:val="16"/>
                <w:szCs w:val="16"/>
                <w:lang w:bidi="th-TH"/>
              </w:rPr>
              <w:t xml:space="preserve"> </w:t>
            </w: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p>
          <w:p w:rsidR="00035B75" w:rsidRPr="005C50ED" w:rsidRDefault="00035B75" w:rsidP="00FC4F64">
            <w:pPr>
              <w:rPr>
                <w:rFonts w:cs="Arial"/>
                <w:sz w:val="16"/>
                <w:szCs w:val="16"/>
                <w:lang w:bidi="th-TH"/>
              </w:rPr>
            </w:pPr>
            <w:r w:rsidRPr="005C50ED">
              <w:rPr>
                <w:rFonts w:cs="Arial"/>
                <w:sz w:val="16"/>
                <w:szCs w:val="16"/>
                <w:lang w:bidi="th-TH"/>
              </w:rPr>
              <w:t xml:space="preserve">18 </w:t>
            </w:r>
            <w:r w:rsidR="00BE2AF9">
              <w:rPr>
                <w:rFonts w:cs="Arial"/>
                <w:sz w:val="16"/>
                <w:szCs w:val="16"/>
                <w:lang w:bidi="th-TH"/>
              </w:rPr>
              <w:t>C</w:t>
            </w:r>
            <w:r w:rsidRPr="005C50ED">
              <w:rPr>
                <w:rFonts w:cs="Arial"/>
                <w:sz w:val="16"/>
                <w:szCs w:val="16"/>
                <w:lang w:bidi="th-TH"/>
              </w:rPr>
              <w:t>opyright Offices using GDA</w:t>
            </w:r>
            <w:r w:rsidR="00BE2AF9">
              <w:rPr>
                <w:rFonts w:cs="Arial"/>
                <w:sz w:val="16"/>
                <w:szCs w:val="16"/>
                <w:lang w:bidi="th-TH"/>
              </w:rPr>
              <w:t>.</w:t>
            </w:r>
          </w:p>
        </w:tc>
        <w:tc>
          <w:tcPr>
            <w:tcW w:w="682" w:type="pct"/>
            <w:shd w:val="clear" w:color="auto" w:fill="auto"/>
            <w:tcMar>
              <w:top w:w="110" w:type="dxa"/>
            </w:tcMar>
          </w:tcPr>
          <w:p w:rsidR="00035B75" w:rsidRPr="005C50ED" w:rsidRDefault="00035B75" w:rsidP="00FC4F64">
            <w:pPr>
              <w:spacing w:after="120"/>
              <w:jc w:val="center"/>
              <w:rPr>
                <w:rStyle w:val="Style5"/>
                <w:rFonts w:ascii="Arial" w:hAnsi="Arial" w:cs="Arial"/>
                <w:sz w:val="16"/>
                <w:szCs w:val="16"/>
              </w:rPr>
            </w:pPr>
            <w:r w:rsidRPr="005C50ED">
              <w:rPr>
                <w:rStyle w:val="Style5"/>
                <w:rFonts w:ascii="Arial" w:hAnsi="Arial" w:cs="Arial"/>
                <w:sz w:val="16"/>
                <w:szCs w:val="16"/>
              </w:rPr>
              <w:t>Discontinued</w:t>
            </w:r>
          </w:p>
          <w:p w:rsidR="00035B75" w:rsidRPr="005C50ED" w:rsidRDefault="00035B75" w:rsidP="00FC4F64">
            <w:pPr>
              <w:spacing w:after="120"/>
              <w:jc w:val="center"/>
              <w:rPr>
                <w:rStyle w:val="Style5"/>
                <w:rFonts w:ascii="Arial" w:hAnsi="Arial" w:cs="Arial"/>
                <w:sz w:val="16"/>
                <w:szCs w:val="16"/>
              </w:rPr>
            </w:pPr>
          </w:p>
          <w:p w:rsidR="00035B75" w:rsidRPr="005C50ED" w:rsidRDefault="00035B75" w:rsidP="00FC4F64">
            <w:pPr>
              <w:spacing w:after="120"/>
              <w:jc w:val="center"/>
              <w:rPr>
                <w:rStyle w:val="Style5"/>
                <w:rFonts w:ascii="Arial" w:hAnsi="Arial" w:cs="Arial"/>
                <w:sz w:val="16"/>
                <w:szCs w:val="16"/>
              </w:rPr>
            </w:pPr>
          </w:p>
          <w:p w:rsidR="00035B75" w:rsidRPr="005C50ED" w:rsidRDefault="00035B75" w:rsidP="00FC4F64">
            <w:pPr>
              <w:spacing w:after="120"/>
              <w:jc w:val="center"/>
              <w:rPr>
                <w:rFonts w:cs="Arial"/>
                <w:bCs/>
                <w:color w:val="008000"/>
                <w:sz w:val="16"/>
                <w:szCs w:val="16"/>
              </w:rPr>
            </w:pPr>
            <w:r w:rsidRPr="005C50ED">
              <w:rPr>
                <w:rFonts w:cs="Arial"/>
                <w:bCs/>
                <w:color w:val="008000"/>
                <w:sz w:val="16"/>
                <w:szCs w:val="16"/>
              </w:rPr>
              <w:t>Fully</w:t>
            </w:r>
            <w:r w:rsidRPr="005C50ED">
              <w:rPr>
                <w:rFonts w:cs="Arial"/>
                <w:bCs/>
                <w:color w:val="008000"/>
                <w:sz w:val="16"/>
                <w:szCs w:val="16"/>
              </w:rPr>
              <w:br/>
              <w:t>Achieved</w:t>
            </w:r>
          </w:p>
        </w:tc>
      </w:tr>
      <w:tr w:rsidR="00035B75" w:rsidRPr="005C50ED" w:rsidTr="002F7D53">
        <w:tc>
          <w:tcPr>
            <w:tcW w:w="907" w:type="pct"/>
            <w:shd w:val="clear" w:color="auto" w:fill="auto"/>
          </w:tcPr>
          <w:p w:rsidR="00035B75" w:rsidRPr="005C50ED" w:rsidRDefault="00035B75" w:rsidP="00FC4F64">
            <w:pPr>
              <w:rPr>
                <w:rFonts w:cs="Arial"/>
                <w:sz w:val="16"/>
                <w:szCs w:val="16"/>
                <w:lang w:bidi="th-TH"/>
              </w:rPr>
            </w:pPr>
            <w:r w:rsidRPr="005C50ED">
              <w:rPr>
                <w:rFonts w:cs="Arial"/>
                <w:sz w:val="16"/>
                <w:szCs w:val="16"/>
                <w:lang w:bidi="th-TH"/>
              </w:rPr>
              <w:t>% of Governments that report positively on the effectiveness and governance of copyright institutions in the country</w:t>
            </w:r>
          </w:p>
          <w:p w:rsidR="00035B75" w:rsidRPr="005C50ED" w:rsidRDefault="00035B75" w:rsidP="00FC4F64">
            <w:pPr>
              <w:rPr>
                <w:rFonts w:cs="Arial"/>
                <w:sz w:val="16"/>
                <w:szCs w:val="16"/>
                <w:lang w:bidi="th-TH"/>
              </w:rPr>
            </w:pPr>
          </w:p>
        </w:tc>
        <w:tc>
          <w:tcPr>
            <w:tcW w:w="985" w:type="pct"/>
            <w:shd w:val="clear" w:color="auto" w:fill="auto"/>
          </w:tcPr>
          <w:p w:rsidR="00035B75" w:rsidRPr="005C50ED" w:rsidRDefault="00035B75" w:rsidP="00FC4F64">
            <w:pPr>
              <w:rPr>
                <w:rFonts w:cs="Arial"/>
                <w:color w:val="002060"/>
                <w:sz w:val="16"/>
                <w:szCs w:val="16"/>
                <w:lang w:bidi="th-TH"/>
              </w:rPr>
            </w:pPr>
            <w:r w:rsidRPr="005C50ED">
              <w:rPr>
                <w:rFonts w:cs="Arial"/>
                <w:i/>
                <w:color w:val="002060"/>
                <w:sz w:val="16"/>
                <w:szCs w:val="16"/>
              </w:rPr>
              <w:t>Updated Baseline end 2011:</w:t>
            </w:r>
            <w:r w:rsidRPr="005C50ED">
              <w:rPr>
                <w:rFonts w:cs="Arial"/>
                <w:color w:val="002060"/>
                <w:sz w:val="16"/>
                <w:szCs w:val="16"/>
                <w:lang w:bidi="th-TH"/>
              </w:rPr>
              <w:t xml:space="preserve">  At least 70%</w:t>
            </w:r>
          </w:p>
          <w:p w:rsidR="00035B75" w:rsidRPr="005C50ED" w:rsidRDefault="00035B75" w:rsidP="00FC4F64">
            <w:pPr>
              <w:rPr>
                <w:rFonts w:cs="Arial"/>
                <w:sz w:val="8"/>
                <w:szCs w:val="8"/>
                <w:lang w:bidi="th-TH"/>
              </w:rPr>
            </w:pPr>
          </w:p>
          <w:p w:rsidR="00035B75" w:rsidRPr="002C4083" w:rsidRDefault="00035B75" w:rsidP="00FC4F64">
            <w:pPr>
              <w:rPr>
                <w:rFonts w:cs="Arial"/>
                <w:sz w:val="16"/>
                <w:szCs w:val="16"/>
                <w:lang w:val="pt-BR" w:bidi="th-TH"/>
              </w:rPr>
            </w:pPr>
            <w:r w:rsidRPr="002C4083">
              <w:rPr>
                <w:rFonts w:cs="Arial"/>
                <w:i/>
                <w:sz w:val="16"/>
                <w:szCs w:val="16"/>
                <w:lang w:val="pt-BR" w:bidi="th-TH"/>
              </w:rPr>
              <w:t xml:space="preserve">Original Baseline P&amp;B 2012/13: </w:t>
            </w:r>
            <w:r w:rsidRPr="002C4083">
              <w:rPr>
                <w:rFonts w:cs="Arial"/>
                <w:sz w:val="16"/>
                <w:szCs w:val="16"/>
                <w:lang w:val="pt-BR" w:bidi="th-TH"/>
              </w:rPr>
              <w:t xml:space="preserve"> N/A</w:t>
            </w:r>
          </w:p>
        </w:tc>
        <w:tc>
          <w:tcPr>
            <w:tcW w:w="765" w:type="pct"/>
            <w:shd w:val="clear" w:color="auto" w:fill="auto"/>
            <w:tcMar>
              <w:top w:w="110" w:type="dxa"/>
            </w:tcMar>
          </w:tcPr>
          <w:p w:rsidR="00035B75" w:rsidRPr="00BE2AF9" w:rsidRDefault="00035B75" w:rsidP="00BE2AF9">
            <w:pPr>
              <w:pStyle w:val="Default"/>
              <w:rPr>
                <w:color w:val="auto"/>
                <w:sz w:val="16"/>
                <w:szCs w:val="16"/>
              </w:rPr>
            </w:pPr>
            <w:r w:rsidRPr="005C50ED">
              <w:rPr>
                <w:color w:val="auto"/>
                <w:sz w:val="16"/>
                <w:szCs w:val="16"/>
              </w:rPr>
              <w:t>80% of countries that requested and received technical</w:t>
            </w:r>
            <w:r w:rsidR="00BE2AF9">
              <w:rPr>
                <w:color w:val="auto"/>
                <w:sz w:val="16"/>
                <w:szCs w:val="16"/>
              </w:rPr>
              <w:t xml:space="preserve"> </w:t>
            </w:r>
            <w:r w:rsidRPr="005C50ED">
              <w:rPr>
                <w:sz w:val="16"/>
                <w:szCs w:val="16"/>
              </w:rPr>
              <w:t>assistance in this area</w:t>
            </w:r>
          </w:p>
        </w:tc>
        <w:tc>
          <w:tcPr>
            <w:tcW w:w="1661" w:type="pct"/>
            <w:gridSpan w:val="2"/>
            <w:shd w:val="clear" w:color="auto" w:fill="FFFFFF"/>
            <w:tcMar>
              <w:top w:w="110" w:type="dxa"/>
            </w:tcMar>
          </w:tcPr>
          <w:p w:rsidR="00035B75" w:rsidRPr="005C50ED" w:rsidRDefault="00035B75" w:rsidP="00FC4F64">
            <w:pPr>
              <w:rPr>
                <w:rFonts w:cs="Arial"/>
                <w:sz w:val="16"/>
                <w:szCs w:val="16"/>
                <w:lang w:bidi="th-TH"/>
              </w:rPr>
            </w:pPr>
            <w:r w:rsidRPr="005C50ED">
              <w:rPr>
                <w:rFonts w:cs="Arial"/>
                <w:sz w:val="16"/>
                <w:szCs w:val="16"/>
                <w:lang w:bidi="th-TH"/>
              </w:rPr>
              <w:t>Over 70% of Governments that received assistance reported positively on the improved effectiveness and governance of related institutions in the country after training.</w:t>
            </w:r>
          </w:p>
        </w:tc>
        <w:tc>
          <w:tcPr>
            <w:tcW w:w="682" w:type="pct"/>
            <w:shd w:val="clear" w:color="auto" w:fill="auto"/>
          </w:tcPr>
          <w:p w:rsidR="00035B75" w:rsidRPr="005C50ED" w:rsidRDefault="00035B75" w:rsidP="00FC4F64">
            <w:pPr>
              <w:jc w:val="center"/>
              <w:rPr>
                <w:rFonts w:cs="Arial"/>
                <w:bCs/>
                <w:color w:val="333333"/>
                <w:sz w:val="16"/>
                <w:szCs w:val="16"/>
              </w:rPr>
            </w:pPr>
            <w:r w:rsidRPr="005C50ED">
              <w:rPr>
                <w:rFonts w:cs="Arial"/>
                <w:bCs/>
                <w:color w:val="008000"/>
                <w:sz w:val="16"/>
                <w:szCs w:val="16"/>
              </w:rPr>
              <w:t>Fully</w:t>
            </w:r>
            <w:r w:rsidRPr="005C50ED">
              <w:rPr>
                <w:rFonts w:cs="Arial"/>
                <w:bCs/>
                <w:color w:val="008000"/>
                <w:sz w:val="16"/>
                <w:szCs w:val="16"/>
              </w:rPr>
              <w:br/>
              <w:t>Achieved</w:t>
            </w:r>
          </w:p>
        </w:tc>
      </w:tr>
    </w:tbl>
    <w:p w:rsidR="00035B75" w:rsidRDefault="00035B75" w:rsidP="00035B75">
      <w:pPr>
        <w:rPr>
          <w:rFonts w:cs="Arial"/>
          <w:b/>
          <w:sz w:val="22"/>
          <w:szCs w:val="22"/>
        </w:rPr>
      </w:pPr>
    </w:p>
    <w:p w:rsidR="00035B75" w:rsidRDefault="00035B75" w:rsidP="00035B75">
      <w:pPr>
        <w:rPr>
          <w:rFonts w:cs="Arial"/>
          <w:b/>
          <w:sz w:val="22"/>
          <w:szCs w:val="22"/>
        </w:rPr>
      </w:pPr>
    </w:p>
    <w:p w:rsidR="00035B75" w:rsidRDefault="00035B75" w:rsidP="00035B75">
      <w:pPr>
        <w:rPr>
          <w:rFonts w:cs="Arial"/>
          <w:b/>
          <w:sz w:val="22"/>
          <w:szCs w:val="22"/>
        </w:rPr>
      </w:pPr>
    </w:p>
    <w:p w:rsidR="00035B75" w:rsidRDefault="00035B75" w:rsidP="00035B75">
      <w:pPr>
        <w:rPr>
          <w:rFonts w:cs="Arial"/>
          <w:b/>
          <w:sz w:val="22"/>
          <w:szCs w:val="22"/>
        </w:rPr>
      </w:pPr>
    </w:p>
    <w:p w:rsidR="00035B75" w:rsidRDefault="00035B75" w:rsidP="00035B75">
      <w:pPr>
        <w:rPr>
          <w:rFonts w:cs="Arial"/>
          <w:color w:val="000000"/>
          <w:sz w:val="22"/>
          <w:szCs w:val="22"/>
        </w:rPr>
      </w:pPr>
      <w:r>
        <w:rPr>
          <w:color w:val="000000"/>
          <w:sz w:val="22"/>
          <w:szCs w:val="22"/>
        </w:rPr>
        <w:br w:type="page"/>
      </w:r>
    </w:p>
    <w:p w:rsidR="002F7D53" w:rsidRPr="0098133B" w:rsidRDefault="002F7D53" w:rsidP="002F7D53">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2F7D53" w:rsidRDefault="002F7D53" w:rsidP="00035B75">
      <w:pPr>
        <w:pStyle w:val="NormalWeb"/>
        <w:spacing w:before="0" w:beforeAutospacing="0" w:after="0" w:afterAutospacing="0"/>
        <w:jc w:val="center"/>
        <w:rPr>
          <w:color w:val="000000"/>
          <w:sz w:val="20"/>
          <w:szCs w:val="20"/>
        </w:rPr>
      </w:pPr>
    </w:p>
    <w:p w:rsidR="00035B75" w:rsidRPr="0027745B" w:rsidRDefault="00035B75" w:rsidP="00035B75">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035B75" w:rsidRPr="0027745B" w:rsidRDefault="00035B75" w:rsidP="00035B75">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Pr="00BF5143" w:rsidRDefault="00035B75" w:rsidP="00035B75">
      <w:pPr>
        <w:rPr>
          <w:rFonts w:cs="Arial"/>
          <w:b/>
          <w:sz w:val="22"/>
          <w:szCs w:val="22"/>
        </w:rPr>
      </w:pPr>
    </w:p>
    <w:tbl>
      <w:tblPr>
        <w:tblW w:w="0" w:type="auto"/>
        <w:tblInd w:w="103" w:type="dxa"/>
        <w:tblLayout w:type="fixed"/>
        <w:tblLook w:val="04A0" w:firstRow="1" w:lastRow="0" w:firstColumn="1" w:lastColumn="0" w:noHBand="0" w:noVBand="1"/>
      </w:tblPr>
      <w:tblGrid>
        <w:gridCol w:w="501"/>
        <w:gridCol w:w="4607"/>
        <w:gridCol w:w="1417"/>
        <w:gridCol w:w="1418"/>
        <w:gridCol w:w="1418"/>
      </w:tblGrid>
      <w:tr w:rsidR="00035B75" w:rsidRPr="00B61118" w:rsidTr="00BE2AF9">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B61118" w:rsidRDefault="00035B75" w:rsidP="002F7D53">
            <w:pPr>
              <w:spacing w:before="120" w:after="120"/>
              <w:jc w:val="center"/>
              <w:rPr>
                <w:rFonts w:cs="Arial"/>
                <w:bCs/>
                <w:color w:val="000000"/>
                <w:sz w:val="16"/>
                <w:szCs w:val="16"/>
              </w:rPr>
            </w:pPr>
            <w:r w:rsidRPr="00B61118">
              <w:rPr>
                <w:rFonts w:cs="Arial"/>
                <w:bCs/>
                <w:color w:val="000000"/>
                <w:sz w:val="16"/>
                <w:szCs w:val="16"/>
              </w:rPr>
              <w:t>Expected Result No. and Description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035B75" w:rsidRPr="00B61118" w:rsidRDefault="00035B75" w:rsidP="002F7D53">
            <w:pPr>
              <w:spacing w:before="120" w:after="120"/>
              <w:jc w:val="center"/>
              <w:rPr>
                <w:rFonts w:cs="Arial"/>
                <w:bCs/>
                <w:color w:val="000000"/>
                <w:sz w:val="16"/>
                <w:szCs w:val="16"/>
              </w:rPr>
            </w:pPr>
            <w:r w:rsidRPr="00B61118">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35B75" w:rsidRPr="00B61118" w:rsidRDefault="00035B75" w:rsidP="002F7D53">
            <w:pPr>
              <w:spacing w:before="120" w:after="120"/>
              <w:jc w:val="center"/>
              <w:rPr>
                <w:rFonts w:cs="Arial"/>
                <w:bCs/>
                <w:color w:val="000000"/>
                <w:sz w:val="16"/>
                <w:szCs w:val="16"/>
              </w:rPr>
            </w:pPr>
            <w:r w:rsidRPr="00B61118">
              <w:rPr>
                <w:rFonts w:cs="Arial"/>
                <w:bCs/>
                <w:color w:val="000000"/>
                <w:sz w:val="16"/>
                <w:szCs w:val="16"/>
              </w:rPr>
              <w:t xml:space="preserve">2012/13 Budget </w:t>
            </w:r>
            <w:r w:rsidRPr="00B61118">
              <w:rPr>
                <w:rFonts w:cs="Arial"/>
                <w:bCs/>
                <w:color w:val="000000"/>
                <w:sz w:val="16"/>
                <w:szCs w:val="16"/>
              </w:rPr>
              <w:br/>
              <w:t>After Transfers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35B75" w:rsidRPr="00B61118" w:rsidRDefault="00035B75" w:rsidP="002F7D53">
            <w:pPr>
              <w:spacing w:before="120" w:after="120"/>
              <w:jc w:val="center"/>
              <w:rPr>
                <w:rFonts w:cs="Arial"/>
                <w:bCs/>
                <w:color w:val="000000"/>
                <w:sz w:val="16"/>
                <w:szCs w:val="16"/>
              </w:rPr>
            </w:pPr>
            <w:r w:rsidRPr="00B61118">
              <w:rPr>
                <w:rFonts w:cs="Arial"/>
                <w:bCs/>
                <w:color w:val="000000"/>
                <w:sz w:val="16"/>
                <w:szCs w:val="16"/>
              </w:rPr>
              <w:t>2012/13</w:t>
            </w:r>
            <w:r w:rsidRPr="00B61118">
              <w:rPr>
                <w:rFonts w:cs="Arial"/>
                <w:bCs/>
                <w:color w:val="000000"/>
                <w:sz w:val="16"/>
                <w:szCs w:val="16"/>
              </w:rPr>
              <w:br/>
              <w:t>Expenditure</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I.1</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Enhanced cooperation/greater consensus among Member States on further developing the policy and legal framework for the international patent system, trademarks, industrial designs, geographical indications, copyright and related rights, TK, TCEs GRs</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3,364 </w:t>
            </w:r>
          </w:p>
        </w:tc>
        <w:tc>
          <w:tcPr>
            <w:tcW w:w="1418"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5,621 </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5,179 </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I.3</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Evidence-based decision making on copyright issues</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2,754 </w:t>
            </w:r>
          </w:p>
        </w:tc>
        <w:tc>
          <w:tcPr>
            <w:tcW w:w="1418"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2,405 </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2,687 </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I.4</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Tailored and balanced IP legislative, regulatory and policy frameworks</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1,733 </w:t>
            </w:r>
          </w:p>
        </w:tc>
        <w:tc>
          <w:tcPr>
            <w:tcW w:w="1418"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1,095</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938 </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III.2</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3,475 </w:t>
            </w:r>
          </w:p>
        </w:tc>
        <w:tc>
          <w:tcPr>
            <w:tcW w:w="1418"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3,644</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3,683 </w:t>
            </w:r>
          </w:p>
        </w:tc>
      </w:tr>
      <w:tr w:rsidR="00035B75" w:rsidRPr="00C822FC" w:rsidTr="00BE2AF9">
        <w:tc>
          <w:tcPr>
            <w:tcW w:w="501" w:type="dxa"/>
            <w:tcBorders>
              <w:top w:val="nil"/>
              <w:left w:val="single" w:sz="4" w:space="0" w:color="auto"/>
              <w:bottom w:val="nil"/>
              <w:right w:val="nil"/>
            </w:tcBorders>
            <w:shd w:val="clear" w:color="000000" w:fill="FFFFFF"/>
            <w:noWrap/>
            <w:hideMark/>
          </w:tcPr>
          <w:p w:rsidR="00035B75" w:rsidRPr="0027745B" w:rsidRDefault="00035B75" w:rsidP="005C50ED">
            <w:pPr>
              <w:spacing w:before="120"/>
              <w:jc w:val="center"/>
              <w:rPr>
                <w:rFonts w:cs="Arial"/>
                <w:color w:val="000000"/>
                <w:sz w:val="16"/>
                <w:szCs w:val="16"/>
              </w:rPr>
            </w:pPr>
            <w:r w:rsidRPr="0027745B">
              <w:rPr>
                <w:rFonts w:cs="Arial"/>
                <w:color w:val="000000"/>
                <w:sz w:val="16"/>
                <w:szCs w:val="16"/>
              </w:rPr>
              <w:t>IV.2</w:t>
            </w:r>
          </w:p>
        </w:tc>
        <w:tc>
          <w:tcPr>
            <w:tcW w:w="4607" w:type="dxa"/>
            <w:tcBorders>
              <w:top w:val="nil"/>
              <w:left w:val="nil"/>
              <w:bottom w:val="nil"/>
              <w:right w:val="nil"/>
            </w:tcBorders>
            <w:shd w:val="clear" w:color="000000" w:fill="FFFFFF"/>
            <w:hideMark/>
          </w:tcPr>
          <w:p w:rsidR="00035B75" w:rsidRPr="0027745B" w:rsidRDefault="00035B75" w:rsidP="005C50ED">
            <w:pPr>
              <w:spacing w:before="120"/>
              <w:rPr>
                <w:rFonts w:cs="Arial"/>
                <w:color w:val="000000"/>
                <w:sz w:val="16"/>
                <w:szCs w:val="16"/>
              </w:rPr>
            </w:pPr>
            <w:r w:rsidRPr="0027745B">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417" w:type="dxa"/>
            <w:tcBorders>
              <w:top w:val="nil"/>
              <w:left w:val="nil"/>
              <w:bottom w:val="nil"/>
              <w:right w:val="nil"/>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3,595 </w:t>
            </w:r>
          </w:p>
        </w:tc>
        <w:tc>
          <w:tcPr>
            <w:tcW w:w="1418" w:type="dxa"/>
            <w:tcBorders>
              <w:top w:val="nil"/>
              <w:left w:val="nil"/>
              <w:bottom w:val="nil"/>
              <w:right w:val="nil"/>
            </w:tcBorders>
            <w:shd w:val="clear" w:color="000000" w:fill="FFFFFF"/>
            <w:vAlign w:val="center"/>
            <w:hideMark/>
          </w:tcPr>
          <w:p w:rsidR="00035B75" w:rsidRPr="0027745B" w:rsidRDefault="00035B75" w:rsidP="00F21199">
            <w:pPr>
              <w:spacing w:before="120"/>
              <w:jc w:val="right"/>
              <w:rPr>
                <w:rFonts w:cs="Arial"/>
                <w:color w:val="000000"/>
                <w:sz w:val="16"/>
                <w:szCs w:val="16"/>
              </w:rPr>
            </w:pPr>
            <w:r w:rsidRPr="0027745B">
              <w:rPr>
                <w:rFonts w:cs="Arial"/>
                <w:color w:val="000000"/>
                <w:sz w:val="16"/>
                <w:szCs w:val="16"/>
              </w:rPr>
              <w:t>2,7</w:t>
            </w:r>
            <w:r w:rsidR="00F21199">
              <w:rPr>
                <w:rFonts w:cs="Arial"/>
                <w:color w:val="000000"/>
                <w:sz w:val="16"/>
                <w:szCs w:val="16"/>
              </w:rPr>
              <w:t>7</w:t>
            </w:r>
            <w:r w:rsidRPr="0027745B">
              <w:rPr>
                <w:rFonts w:cs="Arial"/>
                <w:color w:val="000000"/>
                <w:sz w:val="16"/>
                <w:szCs w:val="16"/>
              </w:rPr>
              <w:t xml:space="preserve">0 </w:t>
            </w:r>
          </w:p>
        </w:tc>
        <w:tc>
          <w:tcPr>
            <w:tcW w:w="1418" w:type="dxa"/>
            <w:tcBorders>
              <w:top w:val="nil"/>
              <w:left w:val="nil"/>
              <w:bottom w:val="nil"/>
              <w:right w:val="single" w:sz="4" w:space="0" w:color="auto"/>
            </w:tcBorders>
            <w:shd w:val="clear" w:color="000000" w:fill="FFFFFF"/>
            <w:vAlign w:val="center"/>
            <w:hideMark/>
          </w:tcPr>
          <w:p w:rsidR="00035B75" w:rsidRPr="0027745B" w:rsidRDefault="00035B75" w:rsidP="005C50ED">
            <w:pPr>
              <w:spacing w:before="120"/>
              <w:jc w:val="right"/>
              <w:rPr>
                <w:rFonts w:cs="Arial"/>
                <w:color w:val="000000"/>
                <w:sz w:val="16"/>
                <w:szCs w:val="16"/>
              </w:rPr>
            </w:pPr>
            <w:r w:rsidRPr="0027745B">
              <w:rPr>
                <w:rFonts w:cs="Arial"/>
                <w:color w:val="000000"/>
                <w:sz w:val="16"/>
                <w:szCs w:val="16"/>
              </w:rPr>
              <w:t xml:space="preserve">2,343 </w:t>
            </w:r>
          </w:p>
        </w:tc>
      </w:tr>
      <w:tr w:rsidR="00035B75" w:rsidRPr="00C822FC" w:rsidTr="00BE2AF9">
        <w:tc>
          <w:tcPr>
            <w:tcW w:w="501" w:type="dxa"/>
            <w:tcBorders>
              <w:top w:val="nil"/>
              <w:left w:val="single" w:sz="4" w:space="0" w:color="auto"/>
              <w:bottom w:val="single" w:sz="4" w:space="0" w:color="auto"/>
              <w:right w:val="nil"/>
            </w:tcBorders>
            <w:shd w:val="clear" w:color="000000" w:fill="FFFFFF"/>
            <w:noWrap/>
            <w:hideMark/>
          </w:tcPr>
          <w:p w:rsidR="00035B75" w:rsidRPr="0027745B" w:rsidRDefault="00035B75" w:rsidP="002F7D53">
            <w:pPr>
              <w:spacing w:before="120" w:after="120"/>
              <w:jc w:val="center"/>
              <w:rPr>
                <w:rFonts w:cs="Arial"/>
                <w:color w:val="000000"/>
                <w:sz w:val="16"/>
                <w:szCs w:val="16"/>
              </w:rPr>
            </w:pPr>
            <w:r w:rsidRPr="0027745B">
              <w:rPr>
                <w:rFonts w:cs="Arial"/>
                <w:color w:val="000000"/>
                <w:sz w:val="16"/>
                <w:szCs w:val="16"/>
              </w:rPr>
              <w:t>IV.5</w:t>
            </w:r>
          </w:p>
        </w:tc>
        <w:tc>
          <w:tcPr>
            <w:tcW w:w="4607" w:type="dxa"/>
            <w:tcBorders>
              <w:top w:val="nil"/>
              <w:left w:val="nil"/>
              <w:bottom w:val="single" w:sz="4" w:space="0" w:color="auto"/>
              <w:right w:val="nil"/>
            </w:tcBorders>
            <w:shd w:val="clear" w:color="000000" w:fill="FFFFFF"/>
            <w:hideMark/>
          </w:tcPr>
          <w:p w:rsidR="00035B75" w:rsidRPr="0027745B" w:rsidRDefault="00035B75" w:rsidP="002F7D53">
            <w:pPr>
              <w:spacing w:before="120" w:after="120"/>
              <w:rPr>
                <w:rFonts w:cs="Arial"/>
                <w:color w:val="000000"/>
                <w:sz w:val="16"/>
                <w:szCs w:val="16"/>
              </w:rPr>
            </w:pPr>
            <w:r w:rsidRPr="0027745B">
              <w:rPr>
                <w:rFonts w:cs="Arial"/>
                <w:color w:val="000000"/>
                <w:sz w:val="16"/>
                <w:szCs w:val="16"/>
              </w:rPr>
              <w:t>Enhanced  technical and knowledge infrastructure for IP Offices and other IP institutions leading to better services (cheaper, faster, higher quality) to their stakeholders</w:t>
            </w:r>
          </w:p>
        </w:tc>
        <w:tc>
          <w:tcPr>
            <w:tcW w:w="1417" w:type="dxa"/>
            <w:tcBorders>
              <w:top w:val="nil"/>
              <w:left w:val="nil"/>
              <w:bottom w:val="single" w:sz="4" w:space="0" w:color="auto"/>
              <w:right w:val="nil"/>
            </w:tcBorders>
            <w:shd w:val="clear" w:color="000000" w:fill="FFFFFF"/>
            <w:vAlign w:val="center"/>
            <w:hideMark/>
          </w:tcPr>
          <w:p w:rsidR="00035B75" w:rsidRPr="0027745B" w:rsidRDefault="00035B75" w:rsidP="002F7D53">
            <w:pPr>
              <w:spacing w:before="120" w:after="120"/>
              <w:jc w:val="right"/>
              <w:rPr>
                <w:rFonts w:cs="Arial"/>
                <w:color w:val="000000"/>
                <w:sz w:val="16"/>
                <w:szCs w:val="16"/>
              </w:rPr>
            </w:pPr>
            <w:r w:rsidRPr="0027745B">
              <w:rPr>
                <w:rFonts w:cs="Arial"/>
                <w:color w:val="000000"/>
                <w:sz w:val="16"/>
                <w:szCs w:val="16"/>
              </w:rPr>
              <w:t xml:space="preserve">3,673 </w:t>
            </w:r>
          </w:p>
        </w:tc>
        <w:tc>
          <w:tcPr>
            <w:tcW w:w="1418" w:type="dxa"/>
            <w:tcBorders>
              <w:top w:val="nil"/>
              <w:left w:val="nil"/>
              <w:bottom w:val="single" w:sz="4" w:space="0" w:color="auto"/>
              <w:right w:val="nil"/>
            </w:tcBorders>
            <w:shd w:val="clear" w:color="000000" w:fill="FFFFFF"/>
            <w:vAlign w:val="center"/>
            <w:hideMark/>
          </w:tcPr>
          <w:p w:rsidR="00035B75" w:rsidRPr="0027745B" w:rsidRDefault="00035B75" w:rsidP="002F7D53">
            <w:pPr>
              <w:spacing w:before="120" w:after="120"/>
              <w:jc w:val="right"/>
              <w:rPr>
                <w:rFonts w:cs="Arial"/>
                <w:color w:val="000000"/>
                <w:sz w:val="16"/>
                <w:szCs w:val="16"/>
              </w:rPr>
            </w:pPr>
            <w:r w:rsidRPr="0027745B">
              <w:rPr>
                <w:rFonts w:cs="Arial"/>
                <w:color w:val="000000"/>
                <w:sz w:val="16"/>
                <w:szCs w:val="16"/>
              </w:rPr>
              <w:t xml:space="preserve">4,165 </w:t>
            </w:r>
          </w:p>
        </w:tc>
        <w:tc>
          <w:tcPr>
            <w:tcW w:w="1418" w:type="dxa"/>
            <w:tcBorders>
              <w:top w:val="nil"/>
              <w:left w:val="nil"/>
              <w:bottom w:val="single" w:sz="4" w:space="0" w:color="auto"/>
              <w:right w:val="single" w:sz="4" w:space="0" w:color="auto"/>
            </w:tcBorders>
            <w:shd w:val="clear" w:color="000000" w:fill="FFFFFF"/>
            <w:vAlign w:val="center"/>
            <w:hideMark/>
          </w:tcPr>
          <w:p w:rsidR="00035B75" w:rsidRPr="0027745B" w:rsidRDefault="00035B75" w:rsidP="002F7D53">
            <w:pPr>
              <w:spacing w:before="120" w:after="120"/>
              <w:jc w:val="right"/>
              <w:rPr>
                <w:rFonts w:cs="Arial"/>
                <w:color w:val="000000"/>
                <w:sz w:val="16"/>
                <w:szCs w:val="16"/>
              </w:rPr>
            </w:pPr>
            <w:r w:rsidRPr="0027745B">
              <w:rPr>
                <w:rFonts w:cs="Arial"/>
                <w:color w:val="000000"/>
                <w:sz w:val="16"/>
                <w:szCs w:val="16"/>
              </w:rPr>
              <w:t xml:space="preserve">3,511 </w:t>
            </w:r>
          </w:p>
        </w:tc>
      </w:tr>
      <w:tr w:rsidR="00035B75" w:rsidRPr="00C822FC" w:rsidTr="00BE2AF9">
        <w:tc>
          <w:tcPr>
            <w:tcW w:w="501" w:type="dxa"/>
            <w:tcBorders>
              <w:top w:val="nil"/>
              <w:left w:val="single" w:sz="4" w:space="0" w:color="auto"/>
              <w:bottom w:val="single" w:sz="4" w:space="0" w:color="auto"/>
              <w:right w:val="nil"/>
            </w:tcBorders>
            <w:shd w:val="clear" w:color="000000" w:fill="CCFFFF"/>
            <w:noWrap/>
            <w:vAlign w:val="center"/>
            <w:hideMark/>
          </w:tcPr>
          <w:p w:rsidR="00035B75" w:rsidRPr="0027745B" w:rsidRDefault="00035B75" w:rsidP="002F7D53">
            <w:pPr>
              <w:spacing w:before="120" w:after="120"/>
              <w:rPr>
                <w:rFonts w:cs="Arial"/>
                <w:b/>
                <w:bCs/>
                <w:color w:val="000000"/>
                <w:sz w:val="16"/>
                <w:szCs w:val="16"/>
              </w:rPr>
            </w:pPr>
            <w:r w:rsidRPr="0027745B">
              <w:rPr>
                <w:rFonts w:cs="Arial"/>
                <w:b/>
                <w:bCs/>
                <w:color w:val="000000"/>
                <w:sz w:val="16"/>
                <w:szCs w:val="16"/>
              </w:rPr>
              <w:t> </w:t>
            </w:r>
          </w:p>
        </w:tc>
        <w:tc>
          <w:tcPr>
            <w:tcW w:w="4607" w:type="dxa"/>
            <w:tcBorders>
              <w:top w:val="nil"/>
              <w:left w:val="nil"/>
              <w:bottom w:val="single" w:sz="4" w:space="0" w:color="auto"/>
              <w:right w:val="nil"/>
            </w:tcBorders>
            <w:shd w:val="clear" w:color="000000" w:fill="CCFFFF"/>
            <w:noWrap/>
            <w:vAlign w:val="center"/>
            <w:hideMark/>
          </w:tcPr>
          <w:p w:rsidR="00035B75" w:rsidRPr="0027745B" w:rsidRDefault="00035B75" w:rsidP="002F7D53">
            <w:pPr>
              <w:spacing w:before="120" w:after="120"/>
              <w:rPr>
                <w:rFonts w:cs="Arial"/>
                <w:b/>
                <w:bCs/>
                <w:color w:val="000000"/>
                <w:sz w:val="16"/>
                <w:szCs w:val="16"/>
              </w:rPr>
            </w:pPr>
            <w:r w:rsidRPr="0027745B">
              <w:rPr>
                <w:rFonts w:cs="Arial"/>
                <w:b/>
                <w:bCs/>
                <w:color w:val="000000"/>
                <w:sz w:val="16"/>
                <w:szCs w:val="16"/>
              </w:rPr>
              <w:t xml:space="preserve">Total  </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035B75" w:rsidRPr="0027745B" w:rsidRDefault="00035B75" w:rsidP="002F7D53">
            <w:pPr>
              <w:spacing w:before="120" w:after="120"/>
              <w:jc w:val="right"/>
              <w:rPr>
                <w:rFonts w:cs="Arial"/>
                <w:b/>
                <w:bCs/>
                <w:color w:val="000000"/>
                <w:sz w:val="16"/>
                <w:szCs w:val="16"/>
              </w:rPr>
            </w:pPr>
            <w:r w:rsidRPr="0027745B">
              <w:rPr>
                <w:rFonts w:cs="Arial"/>
                <w:b/>
                <w:bCs/>
                <w:color w:val="000000"/>
                <w:sz w:val="16"/>
                <w:szCs w:val="16"/>
              </w:rPr>
              <w:t>18,593</w:t>
            </w:r>
          </w:p>
        </w:tc>
        <w:tc>
          <w:tcPr>
            <w:tcW w:w="1418" w:type="dxa"/>
            <w:tcBorders>
              <w:top w:val="nil"/>
              <w:left w:val="nil"/>
              <w:bottom w:val="single" w:sz="4" w:space="0" w:color="auto"/>
              <w:right w:val="single" w:sz="4" w:space="0" w:color="auto"/>
            </w:tcBorders>
            <w:shd w:val="clear" w:color="000000" w:fill="CCFFFF"/>
            <w:noWrap/>
            <w:vAlign w:val="center"/>
            <w:hideMark/>
          </w:tcPr>
          <w:p w:rsidR="00035B75" w:rsidRPr="0027745B" w:rsidRDefault="00035B75" w:rsidP="002F7D53">
            <w:pPr>
              <w:spacing w:before="120" w:after="120"/>
              <w:jc w:val="right"/>
              <w:rPr>
                <w:rFonts w:cs="Arial"/>
                <w:b/>
                <w:bCs/>
                <w:color w:val="000000"/>
                <w:sz w:val="16"/>
                <w:szCs w:val="16"/>
              </w:rPr>
            </w:pPr>
            <w:r w:rsidRPr="0027745B">
              <w:rPr>
                <w:rFonts w:cs="Arial"/>
                <w:b/>
                <w:bCs/>
                <w:color w:val="000000"/>
                <w:sz w:val="16"/>
                <w:szCs w:val="16"/>
              </w:rPr>
              <w:t>19,699</w:t>
            </w:r>
          </w:p>
        </w:tc>
        <w:tc>
          <w:tcPr>
            <w:tcW w:w="1418" w:type="dxa"/>
            <w:tcBorders>
              <w:top w:val="nil"/>
              <w:left w:val="nil"/>
              <w:bottom w:val="single" w:sz="4" w:space="0" w:color="auto"/>
              <w:right w:val="single" w:sz="4" w:space="0" w:color="auto"/>
            </w:tcBorders>
            <w:shd w:val="clear" w:color="000000" w:fill="CCFFFF"/>
            <w:vAlign w:val="center"/>
            <w:hideMark/>
          </w:tcPr>
          <w:p w:rsidR="00035B75" w:rsidRPr="0027745B" w:rsidRDefault="00035B75" w:rsidP="002F7D53">
            <w:pPr>
              <w:spacing w:before="120" w:after="120"/>
              <w:jc w:val="right"/>
              <w:rPr>
                <w:rFonts w:cs="Arial"/>
                <w:b/>
                <w:bCs/>
                <w:color w:val="000000"/>
                <w:sz w:val="16"/>
                <w:szCs w:val="16"/>
              </w:rPr>
            </w:pPr>
            <w:r w:rsidRPr="0027745B">
              <w:rPr>
                <w:rFonts w:cs="Arial"/>
                <w:b/>
                <w:bCs/>
                <w:color w:val="000000"/>
                <w:sz w:val="16"/>
                <w:szCs w:val="16"/>
              </w:rPr>
              <w:t>18,341</w:t>
            </w:r>
          </w:p>
        </w:tc>
      </w:tr>
    </w:tbl>
    <w:p w:rsidR="00035B75" w:rsidRDefault="00035B75" w:rsidP="00035B75">
      <w:pPr>
        <w:keepNext/>
        <w:keepLines/>
        <w:rPr>
          <w:rFonts w:cs="Arial"/>
          <w:sz w:val="22"/>
          <w:szCs w:val="22"/>
        </w:rPr>
      </w:pPr>
    </w:p>
    <w:p w:rsidR="00035B75" w:rsidRPr="00BF5143" w:rsidRDefault="00035B75" w:rsidP="00035B75">
      <w:pPr>
        <w:keepNext/>
        <w:keepLines/>
        <w:rPr>
          <w:rFonts w:cs="Arial"/>
          <w:sz w:val="22"/>
          <w:szCs w:val="22"/>
        </w:rPr>
      </w:pPr>
    </w:p>
    <w:p w:rsidR="00035B75" w:rsidRPr="0027745B" w:rsidRDefault="00035B75" w:rsidP="00035B75">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035B75" w:rsidRPr="0027745B" w:rsidRDefault="00035B75" w:rsidP="00035B75">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Pr="0027745B" w:rsidRDefault="00035B75" w:rsidP="00035B75">
      <w:pPr>
        <w:keepNext/>
        <w:keepLines/>
        <w:rPr>
          <w:rFonts w:cs="Arial"/>
          <w:szCs w:val="20"/>
        </w:rPr>
      </w:pPr>
    </w:p>
    <w:tbl>
      <w:tblPr>
        <w:tblW w:w="9371" w:type="dxa"/>
        <w:tblInd w:w="93" w:type="dxa"/>
        <w:tblLook w:val="04A0" w:firstRow="1" w:lastRow="0" w:firstColumn="1" w:lastColumn="0" w:noHBand="0" w:noVBand="1"/>
      </w:tblPr>
      <w:tblGrid>
        <w:gridCol w:w="2283"/>
        <w:gridCol w:w="1772"/>
        <w:gridCol w:w="1772"/>
        <w:gridCol w:w="1772"/>
        <w:gridCol w:w="1772"/>
      </w:tblGrid>
      <w:tr w:rsidR="00035B75" w:rsidRPr="00B61118" w:rsidTr="00BE2AF9">
        <w:trPr>
          <w:trHeight w:val="411"/>
        </w:trPr>
        <w:tc>
          <w:tcPr>
            <w:tcW w:w="2283"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B61118" w:rsidRDefault="00035B75" w:rsidP="00FC4F64">
            <w:pPr>
              <w:spacing w:before="120" w:after="120"/>
              <w:rPr>
                <w:rFonts w:cs="Arial"/>
                <w:color w:val="000000"/>
                <w:sz w:val="16"/>
                <w:szCs w:val="16"/>
              </w:rPr>
            </w:pPr>
            <w:r w:rsidRPr="00B61118">
              <w:rPr>
                <w:rFonts w:cs="Arial"/>
                <w:color w:val="000000"/>
                <w:sz w:val="16"/>
                <w:szCs w:val="16"/>
              </w:rPr>
              <w:t> </w:t>
            </w:r>
          </w:p>
        </w:tc>
        <w:tc>
          <w:tcPr>
            <w:tcW w:w="1772" w:type="dxa"/>
            <w:tcBorders>
              <w:top w:val="single" w:sz="4" w:space="0" w:color="auto"/>
              <w:left w:val="nil"/>
              <w:bottom w:val="nil"/>
              <w:right w:val="single" w:sz="4" w:space="0" w:color="auto"/>
            </w:tcBorders>
            <w:shd w:val="clear" w:color="000000" w:fill="CCFFFF"/>
            <w:vAlign w:val="center"/>
            <w:hideMark/>
          </w:tcPr>
          <w:p w:rsidR="00035B75" w:rsidRPr="00B61118" w:rsidRDefault="00035B75" w:rsidP="00FC4F64">
            <w:pPr>
              <w:spacing w:before="120" w:after="120"/>
              <w:jc w:val="center"/>
              <w:rPr>
                <w:rFonts w:cs="Arial"/>
                <w:bCs/>
                <w:color w:val="000000"/>
                <w:sz w:val="16"/>
                <w:szCs w:val="16"/>
              </w:rPr>
            </w:pPr>
            <w:r w:rsidRPr="00B61118">
              <w:rPr>
                <w:rFonts w:cs="Arial"/>
                <w:bCs/>
                <w:color w:val="000000"/>
                <w:sz w:val="16"/>
                <w:szCs w:val="16"/>
              </w:rPr>
              <w:t>Approved Budget 2012/13</w:t>
            </w:r>
          </w:p>
        </w:tc>
        <w:tc>
          <w:tcPr>
            <w:tcW w:w="1772" w:type="dxa"/>
            <w:tcBorders>
              <w:top w:val="single" w:sz="4" w:space="0" w:color="auto"/>
              <w:left w:val="nil"/>
              <w:bottom w:val="nil"/>
              <w:right w:val="single" w:sz="4" w:space="0" w:color="auto"/>
            </w:tcBorders>
            <w:shd w:val="clear" w:color="000000" w:fill="CCFFFF"/>
            <w:vAlign w:val="center"/>
            <w:hideMark/>
          </w:tcPr>
          <w:p w:rsidR="00035B75" w:rsidRPr="00B61118" w:rsidRDefault="00035B75" w:rsidP="00FC4F64">
            <w:pPr>
              <w:spacing w:before="120" w:after="120"/>
              <w:jc w:val="center"/>
              <w:rPr>
                <w:rFonts w:cs="Arial"/>
                <w:bCs/>
                <w:color w:val="000000"/>
                <w:sz w:val="16"/>
                <w:szCs w:val="16"/>
              </w:rPr>
            </w:pPr>
            <w:r w:rsidRPr="00B61118">
              <w:rPr>
                <w:rFonts w:cs="Arial"/>
                <w:bCs/>
                <w:color w:val="000000"/>
                <w:sz w:val="16"/>
                <w:szCs w:val="16"/>
              </w:rPr>
              <w:t>Budget after transfers 2012/13</w:t>
            </w:r>
          </w:p>
        </w:tc>
        <w:tc>
          <w:tcPr>
            <w:tcW w:w="1772" w:type="dxa"/>
            <w:tcBorders>
              <w:top w:val="single" w:sz="4" w:space="0" w:color="auto"/>
              <w:left w:val="nil"/>
              <w:bottom w:val="nil"/>
              <w:right w:val="single" w:sz="4" w:space="0" w:color="auto"/>
            </w:tcBorders>
            <w:shd w:val="clear" w:color="000000" w:fill="CCFFFF"/>
            <w:vAlign w:val="center"/>
            <w:hideMark/>
          </w:tcPr>
          <w:p w:rsidR="00035B75" w:rsidRPr="00B61118" w:rsidRDefault="00035B75" w:rsidP="00FC4F64">
            <w:pPr>
              <w:spacing w:before="120" w:after="120"/>
              <w:jc w:val="center"/>
              <w:rPr>
                <w:rFonts w:cs="Arial"/>
                <w:bCs/>
                <w:color w:val="000000"/>
                <w:sz w:val="16"/>
                <w:szCs w:val="16"/>
              </w:rPr>
            </w:pPr>
            <w:r w:rsidRPr="00B61118">
              <w:rPr>
                <w:rFonts w:cs="Arial"/>
                <w:bCs/>
                <w:color w:val="000000"/>
                <w:sz w:val="16"/>
                <w:szCs w:val="16"/>
              </w:rPr>
              <w:t>Expenditures 2012/13</w:t>
            </w:r>
          </w:p>
        </w:tc>
        <w:tc>
          <w:tcPr>
            <w:tcW w:w="1772" w:type="dxa"/>
            <w:tcBorders>
              <w:top w:val="single" w:sz="4" w:space="0" w:color="auto"/>
              <w:left w:val="nil"/>
              <w:bottom w:val="nil"/>
              <w:right w:val="single" w:sz="4" w:space="0" w:color="auto"/>
            </w:tcBorders>
            <w:shd w:val="clear" w:color="000000" w:fill="CCFFFF"/>
            <w:vAlign w:val="center"/>
            <w:hideMark/>
          </w:tcPr>
          <w:p w:rsidR="00035B75" w:rsidRPr="00B61118" w:rsidRDefault="00035B75" w:rsidP="00FC4F64">
            <w:pPr>
              <w:spacing w:before="120" w:after="120"/>
              <w:jc w:val="center"/>
              <w:rPr>
                <w:rFonts w:cs="Arial"/>
                <w:bCs/>
                <w:color w:val="000000"/>
                <w:sz w:val="16"/>
                <w:szCs w:val="16"/>
              </w:rPr>
            </w:pPr>
            <w:r w:rsidRPr="00B61118">
              <w:rPr>
                <w:rFonts w:cs="Arial"/>
                <w:bCs/>
                <w:color w:val="000000"/>
                <w:sz w:val="16"/>
                <w:szCs w:val="16"/>
              </w:rPr>
              <w:t>Utilization rate (%)</w:t>
            </w:r>
          </w:p>
        </w:tc>
      </w:tr>
      <w:tr w:rsidR="00035B75" w:rsidRPr="00C822FC" w:rsidTr="00BE2AF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FC4F64">
            <w:pPr>
              <w:rPr>
                <w:rFonts w:cs="Arial"/>
                <w:color w:val="000000"/>
                <w:sz w:val="16"/>
                <w:szCs w:val="16"/>
              </w:rPr>
            </w:pPr>
            <w:r w:rsidRPr="0027745B">
              <w:rPr>
                <w:rFonts w:cs="Arial"/>
                <w:color w:val="000000"/>
                <w:sz w:val="16"/>
                <w:szCs w:val="16"/>
              </w:rPr>
              <w:t xml:space="preserve">Personnel Resources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10,866</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10,811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10,811</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100%</w:t>
            </w:r>
          </w:p>
        </w:tc>
      </w:tr>
      <w:tr w:rsidR="00035B75" w:rsidRPr="00C822FC" w:rsidTr="00BE2AF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FC4F64">
            <w:pPr>
              <w:rPr>
                <w:rFonts w:cs="Arial"/>
                <w:color w:val="000000"/>
                <w:sz w:val="16"/>
                <w:szCs w:val="16"/>
              </w:rPr>
            </w:pPr>
            <w:r w:rsidRPr="0027745B">
              <w:rPr>
                <w:rFonts w:cs="Arial"/>
                <w:color w:val="000000"/>
                <w:sz w:val="16"/>
                <w:szCs w:val="16"/>
              </w:rPr>
              <w:t xml:space="preserve">Non-personnel Resources </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7,727</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8,888</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7,530</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color w:val="000000"/>
                <w:sz w:val="16"/>
                <w:szCs w:val="16"/>
              </w:rPr>
            </w:pPr>
            <w:r w:rsidRPr="0027745B">
              <w:rPr>
                <w:rFonts w:cs="Arial"/>
                <w:color w:val="000000"/>
                <w:sz w:val="16"/>
                <w:szCs w:val="16"/>
              </w:rPr>
              <w:t>85%</w:t>
            </w:r>
          </w:p>
        </w:tc>
      </w:tr>
      <w:tr w:rsidR="00035B75" w:rsidRPr="00C822FC" w:rsidTr="00BE2AF9">
        <w:trPr>
          <w:trHeight w:val="449"/>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FC4F64">
            <w:pPr>
              <w:jc w:val="right"/>
              <w:rPr>
                <w:rFonts w:cs="Arial"/>
                <w:b/>
                <w:bCs/>
                <w:color w:val="000000"/>
                <w:sz w:val="16"/>
                <w:szCs w:val="16"/>
              </w:rPr>
            </w:pPr>
            <w:r w:rsidRPr="0027745B">
              <w:rPr>
                <w:rFonts w:cs="Arial"/>
                <w:b/>
                <w:bCs/>
                <w:color w:val="000000"/>
                <w:sz w:val="16"/>
                <w:szCs w:val="16"/>
              </w:rPr>
              <w:t xml:space="preserve"> TOTAL </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b/>
                <w:bCs/>
                <w:color w:val="000000"/>
                <w:sz w:val="16"/>
                <w:szCs w:val="16"/>
              </w:rPr>
            </w:pPr>
            <w:r w:rsidRPr="0027745B">
              <w:rPr>
                <w:rFonts w:cs="Arial"/>
                <w:b/>
                <w:bCs/>
                <w:color w:val="000000"/>
                <w:sz w:val="16"/>
                <w:szCs w:val="16"/>
              </w:rPr>
              <w:t>18,593</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b/>
                <w:bCs/>
                <w:color w:val="000000"/>
                <w:sz w:val="16"/>
                <w:szCs w:val="16"/>
              </w:rPr>
            </w:pPr>
            <w:r w:rsidRPr="0027745B">
              <w:rPr>
                <w:rFonts w:cs="Arial"/>
                <w:b/>
                <w:bCs/>
                <w:color w:val="000000"/>
                <w:sz w:val="16"/>
                <w:szCs w:val="16"/>
              </w:rPr>
              <w:t>19,699</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b/>
                <w:bCs/>
                <w:color w:val="000000"/>
                <w:sz w:val="16"/>
                <w:szCs w:val="16"/>
              </w:rPr>
            </w:pPr>
            <w:r w:rsidRPr="0027745B">
              <w:rPr>
                <w:rFonts w:cs="Arial"/>
                <w:b/>
                <w:bCs/>
                <w:color w:val="000000"/>
                <w:sz w:val="16"/>
                <w:szCs w:val="16"/>
              </w:rPr>
              <w:t>18,341</w:t>
            </w:r>
          </w:p>
        </w:tc>
        <w:tc>
          <w:tcPr>
            <w:tcW w:w="1772"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FC4F64">
            <w:pPr>
              <w:jc w:val="center"/>
              <w:rPr>
                <w:rFonts w:cs="Arial"/>
                <w:b/>
                <w:bCs/>
                <w:color w:val="000000"/>
                <w:sz w:val="16"/>
                <w:szCs w:val="16"/>
              </w:rPr>
            </w:pPr>
            <w:r w:rsidRPr="0027745B">
              <w:rPr>
                <w:rFonts w:cs="Arial"/>
                <w:b/>
                <w:bCs/>
                <w:color w:val="000000"/>
                <w:sz w:val="16"/>
                <w:szCs w:val="16"/>
              </w:rPr>
              <w:t>93%</w:t>
            </w:r>
          </w:p>
        </w:tc>
      </w:tr>
    </w:tbl>
    <w:p w:rsidR="00035B75" w:rsidRPr="00BF5143" w:rsidRDefault="00035B75" w:rsidP="00035B75">
      <w:pPr>
        <w:keepNext/>
        <w:keepLines/>
        <w:rPr>
          <w:rFonts w:cs="Arial"/>
          <w:sz w:val="22"/>
          <w:szCs w:val="22"/>
        </w:rPr>
      </w:pPr>
    </w:p>
    <w:p w:rsidR="00035B75" w:rsidRDefault="00035B75" w:rsidP="00035B75">
      <w:pPr>
        <w:keepNext/>
        <w:autoSpaceDE w:val="0"/>
        <w:autoSpaceDN w:val="0"/>
        <w:rPr>
          <w:sz w:val="16"/>
          <w:szCs w:val="16"/>
        </w:rPr>
      </w:pPr>
      <w:r>
        <w:rPr>
          <w:sz w:val="16"/>
          <w:szCs w:val="16"/>
        </w:rPr>
        <w:t>NOTES:</w:t>
      </w:r>
    </w:p>
    <w:p w:rsidR="00035B75" w:rsidRDefault="00035B75" w:rsidP="00035B75">
      <w:pPr>
        <w:keepNext/>
        <w:autoSpaceDE w:val="0"/>
        <w:autoSpaceDN w:val="0"/>
        <w:rPr>
          <w:sz w:val="16"/>
          <w:szCs w:val="16"/>
        </w:rPr>
      </w:pPr>
    </w:p>
    <w:p w:rsidR="00035B75" w:rsidRDefault="00035B75" w:rsidP="00035B75">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035B75" w:rsidRDefault="00035B75" w:rsidP="00035B75">
      <w:pPr>
        <w:keepNext/>
        <w:autoSpaceDE w:val="0"/>
        <w:autoSpaceDN w:val="0"/>
        <w:rPr>
          <w:sz w:val="16"/>
          <w:szCs w:val="16"/>
        </w:rPr>
      </w:pPr>
    </w:p>
    <w:p w:rsidR="00035B75" w:rsidRDefault="00035B75" w:rsidP="00035B75">
      <w:pPr>
        <w:keepNext/>
        <w:autoSpaceDE w:val="0"/>
        <w:autoSpaceDN w:val="0"/>
        <w:rPr>
          <w:sz w:val="16"/>
          <w:szCs w:val="16"/>
        </w:rPr>
      </w:pPr>
      <w:r>
        <w:rPr>
          <w:sz w:val="16"/>
          <w:szCs w:val="16"/>
        </w:rPr>
        <w:t xml:space="preserve">(2)  The personnel allocation for the 2012/13 Budget after transfers represents actual expenditures incurred in the biennium. </w:t>
      </w:r>
    </w:p>
    <w:p w:rsidR="00035B75" w:rsidRDefault="00035B75" w:rsidP="00035B75">
      <w:pPr>
        <w:rPr>
          <w:rFonts w:eastAsia="SimSun" w:cs="Arial"/>
          <w:sz w:val="22"/>
          <w:szCs w:val="22"/>
          <w:lang w:eastAsia="zh-CN"/>
        </w:rPr>
      </w:pPr>
    </w:p>
    <w:p w:rsidR="00035B75" w:rsidRDefault="00035B75" w:rsidP="00035B75">
      <w:pPr>
        <w:rPr>
          <w:rFonts w:eastAsia="SimSun" w:cs="Arial"/>
          <w:sz w:val="22"/>
          <w:szCs w:val="22"/>
          <w:lang w:eastAsia="zh-CN"/>
        </w:rPr>
      </w:pPr>
    </w:p>
    <w:p w:rsidR="002F7D53" w:rsidRDefault="002F7D53">
      <w:pPr>
        <w:rPr>
          <w:rFonts w:eastAsia="SimSun" w:cs="Arial"/>
          <w:szCs w:val="20"/>
          <w:lang w:eastAsia="zh-CN"/>
        </w:rPr>
      </w:pPr>
      <w:r>
        <w:rPr>
          <w:rFonts w:eastAsia="SimSun" w:cs="Arial"/>
          <w:szCs w:val="20"/>
          <w:lang w:eastAsia="zh-CN"/>
        </w:rPr>
        <w:br w:type="page"/>
      </w:r>
    </w:p>
    <w:p w:rsidR="00035B75" w:rsidRPr="0027745B" w:rsidRDefault="00035B75" w:rsidP="00035B75">
      <w:pPr>
        <w:tabs>
          <w:tab w:val="left" w:pos="709"/>
        </w:tabs>
        <w:rPr>
          <w:rFonts w:eastAsia="SimSun" w:cs="Arial"/>
          <w:szCs w:val="20"/>
          <w:u w:val="single"/>
          <w:lang w:eastAsia="zh-CN"/>
        </w:rPr>
      </w:pPr>
      <w:r w:rsidRPr="0027745B">
        <w:rPr>
          <w:rFonts w:eastAsia="SimSun" w:cs="Arial"/>
          <w:szCs w:val="20"/>
          <w:lang w:eastAsia="zh-CN"/>
        </w:rPr>
        <w:lastRenderedPageBreak/>
        <w:t>A.</w:t>
      </w:r>
      <w:r w:rsidRPr="0027745B">
        <w:rPr>
          <w:rFonts w:eastAsia="SimSun" w:cs="Arial"/>
          <w:szCs w:val="20"/>
          <w:lang w:eastAsia="zh-CN"/>
        </w:rPr>
        <w:tab/>
      </w:r>
      <w:r w:rsidRPr="0027745B">
        <w:rPr>
          <w:rFonts w:eastAsia="SimSun" w:cs="Arial"/>
          <w:szCs w:val="20"/>
          <w:u w:val="single"/>
          <w:lang w:eastAsia="zh-CN"/>
        </w:rPr>
        <w:t>Budget after Transfers 2012/13</w:t>
      </w:r>
    </w:p>
    <w:p w:rsidR="00035B75" w:rsidRPr="0027745B" w:rsidRDefault="00035B75" w:rsidP="00035B75">
      <w:pPr>
        <w:tabs>
          <w:tab w:val="left" w:pos="709"/>
        </w:tabs>
        <w:rPr>
          <w:rFonts w:eastAsia="SimSun" w:cs="Arial"/>
          <w:szCs w:val="20"/>
          <w:u w:val="single"/>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3.20.</w:t>
      </w:r>
      <w:r>
        <w:rPr>
          <w:rFonts w:eastAsia="SimSun" w:cs="Arial"/>
          <w:szCs w:val="20"/>
          <w:lang w:eastAsia="zh-CN"/>
        </w:rPr>
        <w:tab/>
      </w:r>
      <w:r w:rsidRPr="0027745B">
        <w:rPr>
          <w:rFonts w:eastAsia="SimSun" w:cs="Arial"/>
          <w:szCs w:val="20"/>
          <w:lang w:eastAsia="zh-CN"/>
        </w:rPr>
        <w:t xml:space="preserve">The net increase in the resources allocated to the Program was due to the allocation of approximately 1.8 million Swiss francs for the holding of the Diplomatic Conferences in Beijing in 2012 and Marrakesh in 2013, reflected under Result I.1 (Development of balanced international normative frameworks for IP). </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tabs>
          <w:tab w:val="left" w:pos="709"/>
        </w:tabs>
        <w:jc w:val="both"/>
        <w:rPr>
          <w:rFonts w:eastAsia="SimSun" w:cs="Arial"/>
          <w:szCs w:val="20"/>
          <w:lang w:eastAsia="zh-CN"/>
        </w:rPr>
      </w:pPr>
      <w:r>
        <w:rPr>
          <w:rFonts w:eastAsia="SimSun" w:cs="Arial"/>
          <w:szCs w:val="20"/>
          <w:lang w:eastAsia="zh-CN"/>
        </w:rPr>
        <w:t>3.21.</w:t>
      </w:r>
      <w:r>
        <w:rPr>
          <w:rFonts w:eastAsia="SimSun" w:cs="Arial"/>
          <w:szCs w:val="20"/>
          <w:lang w:eastAsia="zh-CN"/>
        </w:rPr>
        <w:tab/>
      </w:r>
      <w:r w:rsidRPr="0027745B">
        <w:rPr>
          <w:rFonts w:eastAsia="SimSun" w:cs="Arial"/>
          <w:szCs w:val="20"/>
          <w:lang w:eastAsia="zh-CN"/>
        </w:rPr>
        <w:t>A net reduction of approximately 1.0 million Swiss francs under the remaining Results is due primarily to:  (i) downward adjustments to non-personnel resources made for cost efficiency gains, in accordance with the Organization’s commitment to reduce expenditures by 10.2 million Swiss francs in the 2012/13 biennium</w:t>
      </w:r>
      <w:proofErr w:type="gramStart"/>
      <w:r w:rsidRPr="0027745B">
        <w:rPr>
          <w:rFonts w:eastAsia="SimSun" w:cs="Arial"/>
          <w:szCs w:val="20"/>
          <w:lang w:eastAsia="zh-CN"/>
        </w:rPr>
        <w:t xml:space="preserve">; </w:t>
      </w:r>
      <w:r w:rsidR="00BE2AF9">
        <w:rPr>
          <w:rFonts w:eastAsia="SimSun" w:cs="Arial"/>
          <w:szCs w:val="20"/>
          <w:lang w:eastAsia="zh-CN"/>
        </w:rPr>
        <w:t xml:space="preserve"> </w:t>
      </w:r>
      <w:r w:rsidRPr="0027745B">
        <w:rPr>
          <w:rFonts w:eastAsia="SimSun" w:cs="Arial"/>
          <w:szCs w:val="20"/>
          <w:lang w:eastAsia="zh-CN"/>
        </w:rPr>
        <w:t>and</w:t>
      </w:r>
      <w:proofErr w:type="gramEnd"/>
      <w:r w:rsidRPr="0027745B">
        <w:rPr>
          <w:rFonts w:eastAsia="SimSun" w:cs="Arial"/>
          <w:szCs w:val="20"/>
          <w:lang w:eastAsia="zh-CN"/>
        </w:rPr>
        <w:t xml:space="preserve"> (ii) the re-distribution of personnel resources assigned to the implementation of activities under the various Results. </w:t>
      </w:r>
    </w:p>
    <w:p w:rsidR="00035B75" w:rsidRPr="0027745B" w:rsidRDefault="00035B75" w:rsidP="00035B75">
      <w:pPr>
        <w:tabs>
          <w:tab w:val="left" w:pos="709"/>
        </w:tabs>
        <w:jc w:val="both"/>
        <w:rPr>
          <w:rFonts w:eastAsia="SimSun" w:cs="Arial"/>
          <w:szCs w:val="20"/>
          <w:lang w:eastAsia="zh-CN"/>
        </w:rPr>
      </w:pPr>
    </w:p>
    <w:p w:rsidR="00035B75" w:rsidRPr="0027745B" w:rsidRDefault="00035B75" w:rsidP="00035B75">
      <w:pPr>
        <w:keepNext/>
        <w:keepLines/>
        <w:tabs>
          <w:tab w:val="left" w:pos="709"/>
        </w:tabs>
        <w:jc w:val="both"/>
        <w:rPr>
          <w:rFonts w:eastAsia="Batang" w:cs="Arial"/>
          <w:szCs w:val="20"/>
          <w:u w:val="single"/>
          <w:lang w:eastAsia="ko-KR"/>
        </w:rPr>
      </w:pPr>
      <w:r w:rsidRPr="0027745B">
        <w:rPr>
          <w:rFonts w:eastAsia="Batang" w:cs="Arial"/>
          <w:szCs w:val="20"/>
          <w:lang w:eastAsia="ko-KR"/>
        </w:rPr>
        <w:t>B.</w:t>
      </w:r>
      <w:r w:rsidRPr="0027745B">
        <w:rPr>
          <w:rFonts w:eastAsia="Batang" w:cs="Arial"/>
          <w:szCs w:val="20"/>
          <w:lang w:eastAsia="ko-KR"/>
        </w:rPr>
        <w:tab/>
      </w:r>
      <w:r w:rsidR="00D44A34">
        <w:rPr>
          <w:rFonts w:eastAsia="Batang" w:cs="Arial"/>
          <w:szCs w:val="20"/>
          <w:u w:val="single"/>
          <w:lang w:eastAsia="ko-KR"/>
        </w:rPr>
        <w:t>Budget U</w:t>
      </w:r>
      <w:r w:rsidRPr="0027745B">
        <w:rPr>
          <w:rFonts w:eastAsia="Batang" w:cs="Arial"/>
          <w:szCs w:val="20"/>
          <w:u w:val="single"/>
          <w:lang w:eastAsia="ko-KR"/>
        </w:rPr>
        <w:t>tilization 2012/13</w:t>
      </w:r>
    </w:p>
    <w:p w:rsidR="00035B75" w:rsidRPr="0027745B" w:rsidRDefault="00035B75" w:rsidP="00035B75">
      <w:pPr>
        <w:keepNext/>
        <w:keepLines/>
        <w:tabs>
          <w:tab w:val="left" w:pos="709"/>
        </w:tabs>
        <w:jc w:val="both"/>
        <w:rPr>
          <w:rFonts w:eastAsia="Batang" w:cs="Arial"/>
          <w:szCs w:val="20"/>
          <w:lang w:eastAsia="ko-KR"/>
        </w:rPr>
      </w:pPr>
    </w:p>
    <w:p w:rsidR="00035B75" w:rsidRPr="0027745B" w:rsidRDefault="00035B75" w:rsidP="00035B75">
      <w:pPr>
        <w:tabs>
          <w:tab w:val="left" w:pos="709"/>
        </w:tabs>
        <w:rPr>
          <w:rFonts w:cs="Arial"/>
          <w:szCs w:val="20"/>
          <w:lang w:eastAsia="fr-FR"/>
        </w:rPr>
      </w:pPr>
      <w:r>
        <w:rPr>
          <w:rFonts w:eastAsia="Batang" w:cs="Arial"/>
          <w:szCs w:val="20"/>
          <w:lang w:eastAsia="ko-KR"/>
        </w:rPr>
        <w:t>3.22.</w:t>
      </w:r>
      <w:r>
        <w:rPr>
          <w:rFonts w:eastAsia="Batang" w:cs="Arial"/>
          <w:szCs w:val="20"/>
          <w:lang w:eastAsia="ko-KR"/>
        </w:rPr>
        <w:tab/>
      </w:r>
      <w:r w:rsidRPr="0027745B">
        <w:rPr>
          <w:rFonts w:eastAsia="Batang" w:cs="Arial"/>
          <w:szCs w:val="20"/>
          <w:lang w:eastAsia="ko-KR"/>
        </w:rPr>
        <w:t xml:space="preserve">The non-personnel budget utilization rate for the Program amounted to 85 per cent of the Budget after Transfers.  The under-utilization of non-personnel resources resulted primarily from: </w:t>
      </w:r>
    </w:p>
    <w:p w:rsidR="00035B75" w:rsidRPr="0027745B" w:rsidRDefault="00035B75" w:rsidP="00035B75">
      <w:pPr>
        <w:tabs>
          <w:tab w:val="left" w:pos="709"/>
        </w:tabs>
        <w:ind w:left="720"/>
        <w:rPr>
          <w:rFonts w:cs="Arial"/>
          <w:szCs w:val="20"/>
          <w:lang w:eastAsia="fr-FR"/>
        </w:rPr>
      </w:pPr>
    </w:p>
    <w:p w:rsidR="00035B75" w:rsidRPr="0027745B" w:rsidRDefault="00035B75" w:rsidP="005703CF">
      <w:pPr>
        <w:pStyle w:val="ListParagraph"/>
        <w:numPr>
          <w:ilvl w:val="0"/>
          <w:numId w:val="6"/>
        </w:numPr>
        <w:tabs>
          <w:tab w:val="left" w:pos="709"/>
        </w:tabs>
        <w:ind w:left="1134" w:hanging="425"/>
        <w:rPr>
          <w:rFonts w:cs="Arial"/>
          <w:lang w:eastAsia="fr-FR"/>
        </w:rPr>
      </w:pPr>
      <w:r w:rsidRPr="0027745B">
        <w:rPr>
          <w:rFonts w:cs="Arial"/>
          <w:lang w:eastAsia="fr-FR"/>
        </w:rPr>
        <w:t>cost-savings as a result of the pooling of resources within the Sector as well as with Divisions outside of the Sector with respect to the provision of technical assistance;</w:t>
      </w:r>
    </w:p>
    <w:p w:rsidR="00035B75" w:rsidRPr="0027745B" w:rsidRDefault="00035B75" w:rsidP="004F173B">
      <w:pPr>
        <w:pStyle w:val="ListParagraph"/>
        <w:tabs>
          <w:tab w:val="left" w:pos="709"/>
        </w:tabs>
        <w:ind w:left="1134" w:hanging="425"/>
        <w:rPr>
          <w:rFonts w:cs="Arial"/>
          <w:lang w:eastAsia="fr-FR"/>
        </w:rPr>
      </w:pPr>
      <w:r w:rsidRPr="0027745B">
        <w:rPr>
          <w:rFonts w:cs="Arial"/>
          <w:lang w:eastAsia="fr-FR"/>
        </w:rPr>
        <w:t xml:space="preserve"> </w:t>
      </w:r>
    </w:p>
    <w:p w:rsidR="00035B75" w:rsidRPr="0027745B" w:rsidRDefault="00035B75" w:rsidP="005703CF">
      <w:pPr>
        <w:numPr>
          <w:ilvl w:val="0"/>
          <w:numId w:val="5"/>
        </w:numPr>
        <w:tabs>
          <w:tab w:val="left" w:pos="709"/>
        </w:tabs>
        <w:ind w:left="1134" w:hanging="425"/>
        <w:rPr>
          <w:rFonts w:cs="Arial"/>
          <w:szCs w:val="20"/>
          <w:lang w:eastAsia="fr-FR"/>
        </w:rPr>
      </w:pPr>
      <w:proofErr w:type="gramStart"/>
      <w:r w:rsidRPr="0027745B">
        <w:rPr>
          <w:rFonts w:cs="Arial"/>
          <w:szCs w:val="20"/>
          <w:lang w:eastAsia="fr-FR"/>
        </w:rPr>
        <w:t>significant</w:t>
      </w:r>
      <w:proofErr w:type="gramEnd"/>
      <w:r w:rsidRPr="0027745B">
        <w:rPr>
          <w:rFonts w:cs="Arial"/>
          <w:szCs w:val="20"/>
          <w:lang w:eastAsia="fr-FR"/>
        </w:rPr>
        <w:t xml:space="preserve"> cost savings in relation to the organization of the two Diplomatic Conferences as compared to the original cost estimates.</w:t>
      </w:r>
    </w:p>
    <w:p w:rsidR="00035B75" w:rsidRPr="00BF5143" w:rsidRDefault="00035B75" w:rsidP="00035B75">
      <w:pPr>
        <w:jc w:val="center"/>
        <w:rPr>
          <w:rFonts w:cs="Arial"/>
          <w:sz w:val="22"/>
          <w:szCs w:val="22"/>
        </w:rPr>
      </w:pPr>
    </w:p>
    <w:p w:rsidR="00035B75" w:rsidRDefault="00035B75">
      <w:pPr>
        <w:rPr>
          <w:szCs w:val="20"/>
        </w:rPr>
      </w:pPr>
      <w:r>
        <w:br w:type="page"/>
      </w:r>
    </w:p>
    <w:p w:rsidR="00035B75" w:rsidRPr="00305272" w:rsidRDefault="00305272" w:rsidP="00305272">
      <w:pPr>
        <w:pStyle w:val="Heading3"/>
      </w:pPr>
      <w:bookmarkStart w:id="21" w:name="_Toc393956045"/>
      <w:r w:rsidRPr="00305272">
        <w:lastRenderedPageBreak/>
        <w:t>Program 4</w:t>
      </w:r>
      <w:r w:rsidRPr="00305272">
        <w:tab/>
        <w:t xml:space="preserve">Traditional Knowledge, Traditional Cultural </w:t>
      </w:r>
      <w:r w:rsidRPr="00305272">
        <w:br/>
        <w:t>Expressions and Genetic Resources</w:t>
      </w:r>
      <w:bookmarkEnd w:id="21"/>
    </w:p>
    <w:p w:rsidR="00035B75" w:rsidRPr="0027745B" w:rsidRDefault="00035B75" w:rsidP="00035B75">
      <w:pPr>
        <w:rPr>
          <w:rFonts w:cs="Arial"/>
          <w:sz w:val="22"/>
          <w:szCs w:val="22"/>
        </w:rPr>
      </w:pPr>
    </w:p>
    <w:p w:rsidR="00035B75" w:rsidRPr="00C0389F" w:rsidRDefault="00035B75" w:rsidP="00035B75">
      <w:pPr>
        <w:rPr>
          <w:rFonts w:cs="Arial"/>
          <w:b/>
          <w:sz w:val="22"/>
          <w:szCs w:val="22"/>
        </w:rPr>
      </w:pPr>
      <w:r w:rsidRPr="00C0389F">
        <w:rPr>
          <w:rFonts w:cs="Arial"/>
          <w:b/>
          <w:sz w:val="22"/>
          <w:szCs w:val="22"/>
        </w:rPr>
        <w:t>Program Manager</w:t>
      </w:r>
      <w:r w:rsidRPr="00C0389F">
        <w:rPr>
          <w:rFonts w:cs="Arial"/>
          <w:b/>
          <w:sz w:val="22"/>
          <w:szCs w:val="22"/>
        </w:rPr>
        <w:tab/>
      </w:r>
      <w:r w:rsidRPr="00C0389F">
        <w:rPr>
          <w:rFonts w:cs="Arial"/>
          <w:b/>
          <w:bCs/>
          <w:sz w:val="22"/>
          <w:szCs w:val="22"/>
        </w:rPr>
        <w:t>Mr. J. C. Wichard</w:t>
      </w:r>
    </w:p>
    <w:p w:rsidR="00035B75" w:rsidRPr="0027745B" w:rsidRDefault="00035B75" w:rsidP="00035B75">
      <w:pPr>
        <w:rPr>
          <w:sz w:val="22"/>
          <w:szCs w:val="22"/>
        </w:rPr>
      </w:pPr>
    </w:p>
    <w:p w:rsidR="00035B75" w:rsidRPr="0027745B" w:rsidRDefault="00035B75" w:rsidP="00035B75">
      <w:pPr>
        <w:rPr>
          <w:bCs/>
          <w:sz w:val="22"/>
          <w:szCs w:val="22"/>
        </w:rPr>
      </w:pPr>
    </w:p>
    <w:p w:rsidR="00035B75" w:rsidRPr="00C0389F" w:rsidRDefault="00035B75" w:rsidP="00035B75">
      <w:pPr>
        <w:rPr>
          <w:bCs/>
          <w:sz w:val="22"/>
          <w:szCs w:val="22"/>
        </w:rPr>
      </w:pPr>
      <w:r w:rsidRPr="00C0389F">
        <w:rPr>
          <w:bCs/>
          <w:sz w:val="22"/>
          <w:szCs w:val="22"/>
        </w:rPr>
        <w:t>ACHIEVEMENTS IN THE 2012/13 BIENNIUM</w:t>
      </w:r>
    </w:p>
    <w:p w:rsidR="00035B75" w:rsidRPr="0027745B" w:rsidRDefault="00035B75" w:rsidP="00035B75"/>
    <w:p w:rsidR="00035B75" w:rsidRPr="008110ED" w:rsidRDefault="00035B75" w:rsidP="005703CF">
      <w:pPr>
        <w:pStyle w:val="ListParagraph"/>
        <w:numPr>
          <w:ilvl w:val="1"/>
          <w:numId w:val="9"/>
        </w:numPr>
        <w:tabs>
          <w:tab w:val="left" w:pos="709"/>
        </w:tabs>
        <w:ind w:left="0" w:firstLine="0"/>
        <w:jc w:val="both"/>
      </w:pPr>
      <w:r w:rsidRPr="008110ED">
        <w:rPr>
          <w:bCs/>
        </w:rPr>
        <w:t xml:space="preserve">The </w:t>
      </w:r>
      <w:r>
        <w:rPr>
          <w:bCs/>
        </w:rPr>
        <w:t xml:space="preserve">biennium </w:t>
      </w:r>
      <w:r w:rsidRPr="008110ED">
        <w:rPr>
          <w:bCs/>
        </w:rPr>
        <w:t xml:space="preserve">under review saw </w:t>
      </w:r>
      <w:r>
        <w:rPr>
          <w:bCs/>
        </w:rPr>
        <w:t xml:space="preserve">steady </w:t>
      </w:r>
      <w:r w:rsidRPr="008110ED">
        <w:rPr>
          <w:bCs/>
        </w:rPr>
        <w:t xml:space="preserve">progress </w:t>
      </w:r>
      <w:r w:rsidRPr="008110ED">
        <w:t xml:space="preserve">in the </w:t>
      </w:r>
      <w:r>
        <w:t xml:space="preserve">text-based </w:t>
      </w:r>
      <w:r w:rsidRPr="008110ED">
        <w:t xml:space="preserve">negotiations of the WIPO Intergovernmental Committee on Intellectual Property and Genetic Resources, Traditional Knowledge and Folklore (the IGC).  </w:t>
      </w:r>
      <w:r>
        <w:t>The</w:t>
      </w:r>
      <w:r w:rsidRPr="008110ED">
        <w:t xml:space="preserve"> IGC met </w:t>
      </w:r>
      <w:r>
        <w:t>six</w:t>
      </w:r>
      <w:r w:rsidRPr="008110ED">
        <w:t xml:space="preserve"> times (IGCs 20</w:t>
      </w:r>
      <w:r>
        <w:t xml:space="preserve"> to 25</w:t>
      </w:r>
      <w:r w:rsidRPr="008110ED">
        <w:t xml:space="preserve">).  </w:t>
      </w:r>
      <w:r>
        <w:t xml:space="preserve">The IGC established a clearly defined work program and sound working methods.  </w:t>
      </w:r>
      <w:r w:rsidRPr="008110ED">
        <w:t xml:space="preserve">By the end of the </w:t>
      </w:r>
      <w:r>
        <w:t xml:space="preserve">sixth </w:t>
      </w:r>
      <w:r w:rsidRPr="008110ED">
        <w:t xml:space="preserve">session </w:t>
      </w:r>
      <w:r>
        <w:t xml:space="preserve">of the biennium </w:t>
      </w:r>
      <w:r w:rsidRPr="008110ED">
        <w:t>(IGC 2</w:t>
      </w:r>
      <w:r>
        <w:t>5</w:t>
      </w:r>
      <w:r w:rsidRPr="008110ED">
        <w:t xml:space="preserve">), the IGC had </w:t>
      </w:r>
      <w:r>
        <w:t xml:space="preserve">further improved </w:t>
      </w:r>
      <w:r w:rsidRPr="008110ED">
        <w:t>single</w:t>
      </w:r>
      <w:r>
        <w:t>,</w:t>
      </w:r>
      <w:r w:rsidRPr="008110ED">
        <w:t xml:space="preserve"> consolidated negotiating text</w:t>
      </w:r>
      <w:r>
        <w:t>s</w:t>
      </w:r>
      <w:r w:rsidRPr="008110ED">
        <w:t xml:space="preserve"> on </w:t>
      </w:r>
      <w:r>
        <w:t xml:space="preserve">each of the three themes of the IGC (namely, </w:t>
      </w:r>
      <w:r w:rsidRPr="008110ED">
        <w:t>genetic resources (GRs), traditional knowledge (TK) and traditional cultural expressions (TCEs)</w:t>
      </w:r>
      <w:r>
        <w:t>)</w:t>
      </w:r>
      <w:r w:rsidRPr="008110ED">
        <w:t xml:space="preserve">. </w:t>
      </w:r>
      <w:r>
        <w:t xml:space="preserve"> Member State-organized inter-sessional meetings held outside Geneva bolstered the process.  T</w:t>
      </w:r>
      <w:r w:rsidRPr="008110ED">
        <w:t>he WIPO General Assembly in October 201</w:t>
      </w:r>
      <w:r>
        <w:t>3</w:t>
      </w:r>
      <w:r w:rsidRPr="008110ED">
        <w:t xml:space="preserve"> agreed on a </w:t>
      </w:r>
      <w:r>
        <w:t xml:space="preserve">renewed mandate of the IGC for 2014/15 and a </w:t>
      </w:r>
      <w:r w:rsidRPr="008110ED">
        <w:t>work</w:t>
      </w:r>
      <w:r>
        <w:t xml:space="preserve"> </w:t>
      </w:r>
      <w:r w:rsidRPr="008110ED">
        <w:t>program for 201</w:t>
      </w:r>
      <w:r>
        <w:t xml:space="preserve">4.  The IGC is a Member State-led process, and the Secretariat’s role is to play a responsive, supportive and facilitatory role in a professional, efficient and neutral manner.  An evaluation conducted by WIPO’s Internal Audit and Oversight Division in 2013 found a high rate of satisfaction among IGC participants with the services provided to the IGC by the Secretariat.   </w:t>
      </w:r>
    </w:p>
    <w:p w:rsidR="00035B75" w:rsidRPr="008110ED" w:rsidRDefault="00035B75" w:rsidP="00035B75">
      <w:pPr>
        <w:tabs>
          <w:tab w:val="left" w:pos="709"/>
        </w:tabs>
        <w:rPr>
          <w:rFonts w:cs="Arial"/>
        </w:rPr>
      </w:pPr>
    </w:p>
    <w:p w:rsidR="00035B75" w:rsidRPr="0027745B" w:rsidRDefault="00035B75" w:rsidP="005703CF">
      <w:pPr>
        <w:pStyle w:val="ListParagraph"/>
        <w:numPr>
          <w:ilvl w:val="0"/>
          <w:numId w:val="9"/>
        </w:numPr>
        <w:tabs>
          <w:tab w:val="left" w:pos="709"/>
        </w:tabs>
        <w:ind w:left="0" w:firstLine="0"/>
        <w:jc w:val="both"/>
        <w:rPr>
          <w:rFonts w:cs="Arial"/>
        </w:rPr>
      </w:pPr>
      <w:r w:rsidRPr="00B7699D">
        <w:rPr>
          <w:rFonts w:cs="Arial"/>
        </w:rPr>
        <w:t>In 2012/</w:t>
      </w:r>
      <w:r w:rsidRPr="0027745B">
        <w:rPr>
          <w:rFonts w:cs="Arial"/>
        </w:rPr>
        <w:t xml:space="preserve">13, the Secretariat further strengthened its outreach to indigenous peoples and local communities with a view to facilitating their effective participation in the IGC process, through organization of an indigenous expert workshop in advance of IGC 24 and a practical workshop for indigenous peoples at the end of 2013.  The IGC discussed and supported proposals for enhancing the positive contribution of observers to the IGC process.  The Secretariat created an “Indigenous Portal” on the WIPO website and appointed a WIPO Indigenous Fellow for 2012 and 2013.  The Secretariat also consolidated its good working relationship with the UN Permanent Forum on Indigenous Issues.  However, despite a fund-raising drive by the WIPO Secretariat and two valuable contributions for purposes of IGC 25, the resources of the WIPO Voluntary Fund for Accredited Indigenous and Local Communities continued to be depleted, and by the end of the biennium, the Fund had almost run out of resources. </w:t>
      </w:r>
    </w:p>
    <w:p w:rsidR="00035B75" w:rsidRPr="008110ED" w:rsidRDefault="00035B75" w:rsidP="00035B75">
      <w:pPr>
        <w:tabs>
          <w:tab w:val="left" w:pos="709"/>
        </w:tabs>
        <w:jc w:val="both"/>
        <w:rPr>
          <w:rFonts w:cs="Arial"/>
        </w:rPr>
      </w:pPr>
    </w:p>
    <w:p w:rsidR="00035B75" w:rsidRDefault="00035B75" w:rsidP="005703CF">
      <w:pPr>
        <w:pStyle w:val="ListParagraph"/>
        <w:numPr>
          <w:ilvl w:val="0"/>
          <w:numId w:val="9"/>
        </w:numPr>
        <w:tabs>
          <w:tab w:val="left" w:pos="709"/>
        </w:tabs>
        <w:ind w:left="0" w:firstLine="0"/>
        <w:jc w:val="both"/>
        <w:rPr>
          <w:rFonts w:cs="Arial"/>
        </w:rPr>
      </w:pPr>
      <w:r w:rsidRPr="00B7699D">
        <w:rPr>
          <w:rFonts w:cs="Arial"/>
        </w:rPr>
        <w:t>Program 4 also aimed to create greater awareness and capacity among States, indigenous peoples and local communities and other stakeholders as to the relationship between IP and GR</w:t>
      </w:r>
      <w:r w:rsidRPr="0027745B">
        <w:rPr>
          <w:rFonts w:cs="Arial"/>
        </w:rPr>
        <w:t xml:space="preserve">s, TK and TCEs.  These activities supported, upon request, the development of national and regional legislation and policies and the forging of practical solutions at the regional, national and community levels, and, through increasing understanding of the issues and options, these activities complemented the IGC’s text-based negotiations.  In 2012/13, the Secretariat responded positively to around 80 requests from Member States, NGOs, indigenous peoples and local communities, industry associations and universities for briefings and other presentations on IP and TK, TCEs and GRs, whether in Geneva or abroad.  The Secretariat organized and/or participated in, upon request, a number of significant capacity-building and technical assistance projects or events in Africa, the Arab region, Asia, Latin America, the Pacific and in </w:t>
      </w:r>
      <w:r w:rsidR="00F111FF">
        <w:rPr>
          <w:rFonts w:cs="Arial"/>
        </w:rPr>
        <w:t>countries in transition</w:t>
      </w:r>
      <w:r w:rsidRPr="0027745B">
        <w:rPr>
          <w:rFonts w:cs="Arial"/>
        </w:rPr>
        <w:t xml:space="preserve">.  A number of countries and regional organizations requested and received legislative and policy assistance.  WIPO continued contributing as a technical partner to regional projects, such as a regional framework on TK, TCEs and GRs for the Caribbean, the TK Action Plan in the Pacific and a UNEP and Global Environment Facility-funded project in certain Latin American and Caribbean countries on the implementation of access to GRs and benefit-sharing regimes.  WIPO made available a series of short, accessible publications on the key issues, and published, for consultation, a draft WIPO TK Documentation Toolkit.  The TK website was also redesigned. </w:t>
      </w:r>
    </w:p>
    <w:p w:rsidR="00035B75" w:rsidRDefault="00035B75" w:rsidP="00035B75">
      <w:pPr>
        <w:pStyle w:val="ListParagraph"/>
        <w:tabs>
          <w:tab w:val="left" w:pos="709"/>
        </w:tabs>
        <w:ind w:left="0"/>
        <w:jc w:val="both"/>
        <w:rPr>
          <w:rFonts w:cs="Arial"/>
        </w:rPr>
      </w:pPr>
    </w:p>
    <w:p w:rsidR="00035B75" w:rsidRDefault="00035B75" w:rsidP="005703CF">
      <w:pPr>
        <w:pStyle w:val="ListParagraph"/>
        <w:numPr>
          <w:ilvl w:val="0"/>
          <w:numId w:val="9"/>
        </w:numPr>
        <w:tabs>
          <w:tab w:val="left" w:pos="709"/>
        </w:tabs>
        <w:ind w:left="0" w:firstLine="0"/>
        <w:jc w:val="both"/>
        <w:rPr>
          <w:rFonts w:cs="Arial"/>
        </w:rPr>
      </w:pPr>
      <w:r w:rsidRPr="00C06A6E">
        <w:rPr>
          <w:rFonts w:cs="Arial"/>
        </w:rPr>
        <w:t xml:space="preserve">Regarding coordination with developments in other fora, the WIPO Secretariat followed closely work concerning the </w:t>
      </w:r>
      <w:r w:rsidRPr="00C06A6E">
        <w:rPr>
          <w:rFonts w:cs="Arial"/>
          <w:iCs/>
        </w:rPr>
        <w:t xml:space="preserve">Convention on Biological Diversity (CBD), the </w:t>
      </w:r>
      <w:r w:rsidRPr="00C06A6E">
        <w:rPr>
          <w:rFonts w:cs="Arial"/>
        </w:rPr>
        <w:t xml:space="preserve">Nagoya Protocol on </w:t>
      </w:r>
      <w:r w:rsidRPr="00C06A6E">
        <w:rPr>
          <w:rFonts w:cs="Arial"/>
          <w:iCs/>
        </w:rPr>
        <w:t xml:space="preserve">Access to Genetic Resources and the Fair and Equitable Sharing of Benefits Arising from their Utilization and the FAO’s International Treaty </w:t>
      </w:r>
      <w:r w:rsidRPr="00C06A6E">
        <w:rPr>
          <w:bCs/>
          <w:lang w:val="en"/>
        </w:rPr>
        <w:t>on Plant Genetic Resources for Food and Agriculture</w:t>
      </w:r>
      <w:r w:rsidRPr="00C06A6E">
        <w:rPr>
          <w:rFonts w:cs="Arial"/>
          <w:iCs/>
        </w:rPr>
        <w:t xml:space="preserve">, and participated in activities organized by UNESCO, WHO, WTO and the Office of the High Commissioner for Human Rights (OHCHR).  These activities served to enhance coordination and complementarity, pursuant to the IGC’s mandate, which stipulates that the negotiations of the IGC should be </w:t>
      </w:r>
      <w:r w:rsidRPr="00C06A6E">
        <w:rPr>
          <w:rFonts w:cs="Arial"/>
        </w:rPr>
        <w:t xml:space="preserve">without prejudice to the work pursued in other </w:t>
      </w:r>
      <w:r>
        <w:rPr>
          <w:rFonts w:cs="Arial"/>
        </w:rPr>
        <w:t>fora.</w:t>
      </w:r>
    </w:p>
    <w:p w:rsidR="00035B75" w:rsidRDefault="00035B75" w:rsidP="00035B75">
      <w:pPr>
        <w:pStyle w:val="ListParagraph"/>
        <w:tabs>
          <w:tab w:val="left" w:pos="709"/>
        </w:tabs>
        <w:ind w:left="0"/>
        <w:jc w:val="both"/>
        <w:rPr>
          <w:rFonts w:cs="Arial"/>
          <w:bCs/>
          <w:sz w:val="22"/>
          <w:szCs w:val="22"/>
        </w:rPr>
      </w:pPr>
    </w:p>
    <w:p w:rsidR="00035B75" w:rsidRDefault="00035B75" w:rsidP="00035B75">
      <w:pPr>
        <w:rPr>
          <w:rFonts w:cs="Arial"/>
          <w:bCs/>
          <w:sz w:val="22"/>
          <w:szCs w:val="22"/>
        </w:rPr>
      </w:pPr>
    </w:p>
    <w:p w:rsidR="00884095" w:rsidRPr="002C4083" w:rsidRDefault="00884095">
      <w:pPr>
        <w:rPr>
          <w:rFonts w:cs="Arial"/>
          <w:bCs/>
          <w:sz w:val="22"/>
          <w:szCs w:val="22"/>
        </w:rPr>
      </w:pPr>
      <w:r w:rsidRPr="002C4083">
        <w:rPr>
          <w:rFonts w:cs="Arial"/>
          <w:bCs/>
          <w:sz w:val="22"/>
          <w:szCs w:val="22"/>
        </w:rPr>
        <w:br w:type="page"/>
      </w:r>
    </w:p>
    <w:p w:rsidR="00035B75" w:rsidRPr="005E6AFC" w:rsidRDefault="00035B75" w:rsidP="00035B75">
      <w:pPr>
        <w:rPr>
          <w:rFonts w:cs="Arial"/>
          <w:bCs/>
          <w:sz w:val="22"/>
          <w:szCs w:val="22"/>
          <w:lang w:val="pt-BR"/>
        </w:rPr>
      </w:pPr>
      <w:r w:rsidRPr="005E6AFC">
        <w:rPr>
          <w:rFonts w:cs="Arial"/>
          <w:bCs/>
          <w:sz w:val="22"/>
          <w:szCs w:val="22"/>
          <w:lang w:val="pt-BR"/>
        </w:rPr>
        <w:lastRenderedPageBreak/>
        <w:t xml:space="preserve">IMPLEMENTATION OF THE DEVELOPMENT AGENDA </w:t>
      </w:r>
    </w:p>
    <w:p w:rsidR="00035B75" w:rsidRPr="005E6AFC" w:rsidRDefault="00035B75" w:rsidP="00035B75"/>
    <w:p w:rsidR="00035B75" w:rsidRPr="0027745B" w:rsidRDefault="00035B75" w:rsidP="005703CF">
      <w:pPr>
        <w:pStyle w:val="ListParagraph"/>
        <w:numPr>
          <w:ilvl w:val="0"/>
          <w:numId w:val="9"/>
        </w:numPr>
        <w:ind w:left="0" w:firstLine="0"/>
        <w:jc w:val="both"/>
        <w:rPr>
          <w:rFonts w:cs="Arial"/>
        </w:rPr>
      </w:pPr>
      <w:r w:rsidRPr="00B7699D">
        <w:rPr>
          <w:rFonts w:cs="Arial"/>
        </w:rPr>
        <w:t xml:space="preserve">The design, planning and implementation of activities under this Program were informed and guided by the relevant DA Recommendations.  The Program’s norm-setting </w:t>
      </w:r>
      <w:r w:rsidRPr="0027745B">
        <w:rPr>
          <w:rFonts w:cs="Arial"/>
        </w:rPr>
        <w:t>activities within the IGC continued to be inclusive and member-driven (Recommendation 15</w:t>
      </w:r>
      <w:proofErr w:type="gramStart"/>
      <w:r w:rsidRPr="0027745B">
        <w:rPr>
          <w:rFonts w:cs="Arial"/>
        </w:rPr>
        <w:t>),</w:t>
      </w:r>
      <w:proofErr w:type="gramEnd"/>
      <w:r w:rsidRPr="0027745B">
        <w:rPr>
          <w:rFonts w:cs="Arial"/>
        </w:rPr>
        <w:t xml:space="preserve"> duly considered the boundaries, role and contours of the “public domain” (Recommendations 16 and 20) and took into account flexibilities in international IP agreements (Recommendation 17).  The IGC’s negotiations were based upon open and balanced consultations (Recommendations 21 and 42), which took into consideration the interests and priorities of all Member States as well as the viewpoints of other stakeholders, including accredited intergovernmental organizations and NGOs (Recommendation 42), while being supportive of the UN development goals (Recommendation 22).  The conclusion of the IGC’s negotiations is the subject of DA Recommendation 18, which urges the Committee “to accelerate the process on the protection of GRs, TK and folklore, without prejudice to any outcome, including the possible development of an international instrument or instruments”.  The Program’s technical assistance, capacity-building and legislative assistance activities were development-oriented, demand-driven and reported on in the normal course of the biennium (Recommendations 1 and 13).  The protection of TK, TCEs and GRs contributes to the mainstreaming of development considerations into WIPO’s work and the understanding and use of flexibilities (Recommendations 12 and 14).  On participation, funding and other institutional matters, the IGC’s </w:t>
      </w:r>
      <w:r w:rsidRPr="0027745B">
        <w:rPr>
          <w:rFonts w:cs="Arial"/>
          <w:i/>
        </w:rPr>
        <w:t>ad hoc</w:t>
      </w:r>
      <w:r w:rsidRPr="0027745B">
        <w:rPr>
          <w:rFonts w:cs="Arial"/>
        </w:rPr>
        <w:t xml:space="preserve"> NGO accreditation mechanism and the WIPO Voluntary Fund for Accredited Indigenous and Local Communities assisted in ensuring wide participation of civil society (Recommendation 42).</w:t>
      </w:r>
    </w:p>
    <w:p w:rsidR="00035B75" w:rsidRDefault="00035B75" w:rsidP="00035B75">
      <w:pPr>
        <w:jc w:val="both"/>
        <w:rPr>
          <w:rFonts w:cs="Arial"/>
          <w:szCs w:val="20"/>
        </w:rPr>
      </w:pPr>
    </w:p>
    <w:p w:rsidR="00035B75" w:rsidRPr="0027745B" w:rsidRDefault="00035B75" w:rsidP="005703CF">
      <w:pPr>
        <w:pStyle w:val="ListParagraph"/>
        <w:numPr>
          <w:ilvl w:val="0"/>
          <w:numId w:val="9"/>
        </w:numPr>
        <w:ind w:left="0" w:firstLine="0"/>
        <w:jc w:val="both"/>
        <w:rPr>
          <w:rFonts w:cs="Arial"/>
        </w:rPr>
      </w:pPr>
      <w:r w:rsidRPr="00B7699D">
        <w:rPr>
          <w:rFonts w:cs="Arial"/>
        </w:rPr>
        <w:t>In September 2013, the General Assembly agreed to renew the IGC’s mandate for the 2014/15 biennium.  The renewed mandate will enable the IGC to:  (i) continue to exp</w:t>
      </w:r>
      <w:r w:rsidRPr="0027745B">
        <w:rPr>
          <w:rFonts w:cs="Arial"/>
        </w:rPr>
        <w:t xml:space="preserve">edite its work with open and full engagement, on text-based negotiations with the objective of reaching an agreement on a text(s) of an international legal instrument(s), which will ensure the effective </w:t>
      </w:r>
      <w:r w:rsidR="00575621">
        <w:rPr>
          <w:rFonts w:cs="Arial"/>
        </w:rPr>
        <w:t xml:space="preserve">protection of GRs, TK and TCEs; </w:t>
      </w:r>
      <w:r w:rsidRPr="0027745B">
        <w:rPr>
          <w:rFonts w:cs="Arial"/>
        </w:rPr>
        <w:t xml:space="preserve"> (ii)</w:t>
      </w:r>
      <w:r w:rsidR="00575621">
        <w:rPr>
          <w:rFonts w:cs="Arial"/>
        </w:rPr>
        <w:t> </w:t>
      </w:r>
      <w:r w:rsidRPr="0027745B">
        <w:rPr>
          <w:rFonts w:cs="Arial"/>
        </w:rPr>
        <w:t xml:space="preserve">follow a clearly defined work program, based on sound working methods;  (iii) build on the existing work carried out by the IGC and use all WIPO working documents, as well as any other textual contributions by members;  and (iv) submit the text(s) of an international legal instrument(s) to the 2014 General Assembly.  </w:t>
      </w:r>
    </w:p>
    <w:p w:rsidR="00035B75" w:rsidRDefault="00035B75" w:rsidP="00035B75">
      <w:pPr>
        <w:rPr>
          <w:rFonts w:eastAsia="MS Mincho"/>
          <w:lang w:eastAsia="ja-JP" w:bidi="th-TH"/>
        </w:rPr>
      </w:pPr>
    </w:p>
    <w:p w:rsidR="00035B75" w:rsidRPr="005E6AFC" w:rsidRDefault="00035B75" w:rsidP="00035B75">
      <w:pPr>
        <w:rPr>
          <w:rFonts w:eastAsia="MS Mincho"/>
          <w:lang w:eastAsia="ja-JP" w:bidi="th-TH"/>
        </w:rPr>
      </w:pPr>
    </w:p>
    <w:p w:rsidR="00035B75" w:rsidRDefault="00035B75" w:rsidP="00035B75">
      <w:pPr>
        <w:rPr>
          <w:rFonts w:cs="Arial"/>
          <w:sz w:val="22"/>
          <w:szCs w:val="22"/>
        </w:rPr>
      </w:pPr>
      <w:r w:rsidRPr="005E6AFC">
        <w:rPr>
          <w:rFonts w:cs="Arial"/>
          <w:sz w:val="22"/>
          <w:szCs w:val="22"/>
        </w:rPr>
        <w:t>PERFORMANCE DATA</w:t>
      </w:r>
    </w:p>
    <w:p w:rsidR="00035B75" w:rsidRPr="00A8525E" w:rsidRDefault="00035B75" w:rsidP="00035B75"/>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59"/>
        <w:gridCol w:w="1776"/>
        <w:gridCol w:w="1527"/>
        <w:gridCol w:w="3121"/>
        <w:gridCol w:w="142"/>
        <w:gridCol w:w="1132"/>
      </w:tblGrid>
      <w:tr w:rsidR="00035B75" w:rsidRPr="00806461" w:rsidTr="00DE1CE8">
        <w:trPr>
          <w:cantSplit/>
        </w:trPr>
        <w:tc>
          <w:tcPr>
            <w:tcW w:w="5000" w:type="pct"/>
            <w:gridSpan w:val="6"/>
            <w:tcBorders>
              <w:top w:val="single" w:sz="4" w:space="0" w:color="auto"/>
              <w:bottom w:val="nil"/>
            </w:tcBorders>
            <w:shd w:val="clear" w:color="auto" w:fill="CCFFFF"/>
            <w:vAlign w:val="center"/>
          </w:tcPr>
          <w:p w:rsidR="00035B75" w:rsidRPr="00806461" w:rsidRDefault="00035B75" w:rsidP="00FC4F64">
            <w:pPr>
              <w:keepNext/>
              <w:keepLines/>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Enhanced cooperation/ greater consensus among Member States on further developing balanced policy and normative frameworks for the international patent system, trademarks, industrial designs, geographical indications, copyright and related rights, TK, TCEs and GRs</w:t>
            </w:r>
          </w:p>
        </w:tc>
      </w:tr>
      <w:tr w:rsidR="00035B75" w:rsidRPr="00806461" w:rsidTr="00DE1CE8">
        <w:trPr>
          <w:cantSplit/>
        </w:trPr>
        <w:tc>
          <w:tcPr>
            <w:tcW w:w="886" w:type="pct"/>
            <w:tcBorders>
              <w:top w:val="single" w:sz="4" w:space="0" w:color="auto"/>
              <w:bottom w:val="nil"/>
            </w:tcBorders>
            <w:vAlign w:val="center"/>
          </w:tcPr>
          <w:p w:rsidR="00035B75" w:rsidRPr="00806461" w:rsidRDefault="00035B75" w:rsidP="00806461">
            <w:pPr>
              <w:rPr>
                <w:rFonts w:cs="Arial"/>
                <w:sz w:val="16"/>
                <w:szCs w:val="16"/>
              </w:rPr>
            </w:pPr>
            <w:r w:rsidRPr="00806461">
              <w:rPr>
                <w:rFonts w:cs="Arial"/>
                <w:b/>
                <w:bCs/>
                <w:sz w:val="16"/>
                <w:szCs w:val="16"/>
              </w:rPr>
              <w:t>Performance Indicators</w:t>
            </w:r>
          </w:p>
        </w:tc>
        <w:tc>
          <w:tcPr>
            <w:tcW w:w="949" w:type="pct"/>
            <w:tcBorders>
              <w:top w:val="single" w:sz="4" w:space="0" w:color="auto"/>
              <w:bottom w:val="nil"/>
            </w:tcBorders>
            <w:shd w:val="clear" w:color="auto" w:fill="auto"/>
            <w:vAlign w:val="center"/>
          </w:tcPr>
          <w:p w:rsidR="00035B75" w:rsidRPr="00806461" w:rsidRDefault="00035B75" w:rsidP="00806461">
            <w:pPr>
              <w:rPr>
                <w:rFonts w:cs="Arial"/>
                <w:b/>
                <w:bCs/>
                <w:sz w:val="16"/>
                <w:szCs w:val="16"/>
              </w:rPr>
            </w:pPr>
            <w:r w:rsidRPr="00806461">
              <w:rPr>
                <w:rFonts w:cs="Arial"/>
                <w:b/>
                <w:bCs/>
                <w:sz w:val="16"/>
                <w:szCs w:val="16"/>
              </w:rPr>
              <w:t>Baselines</w:t>
            </w:r>
          </w:p>
        </w:tc>
        <w:tc>
          <w:tcPr>
            <w:tcW w:w="816" w:type="pct"/>
            <w:tcBorders>
              <w:top w:val="single" w:sz="4" w:space="0" w:color="auto"/>
              <w:bottom w:val="nil"/>
            </w:tcBorders>
            <w:tcMar>
              <w:top w:w="110" w:type="dxa"/>
            </w:tcMar>
            <w:vAlign w:val="center"/>
          </w:tcPr>
          <w:p w:rsidR="00035B75" w:rsidRPr="00806461" w:rsidRDefault="00035B75" w:rsidP="00806461">
            <w:pPr>
              <w:rPr>
                <w:rFonts w:cs="Arial"/>
                <w:b/>
                <w:sz w:val="16"/>
                <w:szCs w:val="16"/>
              </w:rPr>
            </w:pPr>
            <w:r w:rsidRPr="00806461">
              <w:rPr>
                <w:rFonts w:cs="Arial"/>
                <w:b/>
                <w:sz w:val="16"/>
                <w:szCs w:val="16"/>
              </w:rPr>
              <w:t>Target</w:t>
            </w:r>
            <w:r w:rsidR="00582788" w:rsidRPr="00806461">
              <w:rPr>
                <w:rFonts w:cs="Arial"/>
                <w:b/>
                <w:sz w:val="16"/>
                <w:szCs w:val="16"/>
              </w:rPr>
              <w:t>s</w:t>
            </w:r>
          </w:p>
        </w:tc>
        <w:tc>
          <w:tcPr>
            <w:tcW w:w="1668" w:type="pct"/>
            <w:tcBorders>
              <w:top w:val="single" w:sz="4" w:space="0" w:color="auto"/>
              <w:bottom w:val="nil"/>
            </w:tcBorders>
            <w:shd w:val="clear" w:color="auto" w:fill="FFFFFF"/>
            <w:tcMar>
              <w:top w:w="110" w:type="dxa"/>
            </w:tcMar>
            <w:vAlign w:val="center"/>
          </w:tcPr>
          <w:p w:rsidR="00035B75" w:rsidRPr="00806461" w:rsidRDefault="00035B75" w:rsidP="00806461">
            <w:pPr>
              <w:rPr>
                <w:rFonts w:cs="Arial"/>
                <w:sz w:val="16"/>
                <w:szCs w:val="16"/>
              </w:rPr>
            </w:pPr>
            <w:r w:rsidRPr="00806461">
              <w:rPr>
                <w:rFonts w:cs="Arial"/>
                <w:b/>
                <w:bCs/>
                <w:sz w:val="16"/>
                <w:szCs w:val="16"/>
              </w:rPr>
              <w:t>Performance Data</w:t>
            </w:r>
          </w:p>
        </w:tc>
        <w:tc>
          <w:tcPr>
            <w:tcW w:w="681" w:type="pct"/>
            <w:gridSpan w:val="2"/>
            <w:tcBorders>
              <w:top w:val="single" w:sz="4" w:space="0" w:color="auto"/>
              <w:bottom w:val="nil"/>
            </w:tcBorders>
            <w:tcMar>
              <w:top w:w="110" w:type="dxa"/>
            </w:tcMar>
            <w:vAlign w:val="center"/>
          </w:tcPr>
          <w:p w:rsidR="00035B75" w:rsidRPr="00806461" w:rsidRDefault="00035B75" w:rsidP="00806461">
            <w:pPr>
              <w:keepNext/>
              <w:keepLines/>
              <w:jc w:val="center"/>
              <w:rPr>
                <w:rFonts w:cs="Arial"/>
                <w:b/>
                <w:bCs/>
                <w:sz w:val="16"/>
                <w:szCs w:val="16"/>
              </w:rPr>
            </w:pPr>
            <w:r w:rsidRPr="00806461">
              <w:rPr>
                <w:rFonts w:cs="Arial"/>
                <w:b/>
                <w:bCs/>
                <w:sz w:val="16"/>
                <w:szCs w:val="16"/>
              </w:rPr>
              <w:t>TLS</w:t>
            </w:r>
          </w:p>
        </w:tc>
      </w:tr>
      <w:tr w:rsidR="00035B75" w:rsidRPr="00806461" w:rsidTr="00DE1CE8">
        <w:trPr>
          <w:cantSplit/>
        </w:trPr>
        <w:tc>
          <w:tcPr>
            <w:tcW w:w="886" w:type="pct"/>
            <w:tcBorders>
              <w:top w:val="nil"/>
              <w:bottom w:val="single" w:sz="4" w:space="0" w:color="auto"/>
            </w:tcBorders>
          </w:tcPr>
          <w:p w:rsidR="00035B75" w:rsidRPr="00806461" w:rsidRDefault="00035B75" w:rsidP="00FC4F64">
            <w:pPr>
              <w:rPr>
                <w:rFonts w:cs="Arial"/>
                <w:sz w:val="16"/>
                <w:szCs w:val="16"/>
              </w:rPr>
            </w:pPr>
            <w:r w:rsidRPr="00806461">
              <w:rPr>
                <w:rFonts w:cs="Arial"/>
                <w:sz w:val="16"/>
                <w:szCs w:val="16"/>
              </w:rPr>
              <w:t>Progress in the IGC’s negotiations towards development of an  international legal instrument(s)</w:t>
            </w:r>
          </w:p>
        </w:tc>
        <w:tc>
          <w:tcPr>
            <w:tcW w:w="949" w:type="pct"/>
            <w:tcBorders>
              <w:top w:val="nil"/>
              <w:bottom w:val="single" w:sz="4" w:space="0" w:color="auto"/>
            </w:tcBorders>
            <w:shd w:val="clear" w:color="auto" w:fill="auto"/>
          </w:tcPr>
          <w:p w:rsidR="00035B75" w:rsidRPr="00806461" w:rsidRDefault="00035B75" w:rsidP="00FC4F64">
            <w:pPr>
              <w:rPr>
                <w:rFonts w:cs="Arial"/>
                <w:i/>
                <w:color w:val="002060"/>
                <w:sz w:val="16"/>
                <w:szCs w:val="16"/>
              </w:rPr>
            </w:pPr>
            <w:r w:rsidRPr="00806461">
              <w:rPr>
                <w:rFonts w:cs="Arial"/>
                <w:i/>
                <w:color w:val="002060"/>
                <w:sz w:val="16"/>
                <w:szCs w:val="16"/>
              </w:rPr>
              <w:t>Updated Baseline end 2011:</w:t>
            </w:r>
            <w:r w:rsidR="00806461">
              <w:rPr>
                <w:rFonts w:cs="Arial"/>
                <w:i/>
                <w:color w:val="002060"/>
                <w:sz w:val="16"/>
                <w:szCs w:val="16"/>
              </w:rPr>
              <w:t xml:space="preserve">  </w:t>
            </w:r>
            <w:r w:rsidRPr="00806461">
              <w:rPr>
                <w:rFonts w:cs="Arial"/>
                <w:color w:val="002060"/>
                <w:sz w:val="16"/>
                <w:szCs w:val="16"/>
              </w:rPr>
              <w:t>The 2012/13 P&amp;B, as complemented by the mandate of the IGC for 2012/13 as established by the WIPO General Assembly in October 2011, and the 2013 work program of the IGC as determined by the WIPO General Assembly in September 2012</w:t>
            </w:r>
          </w:p>
          <w:p w:rsidR="00035B75" w:rsidRPr="00806461" w:rsidRDefault="00035B75" w:rsidP="00FC4F64">
            <w:pPr>
              <w:rPr>
                <w:rFonts w:cs="Arial"/>
                <w:i/>
                <w:color w:val="002060"/>
                <w:sz w:val="8"/>
                <w:szCs w:val="8"/>
              </w:rPr>
            </w:pPr>
          </w:p>
          <w:p w:rsidR="00035B75" w:rsidRPr="00806461" w:rsidRDefault="00035B75" w:rsidP="00FC4F64">
            <w:pPr>
              <w:rPr>
                <w:rFonts w:cs="Arial"/>
                <w:sz w:val="16"/>
                <w:szCs w:val="16"/>
              </w:rPr>
            </w:pPr>
            <w:r w:rsidRPr="00806461">
              <w:rPr>
                <w:rFonts w:cs="Arial"/>
                <w:i/>
                <w:sz w:val="16"/>
                <w:szCs w:val="16"/>
              </w:rPr>
              <w:t>Original Baseline P&amp;B 2012/13:</w:t>
            </w:r>
          </w:p>
          <w:p w:rsidR="00035B75" w:rsidRPr="00806461" w:rsidRDefault="00035B75" w:rsidP="00FC4F64">
            <w:pPr>
              <w:rPr>
                <w:rFonts w:cs="Arial"/>
                <w:sz w:val="16"/>
                <w:szCs w:val="16"/>
              </w:rPr>
            </w:pPr>
            <w:r w:rsidRPr="00806461">
              <w:rPr>
                <w:rFonts w:cs="Arial"/>
                <w:sz w:val="16"/>
                <w:szCs w:val="16"/>
              </w:rPr>
              <w:t>Negotiations underway under IGC mandate for 2010/11</w:t>
            </w:r>
          </w:p>
          <w:p w:rsidR="00035B75" w:rsidRPr="00806461" w:rsidRDefault="00035B75" w:rsidP="00FC4F64">
            <w:pPr>
              <w:rPr>
                <w:rFonts w:cs="Arial"/>
                <w:sz w:val="16"/>
                <w:szCs w:val="16"/>
              </w:rPr>
            </w:pPr>
          </w:p>
        </w:tc>
        <w:tc>
          <w:tcPr>
            <w:tcW w:w="816" w:type="pct"/>
            <w:tcBorders>
              <w:top w:val="nil"/>
              <w:bottom w:val="single" w:sz="4" w:space="0" w:color="auto"/>
            </w:tcBorders>
            <w:tcMar>
              <w:top w:w="110" w:type="dxa"/>
            </w:tcMar>
          </w:tcPr>
          <w:p w:rsidR="00035B75" w:rsidRPr="00575621" w:rsidRDefault="00035B75" w:rsidP="00575621">
            <w:pPr>
              <w:autoSpaceDE w:val="0"/>
              <w:autoSpaceDN w:val="0"/>
              <w:adjustRightInd w:val="0"/>
              <w:rPr>
                <w:rFonts w:cs="Arial"/>
                <w:sz w:val="16"/>
                <w:szCs w:val="16"/>
              </w:rPr>
            </w:pPr>
            <w:r w:rsidRPr="00806461">
              <w:rPr>
                <w:rFonts w:cs="Arial"/>
                <w:sz w:val="16"/>
                <w:szCs w:val="16"/>
              </w:rPr>
              <w:t>Adoption of an</w:t>
            </w:r>
            <w:r w:rsidR="00575621">
              <w:rPr>
                <w:rFonts w:cs="Arial"/>
                <w:sz w:val="16"/>
                <w:szCs w:val="16"/>
              </w:rPr>
              <w:t xml:space="preserve"> </w:t>
            </w:r>
            <w:r w:rsidRPr="00806461">
              <w:rPr>
                <w:rFonts w:cs="Arial"/>
                <w:sz w:val="16"/>
                <w:szCs w:val="16"/>
              </w:rPr>
              <w:t>international legal</w:t>
            </w:r>
            <w:r w:rsidR="00575621">
              <w:rPr>
                <w:rFonts w:cs="Arial"/>
                <w:sz w:val="16"/>
                <w:szCs w:val="16"/>
              </w:rPr>
              <w:t xml:space="preserve"> </w:t>
            </w:r>
            <w:r w:rsidRPr="00806461">
              <w:rPr>
                <w:rFonts w:cs="Arial"/>
                <w:sz w:val="16"/>
                <w:szCs w:val="16"/>
              </w:rPr>
              <w:t>instrument(s)</w:t>
            </w:r>
          </w:p>
        </w:tc>
        <w:tc>
          <w:tcPr>
            <w:tcW w:w="1668" w:type="pct"/>
            <w:tcBorders>
              <w:top w:val="nil"/>
              <w:bottom w:val="single" w:sz="4" w:space="0" w:color="auto"/>
            </w:tcBorders>
            <w:shd w:val="clear" w:color="auto" w:fill="FFFFFF"/>
            <w:tcMar>
              <w:top w:w="110" w:type="dxa"/>
            </w:tcMar>
          </w:tcPr>
          <w:p w:rsidR="00035B75" w:rsidRPr="00806461" w:rsidRDefault="00035B75" w:rsidP="00FC4F64">
            <w:pPr>
              <w:rPr>
                <w:rFonts w:cs="Arial"/>
                <w:sz w:val="16"/>
                <w:szCs w:val="16"/>
              </w:rPr>
            </w:pPr>
            <w:r w:rsidRPr="00806461">
              <w:rPr>
                <w:rFonts w:cs="Arial"/>
                <w:sz w:val="16"/>
                <w:szCs w:val="16"/>
                <w:lang w:bidi="th-TH"/>
              </w:rPr>
              <w:t>Continued progress in negotiations</w:t>
            </w:r>
            <w:r w:rsidR="00575621">
              <w:rPr>
                <w:rFonts w:cs="Arial"/>
                <w:sz w:val="16"/>
                <w:szCs w:val="16"/>
                <w:lang w:bidi="th-TH"/>
              </w:rPr>
              <w:t>.</w:t>
            </w:r>
          </w:p>
        </w:tc>
        <w:tc>
          <w:tcPr>
            <w:tcW w:w="681" w:type="pct"/>
            <w:gridSpan w:val="2"/>
            <w:tcBorders>
              <w:top w:val="nil"/>
              <w:bottom w:val="single" w:sz="4" w:space="0" w:color="auto"/>
            </w:tcBorders>
            <w:tcMar>
              <w:top w:w="110" w:type="dxa"/>
            </w:tcMar>
          </w:tcPr>
          <w:p w:rsidR="00035B75" w:rsidRPr="00806461" w:rsidRDefault="00035B75" w:rsidP="00FC4F64">
            <w:pPr>
              <w:keepNext/>
              <w:keepLines/>
              <w:jc w:val="center"/>
              <w:rPr>
                <w:rFonts w:cs="Arial"/>
                <w:bCs/>
                <w:color w:val="808080"/>
                <w:sz w:val="16"/>
                <w:szCs w:val="16"/>
              </w:rPr>
            </w:pPr>
            <w:r w:rsidRPr="00806461">
              <w:rPr>
                <w:rStyle w:val="Style5"/>
                <w:rFonts w:ascii="Arial" w:hAnsi="Arial" w:cs="Arial"/>
                <w:color w:val="E36C0A" w:themeColor="accent6" w:themeShade="BF"/>
                <w:sz w:val="16"/>
                <w:szCs w:val="16"/>
              </w:rPr>
              <w:t>Partially</w:t>
            </w:r>
            <w:r w:rsidRPr="00806461">
              <w:rPr>
                <w:rStyle w:val="Style5"/>
                <w:rFonts w:ascii="Arial" w:hAnsi="Arial" w:cs="Arial"/>
                <w:color w:val="E36C0A" w:themeColor="accent6" w:themeShade="BF"/>
                <w:sz w:val="16"/>
                <w:szCs w:val="16"/>
              </w:rPr>
              <w:br/>
              <w:t>Achieved</w:t>
            </w:r>
          </w:p>
        </w:tc>
      </w:tr>
      <w:tr w:rsidR="00035B75" w:rsidRPr="00806461" w:rsidTr="00DE1CE8">
        <w:trPr>
          <w:cantSplit/>
        </w:trPr>
        <w:tc>
          <w:tcPr>
            <w:tcW w:w="5000" w:type="pct"/>
            <w:gridSpan w:val="6"/>
            <w:tcBorders>
              <w:top w:val="single" w:sz="4" w:space="0" w:color="auto"/>
              <w:bottom w:val="single" w:sz="4" w:space="0" w:color="auto"/>
            </w:tcBorders>
            <w:shd w:val="clear" w:color="auto" w:fill="CCFFFF"/>
            <w:vAlign w:val="center"/>
          </w:tcPr>
          <w:p w:rsidR="00035B75" w:rsidRPr="00806461" w:rsidRDefault="00035B75" w:rsidP="00FC4F64">
            <w:pPr>
              <w:keepNext/>
              <w:keepLines/>
              <w:tabs>
                <w:tab w:val="left" w:pos="1452"/>
              </w:tabs>
              <w:spacing w:before="120" w:after="120"/>
              <w:ind w:left="1452" w:hanging="1452"/>
              <w:rPr>
                <w:rFonts w:cs="Arial"/>
                <w:b/>
                <w:bCs/>
                <w:sz w:val="16"/>
                <w:szCs w:val="16"/>
              </w:rPr>
            </w:pPr>
            <w:r w:rsidRPr="00806461">
              <w:rPr>
                <w:rFonts w:cs="Arial"/>
                <w:b/>
                <w:bCs/>
                <w:sz w:val="16"/>
                <w:szCs w:val="16"/>
              </w:rPr>
              <w:lastRenderedPageBreak/>
              <w:t>Expected Result:</w:t>
            </w:r>
            <w:r w:rsidRPr="00806461">
              <w:rPr>
                <w:rFonts w:cs="Arial"/>
                <w:b/>
                <w:bCs/>
                <w:sz w:val="16"/>
                <w:szCs w:val="16"/>
              </w:rPr>
              <w:tab/>
            </w:r>
            <w:r w:rsidRPr="00806461">
              <w:rPr>
                <w:rFonts w:cs="Arial"/>
                <w:sz w:val="16"/>
                <w:szCs w:val="16"/>
              </w:rPr>
              <w:t>Enhanced human resource capacities able to deal with the broad range of requirements for the effective use of IP for development in developing countries, LDCs and countries with economies in transition</w:t>
            </w:r>
          </w:p>
        </w:tc>
      </w:tr>
      <w:tr w:rsidR="00035B75" w:rsidRPr="00806461" w:rsidTr="00DE1CE8">
        <w:trPr>
          <w:cantSplit/>
        </w:trPr>
        <w:tc>
          <w:tcPr>
            <w:tcW w:w="886" w:type="pct"/>
            <w:tcBorders>
              <w:top w:val="single" w:sz="4" w:space="0" w:color="auto"/>
              <w:bottom w:val="nil"/>
            </w:tcBorders>
            <w:vAlign w:val="center"/>
          </w:tcPr>
          <w:p w:rsidR="00035B75" w:rsidRPr="00806461" w:rsidRDefault="00035B75" w:rsidP="00FC4F64">
            <w:pPr>
              <w:keepNext/>
              <w:keepLines/>
              <w:spacing w:after="40"/>
              <w:rPr>
                <w:rFonts w:cs="Arial"/>
                <w:sz w:val="16"/>
                <w:szCs w:val="16"/>
              </w:rPr>
            </w:pPr>
            <w:r w:rsidRPr="00806461">
              <w:rPr>
                <w:rFonts w:cs="Arial"/>
                <w:b/>
                <w:bCs/>
                <w:sz w:val="16"/>
                <w:szCs w:val="16"/>
              </w:rPr>
              <w:t>Performance Indicators</w:t>
            </w:r>
          </w:p>
        </w:tc>
        <w:tc>
          <w:tcPr>
            <w:tcW w:w="949" w:type="pct"/>
            <w:tcBorders>
              <w:top w:val="single" w:sz="4" w:space="0" w:color="auto"/>
              <w:bottom w:val="nil"/>
            </w:tcBorders>
            <w:shd w:val="clear" w:color="auto" w:fill="auto"/>
            <w:vAlign w:val="center"/>
          </w:tcPr>
          <w:p w:rsidR="00035B75" w:rsidRPr="00806461" w:rsidRDefault="00035B75" w:rsidP="00FC4F64">
            <w:pPr>
              <w:keepNext/>
              <w:keepLines/>
              <w:spacing w:after="40"/>
              <w:rPr>
                <w:rFonts w:cs="Arial"/>
                <w:b/>
                <w:bCs/>
                <w:sz w:val="16"/>
                <w:szCs w:val="16"/>
              </w:rPr>
            </w:pPr>
            <w:r w:rsidRPr="00806461">
              <w:rPr>
                <w:rFonts w:cs="Arial"/>
                <w:b/>
                <w:bCs/>
                <w:sz w:val="16"/>
                <w:szCs w:val="16"/>
              </w:rPr>
              <w:t>Baselines</w:t>
            </w:r>
          </w:p>
        </w:tc>
        <w:tc>
          <w:tcPr>
            <w:tcW w:w="816" w:type="pct"/>
            <w:tcBorders>
              <w:top w:val="single" w:sz="4" w:space="0" w:color="auto"/>
              <w:bottom w:val="nil"/>
            </w:tcBorders>
            <w:tcMar>
              <w:top w:w="110" w:type="dxa"/>
            </w:tcMar>
            <w:vAlign w:val="center"/>
          </w:tcPr>
          <w:p w:rsidR="00035B75" w:rsidRPr="00806461" w:rsidRDefault="00035B75" w:rsidP="00FC4F64">
            <w:pPr>
              <w:keepNext/>
              <w:keepLines/>
              <w:spacing w:after="40"/>
              <w:rPr>
                <w:rFonts w:cs="Arial"/>
                <w:b/>
                <w:sz w:val="16"/>
                <w:szCs w:val="16"/>
              </w:rPr>
            </w:pPr>
            <w:r w:rsidRPr="00806461">
              <w:rPr>
                <w:rFonts w:cs="Arial"/>
                <w:b/>
                <w:sz w:val="16"/>
                <w:szCs w:val="16"/>
              </w:rPr>
              <w:t>Target</w:t>
            </w:r>
            <w:r w:rsidR="00582788" w:rsidRPr="00806461">
              <w:rPr>
                <w:rFonts w:cs="Arial"/>
                <w:b/>
                <w:sz w:val="16"/>
                <w:szCs w:val="16"/>
              </w:rPr>
              <w:t>s</w:t>
            </w:r>
          </w:p>
        </w:tc>
        <w:tc>
          <w:tcPr>
            <w:tcW w:w="1744" w:type="pct"/>
            <w:gridSpan w:val="2"/>
            <w:tcBorders>
              <w:top w:val="single" w:sz="4" w:space="0" w:color="auto"/>
              <w:bottom w:val="nil"/>
            </w:tcBorders>
            <w:shd w:val="clear" w:color="auto" w:fill="FFFFFF"/>
            <w:tcMar>
              <w:top w:w="110" w:type="dxa"/>
            </w:tcMar>
            <w:vAlign w:val="center"/>
          </w:tcPr>
          <w:p w:rsidR="00035B75" w:rsidRPr="00806461" w:rsidRDefault="00035B75" w:rsidP="00FC4F64">
            <w:pPr>
              <w:keepNext/>
              <w:keepLines/>
              <w:spacing w:after="40"/>
              <w:rPr>
                <w:rFonts w:cs="Arial"/>
                <w:sz w:val="16"/>
                <w:szCs w:val="16"/>
              </w:rPr>
            </w:pPr>
            <w:r w:rsidRPr="00806461">
              <w:rPr>
                <w:rFonts w:cs="Arial"/>
                <w:b/>
                <w:bCs/>
                <w:sz w:val="16"/>
                <w:szCs w:val="16"/>
              </w:rPr>
              <w:t>Performance Data</w:t>
            </w:r>
          </w:p>
        </w:tc>
        <w:tc>
          <w:tcPr>
            <w:tcW w:w="605" w:type="pct"/>
            <w:tcBorders>
              <w:top w:val="single" w:sz="4" w:space="0" w:color="auto"/>
              <w:bottom w:val="nil"/>
            </w:tcBorders>
            <w:tcMar>
              <w:top w:w="110" w:type="dxa"/>
            </w:tcMar>
            <w:vAlign w:val="center"/>
          </w:tcPr>
          <w:p w:rsidR="00035B75" w:rsidRPr="00806461" w:rsidRDefault="00035B75" w:rsidP="00FC4F64">
            <w:pPr>
              <w:keepNext/>
              <w:keepLines/>
              <w:spacing w:after="40"/>
              <w:jc w:val="center"/>
              <w:rPr>
                <w:rFonts w:cs="Arial"/>
                <w:b/>
                <w:bCs/>
                <w:sz w:val="16"/>
                <w:szCs w:val="16"/>
              </w:rPr>
            </w:pPr>
            <w:r w:rsidRPr="00806461">
              <w:rPr>
                <w:rFonts w:cs="Arial"/>
                <w:b/>
                <w:bCs/>
                <w:sz w:val="16"/>
                <w:szCs w:val="16"/>
              </w:rPr>
              <w:t>TLS</w:t>
            </w:r>
          </w:p>
        </w:tc>
      </w:tr>
      <w:tr w:rsidR="00035B75" w:rsidRPr="00806461" w:rsidTr="00DE1CE8">
        <w:trPr>
          <w:cantSplit/>
        </w:trPr>
        <w:tc>
          <w:tcPr>
            <w:tcW w:w="886" w:type="pct"/>
            <w:tcBorders>
              <w:top w:val="nil"/>
              <w:bottom w:val="single" w:sz="4" w:space="0" w:color="auto"/>
            </w:tcBorders>
            <w:shd w:val="clear" w:color="auto" w:fill="FFFFFF"/>
          </w:tcPr>
          <w:p w:rsidR="00035B75" w:rsidRPr="00806461" w:rsidRDefault="00035B75" w:rsidP="00FC4F64">
            <w:pPr>
              <w:rPr>
                <w:rFonts w:cs="Arial"/>
                <w:sz w:val="16"/>
                <w:szCs w:val="16"/>
              </w:rPr>
            </w:pPr>
            <w:r w:rsidRPr="00806461">
              <w:rPr>
                <w:rFonts w:cs="Arial"/>
                <w:sz w:val="16"/>
                <w:szCs w:val="16"/>
              </w:rPr>
              <w:t>% of participants in WIPO capacity-building activities which report enhanced capacity to understand and use IP principles, systems and tools or the protection of TK and TCEs, and for management of the relationship between IP and GRs</w:t>
            </w:r>
          </w:p>
          <w:p w:rsidR="00035B75" w:rsidRPr="00806461" w:rsidRDefault="00035B75" w:rsidP="00FC4F64">
            <w:pPr>
              <w:rPr>
                <w:rFonts w:cs="Arial"/>
                <w:sz w:val="16"/>
                <w:szCs w:val="16"/>
                <w:lang w:bidi="th-TH"/>
              </w:rPr>
            </w:pPr>
          </w:p>
        </w:tc>
        <w:tc>
          <w:tcPr>
            <w:tcW w:w="949" w:type="pct"/>
            <w:tcBorders>
              <w:top w:val="nil"/>
              <w:bottom w:val="single" w:sz="4" w:space="0" w:color="auto"/>
            </w:tcBorders>
            <w:shd w:val="clear" w:color="auto" w:fill="auto"/>
          </w:tcPr>
          <w:p w:rsidR="00035B75" w:rsidRPr="00806461" w:rsidRDefault="00035B75" w:rsidP="00FC4F64">
            <w:pPr>
              <w:rPr>
                <w:rFonts w:cs="Arial"/>
                <w:sz w:val="16"/>
                <w:szCs w:val="16"/>
                <w:lang w:bidi="th-TH"/>
              </w:rPr>
            </w:pPr>
            <w:r w:rsidRPr="00806461">
              <w:rPr>
                <w:rFonts w:cs="Arial"/>
                <w:sz w:val="16"/>
                <w:szCs w:val="16"/>
              </w:rPr>
              <w:t>First time this Performance Indicator has been used in this Program</w:t>
            </w:r>
          </w:p>
        </w:tc>
        <w:tc>
          <w:tcPr>
            <w:tcW w:w="816" w:type="pct"/>
            <w:tcBorders>
              <w:top w:val="nil"/>
              <w:bottom w:val="single" w:sz="4" w:space="0" w:color="auto"/>
            </w:tcBorders>
            <w:tcMar>
              <w:top w:w="110" w:type="dxa"/>
            </w:tcMar>
          </w:tcPr>
          <w:p w:rsidR="00035B75" w:rsidRPr="00806461" w:rsidRDefault="00035B75" w:rsidP="00FC4F64">
            <w:pPr>
              <w:rPr>
                <w:rFonts w:cs="Arial"/>
                <w:sz w:val="16"/>
                <w:szCs w:val="16"/>
                <w:lang w:bidi="th-TH"/>
              </w:rPr>
            </w:pPr>
            <w:r w:rsidRPr="00806461">
              <w:rPr>
                <w:rFonts w:cs="Arial"/>
                <w:sz w:val="16"/>
                <w:szCs w:val="16"/>
              </w:rPr>
              <w:t>75%</w:t>
            </w:r>
          </w:p>
        </w:tc>
        <w:tc>
          <w:tcPr>
            <w:tcW w:w="1744" w:type="pct"/>
            <w:gridSpan w:val="2"/>
            <w:tcBorders>
              <w:top w:val="nil"/>
              <w:bottom w:val="single" w:sz="4" w:space="0" w:color="auto"/>
            </w:tcBorders>
            <w:shd w:val="clear" w:color="auto" w:fill="FFFFFF"/>
            <w:tcMar>
              <w:top w:w="110" w:type="dxa"/>
            </w:tcMar>
          </w:tcPr>
          <w:p w:rsidR="00035B75" w:rsidRPr="00806461" w:rsidRDefault="00035B75" w:rsidP="00FC4F64">
            <w:pPr>
              <w:rPr>
                <w:rFonts w:cs="Arial"/>
                <w:sz w:val="16"/>
                <w:szCs w:val="16"/>
                <w:lang w:bidi="th-TH"/>
              </w:rPr>
            </w:pPr>
            <w:r w:rsidRPr="00806461">
              <w:rPr>
                <w:rFonts w:cs="Arial"/>
                <w:sz w:val="16"/>
                <w:szCs w:val="16"/>
                <w:lang w:bidi="th-TH"/>
              </w:rPr>
              <w:t>95% (feedback questionnaire used in five activities organized by the TK Division)</w:t>
            </w:r>
            <w:r w:rsidR="00575621">
              <w:rPr>
                <w:rFonts w:cs="Arial"/>
                <w:sz w:val="16"/>
                <w:szCs w:val="16"/>
                <w:lang w:bidi="th-TH"/>
              </w:rPr>
              <w:t>.</w:t>
            </w:r>
          </w:p>
        </w:tc>
        <w:tc>
          <w:tcPr>
            <w:tcW w:w="605" w:type="pct"/>
            <w:tcBorders>
              <w:top w:val="nil"/>
              <w:bottom w:val="single" w:sz="4" w:space="0" w:color="auto"/>
            </w:tcBorders>
            <w:tcMar>
              <w:top w:w="110" w:type="dxa"/>
            </w:tcMar>
          </w:tcPr>
          <w:p w:rsidR="00035B75" w:rsidRPr="00806461" w:rsidRDefault="00035B75" w:rsidP="00FC4F64">
            <w:pPr>
              <w:keepNext/>
              <w:keepLines/>
              <w:jc w:val="center"/>
              <w:rPr>
                <w:rFonts w:cs="Arial"/>
                <w:bCs/>
                <w:color w:val="008000"/>
                <w:sz w:val="16"/>
                <w:szCs w:val="16"/>
              </w:rPr>
            </w:pPr>
            <w:r w:rsidRPr="00806461">
              <w:rPr>
                <w:rStyle w:val="Style5"/>
                <w:rFonts w:ascii="Arial" w:hAnsi="Arial" w:cs="Arial"/>
                <w:color w:val="10862C"/>
                <w:sz w:val="16"/>
                <w:szCs w:val="16"/>
              </w:rPr>
              <w:t>Fully</w:t>
            </w:r>
            <w:r w:rsidRPr="00806461">
              <w:rPr>
                <w:rStyle w:val="Style5"/>
                <w:rFonts w:ascii="Arial" w:hAnsi="Arial" w:cs="Arial"/>
                <w:color w:val="10862C"/>
                <w:sz w:val="16"/>
                <w:szCs w:val="16"/>
              </w:rPr>
              <w:br/>
              <w:t>Achieved</w:t>
            </w:r>
          </w:p>
        </w:tc>
      </w:tr>
      <w:tr w:rsidR="00035B75" w:rsidRPr="00806461" w:rsidTr="00DE1CE8">
        <w:trPr>
          <w:cantSplit/>
        </w:trPr>
        <w:tc>
          <w:tcPr>
            <w:tcW w:w="5000" w:type="pct"/>
            <w:gridSpan w:val="6"/>
            <w:tcBorders>
              <w:top w:val="single" w:sz="4" w:space="0" w:color="auto"/>
              <w:bottom w:val="single" w:sz="4" w:space="0" w:color="auto"/>
            </w:tcBorders>
            <w:shd w:val="clear" w:color="auto" w:fill="CCFFFF"/>
            <w:vAlign w:val="center"/>
          </w:tcPr>
          <w:p w:rsidR="00035B75" w:rsidRPr="00806461" w:rsidRDefault="00035B75" w:rsidP="00FC4F64">
            <w:pPr>
              <w:keepNext/>
              <w:keepLines/>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Recognition by Member States, communities, organizations and other stakeholders of the relevance and effectiveness of WIPO’s resources, programs and tools</w:t>
            </w:r>
          </w:p>
        </w:tc>
      </w:tr>
      <w:tr w:rsidR="00035B75" w:rsidRPr="00806461" w:rsidTr="00DE1CE8">
        <w:trPr>
          <w:cantSplit/>
        </w:trPr>
        <w:tc>
          <w:tcPr>
            <w:tcW w:w="886" w:type="pct"/>
            <w:tcBorders>
              <w:top w:val="single" w:sz="4" w:space="0" w:color="auto"/>
              <w:bottom w:val="nil"/>
            </w:tcBorders>
            <w:vAlign w:val="center"/>
          </w:tcPr>
          <w:p w:rsidR="00035B75" w:rsidRPr="00806461" w:rsidRDefault="00035B75" w:rsidP="00FC4F64">
            <w:pPr>
              <w:spacing w:after="120"/>
              <w:rPr>
                <w:rFonts w:cs="Arial"/>
                <w:sz w:val="16"/>
                <w:szCs w:val="16"/>
              </w:rPr>
            </w:pPr>
            <w:r w:rsidRPr="00806461">
              <w:rPr>
                <w:rFonts w:cs="Arial"/>
                <w:b/>
                <w:bCs/>
                <w:sz w:val="16"/>
                <w:szCs w:val="16"/>
              </w:rPr>
              <w:t>Performance Indicators</w:t>
            </w:r>
          </w:p>
        </w:tc>
        <w:tc>
          <w:tcPr>
            <w:tcW w:w="949" w:type="pct"/>
            <w:tcBorders>
              <w:top w:val="single" w:sz="4" w:space="0" w:color="auto"/>
              <w:bottom w:val="nil"/>
            </w:tcBorders>
            <w:shd w:val="clear" w:color="auto" w:fill="auto"/>
            <w:vAlign w:val="center"/>
          </w:tcPr>
          <w:p w:rsidR="00035B75" w:rsidRPr="00806461" w:rsidRDefault="00035B75" w:rsidP="00FC4F64">
            <w:pPr>
              <w:spacing w:after="120"/>
              <w:rPr>
                <w:rFonts w:cs="Arial"/>
                <w:b/>
                <w:bCs/>
                <w:sz w:val="16"/>
                <w:szCs w:val="16"/>
              </w:rPr>
            </w:pPr>
            <w:r w:rsidRPr="00806461">
              <w:rPr>
                <w:rFonts w:cs="Arial"/>
                <w:b/>
                <w:bCs/>
                <w:sz w:val="16"/>
                <w:szCs w:val="16"/>
              </w:rPr>
              <w:t>Baselines</w:t>
            </w:r>
          </w:p>
        </w:tc>
        <w:tc>
          <w:tcPr>
            <w:tcW w:w="816" w:type="pct"/>
            <w:tcBorders>
              <w:top w:val="single" w:sz="4" w:space="0" w:color="auto"/>
              <w:bottom w:val="nil"/>
            </w:tcBorders>
            <w:tcMar>
              <w:top w:w="110" w:type="dxa"/>
            </w:tcMar>
            <w:vAlign w:val="center"/>
          </w:tcPr>
          <w:p w:rsidR="00035B75" w:rsidRPr="00806461" w:rsidRDefault="00035B75" w:rsidP="00FC4F64">
            <w:pPr>
              <w:spacing w:after="120"/>
              <w:rPr>
                <w:rFonts w:cs="Arial"/>
                <w:b/>
                <w:sz w:val="16"/>
                <w:szCs w:val="16"/>
              </w:rPr>
            </w:pPr>
            <w:r w:rsidRPr="00806461">
              <w:rPr>
                <w:rFonts w:cs="Arial"/>
                <w:b/>
                <w:sz w:val="16"/>
                <w:szCs w:val="16"/>
              </w:rPr>
              <w:t>Target</w:t>
            </w:r>
            <w:r w:rsidR="00582788" w:rsidRPr="00806461">
              <w:rPr>
                <w:rFonts w:cs="Arial"/>
                <w:b/>
                <w:sz w:val="16"/>
                <w:szCs w:val="16"/>
              </w:rPr>
              <w:t>s</w:t>
            </w:r>
          </w:p>
        </w:tc>
        <w:tc>
          <w:tcPr>
            <w:tcW w:w="1744" w:type="pct"/>
            <w:gridSpan w:val="2"/>
            <w:tcBorders>
              <w:top w:val="single" w:sz="4" w:space="0" w:color="auto"/>
              <w:bottom w:val="nil"/>
            </w:tcBorders>
            <w:shd w:val="clear" w:color="auto" w:fill="FFFFFF"/>
            <w:tcMar>
              <w:top w:w="110" w:type="dxa"/>
            </w:tcMar>
            <w:vAlign w:val="center"/>
          </w:tcPr>
          <w:p w:rsidR="00035B75" w:rsidRPr="00806461" w:rsidRDefault="00035B75" w:rsidP="00FC4F64">
            <w:pPr>
              <w:spacing w:after="120"/>
              <w:rPr>
                <w:rFonts w:cs="Arial"/>
                <w:sz w:val="16"/>
                <w:szCs w:val="16"/>
              </w:rPr>
            </w:pPr>
            <w:r w:rsidRPr="00806461">
              <w:rPr>
                <w:rFonts w:cs="Arial"/>
                <w:b/>
                <w:bCs/>
                <w:sz w:val="16"/>
                <w:szCs w:val="16"/>
              </w:rPr>
              <w:t>Performance Data</w:t>
            </w:r>
          </w:p>
        </w:tc>
        <w:tc>
          <w:tcPr>
            <w:tcW w:w="605" w:type="pct"/>
            <w:tcBorders>
              <w:top w:val="single" w:sz="4" w:space="0" w:color="auto"/>
              <w:bottom w:val="nil"/>
            </w:tcBorders>
            <w:tcMar>
              <w:top w:w="110" w:type="dxa"/>
            </w:tcMar>
            <w:vAlign w:val="center"/>
          </w:tcPr>
          <w:p w:rsidR="00035B75" w:rsidRPr="00806461" w:rsidRDefault="00035B75" w:rsidP="00FC4F64">
            <w:pPr>
              <w:keepNext/>
              <w:keepLines/>
              <w:spacing w:after="120"/>
              <w:jc w:val="center"/>
              <w:rPr>
                <w:rFonts w:cs="Arial"/>
                <w:b/>
                <w:bCs/>
                <w:sz w:val="16"/>
                <w:szCs w:val="16"/>
              </w:rPr>
            </w:pPr>
            <w:r w:rsidRPr="00806461">
              <w:rPr>
                <w:rFonts w:cs="Arial"/>
                <w:b/>
                <w:bCs/>
                <w:sz w:val="16"/>
                <w:szCs w:val="16"/>
              </w:rPr>
              <w:t>TLS</w:t>
            </w:r>
          </w:p>
        </w:tc>
      </w:tr>
      <w:tr w:rsidR="00035B75" w:rsidRPr="00806461" w:rsidTr="00DE1CE8">
        <w:trPr>
          <w:cantSplit/>
        </w:trPr>
        <w:tc>
          <w:tcPr>
            <w:tcW w:w="886" w:type="pct"/>
            <w:tcBorders>
              <w:top w:val="nil"/>
              <w:bottom w:val="single" w:sz="4" w:space="0" w:color="auto"/>
            </w:tcBorders>
            <w:shd w:val="clear" w:color="auto" w:fill="FFFFFF"/>
          </w:tcPr>
          <w:p w:rsidR="00035B75" w:rsidRPr="00806461" w:rsidRDefault="00035B75" w:rsidP="00FC4F64">
            <w:pPr>
              <w:rPr>
                <w:rFonts w:cs="Arial"/>
                <w:sz w:val="16"/>
                <w:szCs w:val="16"/>
                <w:lang w:bidi="th-TH"/>
              </w:rPr>
            </w:pPr>
            <w:r w:rsidRPr="00806461">
              <w:rPr>
                <w:rFonts w:cs="Arial"/>
                <w:sz w:val="16"/>
                <w:szCs w:val="16"/>
              </w:rPr>
              <w:t xml:space="preserve">No. of requests received for WIPO’s assistance </w:t>
            </w:r>
          </w:p>
        </w:tc>
        <w:tc>
          <w:tcPr>
            <w:tcW w:w="949" w:type="pct"/>
            <w:tcBorders>
              <w:top w:val="nil"/>
              <w:bottom w:val="single" w:sz="4" w:space="0" w:color="auto"/>
            </w:tcBorders>
            <w:shd w:val="clear" w:color="auto" w:fill="auto"/>
          </w:tcPr>
          <w:p w:rsidR="00035B75" w:rsidRPr="00806461" w:rsidRDefault="00035B75" w:rsidP="00FC4F64">
            <w:pPr>
              <w:rPr>
                <w:rFonts w:cs="Arial"/>
                <w:sz w:val="16"/>
                <w:szCs w:val="16"/>
                <w:lang w:bidi="th-TH"/>
              </w:rPr>
            </w:pPr>
            <w:r w:rsidRPr="00806461">
              <w:rPr>
                <w:rFonts w:cs="Arial"/>
                <w:sz w:val="16"/>
                <w:szCs w:val="16"/>
              </w:rPr>
              <w:t>60 (2010/11)</w:t>
            </w:r>
          </w:p>
        </w:tc>
        <w:tc>
          <w:tcPr>
            <w:tcW w:w="816" w:type="pct"/>
            <w:tcBorders>
              <w:top w:val="nil"/>
              <w:bottom w:val="single" w:sz="4" w:space="0" w:color="auto"/>
            </w:tcBorders>
            <w:tcMar>
              <w:top w:w="110" w:type="dxa"/>
            </w:tcMar>
          </w:tcPr>
          <w:p w:rsidR="00035B75" w:rsidRPr="00806461" w:rsidRDefault="00035B75" w:rsidP="00FC4F64">
            <w:pPr>
              <w:rPr>
                <w:rFonts w:cs="Arial"/>
                <w:sz w:val="16"/>
                <w:szCs w:val="16"/>
                <w:lang w:bidi="th-TH"/>
              </w:rPr>
            </w:pPr>
            <w:r w:rsidRPr="00806461">
              <w:rPr>
                <w:rFonts w:cs="Arial"/>
                <w:sz w:val="16"/>
                <w:szCs w:val="16"/>
              </w:rPr>
              <w:t>60 (in 2012/13)</w:t>
            </w:r>
          </w:p>
        </w:tc>
        <w:tc>
          <w:tcPr>
            <w:tcW w:w="1744" w:type="pct"/>
            <w:gridSpan w:val="2"/>
            <w:tcBorders>
              <w:top w:val="nil"/>
              <w:bottom w:val="single" w:sz="4" w:space="0" w:color="auto"/>
            </w:tcBorders>
            <w:shd w:val="clear" w:color="auto" w:fill="FFFFFF"/>
            <w:tcMar>
              <w:top w:w="110" w:type="dxa"/>
            </w:tcMar>
          </w:tcPr>
          <w:p w:rsidR="00035B75" w:rsidRPr="00806461" w:rsidRDefault="00035B75" w:rsidP="00FC4F64">
            <w:pPr>
              <w:rPr>
                <w:rFonts w:cs="Arial"/>
                <w:sz w:val="16"/>
                <w:szCs w:val="16"/>
                <w:lang w:bidi="th-TH"/>
              </w:rPr>
            </w:pPr>
            <w:r w:rsidRPr="00806461">
              <w:rPr>
                <w:rFonts w:cs="Arial"/>
                <w:sz w:val="16"/>
                <w:szCs w:val="16"/>
                <w:lang w:bidi="th-TH"/>
              </w:rPr>
              <w:t>90 (comprising about 80 requests for general briefings and presentations, and 10 requests for substantial capacity-building/technical assistance).  These figures do not include IGC-related briefings, nor participation in UN and other intergovernmental meetings</w:t>
            </w:r>
            <w:r w:rsidR="00575621">
              <w:rPr>
                <w:rFonts w:cs="Arial"/>
                <w:sz w:val="16"/>
                <w:szCs w:val="16"/>
                <w:lang w:bidi="th-TH"/>
              </w:rPr>
              <w:t>.</w:t>
            </w:r>
          </w:p>
          <w:p w:rsidR="00035B75" w:rsidRPr="00806461" w:rsidRDefault="00035B75" w:rsidP="00FC4F64">
            <w:pPr>
              <w:rPr>
                <w:rFonts w:cs="Arial"/>
                <w:sz w:val="16"/>
                <w:szCs w:val="16"/>
                <w:lang w:bidi="th-TH"/>
              </w:rPr>
            </w:pPr>
          </w:p>
        </w:tc>
        <w:tc>
          <w:tcPr>
            <w:tcW w:w="605" w:type="pct"/>
            <w:tcBorders>
              <w:top w:val="nil"/>
              <w:bottom w:val="single" w:sz="4" w:space="0" w:color="auto"/>
            </w:tcBorders>
            <w:tcMar>
              <w:top w:w="110" w:type="dxa"/>
            </w:tcMar>
          </w:tcPr>
          <w:p w:rsidR="00035B75" w:rsidRPr="00806461" w:rsidRDefault="00035B75" w:rsidP="00FC4F64">
            <w:pPr>
              <w:keepNext/>
              <w:keepLines/>
              <w:jc w:val="center"/>
              <w:rPr>
                <w:rFonts w:cs="Arial"/>
                <w:bCs/>
                <w:sz w:val="16"/>
                <w:szCs w:val="16"/>
              </w:rPr>
            </w:pPr>
            <w:r w:rsidRPr="00806461">
              <w:rPr>
                <w:rStyle w:val="Style5"/>
                <w:rFonts w:ascii="Arial" w:hAnsi="Arial" w:cs="Arial"/>
                <w:color w:val="10862C"/>
                <w:sz w:val="16"/>
                <w:szCs w:val="16"/>
              </w:rPr>
              <w:t>Fully</w:t>
            </w:r>
            <w:r w:rsidRPr="00806461">
              <w:rPr>
                <w:rStyle w:val="Style5"/>
                <w:rFonts w:ascii="Arial" w:hAnsi="Arial" w:cs="Arial"/>
                <w:color w:val="10862C"/>
                <w:sz w:val="16"/>
                <w:szCs w:val="16"/>
              </w:rPr>
              <w:br/>
              <w:t>Achieved</w:t>
            </w:r>
          </w:p>
        </w:tc>
      </w:tr>
    </w:tbl>
    <w:p w:rsidR="00035B75" w:rsidRDefault="00035B75" w:rsidP="00035B75"/>
    <w:p w:rsidR="00035B75" w:rsidRDefault="00035B75" w:rsidP="00035B75"/>
    <w:p w:rsidR="00035B75" w:rsidRDefault="00035B75" w:rsidP="00035B75">
      <w:r>
        <w:t>BUDGET AND ACTUAL EXPENDITURE</w:t>
      </w:r>
    </w:p>
    <w:p w:rsidR="00035B75" w:rsidRDefault="00035B75" w:rsidP="00035B75"/>
    <w:p w:rsidR="00035B75" w:rsidRPr="0027745B" w:rsidRDefault="00035B75" w:rsidP="00035B75">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035B75" w:rsidRPr="0027745B" w:rsidRDefault="00035B75" w:rsidP="00035B75">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Default="00035B75" w:rsidP="00035B75">
      <w:pPr>
        <w:pStyle w:val="NormalWeb"/>
        <w:spacing w:before="0" w:beforeAutospacing="0" w:after="0" w:afterAutospacing="0"/>
        <w:jc w:val="center"/>
        <w:rPr>
          <w:i/>
          <w:iCs/>
          <w:color w:val="000000"/>
          <w:sz w:val="22"/>
          <w:szCs w:val="22"/>
        </w:rPr>
      </w:pPr>
    </w:p>
    <w:tbl>
      <w:tblPr>
        <w:tblW w:w="0" w:type="auto"/>
        <w:tblInd w:w="103" w:type="dxa"/>
        <w:tblLook w:val="04A0" w:firstRow="1" w:lastRow="0" w:firstColumn="1" w:lastColumn="0" w:noHBand="0" w:noVBand="1"/>
      </w:tblPr>
      <w:tblGrid>
        <w:gridCol w:w="517"/>
        <w:gridCol w:w="4733"/>
        <w:gridCol w:w="1406"/>
        <w:gridCol w:w="1406"/>
        <w:gridCol w:w="1299"/>
      </w:tblGrid>
      <w:tr w:rsidR="00035B75" w:rsidRPr="00806461" w:rsidTr="00DE1CE8">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Expected Result No. and Description</w:t>
            </w:r>
          </w:p>
        </w:tc>
        <w:tc>
          <w:tcPr>
            <w:tcW w:w="1406" w:type="dxa"/>
            <w:tcBorders>
              <w:top w:val="single" w:sz="4" w:space="0" w:color="auto"/>
              <w:left w:val="nil"/>
              <w:bottom w:val="single" w:sz="4" w:space="0" w:color="auto"/>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2012/13 Approved Budget</w:t>
            </w:r>
          </w:p>
        </w:tc>
        <w:tc>
          <w:tcPr>
            <w:tcW w:w="1406" w:type="dxa"/>
            <w:tcBorders>
              <w:top w:val="single" w:sz="4" w:space="0" w:color="auto"/>
              <w:left w:val="nil"/>
              <w:bottom w:val="single" w:sz="4" w:space="0" w:color="auto"/>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 xml:space="preserve">2012/13 Budget </w:t>
            </w:r>
            <w:r w:rsidRPr="00806461">
              <w:rPr>
                <w:rFonts w:cs="Arial"/>
                <w:bCs/>
                <w:color w:val="000000"/>
                <w:sz w:val="16"/>
                <w:szCs w:val="16"/>
              </w:rPr>
              <w:br/>
              <w:t>After Transfers</w:t>
            </w:r>
          </w:p>
        </w:tc>
        <w:tc>
          <w:tcPr>
            <w:tcW w:w="1299" w:type="dxa"/>
            <w:tcBorders>
              <w:top w:val="single" w:sz="4" w:space="0" w:color="auto"/>
              <w:left w:val="nil"/>
              <w:bottom w:val="single" w:sz="4" w:space="0" w:color="auto"/>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 xml:space="preserve">2012/13 </w:t>
            </w:r>
            <w:r w:rsidRPr="00806461">
              <w:rPr>
                <w:rFonts w:cs="Arial"/>
                <w:bCs/>
                <w:color w:val="000000"/>
                <w:sz w:val="16"/>
                <w:szCs w:val="16"/>
              </w:rPr>
              <w:br/>
              <w:t>Expenditure</w:t>
            </w:r>
          </w:p>
        </w:tc>
      </w:tr>
      <w:tr w:rsidR="00035B75" w:rsidRPr="009D3138" w:rsidTr="00DE1CE8">
        <w:tc>
          <w:tcPr>
            <w:tcW w:w="517" w:type="dxa"/>
            <w:tcBorders>
              <w:top w:val="nil"/>
              <w:left w:val="single" w:sz="4" w:space="0" w:color="auto"/>
              <w:bottom w:val="nil"/>
              <w:right w:val="nil"/>
            </w:tcBorders>
            <w:shd w:val="clear" w:color="000000" w:fill="FFFFFF"/>
            <w:noWrap/>
            <w:hideMark/>
          </w:tcPr>
          <w:p w:rsidR="00035B75" w:rsidRPr="0027745B" w:rsidRDefault="00035B75" w:rsidP="00806461">
            <w:pPr>
              <w:spacing w:before="120"/>
              <w:jc w:val="center"/>
              <w:rPr>
                <w:rFonts w:cs="Arial"/>
                <w:color w:val="000000"/>
                <w:sz w:val="16"/>
                <w:szCs w:val="16"/>
              </w:rPr>
            </w:pPr>
            <w:r w:rsidRPr="0027745B">
              <w:rPr>
                <w:rFonts w:cs="Arial"/>
                <w:color w:val="000000"/>
                <w:sz w:val="16"/>
                <w:szCs w:val="16"/>
              </w:rPr>
              <w:t>I.1</w:t>
            </w:r>
          </w:p>
        </w:tc>
        <w:tc>
          <w:tcPr>
            <w:tcW w:w="4733" w:type="dxa"/>
            <w:tcBorders>
              <w:top w:val="nil"/>
              <w:left w:val="nil"/>
              <w:bottom w:val="nil"/>
              <w:right w:val="nil"/>
            </w:tcBorders>
            <w:shd w:val="clear" w:color="000000" w:fill="FFFFFF"/>
            <w:hideMark/>
          </w:tcPr>
          <w:p w:rsidR="00035B75" w:rsidRPr="0027745B" w:rsidRDefault="00035B75" w:rsidP="00806461">
            <w:pPr>
              <w:spacing w:before="120"/>
              <w:rPr>
                <w:rFonts w:cs="Arial"/>
                <w:color w:val="000000"/>
                <w:sz w:val="16"/>
                <w:szCs w:val="16"/>
              </w:rPr>
            </w:pPr>
            <w:r w:rsidRPr="0027745B">
              <w:rPr>
                <w:rFonts w:cs="Arial"/>
                <w:color w:val="000000"/>
                <w:sz w:val="16"/>
                <w:szCs w:val="16"/>
              </w:rPr>
              <w:t>Enhanced cooperation/greater consensus among Member States on further developing the policy and legal framework for the international patent system, trademarks, industrial designs, geographical indications, copyright and related rights, TK, TCEs GRs</w:t>
            </w:r>
          </w:p>
        </w:tc>
        <w:tc>
          <w:tcPr>
            <w:tcW w:w="1406" w:type="dxa"/>
            <w:tcBorders>
              <w:top w:val="nil"/>
              <w:left w:val="nil"/>
              <w:bottom w:val="nil"/>
              <w:right w:val="nil"/>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 xml:space="preserve">5,034 </w:t>
            </w:r>
          </w:p>
        </w:tc>
        <w:tc>
          <w:tcPr>
            <w:tcW w:w="1406" w:type="dxa"/>
            <w:tcBorders>
              <w:top w:val="nil"/>
              <w:left w:val="nil"/>
              <w:bottom w:val="nil"/>
              <w:right w:val="nil"/>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3,919</w:t>
            </w:r>
          </w:p>
        </w:tc>
        <w:tc>
          <w:tcPr>
            <w:tcW w:w="1299" w:type="dxa"/>
            <w:tcBorders>
              <w:top w:val="nil"/>
              <w:left w:val="nil"/>
              <w:bottom w:val="nil"/>
              <w:right w:val="single" w:sz="4" w:space="0" w:color="auto"/>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 xml:space="preserve">3,873 </w:t>
            </w:r>
          </w:p>
        </w:tc>
      </w:tr>
      <w:tr w:rsidR="00035B75" w:rsidRPr="009D3138" w:rsidTr="00DE1CE8">
        <w:tc>
          <w:tcPr>
            <w:tcW w:w="517" w:type="dxa"/>
            <w:tcBorders>
              <w:top w:val="nil"/>
              <w:left w:val="single" w:sz="4" w:space="0" w:color="auto"/>
              <w:bottom w:val="nil"/>
              <w:right w:val="nil"/>
            </w:tcBorders>
            <w:shd w:val="clear" w:color="000000" w:fill="FFFFFF"/>
            <w:noWrap/>
            <w:hideMark/>
          </w:tcPr>
          <w:p w:rsidR="00035B75" w:rsidRPr="0027745B" w:rsidRDefault="00035B75" w:rsidP="00806461">
            <w:pPr>
              <w:spacing w:before="120"/>
              <w:jc w:val="center"/>
              <w:rPr>
                <w:rFonts w:cs="Arial"/>
                <w:color w:val="000000"/>
                <w:sz w:val="16"/>
                <w:szCs w:val="16"/>
              </w:rPr>
            </w:pPr>
            <w:r w:rsidRPr="0027745B">
              <w:rPr>
                <w:rFonts w:cs="Arial"/>
                <w:color w:val="000000"/>
                <w:sz w:val="16"/>
                <w:szCs w:val="16"/>
              </w:rPr>
              <w:t>III.2</w:t>
            </w:r>
          </w:p>
        </w:tc>
        <w:tc>
          <w:tcPr>
            <w:tcW w:w="4733" w:type="dxa"/>
            <w:tcBorders>
              <w:top w:val="nil"/>
              <w:left w:val="nil"/>
              <w:bottom w:val="nil"/>
              <w:right w:val="nil"/>
            </w:tcBorders>
            <w:shd w:val="clear" w:color="000000" w:fill="FFFFFF"/>
            <w:hideMark/>
          </w:tcPr>
          <w:p w:rsidR="00035B75" w:rsidRPr="0027745B" w:rsidRDefault="00035B75" w:rsidP="00806461">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406" w:type="dxa"/>
            <w:tcBorders>
              <w:top w:val="nil"/>
              <w:left w:val="nil"/>
              <w:bottom w:val="nil"/>
              <w:right w:val="nil"/>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 xml:space="preserve">2,121 </w:t>
            </w:r>
          </w:p>
        </w:tc>
        <w:tc>
          <w:tcPr>
            <w:tcW w:w="1406" w:type="dxa"/>
            <w:tcBorders>
              <w:top w:val="nil"/>
              <w:left w:val="nil"/>
              <w:bottom w:val="nil"/>
              <w:right w:val="nil"/>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1,909</w:t>
            </w:r>
          </w:p>
        </w:tc>
        <w:tc>
          <w:tcPr>
            <w:tcW w:w="1299" w:type="dxa"/>
            <w:tcBorders>
              <w:top w:val="nil"/>
              <w:left w:val="nil"/>
              <w:bottom w:val="nil"/>
              <w:right w:val="single" w:sz="4" w:space="0" w:color="auto"/>
            </w:tcBorders>
            <w:shd w:val="clear" w:color="000000" w:fill="FFFFFF"/>
            <w:vAlign w:val="center"/>
            <w:hideMark/>
          </w:tcPr>
          <w:p w:rsidR="00035B75" w:rsidRPr="0027745B" w:rsidRDefault="00035B75" w:rsidP="00806461">
            <w:pPr>
              <w:spacing w:before="120"/>
              <w:jc w:val="right"/>
              <w:rPr>
                <w:rFonts w:cs="Arial"/>
                <w:color w:val="000000"/>
                <w:sz w:val="16"/>
                <w:szCs w:val="16"/>
              </w:rPr>
            </w:pPr>
            <w:r w:rsidRPr="0027745B">
              <w:rPr>
                <w:rFonts w:cs="Arial"/>
                <w:color w:val="000000"/>
                <w:sz w:val="16"/>
                <w:szCs w:val="16"/>
              </w:rPr>
              <w:t xml:space="preserve">1,658 </w:t>
            </w:r>
          </w:p>
        </w:tc>
      </w:tr>
      <w:tr w:rsidR="00035B75" w:rsidRPr="009D3138" w:rsidTr="00DE1CE8">
        <w:tc>
          <w:tcPr>
            <w:tcW w:w="517" w:type="dxa"/>
            <w:tcBorders>
              <w:top w:val="nil"/>
              <w:left w:val="single" w:sz="4" w:space="0" w:color="auto"/>
              <w:bottom w:val="single" w:sz="4" w:space="0" w:color="auto"/>
              <w:right w:val="nil"/>
            </w:tcBorders>
            <w:shd w:val="clear" w:color="000000" w:fill="FFFFFF"/>
            <w:noWrap/>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III.9</w:t>
            </w:r>
          </w:p>
        </w:tc>
        <w:tc>
          <w:tcPr>
            <w:tcW w:w="4733" w:type="dxa"/>
            <w:tcBorders>
              <w:top w:val="nil"/>
              <w:left w:val="nil"/>
              <w:bottom w:val="single" w:sz="4" w:space="0" w:color="auto"/>
              <w:right w:val="nil"/>
            </w:tcBorders>
            <w:shd w:val="clear" w:color="000000" w:fill="FFFFFF"/>
            <w:hideMark/>
          </w:tcPr>
          <w:p w:rsidR="00035B75" w:rsidRPr="0027745B" w:rsidRDefault="00035B75" w:rsidP="00031146">
            <w:pPr>
              <w:spacing w:before="120" w:after="120"/>
              <w:rPr>
                <w:rFonts w:cs="Arial"/>
                <w:color w:val="000000"/>
                <w:sz w:val="16"/>
                <w:szCs w:val="16"/>
              </w:rPr>
            </w:pPr>
            <w:r w:rsidRPr="0027745B">
              <w:rPr>
                <w:rFonts w:cs="Arial"/>
                <w:color w:val="000000"/>
                <w:sz w:val="16"/>
                <w:szCs w:val="16"/>
              </w:rPr>
              <w:t>Recognition by Member States, communities, organizations and other stakeholders of the relevance and effectiveness of WIPO’s resources, programs and tools</w:t>
            </w:r>
          </w:p>
        </w:tc>
        <w:tc>
          <w:tcPr>
            <w:tcW w:w="1406" w:type="dxa"/>
            <w:tcBorders>
              <w:top w:val="nil"/>
              <w:left w:val="nil"/>
              <w:bottom w:val="single" w:sz="4" w:space="0" w:color="auto"/>
              <w:right w:val="nil"/>
            </w:tcBorders>
            <w:shd w:val="clear" w:color="000000" w:fill="FFFFFF"/>
            <w:vAlign w:val="center"/>
            <w:hideMark/>
          </w:tcPr>
          <w:p w:rsidR="00035B75" w:rsidRPr="0027745B" w:rsidRDefault="00035B75" w:rsidP="00031146">
            <w:pPr>
              <w:spacing w:before="120" w:after="120"/>
              <w:jc w:val="right"/>
              <w:rPr>
                <w:rFonts w:cs="Arial"/>
                <w:color w:val="000000"/>
                <w:sz w:val="16"/>
                <w:szCs w:val="16"/>
              </w:rPr>
            </w:pPr>
            <w:r w:rsidRPr="0027745B">
              <w:rPr>
                <w:rFonts w:cs="Arial"/>
                <w:color w:val="000000"/>
                <w:sz w:val="16"/>
                <w:szCs w:val="16"/>
              </w:rPr>
              <w:t xml:space="preserve">825 </w:t>
            </w:r>
          </w:p>
        </w:tc>
        <w:tc>
          <w:tcPr>
            <w:tcW w:w="1406" w:type="dxa"/>
            <w:tcBorders>
              <w:top w:val="nil"/>
              <w:left w:val="nil"/>
              <w:bottom w:val="single" w:sz="4" w:space="0" w:color="auto"/>
              <w:right w:val="nil"/>
            </w:tcBorders>
            <w:shd w:val="clear" w:color="000000" w:fill="FFFFFF"/>
            <w:vAlign w:val="center"/>
            <w:hideMark/>
          </w:tcPr>
          <w:p w:rsidR="00035B75" w:rsidRPr="0027745B" w:rsidRDefault="00035B75" w:rsidP="00031146">
            <w:pPr>
              <w:spacing w:before="120" w:after="120"/>
              <w:jc w:val="right"/>
              <w:rPr>
                <w:rFonts w:cs="Arial"/>
                <w:color w:val="000000"/>
                <w:sz w:val="16"/>
                <w:szCs w:val="16"/>
              </w:rPr>
            </w:pPr>
            <w:r w:rsidRPr="0027745B">
              <w:rPr>
                <w:rFonts w:cs="Arial"/>
                <w:color w:val="000000"/>
                <w:sz w:val="16"/>
                <w:szCs w:val="16"/>
              </w:rPr>
              <w:t xml:space="preserve">849 </w:t>
            </w:r>
          </w:p>
        </w:tc>
        <w:tc>
          <w:tcPr>
            <w:tcW w:w="1299" w:type="dxa"/>
            <w:tcBorders>
              <w:top w:val="nil"/>
              <w:left w:val="nil"/>
              <w:bottom w:val="single" w:sz="4" w:space="0" w:color="auto"/>
              <w:right w:val="single" w:sz="4" w:space="0" w:color="auto"/>
            </w:tcBorders>
            <w:shd w:val="clear" w:color="000000" w:fill="FFFFFF"/>
            <w:vAlign w:val="center"/>
            <w:hideMark/>
          </w:tcPr>
          <w:p w:rsidR="00035B75" w:rsidRPr="0027745B" w:rsidRDefault="00035B75" w:rsidP="00031146">
            <w:pPr>
              <w:spacing w:before="120" w:after="120"/>
              <w:jc w:val="right"/>
              <w:rPr>
                <w:rFonts w:cs="Arial"/>
                <w:color w:val="000000"/>
                <w:sz w:val="16"/>
                <w:szCs w:val="16"/>
              </w:rPr>
            </w:pPr>
            <w:r w:rsidRPr="0027745B">
              <w:rPr>
                <w:rFonts w:cs="Arial"/>
                <w:color w:val="000000"/>
                <w:sz w:val="16"/>
                <w:szCs w:val="16"/>
              </w:rPr>
              <w:t xml:space="preserve">812 </w:t>
            </w:r>
          </w:p>
        </w:tc>
      </w:tr>
      <w:tr w:rsidR="00035B75" w:rsidRPr="009D3138" w:rsidTr="00DE1CE8">
        <w:tc>
          <w:tcPr>
            <w:tcW w:w="517" w:type="dxa"/>
            <w:tcBorders>
              <w:top w:val="nil"/>
              <w:left w:val="single" w:sz="4" w:space="0" w:color="auto"/>
              <w:bottom w:val="single" w:sz="4" w:space="0" w:color="auto"/>
              <w:right w:val="nil"/>
            </w:tcBorders>
            <w:shd w:val="clear" w:color="000000" w:fill="CCFFFF"/>
            <w:noWrap/>
            <w:vAlign w:val="bottom"/>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 </w:t>
            </w:r>
          </w:p>
        </w:tc>
        <w:tc>
          <w:tcPr>
            <w:tcW w:w="4733" w:type="dxa"/>
            <w:tcBorders>
              <w:top w:val="nil"/>
              <w:left w:val="nil"/>
              <w:bottom w:val="single" w:sz="4" w:space="0" w:color="auto"/>
              <w:right w:val="nil"/>
            </w:tcBorders>
            <w:shd w:val="clear" w:color="000000" w:fill="CCFFFF"/>
            <w:noWrap/>
            <w:vAlign w:val="center"/>
            <w:hideMark/>
          </w:tcPr>
          <w:p w:rsidR="00035B75" w:rsidRPr="0027745B" w:rsidRDefault="00035B75" w:rsidP="00031146">
            <w:pPr>
              <w:spacing w:before="120" w:after="120"/>
              <w:rPr>
                <w:rFonts w:cs="Arial"/>
                <w:b/>
                <w:bCs/>
                <w:color w:val="000000"/>
                <w:sz w:val="16"/>
                <w:szCs w:val="16"/>
              </w:rPr>
            </w:pPr>
            <w:r w:rsidRPr="0027745B">
              <w:rPr>
                <w:rFonts w:cs="Arial"/>
                <w:b/>
                <w:bCs/>
                <w:color w:val="000000"/>
                <w:sz w:val="16"/>
                <w:szCs w:val="16"/>
              </w:rPr>
              <w:t>Total</w:t>
            </w:r>
          </w:p>
        </w:tc>
        <w:tc>
          <w:tcPr>
            <w:tcW w:w="1406" w:type="dxa"/>
            <w:tcBorders>
              <w:top w:val="nil"/>
              <w:left w:val="single" w:sz="4" w:space="0" w:color="auto"/>
              <w:bottom w:val="single" w:sz="4" w:space="0" w:color="auto"/>
              <w:right w:val="single" w:sz="4" w:space="0" w:color="auto"/>
            </w:tcBorders>
            <w:shd w:val="clear" w:color="000000" w:fill="CCFFFF"/>
            <w:vAlign w:val="center"/>
            <w:hideMark/>
          </w:tcPr>
          <w:p w:rsidR="00035B75" w:rsidRPr="0027745B" w:rsidRDefault="00035B75" w:rsidP="00031146">
            <w:pPr>
              <w:spacing w:before="120" w:after="120"/>
              <w:jc w:val="right"/>
              <w:rPr>
                <w:rFonts w:cs="Arial"/>
                <w:b/>
                <w:bCs/>
                <w:color w:val="000000"/>
                <w:sz w:val="16"/>
                <w:szCs w:val="16"/>
              </w:rPr>
            </w:pPr>
            <w:r w:rsidRPr="0027745B">
              <w:rPr>
                <w:rFonts w:cs="Arial"/>
                <w:b/>
                <w:bCs/>
                <w:color w:val="000000"/>
                <w:sz w:val="16"/>
                <w:szCs w:val="16"/>
              </w:rPr>
              <w:t>7,980</w:t>
            </w:r>
          </w:p>
        </w:tc>
        <w:tc>
          <w:tcPr>
            <w:tcW w:w="1406" w:type="dxa"/>
            <w:tcBorders>
              <w:top w:val="nil"/>
              <w:left w:val="nil"/>
              <w:bottom w:val="single" w:sz="4" w:space="0" w:color="auto"/>
              <w:right w:val="single" w:sz="4" w:space="0" w:color="auto"/>
            </w:tcBorders>
            <w:shd w:val="clear" w:color="000000" w:fill="CCFFFF"/>
            <w:noWrap/>
            <w:vAlign w:val="center"/>
            <w:hideMark/>
          </w:tcPr>
          <w:p w:rsidR="00035B75" w:rsidRPr="0027745B" w:rsidRDefault="00035B75" w:rsidP="00031146">
            <w:pPr>
              <w:spacing w:before="120" w:after="120"/>
              <w:jc w:val="right"/>
              <w:rPr>
                <w:rFonts w:cs="Arial"/>
                <w:b/>
                <w:bCs/>
                <w:color w:val="000000"/>
                <w:sz w:val="16"/>
                <w:szCs w:val="16"/>
              </w:rPr>
            </w:pPr>
            <w:r w:rsidRPr="0027745B">
              <w:rPr>
                <w:rFonts w:cs="Arial"/>
                <w:b/>
                <w:bCs/>
                <w:color w:val="000000"/>
                <w:sz w:val="16"/>
                <w:szCs w:val="16"/>
              </w:rPr>
              <w:t>6,677</w:t>
            </w:r>
          </w:p>
        </w:tc>
        <w:tc>
          <w:tcPr>
            <w:tcW w:w="1299" w:type="dxa"/>
            <w:tcBorders>
              <w:top w:val="nil"/>
              <w:left w:val="nil"/>
              <w:bottom w:val="single" w:sz="4" w:space="0" w:color="auto"/>
              <w:right w:val="single" w:sz="4" w:space="0" w:color="auto"/>
            </w:tcBorders>
            <w:shd w:val="clear" w:color="000000" w:fill="CCFFFF"/>
            <w:vAlign w:val="center"/>
            <w:hideMark/>
          </w:tcPr>
          <w:p w:rsidR="00035B75" w:rsidRPr="0027745B" w:rsidRDefault="00035B75" w:rsidP="00031146">
            <w:pPr>
              <w:spacing w:before="120" w:after="120"/>
              <w:jc w:val="right"/>
              <w:rPr>
                <w:rFonts w:cs="Arial"/>
                <w:b/>
                <w:bCs/>
                <w:color w:val="000000"/>
                <w:sz w:val="16"/>
                <w:szCs w:val="16"/>
              </w:rPr>
            </w:pPr>
            <w:r w:rsidRPr="0027745B">
              <w:rPr>
                <w:rFonts w:cs="Arial"/>
                <w:b/>
                <w:bCs/>
                <w:color w:val="000000"/>
                <w:sz w:val="16"/>
                <w:szCs w:val="16"/>
              </w:rPr>
              <w:t>6,343</w:t>
            </w:r>
          </w:p>
        </w:tc>
      </w:tr>
    </w:tbl>
    <w:p w:rsidR="00035B75" w:rsidRDefault="00035B75" w:rsidP="00035B75">
      <w:pPr>
        <w:pStyle w:val="NormalWeb"/>
        <w:spacing w:before="0" w:beforeAutospacing="0" w:after="0" w:afterAutospacing="0"/>
        <w:jc w:val="center"/>
      </w:pPr>
    </w:p>
    <w:p w:rsidR="00035B75" w:rsidRDefault="00035B75" w:rsidP="00035B75">
      <w:pPr>
        <w:pStyle w:val="NormalWeb"/>
        <w:spacing w:before="0" w:beforeAutospacing="0" w:after="0" w:afterAutospacing="0"/>
        <w:jc w:val="center"/>
        <w:rPr>
          <w:color w:val="000000"/>
          <w:sz w:val="22"/>
          <w:szCs w:val="22"/>
        </w:rPr>
      </w:pPr>
    </w:p>
    <w:p w:rsidR="00035B75" w:rsidRDefault="00035B75" w:rsidP="00035B75">
      <w:pPr>
        <w:rPr>
          <w:rFonts w:cs="Arial"/>
          <w:color w:val="000000"/>
          <w:sz w:val="22"/>
          <w:szCs w:val="22"/>
        </w:rPr>
      </w:pPr>
      <w:r>
        <w:rPr>
          <w:color w:val="000000"/>
          <w:sz w:val="22"/>
          <w:szCs w:val="22"/>
        </w:rPr>
        <w:br w:type="page"/>
      </w:r>
    </w:p>
    <w:p w:rsidR="00884095" w:rsidRDefault="00884095" w:rsidP="00035B75">
      <w:pPr>
        <w:pStyle w:val="NormalWeb"/>
        <w:spacing w:before="0" w:beforeAutospacing="0" w:after="0" w:afterAutospacing="0"/>
        <w:jc w:val="center"/>
        <w:rPr>
          <w:color w:val="000000"/>
          <w:sz w:val="20"/>
          <w:szCs w:val="20"/>
        </w:rPr>
      </w:pPr>
    </w:p>
    <w:p w:rsidR="00035B75" w:rsidRPr="0027745B" w:rsidRDefault="00035B75" w:rsidP="00035B75">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035B75" w:rsidRPr="0027745B" w:rsidRDefault="00035B75" w:rsidP="00035B75">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35B75" w:rsidRPr="0027745B" w:rsidRDefault="00035B75" w:rsidP="00035B75">
      <w:pPr>
        <w:pStyle w:val="NormalWeb"/>
        <w:spacing w:before="0" w:beforeAutospacing="0" w:after="0" w:afterAutospacing="0"/>
        <w:jc w:val="center"/>
        <w:rPr>
          <w:sz w:val="20"/>
          <w:szCs w:val="20"/>
        </w:rPr>
      </w:pPr>
    </w:p>
    <w:tbl>
      <w:tblPr>
        <w:tblW w:w="0" w:type="auto"/>
        <w:tblInd w:w="93" w:type="dxa"/>
        <w:tblLook w:val="04A0" w:firstRow="1" w:lastRow="0" w:firstColumn="1" w:lastColumn="0" w:noHBand="0" w:noVBand="1"/>
      </w:tblPr>
      <w:tblGrid>
        <w:gridCol w:w="2425"/>
        <w:gridCol w:w="1736"/>
        <w:gridCol w:w="1737"/>
        <w:gridCol w:w="1736"/>
        <w:gridCol w:w="1737"/>
      </w:tblGrid>
      <w:tr w:rsidR="00035B75" w:rsidRPr="00806461" w:rsidTr="00806461">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35B75" w:rsidRPr="00806461" w:rsidRDefault="00035B75" w:rsidP="00031146">
            <w:pPr>
              <w:spacing w:before="120" w:after="120"/>
              <w:rPr>
                <w:rFonts w:cs="Arial"/>
                <w:color w:val="000000"/>
                <w:sz w:val="16"/>
                <w:szCs w:val="16"/>
              </w:rPr>
            </w:pPr>
            <w:r w:rsidRPr="00806461">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035B75" w:rsidRPr="00806461" w:rsidRDefault="00035B75" w:rsidP="00031146">
            <w:pPr>
              <w:spacing w:before="120" w:after="120"/>
              <w:jc w:val="center"/>
              <w:rPr>
                <w:rFonts w:cs="Arial"/>
                <w:bCs/>
                <w:color w:val="000000"/>
                <w:sz w:val="16"/>
                <w:szCs w:val="16"/>
              </w:rPr>
            </w:pPr>
            <w:r w:rsidRPr="00806461">
              <w:rPr>
                <w:rFonts w:cs="Arial"/>
                <w:bCs/>
                <w:color w:val="000000"/>
                <w:sz w:val="16"/>
                <w:szCs w:val="16"/>
              </w:rPr>
              <w:t>Utilization rate (%)</w:t>
            </w:r>
          </w:p>
        </w:tc>
      </w:tr>
      <w:tr w:rsidR="00035B75" w:rsidRPr="009D3138" w:rsidTr="00806461">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031146">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4,000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3,990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3,990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100%</w:t>
            </w:r>
          </w:p>
        </w:tc>
      </w:tr>
      <w:tr w:rsidR="00035B75" w:rsidRPr="009D3138" w:rsidTr="00806461">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031146">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3,980</w:t>
            </w:r>
          </w:p>
        </w:tc>
        <w:tc>
          <w:tcPr>
            <w:tcW w:w="1737"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2,687</w:t>
            </w:r>
          </w:p>
        </w:tc>
        <w:tc>
          <w:tcPr>
            <w:tcW w:w="1736"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2,352</w:t>
            </w:r>
          </w:p>
        </w:tc>
        <w:tc>
          <w:tcPr>
            <w:tcW w:w="1737"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color w:val="000000"/>
                <w:sz w:val="16"/>
                <w:szCs w:val="16"/>
              </w:rPr>
            </w:pPr>
            <w:r w:rsidRPr="0027745B">
              <w:rPr>
                <w:rFonts w:cs="Arial"/>
                <w:color w:val="000000"/>
                <w:sz w:val="16"/>
                <w:szCs w:val="16"/>
              </w:rPr>
              <w:t>88%</w:t>
            </w:r>
          </w:p>
        </w:tc>
      </w:tr>
      <w:tr w:rsidR="00035B75" w:rsidRPr="009D3138" w:rsidTr="00806461">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035B75" w:rsidRPr="0027745B" w:rsidRDefault="00035B75" w:rsidP="00031146">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7,980</w:t>
            </w:r>
          </w:p>
        </w:tc>
        <w:tc>
          <w:tcPr>
            <w:tcW w:w="1737"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6,677</w:t>
            </w:r>
          </w:p>
        </w:tc>
        <w:tc>
          <w:tcPr>
            <w:tcW w:w="1736"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6,343</w:t>
            </w:r>
          </w:p>
        </w:tc>
        <w:tc>
          <w:tcPr>
            <w:tcW w:w="1737" w:type="dxa"/>
            <w:tcBorders>
              <w:top w:val="nil"/>
              <w:left w:val="nil"/>
              <w:bottom w:val="single" w:sz="4" w:space="0" w:color="auto"/>
              <w:right w:val="single" w:sz="4" w:space="0" w:color="auto"/>
            </w:tcBorders>
            <w:shd w:val="clear" w:color="auto" w:fill="auto"/>
            <w:vAlign w:val="center"/>
            <w:hideMark/>
          </w:tcPr>
          <w:p w:rsidR="00035B75" w:rsidRPr="0027745B" w:rsidRDefault="00035B75" w:rsidP="00031146">
            <w:pPr>
              <w:spacing w:before="120" w:after="120"/>
              <w:jc w:val="center"/>
              <w:rPr>
                <w:rFonts w:cs="Arial"/>
                <w:b/>
                <w:bCs/>
                <w:color w:val="000000"/>
                <w:sz w:val="16"/>
                <w:szCs w:val="16"/>
              </w:rPr>
            </w:pPr>
            <w:r w:rsidRPr="0027745B">
              <w:rPr>
                <w:rFonts w:cs="Arial"/>
                <w:b/>
                <w:bCs/>
                <w:color w:val="000000"/>
                <w:sz w:val="16"/>
                <w:szCs w:val="16"/>
              </w:rPr>
              <w:t>95%</w:t>
            </w:r>
          </w:p>
        </w:tc>
      </w:tr>
    </w:tbl>
    <w:p w:rsidR="00035B75" w:rsidRDefault="00035B75" w:rsidP="00035B75">
      <w:pPr>
        <w:jc w:val="center"/>
      </w:pPr>
    </w:p>
    <w:p w:rsidR="00035B75" w:rsidRDefault="00035B75" w:rsidP="00035B75">
      <w:pPr>
        <w:keepNext/>
        <w:autoSpaceDE w:val="0"/>
        <w:autoSpaceDN w:val="0"/>
        <w:rPr>
          <w:sz w:val="16"/>
          <w:szCs w:val="16"/>
        </w:rPr>
      </w:pPr>
      <w:r>
        <w:rPr>
          <w:sz w:val="16"/>
          <w:szCs w:val="16"/>
        </w:rPr>
        <w:t>NOTES:</w:t>
      </w:r>
    </w:p>
    <w:p w:rsidR="00035B75" w:rsidRDefault="00035B75" w:rsidP="00035B75">
      <w:pPr>
        <w:keepNext/>
        <w:autoSpaceDE w:val="0"/>
        <w:autoSpaceDN w:val="0"/>
        <w:rPr>
          <w:sz w:val="16"/>
          <w:szCs w:val="16"/>
        </w:rPr>
      </w:pPr>
    </w:p>
    <w:p w:rsidR="00035B75" w:rsidRDefault="00035B75" w:rsidP="00035B75">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035B75" w:rsidRDefault="00035B75" w:rsidP="00035B75">
      <w:pPr>
        <w:keepNext/>
        <w:autoSpaceDE w:val="0"/>
        <w:autoSpaceDN w:val="0"/>
        <w:rPr>
          <w:sz w:val="16"/>
          <w:szCs w:val="16"/>
        </w:rPr>
      </w:pPr>
    </w:p>
    <w:p w:rsidR="00035B75" w:rsidRDefault="00DC2CFA" w:rsidP="00035B75">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035B75">
        <w:rPr>
          <w:sz w:val="16"/>
          <w:szCs w:val="16"/>
        </w:rPr>
        <w:t xml:space="preserve"> </w:t>
      </w:r>
    </w:p>
    <w:p w:rsidR="00035B75" w:rsidRDefault="00035B75" w:rsidP="00035B75">
      <w:pPr>
        <w:keepNext/>
        <w:autoSpaceDE w:val="0"/>
        <w:autoSpaceDN w:val="0"/>
        <w:rPr>
          <w:sz w:val="16"/>
          <w:szCs w:val="16"/>
        </w:rPr>
      </w:pPr>
    </w:p>
    <w:p w:rsidR="00035B75" w:rsidRDefault="00035B75" w:rsidP="00035B75"/>
    <w:p w:rsidR="00035B75" w:rsidRPr="00BF58A4" w:rsidRDefault="00035B75" w:rsidP="00035B75">
      <w:pPr>
        <w:keepNext/>
        <w:keepLines/>
        <w:rPr>
          <w:u w:val="single"/>
        </w:rPr>
      </w:pPr>
      <w:r w:rsidRPr="00BF58A4">
        <w:t>A.</w:t>
      </w:r>
      <w:r w:rsidRPr="00BF58A4">
        <w:tab/>
      </w:r>
      <w:r w:rsidRPr="00BF58A4">
        <w:rPr>
          <w:u w:val="single"/>
        </w:rPr>
        <w:t>Budget after Transfers 2012/13</w:t>
      </w:r>
    </w:p>
    <w:p w:rsidR="00035B75" w:rsidRPr="00BF58A4" w:rsidRDefault="00035B75" w:rsidP="00035B75">
      <w:pPr>
        <w:keepNext/>
        <w:keepLines/>
        <w:autoSpaceDE w:val="0"/>
        <w:autoSpaceDN w:val="0"/>
        <w:adjustRightInd w:val="0"/>
      </w:pPr>
    </w:p>
    <w:p w:rsidR="00035B75" w:rsidRPr="0027745B" w:rsidRDefault="00035B75" w:rsidP="005703CF">
      <w:pPr>
        <w:pStyle w:val="ListParagraph"/>
        <w:numPr>
          <w:ilvl w:val="0"/>
          <w:numId w:val="9"/>
        </w:numPr>
        <w:tabs>
          <w:tab w:val="left" w:pos="709"/>
        </w:tabs>
        <w:ind w:left="0" w:firstLine="0"/>
        <w:jc w:val="both"/>
        <w:rPr>
          <w:rFonts w:eastAsia="Batang"/>
          <w:lang w:eastAsia="ko-KR"/>
        </w:rPr>
      </w:pPr>
      <w:r w:rsidRPr="00B7699D">
        <w:rPr>
          <w:rFonts w:cs="Arial"/>
          <w:lang w:eastAsia="ko-KR"/>
        </w:rPr>
        <w:t xml:space="preserve">The Budget after Transfer reflects a </w:t>
      </w:r>
      <w:r w:rsidRPr="0027745B">
        <w:rPr>
          <w:rFonts w:cs="Arial"/>
          <w:lang w:eastAsia="ko-KR"/>
        </w:rPr>
        <w:t xml:space="preserve">reduction </w:t>
      </w:r>
      <w:r w:rsidRPr="0027745B">
        <w:rPr>
          <w:rFonts w:eastAsia="Batang"/>
          <w:lang w:eastAsia="ko-KR"/>
        </w:rPr>
        <w:t xml:space="preserve">under Result I.1 (Development of balanced international normative frameworks for IP) </w:t>
      </w:r>
      <w:r w:rsidRPr="0027745B">
        <w:rPr>
          <w:rFonts w:cs="Arial"/>
          <w:lang w:eastAsia="ko-KR"/>
        </w:rPr>
        <w:t xml:space="preserve">due to </w:t>
      </w:r>
      <w:r w:rsidRPr="0027745B">
        <w:rPr>
          <w:rFonts w:eastAsia="Batang"/>
          <w:lang w:eastAsia="ko-KR"/>
        </w:rPr>
        <w:t>the transfer of resources initially budgeted for the possible Diplomatic Conference in the area of IP and Genetic Resources, Traditional Knowledge and Traditional Cultural Expressions/Folklore (IGC) to Program 3 for the holding of the Diplomatic Conference to Conclude a Treaty to Facilitate Access to Published Works by Visually Impaired Persons and Persons with Print Disabilities.</w:t>
      </w:r>
    </w:p>
    <w:p w:rsidR="00035B75" w:rsidRDefault="00035B75" w:rsidP="00035B75">
      <w:pPr>
        <w:tabs>
          <w:tab w:val="left" w:pos="709"/>
        </w:tabs>
        <w:jc w:val="both"/>
        <w:rPr>
          <w:rFonts w:eastAsia="Batang"/>
          <w:lang w:eastAsia="ko-KR"/>
        </w:rPr>
      </w:pPr>
    </w:p>
    <w:p w:rsidR="00035B75" w:rsidRPr="0027745B" w:rsidRDefault="00035B75" w:rsidP="005703CF">
      <w:pPr>
        <w:pStyle w:val="ListParagraph"/>
        <w:numPr>
          <w:ilvl w:val="0"/>
          <w:numId w:val="9"/>
        </w:numPr>
        <w:tabs>
          <w:tab w:val="left" w:pos="709"/>
        </w:tabs>
        <w:ind w:left="0" w:firstLine="0"/>
        <w:jc w:val="both"/>
        <w:rPr>
          <w:rFonts w:eastAsia="Batang"/>
          <w:lang w:eastAsia="ko-KR"/>
        </w:rPr>
      </w:pPr>
      <w:r w:rsidRPr="00B7699D">
        <w:rPr>
          <w:rFonts w:eastAsia="Batang"/>
          <w:lang w:eastAsia="ko-KR"/>
        </w:rPr>
        <w:t>The non-personnel allocation for the 2012/13 Budget after Transfers reflects dow</w:t>
      </w:r>
      <w:r w:rsidRPr="0027745B">
        <w:rPr>
          <w:rFonts w:eastAsia="Batang"/>
          <w:lang w:eastAsia="ko-KR"/>
        </w:rPr>
        <w:t>nward adjustments made for cost efficiency gains, in accordance with the Organization’s commitment to reduce expenditures by 10.2 million Swiss francs in the 2012/13 biennium.</w:t>
      </w:r>
    </w:p>
    <w:p w:rsidR="00035B75" w:rsidRDefault="00035B75" w:rsidP="00035B75">
      <w:pPr>
        <w:keepNext/>
        <w:keepLines/>
        <w:tabs>
          <w:tab w:val="left" w:pos="709"/>
        </w:tabs>
        <w:jc w:val="both"/>
        <w:rPr>
          <w:rFonts w:eastAsia="Batang"/>
          <w:lang w:eastAsia="ko-KR"/>
        </w:rPr>
      </w:pPr>
    </w:p>
    <w:p w:rsidR="00035B75" w:rsidRPr="00BF58A4" w:rsidRDefault="00035B75" w:rsidP="00035B75">
      <w:pPr>
        <w:jc w:val="both"/>
        <w:rPr>
          <w:rFonts w:eastAsia="Batang"/>
          <w:lang w:eastAsia="ko-KR"/>
        </w:rPr>
      </w:pPr>
    </w:p>
    <w:p w:rsidR="00035B75" w:rsidRPr="00BF58A4" w:rsidRDefault="00035B75" w:rsidP="00D44A34">
      <w:pPr>
        <w:tabs>
          <w:tab w:val="left" w:pos="709"/>
        </w:tabs>
        <w:jc w:val="both"/>
        <w:rPr>
          <w:rFonts w:eastAsia="Batang"/>
          <w:u w:val="single"/>
          <w:lang w:eastAsia="ko-KR"/>
        </w:rPr>
      </w:pPr>
      <w:r w:rsidRPr="00BF58A4">
        <w:rPr>
          <w:rFonts w:eastAsia="Batang"/>
          <w:lang w:eastAsia="ko-KR"/>
        </w:rPr>
        <w:t>B:</w:t>
      </w:r>
      <w:r w:rsidRPr="00BF58A4">
        <w:rPr>
          <w:rFonts w:eastAsia="Batang"/>
          <w:lang w:eastAsia="ko-KR"/>
        </w:rPr>
        <w:tab/>
      </w:r>
      <w:r w:rsidR="00D44A34">
        <w:rPr>
          <w:rFonts w:eastAsia="Batang"/>
          <w:u w:val="single"/>
          <w:lang w:eastAsia="ko-KR"/>
        </w:rPr>
        <w:t>Budget U</w:t>
      </w:r>
      <w:r w:rsidRPr="00BF58A4">
        <w:rPr>
          <w:rFonts w:eastAsia="Batang"/>
          <w:u w:val="single"/>
          <w:lang w:eastAsia="ko-KR"/>
        </w:rPr>
        <w:t>tilization 2012</w:t>
      </w:r>
      <w:r>
        <w:rPr>
          <w:rFonts w:eastAsia="Batang"/>
          <w:u w:val="single"/>
          <w:lang w:eastAsia="ko-KR"/>
        </w:rPr>
        <w:t>/13</w:t>
      </w:r>
    </w:p>
    <w:p w:rsidR="00035B75" w:rsidRPr="00BF58A4" w:rsidRDefault="00035B75" w:rsidP="00035B75">
      <w:pPr>
        <w:jc w:val="both"/>
        <w:rPr>
          <w:rFonts w:eastAsia="Batang"/>
          <w:lang w:eastAsia="ko-KR"/>
        </w:rPr>
      </w:pPr>
    </w:p>
    <w:p w:rsidR="00035B75" w:rsidRPr="0027745B" w:rsidRDefault="00035B75" w:rsidP="005703CF">
      <w:pPr>
        <w:pStyle w:val="ListParagraph"/>
        <w:numPr>
          <w:ilvl w:val="0"/>
          <w:numId w:val="9"/>
        </w:numPr>
        <w:tabs>
          <w:tab w:val="left" w:pos="709"/>
        </w:tabs>
        <w:ind w:left="0" w:firstLine="0"/>
        <w:jc w:val="both"/>
        <w:rPr>
          <w:rFonts w:eastAsia="Batang" w:cs="Arial"/>
          <w:lang w:eastAsia="ko-KR"/>
        </w:rPr>
      </w:pPr>
      <w:r w:rsidRPr="00B7699D">
        <w:rPr>
          <w:rFonts w:eastAsia="Batang" w:cs="Arial"/>
          <w:lang w:eastAsia="ko-KR"/>
        </w:rPr>
        <w:t>The non-personnel budget utilization rate for t</w:t>
      </w:r>
      <w:r w:rsidRPr="0027745B">
        <w:rPr>
          <w:rFonts w:eastAsia="Batang" w:cs="Arial"/>
          <w:lang w:eastAsia="ko-KR"/>
        </w:rPr>
        <w:t>he Program amounted to 88 per cent of the Budget after Transfers.  The under-utilization of non-personnel resources resulted primarily from:</w:t>
      </w:r>
    </w:p>
    <w:p w:rsidR="00035B75" w:rsidRDefault="00035B75" w:rsidP="00035B75">
      <w:pPr>
        <w:jc w:val="both"/>
        <w:rPr>
          <w:rFonts w:eastAsia="Batang" w:cs="Arial"/>
          <w:szCs w:val="20"/>
          <w:lang w:eastAsia="ko-KR"/>
        </w:rPr>
      </w:pPr>
    </w:p>
    <w:p w:rsidR="00035B75" w:rsidRDefault="00035B75" w:rsidP="005703CF">
      <w:pPr>
        <w:pStyle w:val="ListParagraph"/>
        <w:numPr>
          <w:ilvl w:val="0"/>
          <w:numId w:val="8"/>
        </w:numPr>
        <w:ind w:left="993" w:hanging="284"/>
        <w:jc w:val="both"/>
      </w:pPr>
      <w:r>
        <w:rPr>
          <w:rFonts w:eastAsia="Batang" w:cs="Arial"/>
          <w:lang w:eastAsia="ko-KR"/>
        </w:rPr>
        <w:t xml:space="preserve">the postponement of the Diplomatic Conference and </w:t>
      </w:r>
      <w:r w:rsidRPr="00EE3A6A">
        <w:rPr>
          <w:rFonts w:eastAsia="Batang" w:cs="Arial"/>
          <w:lang w:eastAsia="ko-KR"/>
        </w:rPr>
        <w:t xml:space="preserve">cost savings due to a reduction </w:t>
      </w:r>
      <w:r>
        <w:rPr>
          <w:rFonts w:eastAsia="Batang" w:cs="Arial"/>
          <w:lang w:eastAsia="ko-KR"/>
        </w:rPr>
        <w:t xml:space="preserve">in travel costs for the ICG sessions </w:t>
      </w:r>
      <w:r w:rsidRPr="00EE3A6A">
        <w:rPr>
          <w:rFonts w:eastAsia="Batang" w:cs="Arial"/>
          <w:lang w:eastAsia="ko-KR"/>
        </w:rPr>
        <w:t xml:space="preserve">under </w:t>
      </w:r>
      <w:r>
        <w:t>Result I.4 (L</w:t>
      </w:r>
      <w:r w:rsidRPr="00E106DA">
        <w:t>egislative</w:t>
      </w:r>
      <w:r>
        <w:t xml:space="preserve"> advice); </w:t>
      </w:r>
    </w:p>
    <w:p w:rsidR="00035B75" w:rsidRDefault="00035B75" w:rsidP="00035B75">
      <w:pPr>
        <w:pStyle w:val="ListParagraph"/>
        <w:ind w:left="993" w:hanging="284"/>
        <w:jc w:val="both"/>
      </w:pPr>
    </w:p>
    <w:p w:rsidR="00035B75" w:rsidRDefault="00035B75" w:rsidP="005703CF">
      <w:pPr>
        <w:pStyle w:val="ListParagraph"/>
        <w:numPr>
          <w:ilvl w:val="0"/>
          <w:numId w:val="8"/>
        </w:numPr>
        <w:ind w:left="993" w:hanging="284"/>
        <w:jc w:val="both"/>
      </w:pPr>
      <w:r>
        <w:rPr>
          <w:rFonts w:eastAsia="Batang" w:cs="Arial"/>
          <w:lang w:eastAsia="ko-KR"/>
        </w:rPr>
        <w:t xml:space="preserve">cost savings due to a reduction in staff missions under </w:t>
      </w:r>
      <w:r>
        <w:t>Result III.2 (Enhanced human resource capacities);  and</w:t>
      </w:r>
    </w:p>
    <w:p w:rsidR="00035B75" w:rsidRDefault="00035B75" w:rsidP="00035B75">
      <w:pPr>
        <w:pStyle w:val="ListParagraph"/>
        <w:ind w:left="993" w:hanging="284"/>
        <w:jc w:val="both"/>
      </w:pPr>
    </w:p>
    <w:p w:rsidR="00035B75" w:rsidRDefault="00035B75" w:rsidP="005703CF">
      <w:pPr>
        <w:pStyle w:val="ListParagraph"/>
        <w:numPr>
          <w:ilvl w:val="0"/>
          <w:numId w:val="8"/>
        </w:numPr>
        <w:ind w:left="993" w:hanging="284"/>
        <w:jc w:val="both"/>
      </w:pPr>
      <w:proofErr w:type="gramStart"/>
      <w:r>
        <w:t>the</w:t>
      </w:r>
      <w:proofErr w:type="gramEnd"/>
      <w:r>
        <w:t xml:space="preserve"> postponement of several activities during the biennium under Result III.2 (Enhanced human resource capacities) and Result III.9 (Recognition by Member States).</w:t>
      </w:r>
    </w:p>
    <w:p w:rsidR="00035B75" w:rsidRDefault="00035B75" w:rsidP="00035B75"/>
    <w:p w:rsidR="00121D79" w:rsidRPr="00A522FE" w:rsidRDefault="00035B75" w:rsidP="00121D79">
      <w:pPr>
        <w:pStyle w:val="Heading2"/>
      </w:pPr>
      <w:r>
        <w:br w:type="page"/>
      </w:r>
      <w:bookmarkStart w:id="22" w:name="_Toc301357245"/>
      <w:bookmarkStart w:id="23" w:name="_Toc393956046"/>
      <w:r w:rsidR="001B0411">
        <w:lastRenderedPageBreak/>
        <w:t>STRATEGIC GOAL II</w:t>
      </w:r>
      <w:r w:rsidR="00121D79" w:rsidRPr="00A522FE">
        <w:t xml:space="preserve"> </w:t>
      </w:r>
      <w:r w:rsidR="00121D79" w:rsidRPr="00A522FE">
        <w:br/>
      </w:r>
      <w:r w:rsidR="00121D79" w:rsidRPr="00A522FE">
        <w:br/>
        <w:t>Provision of Premier Global IP Services</w:t>
      </w:r>
      <w:bookmarkEnd w:id="22"/>
      <w:bookmarkEnd w:id="23"/>
    </w:p>
    <w:p w:rsidR="00121D79" w:rsidRDefault="00121D79" w:rsidP="001525FC">
      <w:pPr>
        <w:jc w:val="center"/>
      </w:pPr>
    </w:p>
    <w:p w:rsidR="00C525AB" w:rsidRDefault="00C525AB" w:rsidP="001525FC">
      <w:pPr>
        <w:jc w:val="center"/>
      </w:pPr>
    </w:p>
    <w:p w:rsidR="00121D79" w:rsidRPr="00121D79" w:rsidRDefault="00121D79" w:rsidP="001525FC">
      <w:pPr>
        <w:jc w:val="center"/>
      </w:pPr>
      <w:r w:rsidRPr="00121D79">
        <w:t>BIENNIAL PERFORMANCE DASHBOARD</w:t>
      </w:r>
    </w:p>
    <w:p w:rsidR="00121D79" w:rsidRPr="00A522FE" w:rsidRDefault="00121D79" w:rsidP="001525FC">
      <w:pPr>
        <w:jc w:val="center"/>
      </w:pPr>
    </w:p>
    <w:p w:rsidR="00121D79" w:rsidRDefault="00121D79" w:rsidP="00121D79">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C525AB" w:rsidRDefault="00C525AB" w:rsidP="00121D79">
      <w:pPr>
        <w:autoSpaceDE w:val="0"/>
        <w:autoSpaceDN w:val="0"/>
        <w:adjustRightInd w:val="0"/>
        <w:jc w:val="both"/>
        <w:rPr>
          <w:rFonts w:cs="Arial"/>
        </w:rPr>
      </w:pPr>
    </w:p>
    <w:p w:rsidR="00C525AB" w:rsidRPr="00FA331B" w:rsidRDefault="00C525AB" w:rsidP="00C525AB">
      <w:pPr>
        <w:autoSpaceDE w:val="0"/>
        <w:autoSpaceDN w:val="0"/>
        <w:adjustRightInd w:val="0"/>
        <w:jc w:val="center"/>
        <w:rPr>
          <w:rFonts w:cs="Arial"/>
        </w:rPr>
      </w:pPr>
      <w:r>
        <w:rPr>
          <w:noProof/>
        </w:rPr>
        <w:drawing>
          <wp:inline distT="0" distB="0" distL="0" distR="0" wp14:anchorId="12DE493E" wp14:editId="74AC8B8A">
            <wp:extent cx="3694176" cy="2033770"/>
            <wp:effectExtent l="0" t="0" r="1905" b="5080"/>
            <wp:docPr id="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stretch>
                      <a:fillRect/>
                    </a:stretch>
                  </pic:blipFill>
                  <pic:spPr>
                    <a:xfrm>
                      <a:off x="0" y="0"/>
                      <a:ext cx="3694176" cy="2033770"/>
                    </a:xfrm>
                    <a:prstGeom prst="rect">
                      <a:avLst/>
                    </a:prstGeom>
                  </pic:spPr>
                </pic:pic>
              </a:graphicData>
            </a:graphic>
          </wp:inline>
        </w:drawing>
      </w:r>
      <w:r>
        <w:rPr>
          <w:rFonts w:cs="Arial"/>
        </w:rPr>
        <w:br w:type="textWrapping" w:clear="all"/>
      </w:r>
    </w:p>
    <w:p w:rsidR="00121D79" w:rsidRPr="00A522FE" w:rsidRDefault="00121D79" w:rsidP="00121D79">
      <w:pPr>
        <w:tabs>
          <w:tab w:val="left" w:pos="1701"/>
        </w:tabs>
        <w:ind w:left="1701" w:hanging="1701"/>
        <w:jc w:val="center"/>
        <w:rPr>
          <w:rFonts w:cs="Arial"/>
          <w:b/>
          <w:bCs/>
          <w:caps/>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24"/>
        <w:gridCol w:w="3435"/>
        <w:gridCol w:w="1365"/>
        <w:gridCol w:w="1342"/>
      </w:tblGrid>
      <w:tr w:rsidR="00121D79" w:rsidRPr="004B5B87" w:rsidTr="00EA1C12">
        <w:trPr>
          <w:tblHeader/>
        </w:trPr>
        <w:tc>
          <w:tcPr>
            <w:tcW w:w="3224" w:type="dxa"/>
            <w:tcBorders>
              <w:top w:val="single" w:sz="4" w:space="0" w:color="auto"/>
              <w:bottom w:val="single" w:sz="4" w:space="0" w:color="auto"/>
            </w:tcBorders>
            <w:shd w:val="clear" w:color="auto" w:fill="CCFFFF"/>
            <w:vAlign w:val="center"/>
          </w:tcPr>
          <w:p w:rsidR="00121D79" w:rsidRPr="00F50BD3" w:rsidRDefault="00121D79" w:rsidP="000B3053">
            <w:pPr>
              <w:spacing w:before="120" w:after="120"/>
              <w:jc w:val="center"/>
              <w:rPr>
                <w:rFonts w:cs="Arial"/>
                <w:b/>
                <w:bCs/>
                <w:sz w:val="14"/>
                <w:szCs w:val="14"/>
              </w:rPr>
            </w:pPr>
            <w:bookmarkStart w:id="24" w:name="RANGE!A1:C50"/>
            <w:r w:rsidRPr="00F50BD3">
              <w:rPr>
                <w:rFonts w:cs="Arial"/>
                <w:b/>
                <w:bCs/>
                <w:sz w:val="14"/>
                <w:szCs w:val="14"/>
              </w:rPr>
              <w:t>Expected Results</w:t>
            </w:r>
            <w:bookmarkEnd w:id="24"/>
          </w:p>
        </w:tc>
        <w:tc>
          <w:tcPr>
            <w:tcW w:w="3435" w:type="dxa"/>
            <w:tcBorders>
              <w:top w:val="single" w:sz="4" w:space="0" w:color="auto"/>
              <w:bottom w:val="single" w:sz="4" w:space="0" w:color="auto"/>
            </w:tcBorders>
            <w:shd w:val="clear" w:color="auto" w:fill="CCFFFF"/>
            <w:vAlign w:val="center"/>
          </w:tcPr>
          <w:p w:rsidR="00121D79" w:rsidRPr="00F50BD3" w:rsidRDefault="00121D79" w:rsidP="000B3053">
            <w:pPr>
              <w:spacing w:before="120" w:after="120"/>
              <w:jc w:val="center"/>
              <w:rPr>
                <w:rFonts w:cs="Arial"/>
                <w:b/>
                <w:bCs/>
                <w:sz w:val="14"/>
                <w:szCs w:val="14"/>
              </w:rPr>
            </w:pPr>
            <w:r w:rsidRPr="00F50BD3">
              <w:rPr>
                <w:rFonts w:cs="Arial"/>
                <w:b/>
                <w:bCs/>
                <w:sz w:val="14"/>
                <w:szCs w:val="14"/>
              </w:rPr>
              <w:t>Performance Indicators</w:t>
            </w:r>
          </w:p>
        </w:tc>
        <w:tc>
          <w:tcPr>
            <w:tcW w:w="1365" w:type="dxa"/>
            <w:tcBorders>
              <w:top w:val="single" w:sz="4" w:space="0" w:color="auto"/>
              <w:bottom w:val="single" w:sz="4" w:space="0" w:color="auto"/>
            </w:tcBorders>
            <w:shd w:val="clear" w:color="auto" w:fill="CCFFFF"/>
            <w:vAlign w:val="center"/>
          </w:tcPr>
          <w:p w:rsidR="00121D79" w:rsidRPr="00F50BD3" w:rsidRDefault="00121D79" w:rsidP="000B3053">
            <w:pPr>
              <w:spacing w:before="120" w:after="120"/>
              <w:jc w:val="center"/>
              <w:rPr>
                <w:rFonts w:cs="Arial"/>
                <w:b/>
                <w:bCs/>
                <w:sz w:val="14"/>
                <w:szCs w:val="14"/>
              </w:rPr>
            </w:pPr>
            <w:r w:rsidRPr="00F50BD3">
              <w:rPr>
                <w:rFonts w:cs="Arial"/>
                <w:b/>
                <w:bCs/>
                <w:sz w:val="14"/>
                <w:szCs w:val="14"/>
              </w:rPr>
              <w:t>Responsible Program(s)</w:t>
            </w:r>
          </w:p>
        </w:tc>
        <w:tc>
          <w:tcPr>
            <w:tcW w:w="1342" w:type="dxa"/>
            <w:tcBorders>
              <w:top w:val="single" w:sz="4" w:space="0" w:color="auto"/>
              <w:bottom w:val="single" w:sz="4" w:space="0" w:color="auto"/>
            </w:tcBorders>
            <w:shd w:val="clear" w:color="auto" w:fill="CCFFFF"/>
            <w:vAlign w:val="center"/>
          </w:tcPr>
          <w:p w:rsidR="00121D79" w:rsidRPr="00F50BD3" w:rsidRDefault="00121D79" w:rsidP="000B3053">
            <w:pPr>
              <w:spacing w:before="120" w:after="120"/>
              <w:jc w:val="center"/>
              <w:rPr>
                <w:rFonts w:cs="Arial"/>
                <w:b/>
                <w:bCs/>
                <w:sz w:val="14"/>
                <w:szCs w:val="14"/>
              </w:rPr>
            </w:pPr>
            <w:r w:rsidRPr="00F50BD3">
              <w:rPr>
                <w:rFonts w:cs="Arial"/>
                <w:b/>
                <w:bCs/>
                <w:sz w:val="14"/>
                <w:szCs w:val="14"/>
              </w:rPr>
              <w:t>TLS</w:t>
            </w:r>
          </w:p>
        </w:tc>
      </w:tr>
      <w:tr w:rsidR="00121D79" w:rsidRPr="004B5B87" w:rsidTr="00EA1C12">
        <w:tc>
          <w:tcPr>
            <w:tcW w:w="3224" w:type="dxa"/>
            <w:tcBorders>
              <w:top w:val="single" w:sz="4" w:space="0" w:color="auto"/>
            </w:tcBorders>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Informed strategic use of the PCT by all innovators who could benefit from it</w:t>
            </w:r>
          </w:p>
        </w:tc>
        <w:tc>
          <w:tcPr>
            <w:tcW w:w="3435" w:type="dxa"/>
            <w:tcBorders>
              <w:top w:val="single" w:sz="4" w:space="0" w:color="auto"/>
            </w:tcBorders>
            <w:shd w:val="clear" w:color="auto" w:fill="auto"/>
            <w:tcMar>
              <w:top w:w="113" w:type="dxa"/>
            </w:tcMar>
          </w:tcPr>
          <w:p w:rsidR="00FA7D7C" w:rsidRPr="00F50BD3" w:rsidRDefault="00121D79" w:rsidP="000B3053">
            <w:pPr>
              <w:spacing w:before="80"/>
              <w:rPr>
                <w:rFonts w:cs="Arial"/>
                <w:sz w:val="14"/>
                <w:szCs w:val="14"/>
              </w:rPr>
            </w:pPr>
            <w:r w:rsidRPr="00F50BD3">
              <w:rPr>
                <w:rFonts w:cs="Arial"/>
                <w:sz w:val="14"/>
                <w:szCs w:val="14"/>
              </w:rPr>
              <w:t>PCT filings</w:t>
            </w:r>
            <w:r w:rsidR="00FA7D7C" w:rsidRPr="00F50BD3">
              <w:rPr>
                <w:rFonts w:cs="Arial"/>
                <w:sz w:val="14"/>
                <w:szCs w:val="14"/>
              </w:rPr>
              <w:br/>
            </w:r>
          </w:p>
          <w:p w:rsidR="00121D79" w:rsidRPr="00F50BD3" w:rsidRDefault="00121D79" w:rsidP="000B3053">
            <w:pPr>
              <w:spacing w:before="80"/>
              <w:rPr>
                <w:rFonts w:cs="Arial"/>
                <w:sz w:val="14"/>
                <w:szCs w:val="14"/>
              </w:rPr>
            </w:pPr>
            <w:r w:rsidRPr="00F50BD3">
              <w:rPr>
                <w:rFonts w:cs="Arial"/>
                <w:sz w:val="14"/>
                <w:szCs w:val="14"/>
              </w:rPr>
              <w:t>Share of PCT national phase entries in total international patent filings</w:t>
            </w:r>
          </w:p>
        </w:tc>
        <w:tc>
          <w:tcPr>
            <w:tcW w:w="1365" w:type="dxa"/>
            <w:tcBorders>
              <w:top w:val="single" w:sz="4" w:space="0" w:color="auto"/>
            </w:tcBorders>
            <w:shd w:val="clear" w:color="auto" w:fill="auto"/>
            <w:tcMar>
              <w:top w:w="113" w:type="dxa"/>
            </w:tcMar>
          </w:tcPr>
          <w:p w:rsidR="000B3053" w:rsidRPr="00F50BD3" w:rsidRDefault="00121D79" w:rsidP="000B3053">
            <w:pPr>
              <w:spacing w:before="80"/>
              <w:jc w:val="center"/>
              <w:rPr>
                <w:rFonts w:cs="Arial"/>
                <w:sz w:val="14"/>
                <w:szCs w:val="14"/>
              </w:rPr>
            </w:pPr>
            <w:r w:rsidRPr="00F50BD3">
              <w:rPr>
                <w:rFonts w:cs="Arial"/>
                <w:sz w:val="14"/>
                <w:szCs w:val="14"/>
              </w:rPr>
              <w:t>Program 5</w:t>
            </w:r>
            <w:r w:rsidR="00FA7D7C" w:rsidRPr="00F50BD3">
              <w:rPr>
                <w:rFonts w:cs="Arial"/>
                <w:sz w:val="14"/>
                <w:szCs w:val="14"/>
              </w:rPr>
              <w:br/>
            </w:r>
          </w:p>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Borders>
              <w:top w:val="single" w:sz="4" w:space="0" w:color="auto"/>
            </w:tcBorders>
          </w:tcPr>
          <w:p w:rsidR="000B3053" w:rsidRPr="00F50BD3" w:rsidRDefault="000B3053" w:rsidP="000B3053">
            <w:pPr>
              <w:jc w:val="center"/>
              <w:rPr>
                <w:rFonts w:cs="Arial"/>
                <w:color w:val="10862C"/>
                <w:sz w:val="22"/>
                <w:szCs w:val="22"/>
              </w:rPr>
            </w:pPr>
            <w:r w:rsidRPr="00F50BD3">
              <w:rPr>
                <w:rFonts w:cs="Arial"/>
                <w:color w:val="10862C"/>
                <w:sz w:val="22"/>
                <w:szCs w:val="22"/>
              </w:rPr>
              <w:sym w:font="Wingdings" w:char="F06C"/>
            </w:r>
            <w:r w:rsidR="00FA7D7C" w:rsidRPr="00F50BD3">
              <w:rPr>
                <w:rFonts w:cs="Arial"/>
                <w:color w:val="10862C"/>
                <w:sz w:val="22"/>
                <w:szCs w:val="22"/>
              </w:rPr>
              <w:br/>
            </w:r>
          </w:p>
          <w:p w:rsidR="00121D79" w:rsidRPr="00F50BD3" w:rsidRDefault="000B3053" w:rsidP="000B3053">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Stronger relationships with PCT users and Offices</w:t>
            </w: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Satisfaction of Offices and International Authorities with PCT cooperative activities</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5</w:t>
            </w:r>
          </w:p>
        </w:tc>
        <w:tc>
          <w:tcPr>
            <w:tcW w:w="1342" w:type="dxa"/>
          </w:tcPr>
          <w:p w:rsidR="00BC0A79" w:rsidRPr="00F50BD3" w:rsidRDefault="00BC0A79" w:rsidP="000B3053">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shd w:val="clear" w:color="auto" w:fill="auto"/>
            <w:tcMar>
              <w:top w:w="113" w:type="dxa"/>
            </w:tcMar>
            <w:vAlign w:val="center"/>
          </w:tcPr>
          <w:p w:rsidR="00BC0A79" w:rsidRPr="00F50BD3" w:rsidRDefault="00BC0A79" w:rsidP="000B3053">
            <w:pPr>
              <w:spacing w:before="8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Meaningful contact with PCT users</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5</w:t>
            </w:r>
          </w:p>
        </w:tc>
        <w:tc>
          <w:tcPr>
            <w:tcW w:w="1342" w:type="dxa"/>
          </w:tcPr>
          <w:p w:rsidR="00BC0A79" w:rsidRPr="00F50BD3" w:rsidRDefault="00BC0A79" w:rsidP="000B3053">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vAlign w:val="center"/>
          </w:tcPr>
          <w:p w:rsidR="00121D79" w:rsidRPr="00F50BD3" w:rsidRDefault="00121D79" w:rsidP="000B3053">
            <w:pPr>
              <w:spacing w:before="80"/>
              <w:rPr>
                <w:rFonts w:cs="Arial"/>
                <w:sz w:val="14"/>
                <w:szCs w:val="14"/>
              </w:rPr>
            </w:pP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Increased feedback from PCT users on overall system performance</w:t>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0B3053">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 xml:space="preserve">Enhancement of overall </w:t>
            </w:r>
            <w:r w:rsidR="009E5B4C" w:rsidRPr="00F50BD3">
              <w:rPr>
                <w:rFonts w:cs="Arial"/>
                <w:sz w:val="14"/>
                <w:szCs w:val="14"/>
              </w:rPr>
              <w:t>PCT System</w:t>
            </w: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Further progress towards implementation of the recommendations endorsed by the PCT Working Group in 2010 on how to improve the functioning of the PCT, relating  to the following six groups of issues: (i) backlogs;  improving quality of granted patents;  (ii) timeliness in the international phase;  (iii) quality of international search and preliminary examination;  (iv) incentives for applicants to use the system efficiently;  skills and manpower shortages;  (v) cost and other accessibility issues;  consistency and availability of safeguards;  (vi) technical assistance;  PCT information and technology transfer.</w:t>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0B3053">
            <w:pPr>
              <w:jc w:val="center"/>
              <w:rPr>
                <w:rFonts w:cs="Arial"/>
                <w:color w:val="10862C"/>
                <w:sz w:val="22"/>
                <w:szCs w:val="22"/>
              </w:rPr>
            </w:pPr>
            <w:r w:rsidRPr="00F50BD3">
              <w:rPr>
                <w:rFonts w:cs="Arial"/>
                <w:color w:val="10862C"/>
                <w:sz w:val="22"/>
                <w:szCs w:val="22"/>
              </w:rPr>
              <w:sym w:font="Wingdings" w:char="F06C"/>
            </w:r>
          </w:p>
        </w:tc>
      </w:tr>
      <w:tr w:rsidR="00582300" w:rsidRPr="004B5B87" w:rsidTr="00EA1C12">
        <w:tc>
          <w:tcPr>
            <w:tcW w:w="3224" w:type="dxa"/>
            <w:vMerge w:val="restart"/>
            <w:shd w:val="clear" w:color="auto" w:fill="auto"/>
            <w:tcMar>
              <w:top w:w="113" w:type="dxa"/>
            </w:tcMar>
          </w:tcPr>
          <w:p w:rsidR="00582300" w:rsidRPr="00F50BD3" w:rsidRDefault="00582300">
            <w:pPr>
              <w:spacing w:before="80"/>
              <w:rPr>
                <w:rFonts w:cs="Arial"/>
                <w:sz w:val="14"/>
                <w:szCs w:val="14"/>
              </w:rPr>
            </w:pPr>
            <w:r w:rsidRPr="00F50BD3">
              <w:rPr>
                <w:rFonts w:cs="Arial"/>
                <w:sz w:val="14"/>
                <w:szCs w:val="14"/>
              </w:rPr>
              <w:t xml:space="preserve">Enhanced IB operations </w:t>
            </w:r>
          </w:p>
        </w:tc>
        <w:tc>
          <w:tcPr>
            <w:tcW w:w="3435" w:type="dxa"/>
            <w:shd w:val="clear" w:color="auto" w:fill="auto"/>
            <w:tcMar>
              <w:top w:w="113" w:type="dxa"/>
            </w:tcMar>
          </w:tcPr>
          <w:p w:rsidR="00582300" w:rsidRPr="00F50BD3" w:rsidRDefault="00582300" w:rsidP="000B3053">
            <w:pPr>
              <w:spacing w:before="80"/>
              <w:rPr>
                <w:rFonts w:cs="Arial"/>
                <w:sz w:val="14"/>
                <w:szCs w:val="14"/>
              </w:rPr>
            </w:pPr>
            <w:r w:rsidRPr="00F50BD3">
              <w:rPr>
                <w:rFonts w:cs="Arial"/>
                <w:sz w:val="14"/>
                <w:szCs w:val="14"/>
              </w:rPr>
              <w:t>Unit cost of processing an application</w:t>
            </w:r>
          </w:p>
        </w:tc>
        <w:tc>
          <w:tcPr>
            <w:tcW w:w="1365" w:type="dxa"/>
            <w:shd w:val="clear" w:color="auto" w:fill="auto"/>
            <w:tcMar>
              <w:top w:w="113" w:type="dxa"/>
            </w:tcMar>
          </w:tcPr>
          <w:p w:rsidR="00582300" w:rsidRPr="00F50BD3" w:rsidRDefault="00582300" w:rsidP="000B3053">
            <w:pPr>
              <w:spacing w:before="80"/>
              <w:jc w:val="center"/>
              <w:rPr>
                <w:rFonts w:cs="Arial"/>
                <w:sz w:val="14"/>
                <w:szCs w:val="14"/>
              </w:rPr>
            </w:pPr>
            <w:r w:rsidRPr="00F50BD3">
              <w:rPr>
                <w:rFonts w:cs="Arial"/>
                <w:sz w:val="14"/>
                <w:szCs w:val="14"/>
              </w:rPr>
              <w:t>Program 5</w:t>
            </w:r>
          </w:p>
        </w:tc>
        <w:tc>
          <w:tcPr>
            <w:tcW w:w="1342" w:type="dxa"/>
          </w:tcPr>
          <w:p w:rsidR="00582300" w:rsidRPr="00F50BD3" w:rsidRDefault="00582300" w:rsidP="00305272">
            <w:pPr>
              <w:jc w:val="center"/>
              <w:rPr>
                <w:rFonts w:cs="Arial"/>
                <w:color w:val="10862C"/>
                <w:sz w:val="22"/>
                <w:szCs w:val="22"/>
              </w:rPr>
            </w:pPr>
            <w:r w:rsidRPr="00F50BD3">
              <w:rPr>
                <w:rFonts w:cs="Arial"/>
                <w:color w:val="10862C"/>
                <w:sz w:val="22"/>
                <w:szCs w:val="22"/>
              </w:rPr>
              <w:sym w:font="Wingdings" w:char="F06C"/>
            </w:r>
          </w:p>
        </w:tc>
      </w:tr>
      <w:tr w:rsidR="00582300" w:rsidRPr="004B5B87" w:rsidTr="00EA1C12">
        <w:tc>
          <w:tcPr>
            <w:tcW w:w="3224" w:type="dxa"/>
            <w:vMerge/>
            <w:shd w:val="clear" w:color="auto" w:fill="auto"/>
            <w:tcMar>
              <w:top w:w="113" w:type="dxa"/>
            </w:tcMar>
          </w:tcPr>
          <w:p w:rsidR="00582300" w:rsidRPr="00F50BD3" w:rsidRDefault="00582300" w:rsidP="00F50BD3">
            <w:pPr>
              <w:spacing w:before="80"/>
              <w:ind w:firstLineChars="100" w:firstLine="140"/>
              <w:rPr>
                <w:rFonts w:cs="Arial"/>
                <w:sz w:val="14"/>
                <w:szCs w:val="14"/>
              </w:rPr>
            </w:pPr>
          </w:p>
        </w:tc>
        <w:tc>
          <w:tcPr>
            <w:tcW w:w="3435" w:type="dxa"/>
            <w:shd w:val="clear" w:color="auto" w:fill="auto"/>
            <w:tcMar>
              <w:top w:w="113" w:type="dxa"/>
            </w:tcMar>
          </w:tcPr>
          <w:p w:rsidR="00582300" w:rsidRPr="00F50BD3" w:rsidRDefault="00582300" w:rsidP="000B3053">
            <w:pPr>
              <w:spacing w:before="80"/>
              <w:rPr>
                <w:rFonts w:cs="Arial"/>
                <w:sz w:val="14"/>
                <w:szCs w:val="14"/>
              </w:rPr>
            </w:pPr>
            <w:r w:rsidRPr="00F50BD3">
              <w:rPr>
                <w:rFonts w:cs="Arial"/>
                <w:sz w:val="14"/>
                <w:szCs w:val="14"/>
              </w:rPr>
              <w:t>Productivity of formality examination</w:t>
            </w:r>
          </w:p>
        </w:tc>
        <w:tc>
          <w:tcPr>
            <w:tcW w:w="1365" w:type="dxa"/>
            <w:shd w:val="clear" w:color="auto" w:fill="auto"/>
            <w:tcMar>
              <w:top w:w="113" w:type="dxa"/>
            </w:tcMar>
          </w:tcPr>
          <w:p w:rsidR="00582300" w:rsidRPr="00F50BD3" w:rsidRDefault="00582300" w:rsidP="000B3053">
            <w:pPr>
              <w:spacing w:before="80"/>
              <w:jc w:val="center"/>
              <w:rPr>
                <w:rFonts w:cs="Arial"/>
                <w:sz w:val="14"/>
                <w:szCs w:val="14"/>
              </w:rPr>
            </w:pPr>
            <w:r w:rsidRPr="00F50BD3">
              <w:rPr>
                <w:rFonts w:cs="Arial"/>
                <w:sz w:val="14"/>
                <w:szCs w:val="14"/>
              </w:rPr>
              <w:t>Program 5</w:t>
            </w:r>
          </w:p>
        </w:tc>
        <w:tc>
          <w:tcPr>
            <w:tcW w:w="1342" w:type="dxa"/>
          </w:tcPr>
          <w:p w:rsidR="00582300" w:rsidRPr="00F50BD3" w:rsidRDefault="00582300" w:rsidP="00305272">
            <w:pPr>
              <w:jc w:val="center"/>
              <w:rPr>
                <w:rFonts w:cs="Arial"/>
                <w:color w:val="10862C"/>
                <w:sz w:val="22"/>
                <w:szCs w:val="22"/>
              </w:rPr>
            </w:pPr>
            <w:r w:rsidRPr="00F50BD3">
              <w:rPr>
                <w:rFonts w:cs="Arial"/>
                <w:color w:val="10862C"/>
                <w:sz w:val="22"/>
                <w:szCs w:val="22"/>
              </w:rPr>
              <w:sym w:font="Wingdings" w:char="F06C"/>
            </w:r>
          </w:p>
        </w:tc>
      </w:tr>
      <w:tr w:rsidR="00582300" w:rsidRPr="004B5B87" w:rsidTr="00EA1C12">
        <w:tc>
          <w:tcPr>
            <w:tcW w:w="3224" w:type="dxa"/>
            <w:vMerge/>
            <w:shd w:val="clear" w:color="auto" w:fill="auto"/>
            <w:tcMar>
              <w:top w:w="113" w:type="dxa"/>
            </w:tcMar>
          </w:tcPr>
          <w:p w:rsidR="00582300" w:rsidRPr="00F50BD3" w:rsidRDefault="00582300" w:rsidP="00F50BD3">
            <w:pPr>
              <w:spacing w:before="80"/>
              <w:ind w:firstLineChars="100" w:firstLine="140"/>
              <w:rPr>
                <w:rFonts w:cs="Arial"/>
                <w:sz w:val="14"/>
                <w:szCs w:val="14"/>
              </w:rPr>
            </w:pPr>
          </w:p>
        </w:tc>
        <w:tc>
          <w:tcPr>
            <w:tcW w:w="3435" w:type="dxa"/>
            <w:shd w:val="clear" w:color="auto" w:fill="auto"/>
            <w:tcMar>
              <w:top w:w="113" w:type="dxa"/>
            </w:tcMar>
          </w:tcPr>
          <w:p w:rsidR="00582300" w:rsidRPr="00F50BD3" w:rsidRDefault="00582300" w:rsidP="000B3053">
            <w:pPr>
              <w:spacing w:before="80"/>
              <w:rPr>
                <w:rFonts w:cs="Arial"/>
                <w:sz w:val="14"/>
                <w:szCs w:val="14"/>
              </w:rPr>
            </w:pPr>
            <w:r w:rsidRPr="00F50BD3">
              <w:rPr>
                <w:rFonts w:cs="Arial"/>
                <w:sz w:val="14"/>
                <w:szCs w:val="14"/>
              </w:rPr>
              <w:t>Quality of formality examination</w:t>
            </w:r>
          </w:p>
        </w:tc>
        <w:tc>
          <w:tcPr>
            <w:tcW w:w="1365" w:type="dxa"/>
            <w:shd w:val="clear" w:color="auto" w:fill="auto"/>
            <w:tcMar>
              <w:top w:w="113" w:type="dxa"/>
            </w:tcMar>
          </w:tcPr>
          <w:p w:rsidR="00582300" w:rsidRPr="00F50BD3" w:rsidRDefault="00582300" w:rsidP="000B3053">
            <w:pPr>
              <w:spacing w:before="80"/>
              <w:jc w:val="center"/>
              <w:rPr>
                <w:rFonts w:cs="Arial"/>
                <w:sz w:val="14"/>
                <w:szCs w:val="14"/>
              </w:rPr>
            </w:pPr>
            <w:r w:rsidRPr="00F50BD3">
              <w:rPr>
                <w:rFonts w:cs="Arial"/>
                <w:sz w:val="14"/>
                <w:szCs w:val="14"/>
              </w:rPr>
              <w:t>Program 5</w:t>
            </w:r>
          </w:p>
        </w:tc>
        <w:tc>
          <w:tcPr>
            <w:tcW w:w="1342" w:type="dxa"/>
          </w:tcPr>
          <w:p w:rsidR="00582300" w:rsidRPr="00F50BD3" w:rsidRDefault="00582300" w:rsidP="00305272">
            <w:pPr>
              <w:jc w:val="center"/>
              <w:rPr>
                <w:rFonts w:cs="Arial"/>
                <w:color w:val="10862C"/>
                <w:sz w:val="22"/>
                <w:szCs w:val="22"/>
              </w:rPr>
            </w:pPr>
            <w:r w:rsidRPr="00F50BD3">
              <w:rPr>
                <w:rFonts w:cs="Arial"/>
                <w:color w:val="10862C"/>
                <w:sz w:val="22"/>
                <w:szCs w:val="22"/>
              </w:rPr>
              <w:sym w:font="Wingdings" w:char="F06C"/>
            </w:r>
          </w:p>
        </w:tc>
      </w:tr>
      <w:tr w:rsidR="00582300" w:rsidRPr="004B5B87" w:rsidTr="00EA1C12">
        <w:tc>
          <w:tcPr>
            <w:tcW w:w="3224" w:type="dxa"/>
            <w:vMerge/>
            <w:shd w:val="clear" w:color="auto" w:fill="auto"/>
            <w:tcMar>
              <w:top w:w="113" w:type="dxa"/>
            </w:tcMar>
          </w:tcPr>
          <w:p w:rsidR="00582300" w:rsidRPr="00F50BD3" w:rsidRDefault="00582300" w:rsidP="00F50BD3">
            <w:pPr>
              <w:spacing w:before="80"/>
              <w:ind w:firstLineChars="100" w:firstLine="140"/>
              <w:rPr>
                <w:rFonts w:cs="Arial"/>
                <w:sz w:val="14"/>
                <w:szCs w:val="14"/>
              </w:rPr>
            </w:pPr>
          </w:p>
        </w:tc>
        <w:tc>
          <w:tcPr>
            <w:tcW w:w="3435" w:type="dxa"/>
            <w:shd w:val="clear" w:color="auto" w:fill="auto"/>
            <w:tcMar>
              <w:top w:w="113" w:type="dxa"/>
            </w:tcMar>
          </w:tcPr>
          <w:p w:rsidR="00582300" w:rsidRPr="00F50BD3" w:rsidRDefault="00582300" w:rsidP="000B3053">
            <w:pPr>
              <w:spacing w:before="80"/>
              <w:rPr>
                <w:rFonts w:cs="Arial"/>
                <w:sz w:val="14"/>
                <w:szCs w:val="14"/>
              </w:rPr>
            </w:pPr>
            <w:r w:rsidRPr="00F50BD3">
              <w:rPr>
                <w:rFonts w:cs="Arial"/>
                <w:sz w:val="14"/>
                <w:szCs w:val="14"/>
              </w:rPr>
              <w:t>Timeliness of formality examination (% accomplished within 3 weeks from receipt)</w:t>
            </w:r>
          </w:p>
        </w:tc>
        <w:tc>
          <w:tcPr>
            <w:tcW w:w="1365" w:type="dxa"/>
            <w:shd w:val="clear" w:color="auto" w:fill="auto"/>
            <w:tcMar>
              <w:top w:w="113" w:type="dxa"/>
            </w:tcMar>
          </w:tcPr>
          <w:p w:rsidR="00582300" w:rsidRPr="00F50BD3" w:rsidRDefault="00582300" w:rsidP="000B3053">
            <w:pPr>
              <w:spacing w:before="80"/>
              <w:jc w:val="center"/>
              <w:rPr>
                <w:rFonts w:cs="Arial"/>
                <w:sz w:val="14"/>
                <w:szCs w:val="14"/>
              </w:rPr>
            </w:pPr>
            <w:r w:rsidRPr="00F50BD3">
              <w:rPr>
                <w:rFonts w:cs="Arial"/>
                <w:sz w:val="14"/>
                <w:szCs w:val="14"/>
              </w:rPr>
              <w:t>Program 5</w:t>
            </w:r>
          </w:p>
        </w:tc>
        <w:tc>
          <w:tcPr>
            <w:tcW w:w="1342" w:type="dxa"/>
          </w:tcPr>
          <w:p w:rsidR="00582300" w:rsidRPr="00F50BD3" w:rsidRDefault="00582300" w:rsidP="00305272">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spacing w:before="80"/>
              <w:ind w:firstLineChars="100" w:firstLine="140"/>
              <w:rPr>
                <w:rFonts w:cs="Arial"/>
                <w:sz w:val="14"/>
                <w:szCs w:val="14"/>
              </w:rPr>
            </w:pP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Timeliness of publication (% published within 18 months + three weeks from priority date)</w:t>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305272">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spacing w:before="80"/>
              <w:ind w:firstLineChars="100" w:firstLine="140"/>
              <w:rPr>
                <w:rFonts w:cs="Arial"/>
                <w:sz w:val="14"/>
                <w:szCs w:val="14"/>
              </w:rPr>
            </w:pP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Quality of translation (% that pass quality check)</w:t>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305272">
            <w:pPr>
              <w:jc w:val="center"/>
              <w:rPr>
                <w:rFonts w:cs="Arial"/>
                <w:color w:val="10862C"/>
                <w:sz w:val="22"/>
                <w:szCs w:val="22"/>
              </w:rPr>
            </w:pPr>
            <w:r w:rsidRPr="00F50BD3">
              <w:rPr>
                <w:rFonts w:cs="Arial"/>
                <w:color w:val="10862C"/>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spacing w:before="80"/>
              <w:ind w:firstLineChars="100" w:firstLine="140"/>
              <w:rPr>
                <w:rFonts w:cs="Arial"/>
                <w:sz w:val="14"/>
                <w:szCs w:val="14"/>
              </w:rPr>
            </w:pPr>
          </w:p>
        </w:tc>
        <w:tc>
          <w:tcPr>
            <w:tcW w:w="3435" w:type="dxa"/>
            <w:shd w:val="clear" w:color="auto" w:fill="auto"/>
            <w:tcMar>
              <w:top w:w="113" w:type="dxa"/>
            </w:tcMar>
          </w:tcPr>
          <w:p w:rsidR="00121D79" w:rsidRPr="00F50BD3" w:rsidRDefault="00121D79" w:rsidP="000B3053">
            <w:pPr>
              <w:spacing w:before="80"/>
              <w:rPr>
                <w:rFonts w:cs="Arial"/>
                <w:sz w:val="14"/>
                <w:szCs w:val="14"/>
              </w:rPr>
            </w:pPr>
            <w:r w:rsidRPr="00F50BD3">
              <w:rPr>
                <w:rFonts w:cs="Arial"/>
                <w:sz w:val="14"/>
                <w:szCs w:val="14"/>
              </w:rPr>
              <w:t>Filings at the IB as Receiving Office</w:t>
            </w:r>
            <w:r w:rsidR="00DE1CE8">
              <w:rPr>
                <w:rFonts w:cs="Arial"/>
                <w:sz w:val="14"/>
                <w:szCs w:val="14"/>
              </w:rPr>
              <w:br/>
            </w:r>
          </w:p>
        </w:tc>
        <w:tc>
          <w:tcPr>
            <w:tcW w:w="1365" w:type="dxa"/>
            <w:shd w:val="clear" w:color="auto" w:fill="auto"/>
            <w:tcMar>
              <w:top w:w="113" w:type="dxa"/>
            </w:tcMar>
          </w:tcPr>
          <w:p w:rsidR="00121D79" w:rsidRPr="00F50BD3" w:rsidRDefault="00121D79" w:rsidP="000B3053">
            <w:pPr>
              <w:spacing w:before="80"/>
              <w:jc w:val="center"/>
              <w:rPr>
                <w:rFonts w:cs="Arial"/>
                <w:sz w:val="14"/>
                <w:szCs w:val="14"/>
              </w:rPr>
            </w:pPr>
            <w:r w:rsidRPr="00F50BD3">
              <w:rPr>
                <w:rFonts w:cs="Arial"/>
                <w:sz w:val="14"/>
                <w:szCs w:val="14"/>
              </w:rPr>
              <w:t>Program 5</w:t>
            </w:r>
          </w:p>
        </w:tc>
        <w:tc>
          <w:tcPr>
            <w:tcW w:w="1342" w:type="dxa"/>
          </w:tcPr>
          <w:p w:rsidR="00121D79" w:rsidRPr="00F50BD3" w:rsidRDefault="000B3053" w:rsidP="00305272">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lastRenderedPageBreak/>
              <w:t>Better use of the Madrid and Lisbon</w:t>
            </w:r>
            <w:r w:rsidR="00601859" w:rsidRPr="00F50BD3">
              <w:rPr>
                <w:rFonts w:cs="Arial"/>
                <w:sz w:val="14"/>
                <w:szCs w:val="14"/>
              </w:rPr>
              <w:t xml:space="preserve"> S</w:t>
            </w:r>
            <w:r w:rsidRPr="00F50BD3">
              <w:rPr>
                <w:rFonts w:cs="Arial"/>
                <w:sz w:val="14"/>
                <w:szCs w:val="14"/>
              </w:rPr>
              <w:t>ystems, including by developing countries and LDCs</w:t>
            </w: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No of new registrations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305272">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0B3053">
            <w:pPr>
              <w:spacing w:before="8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No of renewals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305272">
            <w:pPr>
              <w:jc w:val="center"/>
              <w:rPr>
                <w:rFonts w:cs="Arial"/>
                <w:color w:val="10862C"/>
                <w:sz w:val="22"/>
                <w:szCs w:val="22"/>
              </w:rPr>
            </w:pPr>
            <w:r w:rsidRPr="00F50BD3">
              <w:rPr>
                <w:rFonts w:cs="Arial"/>
                <w:color w:val="10862C"/>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 of irregularity letters compared to total number of applications received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305272">
            <w:pPr>
              <w:jc w:val="center"/>
              <w:rPr>
                <w:rFonts w:cs="Arial"/>
                <w:sz w:val="22"/>
                <w:szCs w:val="22"/>
              </w:rPr>
            </w:pPr>
            <w:r w:rsidRPr="00F50BD3">
              <w:rPr>
                <w:rFonts w:cs="Arial"/>
                <w:color w:val="FF0000"/>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ind w:firstLineChars="100" w:firstLine="140"/>
              <w:rPr>
                <w:rFonts w:cs="Arial"/>
                <w:sz w:val="14"/>
                <w:szCs w:val="14"/>
              </w:rPr>
            </w:pPr>
          </w:p>
        </w:tc>
        <w:tc>
          <w:tcPr>
            <w:tcW w:w="3435" w:type="dxa"/>
            <w:shd w:val="clear" w:color="auto" w:fill="auto"/>
            <w:tcMar>
              <w:top w:w="113" w:type="dxa"/>
            </w:tcMar>
          </w:tcPr>
          <w:p w:rsidR="00121D79" w:rsidRPr="00F50BD3" w:rsidRDefault="00121D79" w:rsidP="00BC0A79">
            <w:pPr>
              <w:keepNext/>
              <w:keepLines/>
              <w:spacing w:before="80"/>
              <w:rPr>
                <w:rFonts w:cs="Arial"/>
                <w:sz w:val="14"/>
                <w:szCs w:val="14"/>
              </w:rPr>
            </w:pPr>
            <w:r w:rsidRPr="00F50BD3">
              <w:rPr>
                <w:rFonts w:cs="Arial"/>
                <w:sz w:val="14"/>
                <w:szCs w:val="14"/>
              </w:rPr>
              <w:t>% of international applications from developing countries and LDCs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121D79" w:rsidRPr="00F50BD3" w:rsidRDefault="00121D79" w:rsidP="00BC0A79">
            <w:pPr>
              <w:keepNext/>
              <w:keepLines/>
              <w:spacing w:before="80"/>
              <w:jc w:val="center"/>
              <w:rPr>
                <w:rFonts w:cs="Arial"/>
                <w:sz w:val="14"/>
                <w:szCs w:val="14"/>
              </w:rPr>
            </w:pPr>
            <w:r w:rsidRPr="00F50BD3">
              <w:rPr>
                <w:rFonts w:cs="Arial"/>
                <w:sz w:val="14"/>
                <w:szCs w:val="14"/>
              </w:rPr>
              <w:t>Program 6</w:t>
            </w:r>
          </w:p>
        </w:tc>
        <w:tc>
          <w:tcPr>
            <w:tcW w:w="1342" w:type="dxa"/>
          </w:tcPr>
          <w:p w:rsidR="00121D79" w:rsidRPr="00F50BD3" w:rsidRDefault="000B3053" w:rsidP="00BC0A79">
            <w:pPr>
              <w:keepNext/>
              <w:keepLines/>
              <w:jc w:val="center"/>
              <w:rPr>
                <w:rFonts w:cs="Arial"/>
                <w:sz w:val="22"/>
                <w:szCs w:val="22"/>
              </w:rPr>
            </w:pPr>
            <w:r w:rsidRPr="00F50BD3">
              <w:rPr>
                <w:rFonts w:cs="Arial"/>
                <w:color w:val="FF0000"/>
                <w:sz w:val="22"/>
                <w:szCs w:val="22"/>
              </w:rPr>
              <w:sym w:font="Wingdings" w:char="F06C"/>
            </w:r>
          </w:p>
        </w:tc>
      </w:tr>
      <w:tr w:rsidR="00121D79" w:rsidRPr="004B5B87" w:rsidTr="00EA1C12">
        <w:tc>
          <w:tcPr>
            <w:tcW w:w="3224" w:type="dxa"/>
            <w:shd w:val="clear" w:color="auto" w:fill="auto"/>
            <w:tcMar>
              <w:top w:w="113" w:type="dxa"/>
            </w:tcMar>
          </w:tcPr>
          <w:p w:rsidR="00121D79" w:rsidRPr="00F50BD3" w:rsidRDefault="00121D79" w:rsidP="00F50BD3">
            <w:pPr>
              <w:ind w:firstLineChars="100" w:firstLine="140"/>
              <w:rPr>
                <w:rFonts w:cs="Arial"/>
                <w:sz w:val="14"/>
                <w:szCs w:val="14"/>
              </w:rPr>
            </w:pPr>
          </w:p>
        </w:tc>
        <w:tc>
          <w:tcPr>
            <w:tcW w:w="3435" w:type="dxa"/>
            <w:shd w:val="clear" w:color="auto" w:fill="auto"/>
            <w:tcMar>
              <w:top w:w="113" w:type="dxa"/>
            </w:tcMar>
          </w:tcPr>
          <w:p w:rsidR="00121D79" w:rsidRPr="00F50BD3" w:rsidRDefault="00121D79" w:rsidP="00BC0A79">
            <w:pPr>
              <w:keepNext/>
              <w:keepLines/>
              <w:spacing w:before="80"/>
              <w:rPr>
                <w:rFonts w:cs="Arial"/>
                <w:sz w:val="14"/>
                <w:szCs w:val="14"/>
              </w:rPr>
            </w:pPr>
            <w:r w:rsidRPr="00F50BD3">
              <w:rPr>
                <w:rFonts w:cs="Arial"/>
                <w:sz w:val="14"/>
                <w:szCs w:val="14"/>
              </w:rPr>
              <w:t>No. of Contracting Parties to the Madrid Protocol</w:t>
            </w:r>
          </w:p>
        </w:tc>
        <w:tc>
          <w:tcPr>
            <w:tcW w:w="1365" w:type="dxa"/>
            <w:shd w:val="clear" w:color="auto" w:fill="auto"/>
            <w:tcMar>
              <w:top w:w="113" w:type="dxa"/>
            </w:tcMar>
          </w:tcPr>
          <w:p w:rsidR="00121D79" w:rsidRPr="00F50BD3" w:rsidRDefault="00121D79" w:rsidP="00BC0A79">
            <w:pPr>
              <w:keepNext/>
              <w:keepLines/>
              <w:spacing w:before="80"/>
              <w:jc w:val="center"/>
              <w:rPr>
                <w:rFonts w:cs="Arial"/>
                <w:sz w:val="14"/>
                <w:szCs w:val="14"/>
              </w:rPr>
            </w:pPr>
            <w:r w:rsidRPr="00F50BD3">
              <w:rPr>
                <w:rFonts w:cs="Arial"/>
                <w:sz w:val="14"/>
                <w:szCs w:val="14"/>
              </w:rPr>
              <w:t>Program 6</w:t>
            </w:r>
          </w:p>
        </w:tc>
        <w:tc>
          <w:tcPr>
            <w:tcW w:w="1342" w:type="dxa"/>
          </w:tcPr>
          <w:p w:rsidR="00121D79" w:rsidRPr="00F50BD3" w:rsidRDefault="000B3053" w:rsidP="00BC0A79">
            <w:pPr>
              <w:keepNext/>
              <w:keepLines/>
              <w:jc w:val="center"/>
              <w:rPr>
                <w:rFonts w:cs="Arial"/>
                <w:sz w:val="22"/>
                <w:szCs w:val="22"/>
              </w:rPr>
            </w:pPr>
            <w:r w:rsidRPr="00F50BD3">
              <w:rPr>
                <w:rFonts w:cs="Arial"/>
                <w:color w:val="10862C"/>
                <w:sz w:val="22"/>
                <w:szCs w:val="22"/>
              </w:rPr>
              <w:sym w:font="Wingdings" w:char="F06C"/>
            </w:r>
          </w:p>
        </w:tc>
      </w:tr>
      <w:tr w:rsidR="00EA1C12" w:rsidRPr="004B5B87" w:rsidTr="00EA1C12">
        <w:trPr>
          <w:trHeight w:val="414"/>
        </w:trPr>
        <w:tc>
          <w:tcPr>
            <w:tcW w:w="3224" w:type="dxa"/>
            <w:vMerge w:val="restart"/>
            <w:shd w:val="clear" w:color="auto" w:fill="auto"/>
          </w:tcPr>
          <w:p w:rsidR="00EA1C12" w:rsidRPr="00F50BD3" w:rsidRDefault="00EA1C12" w:rsidP="00F50BD3">
            <w:pPr>
              <w:ind w:firstLineChars="100" w:firstLine="140"/>
              <w:rPr>
                <w:rFonts w:cs="Arial"/>
                <w:sz w:val="14"/>
                <w:szCs w:val="14"/>
              </w:rPr>
            </w:pPr>
          </w:p>
        </w:tc>
        <w:tc>
          <w:tcPr>
            <w:tcW w:w="3435" w:type="dxa"/>
            <w:shd w:val="clear" w:color="auto" w:fill="auto"/>
            <w:tcMar>
              <w:top w:w="113" w:type="dxa"/>
              <w:bottom w:w="113" w:type="dxa"/>
            </w:tcMar>
          </w:tcPr>
          <w:p w:rsidR="00EA1C12" w:rsidRPr="00F50BD3" w:rsidRDefault="00EA1C12" w:rsidP="000B3053">
            <w:pPr>
              <w:spacing w:before="80"/>
              <w:rPr>
                <w:rFonts w:cs="Arial"/>
                <w:sz w:val="14"/>
                <w:szCs w:val="14"/>
              </w:rPr>
            </w:pPr>
            <w:r w:rsidRPr="00F50BD3">
              <w:rPr>
                <w:rFonts w:cs="Arial"/>
                <w:sz w:val="14"/>
                <w:szCs w:val="14"/>
              </w:rPr>
              <w:t>No. of Contracting Parties to the Lisbon Agreement</w:t>
            </w:r>
          </w:p>
        </w:tc>
        <w:tc>
          <w:tcPr>
            <w:tcW w:w="1365" w:type="dxa"/>
            <w:shd w:val="clear" w:color="auto" w:fill="auto"/>
            <w:tcMar>
              <w:top w:w="113" w:type="dxa"/>
            </w:tcMar>
          </w:tcPr>
          <w:p w:rsidR="00EA1C12" w:rsidRPr="00F50BD3" w:rsidRDefault="00EA1C12" w:rsidP="000B3053">
            <w:pPr>
              <w:spacing w:before="80"/>
              <w:jc w:val="center"/>
              <w:rPr>
                <w:rFonts w:cs="Arial"/>
                <w:sz w:val="14"/>
                <w:szCs w:val="14"/>
              </w:rPr>
            </w:pPr>
            <w:r w:rsidRPr="00F50BD3">
              <w:rPr>
                <w:rFonts w:cs="Arial"/>
                <w:sz w:val="14"/>
                <w:szCs w:val="14"/>
              </w:rPr>
              <w:t>Program 6</w:t>
            </w:r>
          </w:p>
        </w:tc>
        <w:tc>
          <w:tcPr>
            <w:tcW w:w="1342" w:type="dxa"/>
          </w:tcPr>
          <w:p w:rsidR="00EA1C12" w:rsidRPr="00F50BD3" w:rsidRDefault="00EA1C12" w:rsidP="000B3053">
            <w:pPr>
              <w:jc w:val="center"/>
              <w:rPr>
                <w:rFonts w:cs="Arial"/>
                <w:sz w:val="22"/>
                <w:szCs w:val="22"/>
              </w:rPr>
            </w:pPr>
            <w:r w:rsidRPr="00F50BD3">
              <w:rPr>
                <w:rFonts w:cs="Arial"/>
                <w:color w:val="E36C0A" w:themeColor="accent6" w:themeShade="BF"/>
                <w:sz w:val="22"/>
                <w:szCs w:val="22"/>
              </w:rPr>
              <w:sym w:font="Wingdings" w:char="F06C"/>
            </w:r>
          </w:p>
        </w:tc>
      </w:tr>
      <w:tr w:rsidR="00EA1C12" w:rsidRPr="004B5B87" w:rsidTr="00EA1C12">
        <w:tc>
          <w:tcPr>
            <w:tcW w:w="3224" w:type="dxa"/>
            <w:vMerge/>
            <w:shd w:val="clear" w:color="auto" w:fill="auto"/>
            <w:tcMar>
              <w:top w:w="113" w:type="dxa"/>
            </w:tcMar>
          </w:tcPr>
          <w:p w:rsidR="00EA1C12" w:rsidRPr="00F50BD3" w:rsidRDefault="00EA1C12" w:rsidP="00F50BD3">
            <w:pPr>
              <w:ind w:firstLineChars="100" w:firstLine="140"/>
              <w:rPr>
                <w:rFonts w:cs="Arial"/>
                <w:sz w:val="14"/>
                <w:szCs w:val="14"/>
              </w:rPr>
            </w:pPr>
          </w:p>
        </w:tc>
        <w:tc>
          <w:tcPr>
            <w:tcW w:w="3435" w:type="dxa"/>
            <w:shd w:val="clear" w:color="auto" w:fill="auto"/>
            <w:tcMar>
              <w:top w:w="113" w:type="dxa"/>
            </w:tcMar>
          </w:tcPr>
          <w:p w:rsidR="00EA1C12" w:rsidRPr="00F50BD3" w:rsidRDefault="00EA1C12" w:rsidP="000B3053">
            <w:pPr>
              <w:spacing w:before="80"/>
              <w:rPr>
                <w:rFonts w:cs="Arial"/>
                <w:sz w:val="14"/>
                <w:szCs w:val="14"/>
              </w:rPr>
            </w:pPr>
            <w:r w:rsidRPr="00F50BD3">
              <w:rPr>
                <w:rFonts w:cs="Arial"/>
                <w:sz w:val="14"/>
                <w:szCs w:val="14"/>
              </w:rPr>
              <w:t xml:space="preserve">No. of international registrations in force under the </w:t>
            </w:r>
            <w:r w:rsidR="00601859" w:rsidRPr="00F50BD3">
              <w:rPr>
                <w:rFonts w:cs="Arial"/>
                <w:sz w:val="14"/>
                <w:szCs w:val="14"/>
              </w:rPr>
              <w:t>Lisbon System</w:t>
            </w:r>
            <w:r w:rsidRPr="00F50BD3">
              <w:rPr>
                <w:rFonts w:cs="Arial"/>
                <w:sz w:val="14"/>
                <w:szCs w:val="14"/>
              </w:rPr>
              <w:t xml:space="preserve"> concerning appellations of origin from developing countries and LDCs</w:t>
            </w:r>
          </w:p>
        </w:tc>
        <w:tc>
          <w:tcPr>
            <w:tcW w:w="1365" w:type="dxa"/>
            <w:shd w:val="clear" w:color="auto" w:fill="auto"/>
            <w:tcMar>
              <w:top w:w="113" w:type="dxa"/>
            </w:tcMar>
          </w:tcPr>
          <w:p w:rsidR="00EA1C12" w:rsidRPr="00F50BD3" w:rsidRDefault="00EA1C12" w:rsidP="000B3053">
            <w:pPr>
              <w:spacing w:before="80"/>
              <w:jc w:val="center"/>
              <w:rPr>
                <w:rFonts w:cs="Arial"/>
                <w:sz w:val="14"/>
                <w:szCs w:val="14"/>
              </w:rPr>
            </w:pPr>
            <w:r w:rsidRPr="00F50BD3">
              <w:rPr>
                <w:rFonts w:cs="Arial"/>
                <w:sz w:val="14"/>
                <w:szCs w:val="14"/>
              </w:rPr>
              <w:t>Program 6</w:t>
            </w:r>
          </w:p>
        </w:tc>
        <w:tc>
          <w:tcPr>
            <w:tcW w:w="1342" w:type="dxa"/>
          </w:tcPr>
          <w:p w:rsidR="00EA1C12" w:rsidRPr="00F50BD3" w:rsidRDefault="00EA1C12" w:rsidP="000B3053">
            <w:pPr>
              <w:jc w:val="center"/>
              <w:rPr>
                <w:rFonts w:cs="Arial"/>
                <w:sz w:val="22"/>
                <w:szCs w:val="22"/>
              </w:rPr>
            </w:pPr>
            <w:r w:rsidRPr="00F50BD3">
              <w:rPr>
                <w:rFonts w:cs="Arial"/>
                <w:color w:val="10862C"/>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Better operations of the Madrid and Lisbon</w:t>
            </w:r>
            <w:r w:rsidR="00601859" w:rsidRPr="00F50BD3">
              <w:rPr>
                <w:rFonts w:cs="Arial"/>
                <w:sz w:val="14"/>
                <w:szCs w:val="14"/>
              </w:rPr>
              <w:t xml:space="preserve"> S</w:t>
            </w:r>
            <w:r w:rsidRPr="00F50BD3">
              <w:rPr>
                <w:rFonts w:cs="Arial"/>
                <w:sz w:val="14"/>
                <w:szCs w:val="14"/>
              </w:rPr>
              <w:t xml:space="preserve">ystems </w:t>
            </w: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Average processing time of new applications without irregularities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0B3053">
            <w:pPr>
              <w:jc w:val="center"/>
              <w:rPr>
                <w:sz w:val="22"/>
                <w:szCs w:val="22"/>
              </w:rPr>
            </w:pPr>
            <w:r w:rsidRPr="00F50BD3">
              <w:rPr>
                <w:rFonts w:cs="Arial"/>
                <w:color w:val="E36C0A" w:themeColor="accent6" w:themeShade="BF"/>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No. of Offices sending applications in XLM format and receiving designations in XLM format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0B3053">
            <w:pPr>
              <w:jc w:val="center"/>
              <w:rPr>
                <w:color w:val="10862C"/>
                <w:sz w:val="22"/>
                <w:szCs w:val="22"/>
              </w:rPr>
            </w:pPr>
            <w:r w:rsidRPr="00F50BD3">
              <w:rPr>
                <w:rFonts w:cs="Arial"/>
                <w:color w:val="10862C"/>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0B3053">
            <w:pPr>
              <w:spacing w:before="80"/>
              <w:rPr>
                <w:rFonts w:cs="Arial"/>
                <w:sz w:val="14"/>
                <w:szCs w:val="14"/>
              </w:rPr>
            </w:pPr>
            <w:r w:rsidRPr="00F50BD3">
              <w:rPr>
                <w:rFonts w:cs="Arial"/>
                <w:sz w:val="14"/>
                <w:szCs w:val="14"/>
              </w:rPr>
              <w:t>% of documents received electronically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BC0A79" w:rsidRPr="00F50BD3" w:rsidRDefault="00BC0A79" w:rsidP="000B3053">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0B3053">
            <w:pPr>
              <w:jc w:val="center"/>
              <w:rPr>
                <w:color w:val="10862C"/>
                <w:sz w:val="22"/>
                <w:szCs w:val="22"/>
              </w:rPr>
            </w:pPr>
            <w:r w:rsidRPr="00F50BD3">
              <w:rPr>
                <w:rFonts w:cs="Arial"/>
                <w:color w:val="10862C"/>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No. of clients receiving email notifications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10862C"/>
                <w:sz w:val="22"/>
                <w:szCs w:val="22"/>
              </w:rPr>
            </w:pPr>
            <w:r w:rsidRPr="00F50BD3">
              <w:rPr>
                <w:rFonts w:cs="Arial"/>
                <w:color w:val="10862C"/>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No. of clients using Portfolio manager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10862C"/>
                <w:sz w:val="22"/>
                <w:szCs w:val="22"/>
              </w:rPr>
            </w:pPr>
            <w:r w:rsidRPr="00F50BD3">
              <w:rPr>
                <w:rFonts w:cs="Arial"/>
                <w:color w:val="10862C"/>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EA1C12">
            <w:pPr>
              <w:spacing w:before="80"/>
              <w:rPr>
                <w:rFonts w:cs="Arial"/>
                <w:sz w:val="14"/>
                <w:szCs w:val="14"/>
              </w:rPr>
            </w:pPr>
            <w:r w:rsidRPr="00F50BD3">
              <w:rPr>
                <w:rFonts w:cs="Arial"/>
                <w:sz w:val="14"/>
                <w:szCs w:val="14"/>
              </w:rPr>
              <w:t>No. of fully automated processes (</w:t>
            </w:r>
            <w:r w:rsidR="00601859" w:rsidRPr="00F50BD3">
              <w:rPr>
                <w:rFonts w:cs="Arial"/>
                <w:sz w:val="14"/>
                <w:szCs w:val="14"/>
              </w:rPr>
              <w:t>Madrid System</w:t>
            </w:r>
            <w:r w:rsidRPr="00F50BD3">
              <w:rPr>
                <w:rFonts w:cs="Arial"/>
                <w:sz w:val="14"/>
                <w:szCs w:val="14"/>
              </w:rPr>
              <w:t xml:space="preserve">) </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10862C"/>
                <w:sz w:val="22"/>
                <w:szCs w:val="22"/>
              </w:rPr>
            </w:pPr>
            <w:r w:rsidRPr="00F50BD3">
              <w:rPr>
                <w:rFonts w:cs="Arial"/>
                <w:color w:val="10862C"/>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 of corrections inscribed compared to the total of operations inscribed (with the exception of refusals and final decisions) (</w:t>
            </w:r>
            <w:r w:rsidR="00601859" w:rsidRPr="00F50BD3">
              <w:rPr>
                <w:rFonts w:cs="Arial"/>
                <w:sz w:val="14"/>
                <w:szCs w:val="14"/>
              </w:rPr>
              <w:t>Madrid System</w:t>
            </w:r>
            <w:r w:rsidRPr="00F50BD3">
              <w:rPr>
                <w:rFonts w:cs="Arial"/>
                <w:sz w:val="14"/>
                <w:szCs w:val="14"/>
              </w:rPr>
              <w:t>)</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sz w:val="22"/>
                <w:szCs w:val="22"/>
              </w:rPr>
            </w:pPr>
            <w:r w:rsidRPr="00F50BD3">
              <w:rPr>
                <w:rFonts w:cs="Arial"/>
                <w:color w:val="E36C0A" w:themeColor="accent6" w:themeShade="BF"/>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Establishment of an automated International Register (</w:t>
            </w:r>
            <w:r w:rsidR="00601859" w:rsidRPr="00F50BD3">
              <w:rPr>
                <w:rFonts w:cs="Arial"/>
                <w:sz w:val="14"/>
                <w:szCs w:val="14"/>
              </w:rPr>
              <w:t>Lisbon System</w:t>
            </w:r>
            <w:r w:rsidRPr="00F50BD3">
              <w:rPr>
                <w:rFonts w:cs="Arial"/>
                <w:sz w:val="14"/>
                <w:szCs w:val="14"/>
              </w:rPr>
              <w:t>)</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008000"/>
                <w:sz w:val="22"/>
                <w:szCs w:val="22"/>
              </w:rPr>
            </w:pPr>
            <w:r w:rsidRPr="00F50BD3">
              <w:rPr>
                <w:rFonts w:cs="Arial"/>
                <w:color w:val="008000"/>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F50BD3">
            <w:pPr>
              <w:spacing w:before="80"/>
              <w:ind w:firstLineChars="100" w:firstLine="140"/>
              <w:rPr>
                <w:rFonts w:cs="Arial"/>
                <w:sz w:val="14"/>
                <w:szCs w:val="14"/>
              </w:rPr>
            </w:pPr>
          </w:p>
        </w:tc>
        <w:tc>
          <w:tcPr>
            <w:tcW w:w="3435" w:type="dxa"/>
            <w:shd w:val="clear" w:color="auto" w:fill="auto"/>
            <w:tcMar>
              <w:top w:w="113" w:type="dxa"/>
            </w:tcMar>
          </w:tcPr>
          <w:p w:rsidR="000B3053" w:rsidRPr="00F50BD3" w:rsidRDefault="000B3053" w:rsidP="000B3053">
            <w:pPr>
              <w:spacing w:before="80"/>
              <w:rPr>
                <w:rFonts w:cs="Arial"/>
                <w:sz w:val="14"/>
                <w:szCs w:val="14"/>
              </w:rPr>
            </w:pPr>
            <w:r w:rsidRPr="00F50BD3">
              <w:rPr>
                <w:rFonts w:cs="Arial"/>
                <w:sz w:val="14"/>
                <w:szCs w:val="14"/>
              </w:rPr>
              <w:t>Increased number of competent authorities using electronic means of communication under Lisbon procedures</w:t>
            </w:r>
          </w:p>
        </w:tc>
        <w:tc>
          <w:tcPr>
            <w:tcW w:w="1365" w:type="dxa"/>
            <w:shd w:val="clear" w:color="auto" w:fill="auto"/>
            <w:tcMar>
              <w:top w:w="113" w:type="dxa"/>
            </w:tcMar>
          </w:tcPr>
          <w:p w:rsidR="000B3053" w:rsidRPr="00F50BD3" w:rsidRDefault="000B3053" w:rsidP="000B3053">
            <w:pPr>
              <w:spacing w:before="8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color w:val="008000"/>
                <w:sz w:val="22"/>
                <w:szCs w:val="22"/>
              </w:rPr>
            </w:pPr>
            <w:r w:rsidRPr="00F50BD3">
              <w:rPr>
                <w:rFonts w:cs="Arial"/>
                <w:color w:val="008000"/>
                <w:sz w:val="22"/>
                <w:szCs w:val="22"/>
              </w:rPr>
              <w:sym w:font="Wingdings" w:char="F06C"/>
            </w:r>
          </w:p>
        </w:tc>
      </w:tr>
      <w:tr w:rsidR="000B3053" w:rsidRPr="004B5B87" w:rsidTr="00EA1C12">
        <w:tc>
          <w:tcPr>
            <w:tcW w:w="3224" w:type="dxa"/>
            <w:shd w:val="clear" w:color="auto" w:fill="auto"/>
            <w:tcMar>
              <w:top w:w="113" w:type="dxa"/>
            </w:tcMar>
          </w:tcPr>
          <w:p w:rsidR="000B3053" w:rsidRPr="00F50BD3" w:rsidRDefault="000B3053" w:rsidP="008F1D18">
            <w:pPr>
              <w:spacing w:before="60"/>
              <w:ind w:firstLineChars="100" w:firstLine="140"/>
              <w:rPr>
                <w:rFonts w:cs="Arial"/>
                <w:sz w:val="14"/>
                <w:szCs w:val="14"/>
              </w:rPr>
            </w:pPr>
          </w:p>
        </w:tc>
        <w:tc>
          <w:tcPr>
            <w:tcW w:w="3435" w:type="dxa"/>
            <w:shd w:val="clear" w:color="auto" w:fill="auto"/>
            <w:tcMar>
              <w:top w:w="113" w:type="dxa"/>
            </w:tcMar>
          </w:tcPr>
          <w:p w:rsidR="000B3053" w:rsidRPr="00F50BD3" w:rsidRDefault="000B3053" w:rsidP="008F1D18">
            <w:pPr>
              <w:spacing w:before="60"/>
              <w:rPr>
                <w:rFonts w:cs="Arial"/>
                <w:sz w:val="14"/>
                <w:szCs w:val="14"/>
              </w:rPr>
            </w:pPr>
            <w:r w:rsidRPr="00F50BD3">
              <w:rPr>
                <w:rFonts w:cs="Arial"/>
                <w:sz w:val="14"/>
                <w:szCs w:val="14"/>
              </w:rPr>
              <w:t xml:space="preserve">Adoption of provisions streamlining or modernizing the </w:t>
            </w:r>
            <w:r w:rsidR="00601859" w:rsidRPr="00F50BD3">
              <w:rPr>
                <w:rFonts w:cs="Arial"/>
                <w:sz w:val="14"/>
                <w:szCs w:val="14"/>
              </w:rPr>
              <w:t>Lisbon System</w:t>
            </w:r>
            <w:r w:rsidRPr="00F50BD3">
              <w:rPr>
                <w:rFonts w:cs="Arial"/>
                <w:sz w:val="14"/>
                <w:szCs w:val="14"/>
              </w:rPr>
              <w:t xml:space="preserve"> legal framework</w:t>
            </w:r>
          </w:p>
        </w:tc>
        <w:tc>
          <w:tcPr>
            <w:tcW w:w="1365" w:type="dxa"/>
            <w:shd w:val="clear" w:color="auto" w:fill="auto"/>
            <w:tcMar>
              <w:top w:w="113" w:type="dxa"/>
            </w:tcMar>
          </w:tcPr>
          <w:p w:rsidR="000B3053" w:rsidRPr="00F50BD3" w:rsidRDefault="000B3053" w:rsidP="008F1D18">
            <w:pPr>
              <w:spacing w:before="60"/>
              <w:jc w:val="center"/>
              <w:rPr>
                <w:rFonts w:cs="Arial"/>
                <w:sz w:val="14"/>
                <w:szCs w:val="14"/>
              </w:rPr>
            </w:pPr>
            <w:r w:rsidRPr="00F50BD3">
              <w:rPr>
                <w:rFonts w:cs="Arial"/>
                <w:sz w:val="14"/>
                <w:szCs w:val="14"/>
              </w:rPr>
              <w:t>Program 6</w:t>
            </w:r>
          </w:p>
        </w:tc>
        <w:tc>
          <w:tcPr>
            <w:tcW w:w="1342" w:type="dxa"/>
          </w:tcPr>
          <w:p w:rsidR="000B3053" w:rsidRPr="00F50BD3" w:rsidRDefault="000B3053" w:rsidP="000B3053">
            <w:pPr>
              <w:jc w:val="center"/>
              <w:rPr>
                <w:sz w:val="22"/>
                <w:szCs w:val="22"/>
              </w:rPr>
            </w:pPr>
            <w:r w:rsidRPr="00F50BD3">
              <w:rPr>
                <w:rFonts w:cs="Arial"/>
                <w:color w:val="E36C0A" w:themeColor="accent6" w:themeShade="BF"/>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8F1D18">
            <w:pPr>
              <w:spacing w:before="60"/>
              <w:rPr>
                <w:rFonts w:cs="Arial"/>
                <w:sz w:val="14"/>
                <w:szCs w:val="14"/>
              </w:rPr>
            </w:pPr>
            <w:r w:rsidRPr="00F50BD3">
              <w:rPr>
                <w:rFonts w:cs="Arial"/>
                <w:sz w:val="14"/>
                <w:szCs w:val="14"/>
              </w:rPr>
              <w:t>Increased awareness of the Madrid and Lisbon</w:t>
            </w:r>
            <w:r w:rsidR="00601859" w:rsidRPr="00F50BD3">
              <w:rPr>
                <w:rFonts w:cs="Arial"/>
                <w:sz w:val="14"/>
                <w:szCs w:val="14"/>
              </w:rPr>
              <w:t xml:space="preserve"> S</w:t>
            </w:r>
            <w:r w:rsidRPr="00F50BD3">
              <w:rPr>
                <w:rFonts w:cs="Arial"/>
                <w:sz w:val="14"/>
                <w:szCs w:val="14"/>
              </w:rPr>
              <w:t>ystems</w:t>
            </w:r>
          </w:p>
        </w:tc>
        <w:tc>
          <w:tcPr>
            <w:tcW w:w="3435" w:type="dxa"/>
            <w:shd w:val="clear" w:color="auto" w:fill="auto"/>
            <w:tcMar>
              <w:top w:w="113" w:type="dxa"/>
            </w:tcMar>
          </w:tcPr>
          <w:p w:rsidR="00BC0A79" w:rsidRPr="00F50BD3" w:rsidRDefault="00BC0A79" w:rsidP="008F1D18">
            <w:pPr>
              <w:spacing w:before="60"/>
              <w:rPr>
                <w:rFonts w:cs="Arial"/>
                <w:sz w:val="14"/>
                <w:szCs w:val="14"/>
              </w:rPr>
            </w:pPr>
            <w:r w:rsidRPr="00F50BD3">
              <w:rPr>
                <w:rFonts w:cs="Arial"/>
                <w:sz w:val="14"/>
                <w:szCs w:val="14"/>
              </w:rPr>
              <w:t xml:space="preserve">% of participants in </w:t>
            </w:r>
            <w:r w:rsidR="00601859" w:rsidRPr="00F50BD3">
              <w:rPr>
                <w:rFonts w:cs="Arial"/>
                <w:sz w:val="14"/>
                <w:szCs w:val="14"/>
              </w:rPr>
              <w:t>Madrid System</w:t>
            </w:r>
            <w:r w:rsidRPr="00F50BD3">
              <w:rPr>
                <w:rFonts w:cs="Arial"/>
                <w:sz w:val="14"/>
                <w:szCs w:val="14"/>
              </w:rPr>
              <w:t xml:space="preserve"> related events who are satisfied and report enhanced awareness post training event</w:t>
            </w:r>
          </w:p>
        </w:tc>
        <w:tc>
          <w:tcPr>
            <w:tcW w:w="1365" w:type="dxa"/>
            <w:shd w:val="clear" w:color="auto" w:fill="auto"/>
            <w:tcMar>
              <w:top w:w="113" w:type="dxa"/>
            </w:tcMar>
          </w:tcPr>
          <w:p w:rsidR="00BC0A79" w:rsidRPr="00F50BD3" w:rsidRDefault="00BC0A79" w:rsidP="008F1D18">
            <w:pPr>
              <w:spacing w:before="60"/>
              <w:jc w:val="center"/>
              <w:rPr>
                <w:rFonts w:cs="Arial"/>
                <w:sz w:val="14"/>
                <w:szCs w:val="14"/>
              </w:rPr>
            </w:pPr>
            <w:r w:rsidRPr="00F50BD3">
              <w:rPr>
                <w:rFonts w:cs="Arial"/>
                <w:sz w:val="14"/>
                <w:szCs w:val="14"/>
              </w:rPr>
              <w:t>Program 6</w:t>
            </w:r>
          </w:p>
        </w:tc>
        <w:tc>
          <w:tcPr>
            <w:tcW w:w="1342" w:type="dxa"/>
          </w:tcPr>
          <w:p w:rsidR="00BC0A79" w:rsidRPr="00F50BD3" w:rsidRDefault="00BC0A79" w:rsidP="00807C2D">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807C2D">
            <w:pPr>
              <w:spacing w:before="80"/>
              <w:rPr>
                <w:rFonts w:cs="Arial"/>
                <w:sz w:val="14"/>
                <w:szCs w:val="14"/>
              </w:rPr>
            </w:pPr>
            <w:r w:rsidRPr="00F50BD3">
              <w:rPr>
                <w:rFonts w:cs="Arial"/>
                <w:sz w:val="14"/>
                <w:szCs w:val="14"/>
              </w:rPr>
              <w:t xml:space="preserve">% of participants in </w:t>
            </w:r>
            <w:r w:rsidR="00601859" w:rsidRPr="00F50BD3">
              <w:rPr>
                <w:rFonts w:cs="Arial"/>
                <w:sz w:val="14"/>
                <w:szCs w:val="14"/>
              </w:rPr>
              <w:t>Lisbon System</w:t>
            </w:r>
            <w:r w:rsidRPr="00F50BD3">
              <w:rPr>
                <w:rFonts w:cs="Arial"/>
                <w:sz w:val="14"/>
                <w:szCs w:val="14"/>
              </w:rPr>
              <w:t xml:space="preserve"> related events who are satisfied and report enhanced awareness post seminars/workshops</w:t>
            </w:r>
          </w:p>
        </w:tc>
        <w:tc>
          <w:tcPr>
            <w:tcW w:w="1365" w:type="dxa"/>
            <w:shd w:val="clear" w:color="auto" w:fill="auto"/>
            <w:tcMar>
              <w:top w:w="113" w:type="dxa"/>
            </w:tcMar>
          </w:tcPr>
          <w:p w:rsidR="00BC0A79" w:rsidRPr="00F50BD3" w:rsidRDefault="00BC0A79" w:rsidP="00807C2D">
            <w:pPr>
              <w:spacing w:before="80"/>
              <w:jc w:val="center"/>
              <w:rPr>
                <w:rFonts w:cs="Arial"/>
                <w:sz w:val="14"/>
                <w:szCs w:val="14"/>
              </w:rPr>
            </w:pPr>
            <w:r w:rsidRPr="00F50BD3">
              <w:rPr>
                <w:rFonts w:cs="Arial"/>
                <w:sz w:val="14"/>
                <w:szCs w:val="14"/>
              </w:rPr>
              <w:t>Program 6</w:t>
            </w:r>
          </w:p>
        </w:tc>
        <w:tc>
          <w:tcPr>
            <w:tcW w:w="1342" w:type="dxa"/>
          </w:tcPr>
          <w:p w:rsidR="00BC0A79" w:rsidRPr="00F50BD3" w:rsidRDefault="00BC0A79" w:rsidP="00807C2D">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807C2D">
            <w:pPr>
              <w:spacing w:before="80"/>
              <w:rPr>
                <w:rFonts w:cs="Arial"/>
                <w:color w:val="000000"/>
                <w:sz w:val="14"/>
                <w:szCs w:val="14"/>
              </w:rPr>
            </w:pPr>
            <w:r w:rsidRPr="00F50BD3">
              <w:rPr>
                <w:rFonts w:cs="Arial"/>
                <w:sz w:val="14"/>
                <w:szCs w:val="14"/>
              </w:rPr>
              <w:t>Increased</w:t>
            </w:r>
            <w:r w:rsidRPr="00F50BD3">
              <w:rPr>
                <w:rFonts w:cs="Arial"/>
                <w:color w:val="000000"/>
                <w:sz w:val="14"/>
                <w:szCs w:val="14"/>
              </w:rPr>
              <w:t xml:space="preserve"> awareness of the </w:t>
            </w:r>
            <w:r w:rsidR="00601859" w:rsidRPr="00F50BD3">
              <w:rPr>
                <w:rFonts w:cs="Arial"/>
                <w:color w:val="000000"/>
                <w:sz w:val="14"/>
                <w:szCs w:val="14"/>
              </w:rPr>
              <w:t>Hague System</w:t>
            </w:r>
          </w:p>
        </w:tc>
        <w:tc>
          <w:tcPr>
            <w:tcW w:w="3435" w:type="dxa"/>
            <w:shd w:val="clear" w:color="auto" w:fill="auto"/>
            <w:tcMar>
              <w:top w:w="113" w:type="dxa"/>
            </w:tcMar>
          </w:tcPr>
          <w:p w:rsidR="00BC0A79" w:rsidRPr="00F50BD3" w:rsidRDefault="00BC0A79" w:rsidP="00807C2D">
            <w:pPr>
              <w:spacing w:before="80"/>
              <w:rPr>
                <w:rFonts w:cs="Arial"/>
                <w:color w:val="000000"/>
                <w:sz w:val="14"/>
                <w:szCs w:val="14"/>
              </w:rPr>
            </w:pPr>
            <w:r w:rsidRPr="00F50BD3">
              <w:rPr>
                <w:rFonts w:cs="Arial"/>
                <w:sz w:val="14"/>
                <w:szCs w:val="14"/>
              </w:rPr>
              <w:t>No</w:t>
            </w:r>
            <w:r w:rsidRPr="00F50BD3">
              <w:rPr>
                <w:rFonts w:cs="Arial"/>
                <w:color w:val="000000"/>
                <w:sz w:val="14"/>
                <w:szCs w:val="14"/>
              </w:rPr>
              <w:t>. of first-time applicants</w:t>
            </w:r>
          </w:p>
        </w:tc>
        <w:tc>
          <w:tcPr>
            <w:tcW w:w="1365" w:type="dxa"/>
            <w:shd w:val="clear" w:color="auto" w:fill="auto"/>
            <w:tcMar>
              <w:top w:w="113" w:type="dxa"/>
            </w:tcMar>
          </w:tcPr>
          <w:p w:rsidR="00BC0A79" w:rsidRPr="00F50BD3" w:rsidRDefault="00BC0A79" w:rsidP="00807C2D">
            <w:pPr>
              <w:spacing w:before="80"/>
              <w:jc w:val="center"/>
              <w:rPr>
                <w:rFonts w:cs="Arial"/>
                <w:sz w:val="14"/>
                <w:szCs w:val="14"/>
              </w:rPr>
            </w:pPr>
            <w:r w:rsidRPr="00F50BD3">
              <w:rPr>
                <w:rFonts w:cs="Arial"/>
                <w:sz w:val="14"/>
                <w:szCs w:val="14"/>
              </w:rPr>
              <w:t>Program 31</w:t>
            </w:r>
          </w:p>
        </w:tc>
        <w:tc>
          <w:tcPr>
            <w:tcW w:w="1342" w:type="dxa"/>
          </w:tcPr>
          <w:p w:rsidR="00BC0A79" w:rsidRPr="00F50BD3" w:rsidRDefault="00EA1C12" w:rsidP="00EA1C12">
            <w:pPr>
              <w:spacing w:before="20"/>
              <w:jc w:val="center"/>
              <w:rPr>
                <w:sz w:val="22"/>
                <w:szCs w:val="22"/>
              </w:rPr>
            </w:pPr>
            <w:r w:rsidRPr="00F50BD3">
              <w:rPr>
                <w:rFonts w:cs="Arial"/>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807C2D">
            <w:pPr>
              <w:spacing w:before="80"/>
              <w:rPr>
                <w:rFonts w:cs="Arial"/>
                <w:color w:val="000000"/>
                <w:sz w:val="14"/>
                <w:szCs w:val="14"/>
              </w:rPr>
            </w:pPr>
          </w:p>
        </w:tc>
        <w:tc>
          <w:tcPr>
            <w:tcW w:w="3435" w:type="dxa"/>
            <w:shd w:val="clear" w:color="auto" w:fill="auto"/>
            <w:tcMar>
              <w:top w:w="113" w:type="dxa"/>
            </w:tcMar>
          </w:tcPr>
          <w:p w:rsidR="00BC0A79" w:rsidRPr="00F50BD3" w:rsidRDefault="00BC0A79" w:rsidP="00807C2D">
            <w:pPr>
              <w:spacing w:before="80"/>
              <w:rPr>
                <w:rFonts w:cs="Arial"/>
                <w:sz w:val="14"/>
                <w:szCs w:val="14"/>
              </w:rPr>
            </w:pPr>
            <w:r w:rsidRPr="00F50BD3">
              <w:rPr>
                <w:rFonts w:cs="Arial"/>
                <w:sz w:val="14"/>
                <w:szCs w:val="14"/>
              </w:rPr>
              <w:t>No. of languages in which general information is available</w:t>
            </w:r>
          </w:p>
        </w:tc>
        <w:tc>
          <w:tcPr>
            <w:tcW w:w="1365" w:type="dxa"/>
            <w:shd w:val="clear" w:color="auto" w:fill="auto"/>
            <w:tcMar>
              <w:top w:w="113" w:type="dxa"/>
            </w:tcMar>
          </w:tcPr>
          <w:p w:rsidR="00BC0A79" w:rsidRPr="00F50BD3" w:rsidRDefault="00BC0A79" w:rsidP="00807C2D">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807C2D">
            <w:pPr>
              <w:jc w:val="center"/>
              <w:rPr>
                <w:sz w:val="22"/>
                <w:szCs w:val="22"/>
              </w:rPr>
            </w:pPr>
            <w:r w:rsidRPr="00F50BD3">
              <w:rPr>
                <w:rFonts w:cs="Arial"/>
                <w:color w:val="008000"/>
                <w:sz w:val="22"/>
                <w:szCs w:val="22"/>
              </w:rPr>
              <w:sym w:font="Wingdings" w:char="F06C"/>
            </w:r>
          </w:p>
        </w:tc>
      </w:tr>
      <w:tr w:rsidR="00807C2D" w:rsidRPr="004B5B87" w:rsidTr="00EA1C12">
        <w:tc>
          <w:tcPr>
            <w:tcW w:w="3224" w:type="dxa"/>
            <w:shd w:val="clear" w:color="auto" w:fill="auto"/>
            <w:tcMar>
              <w:top w:w="113" w:type="dxa"/>
            </w:tcMar>
          </w:tcPr>
          <w:p w:rsidR="00807C2D" w:rsidRPr="00F50BD3" w:rsidRDefault="00807C2D" w:rsidP="00F50BD3">
            <w:pPr>
              <w:spacing w:before="80"/>
              <w:ind w:firstLineChars="100" w:firstLine="140"/>
              <w:rPr>
                <w:rFonts w:cs="Arial"/>
                <w:color w:val="000000"/>
                <w:sz w:val="14"/>
                <w:szCs w:val="14"/>
              </w:rPr>
            </w:pPr>
          </w:p>
        </w:tc>
        <w:tc>
          <w:tcPr>
            <w:tcW w:w="3435" w:type="dxa"/>
            <w:shd w:val="clear" w:color="auto" w:fill="auto"/>
            <w:tcMar>
              <w:top w:w="113" w:type="dxa"/>
            </w:tcMar>
          </w:tcPr>
          <w:p w:rsidR="00806461" w:rsidRPr="00F50BD3" w:rsidRDefault="00807C2D" w:rsidP="00807C2D">
            <w:pPr>
              <w:spacing w:before="80"/>
              <w:rPr>
                <w:rFonts w:cs="Arial"/>
                <w:sz w:val="14"/>
                <w:szCs w:val="14"/>
              </w:rPr>
            </w:pPr>
            <w:r w:rsidRPr="00F50BD3">
              <w:rPr>
                <w:rFonts w:cs="Arial"/>
                <w:sz w:val="14"/>
                <w:szCs w:val="14"/>
              </w:rPr>
              <w:t xml:space="preserve">No. of national or regional offices providing  adequate information on the </w:t>
            </w:r>
            <w:r w:rsidR="00601859" w:rsidRPr="00F50BD3">
              <w:rPr>
                <w:rFonts w:cs="Arial"/>
                <w:sz w:val="14"/>
                <w:szCs w:val="14"/>
              </w:rPr>
              <w:t>Hague System</w:t>
            </w:r>
          </w:p>
        </w:tc>
        <w:tc>
          <w:tcPr>
            <w:tcW w:w="1365" w:type="dxa"/>
            <w:shd w:val="clear" w:color="auto" w:fill="auto"/>
            <w:tcMar>
              <w:top w:w="113" w:type="dxa"/>
            </w:tcMar>
          </w:tcPr>
          <w:p w:rsidR="00807C2D" w:rsidRPr="00F50BD3" w:rsidRDefault="00807C2D" w:rsidP="00807C2D">
            <w:pPr>
              <w:spacing w:before="80"/>
              <w:jc w:val="center"/>
              <w:rPr>
                <w:rFonts w:cs="Arial"/>
                <w:sz w:val="14"/>
                <w:szCs w:val="14"/>
              </w:rPr>
            </w:pPr>
            <w:r w:rsidRPr="00F50BD3">
              <w:rPr>
                <w:rFonts w:cs="Arial"/>
                <w:sz w:val="14"/>
                <w:szCs w:val="14"/>
              </w:rPr>
              <w:t>Program 31</w:t>
            </w:r>
          </w:p>
        </w:tc>
        <w:tc>
          <w:tcPr>
            <w:tcW w:w="1342" w:type="dxa"/>
          </w:tcPr>
          <w:p w:rsidR="00807C2D" w:rsidRPr="00F50BD3" w:rsidRDefault="00807C2D" w:rsidP="00807C2D">
            <w:pPr>
              <w:jc w:val="center"/>
              <w:rPr>
                <w:sz w:val="22"/>
                <w:szCs w:val="22"/>
              </w:rPr>
            </w:pPr>
            <w:r w:rsidRPr="00F50BD3">
              <w:rPr>
                <w:rFonts w:cs="Arial"/>
                <w:color w:val="E36C0A" w:themeColor="accent6" w:themeShade="BF"/>
                <w:sz w:val="22"/>
                <w:szCs w:val="22"/>
              </w:rPr>
              <w:sym w:font="Wingdings" w:char="F06C"/>
            </w:r>
          </w:p>
        </w:tc>
      </w:tr>
      <w:tr w:rsidR="00807C2D" w:rsidRPr="004B5B87" w:rsidTr="00EA1C12">
        <w:tc>
          <w:tcPr>
            <w:tcW w:w="3224" w:type="dxa"/>
            <w:shd w:val="clear" w:color="auto" w:fill="auto"/>
            <w:tcMar>
              <w:top w:w="113" w:type="dxa"/>
            </w:tcMar>
          </w:tcPr>
          <w:p w:rsidR="00807C2D" w:rsidRPr="00F50BD3" w:rsidRDefault="00807C2D" w:rsidP="00806461">
            <w:pPr>
              <w:keepNext/>
              <w:keepLines/>
              <w:spacing w:before="80"/>
              <w:rPr>
                <w:rFonts w:cs="Arial"/>
                <w:sz w:val="14"/>
                <w:szCs w:val="14"/>
              </w:rPr>
            </w:pPr>
            <w:r w:rsidRPr="00F50BD3">
              <w:rPr>
                <w:rFonts w:cs="Arial"/>
                <w:sz w:val="14"/>
                <w:szCs w:val="14"/>
              </w:rPr>
              <w:t xml:space="preserve">Wider and better use of the </w:t>
            </w:r>
            <w:r w:rsidR="00601859" w:rsidRPr="00F50BD3">
              <w:rPr>
                <w:rFonts w:cs="Arial"/>
                <w:sz w:val="14"/>
                <w:szCs w:val="14"/>
              </w:rPr>
              <w:t>Hague System</w:t>
            </w:r>
          </w:p>
        </w:tc>
        <w:tc>
          <w:tcPr>
            <w:tcW w:w="3435" w:type="dxa"/>
            <w:shd w:val="clear" w:color="auto" w:fill="auto"/>
            <w:tcMar>
              <w:top w:w="113" w:type="dxa"/>
            </w:tcMar>
          </w:tcPr>
          <w:p w:rsidR="00031146" w:rsidRPr="00F50BD3" w:rsidRDefault="00807C2D" w:rsidP="00806461">
            <w:pPr>
              <w:keepNext/>
              <w:keepLines/>
              <w:spacing w:before="80"/>
              <w:rPr>
                <w:rFonts w:cs="Arial"/>
                <w:sz w:val="14"/>
                <w:szCs w:val="14"/>
              </w:rPr>
            </w:pPr>
            <w:r w:rsidRPr="00F50BD3">
              <w:rPr>
                <w:rFonts w:cs="Arial"/>
                <w:sz w:val="14"/>
                <w:szCs w:val="14"/>
              </w:rPr>
              <w:t>No. of registrations, designs contained in registrations, renewals and other recordings</w:t>
            </w:r>
          </w:p>
        </w:tc>
        <w:tc>
          <w:tcPr>
            <w:tcW w:w="1365" w:type="dxa"/>
            <w:shd w:val="clear" w:color="auto" w:fill="auto"/>
            <w:tcMar>
              <w:top w:w="113" w:type="dxa"/>
            </w:tcMar>
          </w:tcPr>
          <w:p w:rsidR="00807C2D" w:rsidRPr="00F50BD3" w:rsidRDefault="00807C2D" w:rsidP="00806461">
            <w:pPr>
              <w:keepNext/>
              <w:keepLines/>
              <w:spacing w:before="80"/>
              <w:jc w:val="center"/>
              <w:rPr>
                <w:rFonts w:cs="Arial"/>
                <w:sz w:val="14"/>
                <w:szCs w:val="14"/>
              </w:rPr>
            </w:pPr>
            <w:r w:rsidRPr="00F50BD3">
              <w:rPr>
                <w:rFonts w:cs="Arial"/>
                <w:sz w:val="14"/>
                <w:szCs w:val="14"/>
              </w:rPr>
              <w:t>Program 31</w:t>
            </w:r>
          </w:p>
        </w:tc>
        <w:tc>
          <w:tcPr>
            <w:tcW w:w="1342" w:type="dxa"/>
          </w:tcPr>
          <w:p w:rsidR="00807C2D" w:rsidRPr="00F50BD3" w:rsidRDefault="00807C2D" w:rsidP="00EA1C12">
            <w:pPr>
              <w:keepNext/>
              <w:keepLines/>
              <w:spacing w:before="40"/>
              <w:jc w:val="center"/>
              <w:rPr>
                <w:sz w:val="22"/>
                <w:szCs w:val="22"/>
              </w:rPr>
            </w:pPr>
            <w:r w:rsidRPr="00F50BD3">
              <w:rPr>
                <w:rFonts w:cs="Arial"/>
                <w:color w:val="FF0000"/>
                <w:sz w:val="22"/>
                <w:szCs w:val="22"/>
              </w:rPr>
              <w:sym w:font="Wingdings" w:char="F06C"/>
            </w:r>
            <w:r w:rsidR="00FA7D7C" w:rsidRPr="00F50BD3">
              <w:rPr>
                <w:rFonts w:cs="Arial"/>
                <w:color w:val="FF0000"/>
                <w:sz w:val="22"/>
                <w:szCs w:val="22"/>
              </w:rPr>
              <w:sym w:font="Wingdings" w:char="F06C"/>
            </w:r>
            <w:r w:rsidR="00EA1C12" w:rsidRPr="00F50BD3">
              <w:rPr>
                <w:rFonts w:cs="Arial"/>
                <w:color w:val="008000"/>
                <w:sz w:val="22"/>
                <w:szCs w:val="22"/>
              </w:rPr>
              <w:sym w:font="Wingdings" w:char="F06C"/>
            </w:r>
            <w:r w:rsidR="00EA1C12" w:rsidRPr="00F50BD3">
              <w:rPr>
                <w:rFonts w:cs="Arial"/>
                <w:color w:val="FF0000"/>
                <w:sz w:val="22"/>
                <w:szCs w:val="22"/>
              </w:rPr>
              <w:sym w:font="Wingdings" w:char="F06C"/>
            </w:r>
          </w:p>
        </w:tc>
      </w:tr>
      <w:tr w:rsidR="00031146" w:rsidRPr="004B5B87" w:rsidTr="00EA1C12">
        <w:tc>
          <w:tcPr>
            <w:tcW w:w="3224" w:type="dxa"/>
            <w:shd w:val="clear" w:color="auto" w:fill="auto"/>
            <w:tcMar>
              <w:top w:w="113" w:type="dxa"/>
            </w:tcMar>
          </w:tcPr>
          <w:p w:rsidR="00031146" w:rsidRPr="00F50BD3" w:rsidRDefault="00031146" w:rsidP="00F50BD3">
            <w:pPr>
              <w:ind w:firstLineChars="100" w:firstLine="140"/>
              <w:rPr>
                <w:rFonts w:cs="Arial"/>
                <w:sz w:val="14"/>
                <w:szCs w:val="14"/>
              </w:rPr>
            </w:pPr>
          </w:p>
        </w:tc>
        <w:tc>
          <w:tcPr>
            <w:tcW w:w="3435" w:type="dxa"/>
            <w:shd w:val="clear" w:color="auto" w:fill="auto"/>
            <w:tcMar>
              <w:top w:w="113" w:type="dxa"/>
            </w:tcMar>
          </w:tcPr>
          <w:p w:rsidR="00031146" w:rsidRPr="00F50BD3" w:rsidRDefault="00031146" w:rsidP="00031146">
            <w:pPr>
              <w:spacing w:before="80"/>
              <w:rPr>
                <w:rFonts w:cs="Arial"/>
                <w:color w:val="000000"/>
                <w:sz w:val="14"/>
                <w:szCs w:val="14"/>
              </w:rPr>
            </w:pPr>
            <w:r w:rsidRPr="00F50BD3">
              <w:rPr>
                <w:rFonts w:cs="Arial"/>
                <w:color w:val="000000"/>
                <w:sz w:val="14"/>
                <w:szCs w:val="14"/>
              </w:rPr>
              <w:t>No. of applications from, and designations of,  developing countries and LDCs</w:t>
            </w:r>
          </w:p>
        </w:tc>
        <w:tc>
          <w:tcPr>
            <w:tcW w:w="1365" w:type="dxa"/>
            <w:shd w:val="clear" w:color="auto" w:fill="auto"/>
            <w:tcMar>
              <w:top w:w="113" w:type="dxa"/>
            </w:tcMar>
          </w:tcPr>
          <w:p w:rsidR="00031146" w:rsidRPr="00F50BD3" w:rsidRDefault="00031146" w:rsidP="00031146">
            <w:pPr>
              <w:spacing w:before="80"/>
              <w:jc w:val="center"/>
              <w:rPr>
                <w:rFonts w:cs="Arial"/>
                <w:sz w:val="14"/>
                <w:szCs w:val="14"/>
              </w:rPr>
            </w:pPr>
            <w:r w:rsidRPr="00F50BD3">
              <w:rPr>
                <w:rFonts w:cs="Arial"/>
                <w:sz w:val="14"/>
                <w:szCs w:val="14"/>
              </w:rPr>
              <w:t>Program 31</w:t>
            </w:r>
          </w:p>
        </w:tc>
        <w:tc>
          <w:tcPr>
            <w:tcW w:w="1342" w:type="dxa"/>
          </w:tcPr>
          <w:p w:rsidR="00031146" w:rsidRPr="00F50BD3" w:rsidRDefault="00031146" w:rsidP="00031146">
            <w:pPr>
              <w:jc w:val="center"/>
              <w:rPr>
                <w:sz w:val="22"/>
                <w:szCs w:val="22"/>
              </w:rPr>
            </w:pPr>
            <w:r w:rsidRPr="00F50BD3">
              <w:rPr>
                <w:rFonts w:cs="Arial"/>
                <w:color w:val="FF0000"/>
                <w:sz w:val="22"/>
                <w:szCs w:val="22"/>
              </w:rPr>
              <w:sym w:font="Wingdings" w:char="F06C"/>
            </w:r>
          </w:p>
        </w:tc>
      </w:tr>
      <w:tr w:rsidR="00031146" w:rsidRPr="004B5B87" w:rsidTr="00EA1C12">
        <w:tc>
          <w:tcPr>
            <w:tcW w:w="3224" w:type="dxa"/>
            <w:shd w:val="clear" w:color="auto" w:fill="auto"/>
            <w:tcMar>
              <w:top w:w="113" w:type="dxa"/>
            </w:tcMar>
          </w:tcPr>
          <w:p w:rsidR="00031146" w:rsidRPr="00F50BD3" w:rsidRDefault="00031146" w:rsidP="00F50BD3">
            <w:pPr>
              <w:ind w:firstLineChars="100" w:firstLine="140"/>
              <w:rPr>
                <w:rFonts w:cs="Arial"/>
                <w:sz w:val="14"/>
                <w:szCs w:val="14"/>
              </w:rPr>
            </w:pPr>
          </w:p>
        </w:tc>
        <w:tc>
          <w:tcPr>
            <w:tcW w:w="3435" w:type="dxa"/>
            <w:shd w:val="clear" w:color="auto" w:fill="auto"/>
            <w:tcMar>
              <w:top w:w="113" w:type="dxa"/>
            </w:tcMar>
          </w:tcPr>
          <w:p w:rsidR="00031146" w:rsidRPr="00F50BD3" w:rsidRDefault="00031146" w:rsidP="00582300">
            <w:pPr>
              <w:spacing w:before="80"/>
              <w:rPr>
                <w:rFonts w:cs="Arial"/>
                <w:sz w:val="14"/>
                <w:szCs w:val="14"/>
              </w:rPr>
            </w:pPr>
            <w:r w:rsidRPr="00F50BD3">
              <w:rPr>
                <w:rFonts w:cs="Arial"/>
                <w:sz w:val="14"/>
                <w:szCs w:val="14"/>
              </w:rPr>
              <w:t>% of irregular applications</w:t>
            </w:r>
          </w:p>
        </w:tc>
        <w:tc>
          <w:tcPr>
            <w:tcW w:w="1365" w:type="dxa"/>
            <w:shd w:val="clear" w:color="auto" w:fill="auto"/>
            <w:tcMar>
              <w:top w:w="113" w:type="dxa"/>
            </w:tcMar>
          </w:tcPr>
          <w:p w:rsidR="00031146" w:rsidRPr="00F50BD3" w:rsidRDefault="00031146" w:rsidP="00582300">
            <w:pPr>
              <w:spacing w:before="80"/>
              <w:jc w:val="center"/>
              <w:rPr>
                <w:rFonts w:cs="Arial"/>
                <w:sz w:val="14"/>
                <w:szCs w:val="14"/>
              </w:rPr>
            </w:pPr>
            <w:r w:rsidRPr="00F50BD3">
              <w:rPr>
                <w:rFonts w:cs="Arial"/>
                <w:sz w:val="14"/>
                <w:szCs w:val="14"/>
              </w:rPr>
              <w:t>Program 31</w:t>
            </w:r>
          </w:p>
        </w:tc>
        <w:tc>
          <w:tcPr>
            <w:tcW w:w="1342" w:type="dxa"/>
          </w:tcPr>
          <w:p w:rsidR="00031146" w:rsidRPr="00F50BD3" w:rsidRDefault="00031146" w:rsidP="00582300">
            <w:pPr>
              <w:jc w:val="center"/>
              <w:rPr>
                <w:sz w:val="22"/>
                <w:szCs w:val="22"/>
              </w:rPr>
            </w:pPr>
            <w:r w:rsidRPr="00F50BD3">
              <w:rPr>
                <w:rFonts w:cs="Arial"/>
                <w:color w:val="FF0000"/>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582300">
            <w:pPr>
              <w:spacing w:before="80"/>
              <w:rPr>
                <w:rFonts w:cs="Arial"/>
                <w:sz w:val="14"/>
                <w:szCs w:val="14"/>
              </w:rPr>
            </w:pPr>
            <w:r w:rsidRPr="00F50BD3">
              <w:rPr>
                <w:rFonts w:cs="Arial"/>
                <w:sz w:val="14"/>
                <w:szCs w:val="14"/>
              </w:rPr>
              <w:t xml:space="preserve">Better administration of the </w:t>
            </w:r>
            <w:r w:rsidR="00601859" w:rsidRPr="00F50BD3">
              <w:rPr>
                <w:rFonts w:cs="Arial"/>
                <w:sz w:val="14"/>
                <w:szCs w:val="14"/>
              </w:rPr>
              <w:t>Hague System</w:t>
            </w:r>
          </w:p>
        </w:tc>
        <w:tc>
          <w:tcPr>
            <w:tcW w:w="3435" w:type="dxa"/>
            <w:shd w:val="clear" w:color="auto" w:fill="auto"/>
            <w:tcMar>
              <w:top w:w="113" w:type="dxa"/>
            </w:tcMar>
          </w:tcPr>
          <w:p w:rsidR="00BC0A79" w:rsidRPr="00F50BD3" w:rsidRDefault="00BC0A79" w:rsidP="00582300">
            <w:pPr>
              <w:spacing w:before="80"/>
              <w:rPr>
                <w:rFonts w:cs="Arial"/>
                <w:sz w:val="14"/>
                <w:szCs w:val="14"/>
              </w:rPr>
            </w:pPr>
            <w:r w:rsidRPr="00F50BD3">
              <w:rPr>
                <w:rFonts w:cs="Arial"/>
                <w:sz w:val="14"/>
                <w:szCs w:val="14"/>
              </w:rPr>
              <w:t>Predominance of the Geneva Act in the system as a whole system</w:t>
            </w:r>
            <w:r w:rsidR="00DE1CE8">
              <w:rPr>
                <w:rFonts w:cs="Arial"/>
                <w:sz w:val="14"/>
                <w:szCs w:val="14"/>
              </w:rPr>
              <w:br/>
            </w:r>
          </w:p>
        </w:tc>
        <w:tc>
          <w:tcPr>
            <w:tcW w:w="1365" w:type="dxa"/>
            <w:shd w:val="clear" w:color="auto" w:fill="auto"/>
            <w:tcMar>
              <w:top w:w="113" w:type="dxa"/>
            </w:tcMar>
          </w:tcPr>
          <w:p w:rsidR="00BC0A79" w:rsidRPr="00F50BD3" w:rsidRDefault="00BC0A79" w:rsidP="00582300">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582300">
            <w:pPr>
              <w:jc w:val="center"/>
              <w:rPr>
                <w:sz w:val="22"/>
                <w:szCs w:val="22"/>
              </w:rPr>
            </w:pPr>
            <w:r w:rsidRPr="00F50BD3">
              <w:rPr>
                <w:rFonts w:cs="Arial"/>
                <w:color w:val="E36C0A" w:themeColor="accent6" w:themeShade="BF"/>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ind w:firstLineChars="100" w:firstLine="140"/>
              <w:rPr>
                <w:rFonts w:cs="Arial"/>
                <w:sz w:val="14"/>
                <w:szCs w:val="14"/>
              </w:rPr>
            </w:pPr>
          </w:p>
        </w:tc>
        <w:tc>
          <w:tcPr>
            <w:tcW w:w="3435" w:type="dxa"/>
            <w:shd w:val="clear" w:color="auto" w:fill="auto"/>
            <w:tcMar>
              <w:top w:w="113" w:type="dxa"/>
            </w:tcMar>
          </w:tcPr>
          <w:p w:rsidR="00BC0A79" w:rsidRPr="00F50BD3" w:rsidRDefault="00BC0A79" w:rsidP="00031146">
            <w:pPr>
              <w:spacing w:before="80"/>
              <w:rPr>
                <w:rFonts w:cs="Arial"/>
                <w:sz w:val="14"/>
                <w:szCs w:val="14"/>
              </w:rPr>
            </w:pPr>
            <w:r w:rsidRPr="00F50BD3">
              <w:rPr>
                <w:rFonts w:cs="Arial"/>
                <w:sz w:val="14"/>
                <w:szCs w:val="14"/>
              </w:rPr>
              <w:t xml:space="preserve">Pendency for a regular non-deferred application, until publication </w:t>
            </w:r>
          </w:p>
        </w:tc>
        <w:tc>
          <w:tcPr>
            <w:tcW w:w="1365" w:type="dxa"/>
            <w:shd w:val="clear" w:color="auto" w:fill="auto"/>
            <w:tcMar>
              <w:top w:w="113" w:type="dxa"/>
            </w:tcMar>
          </w:tcPr>
          <w:p w:rsidR="00BC0A79" w:rsidRPr="00F50BD3" w:rsidRDefault="00BC0A79" w:rsidP="00031146">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ind w:firstLineChars="100" w:firstLine="140"/>
              <w:rPr>
                <w:rFonts w:cs="Arial"/>
                <w:sz w:val="14"/>
                <w:szCs w:val="14"/>
              </w:rPr>
            </w:pPr>
          </w:p>
        </w:tc>
        <w:tc>
          <w:tcPr>
            <w:tcW w:w="3435" w:type="dxa"/>
            <w:shd w:val="clear" w:color="auto" w:fill="auto"/>
            <w:tcMar>
              <w:top w:w="113" w:type="dxa"/>
            </w:tcMar>
          </w:tcPr>
          <w:p w:rsidR="00BC0A79" w:rsidRPr="00F50BD3" w:rsidRDefault="00BC0A79" w:rsidP="00031146">
            <w:pPr>
              <w:spacing w:before="80"/>
              <w:rPr>
                <w:rFonts w:cs="Arial"/>
                <w:sz w:val="14"/>
                <w:szCs w:val="14"/>
              </w:rPr>
            </w:pPr>
            <w:r w:rsidRPr="00F50BD3">
              <w:rPr>
                <w:rFonts w:cs="Arial"/>
                <w:sz w:val="14"/>
                <w:szCs w:val="14"/>
              </w:rPr>
              <w:t>No. of fully automated processes</w:t>
            </w:r>
          </w:p>
        </w:tc>
        <w:tc>
          <w:tcPr>
            <w:tcW w:w="1365" w:type="dxa"/>
            <w:shd w:val="clear" w:color="auto" w:fill="auto"/>
            <w:tcMar>
              <w:top w:w="113" w:type="dxa"/>
            </w:tcMar>
          </w:tcPr>
          <w:p w:rsidR="00BC0A79" w:rsidRPr="00F50BD3" w:rsidRDefault="00BC0A79" w:rsidP="00031146">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ind w:firstLineChars="100" w:firstLine="140"/>
              <w:rPr>
                <w:rFonts w:cs="Arial"/>
                <w:sz w:val="14"/>
                <w:szCs w:val="14"/>
              </w:rPr>
            </w:pPr>
          </w:p>
        </w:tc>
        <w:tc>
          <w:tcPr>
            <w:tcW w:w="3435" w:type="dxa"/>
            <w:shd w:val="clear" w:color="auto" w:fill="auto"/>
            <w:tcMar>
              <w:top w:w="113" w:type="dxa"/>
            </w:tcMar>
          </w:tcPr>
          <w:p w:rsidR="00BC0A79" w:rsidRPr="00F50BD3" w:rsidRDefault="00BC0A79" w:rsidP="00031146">
            <w:pPr>
              <w:spacing w:before="80"/>
              <w:rPr>
                <w:rFonts w:cs="Arial"/>
                <w:sz w:val="14"/>
                <w:szCs w:val="14"/>
              </w:rPr>
            </w:pPr>
            <w:r w:rsidRPr="00F50BD3">
              <w:rPr>
                <w:rFonts w:cs="Arial"/>
                <w:sz w:val="14"/>
                <w:szCs w:val="14"/>
              </w:rPr>
              <w:t>% of requests filed through electronic interfaces</w:t>
            </w:r>
          </w:p>
        </w:tc>
        <w:tc>
          <w:tcPr>
            <w:tcW w:w="1365" w:type="dxa"/>
            <w:shd w:val="clear" w:color="auto" w:fill="auto"/>
            <w:tcMar>
              <w:top w:w="113" w:type="dxa"/>
            </w:tcMar>
          </w:tcPr>
          <w:p w:rsidR="00BC0A79" w:rsidRPr="00F50BD3" w:rsidRDefault="00BC0A79" w:rsidP="00031146">
            <w:pPr>
              <w:spacing w:before="80"/>
              <w:jc w:val="center"/>
              <w:rPr>
                <w:rFonts w:cs="Arial"/>
                <w:sz w:val="14"/>
                <w:szCs w:val="14"/>
              </w:rPr>
            </w:pPr>
            <w:r w:rsidRPr="00F50BD3">
              <w:rPr>
                <w:rFonts w:cs="Arial"/>
                <w:sz w:val="14"/>
                <w:szCs w:val="14"/>
              </w:rPr>
              <w:t>Program 31</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031146" w:rsidRPr="004B5B87" w:rsidTr="00EA1C12">
        <w:tc>
          <w:tcPr>
            <w:tcW w:w="3224" w:type="dxa"/>
            <w:shd w:val="clear" w:color="auto" w:fill="auto"/>
            <w:tcMar>
              <w:top w:w="113" w:type="dxa"/>
            </w:tcMar>
          </w:tcPr>
          <w:p w:rsidR="00031146" w:rsidRPr="00F50BD3" w:rsidRDefault="00031146" w:rsidP="00F50BD3">
            <w:pPr>
              <w:spacing w:before="80"/>
              <w:ind w:firstLineChars="100" w:firstLine="140"/>
              <w:rPr>
                <w:rFonts w:cs="Arial"/>
                <w:sz w:val="14"/>
                <w:szCs w:val="14"/>
              </w:rPr>
            </w:pPr>
          </w:p>
        </w:tc>
        <w:tc>
          <w:tcPr>
            <w:tcW w:w="3435" w:type="dxa"/>
            <w:shd w:val="clear" w:color="auto" w:fill="auto"/>
            <w:tcMar>
              <w:top w:w="113" w:type="dxa"/>
            </w:tcMar>
          </w:tcPr>
          <w:p w:rsidR="00031146" w:rsidRPr="00F50BD3" w:rsidRDefault="00031146" w:rsidP="00B61118">
            <w:pPr>
              <w:spacing w:before="80"/>
              <w:rPr>
                <w:rFonts w:cs="Arial"/>
                <w:sz w:val="14"/>
                <w:szCs w:val="14"/>
              </w:rPr>
            </w:pPr>
            <w:r w:rsidRPr="00F50BD3">
              <w:rPr>
                <w:rFonts w:cs="Arial"/>
                <w:sz w:val="14"/>
                <w:szCs w:val="14"/>
              </w:rPr>
              <w:t xml:space="preserve">% of users satisfied with the services provided by the International Bureau </w:t>
            </w:r>
          </w:p>
        </w:tc>
        <w:tc>
          <w:tcPr>
            <w:tcW w:w="1365" w:type="dxa"/>
            <w:shd w:val="clear" w:color="auto" w:fill="auto"/>
            <w:tcMar>
              <w:top w:w="113" w:type="dxa"/>
            </w:tcMar>
          </w:tcPr>
          <w:p w:rsidR="00031146" w:rsidRPr="00F50BD3" w:rsidRDefault="00031146" w:rsidP="00B61118">
            <w:pPr>
              <w:spacing w:before="80"/>
              <w:jc w:val="center"/>
              <w:rPr>
                <w:rFonts w:cs="Arial"/>
                <w:sz w:val="14"/>
                <w:szCs w:val="14"/>
              </w:rPr>
            </w:pPr>
            <w:r w:rsidRPr="00F50BD3">
              <w:rPr>
                <w:rFonts w:cs="Arial"/>
                <w:sz w:val="14"/>
                <w:szCs w:val="14"/>
              </w:rPr>
              <w:t>Program 31</w:t>
            </w:r>
          </w:p>
        </w:tc>
        <w:tc>
          <w:tcPr>
            <w:tcW w:w="1342" w:type="dxa"/>
          </w:tcPr>
          <w:p w:rsidR="00031146" w:rsidRPr="00F50BD3" w:rsidRDefault="00582300" w:rsidP="00031146">
            <w:pPr>
              <w:jc w:val="center"/>
              <w:rPr>
                <w:sz w:val="22"/>
                <w:szCs w:val="22"/>
              </w:rPr>
            </w:pPr>
            <w:r w:rsidRPr="00F50BD3">
              <w:rPr>
                <w:rFonts w:cs="Arial"/>
                <w:color w:val="A6A6A6" w:themeColor="background1" w:themeShade="A6"/>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International and domestic intellectual property disputes are increasingly prevented or resolved through mediation, arbitration and other alternative dispute resolution methods</w:t>
            </w: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Increased consideration of the use of alternative dispute resolution services in intellectual property transactions, including through the use of WIPO procedures</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582300">
            <w:pPr>
              <w:spacing w:before="40"/>
              <w:jc w:val="center"/>
              <w:rPr>
                <w:sz w:val="22"/>
                <w:szCs w:val="22"/>
              </w:rPr>
            </w:pPr>
            <w:r w:rsidRPr="00F50BD3">
              <w:rPr>
                <w:rFonts w:cs="Arial"/>
                <w:color w:val="008000"/>
                <w:sz w:val="22"/>
                <w:szCs w:val="22"/>
              </w:rPr>
              <w:sym w:font="Wingdings" w:char="F06C"/>
            </w:r>
            <w:r w:rsidRPr="00F50BD3">
              <w:rPr>
                <w:rFonts w:cs="Arial"/>
                <w:color w:val="008000"/>
                <w:sz w:val="22"/>
                <w:szCs w:val="22"/>
              </w:rPr>
              <w:sym w:font="Wingdings" w:char="F06C"/>
            </w:r>
            <w:r w:rsidRPr="00F50BD3">
              <w:rPr>
                <w:rFonts w:cs="Arial"/>
                <w:color w:val="008000"/>
                <w:sz w:val="22"/>
                <w:szCs w:val="22"/>
              </w:rPr>
              <w:sym w:font="Wingdings" w:char="F06C"/>
            </w:r>
            <w:r w:rsidR="00582300" w:rsidRPr="00F50BD3">
              <w:rPr>
                <w:rFonts w:cs="Arial"/>
                <w:color w:val="FF0000"/>
                <w:sz w:val="22"/>
                <w:szCs w:val="22"/>
              </w:rPr>
              <w:sym w:font="Wingdings" w:char="F06C"/>
            </w:r>
            <w:r w:rsidR="00582300" w:rsidRPr="00F50BD3">
              <w:rPr>
                <w:rFonts w:cs="Arial"/>
                <w:color w:val="E36C0A" w:themeColor="accent6" w:themeShade="BF"/>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Alternative dispute resolution policies to the development and implementation of which policies the Center has contributed</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val="restart"/>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Effective intellectual property protection in the gTLDs and the ccTLDs</w:t>
            </w: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No. of gTLD UDRP cases administered</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No. of ccTLD UDRP</w:t>
            </w:r>
            <w:r w:rsidRPr="00F50BD3">
              <w:rPr>
                <w:rFonts w:cs="Arial"/>
                <w:sz w:val="14"/>
                <w:szCs w:val="14"/>
              </w:rPr>
              <w:noBreakHyphen/>
              <w:t>based cases administered</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Dispute resolution policies in the Domain Name System to the development and implementation of which policies the Center has contributed</w:t>
            </w: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color w:val="008000"/>
                <w:sz w:val="22"/>
                <w:szCs w:val="22"/>
              </w:rPr>
            </w:pPr>
            <w:r w:rsidRPr="00F50BD3">
              <w:rPr>
                <w:rFonts w:cs="Arial"/>
                <w:color w:val="008000"/>
                <w:sz w:val="22"/>
                <w:szCs w:val="22"/>
              </w:rPr>
              <w:sym w:font="Wingdings" w:char="F06C"/>
            </w:r>
          </w:p>
        </w:tc>
      </w:tr>
      <w:tr w:rsidR="00BC0A79" w:rsidRPr="004B5B87" w:rsidTr="00EA1C12">
        <w:tc>
          <w:tcPr>
            <w:tcW w:w="3224" w:type="dxa"/>
            <w:vMerge/>
            <w:shd w:val="clear" w:color="auto" w:fill="auto"/>
            <w:tcMar>
              <w:top w:w="113" w:type="dxa"/>
            </w:tcMar>
          </w:tcPr>
          <w:p w:rsidR="00BC0A79" w:rsidRPr="00F50BD3" w:rsidRDefault="00BC0A79" w:rsidP="00F50BD3">
            <w:pPr>
              <w:spacing w:before="80"/>
              <w:ind w:firstLineChars="100" w:firstLine="140"/>
              <w:rPr>
                <w:rFonts w:cs="Arial"/>
                <w:sz w:val="14"/>
                <w:szCs w:val="14"/>
              </w:rPr>
            </w:pPr>
          </w:p>
        </w:tc>
        <w:tc>
          <w:tcPr>
            <w:tcW w:w="3435" w:type="dxa"/>
            <w:shd w:val="clear" w:color="auto" w:fill="auto"/>
            <w:tcMar>
              <w:top w:w="113" w:type="dxa"/>
            </w:tcMar>
          </w:tcPr>
          <w:p w:rsidR="00BC0A79" w:rsidRPr="00F50BD3" w:rsidRDefault="00BC0A79" w:rsidP="00B61118">
            <w:pPr>
              <w:spacing w:before="80"/>
              <w:rPr>
                <w:rFonts w:cs="Arial"/>
                <w:sz w:val="14"/>
                <w:szCs w:val="14"/>
              </w:rPr>
            </w:pPr>
            <w:r w:rsidRPr="00F50BD3">
              <w:rPr>
                <w:rFonts w:cs="Arial"/>
                <w:sz w:val="14"/>
                <w:szCs w:val="14"/>
              </w:rPr>
              <w:t>No. of ccTLD administrators with WIPO</w:t>
            </w:r>
            <w:r w:rsidRPr="00F50BD3">
              <w:rPr>
                <w:rFonts w:cs="Arial"/>
                <w:sz w:val="14"/>
                <w:szCs w:val="14"/>
              </w:rPr>
              <w:noBreakHyphen/>
              <w:t>assisted design or administration of intellectual property protection mechanisms in accordance with international standards</w:t>
            </w:r>
          </w:p>
          <w:p w:rsidR="00BC0A79" w:rsidRPr="00F50BD3" w:rsidRDefault="00BC0A79" w:rsidP="00B61118">
            <w:pPr>
              <w:spacing w:before="80"/>
              <w:rPr>
                <w:rFonts w:cs="Arial"/>
                <w:sz w:val="14"/>
                <w:szCs w:val="14"/>
              </w:rPr>
            </w:pPr>
          </w:p>
        </w:tc>
        <w:tc>
          <w:tcPr>
            <w:tcW w:w="1365" w:type="dxa"/>
            <w:shd w:val="clear" w:color="auto" w:fill="auto"/>
            <w:tcMar>
              <w:top w:w="113" w:type="dxa"/>
            </w:tcMar>
          </w:tcPr>
          <w:p w:rsidR="00BC0A79" w:rsidRPr="00F50BD3" w:rsidRDefault="00BC0A79" w:rsidP="00B61118">
            <w:pPr>
              <w:spacing w:before="80"/>
              <w:jc w:val="center"/>
              <w:rPr>
                <w:rFonts w:cs="Arial"/>
                <w:sz w:val="14"/>
                <w:szCs w:val="14"/>
              </w:rPr>
            </w:pPr>
            <w:r w:rsidRPr="00F50BD3">
              <w:rPr>
                <w:rFonts w:cs="Arial"/>
                <w:sz w:val="14"/>
                <w:szCs w:val="14"/>
              </w:rPr>
              <w:t>Program 7</w:t>
            </w:r>
          </w:p>
        </w:tc>
        <w:tc>
          <w:tcPr>
            <w:tcW w:w="1342" w:type="dxa"/>
          </w:tcPr>
          <w:p w:rsidR="00BC0A79" w:rsidRPr="00F50BD3" w:rsidRDefault="00BC0A79" w:rsidP="00031146">
            <w:pPr>
              <w:jc w:val="center"/>
              <w:rPr>
                <w:rFonts w:cs="Arial"/>
                <w:color w:val="008000"/>
                <w:sz w:val="22"/>
                <w:szCs w:val="22"/>
              </w:rPr>
            </w:pPr>
            <w:r w:rsidRPr="00F50BD3">
              <w:rPr>
                <w:rFonts w:cs="Arial"/>
                <w:color w:val="008000"/>
                <w:sz w:val="22"/>
                <w:szCs w:val="22"/>
              </w:rPr>
              <w:sym w:font="Wingdings" w:char="F06C"/>
            </w:r>
          </w:p>
        </w:tc>
      </w:tr>
    </w:tbl>
    <w:p w:rsidR="00121D79" w:rsidRPr="00A522FE" w:rsidRDefault="00121D79" w:rsidP="00121D79">
      <w:pPr>
        <w:tabs>
          <w:tab w:val="left" w:pos="0"/>
        </w:tabs>
        <w:rPr>
          <w:rFonts w:cs="Arial"/>
          <w:iCs/>
        </w:rPr>
      </w:pPr>
    </w:p>
    <w:p w:rsidR="00121D79" w:rsidRPr="00A522FE" w:rsidRDefault="00121D79" w:rsidP="00121D79">
      <w:pPr>
        <w:tabs>
          <w:tab w:val="left" w:pos="0"/>
        </w:tabs>
        <w:rPr>
          <w:b/>
          <w:iCs/>
        </w:rPr>
      </w:pPr>
    </w:p>
    <w:p w:rsidR="00121D79" w:rsidRDefault="00121D79" w:rsidP="00121D79">
      <w:r w:rsidRPr="00A522FE">
        <w:br w:type="page"/>
      </w:r>
    </w:p>
    <w:p w:rsidR="00FC4F64" w:rsidRPr="00305272" w:rsidRDefault="00305272" w:rsidP="00305272">
      <w:pPr>
        <w:pStyle w:val="Heading3"/>
      </w:pPr>
      <w:bookmarkStart w:id="25" w:name="_Toc393956047"/>
      <w:r w:rsidRPr="00305272">
        <w:lastRenderedPageBreak/>
        <w:t>Program 5</w:t>
      </w:r>
      <w:r w:rsidRPr="00305272">
        <w:tab/>
        <w:t xml:space="preserve">The </w:t>
      </w:r>
      <w:r w:rsidR="00B73AC5">
        <w:t>PCT</w:t>
      </w:r>
      <w:r w:rsidRPr="00305272">
        <w:t xml:space="preserve"> System</w:t>
      </w:r>
      <w:bookmarkEnd w:id="25"/>
    </w:p>
    <w:p w:rsidR="00FC4F64" w:rsidRPr="003642A1" w:rsidRDefault="00FC4F64" w:rsidP="00FC4F64">
      <w:pPr>
        <w:ind w:left="2268" w:hanging="2268"/>
        <w:rPr>
          <w:sz w:val="22"/>
          <w:szCs w:val="22"/>
        </w:rPr>
      </w:pPr>
    </w:p>
    <w:p w:rsidR="00FC4F64" w:rsidRPr="003642A1" w:rsidRDefault="00FC4F64" w:rsidP="00FC4F64">
      <w:pPr>
        <w:ind w:left="2268" w:hanging="2268"/>
        <w:rPr>
          <w:rFonts w:cs="Arial"/>
          <w:b/>
          <w:sz w:val="22"/>
          <w:szCs w:val="22"/>
        </w:rPr>
      </w:pPr>
      <w:r w:rsidRPr="003642A1">
        <w:rPr>
          <w:rFonts w:cs="Arial"/>
          <w:b/>
          <w:sz w:val="22"/>
          <w:szCs w:val="22"/>
        </w:rPr>
        <w:t>Program Manager</w:t>
      </w:r>
      <w:r w:rsidRPr="003642A1">
        <w:rPr>
          <w:rFonts w:cs="Arial"/>
          <w:b/>
          <w:sz w:val="22"/>
          <w:szCs w:val="22"/>
        </w:rPr>
        <w:tab/>
      </w:r>
      <w:r w:rsidRPr="003642A1">
        <w:rPr>
          <w:rFonts w:cs="Arial"/>
          <w:b/>
          <w:sz w:val="22"/>
          <w:szCs w:val="22"/>
        </w:rPr>
        <w:tab/>
        <w:t>Mr. J. Pooley</w:t>
      </w:r>
    </w:p>
    <w:p w:rsidR="00FC4F64" w:rsidRPr="003642A1" w:rsidRDefault="00FC4F64" w:rsidP="00FC4F64">
      <w:pPr>
        <w:rPr>
          <w:sz w:val="22"/>
          <w:szCs w:val="22"/>
        </w:rPr>
      </w:pPr>
    </w:p>
    <w:p w:rsidR="00FC4F64" w:rsidRPr="003642A1" w:rsidRDefault="00FC4F64" w:rsidP="00FC4F64">
      <w:pPr>
        <w:rPr>
          <w:bCs/>
          <w:sz w:val="22"/>
          <w:szCs w:val="22"/>
        </w:rPr>
      </w:pPr>
    </w:p>
    <w:p w:rsidR="00FC4F64" w:rsidRPr="003642A1" w:rsidRDefault="00FC4F64" w:rsidP="00FC4F64">
      <w:pPr>
        <w:rPr>
          <w:rFonts w:cs="Arial"/>
          <w:sz w:val="22"/>
          <w:szCs w:val="22"/>
        </w:rPr>
      </w:pPr>
      <w:r w:rsidRPr="003642A1">
        <w:rPr>
          <w:bCs/>
          <w:sz w:val="22"/>
          <w:szCs w:val="22"/>
        </w:rPr>
        <w:t>ACHIEVEMENTS IN THE 2012/13 BIENNIUM</w:t>
      </w:r>
    </w:p>
    <w:p w:rsidR="00FC4F64" w:rsidRPr="003642A1" w:rsidRDefault="00FC4F64" w:rsidP="00FC4F64">
      <w:pPr>
        <w:rPr>
          <w:rFonts w:cs="Arial"/>
          <w:sz w:val="22"/>
          <w:szCs w:val="22"/>
        </w:rPr>
      </w:pPr>
    </w:p>
    <w:p w:rsidR="00FC4F64" w:rsidRPr="00B26DF4" w:rsidRDefault="00FC4F64" w:rsidP="005703CF">
      <w:pPr>
        <w:pStyle w:val="ListParagraph"/>
        <w:numPr>
          <w:ilvl w:val="0"/>
          <w:numId w:val="10"/>
        </w:numPr>
        <w:tabs>
          <w:tab w:val="left" w:pos="709"/>
        </w:tabs>
        <w:ind w:left="0" w:firstLine="0"/>
        <w:jc w:val="both"/>
        <w:rPr>
          <w:rFonts w:cs="Arial"/>
          <w:lang w:val="en-GB"/>
        </w:rPr>
      </w:pPr>
      <w:r w:rsidRPr="00F53337">
        <w:rPr>
          <w:rFonts w:cs="Arial"/>
          <w:lang w:val="en-GB"/>
        </w:rPr>
        <w:t>The International Bureau</w:t>
      </w:r>
      <w:r>
        <w:rPr>
          <w:rFonts w:cs="Arial"/>
          <w:lang w:val="en-GB"/>
        </w:rPr>
        <w:t xml:space="preserve"> (IB)</w:t>
      </w:r>
      <w:r w:rsidRPr="00F53337">
        <w:rPr>
          <w:rFonts w:cs="Arial"/>
          <w:lang w:val="en-GB"/>
        </w:rPr>
        <w:t xml:space="preserve"> </w:t>
      </w:r>
      <w:r w:rsidRPr="00440272">
        <w:rPr>
          <w:rFonts w:cs="Arial"/>
        </w:rPr>
        <w:t xml:space="preserve">received approximately 202,700 record copies in 2013, representing an increase of 3 per cent compared to 2012.  The share of fully electronic filings </w:t>
      </w:r>
      <w:r w:rsidRPr="00744C70">
        <w:rPr>
          <w:rFonts w:cs="Arial"/>
        </w:rPr>
        <w:t>continued to increase in 2013 and now represents 89 per cent of total filings.  While English remains by far the most important language of filing, its importance has diminished relative to Japanese, Chinese and Korean. </w:t>
      </w:r>
      <w:r w:rsidR="00B73889">
        <w:rPr>
          <w:rFonts w:cs="Arial"/>
        </w:rPr>
        <w:t xml:space="preserve"> </w:t>
      </w:r>
      <w:r w:rsidRPr="00C665A9">
        <w:rPr>
          <w:rFonts w:cs="Arial"/>
          <w:lang w:val="en-GB"/>
        </w:rPr>
        <w:t>The share of the PCT applications filed in Japanese, Chinese and Korean has increased from 29</w:t>
      </w:r>
      <w:r>
        <w:rPr>
          <w:rFonts w:cs="Arial"/>
          <w:lang w:val="en-GB"/>
        </w:rPr>
        <w:t> </w:t>
      </w:r>
      <w:r w:rsidRPr="00C665A9">
        <w:rPr>
          <w:rFonts w:cs="Arial"/>
          <w:lang w:val="en-GB"/>
        </w:rPr>
        <w:t>per cent in 2010 to 35 per cent in 2013. </w:t>
      </w:r>
      <w:r w:rsidRPr="006C1801">
        <w:rPr>
          <w:rFonts w:cs="Arial"/>
        </w:rPr>
        <w:t xml:space="preserve"> </w:t>
      </w:r>
      <w:r>
        <w:rPr>
          <w:rFonts w:cs="Arial"/>
        </w:rPr>
        <w:t>The q</w:t>
      </w:r>
      <w:r w:rsidRPr="00C665A9">
        <w:rPr>
          <w:rFonts w:cs="Arial"/>
        </w:rPr>
        <w:t xml:space="preserve">uality of </w:t>
      </w:r>
      <w:r>
        <w:rPr>
          <w:rFonts w:cs="Arial"/>
        </w:rPr>
        <w:t xml:space="preserve">the </w:t>
      </w:r>
      <w:r w:rsidRPr="00C665A9">
        <w:rPr>
          <w:rFonts w:cs="Arial"/>
        </w:rPr>
        <w:t xml:space="preserve">formalities examination improved markedly in the second half of 2013 due to </w:t>
      </w:r>
      <w:r>
        <w:rPr>
          <w:rFonts w:cs="Arial"/>
        </w:rPr>
        <w:t xml:space="preserve">the </w:t>
      </w:r>
      <w:r w:rsidRPr="00C665A9">
        <w:rPr>
          <w:rFonts w:cs="Arial"/>
        </w:rPr>
        <w:t>faster re</w:t>
      </w:r>
      <w:r>
        <w:rPr>
          <w:rFonts w:cs="Arial"/>
        </w:rPr>
        <w:t>-</w:t>
      </w:r>
      <w:r w:rsidRPr="00C665A9">
        <w:rPr>
          <w:rFonts w:cs="Arial"/>
        </w:rPr>
        <w:t>publication</w:t>
      </w:r>
      <w:r w:rsidRPr="006C1801">
        <w:rPr>
          <w:rFonts w:cs="Arial"/>
        </w:rPr>
        <w:t xml:space="preserve"> of PCT applications and </w:t>
      </w:r>
      <w:r>
        <w:rPr>
          <w:rFonts w:cs="Arial"/>
        </w:rPr>
        <w:t xml:space="preserve">the more rapid </w:t>
      </w:r>
      <w:r w:rsidRPr="00C665A9">
        <w:rPr>
          <w:rFonts w:cs="Arial"/>
        </w:rPr>
        <w:t>notification</w:t>
      </w:r>
      <w:r w:rsidRPr="006C1801">
        <w:rPr>
          <w:rFonts w:cs="Arial"/>
        </w:rPr>
        <w:t xml:space="preserve"> of receipt of </w:t>
      </w:r>
      <w:r w:rsidRPr="003E2250">
        <w:rPr>
          <w:rFonts w:cs="Arial"/>
        </w:rPr>
        <w:t>PCT application</w:t>
      </w:r>
      <w:r>
        <w:rPr>
          <w:rFonts w:cs="Arial"/>
        </w:rPr>
        <w:t>s</w:t>
      </w:r>
      <w:r w:rsidRPr="00C665A9">
        <w:rPr>
          <w:rFonts w:cs="Arial"/>
        </w:rPr>
        <w:t>.</w:t>
      </w:r>
    </w:p>
    <w:p w:rsidR="00FC4F64" w:rsidRPr="00744C70" w:rsidRDefault="00FC4F64" w:rsidP="00FC4F64">
      <w:pPr>
        <w:pStyle w:val="ListParagraph"/>
        <w:tabs>
          <w:tab w:val="left" w:pos="709"/>
        </w:tabs>
        <w:ind w:left="0"/>
        <w:jc w:val="both"/>
        <w:rPr>
          <w:rFonts w:cs="Arial"/>
          <w:lang w:val="en-GB"/>
        </w:rPr>
      </w:pPr>
    </w:p>
    <w:p w:rsidR="00FC4F64" w:rsidRPr="00440272" w:rsidRDefault="00FC4F64" w:rsidP="005703CF">
      <w:pPr>
        <w:pStyle w:val="ListParagraph"/>
        <w:numPr>
          <w:ilvl w:val="0"/>
          <w:numId w:val="10"/>
        </w:numPr>
        <w:tabs>
          <w:tab w:val="left" w:pos="709"/>
        </w:tabs>
        <w:ind w:left="0" w:firstLine="0"/>
        <w:jc w:val="both"/>
        <w:rPr>
          <w:rFonts w:cs="Arial"/>
          <w:lang w:val="en-GB"/>
        </w:rPr>
      </w:pPr>
      <w:r>
        <w:rPr>
          <w:rFonts w:cs="Arial"/>
          <w:lang w:val="en-GB"/>
        </w:rPr>
        <w:t xml:space="preserve">The IB </w:t>
      </w:r>
      <w:r w:rsidRPr="00440272">
        <w:rPr>
          <w:rFonts w:cs="Arial"/>
          <w:lang w:val="en-GB"/>
        </w:rPr>
        <w:t xml:space="preserve">has made significant progress in the automation of certain processes relating to formalities examination of PCT international applications. </w:t>
      </w:r>
      <w:r>
        <w:rPr>
          <w:rFonts w:cs="Arial"/>
          <w:lang w:val="en-GB"/>
        </w:rPr>
        <w:t xml:space="preserve"> </w:t>
      </w:r>
      <w:r w:rsidRPr="00440272">
        <w:rPr>
          <w:rFonts w:cs="Arial"/>
          <w:lang w:val="en-GB"/>
        </w:rPr>
        <w:t xml:space="preserve">This has enabled the IB to increase </w:t>
      </w:r>
      <w:r w:rsidRPr="00744C70">
        <w:rPr>
          <w:rFonts w:cs="Arial"/>
          <w:lang w:val="en-GB"/>
        </w:rPr>
        <w:t xml:space="preserve">efficiency in processing new applications filed electronically in XML and PDF format from China, Japan and </w:t>
      </w:r>
      <w:r w:rsidR="00B73889">
        <w:rPr>
          <w:rFonts w:cs="Arial"/>
          <w:lang w:val="en-GB"/>
        </w:rPr>
        <w:t xml:space="preserve">the </w:t>
      </w:r>
      <w:r w:rsidRPr="00744C70">
        <w:rPr>
          <w:rFonts w:cs="Arial"/>
          <w:lang w:val="en-GB"/>
        </w:rPr>
        <w:t xml:space="preserve">Republic of Korea. </w:t>
      </w:r>
      <w:r w:rsidR="00B73889">
        <w:rPr>
          <w:rFonts w:cs="Arial"/>
          <w:lang w:val="en-GB"/>
        </w:rPr>
        <w:t xml:space="preserve"> </w:t>
      </w:r>
      <w:r w:rsidRPr="00744C70">
        <w:rPr>
          <w:rFonts w:cs="Arial"/>
          <w:lang w:val="en-GB"/>
        </w:rPr>
        <w:t>Although the performance target of 80 per cent, which is defined using the average figures of the last three years, has not yet been met, the actual timeliness of formalities examination of PCT international applications has markedly improved in 2013 with 8</w:t>
      </w:r>
      <w:r>
        <w:rPr>
          <w:rFonts w:cs="Arial"/>
          <w:lang w:val="en-GB"/>
        </w:rPr>
        <w:t>3</w:t>
      </w:r>
      <w:r w:rsidRPr="00744C70">
        <w:rPr>
          <w:rFonts w:cs="Arial"/>
          <w:lang w:val="en-GB"/>
        </w:rPr>
        <w:t xml:space="preserve"> per cent completed within three weeks</w:t>
      </w:r>
      <w:r>
        <w:rPr>
          <w:rFonts w:cs="Arial"/>
          <w:lang w:val="en-GB"/>
        </w:rPr>
        <w:t xml:space="preserve"> from receipt, compared to 69</w:t>
      </w:r>
      <w:r w:rsidRPr="00744C70">
        <w:rPr>
          <w:rFonts w:cs="Arial"/>
          <w:lang w:val="en-GB"/>
        </w:rPr>
        <w:t xml:space="preserve"> per cent</w:t>
      </w:r>
      <w:r>
        <w:rPr>
          <w:rFonts w:cs="Arial"/>
          <w:lang w:val="en-GB"/>
        </w:rPr>
        <w:t xml:space="preserve"> in 2012 and 71</w:t>
      </w:r>
      <w:r w:rsidRPr="00440272">
        <w:rPr>
          <w:rFonts w:cs="Arial"/>
          <w:lang w:val="en-GB"/>
        </w:rPr>
        <w:t xml:space="preserve"> per cent in 2011. </w:t>
      </w:r>
    </w:p>
    <w:p w:rsidR="00FC4F64" w:rsidRPr="000332F7" w:rsidRDefault="00FC4F64" w:rsidP="00FC4F64">
      <w:pPr>
        <w:tabs>
          <w:tab w:val="left" w:pos="709"/>
        </w:tabs>
        <w:jc w:val="both"/>
        <w:rPr>
          <w:rFonts w:cs="Arial"/>
          <w:szCs w:val="20"/>
          <w:lang w:val="en-GB"/>
        </w:rPr>
      </w:pPr>
    </w:p>
    <w:p w:rsidR="00FC4F64" w:rsidRPr="00936382" w:rsidRDefault="00FC4F64" w:rsidP="005703CF">
      <w:pPr>
        <w:pStyle w:val="ListParagraph"/>
        <w:numPr>
          <w:ilvl w:val="0"/>
          <w:numId w:val="10"/>
        </w:numPr>
        <w:tabs>
          <w:tab w:val="left" w:pos="709"/>
        </w:tabs>
        <w:ind w:left="0" w:firstLine="0"/>
        <w:jc w:val="both"/>
        <w:rPr>
          <w:rFonts w:cs="Arial"/>
          <w:lang w:val="en-GB"/>
        </w:rPr>
      </w:pPr>
      <w:r w:rsidRPr="000332F7">
        <w:rPr>
          <w:rFonts w:cs="Arial"/>
          <w:lang w:val="en-GB"/>
        </w:rPr>
        <w:t>The</w:t>
      </w:r>
      <w:r>
        <w:rPr>
          <w:rFonts w:cs="Arial"/>
          <w:lang w:val="en-GB"/>
        </w:rPr>
        <w:t xml:space="preserve"> </w:t>
      </w:r>
      <w:r w:rsidRPr="000332F7">
        <w:rPr>
          <w:rFonts w:cs="Arial"/>
          <w:lang w:val="en-GB"/>
        </w:rPr>
        <w:t xml:space="preserve">IB has also made progress in introducing more flexibility into translation workflow management. </w:t>
      </w:r>
      <w:r>
        <w:rPr>
          <w:rFonts w:cs="Arial"/>
          <w:lang w:val="en-GB"/>
        </w:rPr>
        <w:t xml:space="preserve"> </w:t>
      </w:r>
      <w:r w:rsidRPr="000332F7">
        <w:rPr>
          <w:rFonts w:cs="Arial"/>
          <w:lang w:val="en-GB"/>
        </w:rPr>
        <w:t>This was achieved through the introduction into production of the Translation Management System World</w:t>
      </w:r>
      <w:r>
        <w:rPr>
          <w:rFonts w:cs="Arial"/>
          <w:lang w:val="en-GB"/>
        </w:rPr>
        <w:t xml:space="preserve"> </w:t>
      </w:r>
      <w:r w:rsidRPr="000332F7">
        <w:rPr>
          <w:rFonts w:cs="Arial"/>
          <w:lang w:val="en-GB"/>
        </w:rPr>
        <w:t>Server in order to semi-automat</w:t>
      </w:r>
      <w:r>
        <w:rPr>
          <w:rFonts w:cs="Arial"/>
          <w:lang w:val="en-GB"/>
        </w:rPr>
        <w:t>e</w:t>
      </w:r>
      <w:r w:rsidRPr="000332F7">
        <w:rPr>
          <w:rFonts w:cs="Arial"/>
          <w:lang w:val="en-GB"/>
        </w:rPr>
        <w:t xml:space="preserve"> translation allocation and distribution procedures.</w:t>
      </w:r>
    </w:p>
    <w:p w:rsidR="00FC4F64" w:rsidRPr="00936382" w:rsidRDefault="00FC4F64" w:rsidP="00FC4F64">
      <w:pPr>
        <w:tabs>
          <w:tab w:val="left" w:pos="709"/>
        </w:tabs>
        <w:jc w:val="both"/>
        <w:rPr>
          <w:rFonts w:cs="Arial"/>
          <w:szCs w:val="20"/>
          <w:lang w:val="en-GB"/>
        </w:rPr>
      </w:pPr>
    </w:p>
    <w:p w:rsidR="00FC4F64" w:rsidRPr="00936382" w:rsidRDefault="00FC4F64" w:rsidP="005703CF">
      <w:pPr>
        <w:pStyle w:val="ListParagraph"/>
        <w:numPr>
          <w:ilvl w:val="0"/>
          <w:numId w:val="10"/>
        </w:numPr>
        <w:tabs>
          <w:tab w:val="left" w:pos="709"/>
        </w:tabs>
        <w:ind w:left="0" w:firstLine="0"/>
        <w:jc w:val="both"/>
        <w:rPr>
          <w:rFonts w:cs="Arial"/>
          <w:lang w:val="en-GB"/>
        </w:rPr>
      </w:pPr>
      <w:r w:rsidRPr="00936382">
        <w:rPr>
          <w:rFonts w:cs="Arial"/>
          <w:lang w:val="en-GB"/>
        </w:rPr>
        <w:t xml:space="preserve">The IB conducted various tailor-made cooperation activities with PCT Member States, Offices and International Authorities, as well as countries interested in joining the PCT.  The activities covered, </w:t>
      </w:r>
      <w:r w:rsidRPr="00B26DF4">
        <w:rPr>
          <w:rFonts w:cs="Arial"/>
          <w:i/>
          <w:lang w:val="en-GB"/>
        </w:rPr>
        <w:t>inter alia</w:t>
      </w:r>
      <w:r w:rsidRPr="00936382">
        <w:rPr>
          <w:rFonts w:cs="Arial"/>
          <w:lang w:val="en-GB"/>
        </w:rPr>
        <w:t xml:space="preserve">, staff training </w:t>
      </w:r>
      <w:r>
        <w:rPr>
          <w:rFonts w:cs="Arial"/>
          <w:lang w:val="en-GB"/>
        </w:rPr>
        <w:t>on</w:t>
      </w:r>
      <w:r w:rsidRPr="00936382">
        <w:rPr>
          <w:rFonts w:cs="Arial"/>
          <w:lang w:val="en-GB"/>
        </w:rPr>
        <w:t xml:space="preserve"> technical, legal, operational and administrative issues for better implementing the PCT and promoting PCT use, both nationally and regionally. </w:t>
      </w:r>
      <w:r w:rsidR="00B73889">
        <w:rPr>
          <w:rFonts w:cs="Arial"/>
          <w:lang w:val="en-GB"/>
        </w:rPr>
        <w:t xml:space="preserve"> </w:t>
      </w:r>
      <w:r w:rsidRPr="00936382">
        <w:rPr>
          <w:rFonts w:cs="Arial"/>
          <w:lang w:val="en-GB"/>
        </w:rPr>
        <w:t xml:space="preserve">In 2012/13, </w:t>
      </w:r>
      <w:r>
        <w:rPr>
          <w:rFonts w:cs="Arial"/>
          <w:lang w:val="en-GB"/>
        </w:rPr>
        <w:t xml:space="preserve">a total of </w:t>
      </w:r>
      <w:r w:rsidRPr="00936382">
        <w:rPr>
          <w:rFonts w:cs="Arial"/>
          <w:lang w:val="en-GB"/>
        </w:rPr>
        <w:t xml:space="preserve">89 seminars and workshops took place in 51 countries </w:t>
      </w:r>
      <w:r>
        <w:rPr>
          <w:rFonts w:cs="Arial"/>
          <w:lang w:val="en-GB"/>
        </w:rPr>
        <w:t xml:space="preserve">with the participation of </w:t>
      </w:r>
      <w:r w:rsidRPr="00936382">
        <w:rPr>
          <w:rFonts w:cs="Arial"/>
          <w:lang w:val="en-GB"/>
        </w:rPr>
        <w:t xml:space="preserve">offices and authorities as well as universities, research institutions and other interested parties from 106 countries and regional organizations.  These seminars and workshops focused, in particular, on Offices in developing </w:t>
      </w:r>
      <w:r>
        <w:rPr>
          <w:rFonts w:cs="Arial"/>
          <w:lang w:val="en-GB"/>
        </w:rPr>
        <w:t>countries and LDCs</w:t>
      </w:r>
      <w:r w:rsidRPr="00936382">
        <w:rPr>
          <w:rFonts w:cs="Arial"/>
          <w:lang w:val="en-GB"/>
        </w:rPr>
        <w:t xml:space="preserve">. </w:t>
      </w:r>
      <w:r>
        <w:rPr>
          <w:rFonts w:cs="Arial"/>
          <w:lang w:val="en-GB"/>
        </w:rPr>
        <w:t xml:space="preserve"> </w:t>
      </w:r>
      <w:r w:rsidRPr="00936382">
        <w:rPr>
          <w:rFonts w:cs="Arial"/>
          <w:lang w:val="en-GB"/>
        </w:rPr>
        <w:t>Assistance in technological areas continued to promote the electronic exchange of documents and data between the IB and Offices, resulting in 93 per cent of the IB’s incoming documents from Offices being received in electronic form in 2013 (</w:t>
      </w:r>
      <w:r>
        <w:rPr>
          <w:rFonts w:cs="Arial"/>
          <w:lang w:val="en-GB"/>
        </w:rPr>
        <w:t xml:space="preserve">up from </w:t>
      </w:r>
      <w:r w:rsidRPr="00936382">
        <w:rPr>
          <w:rFonts w:cs="Arial"/>
          <w:lang w:val="en-GB"/>
        </w:rPr>
        <w:t xml:space="preserve">92 per cent in 2012). </w:t>
      </w:r>
      <w:r>
        <w:rPr>
          <w:rFonts w:cs="Arial"/>
          <w:lang w:val="en-GB"/>
        </w:rPr>
        <w:t xml:space="preserve"> </w:t>
      </w:r>
      <w:r w:rsidRPr="00936382">
        <w:rPr>
          <w:rFonts w:cs="Arial"/>
          <w:lang w:val="en-GB"/>
        </w:rPr>
        <w:t>Information on technical assistance activities relating to the PCT over the 2012</w:t>
      </w:r>
      <w:r>
        <w:rPr>
          <w:rFonts w:cs="Arial"/>
          <w:lang w:val="en-GB"/>
        </w:rPr>
        <w:t>/</w:t>
      </w:r>
      <w:r w:rsidRPr="00936382">
        <w:rPr>
          <w:rFonts w:cs="Arial"/>
          <w:lang w:val="en-GB"/>
        </w:rPr>
        <w:t xml:space="preserve">13 biennium was submitted to the PCT Working Group in 2012 and 2013. </w:t>
      </w:r>
      <w:r>
        <w:rPr>
          <w:rFonts w:cs="Arial"/>
          <w:lang w:val="en-GB"/>
        </w:rPr>
        <w:t xml:space="preserve"> </w:t>
      </w:r>
      <w:r w:rsidRPr="00936382">
        <w:rPr>
          <w:rFonts w:cs="Arial"/>
          <w:lang w:val="en-GB"/>
        </w:rPr>
        <w:t>The IB continues to collect feedback systematically from PCT Member States, Offices and International Authorities to improve these cooperation activities.</w:t>
      </w:r>
    </w:p>
    <w:p w:rsidR="00FC4F64" w:rsidRPr="00936382" w:rsidRDefault="00FC4F64" w:rsidP="00FC4F64">
      <w:pPr>
        <w:tabs>
          <w:tab w:val="left" w:pos="709"/>
        </w:tabs>
        <w:jc w:val="both"/>
        <w:rPr>
          <w:rFonts w:cs="Arial"/>
          <w:szCs w:val="20"/>
          <w:lang w:val="en-GB"/>
        </w:rPr>
      </w:pPr>
    </w:p>
    <w:p w:rsidR="00FC4F64" w:rsidRPr="00936382" w:rsidRDefault="00FC4F64" w:rsidP="005703CF">
      <w:pPr>
        <w:pStyle w:val="ListParagraph"/>
        <w:numPr>
          <w:ilvl w:val="0"/>
          <w:numId w:val="10"/>
        </w:numPr>
        <w:tabs>
          <w:tab w:val="left" w:pos="709"/>
        </w:tabs>
        <w:ind w:left="0" w:firstLine="0"/>
        <w:jc w:val="both"/>
        <w:rPr>
          <w:rFonts w:cs="Arial"/>
          <w:bCs/>
          <w:color w:val="000000"/>
        </w:rPr>
      </w:pPr>
      <w:r w:rsidRPr="00936382">
        <w:t>Awareness of the PCT among users and potential users was enhanced during the biennium through a variety of training and outreach activities (122 seminars, 60 presentations, 40 webinars and 55</w:t>
      </w:r>
      <w:r w:rsidR="00B73889">
        <w:t> </w:t>
      </w:r>
      <w:r w:rsidRPr="00936382">
        <w:t xml:space="preserve">user visits). </w:t>
      </w:r>
      <w:r>
        <w:t xml:space="preserve"> </w:t>
      </w:r>
      <w:r w:rsidRPr="00936382">
        <w:t xml:space="preserve">The IB created and published 29 PCT training video segments (“Learn the PCT” series) on the WIPO YouTube channel, useful to all applicants, and particularly useful to developing and least developed countries, and SMEs. </w:t>
      </w:r>
      <w:r>
        <w:t xml:space="preserve"> </w:t>
      </w:r>
      <w:r w:rsidRPr="00936382">
        <w:t xml:space="preserve">Amendments to the PCT Regulations were implemented on-time, along with the PCT legal framework for </w:t>
      </w:r>
      <w:r w:rsidRPr="00936382">
        <w:rPr>
          <w:bCs/>
        </w:rPr>
        <w:t>the</w:t>
      </w:r>
      <w:r w:rsidRPr="00936382">
        <w:t xml:space="preserve"> Third Party Observation system. </w:t>
      </w:r>
      <w:r>
        <w:t xml:space="preserve"> </w:t>
      </w:r>
      <w:r w:rsidRPr="00936382">
        <w:t xml:space="preserve">The PCT Receiving Office Guidelines were modified to incorporate the IB’s practice on restoration of the right of priority, after consideration by the PCT Working Group and consultation with Member States. </w:t>
      </w:r>
      <w:r>
        <w:t xml:space="preserve"> </w:t>
      </w:r>
      <w:r w:rsidRPr="00936382">
        <w:rPr>
          <w:bCs/>
        </w:rPr>
        <w:t>A n</w:t>
      </w:r>
      <w:r w:rsidRPr="00936382">
        <w:t>ew online information resource was launched aimed at managers and lawyers (</w:t>
      </w:r>
      <w:r w:rsidRPr="00936382">
        <w:rPr>
          <w:i/>
          <w:iCs/>
        </w:rPr>
        <w:t>PCT Brief</w:t>
      </w:r>
      <w:r w:rsidRPr="00936382">
        <w:t xml:space="preserve">). </w:t>
      </w:r>
      <w:r>
        <w:t xml:space="preserve"> </w:t>
      </w:r>
      <w:r w:rsidRPr="00936382">
        <w:t>In addition, the</w:t>
      </w:r>
      <w:r>
        <w:t xml:space="preserve"> </w:t>
      </w:r>
      <w:r w:rsidRPr="00936382">
        <w:t>IB responded to 24,198 PCT-related inquiries from PCT users and potential users (</w:t>
      </w:r>
      <w:r>
        <w:t xml:space="preserve">an </w:t>
      </w:r>
      <w:r w:rsidRPr="00936382">
        <w:t>average</w:t>
      </w:r>
      <w:r>
        <w:t xml:space="preserve"> of </w:t>
      </w:r>
      <w:r w:rsidRPr="00936382">
        <w:t>48</w:t>
      </w:r>
      <w:r>
        <w:t xml:space="preserve"> inquiries per </w:t>
      </w:r>
      <w:r w:rsidRPr="00936382">
        <w:t xml:space="preserve">day) and resolved 2,721 “special handling” cases during the biennium. </w:t>
      </w:r>
      <w:r w:rsidRPr="00936382">
        <w:rPr>
          <w:rFonts w:cs="Arial"/>
          <w:bCs/>
        </w:rPr>
        <w:t xml:space="preserve"> </w:t>
      </w:r>
    </w:p>
    <w:p w:rsidR="00FC4F64" w:rsidRPr="00936382" w:rsidRDefault="00FC4F64" w:rsidP="00FC4F64">
      <w:pPr>
        <w:tabs>
          <w:tab w:val="left" w:pos="709"/>
        </w:tabs>
        <w:jc w:val="both"/>
        <w:rPr>
          <w:rFonts w:cs="Arial"/>
          <w:bCs/>
          <w:szCs w:val="20"/>
        </w:rPr>
      </w:pPr>
    </w:p>
    <w:p w:rsidR="00FC4F64" w:rsidRPr="00936382" w:rsidRDefault="00FC4F64" w:rsidP="005703CF">
      <w:pPr>
        <w:pStyle w:val="ListParagraph"/>
        <w:numPr>
          <w:ilvl w:val="0"/>
          <w:numId w:val="10"/>
        </w:numPr>
        <w:tabs>
          <w:tab w:val="left" w:pos="709"/>
        </w:tabs>
        <w:ind w:left="0" w:firstLine="0"/>
        <w:jc w:val="both"/>
        <w:rPr>
          <w:rFonts w:cs="Arial"/>
          <w:color w:val="000000"/>
        </w:rPr>
      </w:pPr>
      <w:r w:rsidRPr="00936382">
        <w:rPr>
          <w:rFonts w:cs="Arial"/>
        </w:rPr>
        <w:t>In 2010</w:t>
      </w:r>
      <w:r>
        <w:rPr>
          <w:rFonts w:cs="Arial"/>
        </w:rPr>
        <w:t>,</w:t>
      </w:r>
      <w:r w:rsidRPr="00936382">
        <w:rPr>
          <w:rFonts w:cs="Arial"/>
        </w:rPr>
        <w:t xml:space="preserve"> the PCT Working Group endorsed recommendations for improving the PCT (“PCT Roadmap”).  Although the PCT Roadmap included some specific steps, the general goal was to review how the Treaty was delivering benefits to all interested parties:  applicants, national Offices, and the public; and to encourage users to better deploy the system to improve its results.  This would require administrative and technical actions, not necessari</w:t>
      </w:r>
      <w:r>
        <w:rPr>
          <w:rFonts w:cs="Arial"/>
        </w:rPr>
        <w:t xml:space="preserve">ly changes to the Regulations.  </w:t>
      </w:r>
      <w:r w:rsidRPr="000E5272">
        <w:t xml:space="preserve">Significant progress has been made during the 2012/13 biennium, </w:t>
      </w:r>
      <w:r>
        <w:t xml:space="preserve">in </w:t>
      </w:r>
      <w:r w:rsidRPr="000E5272">
        <w:rPr>
          <w:iCs/>
        </w:rPr>
        <w:t>accord</w:t>
      </w:r>
      <w:r>
        <w:rPr>
          <w:iCs/>
        </w:rPr>
        <w:t>ance</w:t>
      </w:r>
      <w:r w:rsidRPr="000E5272">
        <w:rPr>
          <w:iCs/>
        </w:rPr>
        <w:t xml:space="preserve"> </w:t>
      </w:r>
      <w:r>
        <w:rPr>
          <w:iCs/>
        </w:rPr>
        <w:t>with</w:t>
      </w:r>
      <w:r w:rsidRPr="000E5272">
        <w:rPr>
          <w:iCs/>
        </w:rPr>
        <w:t xml:space="preserve"> the PCT Roadmap</w:t>
      </w:r>
      <w:r w:rsidRPr="000E5272">
        <w:rPr>
          <w:i/>
          <w:iCs/>
        </w:rPr>
        <w:t>,</w:t>
      </w:r>
      <w:r w:rsidRPr="000E5272">
        <w:t xml:space="preserve"> in the following respects</w:t>
      </w:r>
      <w:r w:rsidRPr="00936382">
        <w:rPr>
          <w:rFonts w:cs="Arial"/>
        </w:rPr>
        <w:t xml:space="preserve">:  (a) the PCT agenda now prominently features the issue of quality of work products (including </w:t>
      </w:r>
      <w:r w:rsidRPr="00936382">
        <w:rPr>
          <w:rFonts w:cs="Arial"/>
        </w:rPr>
        <w:lastRenderedPageBreak/>
        <w:t xml:space="preserve">international search reports and written opinions, as </w:t>
      </w:r>
      <w:r>
        <w:rPr>
          <w:rFonts w:cs="Arial"/>
        </w:rPr>
        <w:t>well as administration at the IB</w:t>
      </w:r>
      <w:r w:rsidRPr="00936382">
        <w:rPr>
          <w:rFonts w:cs="Arial"/>
        </w:rPr>
        <w:t xml:space="preserve"> and Offices);  (b)</w:t>
      </w:r>
      <w:r>
        <w:rPr>
          <w:rFonts w:cs="Arial"/>
        </w:rPr>
        <w:t> </w:t>
      </w:r>
      <w:r w:rsidRPr="00936382">
        <w:rPr>
          <w:rFonts w:cs="Arial"/>
        </w:rPr>
        <w:t xml:space="preserve">discussions among stakeholders at the national level recognize the utility of high-quality PCT work products and the importance </w:t>
      </w:r>
      <w:r w:rsidRPr="00936382">
        <w:rPr>
          <w:rFonts w:eastAsia="SimSun" w:cs="Arial"/>
        </w:rPr>
        <w:t xml:space="preserve">of appropriate integration of </w:t>
      </w:r>
      <w:r w:rsidRPr="00936382">
        <w:rPr>
          <w:rFonts w:cs="Arial"/>
        </w:rPr>
        <w:t xml:space="preserve">those </w:t>
      </w:r>
      <w:r w:rsidRPr="00936382">
        <w:rPr>
          <w:rFonts w:eastAsia="SimSun" w:cs="Arial"/>
        </w:rPr>
        <w:t xml:space="preserve">PCT work products into </w:t>
      </w:r>
      <w:r w:rsidRPr="00936382">
        <w:rPr>
          <w:rFonts w:cs="Arial"/>
        </w:rPr>
        <w:t xml:space="preserve">the </w:t>
      </w:r>
      <w:r w:rsidRPr="00936382">
        <w:rPr>
          <w:rFonts w:eastAsia="SimSun" w:cs="Arial"/>
        </w:rPr>
        <w:t>national patent granting procedures</w:t>
      </w:r>
      <w:r w:rsidRPr="00936382">
        <w:rPr>
          <w:rFonts w:cs="Arial"/>
        </w:rPr>
        <w:t xml:space="preserve"> and, more generally, the importance of the PCT to the operation of the international patent system as a whole;  (c) interested parties better understand the role of the PCT in the effective dissemination of technical information;  and (d) there is greater understanding of the needs of Contracting States for high-quality international applications and PCT work products, of the capacity of Contracting States to perform their own effective search and examination, and of the needs for continued technical assistance for developing and least developed countries in that regard</w:t>
      </w:r>
      <w:r w:rsidRPr="00936382">
        <w:rPr>
          <w:rFonts w:cs="Arial"/>
          <w:color w:val="000000"/>
        </w:rPr>
        <w:t xml:space="preserve">. </w:t>
      </w:r>
    </w:p>
    <w:p w:rsidR="00FC4F64" w:rsidRPr="00936382" w:rsidRDefault="00FC4F64" w:rsidP="00FC4F64">
      <w:pPr>
        <w:pStyle w:val="ListParagraph"/>
        <w:tabs>
          <w:tab w:val="left" w:pos="709"/>
        </w:tabs>
        <w:ind w:left="927"/>
        <w:jc w:val="both"/>
        <w:rPr>
          <w:rFonts w:cs="Arial"/>
          <w:bCs/>
          <w:color w:val="000000"/>
        </w:rPr>
      </w:pPr>
    </w:p>
    <w:p w:rsidR="00FC4F64" w:rsidRPr="00936382" w:rsidRDefault="00FC4F64" w:rsidP="005703CF">
      <w:pPr>
        <w:pStyle w:val="ListParagraph"/>
        <w:numPr>
          <w:ilvl w:val="0"/>
          <w:numId w:val="10"/>
        </w:numPr>
        <w:tabs>
          <w:tab w:val="left" w:pos="709"/>
        </w:tabs>
        <w:ind w:left="0" w:firstLine="0"/>
        <w:jc w:val="both"/>
        <w:rPr>
          <w:rFonts w:cs="Arial"/>
          <w:bCs/>
        </w:rPr>
      </w:pPr>
      <w:r w:rsidRPr="00936382">
        <w:rPr>
          <w:rFonts w:cs="Arial"/>
          <w:color w:val="000000"/>
        </w:rPr>
        <w:t>The ePCT system became available to Offices as well as applicants and added a wide range of new features.  Use of the new services contribute</w:t>
      </w:r>
      <w:r>
        <w:rPr>
          <w:rFonts w:cs="Arial"/>
          <w:color w:val="000000"/>
        </w:rPr>
        <w:t>d</w:t>
      </w:r>
      <w:r w:rsidRPr="00936382">
        <w:rPr>
          <w:rFonts w:cs="Arial"/>
          <w:color w:val="000000"/>
        </w:rPr>
        <w:t xml:space="preserve"> towards more timely and consistent international phase processing with a reduced risk of errors.  The Office services associated with ePCT-filing </w:t>
      </w:r>
      <w:r>
        <w:rPr>
          <w:rFonts w:cs="Arial"/>
          <w:color w:val="000000"/>
        </w:rPr>
        <w:t>provide</w:t>
      </w:r>
      <w:r w:rsidRPr="00936382">
        <w:rPr>
          <w:rFonts w:cs="Arial"/>
          <w:color w:val="000000"/>
        </w:rPr>
        <w:t xml:space="preserve"> the possibility for small Offices to offer electronic filing to their local applicants without the cost and difficulty of maintaining the relevant infrastructure themselves.  While not in live use by the end of the biennium, the service was being assessed by the Offices of several developing countries</w:t>
      </w:r>
      <w:r>
        <w:rPr>
          <w:rFonts w:cs="Arial"/>
          <w:color w:val="000000"/>
        </w:rPr>
        <w:t>.</w:t>
      </w:r>
      <w:r w:rsidRPr="00936382">
        <w:rPr>
          <w:rFonts w:cs="Arial"/>
          <w:color w:val="000000"/>
        </w:rPr>
        <w:t xml:space="preserve"> </w:t>
      </w:r>
    </w:p>
    <w:p w:rsidR="00FC4F64" w:rsidRPr="003642A1" w:rsidRDefault="00FC4F64" w:rsidP="00FC4F64">
      <w:pPr>
        <w:tabs>
          <w:tab w:val="left" w:pos="709"/>
        </w:tabs>
        <w:rPr>
          <w:rFonts w:cs="Arial"/>
          <w:bCs/>
          <w:sz w:val="22"/>
          <w:szCs w:val="22"/>
        </w:rPr>
      </w:pPr>
    </w:p>
    <w:p w:rsidR="00FC4F64" w:rsidRDefault="00FC4F64" w:rsidP="00FC4F64">
      <w:pPr>
        <w:tabs>
          <w:tab w:val="left" w:pos="709"/>
        </w:tabs>
        <w:rPr>
          <w:rFonts w:cs="Arial"/>
          <w:bCs/>
          <w:sz w:val="22"/>
          <w:szCs w:val="22"/>
          <w:lang w:val="pt-BR"/>
        </w:rPr>
      </w:pPr>
      <w:r w:rsidRPr="003642A1">
        <w:rPr>
          <w:rFonts w:cs="Arial"/>
          <w:bCs/>
          <w:sz w:val="22"/>
          <w:szCs w:val="22"/>
          <w:lang w:val="pt-BR"/>
        </w:rPr>
        <w:t xml:space="preserve">IMPLEMENTATION OF THE DEVELOPMENT AGENDA </w:t>
      </w:r>
    </w:p>
    <w:p w:rsidR="00FC4F64" w:rsidRPr="003642A1" w:rsidRDefault="00FC4F64" w:rsidP="00FC4F64">
      <w:pPr>
        <w:tabs>
          <w:tab w:val="left" w:pos="709"/>
        </w:tabs>
        <w:rPr>
          <w:sz w:val="22"/>
          <w:szCs w:val="22"/>
        </w:rPr>
      </w:pPr>
    </w:p>
    <w:p w:rsidR="00FC4F64" w:rsidRPr="00737C8C" w:rsidRDefault="00FC4F64" w:rsidP="005703CF">
      <w:pPr>
        <w:pStyle w:val="ListParagraph"/>
        <w:numPr>
          <w:ilvl w:val="0"/>
          <w:numId w:val="10"/>
        </w:numPr>
        <w:tabs>
          <w:tab w:val="left" w:pos="709"/>
        </w:tabs>
        <w:ind w:left="0" w:firstLine="0"/>
        <w:jc w:val="both"/>
        <w:rPr>
          <w:rFonts w:cs="Arial"/>
          <w:bCs/>
        </w:rPr>
      </w:pPr>
      <w:r w:rsidRPr="00737C8C">
        <w:rPr>
          <w:rFonts w:cs="Arial"/>
          <w:bCs/>
        </w:rPr>
        <w:t xml:space="preserve">An important part of </w:t>
      </w:r>
      <w:r>
        <w:rPr>
          <w:rFonts w:cs="Arial"/>
          <w:bCs/>
        </w:rPr>
        <w:t>the work of the Program involved</w:t>
      </w:r>
      <w:r w:rsidRPr="00737C8C">
        <w:rPr>
          <w:rFonts w:cs="Arial"/>
          <w:bCs/>
        </w:rPr>
        <w:t xml:space="preserve"> the promotion of the </w:t>
      </w:r>
      <w:r w:rsidR="009E5B4C">
        <w:rPr>
          <w:rFonts w:cs="Arial"/>
          <w:bCs/>
        </w:rPr>
        <w:t>PCT System</w:t>
      </w:r>
      <w:r w:rsidRPr="00737C8C">
        <w:rPr>
          <w:rFonts w:cs="Arial"/>
          <w:bCs/>
        </w:rPr>
        <w:t xml:space="preserve"> and technical cooperation and assistance to developing countries and LDCs.  Training and capacity building activities </w:t>
      </w:r>
      <w:r>
        <w:rPr>
          <w:rFonts w:cs="Arial"/>
          <w:bCs/>
        </w:rPr>
        <w:t xml:space="preserve">were </w:t>
      </w:r>
      <w:r w:rsidRPr="00737C8C">
        <w:rPr>
          <w:rFonts w:cs="Arial"/>
          <w:bCs/>
        </w:rPr>
        <w:t xml:space="preserve">conducted with the goal of assisting Member States to strengthen national capacity for protection of national creativity and innovation in accordance with the Development Agenda (Recommendation 11).  The activities </w:t>
      </w:r>
      <w:r>
        <w:rPr>
          <w:rFonts w:cs="Arial"/>
          <w:bCs/>
        </w:rPr>
        <w:t xml:space="preserve">were </w:t>
      </w:r>
      <w:r w:rsidRPr="00737C8C">
        <w:rPr>
          <w:rFonts w:cs="Arial"/>
          <w:bCs/>
        </w:rPr>
        <w:t>demand-driven, development-oriented and transparent (Recommendation 1)</w:t>
      </w:r>
      <w:r>
        <w:rPr>
          <w:rFonts w:cs="Arial"/>
          <w:bCs/>
        </w:rPr>
        <w:t>.</w:t>
      </w:r>
      <w:r w:rsidRPr="00737C8C">
        <w:rPr>
          <w:rFonts w:cs="Arial"/>
          <w:bCs/>
        </w:rPr>
        <w:t xml:space="preserve"> </w:t>
      </w:r>
      <w:r>
        <w:rPr>
          <w:rFonts w:cs="Arial"/>
          <w:bCs/>
        </w:rPr>
        <w:t xml:space="preserve"> T</w:t>
      </w:r>
      <w:r w:rsidRPr="00737C8C">
        <w:rPr>
          <w:rFonts w:cs="Arial"/>
          <w:bCs/>
        </w:rPr>
        <w:t xml:space="preserve">hey </w:t>
      </w:r>
      <w:r>
        <w:rPr>
          <w:rFonts w:cs="Arial"/>
          <w:bCs/>
        </w:rPr>
        <w:t xml:space="preserve">were </w:t>
      </w:r>
      <w:r w:rsidRPr="00737C8C">
        <w:rPr>
          <w:rFonts w:cs="Arial"/>
          <w:bCs/>
        </w:rPr>
        <w:t>developed in coordination with the local organizers taking into account the level of PCT awareness or technical knowledge and PCT-related skills of the participants.  These activities contribute</w:t>
      </w:r>
      <w:r>
        <w:rPr>
          <w:rFonts w:cs="Arial"/>
          <w:bCs/>
        </w:rPr>
        <w:t>d</w:t>
      </w:r>
      <w:r w:rsidRPr="00737C8C">
        <w:rPr>
          <w:rFonts w:cs="Arial"/>
          <w:bCs/>
        </w:rPr>
        <w:t xml:space="preserve"> to strengthen the capacity of PCT Member States</w:t>
      </w:r>
      <w:r>
        <w:rPr>
          <w:rFonts w:cs="Arial"/>
          <w:bCs/>
        </w:rPr>
        <w:t>,</w:t>
      </w:r>
      <w:r w:rsidRPr="00737C8C">
        <w:rPr>
          <w:rFonts w:cs="Arial"/>
          <w:bCs/>
        </w:rPr>
        <w:t xml:space="preserve"> to protect inventions through the PCT by enhancing local knowledge and skills to utilize the PCT system.</w:t>
      </w:r>
    </w:p>
    <w:p w:rsidR="00FC4F64" w:rsidRPr="00737C8C" w:rsidRDefault="00FC4F64" w:rsidP="00FC4F64">
      <w:pPr>
        <w:pStyle w:val="ListParagraph"/>
        <w:tabs>
          <w:tab w:val="left" w:pos="709"/>
        </w:tabs>
        <w:jc w:val="both"/>
        <w:rPr>
          <w:rFonts w:cs="Arial"/>
          <w:bCs/>
        </w:rPr>
      </w:pPr>
    </w:p>
    <w:p w:rsidR="00FC4F64" w:rsidRDefault="00FC4F64" w:rsidP="005703CF">
      <w:pPr>
        <w:pStyle w:val="ListParagraph"/>
        <w:numPr>
          <w:ilvl w:val="0"/>
          <w:numId w:val="10"/>
        </w:numPr>
        <w:tabs>
          <w:tab w:val="left" w:pos="709"/>
        </w:tabs>
        <w:ind w:left="0" w:firstLine="0"/>
        <w:jc w:val="both"/>
        <w:rPr>
          <w:rFonts w:cs="Arial"/>
          <w:bCs/>
        </w:rPr>
      </w:pPr>
      <w:r w:rsidRPr="00737C8C">
        <w:rPr>
          <w:rFonts w:cs="Arial"/>
          <w:bCs/>
        </w:rPr>
        <w:t>In addition, in 2012/13, the PCT Working Group held its fifth and sixth sessions</w:t>
      </w:r>
      <w:r>
        <w:rPr>
          <w:rFonts w:cs="Arial"/>
          <w:bCs/>
        </w:rPr>
        <w:t>.</w:t>
      </w:r>
      <w:r w:rsidRPr="00737C8C">
        <w:rPr>
          <w:rFonts w:cs="Arial"/>
          <w:bCs/>
        </w:rPr>
        <w:t xml:space="preserve"> </w:t>
      </w:r>
      <w:r w:rsidR="00B73889">
        <w:rPr>
          <w:rFonts w:cs="Arial"/>
          <w:bCs/>
        </w:rPr>
        <w:t xml:space="preserve"> </w:t>
      </w:r>
      <w:r>
        <w:rPr>
          <w:rFonts w:cs="Arial"/>
          <w:bCs/>
        </w:rPr>
        <w:t>I</w:t>
      </w:r>
      <w:r w:rsidRPr="00737C8C">
        <w:rPr>
          <w:rFonts w:cs="Arial"/>
          <w:bCs/>
        </w:rPr>
        <w:t xml:space="preserve">t continued its discussions on a number of proposals aimed at improving the functioning of the </w:t>
      </w:r>
      <w:r w:rsidR="009E5B4C">
        <w:rPr>
          <w:rFonts w:cs="Arial"/>
          <w:bCs/>
        </w:rPr>
        <w:t>PCT System</w:t>
      </w:r>
      <w:r w:rsidRPr="00737C8C">
        <w:rPr>
          <w:rFonts w:cs="Arial"/>
          <w:bCs/>
        </w:rPr>
        <w:t>, in line with the recommendations which had been endorsed by the Working Group at its third session.  These recommendations endorsed by the Working Group include</w:t>
      </w:r>
      <w:r>
        <w:rPr>
          <w:rFonts w:cs="Arial"/>
          <w:bCs/>
        </w:rPr>
        <w:t>d</w:t>
      </w:r>
      <w:r w:rsidRPr="00737C8C">
        <w:rPr>
          <w:rFonts w:cs="Arial"/>
          <w:bCs/>
        </w:rPr>
        <w:t xml:space="preserve"> recommendations </w:t>
      </w:r>
      <w:r w:rsidRPr="0070259E">
        <w:rPr>
          <w:rFonts w:cs="Arial"/>
          <w:bCs/>
        </w:rPr>
        <w:t xml:space="preserve">as </w:t>
      </w:r>
      <w:r w:rsidR="0070259E" w:rsidRPr="0070259E">
        <w:rPr>
          <w:rFonts w:cs="Arial"/>
          <w:bCs/>
        </w:rPr>
        <w:t xml:space="preserve">to </w:t>
      </w:r>
      <w:r w:rsidRPr="0070259E">
        <w:rPr>
          <w:rFonts w:cs="Arial"/>
          <w:bCs/>
        </w:rPr>
        <w:t>how</w:t>
      </w:r>
      <w:r w:rsidRPr="00737C8C">
        <w:rPr>
          <w:rFonts w:cs="Arial"/>
          <w:bCs/>
        </w:rPr>
        <w:t xml:space="preserve"> the future development of the PCT can be matched with applicable DA recommendations, notably from Clusters A and C.  At its fifth session (May 29 to June 1, 2012), the PCT Working Group noted a progress report by the IB on the implementation of those recommendations.  The focus of these improvements, to be carried out by the WIPO Secretariat, applicants, Contracting States and national Offices (acting in both their national and international capacities), </w:t>
      </w:r>
      <w:r>
        <w:rPr>
          <w:rFonts w:cs="Arial"/>
          <w:bCs/>
        </w:rPr>
        <w:t xml:space="preserve">was </w:t>
      </w:r>
      <w:r w:rsidRPr="00737C8C">
        <w:rPr>
          <w:rFonts w:cs="Arial"/>
          <w:bCs/>
        </w:rPr>
        <w:t xml:space="preserve">to make the </w:t>
      </w:r>
      <w:r w:rsidR="009E5B4C">
        <w:rPr>
          <w:rFonts w:cs="Arial"/>
          <w:bCs/>
        </w:rPr>
        <w:t>PCT System</w:t>
      </w:r>
      <w:r w:rsidRPr="00737C8C">
        <w:rPr>
          <w:rFonts w:cs="Arial"/>
          <w:bCs/>
        </w:rPr>
        <w:t xml:space="preserve"> more effective both for processing patent applications and for supporting technology transfer and technical assistance to developing countries. </w:t>
      </w:r>
    </w:p>
    <w:p w:rsidR="00FC4F64" w:rsidRPr="00737C8C" w:rsidRDefault="00FC4F64" w:rsidP="00FC4F64">
      <w:pPr>
        <w:pStyle w:val="ListParagraph"/>
        <w:tabs>
          <w:tab w:val="left" w:pos="709"/>
        </w:tabs>
        <w:ind w:left="0"/>
        <w:jc w:val="both"/>
        <w:rPr>
          <w:rFonts w:cs="Arial"/>
          <w:bCs/>
        </w:rPr>
      </w:pPr>
    </w:p>
    <w:p w:rsidR="00FC4F64" w:rsidRPr="00737C8C" w:rsidRDefault="00FC4F64" w:rsidP="005703CF">
      <w:pPr>
        <w:pStyle w:val="ListParagraph"/>
        <w:numPr>
          <w:ilvl w:val="0"/>
          <w:numId w:val="10"/>
        </w:numPr>
        <w:tabs>
          <w:tab w:val="left" w:pos="709"/>
        </w:tabs>
        <w:ind w:left="0" w:firstLine="0"/>
        <w:jc w:val="both"/>
        <w:rPr>
          <w:rFonts w:cs="Arial"/>
          <w:bCs/>
        </w:rPr>
      </w:pPr>
      <w:r w:rsidRPr="00737C8C">
        <w:rPr>
          <w:rFonts w:cs="Arial"/>
          <w:bCs/>
        </w:rPr>
        <w:t>The Working Group also took note of a study prepared by the IB on the coordination of technical assistance and financing of technical assistance projects for developing countries under Article 51 of the PCT</w:t>
      </w:r>
      <w:r>
        <w:rPr>
          <w:rFonts w:cs="Arial"/>
          <w:bCs/>
        </w:rPr>
        <w:t xml:space="preserve">.  </w:t>
      </w:r>
      <w:r w:rsidRPr="00737C8C">
        <w:rPr>
          <w:rFonts w:cs="Arial"/>
          <w:bCs/>
        </w:rPr>
        <w:t>The Working Group</w:t>
      </w:r>
      <w:r>
        <w:rPr>
          <w:rFonts w:cs="Arial"/>
          <w:bCs/>
        </w:rPr>
        <w:t xml:space="preserve"> further </w:t>
      </w:r>
      <w:r w:rsidRPr="00737C8C">
        <w:rPr>
          <w:rFonts w:cs="Arial"/>
          <w:bCs/>
        </w:rPr>
        <w:t>noted the contents of a study</w:t>
      </w:r>
      <w:r>
        <w:rPr>
          <w:rFonts w:cs="Arial"/>
          <w:bCs/>
        </w:rPr>
        <w:t xml:space="preserve"> </w:t>
      </w:r>
      <w:r w:rsidRPr="00737C8C">
        <w:rPr>
          <w:rFonts w:cs="Arial"/>
          <w:bCs/>
        </w:rPr>
        <w:t xml:space="preserve">evaluating how the </w:t>
      </w:r>
      <w:r w:rsidR="009E5B4C">
        <w:rPr>
          <w:rFonts w:cs="Arial"/>
          <w:bCs/>
        </w:rPr>
        <w:t>PCT System</w:t>
      </w:r>
      <w:r w:rsidRPr="00737C8C">
        <w:rPr>
          <w:rFonts w:cs="Arial"/>
          <w:bCs/>
        </w:rPr>
        <w:t xml:space="preserve"> ha</w:t>
      </w:r>
      <w:r>
        <w:rPr>
          <w:rFonts w:cs="Arial"/>
          <w:bCs/>
        </w:rPr>
        <w:t>s</w:t>
      </w:r>
      <w:r w:rsidRPr="00737C8C">
        <w:rPr>
          <w:rFonts w:cs="Arial"/>
          <w:bCs/>
        </w:rPr>
        <w:t xml:space="preserve"> functioned in terms of realizing its aim of disseminating technical information and facilitating access to technology as well as organizing technical assistance to developing countries.</w:t>
      </w:r>
    </w:p>
    <w:p w:rsidR="00FC4F64" w:rsidRPr="00737C8C" w:rsidRDefault="00FC4F64" w:rsidP="00FC4F64">
      <w:pPr>
        <w:pStyle w:val="ListParagraph"/>
        <w:tabs>
          <w:tab w:val="left" w:pos="709"/>
        </w:tabs>
        <w:jc w:val="both"/>
        <w:rPr>
          <w:rFonts w:cs="Arial"/>
          <w:bCs/>
        </w:rPr>
      </w:pPr>
    </w:p>
    <w:p w:rsidR="00FC4F64" w:rsidRPr="00737C8C" w:rsidRDefault="00FC4F64" w:rsidP="005703CF">
      <w:pPr>
        <w:pStyle w:val="ListParagraph"/>
        <w:numPr>
          <w:ilvl w:val="0"/>
          <w:numId w:val="10"/>
        </w:numPr>
        <w:tabs>
          <w:tab w:val="left" w:pos="709"/>
        </w:tabs>
        <w:ind w:left="0" w:firstLine="0"/>
        <w:jc w:val="both"/>
        <w:rPr>
          <w:rFonts w:cs="Arial"/>
          <w:bCs/>
        </w:rPr>
      </w:pPr>
      <w:r w:rsidRPr="00737C8C">
        <w:rPr>
          <w:rFonts w:cs="Arial"/>
          <w:bCs/>
        </w:rPr>
        <w:t xml:space="preserve">At its sixth session (May 21 to 24, 2013), the PCT Working Group, </w:t>
      </w:r>
      <w:r w:rsidRPr="00B26DF4">
        <w:rPr>
          <w:rFonts w:cs="Arial"/>
          <w:bCs/>
          <w:i/>
        </w:rPr>
        <w:t>inter alia</w:t>
      </w:r>
      <w:r w:rsidRPr="00737C8C">
        <w:rPr>
          <w:rFonts w:cs="Arial"/>
          <w:bCs/>
        </w:rPr>
        <w:t>, took note of a discussion paper prepared by the IB on the issue of PCT fee reductions, addressing both the issue of fee reductions for SMEs, universities and not</w:t>
      </w:r>
      <w:r>
        <w:rPr>
          <w:rFonts w:cs="Arial"/>
          <w:bCs/>
        </w:rPr>
        <w:t>-</w:t>
      </w:r>
      <w:r w:rsidRPr="00737C8C">
        <w:rPr>
          <w:rFonts w:cs="Arial"/>
          <w:bCs/>
        </w:rPr>
        <w:t>for</w:t>
      </w:r>
      <w:r>
        <w:rPr>
          <w:rFonts w:cs="Arial"/>
          <w:bCs/>
        </w:rPr>
        <w:t>-</w:t>
      </w:r>
      <w:r w:rsidRPr="00737C8C">
        <w:rPr>
          <w:rFonts w:cs="Arial"/>
          <w:bCs/>
        </w:rPr>
        <w:t xml:space="preserve">profit research institutes, especially but not limited to those from developing </w:t>
      </w:r>
      <w:r w:rsidR="003A376D">
        <w:rPr>
          <w:rFonts w:cs="Arial"/>
          <w:bCs/>
        </w:rPr>
        <w:t xml:space="preserve">countries </w:t>
      </w:r>
      <w:r w:rsidRPr="00737C8C">
        <w:rPr>
          <w:rFonts w:cs="Arial"/>
          <w:bCs/>
        </w:rPr>
        <w:t xml:space="preserve">and </w:t>
      </w:r>
      <w:r w:rsidR="003A376D">
        <w:rPr>
          <w:rFonts w:cs="Arial"/>
          <w:bCs/>
        </w:rPr>
        <w:t>LDCs</w:t>
      </w:r>
      <w:r w:rsidRPr="00737C8C">
        <w:rPr>
          <w:rFonts w:cs="Arial"/>
          <w:bCs/>
        </w:rPr>
        <w:t>, as well as the issue of eligibility criteria for fee reductions for certain applicants from developing and least developed countries.</w:t>
      </w:r>
    </w:p>
    <w:p w:rsidR="00FC4F64" w:rsidRPr="00737C8C" w:rsidRDefault="00FC4F64" w:rsidP="00FC4F64">
      <w:pPr>
        <w:tabs>
          <w:tab w:val="left" w:pos="709"/>
        </w:tabs>
        <w:jc w:val="both"/>
        <w:rPr>
          <w:rFonts w:cs="Arial"/>
          <w:bCs/>
        </w:rPr>
      </w:pPr>
    </w:p>
    <w:p w:rsidR="00FC4F64" w:rsidRPr="00B26DF4" w:rsidRDefault="00FC4F64" w:rsidP="005703CF">
      <w:pPr>
        <w:pStyle w:val="ListParagraph"/>
        <w:numPr>
          <w:ilvl w:val="0"/>
          <w:numId w:val="10"/>
        </w:numPr>
        <w:tabs>
          <w:tab w:val="left" w:pos="709"/>
        </w:tabs>
        <w:ind w:left="0" w:firstLine="0"/>
        <w:jc w:val="both"/>
        <w:rPr>
          <w:rFonts w:cs="Arial"/>
          <w:bCs/>
        </w:rPr>
      </w:pPr>
      <w:r w:rsidRPr="00737C8C">
        <w:rPr>
          <w:rFonts w:cs="Arial"/>
          <w:bCs/>
        </w:rPr>
        <w:t>The Working Group further</w:t>
      </w:r>
      <w:r>
        <w:rPr>
          <w:rFonts w:cs="Arial"/>
          <w:bCs/>
        </w:rPr>
        <w:t xml:space="preserve"> </w:t>
      </w:r>
      <w:r w:rsidRPr="00737C8C">
        <w:rPr>
          <w:rFonts w:cs="Arial"/>
          <w:bCs/>
        </w:rPr>
        <w:t>noted a report by the IB on the technical assistance projects related to the PCT</w:t>
      </w:r>
      <w:r w:rsidR="00B73889">
        <w:rPr>
          <w:rFonts w:cs="Arial"/>
          <w:bCs/>
        </w:rPr>
        <w:t>,</w:t>
      </w:r>
      <w:r w:rsidRPr="00737C8C">
        <w:rPr>
          <w:rFonts w:cs="Arial"/>
          <w:bCs/>
        </w:rPr>
        <w:t xml:space="preserve"> carried out for the benefit of developing countries and LDCs, </w:t>
      </w:r>
      <w:r>
        <w:rPr>
          <w:rFonts w:cs="Arial"/>
          <w:bCs/>
        </w:rPr>
        <w:t>from</w:t>
      </w:r>
      <w:r w:rsidRPr="00737C8C">
        <w:rPr>
          <w:rFonts w:cs="Arial"/>
          <w:bCs/>
        </w:rPr>
        <w:t xml:space="preserve"> 2012 up to March 2013, along with technical assistance activities planned for the remainder of 2013.</w:t>
      </w:r>
    </w:p>
    <w:p w:rsidR="00FC4F64" w:rsidRPr="003642A1" w:rsidRDefault="00FC4F64" w:rsidP="00FC4F64">
      <w:pPr>
        <w:rPr>
          <w:rFonts w:eastAsia="MS Mincho"/>
          <w:sz w:val="22"/>
          <w:szCs w:val="22"/>
          <w:lang w:eastAsia="ja-JP" w:bidi="th-TH"/>
        </w:rPr>
      </w:pPr>
    </w:p>
    <w:p w:rsidR="00FC4F64" w:rsidRDefault="00FC4F64" w:rsidP="00FC4F64">
      <w:pPr>
        <w:rPr>
          <w:rFonts w:cs="Arial"/>
          <w:sz w:val="22"/>
          <w:szCs w:val="22"/>
        </w:rPr>
      </w:pPr>
    </w:p>
    <w:p w:rsidR="00FC4F64" w:rsidRDefault="00FC4F64" w:rsidP="00FC4F64">
      <w:pPr>
        <w:rPr>
          <w:rFonts w:cs="Arial"/>
          <w:sz w:val="22"/>
          <w:szCs w:val="22"/>
        </w:rPr>
      </w:pPr>
      <w:r>
        <w:rPr>
          <w:rFonts w:cs="Arial"/>
          <w:sz w:val="22"/>
          <w:szCs w:val="22"/>
        </w:rPr>
        <w:br w:type="page"/>
      </w:r>
    </w:p>
    <w:p w:rsidR="00FC4F64" w:rsidRPr="003642A1" w:rsidRDefault="00FC4F64" w:rsidP="00FC4F64">
      <w:pPr>
        <w:rPr>
          <w:rFonts w:cs="Arial"/>
          <w:sz w:val="22"/>
          <w:szCs w:val="22"/>
        </w:rPr>
      </w:pPr>
      <w:r w:rsidRPr="003642A1">
        <w:rPr>
          <w:rFonts w:cs="Arial"/>
          <w:sz w:val="22"/>
          <w:szCs w:val="22"/>
        </w:rPr>
        <w:lastRenderedPageBreak/>
        <w:t>PERFORMANCE DATA</w:t>
      </w:r>
      <w:r>
        <w:rPr>
          <w:rFonts w:cs="Arial"/>
          <w:sz w:val="22"/>
          <w:szCs w:val="22"/>
        </w:rPr>
        <w:t xml:space="preserve"> </w:t>
      </w:r>
    </w:p>
    <w:p w:rsidR="00FC4F64" w:rsidRPr="003642A1" w:rsidRDefault="00FC4F64" w:rsidP="00FC4F64">
      <w:pPr>
        <w:rPr>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82"/>
        <w:gridCol w:w="545"/>
        <w:gridCol w:w="1168"/>
        <w:gridCol w:w="142"/>
        <w:gridCol w:w="1241"/>
        <w:gridCol w:w="305"/>
        <w:gridCol w:w="3095"/>
        <w:gridCol w:w="283"/>
        <w:gridCol w:w="996"/>
      </w:tblGrid>
      <w:tr w:rsidR="00FC4F64" w:rsidRPr="00806461" w:rsidTr="00FC4F64">
        <w:tc>
          <w:tcPr>
            <w:tcW w:w="5000" w:type="pct"/>
            <w:gridSpan w:val="9"/>
            <w:tcBorders>
              <w:top w:val="single" w:sz="4" w:space="0" w:color="auto"/>
              <w:bottom w:val="single" w:sz="4" w:space="0" w:color="auto"/>
            </w:tcBorders>
            <w:shd w:val="clear" w:color="auto" w:fill="CCFFFF"/>
            <w:vAlign w:val="center"/>
          </w:tcPr>
          <w:p w:rsidR="00FC4F64" w:rsidRPr="00806461" w:rsidRDefault="00FC4F64" w:rsidP="00FC4F64">
            <w:pPr>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Informed strategic use of the PCT by all innovators who could benefit from it</w:t>
            </w:r>
          </w:p>
        </w:tc>
      </w:tr>
      <w:tr w:rsidR="00FC4F64" w:rsidRPr="00806461" w:rsidTr="0005539E">
        <w:tc>
          <w:tcPr>
            <w:tcW w:w="846" w:type="pct"/>
            <w:tcBorders>
              <w:top w:val="single" w:sz="4" w:space="0" w:color="auto"/>
            </w:tcBorders>
            <w:shd w:val="clear" w:color="auto" w:fill="auto"/>
            <w:vAlign w:val="center"/>
          </w:tcPr>
          <w:p w:rsidR="00FC4F64" w:rsidRPr="00806461" w:rsidRDefault="00FC4F64" w:rsidP="0005539E">
            <w:pPr>
              <w:rPr>
                <w:rFonts w:cs="Arial"/>
                <w:sz w:val="16"/>
                <w:szCs w:val="16"/>
              </w:rPr>
            </w:pPr>
            <w:r w:rsidRPr="00806461">
              <w:rPr>
                <w:rFonts w:cs="Arial"/>
                <w:b/>
                <w:bCs/>
                <w:sz w:val="16"/>
                <w:szCs w:val="16"/>
              </w:rPr>
              <w:t>Performance Indicators</w:t>
            </w:r>
          </w:p>
        </w:tc>
        <w:tc>
          <w:tcPr>
            <w:tcW w:w="991" w:type="pct"/>
            <w:gridSpan w:val="3"/>
            <w:tcBorders>
              <w:top w:val="single" w:sz="4" w:space="0" w:color="auto"/>
            </w:tcBorders>
            <w:shd w:val="clear" w:color="auto" w:fill="auto"/>
            <w:vAlign w:val="center"/>
          </w:tcPr>
          <w:p w:rsidR="00FC4F64" w:rsidRPr="00806461" w:rsidRDefault="00FC4F64" w:rsidP="0005539E">
            <w:pPr>
              <w:rPr>
                <w:rFonts w:cs="Arial"/>
                <w:b/>
                <w:bCs/>
                <w:sz w:val="16"/>
                <w:szCs w:val="16"/>
              </w:rPr>
            </w:pPr>
            <w:r w:rsidRPr="00806461">
              <w:rPr>
                <w:rFonts w:cs="Arial"/>
                <w:b/>
                <w:bCs/>
                <w:sz w:val="16"/>
                <w:szCs w:val="16"/>
              </w:rPr>
              <w:t>Baselines</w:t>
            </w:r>
          </w:p>
        </w:tc>
        <w:tc>
          <w:tcPr>
            <w:tcW w:w="825" w:type="pct"/>
            <w:gridSpan w:val="2"/>
            <w:tcBorders>
              <w:top w:val="single" w:sz="4" w:space="0" w:color="auto"/>
            </w:tcBorders>
            <w:shd w:val="clear" w:color="auto" w:fill="auto"/>
            <w:tcMar>
              <w:top w:w="110" w:type="dxa"/>
            </w:tcMar>
            <w:vAlign w:val="center"/>
          </w:tcPr>
          <w:p w:rsidR="00FC4F64" w:rsidRPr="00806461" w:rsidRDefault="00FC4F64" w:rsidP="0005539E">
            <w:pPr>
              <w:rPr>
                <w:rFonts w:cs="Arial"/>
                <w:b/>
                <w:sz w:val="16"/>
                <w:szCs w:val="16"/>
              </w:rPr>
            </w:pPr>
            <w:r w:rsidRPr="00806461">
              <w:rPr>
                <w:rFonts w:cs="Arial"/>
                <w:b/>
                <w:sz w:val="16"/>
                <w:szCs w:val="16"/>
              </w:rPr>
              <w:t>Target</w:t>
            </w:r>
            <w:r w:rsidR="00582788" w:rsidRPr="00806461">
              <w:rPr>
                <w:rFonts w:cs="Arial"/>
                <w:b/>
                <w:sz w:val="16"/>
                <w:szCs w:val="16"/>
              </w:rPr>
              <w:t>s</w:t>
            </w:r>
          </w:p>
        </w:tc>
        <w:tc>
          <w:tcPr>
            <w:tcW w:w="1654" w:type="pct"/>
            <w:tcBorders>
              <w:top w:val="single" w:sz="4" w:space="0" w:color="auto"/>
            </w:tcBorders>
            <w:shd w:val="clear" w:color="auto" w:fill="FFFFFF"/>
            <w:tcMar>
              <w:top w:w="110" w:type="dxa"/>
            </w:tcMar>
            <w:vAlign w:val="center"/>
          </w:tcPr>
          <w:p w:rsidR="00FC4F64" w:rsidRPr="00806461" w:rsidRDefault="00FC4F64" w:rsidP="0005539E">
            <w:pPr>
              <w:rPr>
                <w:rFonts w:cs="Arial"/>
                <w:sz w:val="16"/>
                <w:szCs w:val="16"/>
              </w:rPr>
            </w:pPr>
            <w:r w:rsidRPr="00806461">
              <w:rPr>
                <w:rFonts w:cs="Arial"/>
                <w:b/>
                <w:bCs/>
                <w:sz w:val="16"/>
                <w:szCs w:val="16"/>
              </w:rPr>
              <w:t>Performance Data</w:t>
            </w:r>
          </w:p>
        </w:tc>
        <w:tc>
          <w:tcPr>
            <w:tcW w:w="683" w:type="pct"/>
            <w:gridSpan w:val="2"/>
            <w:tcBorders>
              <w:top w:val="single" w:sz="4" w:space="0" w:color="auto"/>
            </w:tcBorders>
            <w:shd w:val="clear" w:color="auto" w:fill="auto"/>
            <w:tcMar>
              <w:top w:w="110" w:type="dxa"/>
            </w:tcMar>
            <w:vAlign w:val="center"/>
          </w:tcPr>
          <w:p w:rsidR="00FC4F64" w:rsidRPr="00806461" w:rsidRDefault="00FC4F64" w:rsidP="0005539E">
            <w:pPr>
              <w:jc w:val="center"/>
              <w:rPr>
                <w:rFonts w:cs="Arial"/>
                <w:b/>
                <w:bCs/>
                <w:sz w:val="16"/>
                <w:szCs w:val="16"/>
              </w:rPr>
            </w:pPr>
            <w:r w:rsidRPr="00806461">
              <w:rPr>
                <w:rFonts w:cs="Arial"/>
                <w:b/>
                <w:bCs/>
                <w:sz w:val="16"/>
                <w:szCs w:val="16"/>
              </w:rPr>
              <w:t>TLS</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PCT filings</w:t>
            </w:r>
          </w:p>
        </w:tc>
        <w:tc>
          <w:tcPr>
            <w:tcW w:w="991" w:type="pct"/>
            <w:gridSpan w:val="3"/>
            <w:shd w:val="clear" w:color="auto" w:fill="auto"/>
          </w:tcPr>
          <w:p w:rsidR="00FC4F64" w:rsidRPr="00806461" w:rsidRDefault="00FC4F64" w:rsidP="00FC4F64">
            <w:pPr>
              <w:rPr>
                <w:rFonts w:cs="Arial"/>
                <w:i/>
                <w:color w:val="002060"/>
                <w:sz w:val="16"/>
                <w:szCs w:val="16"/>
              </w:rPr>
            </w:pPr>
            <w:r w:rsidRPr="00806461">
              <w:rPr>
                <w:rFonts w:cs="Arial"/>
                <w:i/>
                <w:color w:val="002060"/>
                <w:sz w:val="16"/>
                <w:szCs w:val="16"/>
              </w:rPr>
              <w:t xml:space="preserve">Updated Baseline end 2011:  </w:t>
            </w:r>
            <w:r w:rsidRPr="00806461">
              <w:rPr>
                <w:rFonts w:cs="Arial"/>
                <w:color w:val="002060"/>
                <w:sz w:val="16"/>
                <w:szCs w:val="16"/>
                <w:lang w:bidi="th-TH"/>
              </w:rPr>
              <w:t>181,900</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0005539E">
              <w:rPr>
                <w:rFonts w:cs="Arial"/>
                <w:sz w:val="16"/>
                <w:szCs w:val="16"/>
              </w:rPr>
              <w:t xml:space="preserve">  </w:t>
            </w:r>
            <w:r w:rsidRPr="00806461">
              <w:rPr>
                <w:rFonts w:cs="Arial"/>
                <w:sz w:val="16"/>
                <w:szCs w:val="16"/>
              </w:rPr>
              <w:t>PCT filings (2011)</w:t>
            </w:r>
          </w:p>
        </w:tc>
        <w:tc>
          <w:tcPr>
            <w:tcW w:w="825" w:type="pct"/>
            <w:gridSpan w:val="2"/>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PCT filings for the</w:t>
            </w:r>
          </w:p>
          <w:p w:rsidR="00FC4F64" w:rsidRPr="00806461" w:rsidRDefault="00FC4F64" w:rsidP="00FC4F64">
            <w:pPr>
              <w:autoSpaceDE w:val="0"/>
              <w:autoSpaceDN w:val="0"/>
              <w:adjustRightInd w:val="0"/>
              <w:rPr>
                <w:rFonts w:cs="Arial"/>
                <w:sz w:val="16"/>
                <w:szCs w:val="16"/>
              </w:rPr>
            </w:pPr>
            <w:r w:rsidRPr="00806461">
              <w:rPr>
                <w:rFonts w:cs="Arial"/>
                <w:sz w:val="16"/>
                <w:szCs w:val="16"/>
              </w:rPr>
              <w:t>current year as</w:t>
            </w:r>
          </w:p>
          <w:p w:rsidR="00FC4F64" w:rsidRPr="00806461" w:rsidRDefault="00FC4F64" w:rsidP="00FC4F64">
            <w:pPr>
              <w:rPr>
                <w:rFonts w:cs="Arial"/>
                <w:sz w:val="16"/>
                <w:szCs w:val="16"/>
                <w:lang w:bidi="th-TH"/>
              </w:rPr>
            </w:pPr>
            <w:r w:rsidRPr="00806461">
              <w:rPr>
                <w:rFonts w:cs="Arial"/>
                <w:sz w:val="16"/>
                <w:szCs w:val="16"/>
              </w:rPr>
              <w:t>forecast</w:t>
            </w:r>
            <w:r w:rsidRPr="00806461" w:rsidDel="00B76796">
              <w:rPr>
                <w:rFonts w:cs="Arial"/>
                <w:sz w:val="16"/>
                <w:szCs w:val="16"/>
                <w:lang w:bidi="th-TH"/>
              </w:rPr>
              <w:t xml:space="preserve"> </w:t>
            </w:r>
          </w:p>
        </w:tc>
        <w:tc>
          <w:tcPr>
            <w:tcW w:w="1654" w:type="pct"/>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195,312 (2012)</w:t>
            </w:r>
            <w:r w:rsidRPr="00806461">
              <w:rPr>
                <w:rStyle w:val="FootnoteReference"/>
                <w:rFonts w:cs="Arial"/>
                <w:sz w:val="16"/>
                <w:szCs w:val="16"/>
                <w:lang w:bidi="th-TH"/>
              </w:rPr>
              <w:footnoteReference w:id="4"/>
            </w:r>
          </w:p>
          <w:p w:rsidR="00FC4F64" w:rsidRPr="00806461" w:rsidRDefault="00FC4F64" w:rsidP="00FC4F64">
            <w:pPr>
              <w:rPr>
                <w:rFonts w:cs="Arial"/>
                <w:sz w:val="16"/>
                <w:szCs w:val="16"/>
              </w:rPr>
            </w:pPr>
            <w:r w:rsidRPr="00806461">
              <w:rPr>
                <w:rFonts w:cs="Arial"/>
                <w:sz w:val="16"/>
                <w:szCs w:val="16"/>
                <w:lang w:bidi="th-TH"/>
              </w:rPr>
              <w:t>205,300 (2013)</w:t>
            </w:r>
          </w:p>
        </w:tc>
        <w:tc>
          <w:tcPr>
            <w:tcW w:w="683" w:type="pct"/>
            <w:gridSpan w:val="2"/>
            <w:shd w:val="clear" w:color="auto" w:fill="auto"/>
            <w:tcMar>
              <w:top w:w="110" w:type="dxa"/>
            </w:tcMar>
          </w:tcPr>
          <w:p w:rsidR="00FC4F64" w:rsidRPr="00806461" w:rsidRDefault="00FC4F64" w:rsidP="00FC4F64">
            <w:pPr>
              <w:jc w:val="center"/>
              <w:rPr>
                <w:rFonts w:cs="Arial"/>
                <w:bCs/>
                <w:color w:val="80808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tcBorders>
              <w:bottom w:val="single" w:sz="4" w:space="0" w:color="auto"/>
            </w:tcBorders>
            <w:shd w:val="clear" w:color="auto" w:fill="auto"/>
          </w:tcPr>
          <w:p w:rsidR="00FC4F64" w:rsidRPr="00806461" w:rsidRDefault="00FC4F64" w:rsidP="00FC4F64">
            <w:pPr>
              <w:rPr>
                <w:rFonts w:cs="Arial"/>
                <w:sz w:val="16"/>
                <w:szCs w:val="16"/>
              </w:rPr>
            </w:pPr>
            <w:r w:rsidRPr="00806461">
              <w:rPr>
                <w:rFonts w:cs="Arial"/>
                <w:sz w:val="16"/>
                <w:szCs w:val="16"/>
              </w:rPr>
              <w:t>Share of PCT national phase entries in total international patent filings</w:t>
            </w:r>
          </w:p>
        </w:tc>
        <w:tc>
          <w:tcPr>
            <w:tcW w:w="991" w:type="pct"/>
            <w:gridSpan w:val="3"/>
            <w:tcBorders>
              <w:bottom w:val="single" w:sz="4" w:space="0" w:color="auto"/>
            </w:tcBorders>
            <w:shd w:val="clear" w:color="auto" w:fill="auto"/>
          </w:tcPr>
          <w:p w:rsidR="00FC4F64" w:rsidRPr="0005539E" w:rsidRDefault="00FC4F64" w:rsidP="00FC4F64">
            <w:pPr>
              <w:rPr>
                <w:rFonts w:cs="Arial"/>
                <w:i/>
                <w:color w:val="002060"/>
                <w:sz w:val="16"/>
                <w:szCs w:val="16"/>
              </w:rPr>
            </w:pPr>
            <w:r w:rsidRPr="00806461">
              <w:rPr>
                <w:rFonts w:cs="Arial"/>
                <w:i/>
                <w:color w:val="002060"/>
                <w:sz w:val="16"/>
                <w:szCs w:val="16"/>
              </w:rPr>
              <w:t>Updated Baseline end 2011:</w:t>
            </w:r>
            <w:r w:rsidR="0005539E">
              <w:rPr>
                <w:rFonts w:cs="Arial"/>
                <w:i/>
                <w:color w:val="002060"/>
                <w:sz w:val="16"/>
                <w:szCs w:val="16"/>
              </w:rPr>
              <w:t xml:space="preserve">  </w:t>
            </w:r>
            <w:r w:rsidRPr="00806461">
              <w:rPr>
                <w:rFonts w:cs="Arial"/>
                <w:color w:val="002060"/>
                <w:sz w:val="16"/>
                <w:szCs w:val="16"/>
                <w:lang w:bidi="th-TH"/>
              </w:rPr>
              <w:t>54.</w:t>
            </w:r>
            <w:r w:rsidRPr="00B73889">
              <w:rPr>
                <w:rFonts w:cs="Arial"/>
                <w:color w:val="002060"/>
                <w:sz w:val="16"/>
                <w:szCs w:val="16"/>
                <w:lang w:bidi="th-TH"/>
              </w:rPr>
              <w:t>9</w:t>
            </w:r>
            <w:r w:rsidRPr="00806461">
              <w:rPr>
                <w:rFonts w:cs="Arial"/>
                <w:color w:val="002060"/>
                <w:sz w:val="16"/>
                <w:szCs w:val="16"/>
                <w:lang w:bidi="th-TH"/>
              </w:rPr>
              <w:t>%(2011)</w:t>
            </w:r>
            <w:r w:rsidRPr="00806461">
              <w:rPr>
                <w:rStyle w:val="FootnoteReference"/>
                <w:rFonts w:cs="Arial"/>
                <w:color w:val="002060"/>
                <w:sz w:val="16"/>
                <w:szCs w:val="16"/>
                <w:lang w:eastAsia="zh-CN" w:bidi="th-TH"/>
              </w:rPr>
              <w:t xml:space="preserve"> </w:t>
            </w:r>
            <w:r w:rsidRPr="00806461">
              <w:rPr>
                <w:rStyle w:val="FootnoteReference"/>
                <w:rFonts w:cs="Arial"/>
                <w:color w:val="002060"/>
                <w:sz w:val="16"/>
                <w:szCs w:val="16"/>
                <w:lang w:eastAsia="zh-CN" w:bidi="th-TH"/>
              </w:rPr>
              <w:footnoteReference w:id="5"/>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0005539E">
              <w:rPr>
                <w:rFonts w:cs="Arial"/>
                <w:sz w:val="16"/>
                <w:szCs w:val="16"/>
              </w:rPr>
              <w:t xml:space="preserve">  </w:t>
            </w:r>
            <w:r w:rsidRPr="00806461">
              <w:rPr>
                <w:rFonts w:cs="Arial"/>
                <w:sz w:val="16"/>
                <w:szCs w:val="16"/>
              </w:rPr>
              <w:t>Share of PCT national phase entries in international patent filings (end 2011)</w:t>
            </w:r>
          </w:p>
          <w:p w:rsidR="00FC4F64" w:rsidRPr="00806461" w:rsidRDefault="00FC4F64" w:rsidP="00FC4F64">
            <w:pPr>
              <w:rPr>
                <w:rFonts w:cs="Arial"/>
                <w:sz w:val="16"/>
                <w:szCs w:val="16"/>
              </w:rPr>
            </w:pPr>
          </w:p>
        </w:tc>
        <w:tc>
          <w:tcPr>
            <w:tcW w:w="825" w:type="pct"/>
            <w:gridSpan w:val="2"/>
            <w:tcBorders>
              <w:bottom w:val="single" w:sz="4" w:space="0" w:color="auto"/>
            </w:tcBorders>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Increased share of PCT national phase entries in international</w:t>
            </w:r>
          </w:p>
          <w:p w:rsidR="00FC4F64" w:rsidRPr="00806461" w:rsidRDefault="00FC4F64" w:rsidP="00FC4F64">
            <w:pPr>
              <w:rPr>
                <w:rFonts w:cs="Arial"/>
                <w:sz w:val="16"/>
                <w:szCs w:val="16"/>
              </w:rPr>
            </w:pPr>
            <w:r w:rsidRPr="00806461">
              <w:rPr>
                <w:rFonts w:cs="Arial"/>
                <w:sz w:val="16"/>
                <w:szCs w:val="16"/>
              </w:rPr>
              <w:t>patent filings</w:t>
            </w:r>
          </w:p>
        </w:tc>
        <w:tc>
          <w:tcPr>
            <w:tcW w:w="1654" w:type="pct"/>
            <w:tcBorders>
              <w:bottom w:val="single" w:sz="4" w:space="0" w:color="auto"/>
            </w:tcBorders>
            <w:shd w:val="clear" w:color="auto" w:fill="FFFFFF"/>
            <w:tcMar>
              <w:top w:w="110" w:type="dxa"/>
            </w:tcMar>
          </w:tcPr>
          <w:p w:rsidR="00FC4F64" w:rsidRPr="00806461" w:rsidRDefault="00FC4F64" w:rsidP="00FC4F64">
            <w:pPr>
              <w:rPr>
                <w:rFonts w:cs="Arial"/>
                <w:sz w:val="16"/>
                <w:szCs w:val="16"/>
              </w:rPr>
            </w:pPr>
            <w:r w:rsidRPr="00806461">
              <w:rPr>
                <w:rFonts w:cs="Arial"/>
                <w:sz w:val="16"/>
                <w:szCs w:val="16"/>
                <w:lang w:bidi="th-TH"/>
              </w:rPr>
              <w:t>55.2% (2012)</w:t>
            </w:r>
          </w:p>
        </w:tc>
        <w:tc>
          <w:tcPr>
            <w:tcW w:w="683" w:type="pct"/>
            <w:gridSpan w:val="2"/>
            <w:tcBorders>
              <w:bottom w:val="single" w:sz="4" w:space="0" w:color="auto"/>
            </w:tcBorders>
            <w:shd w:val="clear" w:color="auto" w:fill="auto"/>
            <w:tcMar>
              <w:top w:w="110" w:type="dxa"/>
            </w:tcMar>
          </w:tcPr>
          <w:p w:rsidR="00FC4F64" w:rsidRPr="00806461" w:rsidRDefault="00FC4F64" w:rsidP="00FC4F64">
            <w:pPr>
              <w:jc w:val="center"/>
              <w:rPr>
                <w:rFonts w:cs="Arial"/>
                <w:bCs/>
                <w:color w:val="80808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FC4F64">
        <w:tc>
          <w:tcPr>
            <w:tcW w:w="5000" w:type="pct"/>
            <w:gridSpan w:val="9"/>
            <w:tcBorders>
              <w:top w:val="single" w:sz="4" w:space="0" w:color="auto"/>
              <w:bottom w:val="single" w:sz="4" w:space="0" w:color="auto"/>
            </w:tcBorders>
            <w:shd w:val="clear" w:color="auto" w:fill="CCFFFF"/>
            <w:vAlign w:val="center"/>
          </w:tcPr>
          <w:p w:rsidR="00FC4F64" w:rsidRPr="00806461" w:rsidRDefault="00FC4F64" w:rsidP="00FC4F64">
            <w:pPr>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Stronger relationships with PCT users and Offices</w:t>
            </w:r>
          </w:p>
        </w:tc>
      </w:tr>
      <w:tr w:rsidR="00FC4F64" w:rsidRPr="00806461" w:rsidTr="0005539E">
        <w:tc>
          <w:tcPr>
            <w:tcW w:w="846" w:type="pct"/>
            <w:tcBorders>
              <w:top w:val="single" w:sz="4" w:space="0" w:color="auto"/>
            </w:tcBorders>
            <w:shd w:val="clear" w:color="auto" w:fill="auto"/>
            <w:vAlign w:val="center"/>
          </w:tcPr>
          <w:p w:rsidR="00FC4F64" w:rsidRPr="00806461" w:rsidRDefault="00FC4F64" w:rsidP="00FC4F64">
            <w:pPr>
              <w:spacing w:after="40"/>
              <w:rPr>
                <w:rFonts w:cs="Arial"/>
                <w:sz w:val="16"/>
                <w:szCs w:val="16"/>
              </w:rPr>
            </w:pPr>
            <w:r w:rsidRPr="00806461">
              <w:rPr>
                <w:rFonts w:cs="Arial"/>
                <w:b/>
                <w:bCs/>
                <w:sz w:val="16"/>
                <w:szCs w:val="16"/>
              </w:rPr>
              <w:t>Performance Indicators</w:t>
            </w:r>
          </w:p>
        </w:tc>
        <w:tc>
          <w:tcPr>
            <w:tcW w:w="991" w:type="pct"/>
            <w:gridSpan w:val="3"/>
            <w:tcBorders>
              <w:top w:val="single" w:sz="4" w:space="0" w:color="auto"/>
            </w:tcBorders>
            <w:shd w:val="clear" w:color="auto" w:fill="auto"/>
            <w:vAlign w:val="center"/>
          </w:tcPr>
          <w:p w:rsidR="00FC4F64" w:rsidRPr="00806461" w:rsidRDefault="00FC4F64" w:rsidP="00FC4F64">
            <w:pPr>
              <w:spacing w:after="40"/>
              <w:rPr>
                <w:rFonts w:cs="Arial"/>
                <w:b/>
                <w:bCs/>
                <w:sz w:val="16"/>
                <w:szCs w:val="16"/>
              </w:rPr>
            </w:pPr>
            <w:r w:rsidRPr="00806461">
              <w:rPr>
                <w:rFonts w:cs="Arial"/>
                <w:b/>
                <w:bCs/>
                <w:sz w:val="16"/>
                <w:szCs w:val="16"/>
              </w:rPr>
              <w:t>Baselines</w:t>
            </w:r>
          </w:p>
        </w:tc>
        <w:tc>
          <w:tcPr>
            <w:tcW w:w="825" w:type="pct"/>
            <w:gridSpan w:val="2"/>
            <w:tcBorders>
              <w:top w:val="single" w:sz="4" w:space="0" w:color="auto"/>
            </w:tcBorders>
            <w:shd w:val="clear" w:color="auto" w:fill="auto"/>
            <w:tcMar>
              <w:top w:w="110" w:type="dxa"/>
            </w:tcMar>
            <w:vAlign w:val="center"/>
          </w:tcPr>
          <w:p w:rsidR="00FC4F64" w:rsidRPr="00806461" w:rsidRDefault="00FC4F64" w:rsidP="00FC4F64">
            <w:pPr>
              <w:spacing w:after="40"/>
              <w:rPr>
                <w:rFonts w:cs="Arial"/>
                <w:b/>
                <w:sz w:val="16"/>
                <w:szCs w:val="16"/>
              </w:rPr>
            </w:pPr>
            <w:r w:rsidRPr="00806461">
              <w:rPr>
                <w:rFonts w:cs="Arial"/>
                <w:b/>
                <w:sz w:val="16"/>
                <w:szCs w:val="16"/>
              </w:rPr>
              <w:t>Target</w:t>
            </w:r>
            <w:r w:rsidR="00582788" w:rsidRPr="00806461">
              <w:rPr>
                <w:rFonts w:cs="Arial"/>
                <w:b/>
                <w:sz w:val="16"/>
                <w:szCs w:val="16"/>
              </w:rPr>
              <w:t>s</w:t>
            </w:r>
          </w:p>
        </w:tc>
        <w:tc>
          <w:tcPr>
            <w:tcW w:w="1654" w:type="pct"/>
            <w:tcBorders>
              <w:top w:val="single" w:sz="4" w:space="0" w:color="auto"/>
            </w:tcBorders>
            <w:shd w:val="clear" w:color="auto" w:fill="FFFFFF"/>
            <w:tcMar>
              <w:top w:w="110" w:type="dxa"/>
            </w:tcMar>
            <w:vAlign w:val="center"/>
          </w:tcPr>
          <w:p w:rsidR="00FC4F64" w:rsidRPr="00806461" w:rsidRDefault="00FC4F64" w:rsidP="00FC4F64">
            <w:pPr>
              <w:spacing w:after="40"/>
              <w:rPr>
                <w:rFonts w:cs="Arial"/>
                <w:sz w:val="16"/>
                <w:szCs w:val="16"/>
              </w:rPr>
            </w:pPr>
            <w:r w:rsidRPr="00806461">
              <w:rPr>
                <w:rFonts w:cs="Arial"/>
                <w:b/>
                <w:bCs/>
                <w:sz w:val="16"/>
                <w:szCs w:val="16"/>
              </w:rPr>
              <w:t>Performance Data</w:t>
            </w:r>
          </w:p>
        </w:tc>
        <w:tc>
          <w:tcPr>
            <w:tcW w:w="683" w:type="pct"/>
            <w:gridSpan w:val="2"/>
            <w:tcBorders>
              <w:top w:val="single" w:sz="4" w:space="0" w:color="auto"/>
            </w:tcBorders>
            <w:shd w:val="clear" w:color="auto" w:fill="auto"/>
            <w:tcMar>
              <w:top w:w="110" w:type="dxa"/>
            </w:tcMar>
            <w:vAlign w:val="center"/>
          </w:tcPr>
          <w:p w:rsidR="00FC4F64" w:rsidRPr="00806461" w:rsidRDefault="00FC4F64" w:rsidP="00FC4F64">
            <w:pPr>
              <w:spacing w:after="40"/>
              <w:jc w:val="center"/>
              <w:rPr>
                <w:rFonts w:cs="Arial"/>
                <w:b/>
                <w:bCs/>
                <w:sz w:val="16"/>
                <w:szCs w:val="16"/>
              </w:rPr>
            </w:pPr>
            <w:r w:rsidRPr="00806461">
              <w:rPr>
                <w:rFonts w:cs="Arial"/>
                <w:b/>
                <w:bCs/>
                <w:sz w:val="16"/>
                <w:szCs w:val="16"/>
              </w:rPr>
              <w:t>TLS</w:t>
            </w:r>
          </w:p>
        </w:tc>
      </w:tr>
      <w:tr w:rsidR="00FC4F64" w:rsidRPr="00806461" w:rsidTr="0005539E">
        <w:tc>
          <w:tcPr>
            <w:tcW w:w="846" w:type="pct"/>
            <w:shd w:val="clear" w:color="auto" w:fill="FFFFFF"/>
          </w:tcPr>
          <w:p w:rsidR="00FC4F64" w:rsidRPr="00806461" w:rsidRDefault="00FC4F64" w:rsidP="00FC4F64">
            <w:pPr>
              <w:rPr>
                <w:rFonts w:cs="Arial"/>
                <w:sz w:val="16"/>
                <w:szCs w:val="16"/>
              </w:rPr>
            </w:pPr>
            <w:r w:rsidRPr="00806461">
              <w:rPr>
                <w:rFonts w:cs="Arial"/>
                <w:sz w:val="16"/>
                <w:szCs w:val="16"/>
              </w:rPr>
              <w:t>Satisfaction of Offices and International Authorities with PCT cooperative activities</w:t>
            </w:r>
          </w:p>
        </w:tc>
        <w:tc>
          <w:tcPr>
            <w:tcW w:w="991" w:type="pct"/>
            <w:gridSpan w:val="3"/>
            <w:shd w:val="clear" w:color="auto" w:fill="auto"/>
          </w:tcPr>
          <w:p w:rsidR="00FC4F64" w:rsidRPr="0005539E" w:rsidRDefault="00FC4F64" w:rsidP="00FC4F64">
            <w:pPr>
              <w:rPr>
                <w:rFonts w:cs="Arial"/>
                <w:i/>
                <w:color w:val="002060"/>
                <w:sz w:val="16"/>
                <w:szCs w:val="16"/>
              </w:rPr>
            </w:pPr>
            <w:r w:rsidRPr="00806461">
              <w:rPr>
                <w:rFonts w:cs="Arial"/>
                <w:i/>
                <w:color w:val="002060"/>
                <w:sz w:val="16"/>
                <w:szCs w:val="16"/>
              </w:rPr>
              <w:t>Updated Baseline end 2011:</w:t>
            </w:r>
            <w:r w:rsidR="0005539E">
              <w:rPr>
                <w:rFonts w:cs="Arial"/>
                <w:i/>
                <w:color w:val="002060"/>
                <w:sz w:val="16"/>
                <w:szCs w:val="16"/>
              </w:rPr>
              <w:t xml:space="preserve">  </w:t>
            </w:r>
            <w:r w:rsidRPr="00806461">
              <w:rPr>
                <w:rFonts w:cs="Arial"/>
                <w:color w:val="002060"/>
                <w:sz w:val="16"/>
                <w:szCs w:val="16"/>
                <w:lang w:bidi="th-TH"/>
              </w:rPr>
              <w:t>59 (95% out of 62 beneficiaries of PCT cooperative activities; 86% out of the 69 survey respondents)</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00D07BB0" w:rsidRPr="00806461">
              <w:rPr>
                <w:rFonts w:cs="Arial"/>
                <w:sz w:val="16"/>
                <w:szCs w:val="16"/>
              </w:rPr>
              <w:t xml:space="preserve">  </w:t>
            </w:r>
            <w:r w:rsidRPr="00806461">
              <w:rPr>
                <w:rFonts w:cs="Arial"/>
                <w:sz w:val="16"/>
                <w:szCs w:val="16"/>
              </w:rPr>
              <w:t xml:space="preserve">30 Offices and International Authorities expressed satisfaction with PCT cooperative activities (2010) (i.e. 91% out of 33 who benefitted from PCT cooperative activities and 46% out of the total 65 respondents) </w:t>
            </w:r>
          </w:p>
        </w:tc>
        <w:tc>
          <w:tcPr>
            <w:tcW w:w="825" w:type="pct"/>
            <w:gridSpan w:val="2"/>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Maintain the 2010</w:t>
            </w:r>
          </w:p>
          <w:p w:rsidR="00FC4F64" w:rsidRPr="00806461" w:rsidRDefault="00FC4F64" w:rsidP="00FC4F64">
            <w:pPr>
              <w:autoSpaceDE w:val="0"/>
              <w:autoSpaceDN w:val="0"/>
              <w:adjustRightInd w:val="0"/>
              <w:rPr>
                <w:rFonts w:cs="Arial"/>
                <w:sz w:val="16"/>
                <w:szCs w:val="16"/>
              </w:rPr>
            </w:pPr>
            <w:r w:rsidRPr="00806461">
              <w:rPr>
                <w:rFonts w:cs="Arial"/>
                <w:sz w:val="16"/>
                <w:szCs w:val="16"/>
              </w:rPr>
              <w:t>level of satisfaction of Offices and International Authorities</w:t>
            </w:r>
          </w:p>
        </w:tc>
        <w:tc>
          <w:tcPr>
            <w:tcW w:w="1654" w:type="pct"/>
            <w:shd w:val="clear" w:color="auto" w:fill="FFFFFF"/>
            <w:tcMar>
              <w:top w:w="110" w:type="dxa"/>
            </w:tcMar>
          </w:tcPr>
          <w:p w:rsidR="00FC4F64" w:rsidRPr="00806461" w:rsidRDefault="00FC4F64" w:rsidP="00FC4F64">
            <w:pPr>
              <w:jc w:val="both"/>
              <w:rPr>
                <w:rFonts w:cs="Arial"/>
                <w:sz w:val="16"/>
                <w:szCs w:val="16"/>
                <w:lang w:bidi="th-TH"/>
              </w:rPr>
            </w:pPr>
            <w:r w:rsidRPr="00806461">
              <w:rPr>
                <w:rFonts w:cs="Arial"/>
                <w:sz w:val="16"/>
                <w:szCs w:val="16"/>
                <w:lang w:bidi="th-TH"/>
              </w:rPr>
              <w:t xml:space="preserve">56 (95 % out of 59 beneficiaries of PCT cooperative activities; </w:t>
            </w:r>
            <w:r w:rsidR="00283E82">
              <w:rPr>
                <w:rFonts w:cs="Arial"/>
                <w:sz w:val="16"/>
                <w:szCs w:val="16"/>
                <w:lang w:bidi="th-TH"/>
              </w:rPr>
              <w:t xml:space="preserve"> </w:t>
            </w:r>
            <w:r w:rsidRPr="00806461">
              <w:rPr>
                <w:rFonts w:cs="Arial"/>
                <w:sz w:val="16"/>
                <w:szCs w:val="16"/>
                <w:lang w:bidi="th-TH"/>
              </w:rPr>
              <w:t>85%</w:t>
            </w:r>
            <w:r w:rsidRPr="00806461" w:rsidDel="004F34C1">
              <w:rPr>
                <w:rFonts w:cs="Arial"/>
                <w:sz w:val="16"/>
                <w:szCs w:val="16"/>
                <w:lang w:bidi="th-TH"/>
              </w:rPr>
              <w:t xml:space="preserve"> </w:t>
            </w:r>
            <w:r w:rsidRPr="00806461">
              <w:rPr>
                <w:rFonts w:cs="Arial"/>
                <w:sz w:val="16"/>
                <w:szCs w:val="16"/>
                <w:lang w:bidi="th-TH"/>
              </w:rPr>
              <w:t>out of the 66 survey respondents) (2012 survey)</w:t>
            </w:r>
          </w:p>
          <w:p w:rsidR="00FC4F64" w:rsidRPr="00806461" w:rsidRDefault="00FC4F64" w:rsidP="00FC4F64">
            <w:pPr>
              <w:jc w:val="both"/>
              <w:rPr>
                <w:rFonts w:cs="Arial"/>
                <w:sz w:val="16"/>
                <w:szCs w:val="16"/>
                <w:lang w:bidi="th-TH"/>
              </w:rPr>
            </w:pPr>
            <w:r w:rsidRPr="00806461">
              <w:rPr>
                <w:rFonts w:cs="Arial"/>
                <w:sz w:val="16"/>
                <w:szCs w:val="16"/>
                <w:lang w:bidi="th-TH"/>
              </w:rPr>
              <w:t>The satisfaction survey is conducted once every biennium</w:t>
            </w:r>
            <w:r w:rsidR="00283E82">
              <w:rPr>
                <w:rFonts w:cs="Arial"/>
                <w:sz w:val="16"/>
                <w:szCs w:val="16"/>
                <w:lang w:bidi="th-TH"/>
              </w:rPr>
              <w:t>.</w:t>
            </w:r>
          </w:p>
        </w:tc>
        <w:tc>
          <w:tcPr>
            <w:tcW w:w="683" w:type="pct"/>
            <w:gridSpan w:val="2"/>
            <w:shd w:val="clear" w:color="auto" w:fill="auto"/>
            <w:tcMar>
              <w:top w:w="110" w:type="dxa"/>
            </w:tcMar>
          </w:tcPr>
          <w:p w:rsidR="00FC4F64" w:rsidRPr="00806461" w:rsidRDefault="00FC4F64" w:rsidP="00FC4F64">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Meaningful contact with PCT users</w:t>
            </w:r>
          </w:p>
        </w:tc>
        <w:tc>
          <w:tcPr>
            <w:tcW w:w="991" w:type="pct"/>
            <w:gridSpan w:val="3"/>
            <w:shd w:val="clear" w:color="auto" w:fill="auto"/>
          </w:tcPr>
          <w:p w:rsidR="00FC4F64" w:rsidRPr="00806461" w:rsidRDefault="00FC4F64" w:rsidP="00FC4F64">
            <w:pPr>
              <w:pStyle w:val="Default"/>
              <w:rPr>
                <w:color w:val="002060"/>
                <w:sz w:val="16"/>
                <w:szCs w:val="16"/>
              </w:rPr>
            </w:pPr>
            <w:r w:rsidRPr="00806461">
              <w:rPr>
                <w:i/>
                <w:color w:val="002060"/>
                <w:sz w:val="16"/>
                <w:szCs w:val="16"/>
              </w:rPr>
              <w:t>Updated Baseline end 2011:</w:t>
            </w:r>
            <w:r w:rsidRPr="00806461">
              <w:rPr>
                <w:color w:val="943634" w:themeColor="accent2" w:themeShade="BF"/>
                <w:sz w:val="16"/>
                <w:szCs w:val="16"/>
              </w:rPr>
              <w:t xml:space="preserve">  </w:t>
            </w:r>
            <w:r w:rsidRPr="00806461">
              <w:rPr>
                <w:color w:val="002060"/>
                <w:sz w:val="16"/>
                <w:szCs w:val="16"/>
              </w:rPr>
              <w:t xml:space="preserve">70 </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0005539E">
              <w:rPr>
                <w:rFonts w:cs="Arial"/>
                <w:sz w:val="16"/>
                <w:szCs w:val="16"/>
              </w:rPr>
              <w:t xml:space="preserve">  </w:t>
            </w:r>
            <w:r w:rsidRPr="00806461">
              <w:rPr>
                <w:rFonts w:cs="Arial"/>
                <w:sz w:val="16"/>
                <w:szCs w:val="16"/>
              </w:rPr>
              <w:t>Tbd by the end of 2011</w:t>
            </w:r>
          </w:p>
        </w:tc>
        <w:tc>
          <w:tcPr>
            <w:tcW w:w="825" w:type="pct"/>
            <w:gridSpan w:val="2"/>
            <w:shd w:val="clear" w:color="auto" w:fill="auto"/>
            <w:tcMar>
              <w:top w:w="110" w:type="dxa"/>
            </w:tcMar>
          </w:tcPr>
          <w:p w:rsidR="00FC4F64" w:rsidRPr="00806461" w:rsidRDefault="00FC4F64" w:rsidP="00FC4F64">
            <w:pPr>
              <w:rPr>
                <w:rFonts w:cs="Arial"/>
                <w:sz w:val="16"/>
                <w:szCs w:val="16"/>
                <w:lang w:bidi="th-TH"/>
              </w:rPr>
            </w:pPr>
            <w:r w:rsidRPr="00806461">
              <w:rPr>
                <w:rFonts w:cs="Arial"/>
                <w:sz w:val="16"/>
                <w:szCs w:val="16"/>
              </w:rPr>
              <w:t>Regular contacts with high-volume PCT users</w:t>
            </w:r>
          </w:p>
        </w:tc>
        <w:tc>
          <w:tcPr>
            <w:tcW w:w="1654" w:type="pct"/>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85 instances of meaningful user contact</w:t>
            </w:r>
            <w:r w:rsidR="00283E82">
              <w:rPr>
                <w:rFonts w:cs="Arial"/>
                <w:sz w:val="16"/>
                <w:szCs w:val="16"/>
                <w:lang w:bidi="th-TH"/>
              </w:rPr>
              <w:t>.</w:t>
            </w:r>
          </w:p>
        </w:tc>
        <w:tc>
          <w:tcPr>
            <w:tcW w:w="683" w:type="pct"/>
            <w:gridSpan w:val="2"/>
            <w:shd w:val="clear" w:color="auto" w:fill="auto"/>
          </w:tcPr>
          <w:p w:rsidR="00FC4F64" w:rsidRPr="00806461" w:rsidRDefault="00FC4F64" w:rsidP="00FC4F64">
            <w:pPr>
              <w:jc w:val="center"/>
              <w:rPr>
                <w:rFonts w:cs="Arial"/>
                <w:bCs/>
                <w:color w:val="333333"/>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tcBorders>
              <w:bottom w:val="single" w:sz="4" w:space="0" w:color="auto"/>
            </w:tcBorders>
            <w:shd w:val="clear" w:color="auto" w:fill="auto"/>
          </w:tcPr>
          <w:p w:rsidR="00FC4F64" w:rsidRPr="00806461" w:rsidRDefault="00FC4F64" w:rsidP="00806461">
            <w:pPr>
              <w:rPr>
                <w:rFonts w:cs="Arial"/>
                <w:sz w:val="16"/>
                <w:szCs w:val="16"/>
              </w:rPr>
            </w:pPr>
            <w:r w:rsidRPr="00806461">
              <w:rPr>
                <w:rFonts w:cs="Arial"/>
                <w:sz w:val="16"/>
                <w:szCs w:val="16"/>
              </w:rPr>
              <w:t>Increased feedback from PCT users on overall system performance</w:t>
            </w:r>
          </w:p>
        </w:tc>
        <w:tc>
          <w:tcPr>
            <w:tcW w:w="991" w:type="pct"/>
            <w:gridSpan w:val="3"/>
            <w:tcBorders>
              <w:bottom w:val="single" w:sz="4" w:space="0" w:color="auto"/>
            </w:tcBorders>
            <w:shd w:val="clear" w:color="auto" w:fill="auto"/>
          </w:tcPr>
          <w:p w:rsidR="00FC4F64" w:rsidRPr="00806461" w:rsidRDefault="00FC4F64" w:rsidP="00806461">
            <w:pPr>
              <w:pStyle w:val="Default"/>
              <w:rPr>
                <w:color w:val="002060"/>
                <w:sz w:val="16"/>
                <w:szCs w:val="16"/>
              </w:rPr>
            </w:pPr>
            <w:r w:rsidRPr="00806461">
              <w:rPr>
                <w:i/>
                <w:color w:val="002060"/>
                <w:sz w:val="16"/>
                <w:szCs w:val="16"/>
              </w:rPr>
              <w:t>Updated Baseline end 2011:</w:t>
            </w:r>
            <w:r w:rsidRPr="00806461">
              <w:rPr>
                <w:color w:val="002060"/>
                <w:sz w:val="16"/>
                <w:szCs w:val="16"/>
              </w:rPr>
              <w:t xml:space="preserve"> 116 requests for feedback</w:t>
            </w:r>
          </w:p>
          <w:p w:rsidR="00FC4F64" w:rsidRPr="00283E82" w:rsidRDefault="00FC4F64" w:rsidP="00806461">
            <w:pPr>
              <w:rPr>
                <w:rFonts w:cs="Arial"/>
                <w:i/>
                <w:sz w:val="8"/>
                <w:szCs w:val="8"/>
              </w:rPr>
            </w:pPr>
          </w:p>
          <w:p w:rsidR="00FC4F64" w:rsidRPr="00CD26D6" w:rsidRDefault="00FC4F64" w:rsidP="00806461">
            <w:pPr>
              <w:rPr>
                <w:rFonts w:cs="Arial"/>
                <w:sz w:val="16"/>
                <w:szCs w:val="16"/>
              </w:rPr>
            </w:pPr>
            <w:r w:rsidRPr="00283E82">
              <w:rPr>
                <w:rFonts w:cs="Arial"/>
                <w:i/>
                <w:sz w:val="16"/>
                <w:szCs w:val="16"/>
              </w:rPr>
              <w:t>Original Baseline P&amp;B 2012/13:</w:t>
            </w:r>
            <w:r w:rsidR="00D07BB0" w:rsidRPr="00283E82">
              <w:rPr>
                <w:rFonts w:cs="Arial"/>
                <w:sz w:val="16"/>
                <w:szCs w:val="16"/>
              </w:rPr>
              <w:t xml:space="preserve">  </w:t>
            </w:r>
            <w:r w:rsidRPr="00283E82">
              <w:rPr>
                <w:rFonts w:cs="Arial"/>
                <w:sz w:val="16"/>
                <w:szCs w:val="16"/>
              </w:rPr>
              <w:t>Tbd by the end of 2011</w:t>
            </w:r>
          </w:p>
          <w:p w:rsidR="00FC4F64" w:rsidRPr="00806461" w:rsidRDefault="00FC4F64" w:rsidP="00806461">
            <w:pPr>
              <w:rPr>
                <w:rFonts w:cs="Arial"/>
                <w:color w:val="002060"/>
                <w:sz w:val="16"/>
                <w:szCs w:val="16"/>
              </w:rPr>
            </w:pPr>
          </w:p>
        </w:tc>
        <w:tc>
          <w:tcPr>
            <w:tcW w:w="825" w:type="pct"/>
            <w:gridSpan w:val="2"/>
            <w:tcBorders>
              <w:bottom w:val="single" w:sz="4" w:space="0" w:color="auto"/>
            </w:tcBorders>
            <w:shd w:val="clear" w:color="auto" w:fill="auto"/>
            <w:tcMar>
              <w:top w:w="110" w:type="dxa"/>
            </w:tcMar>
          </w:tcPr>
          <w:p w:rsidR="00FC4F64" w:rsidRPr="00806461" w:rsidRDefault="00FC4F64" w:rsidP="00806461">
            <w:pPr>
              <w:rPr>
                <w:rFonts w:cs="Arial"/>
                <w:sz w:val="16"/>
                <w:szCs w:val="16"/>
              </w:rPr>
            </w:pPr>
            <w:r w:rsidRPr="00806461">
              <w:rPr>
                <w:rFonts w:cs="Arial"/>
                <w:sz w:val="16"/>
                <w:szCs w:val="16"/>
              </w:rPr>
              <w:t>Informal requests for</w:t>
            </w:r>
            <w:r w:rsidR="00806461">
              <w:rPr>
                <w:rFonts w:cs="Arial"/>
                <w:sz w:val="16"/>
                <w:szCs w:val="16"/>
              </w:rPr>
              <w:t xml:space="preserve"> </w:t>
            </w:r>
            <w:r w:rsidRPr="00806461">
              <w:rPr>
                <w:rFonts w:cs="Arial"/>
                <w:sz w:val="16"/>
                <w:szCs w:val="16"/>
              </w:rPr>
              <w:t>feedback in every user contact</w:t>
            </w:r>
          </w:p>
        </w:tc>
        <w:tc>
          <w:tcPr>
            <w:tcW w:w="1654" w:type="pct"/>
            <w:tcBorders>
              <w:bottom w:val="single" w:sz="4" w:space="0" w:color="auto"/>
            </w:tcBorders>
            <w:shd w:val="clear" w:color="auto" w:fill="FFFFFF"/>
            <w:tcMar>
              <w:top w:w="110" w:type="dxa"/>
            </w:tcMar>
          </w:tcPr>
          <w:p w:rsidR="00FC4F64" w:rsidRPr="00806461" w:rsidRDefault="00FC4F64" w:rsidP="00806461">
            <w:pPr>
              <w:rPr>
                <w:rFonts w:cs="Arial"/>
                <w:sz w:val="16"/>
                <w:szCs w:val="16"/>
                <w:lang w:bidi="th-TH"/>
              </w:rPr>
            </w:pPr>
            <w:r w:rsidRPr="00806461">
              <w:rPr>
                <w:rFonts w:cs="Arial"/>
                <w:sz w:val="16"/>
                <w:szCs w:val="16"/>
                <w:lang w:bidi="th-TH"/>
              </w:rPr>
              <w:t>237 requests for PCT user feedback</w:t>
            </w:r>
            <w:r w:rsidR="00283E82">
              <w:rPr>
                <w:rFonts w:cs="Arial"/>
                <w:sz w:val="16"/>
                <w:szCs w:val="16"/>
                <w:lang w:bidi="th-TH"/>
              </w:rPr>
              <w:t>.</w:t>
            </w:r>
          </w:p>
        </w:tc>
        <w:tc>
          <w:tcPr>
            <w:tcW w:w="683" w:type="pct"/>
            <w:gridSpan w:val="2"/>
            <w:tcBorders>
              <w:bottom w:val="single" w:sz="4" w:space="0" w:color="auto"/>
            </w:tcBorders>
            <w:shd w:val="clear" w:color="auto" w:fill="auto"/>
            <w:tcMar>
              <w:top w:w="110" w:type="dxa"/>
            </w:tcMar>
          </w:tcPr>
          <w:p w:rsidR="00FC4F64" w:rsidRPr="00806461" w:rsidRDefault="00FC4F64" w:rsidP="00806461">
            <w:pPr>
              <w:spacing w:after="120"/>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FC4F64">
        <w:tc>
          <w:tcPr>
            <w:tcW w:w="5000" w:type="pct"/>
            <w:gridSpan w:val="9"/>
            <w:tcBorders>
              <w:top w:val="single" w:sz="4" w:space="0" w:color="auto"/>
              <w:bottom w:val="single" w:sz="4" w:space="0" w:color="auto"/>
            </w:tcBorders>
            <w:shd w:val="clear" w:color="auto" w:fill="CCFFFF"/>
            <w:vAlign w:val="center"/>
          </w:tcPr>
          <w:p w:rsidR="00FC4F64" w:rsidRPr="00806461" w:rsidRDefault="00FC4F64" w:rsidP="0005539E">
            <w:pPr>
              <w:keepNext/>
              <w:keepLines/>
              <w:tabs>
                <w:tab w:val="left" w:pos="1452"/>
              </w:tabs>
              <w:spacing w:before="120" w:after="120"/>
              <w:ind w:left="1452" w:hanging="1452"/>
              <w:rPr>
                <w:rFonts w:cs="Arial"/>
                <w:b/>
                <w:bCs/>
                <w:sz w:val="16"/>
                <w:szCs w:val="16"/>
              </w:rPr>
            </w:pPr>
            <w:r w:rsidRPr="00806461">
              <w:rPr>
                <w:rFonts w:cs="Arial"/>
                <w:b/>
                <w:bCs/>
                <w:sz w:val="16"/>
                <w:szCs w:val="16"/>
              </w:rPr>
              <w:lastRenderedPageBreak/>
              <w:t>Expected Result:</w:t>
            </w:r>
            <w:r w:rsidRPr="00806461">
              <w:rPr>
                <w:rFonts w:cs="Arial"/>
                <w:b/>
                <w:bCs/>
                <w:sz w:val="16"/>
                <w:szCs w:val="16"/>
              </w:rPr>
              <w:tab/>
            </w:r>
            <w:r w:rsidRPr="00806461">
              <w:rPr>
                <w:rFonts w:cs="Arial"/>
                <w:sz w:val="16"/>
                <w:szCs w:val="16"/>
              </w:rPr>
              <w:t xml:space="preserve">Enhancement of overall </w:t>
            </w:r>
            <w:r w:rsidR="009E5B4C">
              <w:rPr>
                <w:rFonts w:cs="Arial"/>
                <w:sz w:val="16"/>
                <w:szCs w:val="16"/>
              </w:rPr>
              <w:t>PCT System</w:t>
            </w:r>
          </w:p>
        </w:tc>
      </w:tr>
      <w:tr w:rsidR="00FC4F64" w:rsidRPr="00806461" w:rsidTr="0005539E">
        <w:tc>
          <w:tcPr>
            <w:tcW w:w="1137" w:type="pct"/>
            <w:gridSpan w:val="2"/>
            <w:tcBorders>
              <w:top w:val="single" w:sz="4" w:space="0" w:color="auto"/>
            </w:tcBorders>
            <w:shd w:val="clear" w:color="auto" w:fill="auto"/>
            <w:vAlign w:val="center"/>
          </w:tcPr>
          <w:p w:rsidR="00FC4F64" w:rsidRPr="00806461" w:rsidRDefault="00FC4F64" w:rsidP="0005539E">
            <w:pPr>
              <w:keepNext/>
              <w:keepLines/>
              <w:spacing w:after="40"/>
              <w:rPr>
                <w:rFonts w:cs="Arial"/>
                <w:sz w:val="16"/>
                <w:szCs w:val="16"/>
              </w:rPr>
            </w:pPr>
            <w:r w:rsidRPr="00806461">
              <w:rPr>
                <w:rFonts w:cs="Arial"/>
                <w:b/>
                <w:bCs/>
                <w:sz w:val="16"/>
                <w:szCs w:val="16"/>
              </w:rPr>
              <w:t>Performance Indicators</w:t>
            </w:r>
          </w:p>
        </w:tc>
        <w:tc>
          <w:tcPr>
            <w:tcW w:w="624" w:type="pct"/>
            <w:tcBorders>
              <w:top w:val="single" w:sz="4" w:space="0" w:color="auto"/>
            </w:tcBorders>
            <w:shd w:val="clear" w:color="auto" w:fill="auto"/>
            <w:vAlign w:val="center"/>
          </w:tcPr>
          <w:p w:rsidR="00FC4F64" w:rsidRPr="00806461" w:rsidRDefault="00FC4F64" w:rsidP="0005539E">
            <w:pPr>
              <w:keepNext/>
              <w:keepLines/>
              <w:spacing w:after="40"/>
              <w:rPr>
                <w:rFonts w:cs="Arial"/>
                <w:b/>
                <w:bCs/>
                <w:sz w:val="16"/>
                <w:szCs w:val="16"/>
              </w:rPr>
            </w:pPr>
            <w:r w:rsidRPr="00806461">
              <w:rPr>
                <w:rFonts w:cs="Arial"/>
                <w:b/>
                <w:bCs/>
                <w:sz w:val="16"/>
                <w:szCs w:val="16"/>
              </w:rPr>
              <w:t>Baselines</w:t>
            </w:r>
          </w:p>
        </w:tc>
        <w:tc>
          <w:tcPr>
            <w:tcW w:w="739" w:type="pct"/>
            <w:gridSpan w:val="2"/>
            <w:tcBorders>
              <w:top w:val="single" w:sz="4" w:space="0" w:color="auto"/>
            </w:tcBorders>
            <w:shd w:val="clear" w:color="auto" w:fill="auto"/>
            <w:tcMar>
              <w:top w:w="110" w:type="dxa"/>
            </w:tcMar>
            <w:vAlign w:val="center"/>
          </w:tcPr>
          <w:p w:rsidR="00FC4F64" w:rsidRPr="00806461" w:rsidRDefault="00FC4F64" w:rsidP="0005539E">
            <w:pPr>
              <w:keepNext/>
              <w:keepLines/>
              <w:spacing w:after="40"/>
              <w:rPr>
                <w:rFonts w:cs="Arial"/>
                <w:b/>
                <w:sz w:val="16"/>
                <w:szCs w:val="16"/>
              </w:rPr>
            </w:pPr>
            <w:r w:rsidRPr="00806461">
              <w:rPr>
                <w:rFonts w:cs="Arial"/>
                <w:b/>
                <w:sz w:val="16"/>
                <w:szCs w:val="16"/>
              </w:rPr>
              <w:t>Target</w:t>
            </w:r>
            <w:r w:rsidR="00582788" w:rsidRPr="00806461">
              <w:rPr>
                <w:rFonts w:cs="Arial"/>
                <w:b/>
                <w:sz w:val="16"/>
                <w:szCs w:val="16"/>
              </w:rPr>
              <w:t>s</w:t>
            </w:r>
          </w:p>
        </w:tc>
        <w:tc>
          <w:tcPr>
            <w:tcW w:w="1968" w:type="pct"/>
            <w:gridSpan w:val="3"/>
            <w:tcBorders>
              <w:top w:val="single" w:sz="4" w:space="0" w:color="auto"/>
            </w:tcBorders>
            <w:shd w:val="clear" w:color="auto" w:fill="FFFFFF"/>
            <w:tcMar>
              <w:top w:w="110" w:type="dxa"/>
            </w:tcMar>
            <w:vAlign w:val="center"/>
          </w:tcPr>
          <w:p w:rsidR="00FC4F64" w:rsidRPr="00806461" w:rsidRDefault="00FC4F64" w:rsidP="0005539E">
            <w:pPr>
              <w:keepNext/>
              <w:keepLines/>
              <w:spacing w:after="40"/>
              <w:rPr>
                <w:rFonts w:cs="Arial"/>
                <w:sz w:val="16"/>
                <w:szCs w:val="16"/>
              </w:rPr>
            </w:pPr>
            <w:r w:rsidRPr="00806461">
              <w:rPr>
                <w:rFonts w:cs="Arial"/>
                <w:b/>
                <w:bCs/>
                <w:sz w:val="16"/>
                <w:szCs w:val="16"/>
              </w:rPr>
              <w:t>Performance Data</w:t>
            </w:r>
          </w:p>
        </w:tc>
        <w:tc>
          <w:tcPr>
            <w:tcW w:w="532" w:type="pct"/>
            <w:tcBorders>
              <w:top w:val="single" w:sz="4" w:space="0" w:color="auto"/>
            </w:tcBorders>
            <w:shd w:val="clear" w:color="auto" w:fill="auto"/>
            <w:tcMar>
              <w:top w:w="110" w:type="dxa"/>
            </w:tcMar>
            <w:vAlign w:val="center"/>
          </w:tcPr>
          <w:p w:rsidR="00FC4F64" w:rsidRPr="00806461" w:rsidRDefault="00FC4F64" w:rsidP="0005539E">
            <w:pPr>
              <w:keepNext/>
              <w:keepLines/>
              <w:spacing w:after="40"/>
              <w:jc w:val="center"/>
              <w:rPr>
                <w:rFonts w:cs="Arial"/>
                <w:b/>
                <w:bCs/>
                <w:sz w:val="16"/>
                <w:szCs w:val="16"/>
              </w:rPr>
            </w:pPr>
            <w:r w:rsidRPr="00806461">
              <w:rPr>
                <w:rFonts w:cs="Arial"/>
                <w:b/>
                <w:bCs/>
                <w:sz w:val="16"/>
                <w:szCs w:val="16"/>
              </w:rPr>
              <w:t>TLS</w:t>
            </w:r>
          </w:p>
        </w:tc>
      </w:tr>
      <w:tr w:rsidR="00FC4F64" w:rsidRPr="00806461" w:rsidTr="0005539E">
        <w:tc>
          <w:tcPr>
            <w:tcW w:w="1137" w:type="pct"/>
            <w:gridSpan w:val="2"/>
            <w:tcBorders>
              <w:bottom w:val="single" w:sz="4" w:space="0" w:color="auto"/>
            </w:tcBorders>
            <w:shd w:val="clear" w:color="auto" w:fill="FFFFFF"/>
          </w:tcPr>
          <w:p w:rsidR="00FC4F64" w:rsidRPr="00806461" w:rsidRDefault="00FC4F64" w:rsidP="0005539E">
            <w:pPr>
              <w:keepNext/>
              <w:keepLines/>
              <w:rPr>
                <w:rFonts w:cs="Arial"/>
                <w:sz w:val="16"/>
                <w:szCs w:val="16"/>
              </w:rPr>
            </w:pPr>
            <w:r w:rsidRPr="00806461">
              <w:rPr>
                <w:rFonts w:cs="Arial"/>
                <w:sz w:val="16"/>
                <w:szCs w:val="16"/>
              </w:rPr>
              <w:t xml:space="preserve">Further progress towards implementation of the recommendations endorsed by the PCT Working Group in 2010 on how to improve the functioning of the PCT, relating  to the following six groups of issues: </w:t>
            </w:r>
          </w:p>
          <w:p w:rsidR="00FC4F64" w:rsidRPr="00806461" w:rsidRDefault="00FC4F64" w:rsidP="0005539E">
            <w:pPr>
              <w:keepNext/>
              <w:keepLines/>
              <w:rPr>
                <w:rFonts w:cs="Arial"/>
                <w:sz w:val="16"/>
                <w:szCs w:val="16"/>
              </w:rPr>
            </w:pPr>
            <w:r w:rsidRPr="00806461">
              <w:rPr>
                <w:rFonts w:cs="Arial"/>
                <w:sz w:val="16"/>
                <w:szCs w:val="16"/>
              </w:rPr>
              <w:t xml:space="preserve">(i) backlogs;  improving quality of granted patents;  (ii) timeliness in the international phase;  (iii) quality of international search and preliminary examination;  </w:t>
            </w:r>
          </w:p>
          <w:p w:rsidR="00FC4F64" w:rsidRPr="00806461" w:rsidRDefault="00FC4F64" w:rsidP="0005539E">
            <w:pPr>
              <w:keepNext/>
              <w:keepLines/>
              <w:rPr>
                <w:rFonts w:cs="Arial"/>
                <w:sz w:val="16"/>
                <w:szCs w:val="16"/>
              </w:rPr>
            </w:pPr>
            <w:r w:rsidRPr="00806461">
              <w:rPr>
                <w:rFonts w:cs="Arial"/>
                <w:sz w:val="16"/>
                <w:szCs w:val="16"/>
              </w:rPr>
              <w:t xml:space="preserve">(iv) incentives for applicants to use the system efficiently;  skills and manpower shortages;  </w:t>
            </w:r>
          </w:p>
          <w:p w:rsidR="00FC4F64" w:rsidRPr="00806461" w:rsidRDefault="00FC4F64" w:rsidP="0005539E">
            <w:pPr>
              <w:keepNext/>
              <w:keepLines/>
              <w:rPr>
                <w:rFonts w:cs="Arial"/>
                <w:sz w:val="16"/>
                <w:szCs w:val="16"/>
              </w:rPr>
            </w:pPr>
            <w:r w:rsidRPr="00806461">
              <w:rPr>
                <w:rFonts w:cs="Arial"/>
                <w:sz w:val="16"/>
                <w:szCs w:val="16"/>
              </w:rPr>
              <w:t xml:space="preserve">(v) cost and other accessibility issues;  consistency and availability of safeguards;  </w:t>
            </w:r>
          </w:p>
          <w:p w:rsidR="00FC4F64" w:rsidRPr="00806461" w:rsidRDefault="00FC4F64" w:rsidP="0005539E">
            <w:pPr>
              <w:keepNext/>
              <w:keepLines/>
              <w:rPr>
                <w:rFonts w:cs="Arial"/>
                <w:sz w:val="16"/>
                <w:szCs w:val="16"/>
              </w:rPr>
            </w:pPr>
            <w:r w:rsidRPr="00806461">
              <w:rPr>
                <w:rFonts w:cs="Arial"/>
                <w:sz w:val="16"/>
                <w:szCs w:val="16"/>
              </w:rPr>
              <w:t>(vi) technical assistance;  PCT information and technology transfer</w:t>
            </w:r>
          </w:p>
          <w:p w:rsidR="00FC4F64" w:rsidRPr="00806461" w:rsidRDefault="00FC4F64" w:rsidP="0005539E">
            <w:pPr>
              <w:keepNext/>
              <w:keepLines/>
              <w:rPr>
                <w:rFonts w:cs="Arial"/>
                <w:sz w:val="16"/>
                <w:szCs w:val="16"/>
              </w:rPr>
            </w:pPr>
          </w:p>
        </w:tc>
        <w:tc>
          <w:tcPr>
            <w:tcW w:w="624" w:type="pct"/>
            <w:tcBorders>
              <w:bottom w:val="single" w:sz="4" w:space="0" w:color="auto"/>
            </w:tcBorders>
            <w:shd w:val="clear" w:color="auto" w:fill="auto"/>
          </w:tcPr>
          <w:p w:rsidR="00FC4F64" w:rsidRPr="00806461" w:rsidRDefault="00FC4F64" w:rsidP="0005539E">
            <w:pPr>
              <w:keepNext/>
              <w:keepLines/>
              <w:rPr>
                <w:rFonts w:cs="Arial"/>
                <w:sz w:val="16"/>
                <w:szCs w:val="16"/>
              </w:rPr>
            </w:pPr>
            <w:r w:rsidRPr="00806461">
              <w:rPr>
                <w:rFonts w:cs="Arial"/>
                <w:sz w:val="16"/>
                <w:szCs w:val="16"/>
              </w:rPr>
              <w:t>Decisions by appropriate PCT bodies in 2011</w:t>
            </w:r>
          </w:p>
        </w:tc>
        <w:tc>
          <w:tcPr>
            <w:tcW w:w="739" w:type="pct"/>
            <w:gridSpan w:val="2"/>
            <w:tcBorders>
              <w:bottom w:val="single" w:sz="4" w:space="0" w:color="auto"/>
            </w:tcBorders>
            <w:shd w:val="clear" w:color="auto" w:fill="auto"/>
            <w:tcMar>
              <w:top w:w="110" w:type="dxa"/>
            </w:tcMar>
          </w:tcPr>
          <w:p w:rsidR="00FC4F64" w:rsidRPr="00806461" w:rsidRDefault="00FC4F64" w:rsidP="0005539E">
            <w:pPr>
              <w:keepNext/>
              <w:keepLines/>
              <w:autoSpaceDE w:val="0"/>
              <w:autoSpaceDN w:val="0"/>
              <w:adjustRightInd w:val="0"/>
              <w:rPr>
                <w:rFonts w:cs="Arial"/>
                <w:sz w:val="16"/>
                <w:szCs w:val="16"/>
              </w:rPr>
            </w:pPr>
            <w:r w:rsidRPr="00806461">
              <w:rPr>
                <w:rFonts w:cs="Arial"/>
                <w:sz w:val="16"/>
                <w:szCs w:val="16"/>
              </w:rPr>
              <w:t>Decisions by</w:t>
            </w:r>
            <w:r w:rsidR="00283E82">
              <w:rPr>
                <w:rFonts w:cs="Arial"/>
                <w:sz w:val="16"/>
                <w:szCs w:val="16"/>
              </w:rPr>
              <w:t xml:space="preserve"> </w:t>
            </w:r>
            <w:r w:rsidRPr="00806461">
              <w:rPr>
                <w:rFonts w:cs="Arial"/>
                <w:sz w:val="16"/>
                <w:szCs w:val="16"/>
              </w:rPr>
              <w:t>appropriate PCT</w:t>
            </w:r>
            <w:r w:rsidR="0005539E">
              <w:rPr>
                <w:rFonts w:cs="Arial"/>
                <w:sz w:val="16"/>
                <w:szCs w:val="16"/>
              </w:rPr>
              <w:t xml:space="preserve"> </w:t>
            </w:r>
            <w:r w:rsidRPr="00806461">
              <w:rPr>
                <w:rFonts w:cs="Arial"/>
                <w:sz w:val="16"/>
                <w:szCs w:val="16"/>
              </w:rPr>
              <w:t>bodies in 2013</w:t>
            </w:r>
          </w:p>
        </w:tc>
        <w:tc>
          <w:tcPr>
            <w:tcW w:w="1968" w:type="pct"/>
            <w:gridSpan w:val="3"/>
            <w:tcBorders>
              <w:bottom w:val="single" w:sz="4" w:space="0" w:color="auto"/>
            </w:tcBorders>
            <w:shd w:val="clear" w:color="auto" w:fill="FFFFFF"/>
            <w:tcMar>
              <w:top w:w="110" w:type="dxa"/>
            </w:tcMar>
          </w:tcPr>
          <w:p w:rsidR="00FC4F64" w:rsidRPr="00806461" w:rsidRDefault="00FC4F64" w:rsidP="00283E82">
            <w:pPr>
              <w:keepNext/>
              <w:keepLines/>
              <w:rPr>
                <w:rFonts w:cs="Arial"/>
                <w:sz w:val="16"/>
                <w:szCs w:val="16"/>
              </w:rPr>
            </w:pPr>
            <w:r w:rsidRPr="00806461">
              <w:rPr>
                <w:rFonts w:cs="Arial"/>
                <w:sz w:val="16"/>
                <w:szCs w:val="16"/>
              </w:rPr>
              <w:t xml:space="preserve">Significant progress has been made during the 2012/13 biennium, </w:t>
            </w:r>
            <w:r w:rsidRPr="00806461">
              <w:rPr>
                <w:rFonts w:cs="Arial"/>
                <w:iCs/>
                <w:sz w:val="16"/>
                <w:szCs w:val="16"/>
              </w:rPr>
              <w:t>according to the PCT Roadmap</w:t>
            </w:r>
            <w:r w:rsidRPr="00806461">
              <w:rPr>
                <w:rFonts w:cs="Arial"/>
                <w:i/>
                <w:iCs/>
                <w:sz w:val="16"/>
                <w:szCs w:val="16"/>
              </w:rPr>
              <w:t>,</w:t>
            </w:r>
            <w:r w:rsidRPr="00806461">
              <w:rPr>
                <w:rFonts w:cs="Arial"/>
                <w:sz w:val="16"/>
                <w:szCs w:val="16"/>
              </w:rPr>
              <w:t xml:space="preserve"> in the following respects:  (a) the PCT agenda now prominently features the issue of quality of work products (including international search reports and written opinions, as well as administration at the IB and Offices);  (b) discussions among stakeholders at the national level recognize the utility of high-quality PCT work products and the importance </w:t>
            </w:r>
            <w:r w:rsidRPr="00806461">
              <w:rPr>
                <w:rFonts w:eastAsia="SimSun" w:cs="Arial"/>
                <w:sz w:val="16"/>
                <w:szCs w:val="16"/>
              </w:rPr>
              <w:t xml:space="preserve">of appropriate integration of </w:t>
            </w:r>
            <w:r w:rsidRPr="00806461">
              <w:rPr>
                <w:rFonts w:cs="Arial"/>
                <w:sz w:val="16"/>
                <w:szCs w:val="16"/>
              </w:rPr>
              <w:t xml:space="preserve">those </w:t>
            </w:r>
            <w:r w:rsidRPr="00806461">
              <w:rPr>
                <w:rFonts w:eastAsia="SimSun" w:cs="Arial"/>
                <w:sz w:val="16"/>
                <w:szCs w:val="16"/>
              </w:rPr>
              <w:t xml:space="preserve">PCT work products into </w:t>
            </w:r>
            <w:r w:rsidRPr="00806461">
              <w:rPr>
                <w:rFonts w:cs="Arial"/>
                <w:sz w:val="16"/>
                <w:szCs w:val="16"/>
              </w:rPr>
              <w:t xml:space="preserve">the </w:t>
            </w:r>
            <w:r w:rsidRPr="00806461">
              <w:rPr>
                <w:rFonts w:eastAsia="SimSun" w:cs="Arial"/>
                <w:sz w:val="16"/>
                <w:szCs w:val="16"/>
              </w:rPr>
              <w:t>national patent granting procedures</w:t>
            </w:r>
            <w:r w:rsidRPr="00806461">
              <w:rPr>
                <w:rFonts w:cs="Arial"/>
                <w:sz w:val="16"/>
                <w:szCs w:val="16"/>
              </w:rPr>
              <w:t xml:space="preserve"> and, more generally, the importance of the PCT to the operation of the international patent system as a whole;  (c) interested parties better understand the role of the PCT in the effective dissemination of technical information;  and (d) there is greater understanding of the needs of Contracting States for high-quality international applications and PCT work products, of the capacity of Contracting States to perform their own effective search and examination, and of the needs for continued technical assistance for developing and least developed countries in that regard.</w:t>
            </w:r>
          </w:p>
          <w:p w:rsidR="00FC4F64" w:rsidRPr="00806461" w:rsidRDefault="00FC4F64" w:rsidP="00283E82">
            <w:pPr>
              <w:keepNext/>
              <w:keepLines/>
              <w:rPr>
                <w:rFonts w:cs="Arial"/>
                <w:sz w:val="16"/>
                <w:szCs w:val="16"/>
              </w:rPr>
            </w:pPr>
          </w:p>
          <w:p w:rsidR="00FC4F64" w:rsidRDefault="00FC4F64" w:rsidP="00283E82">
            <w:pPr>
              <w:keepNext/>
              <w:keepLines/>
              <w:rPr>
                <w:rFonts w:cs="Arial"/>
                <w:sz w:val="16"/>
                <w:szCs w:val="16"/>
              </w:rPr>
            </w:pPr>
            <w:r w:rsidRPr="00806461">
              <w:rPr>
                <w:rFonts w:cs="Arial"/>
                <w:sz w:val="16"/>
                <w:szCs w:val="16"/>
              </w:rPr>
              <w:t>The ePCT system became available to Offices as well as applicants and added a wide range of new features and services that will contribute towards more timely and consistent international phase processing with a reduced risk of errors.</w:t>
            </w:r>
          </w:p>
          <w:p w:rsidR="0005539E" w:rsidRPr="00806461" w:rsidRDefault="0005539E" w:rsidP="0005539E">
            <w:pPr>
              <w:keepNext/>
              <w:keepLines/>
              <w:jc w:val="both"/>
              <w:rPr>
                <w:rFonts w:cs="Arial"/>
                <w:sz w:val="16"/>
                <w:szCs w:val="16"/>
                <w:lang w:bidi="th-TH"/>
              </w:rPr>
            </w:pPr>
          </w:p>
        </w:tc>
        <w:tc>
          <w:tcPr>
            <w:tcW w:w="532" w:type="pct"/>
            <w:tcBorders>
              <w:bottom w:val="single" w:sz="4" w:space="0" w:color="auto"/>
            </w:tcBorders>
            <w:shd w:val="clear" w:color="auto" w:fill="auto"/>
            <w:tcMar>
              <w:top w:w="110" w:type="dxa"/>
            </w:tcMar>
          </w:tcPr>
          <w:p w:rsidR="00FC4F64" w:rsidRPr="00806461" w:rsidRDefault="00FC4F64" w:rsidP="0005539E">
            <w:pPr>
              <w:keepNext/>
              <w:keepLines/>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FC4F64">
        <w:tc>
          <w:tcPr>
            <w:tcW w:w="5000" w:type="pct"/>
            <w:gridSpan w:val="9"/>
            <w:tcBorders>
              <w:top w:val="single" w:sz="4" w:space="0" w:color="auto"/>
              <w:bottom w:val="single" w:sz="4" w:space="0" w:color="auto"/>
            </w:tcBorders>
            <w:shd w:val="clear" w:color="auto" w:fill="CCFFFF"/>
            <w:vAlign w:val="center"/>
          </w:tcPr>
          <w:p w:rsidR="00FC4F64" w:rsidRPr="00806461" w:rsidRDefault="00FC4F64" w:rsidP="00FC4F64">
            <w:pPr>
              <w:tabs>
                <w:tab w:val="left" w:pos="1452"/>
              </w:tabs>
              <w:spacing w:before="120" w:after="120"/>
              <w:ind w:left="1452" w:hanging="1452"/>
              <w:rPr>
                <w:rFonts w:cs="Arial"/>
                <w:b/>
                <w:bCs/>
                <w:sz w:val="16"/>
                <w:szCs w:val="16"/>
              </w:rPr>
            </w:pPr>
            <w:r w:rsidRPr="00806461">
              <w:rPr>
                <w:rFonts w:cs="Arial"/>
                <w:b/>
                <w:bCs/>
                <w:sz w:val="16"/>
                <w:szCs w:val="16"/>
              </w:rPr>
              <w:t>Expected Result:</w:t>
            </w:r>
            <w:r w:rsidRPr="00806461">
              <w:rPr>
                <w:rFonts w:cs="Arial"/>
                <w:b/>
                <w:bCs/>
                <w:sz w:val="16"/>
                <w:szCs w:val="16"/>
              </w:rPr>
              <w:tab/>
            </w:r>
            <w:r w:rsidRPr="00806461">
              <w:rPr>
                <w:rFonts w:cs="Arial"/>
                <w:sz w:val="16"/>
                <w:szCs w:val="16"/>
              </w:rPr>
              <w:t>Enhanced IB operations (see Annex VI)</w:t>
            </w:r>
          </w:p>
        </w:tc>
      </w:tr>
      <w:tr w:rsidR="00FC4F64" w:rsidRPr="00806461" w:rsidTr="0005539E">
        <w:tc>
          <w:tcPr>
            <w:tcW w:w="846" w:type="pct"/>
            <w:tcBorders>
              <w:top w:val="single" w:sz="4" w:space="0" w:color="auto"/>
            </w:tcBorders>
            <w:shd w:val="clear" w:color="auto" w:fill="auto"/>
            <w:vAlign w:val="center"/>
          </w:tcPr>
          <w:p w:rsidR="00FC4F64" w:rsidRPr="00806461" w:rsidRDefault="00FC4F64" w:rsidP="00FC4F64">
            <w:pPr>
              <w:spacing w:after="40"/>
              <w:rPr>
                <w:rFonts w:cs="Arial"/>
                <w:sz w:val="16"/>
                <w:szCs w:val="16"/>
              </w:rPr>
            </w:pPr>
            <w:r w:rsidRPr="00806461">
              <w:rPr>
                <w:rFonts w:cs="Arial"/>
                <w:b/>
                <w:bCs/>
                <w:sz w:val="16"/>
                <w:szCs w:val="16"/>
              </w:rPr>
              <w:t>Performance Indicators</w:t>
            </w:r>
          </w:p>
        </w:tc>
        <w:tc>
          <w:tcPr>
            <w:tcW w:w="914" w:type="pct"/>
            <w:gridSpan w:val="2"/>
            <w:tcBorders>
              <w:top w:val="single" w:sz="4" w:space="0" w:color="auto"/>
            </w:tcBorders>
            <w:shd w:val="clear" w:color="auto" w:fill="auto"/>
            <w:vAlign w:val="center"/>
          </w:tcPr>
          <w:p w:rsidR="00FC4F64" w:rsidRPr="00806461" w:rsidRDefault="00FC4F64" w:rsidP="00FC4F64">
            <w:pPr>
              <w:spacing w:after="40"/>
              <w:rPr>
                <w:rFonts w:cs="Arial"/>
                <w:b/>
                <w:bCs/>
                <w:sz w:val="16"/>
                <w:szCs w:val="16"/>
              </w:rPr>
            </w:pPr>
            <w:r w:rsidRPr="00806461">
              <w:rPr>
                <w:rFonts w:cs="Arial"/>
                <w:b/>
                <w:bCs/>
                <w:sz w:val="16"/>
                <w:szCs w:val="16"/>
              </w:rPr>
              <w:t>Baselines</w:t>
            </w:r>
          </w:p>
        </w:tc>
        <w:tc>
          <w:tcPr>
            <w:tcW w:w="902" w:type="pct"/>
            <w:gridSpan w:val="3"/>
            <w:tcBorders>
              <w:top w:val="single" w:sz="4" w:space="0" w:color="auto"/>
            </w:tcBorders>
            <w:shd w:val="clear" w:color="auto" w:fill="auto"/>
            <w:tcMar>
              <w:top w:w="110" w:type="dxa"/>
            </w:tcMar>
            <w:vAlign w:val="center"/>
          </w:tcPr>
          <w:p w:rsidR="00FC4F64" w:rsidRPr="00806461" w:rsidRDefault="00FC4F64" w:rsidP="00FC4F64">
            <w:pPr>
              <w:spacing w:after="40"/>
              <w:rPr>
                <w:rFonts w:cs="Arial"/>
                <w:b/>
                <w:sz w:val="16"/>
                <w:szCs w:val="16"/>
              </w:rPr>
            </w:pPr>
            <w:r w:rsidRPr="00806461">
              <w:rPr>
                <w:rFonts w:cs="Arial"/>
                <w:b/>
                <w:sz w:val="16"/>
                <w:szCs w:val="16"/>
              </w:rPr>
              <w:t>Target</w:t>
            </w:r>
            <w:r w:rsidR="00582788" w:rsidRPr="00806461">
              <w:rPr>
                <w:rFonts w:cs="Arial"/>
                <w:b/>
                <w:sz w:val="16"/>
                <w:szCs w:val="16"/>
              </w:rPr>
              <w:t>s</w:t>
            </w:r>
          </w:p>
        </w:tc>
        <w:tc>
          <w:tcPr>
            <w:tcW w:w="1805" w:type="pct"/>
            <w:gridSpan w:val="2"/>
            <w:tcBorders>
              <w:top w:val="single" w:sz="4" w:space="0" w:color="auto"/>
            </w:tcBorders>
            <w:shd w:val="clear" w:color="auto" w:fill="FFFFFF"/>
            <w:tcMar>
              <w:top w:w="110" w:type="dxa"/>
            </w:tcMar>
            <w:vAlign w:val="center"/>
          </w:tcPr>
          <w:p w:rsidR="00FC4F64" w:rsidRPr="00806461" w:rsidRDefault="00FC4F64" w:rsidP="00FC4F64">
            <w:pPr>
              <w:spacing w:after="40"/>
              <w:rPr>
                <w:rFonts w:cs="Arial"/>
                <w:sz w:val="16"/>
                <w:szCs w:val="16"/>
              </w:rPr>
            </w:pPr>
            <w:r w:rsidRPr="00806461">
              <w:rPr>
                <w:rFonts w:cs="Arial"/>
                <w:b/>
                <w:bCs/>
                <w:sz w:val="16"/>
                <w:szCs w:val="16"/>
              </w:rPr>
              <w:t>Performance Data</w:t>
            </w:r>
          </w:p>
        </w:tc>
        <w:tc>
          <w:tcPr>
            <w:tcW w:w="532" w:type="pct"/>
            <w:tcBorders>
              <w:top w:val="single" w:sz="4" w:space="0" w:color="auto"/>
            </w:tcBorders>
            <w:shd w:val="clear" w:color="auto" w:fill="auto"/>
            <w:tcMar>
              <w:top w:w="110" w:type="dxa"/>
            </w:tcMar>
            <w:vAlign w:val="center"/>
          </w:tcPr>
          <w:p w:rsidR="00FC4F64" w:rsidRPr="00806461" w:rsidRDefault="00FC4F64" w:rsidP="00FC4F64">
            <w:pPr>
              <w:spacing w:after="40"/>
              <w:jc w:val="center"/>
              <w:rPr>
                <w:rFonts w:cs="Arial"/>
                <w:b/>
                <w:bCs/>
                <w:sz w:val="16"/>
                <w:szCs w:val="16"/>
              </w:rPr>
            </w:pPr>
            <w:r w:rsidRPr="00806461">
              <w:rPr>
                <w:rFonts w:cs="Arial"/>
                <w:b/>
                <w:bCs/>
                <w:sz w:val="16"/>
                <w:szCs w:val="16"/>
              </w:rPr>
              <w:t>TLS</w:t>
            </w:r>
          </w:p>
        </w:tc>
      </w:tr>
      <w:tr w:rsidR="00FC4F64" w:rsidRPr="00806461" w:rsidTr="0005539E">
        <w:tc>
          <w:tcPr>
            <w:tcW w:w="846" w:type="pct"/>
            <w:shd w:val="clear" w:color="auto" w:fill="FFFFFF"/>
          </w:tcPr>
          <w:p w:rsidR="00FC4F64" w:rsidRPr="00806461" w:rsidRDefault="00FC4F64" w:rsidP="00FC4F64">
            <w:pPr>
              <w:rPr>
                <w:rFonts w:cs="Arial"/>
                <w:sz w:val="16"/>
                <w:szCs w:val="16"/>
              </w:rPr>
            </w:pPr>
            <w:r w:rsidRPr="00806461">
              <w:rPr>
                <w:rFonts w:cs="Arial"/>
                <w:sz w:val="16"/>
                <w:szCs w:val="16"/>
              </w:rPr>
              <w:t>Unit cost of processing an application</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Updated Baseline end 2011:</w:t>
            </w:r>
            <w:r w:rsidRPr="00806461">
              <w:rPr>
                <w:color w:val="002060"/>
                <w:sz w:val="16"/>
                <w:szCs w:val="16"/>
              </w:rPr>
              <w:t xml:space="preserve"> </w:t>
            </w:r>
          </w:p>
          <w:p w:rsidR="00FC4F64" w:rsidRPr="00806461" w:rsidRDefault="00FC4F64" w:rsidP="00FC4F64">
            <w:pPr>
              <w:rPr>
                <w:rFonts w:cs="Arial"/>
                <w:color w:val="002060"/>
                <w:sz w:val="16"/>
                <w:szCs w:val="16"/>
              </w:rPr>
            </w:pPr>
            <w:r w:rsidRPr="00806461">
              <w:rPr>
                <w:rFonts w:cs="Arial"/>
                <w:color w:val="002060"/>
                <w:sz w:val="16"/>
                <w:szCs w:val="16"/>
              </w:rPr>
              <w:t>747 Swiss francs</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Unit cost in 2011</w:t>
            </w:r>
          </w:p>
        </w:tc>
        <w:tc>
          <w:tcPr>
            <w:tcW w:w="902" w:type="pct"/>
            <w:gridSpan w:val="3"/>
            <w:shd w:val="clear" w:color="auto" w:fill="auto"/>
            <w:tcMar>
              <w:top w:w="110" w:type="dxa"/>
            </w:tcMar>
          </w:tcPr>
          <w:p w:rsidR="00FC4F64" w:rsidRPr="00806461" w:rsidRDefault="00FC4F64" w:rsidP="00FC4F64">
            <w:pPr>
              <w:rPr>
                <w:rFonts w:cs="Arial"/>
                <w:sz w:val="16"/>
                <w:szCs w:val="16"/>
              </w:rPr>
            </w:pPr>
            <w:r w:rsidRPr="00806461">
              <w:rPr>
                <w:rFonts w:cs="Arial"/>
                <w:sz w:val="16"/>
                <w:szCs w:val="16"/>
              </w:rPr>
              <w:t>Improvement over the Biennium</w:t>
            </w:r>
          </w:p>
        </w:tc>
        <w:tc>
          <w:tcPr>
            <w:tcW w:w="1805" w:type="pct"/>
            <w:gridSpan w:val="2"/>
            <w:shd w:val="clear" w:color="auto" w:fill="FFFFFF"/>
            <w:tcMar>
              <w:top w:w="110" w:type="dxa"/>
            </w:tcMar>
          </w:tcPr>
          <w:p w:rsidR="00283E82" w:rsidRDefault="00FC4F64">
            <w:pPr>
              <w:rPr>
                <w:rFonts w:cs="Arial"/>
                <w:sz w:val="16"/>
                <w:szCs w:val="16"/>
                <w:lang w:bidi="th-TH"/>
              </w:rPr>
            </w:pPr>
            <w:r w:rsidRPr="00806461">
              <w:rPr>
                <w:rFonts w:cs="Arial"/>
                <w:sz w:val="16"/>
                <w:szCs w:val="16"/>
                <w:lang w:bidi="th-TH"/>
              </w:rPr>
              <w:t>712 Swiss francs (2012)/</w:t>
            </w:r>
          </w:p>
          <w:p w:rsidR="00FC4F64" w:rsidRPr="00806461" w:rsidRDefault="00FC4F64">
            <w:pPr>
              <w:rPr>
                <w:rFonts w:cs="Arial"/>
                <w:i/>
                <w:sz w:val="16"/>
                <w:szCs w:val="16"/>
                <w:lang w:bidi="th-TH"/>
              </w:rPr>
            </w:pPr>
            <w:r w:rsidRPr="00806461">
              <w:rPr>
                <w:rFonts w:cs="Arial"/>
                <w:sz w:val="16"/>
                <w:szCs w:val="16"/>
                <w:lang w:bidi="th-TH"/>
              </w:rPr>
              <w:t>722 Swiss francs (2013)</w:t>
            </w:r>
            <w:r w:rsidRPr="00806461">
              <w:rPr>
                <w:rStyle w:val="FootnoteReference"/>
                <w:rFonts w:cs="Arial"/>
                <w:sz w:val="16"/>
                <w:szCs w:val="16"/>
                <w:lang w:bidi="th-TH"/>
              </w:rPr>
              <w:footnoteReference w:id="6"/>
            </w:r>
          </w:p>
        </w:tc>
        <w:tc>
          <w:tcPr>
            <w:tcW w:w="532" w:type="pct"/>
            <w:shd w:val="clear" w:color="auto" w:fill="auto"/>
            <w:tcMar>
              <w:top w:w="110" w:type="dxa"/>
            </w:tcMar>
          </w:tcPr>
          <w:p w:rsidR="00FC4F64" w:rsidRPr="00806461" w:rsidRDefault="00372F28" w:rsidP="00FC4F64">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Productivity of formality examination</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7%</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Productivity in 2011</w:t>
            </w:r>
          </w:p>
        </w:tc>
        <w:tc>
          <w:tcPr>
            <w:tcW w:w="902" w:type="pct"/>
            <w:gridSpan w:val="3"/>
            <w:shd w:val="clear" w:color="auto" w:fill="auto"/>
            <w:tcMar>
              <w:top w:w="110" w:type="dxa"/>
            </w:tcMar>
          </w:tcPr>
          <w:p w:rsidR="00FC4F64" w:rsidRPr="00806461" w:rsidRDefault="00FC4F64" w:rsidP="00FC4F64">
            <w:pPr>
              <w:rPr>
                <w:rFonts w:cs="Arial"/>
                <w:sz w:val="16"/>
                <w:szCs w:val="16"/>
              </w:rPr>
            </w:pPr>
            <w:r w:rsidRPr="00806461">
              <w:rPr>
                <w:rFonts w:cs="Arial"/>
                <w:sz w:val="16"/>
                <w:szCs w:val="16"/>
              </w:rPr>
              <w:t>Improvement over the Biennium</w:t>
            </w:r>
          </w:p>
        </w:tc>
        <w:tc>
          <w:tcPr>
            <w:tcW w:w="1805" w:type="pct"/>
            <w:gridSpan w:val="2"/>
            <w:shd w:val="clear" w:color="auto" w:fill="FFFFFF"/>
            <w:tcMar>
              <w:top w:w="110" w:type="dxa"/>
            </w:tcMar>
          </w:tcPr>
          <w:p w:rsidR="00FC4F64" w:rsidRPr="00806461" w:rsidRDefault="00EC1008" w:rsidP="00FC4F64">
            <w:pPr>
              <w:rPr>
                <w:rFonts w:cs="Arial"/>
                <w:sz w:val="16"/>
                <w:szCs w:val="16"/>
                <w:lang w:bidi="th-TH"/>
              </w:rPr>
            </w:pPr>
            <w:r>
              <w:rPr>
                <w:rFonts w:cs="Arial"/>
                <w:sz w:val="16"/>
                <w:szCs w:val="16"/>
                <w:lang w:bidi="th-TH"/>
              </w:rPr>
              <w:t>ten per cent</w:t>
            </w:r>
            <w:r w:rsidR="00FC4F64" w:rsidRPr="00806461">
              <w:rPr>
                <w:rFonts w:cs="Arial"/>
                <w:sz w:val="16"/>
                <w:szCs w:val="16"/>
                <w:lang w:bidi="th-TH"/>
              </w:rPr>
              <w:t xml:space="preserve"> (2012)</w:t>
            </w:r>
          </w:p>
          <w:p w:rsidR="00FC4F64" w:rsidRPr="00806461" w:rsidRDefault="00FC4F64" w:rsidP="00FC4F64">
            <w:pPr>
              <w:rPr>
                <w:rFonts w:cs="Arial"/>
                <w:sz w:val="16"/>
                <w:szCs w:val="16"/>
                <w:lang w:bidi="th-TH"/>
              </w:rPr>
            </w:pPr>
            <w:r w:rsidRPr="00806461">
              <w:rPr>
                <w:rFonts w:cs="Arial"/>
                <w:sz w:val="16"/>
                <w:szCs w:val="16"/>
                <w:lang w:bidi="th-TH"/>
              </w:rPr>
              <w:t>8% (2013)</w:t>
            </w:r>
          </w:p>
        </w:tc>
        <w:tc>
          <w:tcPr>
            <w:tcW w:w="532" w:type="pct"/>
            <w:shd w:val="clear" w:color="auto" w:fill="auto"/>
          </w:tcPr>
          <w:p w:rsidR="00FC4F64" w:rsidRPr="00806461" w:rsidRDefault="00FC4F64" w:rsidP="00FC4F64">
            <w:pPr>
              <w:jc w:val="center"/>
              <w:rPr>
                <w:rFonts w:cs="Arial"/>
                <w:bCs/>
                <w:color w:val="333333"/>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Quality of formality examination</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90.56%</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Average of last three years</w:t>
            </w:r>
          </w:p>
        </w:tc>
        <w:tc>
          <w:tcPr>
            <w:tcW w:w="902" w:type="pct"/>
            <w:gridSpan w:val="3"/>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90% (average of last</w:t>
            </w:r>
          </w:p>
          <w:p w:rsidR="00FC4F64" w:rsidRPr="00806461" w:rsidRDefault="00FC4F64" w:rsidP="00FC4F64">
            <w:pPr>
              <w:rPr>
                <w:rFonts w:cs="Arial"/>
                <w:sz w:val="16"/>
                <w:szCs w:val="16"/>
              </w:rPr>
            </w:pPr>
            <w:r w:rsidRPr="00806461">
              <w:rPr>
                <w:rFonts w:cs="Arial"/>
                <w:sz w:val="16"/>
                <w:szCs w:val="16"/>
              </w:rPr>
              <w:t>three years)</w:t>
            </w:r>
          </w:p>
        </w:tc>
        <w:tc>
          <w:tcPr>
            <w:tcW w:w="1805" w:type="pct"/>
            <w:gridSpan w:val="2"/>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90.06% (average 2010-12)</w:t>
            </w:r>
          </w:p>
          <w:p w:rsidR="00FC4F64" w:rsidRPr="00806461" w:rsidRDefault="00FC4F64" w:rsidP="00FC4F64">
            <w:pPr>
              <w:rPr>
                <w:rFonts w:cs="Arial"/>
                <w:sz w:val="16"/>
                <w:szCs w:val="16"/>
                <w:lang w:bidi="th-TH"/>
              </w:rPr>
            </w:pPr>
            <w:r w:rsidRPr="00806461">
              <w:rPr>
                <w:rFonts w:cs="Arial"/>
                <w:sz w:val="16"/>
                <w:szCs w:val="16"/>
                <w:lang w:bidi="th-TH"/>
              </w:rPr>
              <w:t>88.74% (average 2011-13)</w:t>
            </w:r>
          </w:p>
        </w:tc>
        <w:tc>
          <w:tcPr>
            <w:tcW w:w="532" w:type="pct"/>
            <w:shd w:val="clear" w:color="auto" w:fill="auto"/>
            <w:tcMar>
              <w:top w:w="110" w:type="dxa"/>
            </w:tcMar>
          </w:tcPr>
          <w:p w:rsidR="00FC4F64" w:rsidRPr="00806461" w:rsidRDefault="00FC4F64" w:rsidP="00FC4F64">
            <w:pPr>
              <w:spacing w:after="120"/>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05539E">
            <w:pPr>
              <w:rPr>
                <w:rFonts w:cs="Arial"/>
                <w:sz w:val="16"/>
                <w:szCs w:val="16"/>
              </w:rPr>
            </w:pPr>
            <w:r w:rsidRPr="00806461">
              <w:rPr>
                <w:rFonts w:cs="Arial"/>
                <w:sz w:val="16"/>
                <w:szCs w:val="16"/>
              </w:rPr>
              <w:t>Timeliness of formality examination (% accomplished within 3 weeks from receipt)</w:t>
            </w:r>
          </w:p>
        </w:tc>
        <w:tc>
          <w:tcPr>
            <w:tcW w:w="914" w:type="pct"/>
            <w:gridSpan w:val="2"/>
            <w:shd w:val="clear" w:color="auto" w:fill="auto"/>
          </w:tcPr>
          <w:p w:rsidR="00FC4F64" w:rsidRPr="00806461" w:rsidRDefault="00FC4F64" w:rsidP="0005539E">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77.02%</w:t>
            </w:r>
          </w:p>
          <w:p w:rsidR="00FC4F64" w:rsidRPr="00806461" w:rsidRDefault="00FC4F64" w:rsidP="0005539E">
            <w:pPr>
              <w:rPr>
                <w:rFonts w:cs="Arial"/>
                <w:i/>
                <w:sz w:val="8"/>
                <w:szCs w:val="8"/>
              </w:rPr>
            </w:pPr>
          </w:p>
          <w:p w:rsidR="00FC4F64" w:rsidRDefault="00FC4F64" w:rsidP="0005539E">
            <w:pPr>
              <w:rPr>
                <w:rFonts w:cs="Arial"/>
                <w:sz w:val="16"/>
                <w:szCs w:val="16"/>
              </w:rPr>
            </w:pPr>
            <w:r w:rsidRPr="00806461">
              <w:rPr>
                <w:rFonts w:cs="Arial"/>
                <w:i/>
                <w:sz w:val="16"/>
                <w:szCs w:val="16"/>
              </w:rPr>
              <w:t>Original Baseline P&amp;B 2012/13:</w:t>
            </w:r>
            <w:r w:rsidRPr="00806461">
              <w:rPr>
                <w:rFonts w:cs="Arial"/>
                <w:sz w:val="16"/>
                <w:szCs w:val="16"/>
              </w:rPr>
              <w:br/>
              <w:t>Average of last three years</w:t>
            </w:r>
          </w:p>
          <w:p w:rsidR="0005539E" w:rsidRPr="00806461" w:rsidRDefault="0005539E" w:rsidP="0005539E">
            <w:pPr>
              <w:rPr>
                <w:rFonts w:cs="Arial"/>
                <w:sz w:val="16"/>
                <w:szCs w:val="16"/>
              </w:rPr>
            </w:pPr>
          </w:p>
        </w:tc>
        <w:tc>
          <w:tcPr>
            <w:tcW w:w="902" w:type="pct"/>
            <w:gridSpan w:val="3"/>
            <w:shd w:val="clear" w:color="auto" w:fill="auto"/>
            <w:tcMar>
              <w:top w:w="110" w:type="dxa"/>
            </w:tcMar>
          </w:tcPr>
          <w:p w:rsidR="00FC4F64" w:rsidRPr="00806461" w:rsidRDefault="00FC4F64" w:rsidP="0005539E">
            <w:pPr>
              <w:rPr>
                <w:rFonts w:cs="Arial"/>
                <w:sz w:val="16"/>
                <w:szCs w:val="16"/>
              </w:rPr>
            </w:pPr>
            <w:r w:rsidRPr="00806461">
              <w:rPr>
                <w:rFonts w:cs="Arial"/>
                <w:sz w:val="16"/>
                <w:szCs w:val="16"/>
              </w:rPr>
              <w:t>80% (average over</w:t>
            </w:r>
          </w:p>
          <w:p w:rsidR="00FC4F64" w:rsidRPr="00806461" w:rsidRDefault="00FC4F64" w:rsidP="0005539E">
            <w:pPr>
              <w:rPr>
                <w:rFonts w:cs="Arial"/>
                <w:sz w:val="16"/>
                <w:szCs w:val="16"/>
              </w:rPr>
            </w:pPr>
            <w:r w:rsidRPr="00806461">
              <w:rPr>
                <w:rFonts w:cs="Arial"/>
                <w:sz w:val="16"/>
                <w:szCs w:val="16"/>
              </w:rPr>
              <w:t>last three years)</w:t>
            </w:r>
          </w:p>
        </w:tc>
        <w:tc>
          <w:tcPr>
            <w:tcW w:w="1805" w:type="pct"/>
            <w:gridSpan w:val="2"/>
            <w:shd w:val="clear" w:color="auto" w:fill="FFFFFF"/>
            <w:tcMar>
              <w:top w:w="110" w:type="dxa"/>
            </w:tcMar>
          </w:tcPr>
          <w:p w:rsidR="00FC4F64" w:rsidRPr="00806461" w:rsidRDefault="00FC4F64" w:rsidP="0005539E">
            <w:pPr>
              <w:rPr>
                <w:rFonts w:cs="Arial"/>
                <w:sz w:val="16"/>
                <w:szCs w:val="16"/>
                <w:lang w:bidi="th-TH"/>
              </w:rPr>
            </w:pPr>
            <w:r w:rsidRPr="00806461">
              <w:rPr>
                <w:rFonts w:cs="Arial"/>
                <w:sz w:val="16"/>
                <w:szCs w:val="16"/>
                <w:lang w:bidi="th-TH"/>
              </w:rPr>
              <w:t>74.56% (average 2010-12)</w:t>
            </w:r>
          </w:p>
          <w:p w:rsidR="00FC4F64" w:rsidRPr="00806461" w:rsidRDefault="00FC4F64" w:rsidP="0005539E">
            <w:pPr>
              <w:rPr>
                <w:rFonts w:cs="Arial"/>
                <w:sz w:val="16"/>
                <w:szCs w:val="16"/>
                <w:lang w:bidi="th-TH"/>
              </w:rPr>
            </w:pPr>
            <w:r w:rsidRPr="00806461">
              <w:rPr>
                <w:rFonts w:cs="Arial"/>
                <w:sz w:val="16"/>
                <w:szCs w:val="16"/>
                <w:lang w:bidi="th-TH"/>
              </w:rPr>
              <w:t>74.47% (average 2011-13)</w:t>
            </w:r>
          </w:p>
        </w:tc>
        <w:tc>
          <w:tcPr>
            <w:tcW w:w="532" w:type="pct"/>
            <w:shd w:val="clear" w:color="auto" w:fill="auto"/>
            <w:tcMar>
              <w:top w:w="110" w:type="dxa"/>
            </w:tcMar>
          </w:tcPr>
          <w:p w:rsidR="00FC4F64" w:rsidRPr="00806461" w:rsidRDefault="00FC4F64" w:rsidP="0005539E">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05539E">
            <w:pPr>
              <w:keepNext/>
              <w:keepLines/>
              <w:rPr>
                <w:rFonts w:cs="Arial"/>
                <w:sz w:val="16"/>
                <w:szCs w:val="16"/>
              </w:rPr>
            </w:pPr>
            <w:r w:rsidRPr="00806461">
              <w:rPr>
                <w:rFonts w:cs="Arial"/>
                <w:sz w:val="16"/>
                <w:szCs w:val="16"/>
              </w:rPr>
              <w:lastRenderedPageBreak/>
              <w:t>Timeliness of publication (% published within 18 months + three weeks from priority date)</w:t>
            </w:r>
          </w:p>
        </w:tc>
        <w:tc>
          <w:tcPr>
            <w:tcW w:w="914" w:type="pct"/>
            <w:gridSpan w:val="2"/>
            <w:shd w:val="clear" w:color="auto" w:fill="auto"/>
          </w:tcPr>
          <w:p w:rsidR="00FC4F64" w:rsidRPr="00806461" w:rsidRDefault="00FC4F64" w:rsidP="0005539E">
            <w:pPr>
              <w:pStyle w:val="Default"/>
              <w:keepNext/>
              <w:keepLines/>
              <w:rPr>
                <w:color w:val="002060"/>
                <w:sz w:val="16"/>
                <w:szCs w:val="16"/>
              </w:rPr>
            </w:pPr>
            <w:r w:rsidRPr="00806461">
              <w:rPr>
                <w:i/>
                <w:color w:val="002060"/>
                <w:sz w:val="16"/>
                <w:szCs w:val="16"/>
              </w:rPr>
              <w:t xml:space="preserve">Updated Baseline end 2011: </w:t>
            </w:r>
            <w:r w:rsidRPr="00806461">
              <w:rPr>
                <w:color w:val="002060"/>
                <w:sz w:val="16"/>
                <w:szCs w:val="16"/>
              </w:rPr>
              <w:t xml:space="preserve"> 97.04%</w:t>
            </w:r>
          </w:p>
          <w:p w:rsidR="00FC4F64" w:rsidRPr="00806461" w:rsidRDefault="00FC4F64" w:rsidP="0005539E">
            <w:pPr>
              <w:keepNext/>
              <w:keepLines/>
              <w:rPr>
                <w:rFonts w:cs="Arial"/>
                <w:i/>
                <w:sz w:val="8"/>
                <w:szCs w:val="8"/>
              </w:rPr>
            </w:pPr>
          </w:p>
          <w:p w:rsidR="00FC4F64" w:rsidRPr="00806461" w:rsidRDefault="00FC4F64" w:rsidP="0005539E">
            <w:pPr>
              <w:keepNext/>
              <w:keepLines/>
              <w:rPr>
                <w:rFonts w:cs="Arial"/>
                <w:sz w:val="16"/>
                <w:szCs w:val="16"/>
              </w:rPr>
            </w:pPr>
            <w:r w:rsidRPr="00806461">
              <w:rPr>
                <w:rFonts w:cs="Arial"/>
                <w:i/>
                <w:sz w:val="16"/>
                <w:szCs w:val="16"/>
              </w:rPr>
              <w:t>Original Baseline P&amp;B 2012/13:</w:t>
            </w:r>
            <w:r w:rsidRPr="00806461">
              <w:rPr>
                <w:rFonts w:cs="Arial"/>
                <w:sz w:val="16"/>
                <w:szCs w:val="16"/>
              </w:rPr>
              <w:br/>
              <w:t>Average of last three years</w:t>
            </w:r>
          </w:p>
        </w:tc>
        <w:tc>
          <w:tcPr>
            <w:tcW w:w="902" w:type="pct"/>
            <w:gridSpan w:val="3"/>
            <w:shd w:val="clear" w:color="auto" w:fill="auto"/>
            <w:tcMar>
              <w:top w:w="110" w:type="dxa"/>
            </w:tcMar>
          </w:tcPr>
          <w:p w:rsidR="00FC4F64" w:rsidRPr="00806461" w:rsidRDefault="00FC4F64" w:rsidP="0005539E">
            <w:pPr>
              <w:keepNext/>
              <w:keepLines/>
              <w:rPr>
                <w:rFonts w:cs="Arial"/>
                <w:sz w:val="16"/>
                <w:szCs w:val="16"/>
              </w:rPr>
            </w:pPr>
            <w:r w:rsidRPr="00806461">
              <w:rPr>
                <w:rFonts w:cs="Arial"/>
                <w:sz w:val="16"/>
                <w:szCs w:val="16"/>
              </w:rPr>
              <w:t>96% (average over</w:t>
            </w:r>
          </w:p>
          <w:p w:rsidR="00FC4F64" w:rsidRPr="00806461" w:rsidRDefault="00FC4F64" w:rsidP="0005539E">
            <w:pPr>
              <w:keepNext/>
              <w:keepLines/>
              <w:rPr>
                <w:rFonts w:cs="Arial"/>
                <w:sz w:val="16"/>
                <w:szCs w:val="16"/>
              </w:rPr>
            </w:pPr>
            <w:r w:rsidRPr="00806461">
              <w:rPr>
                <w:rFonts w:cs="Arial"/>
                <w:sz w:val="16"/>
                <w:szCs w:val="16"/>
              </w:rPr>
              <w:t>last three years)</w:t>
            </w:r>
          </w:p>
        </w:tc>
        <w:tc>
          <w:tcPr>
            <w:tcW w:w="1805" w:type="pct"/>
            <w:gridSpan w:val="2"/>
            <w:shd w:val="clear" w:color="auto" w:fill="FFFFFF"/>
            <w:tcMar>
              <w:top w:w="110" w:type="dxa"/>
            </w:tcMar>
          </w:tcPr>
          <w:p w:rsidR="00FC4F64" w:rsidRPr="00806461" w:rsidRDefault="00FC4F64" w:rsidP="0005539E">
            <w:pPr>
              <w:keepNext/>
              <w:keepLines/>
              <w:rPr>
                <w:rFonts w:cs="Arial"/>
                <w:sz w:val="16"/>
                <w:szCs w:val="16"/>
                <w:lang w:bidi="th-TH"/>
              </w:rPr>
            </w:pPr>
            <w:r w:rsidRPr="00806461">
              <w:rPr>
                <w:rFonts w:cs="Arial"/>
                <w:sz w:val="16"/>
                <w:szCs w:val="16"/>
                <w:lang w:bidi="th-TH"/>
              </w:rPr>
              <w:t>97.98% (average 2010-12)</w:t>
            </w:r>
          </w:p>
          <w:p w:rsidR="00FC4F64" w:rsidRPr="00806461" w:rsidRDefault="00FC4F64" w:rsidP="0005539E">
            <w:pPr>
              <w:keepNext/>
              <w:keepLines/>
              <w:rPr>
                <w:rFonts w:cs="Arial"/>
                <w:sz w:val="16"/>
                <w:szCs w:val="16"/>
                <w:lang w:bidi="th-TH"/>
              </w:rPr>
            </w:pPr>
            <w:r w:rsidRPr="00806461">
              <w:rPr>
                <w:rFonts w:cs="Arial"/>
                <w:sz w:val="16"/>
                <w:szCs w:val="16"/>
                <w:lang w:bidi="th-TH"/>
              </w:rPr>
              <w:t>98.50% (average 2011-13)</w:t>
            </w:r>
          </w:p>
        </w:tc>
        <w:tc>
          <w:tcPr>
            <w:tcW w:w="532" w:type="pct"/>
            <w:shd w:val="clear" w:color="auto" w:fill="auto"/>
            <w:tcMar>
              <w:top w:w="110" w:type="dxa"/>
            </w:tcMar>
          </w:tcPr>
          <w:p w:rsidR="00FC4F64" w:rsidRPr="00806461" w:rsidRDefault="00FC4F64" w:rsidP="0005539E">
            <w:pPr>
              <w:keepNext/>
              <w:keepLines/>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Quality of translation (% that pass quality check)</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84.4%</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Quality level in 2011</w:t>
            </w:r>
          </w:p>
        </w:tc>
        <w:tc>
          <w:tcPr>
            <w:tcW w:w="902" w:type="pct"/>
            <w:gridSpan w:val="3"/>
            <w:shd w:val="clear" w:color="auto" w:fill="auto"/>
            <w:tcMar>
              <w:top w:w="110" w:type="dxa"/>
            </w:tcMar>
          </w:tcPr>
          <w:p w:rsidR="00FC4F64" w:rsidRPr="00806461" w:rsidRDefault="00FC4F64" w:rsidP="00FC4F64">
            <w:pPr>
              <w:rPr>
                <w:rFonts w:cs="Arial"/>
                <w:sz w:val="16"/>
                <w:szCs w:val="16"/>
              </w:rPr>
            </w:pPr>
            <w:r w:rsidRPr="00806461">
              <w:rPr>
                <w:rFonts w:cs="Arial"/>
                <w:sz w:val="16"/>
                <w:szCs w:val="16"/>
              </w:rPr>
              <w:t>87%</w:t>
            </w:r>
          </w:p>
        </w:tc>
        <w:tc>
          <w:tcPr>
            <w:tcW w:w="1805" w:type="pct"/>
            <w:gridSpan w:val="2"/>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87.2% (2012)</w:t>
            </w:r>
          </w:p>
          <w:p w:rsidR="00FC4F64" w:rsidRPr="00806461" w:rsidRDefault="00FC4F64" w:rsidP="00FC4F64">
            <w:pPr>
              <w:rPr>
                <w:rFonts w:cs="Arial"/>
                <w:sz w:val="16"/>
                <w:szCs w:val="16"/>
                <w:lang w:bidi="th-TH"/>
              </w:rPr>
            </w:pPr>
            <w:r w:rsidRPr="00806461">
              <w:rPr>
                <w:rFonts w:cs="Arial"/>
                <w:sz w:val="16"/>
                <w:szCs w:val="16"/>
                <w:lang w:bidi="th-TH"/>
              </w:rPr>
              <w:t>87.1% (2013)</w:t>
            </w:r>
          </w:p>
        </w:tc>
        <w:tc>
          <w:tcPr>
            <w:tcW w:w="532" w:type="pct"/>
            <w:shd w:val="clear" w:color="auto" w:fill="auto"/>
            <w:tcMar>
              <w:top w:w="110" w:type="dxa"/>
            </w:tcMar>
          </w:tcPr>
          <w:p w:rsidR="00FC4F64" w:rsidRPr="00806461" w:rsidRDefault="00FC4F64" w:rsidP="00FC4F64">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r w:rsidR="00FC4F64" w:rsidRPr="00806461" w:rsidTr="0005539E">
        <w:tc>
          <w:tcPr>
            <w:tcW w:w="846" w:type="pct"/>
            <w:shd w:val="clear" w:color="auto" w:fill="auto"/>
          </w:tcPr>
          <w:p w:rsidR="00FC4F64" w:rsidRPr="00806461" w:rsidRDefault="00FC4F64" w:rsidP="00FC4F64">
            <w:pPr>
              <w:rPr>
                <w:rFonts w:cs="Arial"/>
                <w:sz w:val="16"/>
                <w:szCs w:val="16"/>
              </w:rPr>
            </w:pPr>
            <w:r w:rsidRPr="00806461">
              <w:rPr>
                <w:rFonts w:cs="Arial"/>
                <w:sz w:val="16"/>
                <w:szCs w:val="16"/>
              </w:rPr>
              <w:t>Filings at the IB as Receiving Office</w:t>
            </w:r>
          </w:p>
        </w:tc>
        <w:tc>
          <w:tcPr>
            <w:tcW w:w="914" w:type="pct"/>
            <w:gridSpan w:val="2"/>
            <w:shd w:val="clear" w:color="auto" w:fill="auto"/>
          </w:tcPr>
          <w:p w:rsidR="00FC4F64" w:rsidRPr="00806461" w:rsidRDefault="00FC4F64" w:rsidP="00FC4F64">
            <w:pPr>
              <w:pStyle w:val="Default"/>
              <w:rPr>
                <w:color w:val="002060"/>
                <w:sz w:val="16"/>
                <w:szCs w:val="16"/>
              </w:rPr>
            </w:pPr>
            <w:r w:rsidRPr="00806461">
              <w:rPr>
                <w:i/>
                <w:color w:val="002060"/>
                <w:sz w:val="16"/>
                <w:szCs w:val="16"/>
              </w:rPr>
              <w:t xml:space="preserve">Updated Baseline end 2011: </w:t>
            </w:r>
            <w:r w:rsidRPr="00806461">
              <w:rPr>
                <w:color w:val="002060"/>
                <w:sz w:val="16"/>
                <w:szCs w:val="16"/>
              </w:rPr>
              <w:t xml:space="preserve"> 8,753</w:t>
            </w:r>
          </w:p>
          <w:p w:rsidR="00FC4F64" w:rsidRPr="00806461" w:rsidRDefault="00FC4F64" w:rsidP="00FC4F64">
            <w:pPr>
              <w:rPr>
                <w:rFonts w:cs="Arial"/>
                <w:i/>
                <w:sz w:val="8"/>
                <w:szCs w:val="8"/>
              </w:rPr>
            </w:pPr>
          </w:p>
          <w:p w:rsidR="00FC4F64" w:rsidRPr="00806461" w:rsidRDefault="00FC4F64" w:rsidP="00FC4F64">
            <w:pPr>
              <w:rPr>
                <w:rFonts w:cs="Arial"/>
                <w:sz w:val="16"/>
                <w:szCs w:val="16"/>
              </w:rPr>
            </w:pPr>
            <w:r w:rsidRPr="00806461">
              <w:rPr>
                <w:rFonts w:cs="Arial"/>
                <w:i/>
                <w:sz w:val="16"/>
                <w:szCs w:val="16"/>
              </w:rPr>
              <w:t>Original Baseline P&amp;B 2012/13:</w:t>
            </w:r>
            <w:r w:rsidRPr="00806461">
              <w:rPr>
                <w:rFonts w:cs="Arial"/>
                <w:sz w:val="16"/>
                <w:szCs w:val="16"/>
              </w:rPr>
              <w:br/>
              <w:t>Filings in 2011</w:t>
            </w:r>
          </w:p>
          <w:p w:rsidR="00FC4F64" w:rsidRPr="00806461" w:rsidRDefault="00FC4F64" w:rsidP="00FC4F64">
            <w:pPr>
              <w:rPr>
                <w:rFonts w:cs="Arial"/>
                <w:sz w:val="16"/>
                <w:szCs w:val="16"/>
              </w:rPr>
            </w:pPr>
          </w:p>
        </w:tc>
        <w:tc>
          <w:tcPr>
            <w:tcW w:w="902" w:type="pct"/>
            <w:gridSpan w:val="3"/>
            <w:shd w:val="clear" w:color="auto" w:fill="auto"/>
            <w:tcMar>
              <w:top w:w="110" w:type="dxa"/>
            </w:tcMar>
          </w:tcPr>
          <w:p w:rsidR="00FC4F64" w:rsidRPr="00806461" w:rsidRDefault="00FC4F64" w:rsidP="00FC4F64">
            <w:pPr>
              <w:autoSpaceDE w:val="0"/>
              <w:autoSpaceDN w:val="0"/>
              <w:adjustRightInd w:val="0"/>
              <w:rPr>
                <w:rFonts w:cs="Arial"/>
                <w:sz w:val="16"/>
                <w:szCs w:val="16"/>
              </w:rPr>
            </w:pPr>
            <w:r w:rsidRPr="00806461">
              <w:rPr>
                <w:rFonts w:cs="Arial"/>
                <w:sz w:val="16"/>
                <w:szCs w:val="16"/>
              </w:rPr>
              <w:t>9,700 (2012)</w:t>
            </w:r>
          </w:p>
          <w:p w:rsidR="00FC4F64" w:rsidRPr="00806461" w:rsidRDefault="00FC4F64" w:rsidP="00FC4F64">
            <w:pPr>
              <w:rPr>
                <w:rFonts w:cs="Arial"/>
                <w:sz w:val="16"/>
                <w:szCs w:val="16"/>
              </w:rPr>
            </w:pPr>
            <w:r w:rsidRPr="00806461">
              <w:rPr>
                <w:rFonts w:cs="Arial"/>
                <w:sz w:val="16"/>
                <w:szCs w:val="16"/>
              </w:rPr>
              <w:t>10,100 (2013)</w:t>
            </w:r>
          </w:p>
        </w:tc>
        <w:tc>
          <w:tcPr>
            <w:tcW w:w="1805" w:type="pct"/>
            <w:gridSpan w:val="2"/>
            <w:shd w:val="clear" w:color="auto" w:fill="FFFFFF"/>
            <w:tcMar>
              <w:top w:w="110" w:type="dxa"/>
            </w:tcMar>
          </w:tcPr>
          <w:p w:rsidR="00FC4F64" w:rsidRPr="00806461" w:rsidRDefault="00FC4F64" w:rsidP="00FC4F64">
            <w:pPr>
              <w:rPr>
                <w:rFonts w:cs="Arial"/>
                <w:sz w:val="16"/>
                <w:szCs w:val="16"/>
                <w:lang w:bidi="th-TH"/>
              </w:rPr>
            </w:pPr>
            <w:r w:rsidRPr="00806461">
              <w:rPr>
                <w:rFonts w:cs="Arial"/>
                <w:sz w:val="16"/>
                <w:szCs w:val="16"/>
                <w:lang w:bidi="th-TH"/>
              </w:rPr>
              <w:t>9,711 (2012)</w:t>
            </w:r>
          </w:p>
          <w:p w:rsidR="00FC4F64" w:rsidRPr="00806461" w:rsidRDefault="00FC4F64" w:rsidP="00FC4F64">
            <w:pPr>
              <w:rPr>
                <w:rFonts w:cs="Arial"/>
                <w:sz w:val="16"/>
                <w:szCs w:val="16"/>
                <w:lang w:bidi="th-TH"/>
              </w:rPr>
            </w:pPr>
            <w:r w:rsidRPr="00806461">
              <w:rPr>
                <w:rFonts w:cs="Arial"/>
                <w:sz w:val="16"/>
                <w:szCs w:val="16"/>
                <w:lang w:bidi="th-TH"/>
              </w:rPr>
              <w:t>10,313 (2013)</w:t>
            </w:r>
          </w:p>
        </w:tc>
        <w:tc>
          <w:tcPr>
            <w:tcW w:w="532" w:type="pct"/>
            <w:shd w:val="clear" w:color="auto" w:fill="auto"/>
            <w:tcMar>
              <w:top w:w="110" w:type="dxa"/>
            </w:tcMar>
          </w:tcPr>
          <w:p w:rsidR="00FC4F64" w:rsidRPr="00806461" w:rsidRDefault="00FC4F64" w:rsidP="00FC4F64">
            <w:pPr>
              <w:jc w:val="center"/>
              <w:rPr>
                <w:rFonts w:cs="Arial"/>
                <w:bCs/>
                <w:color w:val="008000"/>
                <w:sz w:val="16"/>
                <w:szCs w:val="16"/>
              </w:rPr>
            </w:pPr>
            <w:r w:rsidRPr="00806461">
              <w:rPr>
                <w:rFonts w:cs="Arial"/>
                <w:bCs/>
                <w:color w:val="008000"/>
                <w:sz w:val="16"/>
                <w:szCs w:val="16"/>
              </w:rPr>
              <w:t>Fully</w:t>
            </w:r>
            <w:r w:rsidRPr="00806461">
              <w:rPr>
                <w:rFonts w:cs="Arial"/>
                <w:bCs/>
                <w:color w:val="008000"/>
                <w:sz w:val="16"/>
                <w:szCs w:val="16"/>
              </w:rPr>
              <w:br/>
              <w:t>Achieved</w:t>
            </w:r>
          </w:p>
        </w:tc>
      </w:tr>
    </w:tbl>
    <w:p w:rsidR="00FC4F64" w:rsidRPr="002A56E1" w:rsidRDefault="00FC4F64" w:rsidP="00FC4F64"/>
    <w:p w:rsidR="00FC4F64" w:rsidRDefault="00FC4F64" w:rsidP="00FC4F64">
      <w:pPr>
        <w:rPr>
          <w:rFonts w:cs="Arial"/>
        </w:rPr>
      </w:pPr>
    </w:p>
    <w:p w:rsidR="00FC4F64" w:rsidRDefault="00FC4F64" w:rsidP="00FC4F64">
      <w:pPr>
        <w:rPr>
          <w:rFonts w:cs="Arial"/>
        </w:rPr>
      </w:pPr>
    </w:p>
    <w:p w:rsidR="00FC4F64" w:rsidRDefault="00FC4F64" w:rsidP="00FC4F64">
      <w:pPr>
        <w:rPr>
          <w:b/>
          <w:sz w:val="18"/>
          <w:szCs w:val="18"/>
        </w:rPr>
      </w:pPr>
      <w:r>
        <w:rPr>
          <w:rFonts w:cs="Arial"/>
          <w:color w:val="000000"/>
          <w:sz w:val="22"/>
          <w:szCs w:val="22"/>
        </w:rPr>
        <w:t>BUDGET AND ACTUAL EXPENDITURE</w:t>
      </w:r>
    </w:p>
    <w:p w:rsidR="00FC4F64" w:rsidRDefault="00FC4F64" w:rsidP="00FC4F64">
      <w:pPr>
        <w:pStyle w:val="NormalWeb"/>
        <w:spacing w:before="0" w:beforeAutospacing="0" w:after="0" w:afterAutospacing="0"/>
        <w:rPr>
          <w:color w:val="000000"/>
          <w:sz w:val="22"/>
          <w:szCs w:val="22"/>
        </w:rPr>
      </w:pPr>
    </w:p>
    <w:p w:rsidR="00FC4F64" w:rsidRPr="0027745B" w:rsidRDefault="00FC4F64" w:rsidP="00FC4F64">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FC4F64" w:rsidRPr="0005539E" w:rsidRDefault="00FC4F64" w:rsidP="0005539E">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FC4F64" w:rsidRDefault="00FC4F64" w:rsidP="00FC4F64">
      <w:pPr>
        <w:rPr>
          <w:rFonts w:cs="Arial"/>
          <w:b/>
          <w:bCs/>
          <w:color w:val="000000"/>
          <w:sz w:val="18"/>
          <w:szCs w:val="18"/>
        </w:rPr>
      </w:pPr>
    </w:p>
    <w:tbl>
      <w:tblPr>
        <w:tblW w:w="0" w:type="auto"/>
        <w:tblInd w:w="103" w:type="dxa"/>
        <w:tblLayout w:type="fixed"/>
        <w:tblLook w:val="04A0" w:firstRow="1" w:lastRow="0" w:firstColumn="1" w:lastColumn="0" w:noHBand="0" w:noVBand="1"/>
      </w:tblPr>
      <w:tblGrid>
        <w:gridCol w:w="468"/>
        <w:gridCol w:w="4782"/>
        <w:gridCol w:w="1370"/>
        <w:gridCol w:w="1370"/>
        <w:gridCol w:w="1371"/>
      </w:tblGrid>
      <w:tr w:rsidR="00FC4F64" w:rsidRPr="00806461" w:rsidTr="00283E82">
        <w:trPr>
          <w:trHeight w:val="711"/>
        </w:trPr>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C4F64" w:rsidRPr="00806461" w:rsidRDefault="00FC4F64" w:rsidP="00D07BB0">
            <w:pPr>
              <w:spacing w:before="120" w:after="120"/>
              <w:jc w:val="center"/>
              <w:rPr>
                <w:rFonts w:cs="Arial"/>
                <w:bCs/>
                <w:color w:val="000000"/>
                <w:sz w:val="16"/>
                <w:szCs w:val="16"/>
              </w:rPr>
            </w:pPr>
            <w:r w:rsidRPr="00806461">
              <w:rPr>
                <w:rFonts w:cs="Arial"/>
                <w:bCs/>
                <w:color w:val="000000"/>
                <w:sz w:val="16"/>
                <w:szCs w:val="16"/>
              </w:rPr>
              <w:t>Expected Result No. and Description</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FC4F64" w:rsidRPr="00806461" w:rsidRDefault="00FC4F64" w:rsidP="00D07BB0">
            <w:pPr>
              <w:spacing w:before="120" w:after="120"/>
              <w:jc w:val="center"/>
              <w:rPr>
                <w:rFonts w:cs="Arial"/>
                <w:bCs/>
                <w:color w:val="000000"/>
                <w:sz w:val="16"/>
                <w:szCs w:val="16"/>
              </w:rPr>
            </w:pPr>
            <w:r w:rsidRPr="00806461">
              <w:rPr>
                <w:rFonts w:cs="Arial"/>
                <w:bCs/>
                <w:color w:val="000000"/>
                <w:sz w:val="16"/>
                <w:szCs w:val="16"/>
              </w:rPr>
              <w:t>2012/13 Approved Budget</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FC4F64" w:rsidRPr="00806461" w:rsidRDefault="00FC4F64" w:rsidP="00D07BB0">
            <w:pPr>
              <w:spacing w:before="120" w:after="120"/>
              <w:jc w:val="center"/>
              <w:rPr>
                <w:rFonts w:cs="Arial"/>
                <w:bCs/>
                <w:color w:val="000000"/>
                <w:sz w:val="16"/>
                <w:szCs w:val="16"/>
              </w:rPr>
            </w:pPr>
            <w:r w:rsidRPr="00806461">
              <w:rPr>
                <w:rFonts w:cs="Arial"/>
                <w:bCs/>
                <w:color w:val="000000"/>
                <w:sz w:val="16"/>
                <w:szCs w:val="16"/>
              </w:rPr>
              <w:t xml:space="preserve">2012/13 Budget </w:t>
            </w:r>
            <w:r w:rsidRPr="00806461">
              <w:rPr>
                <w:rFonts w:cs="Arial"/>
                <w:bCs/>
                <w:color w:val="000000"/>
                <w:sz w:val="16"/>
                <w:szCs w:val="16"/>
              </w:rPr>
              <w:br/>
              <w:t>After Transfers</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FC4F64" w:rsidRPr="00806461" w:rsidRDefault="00FC4F64" w:rsidP="00D07BB0">
            <w:pPr>
              <w:spacing w:before="120" w:after="120"/>
              <w:jc w:val="center"/>
              <w:rPr>
                <w:rFonts w:cs="Arial"/>
                <w:bCs/>
                <w:color w:val="000000"/>
                <w:sz w:val="16"/>
                <w:szCs w:val="16"/>
              </w:rPr>
            </w:pPr>
            <w:r w:rsidRPr="00806461">
              <w:rPr>
                <w:rFonts w:cs="Arial"/>
                <w:bCs/>
                <w:color w:val="000000"/>
                <w:sz w:val="16"/>
                <w:szCs w:val="16"/>
              </w:rPr>
              <w:t xml:space="preserve">2012/13 </w:t>
            </w:r>
            <w:r w:rsidRPr="00806461">
              <w:rPr>
                <w:rFonts w:cs="Arial"/>
                <w:bCs/>
                <w:color w:val="000000"/>
                <w:sz w:val="16"/>
                <w:szCs w:val="16"/>
              </w:rPr>
              <w:br/>
              <w:t>Expenditure</w:t>
            </w:r>
          </w:p>
        </w:tc>
      </w:tr>
      <w:tr w:rsidR="00FC4F64" w:rsidRPr="00302C39" w:rsidTr="00283E82">
        <w:trPr>
          <w:trHeight w:val="536"/>
        </w:trPr>
        <w:tc>
          <w:tcPr>
            <w:tcW w:w="468" w:type="dxa"/>
            <w:tcBorders>
              <w:top w:val="nil"/>
              <w:left w:val="single" w:sz="4" w:space="0" w:color="auto"/>
              <w:bottom w:val="nil"/>
              <w:right w:val="nil"/>
            </w:tcBorders>
            <w:shd w:val="clear" w:color="000000" w:fill="FFFFFF"/>
            <w:noWrap/>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II.1</w:t>
            </w:r>
          </w:p>
        </w:tc>
        <w:tc>
          <w:tcPr>
            <w:tcW w:w="4782" w:type="dxa"/>
            <w:tcBorders>
              <w:top w:val="nil"/>
              <w:left w:val="nil"/>
              <w:bottom w:val="nil"/>
              <w:right w:val="nil"/>
            </w:tcBorders>
            <w:shd w:val="clear" w:color="000000" w:fill="FFFFFF"/>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Informed strategic use of the PCT by all innovators who could potentially benefit from it</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6,380 </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5,602</w:t>
            </w:r>
          </w:p>
        </w:tc>
        <w:tc>
          <w:tcPr>
            <w:tcW w:w="1371" w:type="dxa"/>
            <w:tcBorders>
              <w:top w:val="nil"/>
              <w:left w:val="nil"/>
              <w:bottom w:val="nil"/>
              <w:right w:val="single" w:sz="4" w:space="0" w:color="auto"/>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5,139</w:t>
            </w:r>
          </w:p>
        </w:tc>
      </w:tr>
      <w:tr w:rsidR="00FC4F64" w:rsidRPr="00302C39" w:rsidTr="00283E82">
        <w:trPr>
          <w:trHeight w:val="402"/>
        </w:trPr>
        <w:tc>
          <w:tcPr>
            <w:tcW w:w="468" w:type="dxa"/>
            <w:tcBorders>
              <w:top w:val="nil"/>
              <w:left w:val="single" w:sz="4" w:space="0" w:color="auto"/>
              <w:bottom w:val="nil"/>
              <w:right w:val="nil"/>
            </w:tcBorders>
            <w:shd w:val="clear" w:color="000000" w:fill="FFFFFF"/>
            <w:noWrap/>
            <w:hideMark/>
          </w:tcPr>
          <w:p w:rsidR="00FC4F64" w:rsidRPr="0027745B" w:rsidRDefault="00FC4F64" w:rsidP="00D07BB0">
            <w:pPr>
              <w:spacing w:before="120" w:after="120"/>
              <w:jc w:val="center"/>
              <w:rPr>
                <w:rFonts w:cs="Arial"/>
                <w:color w:val="000000"/>
                <w:sz w:val="16"/>
                <w:szCs w:val="16"/>
              </w:rPr>
            </w:pPr>
            <w:r w:rsidRPr="0027745B">
              <w:rPr>
                <w:rFonts w:cs="Arial"/>
                <w:color w:val="000000"/>
                <w:sz w:val="16"/>
                <w:szCs w:val="16"/>
              </w:rPr>
              <w:t>II.2</w:t>
            </w:r>
          </w:p>
        </w:tc>
        <w:tc>
          <w:tcPr>
            <w:tcW w:w="4782" w:type="dxa"/>
            <w:tcBorders>
              <w:top w:val="nil"/>
              <w:left w:val="nil"/>
              <w:bottom w:val="nil"/>
              <w:right w:val="nil"/>
            </w:tcBorders>
            <w:shd w:val="clear" w:color="000000" w:fill="FFFFFF"/>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Stronger relationships with PCT users and Offices</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16,897 </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15,794 </w:t>
            </w:r>
          </w:p>
        </w:tc>
        <w:tc>
          <w:tcPr>
            <w:tcW w:w="1371" w:type="dxa"/>
            <w:tcBorders>
              <w:top w:val="nil"/>
              <w:left w:val="nil"/>
              <w:bottom w:val="nil"/>
              <w:right w:val="single" w:sz="4" w:space="0" w:color="auto"/>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15,505 </w:t>
            </w:r>
          </w:p>
        </w:tc>
      </w:tr>
      <w:tr w:rsidR="00FC4F64" w:rsidRPr="00302C39" w:rsidTr="00283E82">
        <w:trPr>
          <w:trHeight w:val="416"/>
        </w:trPr>
        <w:tc>
          <w:tcPr>
            <w:tcW w:w="468" w:type="dxa"/>
            <w:tcBorders>
              <w:top w:val="nil"/>
              <w:left w:val="single" w:sz="4" w:space="0" w:color="auto"/>
              <w:bottom w:val="nil"/>
              <w:right w:val="nil"/>
            </w:tcBorders>
            <w:shd w:val="clear" w:color="000000" w:fill="FFFFFF"/>
            <w:noWrap/>
            <w:hideMark/>
          </w:tcPr>
          <w:p w:rsidR="00FC4F64" w:rsidRPr="0027745B" w:rsidRDefault="00FC4F64" w:rsidP="00D07BB0">
            <w:pPr>
              <w:spacing w:before="120" w:after="120"/>
              <w:jc w:val="center"/>
              <w:rPr>
                <w:rFonts w:cs="Arial"/>
                <w:color w:val="000000"/>
                <w:sz w:val="16"/>
                <w:szCs w:val="16"/>
              </w:rPr>
            </w:pPr>
            <w:r w:rsidRPr="0027745B">
              <w:rPr>
                <w:rFonts w:cs="Arial"/>
                <w:color w:val="000000"/>
                <w:sz w:val="16"/>
                <w:szCs w:val="16"/>
              </w:rPr>
              <w:t>II.3</w:t>
            </w:r>
          </w:p>
        </w:tc>
        <w:tc>
          <w:tcPr>
            <w:tcW w:w="4782" w:type="dxa"/>
            <w:tcBorders>
              <w:top w:val="nil"/>
              <w:left w:val="nil"/>
              <w:bottom w:val="nil"/>
              <w:right w:val="nil"/>
            </w:tcBorders>
            <w:shd w:val="clear" w:color="000000" w:fill="FFFFFF"/>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 xml:space="preserve">Enhancement of overall </w:t>
            </w:r>
            <w:r w:rsidR="009E5B4C">
              <w:rPr>
                <w:rFonts w:cs="Arial"/>
                <w:color w:val="000000"/>
                <w:sz w:val="16"/>
                <w:szCs w:val="16"/>
              </w:rPr>
              <w:t>PCT System</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3,225 </w:t>
            </w:r>
          </w:p>
        </w:tc>
        <w:tc>
          <w:tcPr>
            <w:tcW w:w="1370" w:type="dxa"/>
            <w:tcBorders>
              <w:top w:val="nil"/>
              <w:left w:val="nil"/>
              <w:bottom w:val="nil"/>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3,261</w:t>
            </w:r>
          </w:p>
        </w:tc>
        <w:tc>
          <w:tcPr>
            <w:tcW w:w="1371" w:type="dxa"/>
            <w:tcBorders>
              <w:top w:val="nil"/>
              <w:left w:val="nil"/>
              <w:bottom w:val="nil"/>
              <w:right w:val="single" w:sz="4" w:space="0" w:color="auto"/>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3,061 </w:t>
            </w:r>
          </w:p>
        </w:tc>
      </w:tr>
      <w:tr w:rsidR="00FC4F64" w:rsidRPr="00302C39" w:rsidTr="00283E82">
        <w:trPr>
          <w:trHeight w:val="349"/>
        </w:trPr>
        <w:tc>
          <w:tcPr>
            <w:tcW w:w="468" w:type="dxa"/>
            <w:tcBorders>
              <w:top w:val="nil"/>
              <w:left w:val="single" w:sz="4" w:space="0" w:color="auto"/>
              <w:bottom w:val="single" w:sz="4" w:space="0" w:color="auto"/>
              <w:right w:val="nil"/>
            </w:tcBorders>
            <w:shd w:val="clear" w:color="000000" w:fill="FFFFFF"/>
            <w:noWrap/>
            <w:hideMark/>
          </w:tcPr>
          <w:p w:rsidR="00FC4F64" w:rsidRPr="0027745B" w:rsidRDefault="00FC4F64" w:rsidP="00D07BB0">
            <w:pPr>
              <w:spacing w:before="120" w:after="120"/>
              <w:jc w:val="center"/>
              <w:rPr>
                <w:rFonts w:cs="Arial"/>
                <w:color w:val="000000"/>
                <w:sz w:val="16"/>
                <w:szCs w:val="16"/>
              </w:rPr>
            </w:pPr>
            <w:r w:rsidRPr="0027745B">
              <w:rPr>
                <w:rFonts w:cs="Arial"/>
                <w:color w:val="000000"/>
                <w:sz w:val="16"/>
                <w:szCs w:val="16"/>
              </w:rPr>
              <w:t>II.4</w:t>
            </w:r>
          </w:p>
        </w:tc>
        <w:tc>
          <w:tcPr>
            <w:tcW w:w="4782" w:type="dxa"/>
            <w:tcBorders>
              <w:top w:val="nil"/>
              <w:left w:val="nil"/>
              <w:bottom w:val="single" w:sz="4" w:space="0" w:color="auto"/>
              <w:right w:val="nil"/>
            </w:tcBorders>
            <w:shd w:val="clear" w:color="000000" w:fill="FFFFFF"/>
            <w:hideMark/>
          </w:tcPr>
          <w:p w:rsidR="00FC4F64" w:rsidRPr="0027745B" w:rsidRDefault="00FC4F64" w:rsidP="00D07BB0">
            <w:pPr>
              <w:spacing w:before="120" w:after="120"/>
              <w:rPr>
                <w:rFonts w:cs="Arial"/>
                <w:color w:val="000000"/>
                <w:sz w:val="16"/>
                <w:szCs w:val="16"/>
              </w:rPr>
            </w:pPr>
            <w:r w:rsidRPr="0027745B">
              <w:rPr>
                <w:rFonts w:cs="Arial"/>
                <w:color w:val="000000"/>
                <w:sz w:val="16"/>
                <w:szCs w:val="16"/>
              </w:rPr>
              <w:t>Enhanced IB operations</w:t>
            </w:r>
          </w:p>
        </w:tc>
        <w:tc>
          <w:tcPr>
            <w:tcW w:w="1370" w:type="dxa"/>
            <w:tcBorders>
              <w:top w:val="nil"/>
              <w:left w:val="nil"/>
              <w:bottom w:val="single" w:sz="4" w:space="0" w:color="auto"/>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152,098 </w:t>
            </w:r>
          </w:p>
        </w:tc>
        <w:tc>
          <w:tcPr>
            <w:tcW w:w="1370" w:type="dxa"/>
            <w:tcBorders>
              <w:top w:val="nil"/>
              <w:left w:val="nil"/>
              <w:bottom w:val="single" w:sz="4" w:space="0" w:color="auto"/>
              <w:right w:val="nil"/>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154,558 </w:t>
            </w:r>
          </w:p>
        </w:tc>
        <w:tc>
          <w:tcPr>
            <w:tcW w:w="1371" w:type="dxa"/>
            <w:tcBorders>
              <w:top w:val="nil"/>
              <w:left w:val="nil"/>
              <w:bottom w:val="single" w:sz="4" w:space="0" w:color="auto"/>
              <w:right w:val="single" w:sz="4" w:space="0" w:color="auto"/>
            </w:tcBorders>
            <w:shd w:val="clear" w:color="000000" w:fill="FFFFFF"/>
            <w:vAlign w:val="center"/>
            <w:hideMark/>
          </w:tcPr>
          <w:p w:rsidR="00FC4F64" w:rsidRPr="0027745B" w:rsidRDefault="00FC4F64" w:rsidP="00D07BB0">
            <w:pPr>
              <w:spacing w:before="120" w:after="120"/>
              <w:jc w:val="right"/>
              <w:rPr>
                <w:rFonts w:cs="Arial"/>
                <w:color w:val="000000"/>
                <w:sz w:val="16"/>
                <w:szCs w:val="16"/>
              </w:rPr>
            </w:pPr>
            <w:r w:rsidRPr="0027745B">
              <w:rPr>
                <w:rFonts w:cs="Arial"/>
                <w:color w:val="000000"/>
                <w:sz w:val="16"/>
                <w:szCs w:val="16"/>
              </w:rPr>
              <w:t xml:space="preserve">150,449 </w:t>
            </w:r>
          </w:p>
        </w:tc>
      </w:tr>
      <w:tr w:rsidR="00FC4F64" w:rsidRPr="00302C39" w:rsidTr="00283E82">
        <w:trPr>
          <w:trHeight w:val="402"/>
        </w:trPr>
        <w:tc>
          <w:tcPr>
            <w:tcW w:w="468" w:type="dxa"/>
            <w:tcBorders>
              <w:top w:val="nil"/>
              <w:left w:val="single" w:sz="4" w:space="0" w:color="auto"/>
              <w:bottom w:val="single" w:sz="4" w:space="0" w:color="auto"/>
              <w:right w:val="nil"/>
            </w:tcBorders>
            <w:shd w:val="clear" w:color="000000" w:fill="CCFFFF"/>
            <w:noWrap/>
            <w:vAlign w:val="bottom"/>
            <w:hideMark/>
          </w:tcPr>
          <w:p w:rsidR="00FC4F64" w:rsidRPr="0027745B" w:rsidRDefault="00FC4F64" w:rsidP="00D07BB0">
            <w:pPr>
              <w:spacing w:before="120" w:after="120"/>
              <w:jc w:val="center"/>
              <w:rPr>
                <w:rFonts w:cs="Arial"/>
                <w:b/>
                <w:bCs/>
                <w:color w:val="000000"/>
                <w:sz w:val="16"/>
                <w:szCs w:val="16"/>
              </w:rPr>
            </w:pPr>
            <w:r w:rsidRPr="0027745B">
              <w:rPr>
                <w:rFonts w:cs="Arial"/>
                <w:b/>
                <w:bCs/>
                <w:color w:val="000000"/>
                <w:sz w:val="16"/>
                <w:szCs w:val="16"/>
              </w:rPr>
              <w:t> </w:t>
            </w:r>
          </w:p>
        </w:tc>
        <w:tc>
          <w:tcPr>
            <w:tcW w:w="4782" w:type="dxa"/>
            <w:tcBorders>
              <w:top w:val="nil"/>
              <w:left w:val="nil"/>
              <w:bottom w:val="single" w:sz="4" w:space="0" w:color="auto"/>
              <w:right w:val="nil"/>
            </w:tcBorders>
            <w:shd w:val="clear" w:color="000000" w:fill="CCFFFF"/>
            <w:noWrap/>
            <w:vAlign w:val="center"/>
            <w:hideMark/>
          </w:tcPr>
          <w:p w:rsidR="00FC4F64" w:rsidRPr="0027745B" w:rsidRDefault="00FC4F64" w:rsidP="00D07BB0">
            <w:pPr>
              <w:spacing w:before="120" w:after="120"/>
              <w:rPr>
                <w:rFonts w:cs="Arial"/>
                <w:b/>
                <w:bCs/>
                <w:color w:val="000000"/>
                <w:sz w:val="16"/>
                <w:szCs w:val="16"/>
              </w:rPr>
            </w:pPr>
            <w:r w:rsidRPr="0027745B">
              <w:rPr>
                <w:rFonts w:cs="Arial"/>
                <w:b/>
                <w:bCs/>
                <w:color w:val="000000"/>
                <w:sz w:val="16"/>
                <w:szCs w:val="16"/>
              </w:rPr>
              <w:t>Total</w:t>
            </w:r>
          </w:p>
        </w:tc>
        <w:tc>
          <w:tcPr>
            <w:tcW w:w="1370" w:type="dxa"/>
            <w:tcBorders>
              <w:top w:val="nil"/>
              <w:left w:val="single" w:sz="4" w:space="0" w:color="auto"/>
              <w:bottom w:val="single" w:sz="4" w:space="0" w:color="auto"/>
              <w:right w:val="single" w:sz="4" w:space="0" w:color="auto"/>
            </w:tcBorders>
            <w:shd w:val="clear" w:color="000000" w:fill="CCFFFF"/>
            <w:vAlign w:val="center"/>
            <w:hideMark/>
          </w:tcPr>
          <w:p w:rsidR="00FC4F64" w:rsidRPr="0027745B" w:rsidRDefault="00FC4F64" w:rsidP="00D07BB0">
            <w:pPr>
              <w:spacing w:before="120" w:after="120"/>
              <w:jc w:val="right"/>
              <w:rPr>
                <w:rFonts w:cs="Arial"/>
                <w:b/>
                <w:bCs/>
                <w:color w:val="000000"/>
                <w:sz w:val="16"/>
                <w:szCs w:val="16"/>
              </w:rPr>
            </w:pPr>
            <w:r w:rsidRPr="0027745B">
              <w:rPr>
                <w:rFonts w:cs="Arial"/>
                <w:b/>
                <w:bCs/>
                <w:color w:val="000000"/>
                <w:sz w:val="16"/>
                <w:szCs w:val="16"/>
              </w:rPr>
              <w:t>178,600</w:t>
            </w:r>
          </w:p>
        </w:tc>
        <w:tc>
          <w:tcPr>
            <w:tcW w:w="1370" w:type="dxa"/>
            <w:tcBorders>
              <w:top w:val="nil"/>
              <w:left w:val="nil"/>
              <w:bottom w:val="single" w:sz="4" w:space="0" w:color="auto"/>
              <w:right w:val="single" w:sz="4" w:space="0" w:color="auto"/>
            </w:tcBorders>
            <w:shd w:val="clear" w:color="000000" w:fill="CCFFFF"/>
            <w:noWrap/>
            <w:vAlign w:val="center"/>
            <w:hideMark/>
          </w:tcPr>
          <w:p w:rsidR="00FC4F64" w:rsidRPr="0027745B" w:rsidRDefault="00FC4F64" w:rsidP="00D07BB0">
            <w:pPr>
              <w:spacing w:before="120" w:after="120"/>
              <w:jc w:val="right"/>
              <w:rPr>
                <w:rFonts w:cs="Arial"/>
                <w:b/>
                <w:bCs/>
                <w:color w:val="000000"/>
                <w:sz w:val="16"/>
                <w:szCs w:val="16"/>
              </w:rPr>
            </w:pPr>
            <w:r w:rsidRPr="0027745B">
              <w:rPr>
                <w:rFonts w:cs="Arial"/>
                <w:b/>
                <w:bCs/>
                <w:color w:val="000000"/>
                <w:sz w:val="16"/>
                <w:szCs w:val="16"/>
              </w:rPr>
              <w:t>179,215</w:t>
            </w:r>
          </w:p>
        </w:tc>
        <w:tc>
          <w:tcPr>
            <w:tcW w:w="1371" w:type="dxa"/>
            <w:tcBorders>
              <w:top w:val="nil"/>
              <w:left w:val="nil"/>
              <w:bottom w:val="single" w:sz="4" w:space="0" w:color="auto"/>
              <w:right w:val="single" w:sz="4" w:space="0" w:color="auto"/>
            </w:tcBorders>
            <w:shd w:val="clear" w:color="000000" w:fill="CCFFFF"/>
            <w:vAlign w:val="center"/>
            <w:hideMark/>
          </w:tcPr>
          <w:p w:rsidR="00FC4F64" w:rsidRPr="0027745B" w:rsidRDefault="00FC4F64" w:rsidP="00D07BB0">
            <w:pPr>
              <w:spacing w:before="120" w:after="120"/>
              <w:jc w:val="right"/>
              <w:rPr>
                <w:rFonts w:cs="Arial"/>
                <w:b/>
                <w:bCs/>
                <w:color w:val="000000"/>
                <w:sz w:val="16"/>
                <w:szCs w:val="16"/>
              </w:rPr>
            </w:pPr>
            <w:r w:rsidRPr="0027745B">
              <w:rPr>
                <w:rFonts w:cs="Arial"/>
                <w:b/>
                <w:bCs/>
                <w:color w:val="000000"/>
                <w:sz w:val="16"/>
                <w:szCs w:val="16"/>
              </w:rPr>
              <w:t>174,154</w:t>
            </w:r>
          </w:p>
        </w:tc>
      </w:tr>
    </w:tbl>
    <w:p w:rsidR="00FC4F64" w:rsidRDefault="00FC4F64" w:rsidP="00FC4F64">
      <w:pPr>
        <w:rPr>
          <w:rFonts w:cs="Arial"/>
          <w:b/>
          <w:bCs/>
          <w:color w:val="000000"/>
          <w:sz w:val="18"/>
          <w:szCs w:val="18"/>
        </w:rPr>
      </w:pPr>
    </w:p>
    <w:p w:rsidR="00FC4F64" w:rsidRDefault="00FC4F64" w:rsidP="00FC4F64">
      <w:pPr>
        <w:rPr>
          <w:rFonts w:cs="Arial"/>
          <w:b/>
          <w:bCs/>
          <w:color w:val="000000"/>
          <w:sz w:val="18"/>
          <w:szCs w:val="18"/>
        </w:rPr>
      </w:pPr>
    </w:p>
    <w:p w:rsidR="00FC4F64" w:rsidRPr="0027745B" w:rsidRDefault="00FC4F64" w:rsidP="00FC4F64">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FC4F64" w:rsidRPr="0027745B" w:rsidRDefault="00FC4F64" w:rsidP="00FC4F64">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FC4F64" w:rsidRDefault="00FC4F64" w:rsidP="00FC4F64">
      <w:pPr>
        <w:rPr>
          <w:rFonts w:cs="Arial"/>
          <w:b/>
          <w:bCs/>
          <w:color w:val="000000"/>
          <w:sz w:val="18"/>
          <w:szCs w:val="18"/>
        </w:rPr>
      </w:pPr>
    </w:p>
    <w:tbl>
      <w:tblPr>
        <w:tblW w:w="0" w:type="auto"/>
        <w:tblInd w:w="93" w:type="dxa"/>
        <w:tblLook w:val="04A0" w:firstRow="1" w:lastRow="0" w:firstColumn="1" w:lastColumn="0" w:noHBand="0" w:noVBand="1"/>
      </w:tblPr>
      <w:tblGrid>
        <w:gridCol w:w="2425"/>
        <w:gridCol w:w="1736"/>
        <w:gridCol w:w="1737"/>
        <w:gridCol w:w="1736"/>
        <w:gridCol w:w="1737"/>
      </w:tblGrid>
      <w:tr w:rsidR="00FC4F64" w:rsidRPr="00283E82" w:rsidTr="00283E82">
        <w:trPr>
          <w:trHeight w:val="330"/>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FC4F64" w:rsidRPr="00283E82" w:rsidRDefault="00FC4F64" w:rsidP="00FC4F64">
            <w:pPr>
              <w:spacing w:before="120" w:after="120"/>
              <w:rPr>
                <w:rFonts w:cs="Arial"/>
                <w:color w:val="000000"/>
                <w:sz w:val="16"/>
                <w:szCs w:val="16"/>
              </w:rPr>
            </w:pPr>
            <w:r w:rsidRPr="00283E82">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FC4F64" w:rsidRPr="00283E82" w:rsidRDefault="00FC4F64" w:rsidP="00FC4F64">
            <w:pPr>
              <w:spacing w:before="120" w:after="120"/>
              <w:jc w:val="center"/>
              <w:rPr>
                <w:rFonts w:cs="Arial"/>
                <w:bCs/>
                <w:color w:val="000000"/>
                <w:sz w:val="16"/>
                <w:szCs w:val="16"/>
              </w:rPr>
            </w:pPr>
            <w:r w:rsidRPr="00283E82">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FC4F64" w:rsidRPr="00283E82" w:rsidRDefault="00FC4F64" w:rsidP="00FC4F64">
            <w:pPr>
              <w:spacing w:before="120" w:after="120"/>
              <w:jc w:val="center"/>
              <w:rPr>
                <w:rFonts w:cs="Arial"/>
                <w:bCs/>
                <w:color w:val="000000"/>
                <w:sz w:val="16"/>
                <w:szCs w:val="16"/>
              </w:rPr>
            </w:pPr>
            <w:r w:rsidRPr="00283E82">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FC4F64" w:rsidRPr="00283E82" w:rsidRDefault="00FC4F64" w:rsidP="00FC4F64">
            <w:pPr>
              <w:spacing w:before="120" w:after="120"/>
              <w:jc w:val="center"/>
              <w:rPr>
                <w:rFonts w:cs="Arial"/>
                <w:bCs/>
                <w:color w:val="000000"/>
                <w:sz w:val="16"/>
                <w:szCs w:val="16"/>
              </w:rPr>
            </w:pPr>
            <w:r w:rsidRPr="00283E82">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FC4F64" w:rsidRPr="00283E82" w:rsidRDefault="00FC4F64" w:rsidP="00FC4F64">
            <w:pPr>
              <w:spacing w:before="120" w:after="120"/>
              <w:jc w:val="center"/>
              <w:rPr>
                <w:rFonts w:cs="Arial"/>
                <w:bCs/>
                <w:color w:val="000000"/>
                <w:sz w:val="16"/>
                <w:szCs w:val="16"/>
              </w:rPr>
            </w:pPr>
            <w:r w:rsidRPr="00283E82">
              <w:rPr>
                <w:rFonts w:cs="Arial"/>
                <w:bCs/>
                <w:color w:val="000000"/>
                <w:sz w:val="16"/>
                <w:szCs w:val="16"/>
              </w:rPr>
              <w:t>Utilization rate (%)</w:t>
            </w:r>
          </w:p>
        </w:tc>
      </w:tr>
      <w:tr w:rsidR="00FC4F64" w:rsidRPr="00302C39" w:rsidTr="00283E82">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FC4F64" w:rsidRPr="0027745B" w:rsidRDefault="00FC4F64" w:rsidP="00FC4F64">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118,705</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117,580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117,580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100%</w:t>
            </w:r>
          </w:p>
        </w:tc>
      </w:tr>
      <w:tr w:rsidR="00FC4F64" w:rsidRPr="00302C39" w:rsidTr="00283E82">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FC4F64" w:rsidRPr="0027745B" w:rsidRDefault="00FC4F64" w:rsidP="00FC4F64">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59,895</w:t>
            </w:r>
          </w:p>
        </w:tc>
        <w:tc>
          <w:tcPr>
            <w:tcW w:w="1737"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61,635</w:t>
            </w:r>
          </w:p>
        </w:tc>
        <w:tc>
          <w:tcPr>
            <w:tcW w:w="1736"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56,575</w:t>
            </w:r>
          </w:p>
        </w:tc>
        <w:tc>
          <w:tcPr>
            <w:tcW w:w="1737"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color w:val="000000"/>
                <w:sz w:val="16"/>
                <w:szCs w:val="16"/>
              </w:rPr>
            </w:pPr>
            <w:r w:rsidRPr="0027745B">
              <w:rPr>
                <w:rFonts w:cs="Arial"/>
                <w:color w:val="000000"/>
                <w:sz w:val="16"/>
                <w:szCs w:val="16"/>
              </w:rPr>
              <w:t>92%</w:t>
            </w:r>
          </w:p>
        </w:tc>
      </w:tr>
      <w:tr w:rsidR="00FC4F64" w:rsidRPr="00302C39" w:rsidTr="00283E82">
        <w:trPr>
          <w:trHeight w:val="330"/>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FC4F64" w:rsidRPr="0027745B" w:rsidRDefault="00FC4F64" w:rsidP="00FC4F64">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b/>
                <w:bCs/>
                <w:color w:val="000000"/>
                <w:sz w:val="16"/>
                <w:szCs w:val="16"/>
              </w:rPr>
            </w:pPr>
            <w:r w:rsidRPr="0027745B">
              <w:rPr>
                <w:rFonts w:cs="Arial"/>
                <w:b/>
                <w:bCs/>
                <w:color w:val="000000"/>
                <w:sz w:val="16"/>
                <w:szCs w:val="16"/>
              </w:rPr>
              <w:t>178,600</w:t>
            </w:r>
          </w:p>
        </w:tc>
        <w:tc>
          <w:tcPr>
            <w:tcW w:w="1737"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b/>
                <w:bCs/>
                <w:color w:val="000000"/>
                <w:sz w:val="16"/>
                <w:szCs w:val="16"/>
              </w:rPr>
            </w:pPr>
            <w:r w:rsidRPr="0027745B">
              <w:rPr>
                <w:rFonts w:cs="Arial"/>
                <w:b/>
                <w:bCs/>
                <w:color w:val="000000"/>
                <w:sz w:val="16"/>
                <w:szCs w:val="16"/>
              </w:rPr>
              <w:t>179,215</w:t>
            </w:r>
          </w:p>
        </w:tc>
        <w:tc>
          <w:tcPr>
            <w:tcW w:w="1736"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b/>
                <w:bCs/>
                <w:color w:val="000000"/>
                <w:sz w:val="16"/>
                <w:szCs w:val="16"/>
              </w:rPr>
            </w:pPr>
            <w:r w:rsidRPr="0027745B">
              <w:rPr>
                <w:rFonts w:cs="Arial"/>
                <w:b/>
                <w:bCs/>
                <w:color w:val="000000"/>
                <w:sz w:val="16"/>
                <w:szCs w:val="16"/>
              </w:rPr>
              <w:t>174,154</w:t>
            </w:r>
          </w:p>
        </w:tc>
        <w:tc>
          <w:tcPr>
            <w:tcW w:w="1737" w:type="dxa"/>
            <w:tcBorders>
              <w:top w:val="nil"/>
              <w:left w:val="nil"/>
              <w:bottom w:val="single" w:sz="4" w:space="0" w:color="auto"/>
              <w:right w:val="single" w:sz="4" w:space="0" w:color="auto"/>
            </w:tcBorders>
            <w:shd w:val="clear" w:color="auto" w:fill="auto"/>
            <w:vAlign w:val="center"/>
            <w:hideMark/>
          </w:tcPr>
          <w:p w:rsidR="00FC4F64" w:rsidRPr="0027745B" w:rsidRDefault="00FC4F64" w:rsidP="00FC4F64">
            <w:pPr>
              <w:spacing w:before="120" w:after="120"/>
              <w:jc w:val="center"/>
              <w:rPr>
                <w:rFonts w:cs="Arial"/>
                <w:b/>
                <w:bCs/>
                <w:color w:val="000000"/>
                <w:sz w:val="16"/>
                <w:szCs w:val="16"/>
              </w:rPr>
            </w:pPr>
            <w:r w:rsidRPr="0027745B">
              <w:rPr>
                <w:rFonts w:cs="Arial"/>
                <w:b/>
                <w:bCs/>
                <w:color w:val="000000"/>
                <w:sz w:val="16"/>
                <w:szCs w:val="16"/>
              </w:rPr>
              <w:t>97%</w:t>
            </w:r>
          </w:p>
        </w:tc>
      </w:tr>
    </w:tbl>
    <w:p w:rsidR="00FC4F64" w:rsidRDefault="00FC4F64" w:rsidP="00FC4F64">
      <w:pPr>
        <w:keepNext/>
        <w:keepLines/>
        <w:autoSpaceDE w:val="0"/>
        <w:autoSpaceDN w:val="0"/>
        <w:adjustRightInd w:val="0"/>
        <w:rPr>
          <w:rFonts w:cs="Arial"/>
          <w:sz w:val="16"/>
          <w:szCs w:val="16"/>
        </w:rPr>
      </w:pPr>
    </w:p>
    <w:p w:rsidR="00FC4F64" w:rsidRDefault="00FC4F64" w:rsidP="00FC4F64">
      <w:pPr>
        <w:keepNext/>
        <w:autoSpaceDE w:val="0"/>
        <w:autoSpaceDN w:val="0"/>
        <w:rPr>
          <w:sz w:val="16"/>
          <w:szCs w:val="16"/>
        </w:rPr>
      </w:pPr>
      <w:r>
        <w:rPr>
          <w:sz w:val="16"/>
          <w:szCs w:val="16"/>
        </w:rPr>
        <w:t>NOTES:</w:t>
      </w:r>
    </w:p>
    <w:p w:rsidR="00FC4F64" w:rsidRDefault="00FC4F64" w:rsidP="00FC4F64">
      <w:pPr>
        <w:keepNext/>
        <w:autoSpaceDE w:val="0"/>
        <w:autoSpaceDN w:val="0"/>
        <w:rPr>
          <w:sz w:val="16"/>
          <w:szCs w:val="16"/>
        </w:rPr>
      </w:pPr>
    </w:p>
    <w:p w:rsidR="00FC4F64" w:rsidRDefault="00FC4F64" w:rsidP="00FC4F64">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FC4F64" w:rsidRDefault="00FC4F64" w:rsidP="00FC4F64">
      <w:pPr>
        <w:keepNext/>
        <w:autoSpaceDE w:val="0"/>
        <w:autoSpaceDN w:val="0"/>
        <w:rPr>
          <w:sz w:val="16"/>
          <w:szCs w:val="16"/>
        </w:rPr>
      </w:pPr>
    </w:p>
    <w:p w:rsidR="00FC4F64" w:rsidRDefault="00DC2CFA" w:rsidP="00FC4F64">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FC4F64">
        <w:rPr>
          <w:sz w:val="16"/>
          <w:szCs w:val="16"/>
        </w:rPr>
        <w:t xml:space="preserve"> </w:t>
      </w:r>
    </w:p>
    <w:p w:rsidR="00AB2445" w:rsidRDefault="00AB2445">
      <w:r>
        <w:br w:type="page"/>
      </w:r>
    </w:p>
    <w:p w:rsidR="00FC4F64" w:rsidRDefault="00FC4F64" w:rsidP="00CD26D6">
      <w:pPr>
        <w:tabs>
          <w:tab w:val="left" w:pos="709"/>
        </w:tabs>
        <w:rPr>
          <w:rFonts w:cs="Arial"/>
          <w:szCs w:val="20"/>
          <w:u w:val="single"/>
        </w:rPr>
      </w:pPr>
      <w:r w:rsidRPr="00597E99">
        <w:lastRenderedPageBreak/>
        <w:t>A.</w:t>
      </w:r>
      <w:r w:rsidRPr="00597E99">
        <w:tab/>
      </w:r>
      <w:r w:rsidRPr="00AD6481">
        <w:rPr>
          <w:rFonts w:cs="Arial"/>
          <w:szCs w:val="20"/>
          <w:u w:val="single"/>
        </w:rPr>
        <w:t>Budget after Transfers 2012/</w:t>
      </w:r>
      <w:r>
        <w:rPr>
          <w:rFonts w:cs="Arial"/>
          <w:szCs w:val="20"/>
          <w:u w:val="single"/>
        </w:rPr>
        <w:t>13</w:t>
      </w:r>
    </w:p>
    <w:p w:rsidR="00FC4F64" w:rsidRPr="00AD6481" w:rsidRDefault="00FC4F64" w:rsidP="00FC4F64">
      <w:pPr>
        <w:rPr>
          <w:rFonts w:cs="Arial"/>
          <w:szCs w:val="20"/>
          <w:u w:val="single"/>
        </w:rPr>
      </w:pPr>
    </w:p>
    <w:p w:rsidR="00FC4F64" w:rsidRDefault="00FC4F64" w:rsidP="00FC4F64">
      <w:pPr>
        <w:tabs>
          <w:tab w:val="left" w:pos="709"/>
        </w:tabs>
        <w:jc w:val="both"/>
        <w:rPr>
          <w:rFonts w:eastAsia="Batang" w:cs="Arial"/>
          <w:szCs w:val="20"/>
          <w:lang w:eastAsia="ko-KR"/>
        </w:rPr>
      </w:pPr>
      <w:r>
        <w:rPr>
          <w:rFonts w:eastAsia="Batang" w:cs="Arial"/>
          <w:szCs w:val="20"/>
          <w:lang w:eastAsia="ko-KR"/>
        </w:rPr>
        <w:t>5.13</w:t>
      </w:r>
      <w:r w:rsidR="0068151C">
        <w:rPr>
          <w:rFonts w:eastAsia="Batang" w:cs="Arial"/>
          <w:szCs w:val="20"/>
          <w:lang w:eastAsia="ko-KR"/>
        </w:rPr>
        <w:t>.</w:t>
      </w:r>
      <w:r>
        <w:rPr>
          <w:rFonts w:eastAsia="Batang" w:cs="Arial"/>
          <w:szCs w:val="20"/>
          <w:lang w:eastAsia="ko-KR"/>
        </w:rPr>
        <w:tab/>
        <w:t xml:space="preserve">The decrease in personnel resources, reflected across all Results, was primarily due to a number of vacancies in the Program during the biennium. </w:t>
      </w:r>
      <w:r w:rsidR="00283E82">
        <w:rPr>
          <w:rFonts w:eastAsia="Batang" w:cs="Arial"/>
          <w:szCs w:val="20"/>
          <w:lang w:eastAsia="ko-KR"/>
        </w:rPr>
        <w:t xml:space="preserve"> </w:t>
      </w:r>
      <w:r>
        <w:rPr>
          <w:rFonts w:eastAsia="Batang" w:cs="Arial"/>
          <w:szCs w:val="20"/>
          <w:lang w:eastAsia="ko-KR"/>
        </w:rPr>
        <w:t xml:space="preserve">The increase in non-personnel resources is the net result of additional allocations to the Program required for the outsourcing of translation services and for the extraordinary session of the </w:t>
      </w:r>
      <w:r>
        <w:rPr>
          <w:rFonts w:cs="Arial"/>
          <w:szCs w:val="20"/>
        </w:rPr>
        <w:t>PCT Union Assembly.</w:t>
      </w:r>
      <w:r>
        <w:rPr>
          <w:rFonts w:eastAsia="Batang" w:cs="Arial"/>
          <w:szCs w:val="20"/>
          <w:lang w:eastAsia="ko-KR"/>
        </w:rPr>
        <w:t xml:space="preserve"> </w:t>
      </w:r>
      <w:r w:rsidR="00283E82">
        <w:rPr>
          <w:rFonts w:eastAsia="Batang" w:cs="Arial"/>
          <w:szCs w:val="20"/>
          <w:lang w:eastAsia="ko-KR"/>
        </w:rPr>
        <w:t xml:space="preserve"> </w:t>
      </w:r>
      <w:r>
        <w:rPr>
          <w:rFonts w:eastAsia="Batang" w:cs="Arial"/>
          <w:szCs w:val="20"/>
          <w:lang w:eastAsia="ko-KR"/>
        </w:rPr>
        <w:t xml:space="preserve">This resulted in an overall increase in the 2012/13 Budget after Transfers. </w:t>
      </w:r>
    </w:p>
    <w:p w:rsidR="00FC4F64" w:rsidRDefault="00FC4F64" w:rsidP="00FC4F64">
      <w:pPr>
        <w:jc w:val="both"/>
        <w:rPr>
          <w:rFonts w:eastAsia="Batang" w:cs="Arial"/>
          <w:szCs w:val="20"/>
          <w:lang w:eastAsia="ko-KR"/>
        </w:rPr>
      </w:pPr>
    </w:p>
    <w:p w:rsidR="00FC4F64" w:rsidRDefault="00FC4F64" w:rsidP="00FC4F64">
      <w:pPr>
        <w:tabs>
          <w:tab w:val="left" w:pos="709"/>
        </w:tabs>
        <w:jc w:val="both"/>
        <w:rPr>
          <w:rFonts w:eastAsia="Batang" w:cs="Arial"/>
          <w:szCs w:val="20"/>
          <w:lang w:eastAsia="ko-KR"/>
        </w:rPr>
      </w:pPr>
      <w:r>
        <w:rPr>
          <w:rFonts w:eastAsia="Batang" w:cs="Arial"/>
          <w:szCs w:val="20"/>
          <w:lang w:eastAsia="ko-KR"/>
        </w:rPr>
        <w:t>5.14</w:t>
      </w:r>
      <w:r w:rsidR="0068151C">
        <w:rPr>
          <w:rFonts w:eastAsia="Batang" w:cs="Arial"/>
          <w:szCs w:val="20"/>
          <w:lang w:eastAsia="ko-KR"/>
        </w:rPr>
        <w:t>.</w:t>
      </w:r>
      <w:r>
        <w:rPr>
          <w:rFonts w:eastAsia="Batang" w:cs="Arial"/>
          <w:szCs w:val="20"/>
          <w:lang w:eastAsia="ko-KR"/>
        </w:rPr>
        <w:tab/>
        <w:t>Under Result II.1 (Informed strategic use of the PCT)</w:t>
      </w:r>
      <w:proofErr w:type="gramStart"/>
      <w:r>
        <w:rPr>
          <w:rFonts w:eastAsia="Batang" w:cs="Arial"/>
          <w:szCs w:val="20"/>
          <w:lang w:eastAsia="ko-KR"/>
        </w:rPr>
        <w:t>,</w:t>
      </w:r>
      <w:proofErr w:type="gramEnd"/>
      <w:r>
        <w:rPr>
          <w:rFonts w:eastAsia="Batang" w:cs="Arial"/>
          <w:szCs w:val="20"/>
          <w:lang w:eastAsia="ko-KR"/>
        </w:rPr>
        <w:t xml:space="preserve"> the decrease in non-personnel resources was primarily due to anticipated travel-related cost efficiency savings for the PCT Assembly meetings. </w:t>
      </w:r>
      <w:r>
        <w:rPr>
          <w:rFonts w:cs="Arial"/>
          <w:color w:val="000000"/>
          <w:szCs w:val="20"/>
        </w:rPr>
        <w:t xml:space="preserve">These non-personnel resources were re-allocated within the Program during the biennium to support increased needs in translation services. </w:t>
      </w:r>
      <w:r w:rsidR="00283E82">
        <w:rPr>
          <w:rFonts w:cs="Arial"/>
          <w:color w:val="000000"/>
          <w:szCs w:val="20"/>
        </w:rPr>
        <w:t xml:space="preserve"> </w:t>
      </w:r>
      <w:r>
        <w:rPr>
          <w:rFonts w:cs="Arial"/>
          <w:color w:val="000000"/>
          <w:szCs w:val="20"/>
        </w:rPr>
        <w:t xml:space="preserve">These adjustments are reflected in a reduction of resources under Results </w:t>
      </w:r>
      <w:r>
        <w:rPr>
          <w:rFonts w:eastAsia="Batang" w:cs="Arial"/>
          <w:szCs w:val="20"/>
          <w:lang w:eastAsia="ko-KR"/>
        </w:rPr>
        <w:t xml:space="preserve">II.2 (Stronger relationships with PCT users and Offices) and II.3 (Enhancement of overall </w:t>
      </w:r>
      <w:r w:rsidR="009E5B4C">
        <w:rPr>
          <w:rFonts w:eastAsia="Batang" w:cs="Arial"/>
          <w:szCs w:val="20"/>
          <w:lang w:eastAsia="ko-KR"/>
        </w:rPr>
        <w:t>PCT System</w:t>
      </w:r>
      <w:r>
        <w:rPr>
          <w:rFonts w:eastAsia="Batang" w:cs="Arial"/>
          <w:szCs w:val="20"/>
          <w:lang w:eastAsia="ko-KR"/>
        </w:rPr>
        <w:t xml:space="preserve">). </w:t>
      </w:r>
    </w:p>
    <w:p w:rsidR="00FC4F64" w:rsidRPr="00AD6481" w:rsidRDefault="00FC4F64" w:rsidP="00FC4F64">
      <w:pPr>
        <w:jc w:val="both"/>
        <w:rPr>
          <w:rFonts w:eastAsia="Batang" w:cs="Arial"/>
          <w:szCs w:val="20"/>
          <w:lang w:eastAsia="ko-KR"/>
        </w:rPr>
      </w:pPr>
    </w:p>
    <w:p w:rsidR="00FC4F64" w:rsidRDefault="00FC4F64" w:rsidP="00D44A34">
      <w:pPr>
        <w:tabs>
          <w:tab w:val="left" w:pos="709"/>
        </w:tabs>
        <w:jc w:val="both"/>
        <w:rPr>
          <w:rFonts w:eastAsia="Batang" w:cs="Arial"/>
          <w:szCs w:val="20"/>
          <w:u w:val="single"/>
          <w:lang w:eastAsia="ko-KR"/>
        </w:rPr>
      </w:pPr>
      <w:r w:rsidRPr="00AD6481">
        <w:rPr>
          <w:rFonts w:eastAsia="Batang" w:cs="Arial"/>
          <w:szCs w:val="20"/>
          <w:lang w:eastAsia="ko-KR"/>
        </w:rPr>
        <w:t>B.</w:t>
      </w:r>
      <w:r w:rsidRPr="00AD6481">
        <w:rPr>
          <w:rFonts w:eastAsia="Batang" w:cs="Arial"/>
          <w:szCs w:val="20"/>
          <w:lang w:eastAsia="ko-KR"/>
        </w:rPr>
        <w:tab/>
      </w:r>
      <w:r w:rsidR="00D44A34">
        <w:rPr>
          <w:rFonts w:eastAsia="Batang" w:cs="Arial"/>
          <w:szCs w:val="20"/>
          <w:u w:val="single"/>
          <w:lang w:eastAsia="ko-KR"/>
        </w:rPr>
        <w:t>Budget U</w:t>
      </w:r>
      <w:r w:rsidRPr="000D4406">
        <w:rPr>
          <w:rFonts w:eastAsia="Batang" w:cs="Arial"/>
          <w:szCs w:val="20"/>
          <w:u w:val="single"/>
          <w:lang w:eastAsia="ko-KR"/>
        </w:rPr>
        <w:t>tilization 2012/13</w:t>
      </w:r>
    </w:p>
    <w:p w:rsidR="00FC4F64" w:rsidRPr="00AD6481" w:rsidRDefault="00FC4F64" w:rsidP="00FC4F64">
      <w:pPr>
        <w:jc w:val="both"/>
        <w:rPr>
          <w:rFonts w:eastAsia="Batang" w:cs="Arial"/>
          <w:szCs w:val="20"/>
          <w:lang w:eastAsia="ko-KR"/>
        </w:rPr>
      </w:pPr>
    </w:p>
    <w:p w:rsidR="00FC4F64" w:rsidRDefault="00FC4F64" w:rsidP="00FC4F64">
      <w:pPr>
        <w:tabs>
          <w:tab w:val="left" w:pos="709"/>
        </w:tabs>
        <w:jc w:val="both"/>
      </w:pPr>
      <w:r>
        <w:t>5.15</w:t>
      </w:r>
      <w:r w:rsidR="0068151C">
        <w:t>.</w:t>
      </w:r>
      <w:r>
        <w:tab/>
      </w:r>
      <w:r>
        <w:rPr>
          <w:rFonts w:cs="Arial"/>
          <w:szCs w:val="20"/>
        </w:rPr>
        <w:t xml:space="preserve">In respect of Result II.4 (Enhanced IB operations), the increases in productivity resulted in efficiency gains and lower overall costs for the processing of international applications. </w:t>
      </w:r>
      <w:r w:rsidR="00283E82">
        <w:rPr>
          <w:rFonts w:cs="Arial"/>
          <w:szCs w:val="20"/>
        </w:rPr>
        <w:t xml:space="preserve"> </w:t>
      </w:r>
      <w:r>
        <w:rPr>
          <w:rFonts w:cs="Arial"/>
          <w:szCs w:val="20"/>
        </w:rPr>
        <w:t xml:space="preserve">In addition, the overall expenditure on translation was lower than the Budget after Transfers.  </w:t>
      </w:r>
    </w:p>
    <w:p w:rsidR="00035B75" w:rsidRDefault="00035B75" w:rsidP="00035B75">
      <w:pPr>
        <w:pStyle w:val="ListParagraph"/>
        <w:autoSpaceDE w:val="0"/>
        <w:autoSpaceDN w:val="0"/>
        <w:ind w:left="0"/>
        <w:jc w:val="both"/>
      </w:pPr>
    </w:p>
    <w:p w:rsidR="00FC4F64" w:rsidRDefault="00FC4F64" w:rsidP="00035B75">
      <w:pPr>
        <w:pStyle w:val="ListParagraph"/>
        <w:autoSpaceDE w:val="0"/>
        <w:autoSpaceDN w:val="0"/>
        <w:ind w:left="0"/>
        <w:jc w:val="both"/>
      </w:pPr>
    </w:p>
    <w:p w:rsidR="00FC4F64" w:rsidRDefault="00FC4F64">
      <w:pPr>
        <w:rPr>
          <w:szCs w:val="20"/>
        </w:rPr>
      </w:pPr>
      <w:r>
        <w:br w:type="page"/>
      </w:r>
    </w:p>
    <w:p w:rsidR="00FC4F64" w:rsidRPr="00C7707C" w:rsidRDefault="00FC4F64" w:rsidP="00FC4F64">
      <w:pPr>
        <w:jc w:val="both"/>
        <w:rPr>
          <w:rFonts w:cs="Arial"/>
          <w:b/>
          <w:sz w:val="22"/>
          <w:szCs w:val="22"/>
        </w:rPr>
      </w:pPr>
      <w:r w:rsidRPr="00C7707C">
        <w:rPr>
          <w:rFonts w:cs="Arial"/>
          <w:b/>
          <w:sz w:val="22"/>
          <w:szCs w:val="22"/>
        </w:rPr>
        <w:lastRenderedPageBreak/>
        <w:t>Annex: Indicators for PCT Operations</w:t>
      </w:r>
    </w:p>
    <w:p w:rsidR="00FC4F64" w:rsidRPr="00C7707C" w:rsidRDefault="00FC4F64" w:rsidP="00FC4F64">
      <w:pPr>
        <w:jc w:val="both"/>
        <w:rPr>
          <w:rFonts w:cs="Arial"/>
          <w:b/>
          <w:sz w:val="22"/>
          <w:szCs w:val="22"/>
        </w:rPr>
      </w:pPr>
    </w:p>
    <w:p w:rsidR="00FC4F64" w:rsidRPr="00C7707C" w:rsidRDefault="00FC4F64" w:rsidP="00FC4F64">
      <w:pPr>
        <w:rPr>
          <w:rFonts w:cs="Arial"/>
          <w:b/>
          <w:sz w:val="22"/>
          <w:szCs w:val="22"/>
        </w:rPr>
      </w:pPr>
    </w:p>
    <w:p w:rsidR="00FC4F64" w:rsidRPr="00C7707C" w:rsidRDefault="00FC4F64" w:rsidP="00FC4F64">
      <w:pPr>
        <w:jc w:val="center"/>
        <w:rPr>
          <w:rFonts w:cs="Arial"/>
          <w:b/>
          <w:sz w:val="22"/>
          <w:szCs w:val="22"/>
        </w:rPr>
      </w:pPr>
      <w:r w:rsidRPr="00C7707C">
        <w:rPr>
          <w:rFonts w:cs="Arial"/>
          <w:b/>
          <w:sz w:val="22"/>
          <w:szCs w:val="22"/>
        </w:rPr>
        <w:t xml:space="preserve">Performance Indicators for the Expected Result </w:t>
      </w:r>
    </w:p>
    <w:p w:rsidR="00FC4F64" w:rsidRPr="00C7707C" w:rsidRDefault="00FC4F64" w:rsidP="00FC4F64">
      <w:pPr>
        <w:jc w:val="center"/>
        <w:rPr>
          <w:rFonts w:cs="Arial"/>
          <w:b/>
          <w:sz w:val="22"/>
          <w:szCs w:val="22"/>
        </w:rPr>
      </w:pPr>
      <w:r w:rsidRPr="00C7707C">
        <w:rPr>
          <w:rFonts w:cs="Arial"/>
          <w:b/>
          <w:sz w:val="22"/>
          <w:szCs w:val="22"/>
        </w:rPr>
        <w:t>“Enhanced IB Operations”</w:t>
      </w:r>
    </w:p>
    <w:p w:rsidR="00FC4F64" w:rsidRPr="00C7707C" w:rsidRDefault="00FC4F64" w:rsidP="00FC4F64">
      <w:pPr>
        <w:jc w:val="center"/>
        <w:rPr>
          <w:rFonts w:cs="Arial"/>
          <w:b/>
          <w:sz w:val="22"/>
          <w:szCs w:val="22"/>
        </w:rPr>
      </w:pPr>
    </w:p>
    <w:p w:rsidR="00FC4F64" w:rsidRPr="00C7707C" w:rsidRDefault="00FC4F64" w:rsidP="00FC4F64">
      <w:pPr>
        <w:rPr>
          <w:rFonts w:cs="Arial"/>
          <w:b/>
          <w:sz w:val="22"/>
          <w:szCs w:val="22"/>
        </w:rPr>
      </w:pPr>
    </w:p>
    <w:p w:rsidR="00FC4F64" w:rsidRPr="00C7707C" w:rsidRDefault="00FC4F64" w:rsidP="00FC4F64">
      <w:pPr>
        <w:rPr>
          <w:rFonts w:cs="Arial"/>
          <w:b/>
          <w:sz w:val="22"/>
          <w:szCs w:val="22"/>
        </w:rPr>
      </w:pPr>
      <w:r w:rsidRPr="00C7707C">
        <w:rPr>
          <w:rFonts w:cs="Arial"/>
          <w:b/>
          <w:sz w:val="22"/>
          <w:szCs w:val="22"/>
        </w:rPr>
        <w:t>Background</w:t>
      </w:r>
    </w:p>
    <w:p w:rsidR="00FC4F64" w:rsidRPr="00C7707C" w:rsidRDefault="00FC4F64" w:rsidP="00FC4F64">
      <w:pPr>
        <w:rPr>
          <w:rFonts w:cs="Arial"/>
          <w:b/>
          <w:sz w:val="22"/>
          <w:szCs w:val="22"/>
        </w:rPr>
      </w:pPr>
    </w:p>
    <w:p w:rsidR="00FC4F64" w:rsidRPr="00FC4F64" w:rsidRDefault="00FC4F64" w:rsidP="00FC4F64">
      <w:pPr>
        <w:rPr>
          <w:rFonts w:cs="Arial"/>
          <w:szCs w:val="20"/>
          <w:lang w:val="en-GB"/>
        </w:rPr>
      </w:pPr>
      <w:r w:rsidRPr="00FC4F64">
        <w:rPr>
          <w:rFonts w:cs="Arial"/>
          <w:szCs w:val="20"/>
          <w:lang w:val="en-GB"/>
        </w:rPr>
        <w:t>As background for the performance indicators for the expected result “Enhanced IB Operations”, it is useful to consider the evolution of:</w:t>
      </w:r>
    </w:p>
    <w:p w:rsidR="00FC4F64" w:rsidRPr="00FC4F64" w:rsidRDefault="00FC4F64" w:rsidP="00FC4F64">
      <w:pPr>
        <w:rPr>
          <w:rFonts w:cs="Arial"/>
          <w:szCs w:val="20"/>
          <w:lang w:val="en-GB"/>
        </w:rPr>
      </w:pPr>
    </w:p>
    <w:p w:rsidR="00FC4F64" w:rsidRPr="00FC4F64" w:rsidRDefault="00FC4F64" w:rsidP="005703CF">
      <w:pPr>
        <w:numPr>
          <w:ilvl w:val="0"/>
          <w:numId w:val="13"/>
        </w:numPr>
        <w:rPr>
          <w:rFonts w:cs="Arial"/>
          <w:szCs w:val="20"/>
          <w:lang w:val="en-GB"/>
        </w:rPr>
      </w:pPr>
      <w:r w:rsidRPr="00FC4F64">
        <w:rPr>
          <w:rFonts w:cs="Arial"/>
          <w:szCs w:val="20"/>
          <w:lang w:val="en-GB"/>
        </w:rPr>
        <w:t>The PCT workloads;</w:t>
      </w:r>
    </w:p>
    <w:p w:rsidR="00FC4F64" w:rsidRPr="00FC4F64" w:rsidRDefault="00FC4F64" w:rsidP="005703CF">
      <w:pPr>
        <w:numPr>
          <w:ilvl w:val="0"/>
          <w:numId w:val="13"/>
        </w:numPr>
        <w:rPr>
          <w:rFonts w:cs="Arial"/>
          <w:szCs w:val="20"/>
          <w:lang w:val="en-GB"/>
        </w:rPr>
      </w:pPr>
      <w:r w:rsidRPr="00FC4F64">
        <w:rPr>
          <w:rFonts w:cs="Arial"/>
          <w:szCs w:val="20"/>
          <w:lang w:val="en-GB"/>
        </w:rPr>
        <w:t>The language distribution of those workloads; and</w:t>
      </w:r>
    </w:p>
    <w:p w:rsidR="00FC4F64" w:rsidRPr="00FC4F64" w:rsidRDefault="00FC4F64" w:rsidP="005703CF">
      <w:pPr>
        <w:numPr>
          <w:ilvl w:val="0"/>
          <w:numId w:val="13"/>
        </w:numPr>
        <w:rPr>
          <w:rFonts w:cs="Arial"/>
          <w:szCs w:val="20"/>
          <w:lang w:val="en-GB"/>
        </w:rPr>
      </w:pPr>
      <w:r w:rsidRPr="00FC4F64">
        <w:rPr>
          <w:rFonts w:cs="Arial"/>
          <w:szCs w:val="20"/>
          <w:lang w:val="en-GB"/>
        </w:rPr>
        <w:t>The number of staff assigned to process those workloads.</w:t>
      </w:r>
    </w:p>
    <w:p w:rsidR="00FC4F64" w:rsidRPr="00FC4F64" w:rsidRDefault="00FC4F64" w:rsidP="00FC4F64">
      <w:pPr>
        <w:rPr>
          <w:rFonts w:cs="Arial"/>
          <w:szCs w:val="20"/>
          <w:highlight w:val="lightGray"/>
          <w:lang w:val="en-GB"/>
        </w:rPr>
      </w:pPr>
    </w:p>
    <w:p w:rsidR="00FC4F64" w:rsidRPr="00FC4F64" w:rsidRDefault="00FC4F64" w:rsidP="00FC4F64">
      <w:pPr>
        <w:rPr>
          <w:rFonts w:cs="Arial"/>
          <w:i/>
          <w:szCs w:val="20"/>
          <w:lang w:val="en-GB"/>
        </w:rPr>
      </w:pPr>
      <w:r w:rsidRPr="00FC4F64">
        <w:rPr>
          <w:rFonts w:cs="Arial"/>
          <w:i/>
          <w:szCs w:val="20"/>
          <w:lang w:val="en-GB"/>
        </w:rPr>
        <w:t>Workloads</w:t>
      </w:r>
    </w:p>
    <w:p w:rsidR="00FC4F64" w:rsidRPr="00FC4F64" w:rsidRDefault="00FC4F64" w:rsidP="00FC4F64">
      <w:pPr>
        <w:rPr>
          <w:rFonts w:cs="Arial"/>
          <w:szCs w:val="20"/>
          <w:lang w:val="en-GB"/>
        </w:rPr>
      </w:pPr>
    </w:p>
    <w:p w:rsidR="00FC4F64" w:rsidRPr="00FC4F64" w:rsidRDefault="00FC4F64" w:rsidP="00FC4F64">
      <w:pPr>
        <w:rPr>
          <w:rFonts w:cs="Arial"/>
          <w:szCs w:val="20"/>
          <w:lang w:val="en-GB"/>
        </w:rPr>
      </w:pPr>
      <w:r w:rsidRPr="00FC4F64">
        <w:rPr>
          <w:rFonts w:cs="Arial"/>
          <w:szCs w:val="20"/>
          <w:lang w:val="en-GB"/>
        </w:rPr>
        <w:t>The workloads are tracked on the basis of the yearly number of record copies received by the IB</w:t>
      </w:r>
      <w:r w:rsidRPr="00FC4F64">
        <w:rPr>
          <w:rStyle w:val="FootnoteReference"/>
          <w:rFonts w:cs="Arial"/>
          <w:szCs w:val="20"/>
          <w:lang w:val="en-GB"/>
        </w:rPr>
        <w:footnoteReference w:id="7"/>
      </w:r>
      <w:r w:rsidRPr="00FC4F64">
        <w:rPr>
          <w:rFonts w:cs="Arial"/>
          <w:szCs w:val="20"/>
          <w:lang w:val="en-GB"/>
        </w:rPr>
        <w:t xml:space="preserve">. </w:t>
      </w:r>
    </w:p>
    <w:p w:rsidR="00FC4F64" w:rsidRPr="00FC4F64" w:rsidRDefault="00FC4F64" w:rsidP="00FC4F64">
      <w:pPr>
        <w:rPr>
          <w:rFonts w:cs="Arial"/>
          <w:szCs w:val="20"/>
          <w:lang w:val="en-GB"/>
        </w:rPr>
      </w:pPr>
    </w:p>
    <w:p w:rsidR="00FC4F64" w:rsidRPr="00C7707C" w:rsidRDefault="00FC4F64" w:rsidP="00FC4F64">
      <w:pPr>
        <w:spacing w:after="120"/>
        <w:jc w:val="center"/>
        <w:rPr>
          <w:rFonts w:cs="Arial"/>
          <w:sz w:val="22"/>
          <w:szCs w:val="22"/>
        </w:rPr>
      </w:pPr>
      <w:r>
        <w:rPr>
          <w:rFonts w:cs="Arial"/>
          <w:noProof/>
          <w:sz w:val="22"/>
          <w:szCs w:val="22"/>
        </w:rPr>
        <w:drawing>
          <wp:inline distT="0" distB="0" distL="0" distR="0" wp14:anchorId="2D575B4C" wp14:editId="0B564BB4">
            <wp:extent cx="5758815" cy="2623185"/>
            <wp:effectExtent l="0" t="0" r="0" b="571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8815" cy="2623185"/>
                    </a:xfrm>
                    <a:prstGeom prst="rect">
                      <a:avLst/>
                    </a:prstGeom>
                    <a:noFill/>
                  </pic:spPr>
                </pic:pic>
              </a:graphicData>
            </a:graphic>
          </wp:inline>
        </w:drawing>
      </w:r>
    </w:p>
    <w:p w:rsidR="00FC4F64" w:rsidRPr="00FC4F64" w:rsidRDefault="00FC4F64" w:rsidP="00FC4F64">
      <w:pPr>
        <w:spacing w:after="120"/>
        <w:jc w:val="center"/>
        <w:rPr>
          <w:rFonts w:cs="Arial"/>
          <w:b/>
          <w:color w:val="008080"/>
          <w:kern w:val="28"/>
          <w:szCs w:val="20"/>
          <w:lang w:val="en-GB"/>
        </w:rPr>
      </w:pPr>
    </w:p>
    <w:p w:rsidR="00FC4F64" w:rsidRPr="00FC4F64" w:rsidRDefault="00FC4F64" w:rsidP="005703CF">
      <w:pPr>
        <w:pStyle w:val="BodyText2"/>
        <w:numPr>
          <w:ilvl w:val="0"/>
          <w:numId w:val="11"/>
        </w:numPr>
        <w:spacing w:after="0" w:line="240" w:lineRule="auto"/>
        <w:jc w:val="both"/>
        <w:rPr>
          <w:rFonts w:cs="Arial"/>
          <w:szCs w:val="20"/>
        </w:rPr>
      </w:pPr>
      <w:r w:rsidRPr="00FC4F64">
        <w:rPr>
          <w:rFonts w:cs="Arial"/>
          <w:szCs w:val="20"/>
        </w:rPr>
        <w:t xml:space="preserve">The IB received </w:t>
      </w:r>
      <w:r w:rsidRPr="00FC4F64">
        <w:rPr>
          <w:rFonts w:cs="Arial"/>
          <w:szCs w:val="20"/>
          <w:lang w:eastAsia="zh-CN"/>
        </w:rPr>
        <w:t>approximately</w:t>
      </w:r>
      <w:r w:rsidRPr="00FC4F64">
        <w:rPr>
          <w:rFonts w:cs="Arial"/>
          <w:szCs w:val="20"/>
        </w:rPr>
        <w:t xml:space="preserve"> 202,700 record copies in 2013, representing an increase of 3% compared to 2012.  </w:t>
      </w:r>
    </w:p>
    <w:p w:rsidR="00FC4F64" w:rsidRPr="00FC4F64" w:rsidRDefault="00FC4F64" w:rsidP="00FC4F64">
      <w:pPr>
        <w:pStyle w:val="BodyText2"/>
        <w:spacing w:after="0" w:line="240" w:lineRule="auto"/>
        <w:ind w:left="360"/>
        <w:jc w:val="both"/>
        <w:rPr>
          <w:rFonts w:cs="Arial"/>
          <w:szCs w:val="20"/>
        </w:rPr>
      </w:pPr>
    </w:p>
    <w:p w:rsidR="00FC4F64" w:rsidRPr="00FC4F64" w:rsidRDefault="00FC4F64" w:rsidP="005703CF">
      <w:pPr>
        <w:pStyle w:val="BodyText2"/>
        <w:numPr>
          <w:ilvl w:val="0"/>
          <w:numId w:val="11"/>
        </w:numPr>
        <w:spacing w:after="0" w:line="240" w:lineRule="auto"/>
        <w:jc w:val="both"/>
        <w:rPr>
          <w:rFonts w:cs="Arial"/>
          <w:szCs w:val="20"/>
        </w:rPr>
      </w:pPr>
      <w:r w:rsidRPr="00FC4F64">
        <w:rPr>
          <w:rFonts w:cs="Arial"/>
          <w:szCs w:val="20"/>
        </w:rPr>
        <w:t>The share of fully electronic filing methods kept increasing in 2013 and now represents 89% of total filings.</w:t>
      </w:r>
    </w:p>
    <w:p w:rsidR="00FC4F64" w:rsidRPr="00FC4F64" w:rsidRDefault="00FC4F64" w:rsidP="00FC4F64">
      <w:pPr>
        <w:pStyle w:val="BodyText2"/>
        <w:spacing w:after="0" w:line="240" w:lineRule="auto"/>
        <w:jc w:val="both"/>
        <w:rPr>
          <w:rFonts w:cs="Arial"/>
          <w:szCs w:val="20"/>
        </w:rPr>
      </w:pPr>
    </w:p>
    <w:p w:rsidR="00FC4F64" w:rsidRPr="00FC4F64" w:rsidRDefault="00FC4F64" w:rsidP="00FC4F64">
      <w:pPr>
        <w:pStyle w:val="BodyText2"/>
        <w:spacing w:after="0" w:line="240" w:lineRule="auto"/>
        <w:jc w:val="both"/>
        <w:rPr>
          <w:rFonts w:cs="Arial"/>
          <w:szCs w:val="20"/>
        </w:rPr>
      </w:pPr>
    </w:p>
    <w:p w:rsidR="00FC4F64" w:rsidRPr="00FC4F64" w:rsidRDefault="00FC4F64" w:rsidP="00FC4F64">
      <w:pPr>
        <w:pStyle w:val="BodyText2"/>
        <w:spacing w:after="0" w:line="240" w:lineRule="auto"/>
        <w:jc w:val="both"/>
        <w:rPr>
          <w:rFonts w:cs="Arial"/>
          <w:i/>
          <w:szCs w:val="20"/>
        </w:rPr>
      </w:pPr>
      <w:r w:rsidRPr="00FC4F64">
        <w:rPr>
          <w:rFonts w:cs="Arial"/>
          <w:i/>
          <w:szCs w:val="20"/>
        </w:rPr>
        <w:t>Language distribution</w:t>
      </w:r>
    </w:p>
    <w:p w:rsidR="00FC4F64" w:rsidRPr="00FC4F64" w:rsidRDefault="00FC4F64" w:rsidP="00FC4F64">
      <w:pPr>
        <w:pStyle w:val="BodyText2"/>
        <w:spacing w:after="0" w:line="240" w:lineRule="auto"/>
        <w:ind w:left="360"/>
        <w:jc w:val="both"/>
        <w:rPr>
          <w:rFonts w:cs="Arial"/>
          <w:szCs w:val="20"/>
        </w:rPr>
      </w:pPr>
    </w:p>
    <w:p w:rsidR="00FC4F64" w:rsidRPr="00FC4F64" w:rsidRDefault="00FC4F64" w:rsidP="00FC4F64">
      <w:pPr>
        <w:pStyle w:val="BodyText2"/>
        <w:spacing w:after="0" w:line="240" w:lineRule="auto"/>
        <w:jc w:val="both"/>
        <w:rPr>
          <w:rFonts w:cs="Arial"/>
          <w:szCs w:val="20"/>
        </w:rPr>
      </w:pPr>
      <w:r w:rsidRPr="00FC4F64">
        <w:rPr>
          <w:rFonts w:cs="Arial"/>
          <w:szCs w:val="20"/>
        </w:rPr>
        <w:t xml:space="preserve">One fundamental development driving change in the IB is the increasing language diversity of filings, resulting, in particular, from increased usage of the PCT System in East Asian countries. </w:t>
      </w:r>
    </w:p>
    <w:p w:rsidR="00FC4F64" w:rsidRPr="00C7707C" w:rsidRDefault="00FC4F64" w:rsidP="00FC4F64">
      <w:pPr>
        <w:jc w:val="both"/>
        <w:rPr>
          <w:rFonts w:cs="Arial"/>
          <w:sz w:val="22"/>
          <w:szCs w:val="22"/>
        </w:rPr>
      </w:pPr>
      <w:r>
        <w:rPr>
          <w:rFonts w:cs="Arial"/>
          <w:noProof/>
          <w:sz w:val="22"/>
          <w:szCs w:val="22"/>
        </w:rPr>
        <w:lastRenderedPageBreak/>
        <w:drawing>
          <wp:inline distT="0" distB="0" distL="0" distR="0" wp14:anchorId="08A2EABF" wp14:editId="6D145742">
            <wp:extent cx="5775960" cy="29044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5960" cy="2904490"/>
                    </a:xfrm>
                    <a:prstGeom prst="rect">
                      <a:avLst/>
                    </a:prstGeom>
                    <a:noFill/>
                  </pic:spPr>
                </pic:pic>
              </a:graphicData>
            </a:graphic>
          </wp:inline>
        </w:drawing>
      </w:r>
    </w:p>
    <w:p w:rsidR="00FC4F64" w:rsidRPr="00C7707C" w:rsidRDefault="00FC4F64" w:rsidP="00FC4F64">
      <w:pPr>
        <w:spacing w:after="120"/>
        <w:rPr>
          <w:rFonts w:cs="Arial"/>
          <w:sz w:val="22"/>
          <w:szCs w:val="22"/>
        </w:rPr>
      </w:pPr>
    </w:p>
    <w:p w:rsidR="00FC4F64" w:rsidRPr="00FC4F64" w:rsidRDefault="00FC4F64" w:rsidP="00FC4F64">
      <w:pPr>
        <w:spacing w:after="120"/>
        <w:rPr>
          <w:rFonts w:cs="Arial"/>
          <w:szCs w:val="20"/>
        </w:rPr>
      </w:pPr>
      <w:r w:rsidRPr="00FC4F64">
        <w:rPr>
          <w:rFonts w:cs="Arial"/>
          <w:szCs w:val="20"/>
        </w:rPr>
        <w:t xml:space="preserve">As can be observed, while English remains by far the most important language of filing, its importance has diminished relative to Japanese, Chinese and Korean. </w:t>
      </w:r>
      <w:r w:rsidRPr="00FC4F64">
        <w:rPr>
          <w:rFonts w:cs="Arial"/>
          <w:szCs w:val="20"/>
          <w:lang w:val="en-GB"/>
        </w:rPr>
        <w:t>The combined share of the PCT applications filed in Japanese, Chinese and Korean has increased from 29%</w:t>
      </w:r>
      <w:r w:rsidRPr="00FC4F64">
        <w:rPr>
          <w:rFonts w:cs="Arial"/>
          <w:color w:val="FF0000"/>
          <w:szCs w:val="20"/>
          <w:lang w:val="en-GB"/>
        </w:rPr>
        <w:t xml:space="preserve"> </w:t>
      </w:r>
      <w:r w:rsidRPr="00FC4F64">
        <w:rPr>
          <w:rFonts w:cs="Arial"/>
          <w:szCs w:val="20"/>
          <w:lang w:val="en-GB"/>
        </w:rPr>
        <w:t xml:space="preserve">in 2010 to 35% in 2013. </w:t>
      </w:r>
      <w:r w:rsidRPr="00FC4F64">
        <w:rPr>
          <w:rFonts w:cs="Arial"/>
          <w:szCs w:val="20"/>
        </w:rPr>
        <w:t>Zooming in on languages other than English provides the following picture:</w:t>
      </w:r>
    </w:p>
    <w:p w:rsidR="00FC4F64" w:rsidRPr="00C7707C" w:rsidRDefault="00FC4F64" w:rsidP="00FC4F64">
      <w:pPr>
        <w:spacing w:after="120"/>
        <w:rPr>
          <w:rFonts w:cs="Arial"/>
          <w:sz w:val="22"/>
          <w:szCs w:val="22"/>
          <w:highlight w:val="lightGray"/>
        </w:rPr>
      </w:pPr>
      <w:r>
        <w:rPr>
          <w:rFonts w:cs="Arial"/>
          <w:noProof/>
          <w:sz w:val="22"/>
          <w:szCs w:val="22"/>
        </w:rPr>
        <w:drawing>
          <wp:inline distT="0" distB="0" distL="0" distR="0" wp14:anchorId="40646FD2" wp14:editId="682293E4">
            <wp:extent cx="5849620" cy="32848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9620" cy="3284855"/>
                    </a:xfrm>
                    <a:prstGeom prst="rect">
                      <a:avLst/>
                    </a:prstGeom>
                    <a:noFill/>
                  </pic:spPr>
                </pic:pic>
              </a:graphicData>
            </a:graphic>
          </wp:inline>
        </w:drawing>
      </w:r>
    </w:p>
    <w:p w:rsidR="00FC4F64" w:rsidRPr="00FC4F64" w:rsidRDefault="00FC4F64" w:rsidP="00FC4F64">
      <w:pPr>
        <w:spacing w:after="120"/>
        <w:rPr>
          <w:rFonts w:cs="Arial"/>
          <w:szCs w:val="20"/>
          <w:lang w:val="en-GB"/>
        </w:rPr>
      </w:pPr>
      <w:r w:rsidRPr="00FC4F64">
        <w:rPr>
          <w:rFonts w:cs="Arial"/>
          <w:szCs w:val="20"/>
          <w:lang w:val="en-GB"/>
        </w:rPr>
        <w:t>These evolutions put a considerable strain on the IB because it takes many years to adjust the language composition of the PCT Operations staff.</w:t>
      </w:r>
    </w:p>
    <w:p w:rsidR="00FC4F64" w:rsidRPr="00FC4F64" w:rsidRDefault="00FC4F64" w:rsidP="00FC4F64">
      <w:pPr>
        <w:spacing w:after="120"/>
        <w:rPr>
          <w:rFonts w:cs="Arial"/>
          <w:i/>
          <w:szCs w:val="20"/>
          <w:lang w:val="en-GB"/>
        </w:rPr>
      </w:pPr>
    </w:p>
    <w:p w:rsidR="00FC4F64" w:rsidRPr="00FC4F64" w:rsidRDefault="00FC4F64" w:rsidP="00FC4F64">
      <w:pPr>
        <w:spacing w:after="120"/>
        <w:rPr>
          <w:rFonts w:cs="Arial"/>
          <w:i/>
          <w:szCs w:val="20"/>
          <w:lang w:val="en-GB"/>
        </w:rPr>
      </w:pPr>
      <w:r w:rsidRPr="00FC4F64">
        <w:rPr>
          <w:rFonts w:cs="Arial"/>
          <w:i/>
          <w:szCs w:val="20"/>
          <w:lang w:val="en-GB"/>
        </w:rPr>
        <w:t>Staff</w:t>
      </w:r>
    </w:p>
    <w:p w:rsidR="00FC4F64" w:rsidRPr="00FC4F64" w:rsidRDefault="00FC4F64" w:rsidP="00FC4F64">
      <w:pPr>
        <w:pStyle w:val="BodyText2"/>
        <w:spacing w:after="0" w:line="240" w:lineRule="auto"/>
        <w:rPr>
          <w:rFonts w:cs="Arial"/>
          <w:szCs w:val="20"/>
        </w:rPr>
      </w:pPr>
      <w:r w:rsidRPr="00FC4F64">
        <w:rPr>
          <w:rFonts w:cs="Arial"/>
          <w:szCs w:val="20"/>
        </w:rPr>
        <w:t>The chart below shows the number of PCT Operations staff since 2001, in Full Time Staff Equivalent (FTSE - total number of full-time staff plus the full-time equivalent of the part-time staff).</w:t>
      </w:r>
    </w:p>
    <w:p w:rsidR="00FC4F64" w:rsidRPr="00C7707C" w:rsidRDefault="00FC4F64" w:rsidP="00FC4F64">
      <w:pPr>
        <w:jc w:val="center"/>
        <w:rPr>
          <w:rFonts w:cs="Arial"/>
          <w:sz w:val="22"/>
          <w:szCs w:val="22"/>
          <w:highlight w:val="lightGray"/>
        </w:rPr>
      </w:pPr>
      <w:r>
        <w:rPr>
          <w:rFonts w:cs="Arial"/>
          <w:noProof/>
          <w:sz w:val="22"/>
          <w:szCs w:val="22"/>
        </w:rPr>
        <w:lastRenderedPageBreak/>
        <w:drawing>
          <wp:inline distT="0" distB="0" distL="0" distR="0" wp14:anchorId="11909269" wp14:editId="724D6DEE">
            <wp:extent cx="6023610" cy="3286125"/>
            <wp:effectExtent l="0" t="0" r="0" b="9525"/>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23610" cy="3286125"/>
                    </a:xfrm>
                    <a:prstGeom prst="rect">
                      <a:avLst/>
                    </a:prstGeom>
                    <a:noFill/>
                  </pic:spPr>
                </pic:pic>
              </a:graphicData>
            </a:graphic>
          </wp:inline>
        </w:drawing>
      </w:r>
    </w:p>
    <w:p w:rsidR="00FC4F64" w:rsidRPr="00FC4F64" w:rsidRDefault="00FC4F64" w:rsidP="00FC4F64">
      <w:pPr>
        <w:rPr>
          <w:rFonts w:cs="Arial"/>
          <w:szCs w:val="20"/>
          <w:highlight w:val="lightGray"/>
          <w:lang w:val="en-GB"/>
        </w:rPr>
      </w:pPr>
    </w:p>
    <w:p w:rsidR="00FC4F64" w:rsidRPr="00FC4F64" w:rsidRDefault="00FC4F64" w:rsidP="005703CF">
      <w:pPr>
        <w:numPr>
          <w:ilvl w:val="0"/>
          <w:numId w:val="12"/>
        </w:numPr>
        <w:rPr>
          <w:rFonts w:cs="Arial"/>
          <w:szCs w:val="20"/>
          <w:lang w:val="en-GB"/>
        </w:rPr>
      </w:pPr>
      <w:r w:rsidRPr="00FC4F64">
        <w:rPr>
          <w:rFonts w:cs="Arial"/>
          <w:szCs w:val="20"/>
          <w:lang w:val="en-GB"/>
        </w:rPr>
        <w:t>The PCT Operations staff decreased by almost 3% in 2013 compared to 2012.</w:t>
      </w:r>
    </w:p>
    <w:p w:rsidR="00FC4F64" w:rsidRPr="00FC4F64" w:rsidRDefault="00FC4F64" w:rsidP="00FC4F64">
      <w:pPr>
        <w:spacing w:after="120"/>
        <w:rPr>
          <w:rFonts w:cs="Arial"/>
          <w:szCs w:val="20"/>
          <w:highlight w:val="lightGray"/>
          <w:u w:val="single"/>
          <w:lang w:val="en-GB"/>
        </w:rPr>
      </w:pPr>
    </w:p>
    <w:p w:rsidR="00FC4F64" w:rsidRPr="00FC4F64" w:rsidRDefault="00FC4F64" w:rsidP="00FC4F64">
      <w:pPr>
        <w:rPr>
          <w:rFonts w:cs="Arial"/>
          <w:b/>
          <w:szCs w:val="20"/>
        </w:rPr>
      </w:pPr>
      <w:r w:rsidRPr="00FC4F64">
        <w:rPr>
          <w:rFonts w:cs="Arial"/>
          <w:b/>
          <w:szCs w:val="20"/>
        </w:rPr>
        <w:t>Unit cost of processing an application</w:t>
      </w:r>
    </w:p>
    <w:p w:rsidR="00FC4F64" w:rsidRPr="00FC4F64" w:rsidRDefault="00FC4F64" w:rsidP="00FC4F64">
      <w:pPr>
        <w:rPr>
          <w:rFonts w:cs="Arial"/>
          <w:szCs w:val="20"/>
        </w:rPr>
      </w:pPr>
    </w:p>
    <w:p w:rsidR="00FC4F64" w:rsidRPr="00FC4F64" w:rsidRDefault="00FC4F64" w:rsidP="00FC4F64">
      <w:pPr>
        <w:jc w:val="both"/>
        <w:rPr>
          <w:rFonts w:cs="Arial"/>
          <w:szCs w:val="20"/>
        </w:rPr>
      </w:pPr>
      <w:r w:rsidRPr="00FC4F64">
        <w:rPr>
          <w:rFonts w:cs="Arial"/>
          <w:szCs w:val="20"/>
        </w:rPr>
        <w:t xml:space="preserve">The IB’s productivity in processing PCT applications can be measured by the unit cost of processing, defined as the average total cost of publishing a PCT application. Average total cost is determined by total </w:t>
      </w:r>
      <w:r w:rsidR="009E5B4C">
        <w:rPr>
          <w:rFonts w:cs="Arial"/>
          <w:szCs w:val="20"/>
        </w:rPr>
        <w:t>PCT System</w:t>
      </w:r>
      <w:r w:rsidRPr="00FC4F64">
        <w:rPr>
          <w:rFonts w:cs="Arial"/>
          <w:szCs w:val="20"/>
        </w:rPr>
        <w:t xml:space="preserve"> expenditure, plus a proportion of expenditure on support and management activities. The unit cost thus includes the cost of all PCT activities, including translation, communication, management and others.</w:t>
      </w:r>
    </w:p>
    <w:p w:rsidR="00FC4F64" w:rsidRPr="00FC4F64" w:rsidRDefault="00FC4F64" w:rsidP="00FC4F64">
      <w:pPr>
        <w:jc w:val="both"/>
        <w:rPr>
          <w:rFonts w:cs="Arial"/>
          <w:szCs w:val="20"/>
        </w:rPr>
      </w:pPr>
    </w:p>
    <w:p w:rsidR="00FC4F64" w:rsidRPr="00FC4F64" w:rsidRDefault="00FC4F64" w:rsidP="00FC4F64">
      <w:pPr>
        <w:jc w:val="both"/>
        <w:rPr>
          <w:rFonts w:cs="Arial"/>
          <w:szCs w:val="20"/>
        </w:rPr>
      </w:pPr>
      <w:r w:rsidRPr="00FC4F64">
        <w:rPr>
          <w:rFonts w:cs="Arial"/>
          <w:szCs w:val="20"/>
        </w:rPr>
        <w:t xml:space="preserve">Costs consist of two components: direct and indirect costs. Direct costs reflect expenditure incurred by the IB in the administration of the </w:t>
      </w:r>
      <w:r w:rsidR="009E5B4C">
        <w:rPr>
          <w:rFonts w:cs="Arial"/>
          <w:szCs w:val="20"/>
        </w:rPr>
        <w:t>PCT System</w:t>
      </w:r>
      <w:r w:rsidRPr="00FC4F64">
        <w:rPr>
          <w:rFonts w:cs="Arial"/>
          <w:szCs w:val="20"/>
        </w:rPr>
        <w:t xml:space="preserve"> and related Programs. Indirect costs reflect expenditure for supporting activities (e.g., buildings and information technology, among others). Indirect costs are weighted to take into account only the share attributable to the </w:t>
      </w:r>
      <w:r w:rsidR="009E5B4C">
        <w:rPr>
          <w:rFonts w:cs="Arial"/>
          <w:szCs w:val="20"/>
        </w:rPr>
        <w:t>PCT System</w:t>
      </w:r>
      <w:r w:rsidRPr="00FC4F64">
        <w:rPr>
          <w:rFonts w:cs="Arial"/>
          <w:szCs w:val="20"/>
        </w:rPr>
        <w:t xml:space="preserve">. </w:t>
      </w:r>
    </w:p>
    <w:p w:rsidR="00FC4F64" w:rsidRPr="00FC4F64" w:rsidRDefault="00FC4F64" w:rsidP="00FC4F64">
      <w:pPr>
        <w:jc w:val="both"/>
        <w:rPr>
          <w:rFonts w:cs="Arial"/>
          <w:szCs w:val="20"/>
        </w:rPr>
      </w:pPr>
    </w:p>
    <w:p w:rsidR="00FC4F64" w:rsidRPr="00FC4F64" w:rsidRDefault="00FC4F64" w:rsidP="00FC4F64">
      <w:pPr>
        <w:jc w:val="both"/>
        <w:rPr>
          <w:rFonts w:cs="Arial"/>
          <w:szCs w:val="20"/>
        </w:rPr>
      </w:pPr>
      <w:r w:rsidRPr="00FC4F64">
        <w:rPr>
          <w:rFonts w:cs="Arial"/>
          <w:szCs w:val="20"/>
        </w:rPr>
        <w:t xml:space="preserve">The methodology to compute the unit cost was revised in 2013 in order to align it with other WIPO unit/union cost calculations and to better capture a fast changing environment. For example, the old method, which was designed in 2007, included a cost of storage (over 30 years) in warehouses, whereas paper filings (including PCT EASY filings) accounted for less than </w:t>
      </w:r>
      <w:r w:rsidR="00EC1008">
        <w:rPr>
          <w:rFonts w:cs="Arial"/>
          <w:szCs w:val="20"/>
        </w:rPr>
        <w:t>ten per cent</w:t>
      </w:r>
      <w:r w:rsidRPr="00FC4F64">
        <w:rPr>
          <w:rFonts w:cs="Arial"/>
          <w:szCs w:val="20"/>
        </w:rPr>
        <w:t xml:space="preserve"> of filings in 2013. The 2012 PCT unit cost has been calculated using both methods. The 2012 unit cost amounted to 680 Swiss francs using the old method and to 712 Swiss francs using the new method. The 32 Swiss francs difference is due to the new method for allocating indirect costs.</w:t>
      </w:r>
    </w:p>
    <w:p w:rsidR="00FC4F64" w:rsidRPr="00FC4F64" w:rsidRDefault="00FC4F64" w:rsidP="00FC4F64">
      <w:pPr>
        <w:jc w:val="both"/>
        <w:rPr>
          <w:rFonts w:cs="Arial"/>
          <w:szCs w:val="20"/>
        </w:rPr>
      </w:pPr>
    </w:p>
    <w:p w:rsidR="00FC4F64" w:rsidRPr="00FC4F64" w:rsidRDefault="00FC4F64" w:rsidP="00FC4F64">
      <w:pPr>
        <w:jc w:val="both"/>
        <w:rPr>
          <w:rFonts w:cs="Arial"/>
          <w:szCs w:val="20"/>
        </w:rPr>
      </w:pPr>
      <w:r w:rsidRPr="00FC4F64">
        <w:rPr>
          <w:rFonts w:cs="Arial"/>
          <w:szCs w:val="20"/>
        </w:rPr>
        <w:t>Formally, unit cost is defined as:</w:t>
      </w:r>
    </w:p>
    <w:p w:rsidR="00FC4F64" w:rsidRPr="00FC4F64" w:rsidRDefault="00FC4F64" w:rsidP="00FC4F64">
      <w:pPr>
        <w:rPr>
          <w:rFonts w:cs="Arial"/>
          <w:szCs w:val="20"/>
          <w:highlight w:val="yellow"/>
          <w:lang w:val="en-GB"/>
        </w:rPr>
      </w:pPr>
    </w:p>
    <w:p w:rsidR="00FC4F64" w:rsidRPr="00FC4F64" w:rsidRDefault="00FC4F64" w:rsidP="00FC4F64">
      <w:pPr>
        <w:jc w:val="center"/>
        <w:rPr>
          <w:rFonts w:cs="Arial"/>
          <w:snapToGrid w:val="0"/>
          <w:szCs w:val="20"/>
          <w:lang w:val="en-GB"/>
        </w:rPr>
      </w:pPr>
      <w:r w:rsidRPr="00FC4F64">
        <w:rPr>
          <w:rFonts w:cs="Arial"/>
          <w:position w:val="-28"/>
          <w:szCs w:val="20"/>
          <w:lang w:val="en-GB"/>
        </w:rPr>
        <w:object w:dxaOrig="35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05pt;height:33.8pt" o:ole="" fillcolor="window">
            <v:imagedata r:id="rId38" o:title=""/>
          </v:shape>
          <o:OLEObject Type="Embed" ProgID="Equation.3" ShapeID="_x0000_i1025" DrawAspect="Content" ObjectID="_1467697963" r:id="rId39"/>
        </w:object>
      </w:r>
    </w:p>
    <w:p w:rsidR="00FC4F64" w:rsidRPr="00FC4F64" w:rsidRDefault="00FC4F64" w:rsidP="00FC4F64">
      <w:pPr>
        <w:rPr>
          <w:rFonts w:cs="Arial"/>
          <w:szCs w:val="20"/>
          <w:highlight w:val="yellow"/>
          <w:lang w:val="en-GB"/>
        </w:rPr>
      </w:pPr>
    </w:p>
    <w:p w:rsidR="00FC4F64" w:rsidRPr="00FC4F64" w:rsidRDefault="00FC4F64" w:rsidP="00FC4F64">
      <w:pPr>
        <w:rPr>
          <w:rFonts w:cs="Arial"/>
          <w:szCs w:val="20"/>
          <w:lang w:val="en-GB"/>
        </w:rPr>
      </w:pPr>
      <w:r w:rsidRPr="00FC4F64">
        <w:rPr>
          <w:rFonts w:cs="Arial"/>
          <w:szCs w:val="20"/>
          <w:lang w:val="en-GB"/>
        </w:rPr>
        <w:t xml:space="preserve">Figure B.1.9 depicts the evolution of the unit cost of processing from 2004 to 2012 by old method and </w:t>
      </w:r>
      <w:r w:rsidR="007B714B">
        <w:rPr>
          <w:rFonts w:cs="Arial"/>
          <w:szCs w:val="20"/>
          <w:lang w:val="en-GB"/>
        </w:rPr>
        <w:t>from 2012 to 2013 by new method</w:t>
      </w:r>
      <w:r w:rsidRPr="00FC4F64">
        <w:rPr>
          <w:rFonts w:cs="Arial"/>
          <w:szCs w:val="20"/>
          <w:lang w:val="en-GB"/>
        </w:rPr>
        <w:t>, including a breakdown of the contribution of direct and indirect costs.</w:t>
      </w:r>
    </w:p>
    <w:p w:rsidR="00FC4F64" w:rsidRDefault="00FC4F64" w:rsidP="00FC4F64">
      <w:pPr>
        <w:rPr>
          <w:rFonts w:cs="Arial"/>
          <w:sz w:val="22"/>
          <w:szCs w:val="22"/>
          <w:lang w:val="en-GB"/>
        </w:rPr>
      </w:pPr>
    </w:p>
    <w:p w:rsidR="00EF22F7" w:rsidRDefault="00EF22F7" w:rsidP="00FC4F64">
      <w:pPr>
        <w:rPr>
          <w:b/>
          <w:lang w:val="en-GB"/>
        </w:rPr>
      </w:pPr>
    </w:p>
    <w:p w:rsidR="00FC4F64" w:rsidRDefault="00FC4F64" w:rsidP="00EF22F7">
      <w:pPr>
        <w:keepNext/>
        <w:keepLines/>
        <w:rPr>
          <w:b/>
          <w:lang w:val="en-GB"/>
        </w:rPr>
      </w:pPr>
      <w:r w:rsidRPr="00246ACD">
        <w:rPr>
          <w:b/>
          <w:lang w:val="en-GB"/>
        </w:rPr>
        <w:lastRenderedPageBreak/>
        <w:t>Figure B.1.9: Unit cost of processing a published PCT application</w:t>
      </w:r>
    </w:p>
    <w:p w:rsidR="00FC4F64" w:rsidRPr="00246ACD" w:rsidRDefault="00FC4F64" w:rsidP="00EF22F7">
      <w:pPr>
        <w:keepNext/>
        <w:keepLines/>
        <w:ind w:left="720"/>
        <w:rPr>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0"/>
        <w:gridCol w:w="4541"/>
      </w:tblGrid>
      <w:tr w:rsidR="00FC4F64" w:rsidRPr="00246ACD" w:rsidTr="00FC4F64">
        <w:tc>
          <w:tcPr>
            <w:tcW w:w="4644" w:type="dxa"/>
            <w:shd w:val="clear" w:color="auto" w:fill="auto"/>
          </w:tcPr>
          <w:p w:rsidR="00FC4F64" w:rsidRPr="00513D84" w:rsidRDefault="00FC4F64" w:rsidP="00EF22F7">
            <w:pPr>
              <w:keepNext/>
              <w:keepLines/>
              <w:jc w:val="center"/>
            </w:pPr>
            <w:r w:rsidRPr="00513D84">
              <w:t>Old method</w:t>
            </w:r>
          </w:p>
        </w:tc>
        <w:tc>
          <w:tcPr>
            <w:tcW w:w="4645" w:type="dxa"/>
            <w:shd w:val="clear" w:color="auto" w:fill="auto"/>
          </w:tcPr>
          <w:p w:rsidR="00FC4F64" w:rsidRPr="00513D84" w:rsidRDefault="00FC4F64" w:rsidP="00EF22F7">
            <w:pPr>
              <w:keepNext/>
              <w:keepLines/>
              <w:jc w:val="center"/>
            </w:pPr>
            <w:r w:rsidRPr="00513D84">
              <w:t>New method</w:t>
            </w:r>
          </w:p>
        </w:tc>
      </w:tr>
      <w:tr w:rsidR="00FC4F64" w:rsidTr="00FC4F64">
        <w:tc>
          <w:tcPr>
            <w:tcW w:w="4644" w:type="dxa"/>
            <w:shd w:val="clear" w:color="auto" w:fill="auto"/>
          </w:tcPr>
          <w:p w:rsidR="00FC4F64" w:rsidRPr="00513D84" w:rsidRDefault="00FC4F64" w:rsidP="00FC4F64">
            <w:pPr>
              <w:rPr>
                <w:lang w:val="fr-CH"/>
              </w:rPr>
            </w:pPr>
            <w:r>
              <w:rPr>
                <w:noProof/>
              </w:rPr>
              <w:drawing>
                <wp:inline distT="0" distB="0" distL="0" distR="0" wp14:anchorId="1F7F2E9C" wp14:editId="6D2BE6C5">
                  <wp:extent cx="3056890" cy="2040255"/>
                  <wp:effectExtent l="0" t="0" r="0" b="0"/>
                  <wp:docPr id="1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56890" cy="2040255"/>
                          </a:xfrm>
                          <a:prstGeom prst="rect">
                            <a:avLst/>
                          </a:prstGeom>
                          <a:noFill/>
                          <a:ln>
                            <a:noFill/>
                          </a:ln>
                        </pic:spPr>
                      </pic:pic>
                    </a:graphicData>
                  </a:graphic>
                </wp:inline>
              </w:drawing>
            </w:r>
          </w:p>
        </w:tc>
        <w:tc>
          <w:tcPr>
            <w:tcW w:w="4645" w:type="dxa"/>
            <w:shd w:val="clear" w:color="auto" w:fill="auto"/>
          </w:tcPr>
          <w:p w:rsidR="00FC4F64" w:rsidRPr="00513D84" w:rsidRDefault="00FC4F64" w:rsidP="00FC4F64">
            <w:pPr>
              <w:rPr>
                <w:lang w:val="fr-CH"/>
              </w:rPr>
            </w:pPr>
            <w:r>
              <w:rPr>
                <w:noProof/>
              </w:rPr>
              <w:drawing>
                <wp:inline distT="0" distB="0" distL="0" distR="0" wp14:anchorId="4840F413" wp14:editId="7EE054F1">
                  <wp:extent cx="2654300" cy="2047240"/>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54300" cy="2047240"/>
                          </a:xfrm>
                          <a:prstGeom prst="rect">
                            <a:avLst/>
                          </a:prstGeom>
                          <a:noFill/>
                          <a:ln>
                            <a:noFill/>
                          </a:ln>
                        </pic:spPr>
                      </pic:pic>
                    </a:graphicData>
                  </a:graphic>
                </wp:inline>
              </w:drawing>
            </w:r>
          </w:p>
        </w:tc>
      </w:tr>
    </w:tbl>
    <w:p w:rsidR="00FC4F64" w:rsidRPr="00513D84" w:rsidRDefault="00FC4F64" w:rsidP="00FC4F64">
      <w:pPr>
        <w:rPr>
          <w:vanish/>
        </w:rPr>
      </w:pPr>
    </w:p>
    <w:tbl>
      <w:tblPr>
        <w:tblW w:w="9360" w:type="dxa"/>
        <w:tblInd w:w="108" w:type="dxa"/>
        <w:tblLook w:val="04A0" w:firstRow="1" w:lastRow="0" w:firstColumn="1" w:lastColumn="0" w:noHBand="0" w:noVBand="1"/>
      </w:tblPr>
      <w:tblGrid>
        <w:gridCol w:w="9360"/>
      </w:tblGrid>
      <w:tr w:rsidR="00FC4F64" w:rsidRPr="00246ACD" w:rsidTr="00FC4F64">
        <w:trPr>
          <w:trHeight w:val="255"/>
        </w:trPr>
        <w:tc>
          <w:tcPr>
            <w:tcW w:w="9360" w:type="dxa"/>
            <w:tcBorders>
              <w:top w:val="nil"/>
              <w:left w:val="nil"/>
              <w:bottom w:val="nil"/>
              <w:right w:val="nil"/>
            </w:tcBorders>
            <w:shd w:val="clear" w:color="auto" w:fill="auto"/>
            <w:noWrap/>
            <w:vAlign w:val="center"/>
            <w:hideMark/>
          </w:tcPr>
          <w:p w:rsidR="00FC4F64" w:rsidRPr="00246ACD" w:rsidRDefault="00FC4F64" w:rsidP="00FC4F64">
            <w:pPr>
              <w:rPr>
                <w:color w:val="000000"/>
                <w:sz w:val="15"/>
                <w:szCs w:val="15"/>
              </w:rPr>
            </w:pPr>
            <w:r w:rsidRPr="00246ACD">
              <w:rPr>
                <w:color w:val="000000"/>
                <w:sz w:val="15"/>
                <w:szCs w:val="15"/>
              </w:rPr>
              <w:t>Source: WIPO Statistics Database, March 2014</w:t>
            </w:r>
          </w:p>
        </w:tc>
      </w:tr>
      <w:tr w:rsidR="00FC4F64" w:rsidRPr="00246ACD" w:rsidTr="00FC4F64">
        <w:trPr>
          <w:trHeight w:val="255"/>
        </w:trPr>
        <w:tc>
          <w:tcPr>
            <w:tcW w:w="9360" w:type="dxa"/>
            <w:tcBorders>
              <w:top w:val="nil"/>
              <w:left w:val="nil"/>
              <w:bottom w:val="nil"/>
              <w:right w:val="nil"/>
            </w:tcBorders>
            <w:shd w:val="clear" w:color="auto" w:fill="auto"/>
            <w:noWrap/>
            <w:vAlign w:val="center"/>
            <w:hideMark/>
          </w:tcPr>
          <w:p w:rsidR="00FC4F64" w:rsidRPr="00246ACD" w:rsidRDefault="00FC4F64" w:rsidP="00FC4F64">
            <w:pPr>
              <w:rPr>
                <w:color w:val="000000"/>
                <w:sz w:val="15"/>
                <w:szCs w:val="15"/>
              </w:rPr>
            </w:pPr>
            <w:r w:rsidRPr="00246ACD">
              <w:rPr>
                <w:color w:val="000000"/>
                <w:sz w:val="15"/>
                <w:szCs w:val="15"/>
              </w:rPr>
              <w:t>Note: The average cost of published PCT application is an estimation which is calculated by dividing the total processing cost by the number of published PCT applications. Historical data have been revised and may differ from previous reported data.</w:t>
            </w:r>
          </w:p>
        </w:tc>
      </w:tr>
    </w:tbl>
    <w:p w:rsidR="00FC4F64" w:rsidRPr="00246ACD" w:rsidRDefault="00FC4F64" w:rsidP="00FC4F64">
      <w:pPr>
        <w:ind w:left="720"/>
      </w:pPr>
    </w:p>
    <w:p w:rsidR="00FC4F64" w:rsidRPr="00EF22F7" w:rsidRDefault="00FC4F64" w:rsidP="005703CF">
      <w:pPr>
        <w:pStyle w:val="ListParagraph"/>
        <w:numPr>
          <w:ilvl w:val="0"/>
          <w:numId w:val="15"/>
        </w:numPr>
        <w:spacing w:after="200" w:line="276" w:lineRule="auto"/>
        <w:contextualSpacing/>
      </w:pPr>
      <w:r w:rsidRPr="00EF22F7">
        <w:t xml:space="preserve">The average cost of processing a published PCT application calculated by the old method has decreased by average 5% per year from 1,042 Swiss </w:t>
      </w:r>
      <w:r w:rsidR="00F111FF">
        <w:t>f</w:t>
      </w:r>
      <w:r w:rsidRPr="00EF22F7">
        <w:t xml:space="preserve">rancs in 2004 to 680 Swiss </w:t>
      </w:r>
      <w:r w:rsidR="00F111FF">
        <w:t>f</w:t>
      </w:r>
      <w:r w:rsidRPr="00EF22F7">
        <w:t xml:space="preserve">rancs in 2012. </w:t>
      </w:r>
    </w:p>
    <w:p w:rsidR="00FC4F64" w:rsidRPr="00EF22F7" w:rsidRDefault="00FC4F64" w:rsidP="005703CF">
      <w:pPr>
        <w:numPr>
          <w:ilvl w:val="0"/>
          <w:numId w:val="15"/>
        </w:numPr>
        <w:jc w:val="both"/>
        <w:rPr>
          <w:rFonts w:cs="Arial"/>
          <w:szCs w:val="20"/>
          <w:highlight w:val="lightGray"/>
        </w:rPr>
      </w:pPr>
      <w:r w:rsidRPr="00EF22F7">
        <w:rPr>
          <w:rFonts w:cs="Arial"/>
          <w:szCs w:val="20"/>
        </w:rPr>
        <w:t xml:space="preserve">The average cost of processing a published PCT application calculated by the new method has increased by 1.4% in 2013 compared to 2012, and reached 722 Swiss </w:t>
      </w:r>
      <w:r w:rsidR="00F111FF">
        <w:rPr>
          <w:rFonts w:cs="Arial"/>
          <w:szCs w:val="20"/>
        </w:rPr>
        <w:t>f</w:t>
      </w:r>
      <w:r w:rsidRPr="00EF22F7">
        <w:rPr>
          <w:rFonts w:cs="Arial"/>
          <w:szCs w:val="20"/>
        </w:rPr>
        <w:t>rancs. This slight increase was due to an increase in both direct and indirect costs in 2013 which was the second year of the 2012/13 biennium.</w:t>
      </w:r>
    </w:p>
    <w:p w:rsidR="00FC4F64" w:rsidRPr="00EF22F7" w:rsidRDefault="00FC4F64" w:rsidP="00FC4F64">
      <w:pPr>
        <w:jc w:val="center"/>
        <w:rPr>
          <w:rFonts w:cs="Arial"/>
          <w:szCs w:val="20"/>
          <w:highlight w:val="lightGray"/>
        </w:rPr>
      </w:pPr>
    </w:p>
    <w:p w:rsidR="00FC4F64" w:rsidRPr="00EF22F7" w:rsidRDefault="00FC4F64" w:rsidP="00FC4F64">
      <w:pPr>
        <w:rPr>
          <w:rFonts w:cs="Arial"/>
          <w:szCs w:val="20"/>
          <w:lang w:val="en-GB"/>
        </w:rPr>
      </w:pPr>
      <w:r w:rsidRPr="00EF22F7">
        <w:rPr>
          <w:rFonts w:cs="Arial"/>
          <w:b/>
          <w:szCs w:val="20"/>
        </w:rPr>
        <w:t>Productivity of formalities examination</w:t>
      </w:r>
    </w:p>
    <w:p w:rsidR="00FC4F64" w:rsidRPr="00EF22F7" w:rsidRDefault="00FC4F64" w:rsidP="00FC4F64">
      <w:pPr>
        <w:rPr>
          <w:rFonts w:cs="Arial"/>
          <w:szCs w:val="20"/>
          <w:lang w:val="en-GB"/>
        </w:rPr>
      </w:pPr>
    </w:p>
    <w:p w:rsidR="00FC4F64" w:rsidRPr="00EF22F7" w:rsidRDefault="00FC4F64" w:rsidP="00FC4F64">
      <w:pPr>
        <w:rPr>
          <w:rFonts w:cs="Arial"/>
          <w:szCs w:val="20"/>
          <w:lang w:val="en-GB"/>
        </w:rPr>
      </w:pPr>
      <w:r w:rsidRPr="00EF22F7">
        <w:rPr>
          <w:rFonts w:cs="Arial"/>
          <w:szCs w:val="20"/>
          <w:lang w:val="en-GB"/>
        </w:rPr>
        <w:t>The definition of staff productivity is output (i.e., number of PCT publications) divided by the number of available staff for formalities examination.</w:t>
      </w:r>
    </w:p>
    <w:p w:rsidR="00FC4F64" w:rsidRPr="00EF22F7" w:rsidRDefault="00FC4F64" w:rsidP="00FC4F64">
      <w:pPr>
        <w:rPr>
          <w:rFonts w:cs="Arial"/>
          <w:szCs w:val="20"/>
          <w:highlight w:val="lightGray"/>
          <w:lang w:val="en-GB"/>
        </w:rPr>
      </w:pPr>
    </w:p>
    <w:p w:rsidR="00FC4F64" w:rsidRPr="00C7707C" w:rsidRDefault="00FC4F64" w:rsidP="00FC4F64">
      <w:pPr>
        <w:rPr>
          <w:rFonts w:cs="Arial"/>
          <w:sz w:val="22"/>
          <w:szCs w:val="22"/>
          <w:highlight w:val="lightGray"/>
          <w:lang w:val="en-GB"/>
        </w:rPr>
      </w:pPr>
    </w:p>
    <w:p w:rsidR="00FC4F64" w:rsidRPr="00C7707C" w:rsidRDefault="00FC4F64" w:rsidP="00FC4F64">
      <w:pPr>
        <w:jc w:val="center"/>
        <w:rPr>
          <w:rFonts w:cs="Arial"/>
          <w:sz w:val="22"/>
          <w:szCs w:val="22"/>
          <w:highlight w:val="lightGray"/>
        </w:rPr>
      </w:pPr>
      <w:r>
        <w:rPr>
          <w:rFonts w:cs="Arial"/>
          <w:noProof/>
          <w:sz w:val="22"/>
          <w:szCs w:val="22"/>
        </w:rPr>
        <w:drawing>
          <wp:inline distT="0" distB="0" distL="0" distR="0" wp14:anchorId="7F278BCC" wp14:editId="2B2B00AE">
            <wp:extent cx="5969635" cy="2925445"/>
            <wp:effectExtent l="0" t="0" r="0" b="8255"/>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69635" cy="2925445"/>
                    </a:xfrm>
                    <a:prstGeom prst="rect">
                      <a:avLst/>
                    </a:prstGeom>
                    <a:noFill/>
                  </pic:spPr>
                </pic:pic>
              </a:graphicData>
            </a:graphic>
          </wp:inline>
        </w:drawing>
      </w:r>
    </w:p>
    <w:p w:rsidR="00FC4F64" w:rsidRPr="00EF22F7" w:rsidRDefault="00FC4F64" w:rsidP="00FC4F64">
      <w:pPr>
        <w:rPr>
          <w:rFonts w:cs="Arial"/>
          <w:szCs w:val="20"/>
          <w:lang w:val="en-GB"/>
        </w:rPr>
      </w:pPr>
    </w:p>
    <w:p w:rsidR="00FC4F64" w:rsidRPr="00EF22F7" w:rsidRDefault="00FC4F64" w:rsidP="005703CF">
      <w:pPr>
        <w:numPr>
          <w:ilvl w:val="0"/>
          <w:numId w:val="12"/>
        </w:numPr>
        <w:rPr>
          <w:rFonts w:cs="Arial"/>
          <w:szCs w:val="20"/>
          <w:lang w:val="en-GB"/>
        </w:rPr>
      </w:pPr>
      <w:r w:rsidRPr="00EF22F7">
        <w:rPr>
          <w:rFonts w:cs="Arial"/>
          <w:szCs w:val="20"/>
          <w:lang w:val="en-GB"/>
        </w:rPr>
        <w:t>Historically, productivity of formalities examination has increased, mainly due to automation which has permitted the processing of much larger workloads with less staff.</w:t>
      </w:r>
    </w:p>
    <w:p w:rsidR="00FC4F64" w:rsidRPr="00EF22F7" w:rsidRDefault="00FC4F64" w:rsidP="00FC4F64">
      <w:pPr>
        <w:rPr>
          <w:rFonts w:cs="Arial"/>
          <w:szCs w:val="20"/>
          <w:lang w:val="en-GB"/>
        </w:rPr>
      </w:pPr>
    </w:p>
    <w:p w:rsidR="00FC4F64" w:rsidRPr="00EF22F7" w:rsidRDefault="00FC4F64" w:rsidP="00D05EAB">
      <w:pPr>
        <w:keepNext/>
        <w:keepLines/>
        <w:rPr>
          <w:rFonts w:cs="Arial"/>
          <w:b/>
          <w:szCs w:val="20"/>
          <w:lang w:val="en-GB"/>
        </w:rPr>
      </w:pPr>
      <w:r w:rsidRPr="00EF22F7">
        <w:rPr>
          <w:rFonts w:cs="Arial"/>
          <w:b/>
          <w:szCs w:val="20"/>
          <w:lang w:val="en-GB"/>
        </w:rPr>
        <w:t>Aggregate quality of formalities examination</w:t>
      </w:r>
    </w:p>
    <w:p w:rsidR="00FC4F64" w:rsidRPr="00EF22F7" w:rsidRDefault="00FC4F64" w:rsidP="00FC4F64">
      <w:pPr>
        <w:rPr>
          <w:rFonts w:cs="Arial"/>
          <w:szCs w:val="20"/>
          <w:lang w:val="en-GB"/>
        </w:rPr>
      </w:pPr>
    </w:p>
    <w:p w:rsidR="00FC4F64" w:rsidRPr="00EF22F7" w:rsidRDefault="00FC4F64" w:rsidP="00FC4F64">
      <w:pPr>
        <w:rPr>
          <w:rFonts w:cs="Arial"/>
          <w:szCs w:val="20"/>
          <w:lang w:val="en-GB"/>
        </w:rPr>
      </w:pPr>
      <w:r w:rsidRPr="00EF22F7">
        <w:rPr>
          <w:rFonts w:cs="Arial"/>
          <w:szCs w:val="20"/>
          <w:lang w:val="en-GB"/>
        </w:rPr>
        <w:lastRenderedPageBreak/>
        <w:t>In order to measure the quality of the work performed by the IB in a simple and comprehensive manner, the IB has developed an aggregate quality index, calculated as the average of four lead quality indicators.  Three</w:t>
      </w:r>
      <w:r w:rsidRPr="00EF22F7">
        <w:rPr>
          <w:rFonts w:cs="Arial"/>
          <w:szCs w:val="20"/>
        </w:rPr>
        <w:t xml:space="preserve"> of these indicators are based on the timeliness of key transactions: acknowledgement of receipt of the PCT application; publication; and republication. The fourth indicator reflects errors made during the processing of PCT applications.</w:t>
      </w:r>
    </w:p>
    <w:p w:rsidR="00FC4F64" w:rsidRPr="00C7707C" w:rsidRDefault="00FC4F64" w:rsidP="00FC4F64">
      <w:pPr>
        <w:rPr>
          <w:rFonts w:cs="Arial"/>
          <w:sz w:val="22"/>
          <w:szCs w:val="22"/>
        </w:rPr>
      </w:pPr>
      <w:r>
        <w:rPr>
          <w:rFonts w:cs="Arial"/>
          <w:noProof/>
          <w:sz w:val="22"/>
          <w:szCs w:val="22"/>
        </w:rPr>
        <w:drawing>
          <wp:inline distT="0" distB="0" distL="0" distR="0" wp14:anchorId="2BC5D885" wp14:editId="601040D4">
            <wp:extent cx="5797550" cy="26263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7550" cy="2626360"/>
                    </a:xfrm>
                    <a:prstGeom prst="rect">
                      <a:avLst/>
                    </a:prstGeom>
                    <a:noFill/>
                  </pic:spPr>
                </pic:pic>
              </a:graphicData>
            </a:graphic>
          </wp:inline>
        </w:drawing>
      </w:r>
    </w:p>
    <w:p w:rsidR="00FC4F64" w:rsidRPr="00EF22F7" w:rsidRDefault="00FC4F64" w:rsidP="00FC4F64">
      <w:pPr>
        <w:rPr>
          <w:rFonts w:cs="Arial"/>
          <w:szCs w:val="20"/>
        </w:rPr>
      </w:pPr>
    </w:p>
    <w:p w:rsidR="00FC4F64" w:rsidRDefault="00FC4F64" w:rsidP="005703CF">
      <w:pPr>
        <w:numPr>
          <w:ilvl w:val="0"/>
          <w:numId w:val="14"/>
        </w:numPr>
        <w:rPr>
          <w:rFonts w:cs="Arial"/>
          <w:szCs w:val="20"/>
        </w:rPr>
      </w:pPr>
      <w:r w:rsidRPr="00EF22F7">
        <w:rPr>
          <w:rFonts w:cs="Arial"/>
          <w:szCs w:val="20"/>
        </w:rPr>
        <w:t xml:space="preserve">Quality, as measured by the aggregate index, improved markedly from 2007 to the second quarter of 2011. Increased delays in the republication of PCT applications with the ISR were the main cause of the drop observed in the second half of 2011. </w:t>
      </w:r>
    </w:p>
    <w:p w:rsidR="00EF22F7" w:rsidRPr="00EF22F7" w:rsidRDefault="00EF22F7" w:rsidP="00EF22F7">
      <w:pPr>
        <w:ind w:left="720"/>
        <w:rPr>
          <w:rFonts w:cs="Arial"/>
          <w:szCs w:val="20"/>
        </w:rPr>
      </w:pPr>
    </w:p>
    <w:p w:rsidR="00FC4F64" w:rsidRDefault="00FC4F64" w:rsidP="005703CF">
      <w:pPr>
        <w:numPr>
          <w:ilvl w:val="0"/>
          <w:numId w:val="14"/>
        </w:numPr>
        <w:rPr>
          <w:rFonts w:cs="Arial"/>
          <w:szCs w:val="20"/>
        </w:rPr>
      </w:pPr>
      <w:r w:rsidRPr="00EF22F7">
        <w:rPr>
          <w:rFonts w:cs="Arial"/>
          <w:szCs w:val="20"/>
        </w:rPr>
        <w:t xml:space="preserve">Quality improved markedly in the first quarter of 2012 but decreased again during the next two quarters. The main reason for this decrease was deterioration in the share of notifications of receipt of a PCT application sent to applicants within five weeks, which dropped from 90.8% in the first quarter to 76.3% in the third quarter of 2012. </w:t>
      </w:r>
    </w:p>
    <w:p w:rsidR="00EF22F7" w:rsidRPr="00EF22F7" w:rsidRDefault="00EF22F7" w:rsidP="00EF22F7">
      <w:pPr>
        <w:ind w:left="720"/>
        <w:rPr>
          <w:rFonts w:cs="Arial"/>
          <w:szCs w:val="20"/>
        </w:rPr>
      </w:pPr>
    </w:p>
    <w:p w:rsidR="00FC4F64" w:rsidRPr="00EF22F7" w:rsidRDefault="00FC4F64" w:rsidP="005703CF">
      <w:pPr>
        <w:numPr>
          <w:ilvl w:val="0"/>
          <w:numId w:val="14"/>
        </w:numPr>
        <w:rPr>
          <w:rFonts w:cs="Arial"/>
          <w:szCs w:val="20"/>
        </w:rPr>
      </w:pPr>
      <w:r w:rsidRPr="00EF22F7">
        <w:rPr>
          <w:rFonts w:cs="Arial"/>
          <w:szCs w:val="20"/>
        </w:rPr>
        <w:t>The index markedly improved in the second half of 2013 due to faster republications of PCT applications with their ISRs and as a result of automation of part of the examination process for applications received in XML, enabling the IB to send notifications of receipt of a PCT application within days from receipt of the application.</w:t>
      </w:r>
    </w:p>
    <w:p w:rsidR="00FC4F64" w:rsidRPr="00EF22F7" w:rsidRDefault="00FC4F64" w:rsidP="00FC4F64">
      <w:pPr>
        <w:rPr>
          <w:rFonts w:cs="Arial"/>
          <w:szCs w:val="20"/>
        </w:rPr>
      </w:pPr>
    </w:p>
    <w:p w:rsidR="00FC4F64" w:rsidRPr="00EF22F7" w:rsidRDefault="00FC4F64" w:rsidP="00FC4F64">
      <w:pPr>
        <w:rPr>
          <w:rFonts w:cs="Arial"/>
          <w:szCs w:val="20"/>
        </w:rPr>
      </w:pPr>
    </w:p>
    <w:p w:rsidR="00FC4F64" w:rsidRPr="00EF22F7" w:rsidRDefault="00FC4F64" w:rsidP="00FC4F64">
      <w:pPr>
        <w:rPr>
          <w:rFonts w:cs="Arial"/>
          <w:b/>
          <w:szCs w:val="20"/>
        </w:rPr>
      </w:pPr>
      <w:r w:rsidRPr="00EF22F7">
        <w:rPr>
          <w:rFonts w:cs="Arial"/>
          <w:b/>
          <w:szCs w:val="20"/>
        </w:rPr>
        <w:t>Timeliness of formalities examination</w:t>
      </w:r>
    </w:p>
    <w:p w:rsidR="00FC4F64" w:rsidRPr="00EF22F7" w:rsidRDefault="00FC4F64" w:rsidP="00FC4F64">
      <w:pPr>
        <w:rPr>
          <w:rFonts w:cs="Arial"/>
          <w:b/>
          <w:szCs w:val="20"/>
        </w:rPr>
      </w:pPr>
    </w:p>
    <w:p w:rsidR="00FC4F64" w:rsidRPr="00EF22F7" w:rsidRDefault="00FC4F64" w:rsidP="00FC4F64">
      <w:pPr>
        <w:rPr>
          <w:rFonts w:cs="Arial"/>
          <w:b/>
          <w:szCs w:val="20"/>
        </w:rPr>
      </w:pPr>
      <w:r w:rsidRPr="00EF22F7">
        <w:rPr>
          <w:rFonts w:cs="Arial"/>
          <w:szCs w:val="20"/>
        </w:rPr>
        <w:t>This indicator reflects in more detail one of the components of the aggregate quality indicator, namely the time required by the IB to issue Form 301.  This form is issued after the formalities examination of the application has been completed.  Applicants appreciate receiving this Form as soon as possible because it allows them to know whether their application has any formal defects.</w:t>
      </w:r>
    </w:p>
    <w:p w:rsidR="00FC4F64" w:rsidRPr="00EF22F7" w:rsidRDefault="00FC4F64" w:rsidP="00FC4F64">
      <w:pPr>
        <w:rPr>
          <w:rFonts w:cs="Arial"/>
          <w:b/>
          <w:szCs w:val="20"/>
        </w:rPr>
      </w:pPr>
    </w:p>
    <w:p w:rsidR="00FC4F64" w:rsidRPr="00C7707C" w:rsidRDefault="00FC4F64" w:rsidP="00FC4F64">
      <w:pPr>
        <w:rPr>
          <w:rFonts w:cs="Arial"/>
          <w:sz w:val="22"/>
          <w:szCs w:val="22"/>
        </w:rPr>
      </w:pPr>
      <w:r>
        <w:rPr>
          <w:rFonts w:cs="Arial"/>
          <w:noProof/>
          <w:sz w:val="22"/>
          <w:szCs w:val="22"/>
        </w:rPr>
        <w:lastRenderedPageBreak/>
        <w:drawing>
          <wp:inline distT="0" distB="0" distL="0" distR="0" wp14:anchorId="6A93EF09" wp14:editId="48462D4C">
            <wp:extent cx="5854065" cy="2536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54065" cy="2536825"/>
                    </a:xfrm>
                    <a:prstGeom prst="rect">
                      <a:avLst/>
                    </a:prstGeom>
                    <a:noFill/>
                  </pic:spPr>
                </pic:pic>
              </a:graphicData>
            </a:graphic>
          </wp:inline>
        </w:drawing>
      </w:r>
    </w:p>
    <w:p w:rsidR="00FC4F64" w:rsidRPr="00C7707C" w:rsidRDefault="00FC4F64" w:rsidP="00FC4F64">
      <w:pPr>
        <w:rPr>
          <w:rFonts w:cs="Arial"/>
          <w:sz w:val="22"/>
          <w:szCs w:val="22"/>
        </w:rPr>
      </w:pPr>
    </w:p>
    <w:p w:rsidR="00FC4F64" w:rsidRPr="00EF22F7" w:rsidRDefault="00FC4F64" w:rsidP="00FC4F64">
      <w:pPr>
        <w:rPr>
          <w:rFonts w:cs="Arial"/>
          <w:b/>
          <w:szCs w:val="20"/>
        </w:rPr>
      </w:pPr>
      <w:r w:rsidRPr="00EF22F7">
        <w:rPr>
          <w:rFonts w:cs="Arial"/>
          <w:b/>
          <w:szCs w:val="20"/>
        </w:rPr>
        <w:t>Timeliness of publication</w:t>
      </w:r>
    </w:p>
    <w:p w:rsidR="00FC4F64" w:rsidRPr="00EF22F7" w:rsidRDefault="00FC4F64" w:rsidP="00FC4F64">
      <w:pPr>
        <w:rPr>
          <w:rFonts w:cs="Arial"/>
          <w:szCs w:val="20"/>
        </w:rPr>
      </w:pPr>
    </w:p>
    <w:p w:rsidR="00FC4F64" w:rsidRPr="00EF22F7" w:rsidRDefault="00FC4F64" w:rsidP="00FC4F64">
      <w:pPr>
        <w:rPr>
          <w:rFonts w:cs="Arial"/>
          <w:szCs w:val="20"/>
        </w:rPr>
      </w:pPr>
      <w:r w:rsidRPr="00EF22F7">
        <w:rPr>
          <w:rFonts w:cs="Arial"/>
          <w:szCs w:val="20"/>
        </w:rPr>
        <w:t>This indicator reflects in more detail one of the components of the aggregate quality indicator, namely the time required by the IB to publish the application. Article 21 (2) (a) of the PCT states that the “… international publication of the international application shall be effected promptly after the expiration of 18 months from the priority date of that application.”</w:t>
      </w:r>
    </w:p>
    <w:p w:rsidR="00FC4F64" w:rsidRPr="00EF22F7" w:rsidRDefault="00FC4F64" w:rsidP="00FC4F64">
      <w:pPr>
        <w:rPr>
          <w:rFonts w:cs="Arial"/>
          <w:szCs w:val="20"/>
        </w:rPr>
      </w:pPr>
    </w:p>
    <w:p w:rsidR="00FC4F64" w:rsidRPr="00C7707C" w:rsidRDefault="00FC4F64" w:rsidP="00FC4F64">
      <w:pPr>
        <w:rPr>
          <w:rFonts w:cs="Arial"/>
          <w:sz w:val="22"/>
          <w:szCs w:val="22"/>
        </w:rPr>
      </w:pPr>
      <w:r>
        <w:rPr>
          <w:rFonts w:cs="Arial"/>
          <w:noProof/>
          <w:sz w:val="22"/>
          <w:szCs w:val="22"/>
        </w:rPr>
        <w:drawing>
          <wp:inline distT="0" distB="0" distL="0" distR="0" wp14:anchorId="47448E35" wp14:editId="2C1059AD">
            <wp:extent cx="5680075" cy="26073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0075" cy="2607310"/>
                    </a:xfrm>
                    <a:prstGeom prst="rect">
                      <a:avLst/>
                    </a:prstGeom>
                    <a:noFill/>
                  </pic:spPr>
                </pic:pic>
              </a:graphicData>
            </a:graphic>
          </wp:inline>
        </w:drawing>
      </w:r>
    </w:p>
    <w:p w:rsidR="00FC4F64" w:rsidRPr="00C7707C" w:rsidRDefault="00FC4F64" w:rsidP="00FC4F64">
      <w:pPr>
        <w:rPr>
          <w:rFonts w:cs="Arial"/>
          <w:b/>
          <w:sz w:val="22"/>
          <w:szCs w:val="22"/>
        </w:rPr>
      </w:pPr>
    </w:p>
    <w:p w:rsidR="00FC4F64" w:rsidRPr="00EF22F7" w:rsidRDefault="00FC4F64" w:rsidP="00FC4F64">
      <w:pPr>
        <w:rPr>
          <w:rFonts w:cs="Arial"/>
          <w:b/>
          <w:szCs w:val="20"/>
        </w:rPr>
      </w:pPr>
      <w:r w:rsidRPr="00EF22F7">
        <w:rPr>
          <w:rFonts w:cs="Arial"/>
          <w:b/>
          <w:szCs w:val="20"/>
        </w:rPr>
        <w:t>Timeliness of republication</w:t>
      </w:r>
    </w:p>
    <w:p w:rsidR="00FC4F64" w:rsidRPr="00EF22F7" w:rsidRDefault="00FC4F64" w:rsidP="00FC4F64">
      <w:pPr>
        <w:rPr>
          <w:rFonts w:cs="Arial"/>
          <w:szCs w:val="20"/>
        </w:rPr>
      </w:pPr>
    </w:p>
    <w:p w:rsidR="00FC4F64" w:rsidRPr="00EF22F7" w:rsidRDefault="00FC4F64" w:rsidP="00FC4F64">
      <w:pPr>
        <w:rPr>
          <w:rFonts w:cs="Arial"/>
          <w:szCs w:val="20"/>
        </w:rPr>
      </w:pPr>
      <w:r w:rsidRPr="00EF22F7">
        <w:rPr>
          <w:rFonts w:cs="Arial"/>
          <w:szCs w:val="20"/>
        </w:rPr>
        <w:t>This indicator reflects in more detail one of the components of the aggregate quality indicator, namely the time required by the IB to republish the application with the ISR. Due to delays in the communication of ISRs by ISAs, a number of international applications are published without the ISR. When the ISR becomes available, the international application needs to be republished with the ISR as soon as possible, so as to complete the international publication.</w:t>
      </w:r>
    </w:p>
    <w:p w:rsidR="00FC4F64" w:rsidRPr="00EF22F7" w:rsidRDefault="00FC4F64" w:rsidP="00FC4F64">
      <w:pPr>
        <w:rPr>
          <w:rFonts w:cs="Arial"/>
          <w:szCs w:val="20"/>
        </w:rPr>
      </w:pPr>
    </w:p>
    <w:p w:rsidR="00FC4F64" w:rsidRPr="00C7707C" w:rsidRDefault="00FC4F64" w:rsidP="00FC4F64">
      <w:pPr>
        <w:rPr>
          <w:rFonts w:cs="Arial"/>
          <w:sz w:val="22"/>
          <w:szCs w:val="22"/>
        </w:rPr>
      </w:pPr>
      <w:r>
        <w:rPr>
          <w:rFonts w:cs="Arial"/>
          <w:noProof/>
          <w:sz w:val="22"/>
          <w:szCs w:val="22"/>
        </w:rPr>
        <w:lastRenderedPageBreak/>
        <w:drawing>
          <wp:inline distT="0" distB="0" distL="0" distR="0" wp14:anchorId="0A4D1433" wp14:editId="4A0C8D8B">
            <wp:extent cx="5778500" cy="2652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78500" cy="2652395"/>
                    </a:xfrm>
                    <a:prstGeom prst="rect">
                      <a:avLst/>
                    </a:prstGeom>
                    <a:noFill/>
                  </pic:spPr>
                </pic:pic>
              </a:graphicData>
            </a:graphic>
          </wp:inline>
        </w:drawing>
      </w:r>
    </w:p>
    <w:p w:rsidR="00FC4F64" w:rsidRPr="00C7707C" w:rsidRDefault="00FC4F64" w:rsidP="00FC4F64">
      <w:pPr>
        <w:rPr>
          <w:rFonts w:cs="Arial"/>
          <w:b/>
          <w:sz w:val="22"/>
          <w:szCs w:val="22"/>
        </w:rPr>
      </w:pPr>
    </w:p>
    <w:p w:rsidR="00FC4F64" w:rsidRPr="00EF22F7" w:rsidRDefault="00FC4F64" w:rsidP="00FC4F64">
      <w:pPr>
        <w:rPr>
          <w:rFonts w:cs="Arial"/>
          <w:b/>
          <w:szCs w:val="20"/>
        </w:rPr>
      </w:pPr>
      <w:r w:rsidRPr="00EF22F7">
        <w:rPr>
          <w:rFonts w:cs="Arial"/>
          <w:b/>
          <w:szCs w:val="20"/>
        </w:rPr>
        <w:t>Quality of translation</w:t>
      </w:r>
    </w:p>
    <w:p w:rsidR="00FC4F64" w:rsidRPr="00EF22F7" w:rsidRDefault="00FC4F64" w:rsidP="00FC4F64">
      <w:pPr>
        <w:rPr>
          <w:rFonts w:cs="Arial"/>
          <w:b/>
          <w:szCs w:val="20"/>
        </w:rPr>
      </w:pPr>
    </w:p>
    <w:p w:rsidR="00FC4F64" w:rsidRPr="00EF22F7" w:rsidRDefault="00FC4F64" w:rsidP="00FC4F64">
      <w:pPr>
        <w:rPr>
          <w:rFonts w:cs="Arial"/>
          <w:szCs w:val="20"/>
        </w:rPr>
      </w:pPr>
      <w:r w:rsidRPr="00EF22F7">
        <w:rPr>
          <w:rFonts w:cs="Arial"/>
          <w:szCs w:val="20"/>
        </w:rPr>
        <w:t>Translations of abstracts and reports prepared under the responsibility of the IB are subjected to a quality control process based on a sample. The results are classified in two categories: translations that are deemed acceptable and those that are deemed not acceptable.  This performance indicator tracks the quality of the translations as reflected in the samples.</w:t>
      </w:r>
    </w:p>
    <w:p w:rsidR="00FC4F64" w:rsidRPr="00EF22F7" w:rsidRDefault="00FC4F64" w:rsidP="00FC4F64">
      <w:pPr>
        <w:rPr>
          <w:rFonts w:cs="Arial"/>
          <w:szCs w:val="20"/>
        </w:rPr>
      </w:pPr>
    </w:p>
    <w:p w:rsidR="00FC4F64" w:rsidRPr="00C7707C" w:rsidRDefault="00FC4F64" w:rsidP="00FC4F64">
      <w:pPr>
        <w:widowControl w:val="0"/>
        <w:autoSpaceDE w:val="0"/>
        <w:autoSpaceDN w:val="0"/>
        <w:adjustRightInd w:val="0"/>
        <w:rPr>
          <w:rFonts w:cs="Arial"/>
          <w:sz w:val="22"/>
          <w:szCs w:val="22"/>
        </w:rPr>
      </w:pPr>
      <w:r>
        <w:rPr>
          <w:rFonts w:cs="Arial"/>
          <w:noProof/>
          <w:sz w:val="22"/>
          <w:szCs w:val="22"/>
        </w:rPr>
        <w:drawing>
          <wp:inline distT="0" distB="0" distL="0" distR="0" wp14:anchorId="5E9EDCFE" wp14:editId="0F90F1C4">
            <wp:extent cx="5895340" cy="3133725"/>
            <wp:effectExtent l="0" t="0" r="0" b="9525"/>
            <wp:docPr id="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95340" cy="3133725"/>
                    </a:xfrm>
                    <a:prstGeom prst="rect">
                      <a:avLst/>
                    </a:prstGeom>
                    <a:noFill/>
                  </pic:spPr>
                </pic:pic>
              </a:graphicData>
            </a:graphic>
          </wp:inline>
        </w:drawing>
      </w:r>
    </w:p>
    <w:p w:rsidR="00FC4F64" w:rsidRPr="00EF22F7" w:rsidRDefault="00FC4F64" w:rsidP="00FC4F64">
      <w:pPr>
        <w:rPr>
          <w:rFonts w:cs="Arial"/>
          <w:b/>
          <w:szCs w:val="20"/>
        </w:rPr>
      </w:pPr>
    </w:p>
    <w:p w:rsidR="00FC4F64" w:rsidRPr="00EF22F7" w:rsidRDefault="00FC4F64" w:rsidP="00FC4F64">
      <w:pPr>
        <w:rPr>
          <w:rFonts w:cs="Arial"/>
          <w:b/>
          <w:szCs w:val="20"/>
        </w:rPr>
      </w:pPr>
      <w:r w:rsidRPr="00EF22F7">
        <w:rPr>
          <w:rFonts w:cs="Arial"/>
          <w:b/>
          <w:szCs w:val="20"/>
        </w:rPr>
        <w:t>Filings at the IB as Receiving Office (RO/IB)</w:t>
      </w:r>
    </w:p>
    <w:p w:rsidR="00FC4F64" w:rsidRPr="00EF22F7" w:rsidRDefault="00FC4F64" w:rsidP="00FC4F64">
      <w:pPr>
        <w:rPr>
          <w:rFonts w:cs="Arial"/>
          <w:b/>
          <w:szCs w:val="20"/>
        </w:rPr>
      </w:pPr>
    </w:p>
    <w:p w:rsidR="00FC4F64" w:rsidRPr="00EF22F7" w:rsidRDefault="00FC4F64" w:rsidP="00FC4F64">
      <w:pPr>
        <w:jc w:val="both"/>
        <w:rPr>
          <w:rFonts w:cs="Arial"/>
          <w:szCs w:val="20"/>
        </w:rPr>
      </w:pPr>
      <w:r w:rsidRPr="00EF22F7">
        <w:rPr>
          <w:rFonts w:cs="Arial"/>
          <w:szCs w:val="20"/>
        </w:rPr>
        <w:t>This table presents PCT filings by the top ten receiving offices over the past five years to 2013.  In principle, a PCT application is filed at the national patent office of the a</w:t>
      </w:r>
      <w:r w:rsidR="007B714B">
        <w:rPr>
          <w:rFonts w:cs="Arial"/>
          <w:szCs w:val="20"/>
        </w:rPr>
        <w:t xml:space="preserve">pplicant’s home country or at </w:t>
      </w:r>
      <w:proofErr w:type="gramStart"/>
      <w:r w:rsidR="007B714B">
        <w:rPr>
          <w:rFonts w:cs="Arial"/>
          <w:szCs w:val="20"/>
        </w:rPr>
        <w:t xml:space="preserve">a </w:t>
      </w:r>
      <w:r w:rsidRPr="00EF22F7">
        <w:rPr>
          <w:rFonts w:cs="Arial"/>
          <w:szCs w:val="20"/>
        </w:rPr>
        <w:t>regional</w:t>
      </w:r>
      <w:proofErr w:type="gramEnd"/>
      <w:r w:rsidRPr="00EF22F7">
        <w:rPr>
          <w:rFonts w:cs="Arial"/>
          <w:szCs w:val="20"/>
        </w:rPr>
        <w:t xml:space="preserve"> patent office acting for the applicant’s home jurisdiction.  The IB is a competent receiving office for applicants from all PCT contracting states. The evolution of the filings at the RO/IB, its ranking in terms of the number of filings among other receiving offices, as well as its market share can be observed in this table.</w:t>
      </w:r>
    </w:p>
    <w:p w:rsidR="00FC4F64" w:rsidRPr="00C7707C" w:rsidRDefault="00FC4F64" w:rsidP="00FC4F64">
      <w:pPr>
        <w:jc w:val="both"/>
        <w:rPr>
          <w:rFonts w:cs="Arial"/>
          <w:sz w:val="22"/>
          <w:szCs w:val="22"/>
        </w:rPr>
      </w:pPr>
    </w:p>
    <w:p w:rsidR="00FC4F64" w:rsidRPr="00C7707C" w:rsidRDefault="00FC4F64" w:rsidP="00FC4F64">
      <w:pPr>
        <w:jc w:val="center"/>
        <w:rPr>
          <w:rFonts w:cs="Arial"/>
          <w:sz w:val="22"/>
          <w:szCs w:val="22"/>
        </w:rPr>
      </w:pPr>
      <w:r>
        <w:rPr>
          <w:rFonts w:cs="Arial"/>
          <w:noProof/>
          <w:sz w:val="22"/>
          <w:szCs w:val="22"/>
        </w:rPr>
        <w:lastRenderedPageBreak/>
        <w:drawing>
          <wp:inline distT="0" distB="0" distL="0" distR="0" wp14:anchorId="4697987C" wp14:editId="40C1B44C">
            <wp:extent cx="5622925" cy="29070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22925" cy="2907030"/>
                    </a:xfrm>
                    <a:prstGeom prst="rect">
                      <a:avLst/>
                    </a:prstGeom>
                    <a:noFill/>
                    <a:ln>
                      <a:noFill/>
                    </a:ln>
                  </pic:spPr>
                </pic:pic>
              </a:graphicData>
            </a:graphic>
          </wp:inline>
        </w:drawing>
      </w:r>
    </w:p>
    <w:p w:rsidR="00FC4F64" w:rsidRPr="00C7707C" w:rsidRDefault="00FC4F64" w:rsidP="00FC4F64">
      <w:pPr>
        <w:rPr>
          <w:rFonts w:cs="Arial"/>
          <w:sz w:val="22"/>
          <w:szCs w:val="22"/>
          <w:lang w:val="en-GB"/>
        </w:rPr>
      </w:pPr>
    </w:p>
    <w:p w:rsidR="00FC4F64" w:rsidRPr="00C7707C" w:rsidRDefault="00FC4F64" w:rsidP="00FC4F64">
      <w:pPr>
        <w:rPr>
          <w:rFonts w:cs="Arial"/>
          <w:sz w:val="22"/>
          <w:szCs w:val="22"/>
        </w:rPr>
      </w:pPr>
    </w:p>
    <w:p w:rsidR="00FC4F64" w:rsidRPr="00C7707C" w:rsidRDefault="00FC4F64" w:rsidP="00FC4F64">
      <w:pPr>
        <w:jc w:val="right"/>
        <w:rPr>
          <w:rFonts w:cs="Arial"/>
          <w:sz w:val="22"/>
          <w:szCs w:val="22"/>
        </w:rPr>
      </w:pPr>
      <w:r w:rsidRPr="00C7707C">
        <w:rPr>
          <w:rFonts w:cs="Arial"/>
          <w:sz w:val="22"/>
          <w:szCs w:val="22"/>
        </w:rPr>
        <w:t>[</w:t>
      </w:r>
      <w:proofErr w:type="gramStart"/>
      <w:r w:rsidRPr="00C7707C">
        <w:rPr>
          <w:rFonts w:cs="Arial"/>
          <w:sz w:val="22"/>
          <w:szCs w:val="22"/>
        </w:rPr>
        <w:t>end</w:t>
      </w:r>
      <w:proofErr w:type="gramEnd"/>
      <w:r w:rsidRPr="00C7707C">
        <w:rPr>
          <w:rFonts w:cs="Arial"/>
          <w:sz w:val="22"/>
          <w:szCs w:val="22"/>
        </w:rPr>
        <w:t xml:space="preserve"> of Annex]</w:t>
      </w:r>
    </w:p>
    <w:p w:rsidR="00FC4F64" w:rsidRPr="00C7707C" w:rsidRDefault="00FC4F64" w:rsidP="00FC4F64">
      <w:pPr>
        <w:rPr>
          <w:rFonts w:cs="Arial"/>
          <w:sz w:val="22"/>
          <w:szCs w:val="22"/>
        </w:rPr>
      </w:pPr>
    </w:p>
    <w:p w:rsidR="00EF22F7" w:rsidRDefault="00EF22F7">
      <w:pPr>
        <w:rPr>
          <w:szCs w:val="20"/>
        </w:rPr>
      </w:pPr>
      <w:r>
        <w:br w:type="page"/>
      </w:r>
    </w:p>
    <w:p w:rsidR="00205A3D" w:rsidRPr="00305272" w:rsidRDefault="00305272" w:rsidP="00305272">
      <w:pPr>
        <w:pStyle w:val="Heading3"/>
      </w:pPr>
      <w:bookmarkStart w:id="26" w:name="_Toc393956048"/>
      <w:r w:rsidRPr="00305272">
        <w:lastRenderedPageBreak/>
        <w:t>Program 6</w:t>
      </w:r>
      <w:r w:rsidRPr="00305272">
        <w:tab/>
        <w:t>Madrid and Lisbon Systems</w:t>
      </w:r>
      <w:bookmarkEnd w:id="26"/>
    </w:p>
    <w:p w:rsidR="00205A3D" w:rsidRPr="0027745B" w:rsidRDefault="00205A3D" w:rsidP="00205A3D">
      <w:pPr>
        <w:ind w:left="2268" w:hanging="2268"/>
        <w:rPr>
          <w:rFonts w:cs="Arial"/>
          <w:sz w:val="22"/>
          <w:szCs w:val="22"/>
        </w:rPr>
      </w:pPr>
    </w:p>
    <w:p w:rsidR="00205A3D" w:rsidRPr="001B4BD2" w:rsidRDefault="00205A3D" w:rsidP="00205A3D">
      <w:pPr>
        <w:ind w:left="2268" w:hanging="2268"/>
        <w:rPr>
          <w:rFonts w:cs="Arial"/>
          <w:b/>
          <w:sz w:val="22"/>
          <w:szCs w:val="22"/>
        </w:rPr>
      </w:pPr>
      <w:r w:rsidRPr="001B4BD2">
        <w:rPr>
          <w:rFonts w:cs="Arial"/>
          <w:b/>
          <w:sz w:val="22"/>
          <w:szCs w:val="22"/>
        </w:rPr>
        <w:t>Program Manager</w:t>
      </w:r>
      <w:r w:rsidRPr="001B4BD2">
        <w:rPr>
          <w:rFonts w:cs="Arial"/>
          <w:b/>
          <w:sz w:val="22"/>
          <w:szCs w:val="22"/>
        </w:rPr>
        <w:tab/>
      </w:r>
      <w:r w:rsidRPr="001B4BD2">
        <w:rPr>
          <w:rFonts w:cs="Arial"/>
          <w:b/>
          <w:sz w:val="22"/>
          <w:szCs w:val="22"/>
        </w:rPr>
        <w:tab/>
      </w:r>
      <w:r w:rsidR="00F21199">
        <w:rPr>
          <w:rFonts w:cs="Arial"/>
          <w:b/>
          <w:bCs/>
          <w:sz w:val="22"/>
          <w:szCs w:val="22"/>
        </w:rPr>
        <w:t>Ms. B.</w:t>
      </w:r>
      <w:r w:rsidRPr="001B4BD2">
        <w:rPr>
          <w:rFonts w:cs="Arial"/>
          <w:b/>
          <w:bCs/>
          <w:sz w:val="22"/>
          <w:szCs w:val="22"/>
        </w:rPr>
        <w:t xml:space="preserve"> Wang</w:t>
      </w:r>
    </w:p>
    <w:p w:rsidR="00205A3D" w:rsidRPr="0005539E" w:rsidRDefault="00205A3D" w:rsidP="00205A3D">
      <w:pPr>
        <w:rPr>
          <w:szCs w:val="20"/>
        </w:rPr>
      </w:pPr>
    </w:p>
    <w:p w:rsidR="00205A3D" w:rsidRPr="0005539E" w:rsidRDefault="00205A3D" w:rsidP="00205A3D">
      <w:pPr>
        <w:rPr>
          <w:bCs/>
          <w:szCs w:val="20"/>
        </w:rPr>
      </w:pPr>
    </w:p>
    <w:p w:rsidR="00205A3D" w:rsidRPr="005E6AFC" w:rsidRDefault="00205A3D" w:rsidP="00205A3D">
      <w:pPr>
        <w:rPr>
          <w:rFonts w:cs="Arial"/>
          <w:sz w:val="22"/>
          <w:szCs w:val="22"/>
        </w:rPr>
      </w:pPr>
      <w:r w:rsidRPr="00CE7398">
        <w:rPr>
          <w:bCs/>
          <w:sz w:val="22"/>
          <w:szCs w:val="22"/>
        </w:rPr>
        <w:t>ACHIEVEMENTS IN THE 2012/13 BIENNIUM</w:t>
      </w:r>
    </w:p>
    <w:p w:rsidR="00205A3D" w:rsidRPr="0005539E" w:rsidRDefault="00205A3D" w:rsidP="00205A3D">
      <w:pPr>
        <w:rPr>
          <w:rFonts w:cs="Arial"/>
          <w:sz w:val="22"/>
          <w:szCs w:val="22"/>
        </w:rPr>
      </w:pPr>
    </w:p>
    <w:p w:rsidR="00205A3D" w:rsidRPr="00CD26D6" w:rsidRDefault="00901768" w:rsidP="00205A3D">
      <w:pPr>
        <w:rPr>
          <w:rFonts w:cs="Arial"/>
          <w:bCs/>
          <w:color w:val="000000"/>
          <w:szCs w:val="20"/>
        </w:rPr>
      </w:pPr>
      <w:r w:rsidRPr="00901768">
        <w:rPr>
          <w:rFonts w:cs="Arial"/>
          <w:bCs/>
          <w:color w:val="000000"/>
          <w:szCs w:val="20"/>
        </w:rPr>
        <w:t>THE MADRID SYSTEM</w:t>
      </w:r>
    </w:p>
    <w:p w:rsidR="00205A3D" w:rsidRPr="0005539E" w:rsidRDefault="00205A3D" w:rsidP="00205A3D">
      <w:pPr>
        <w:rPr>
          <w:rFonts w:cs="Arial"/>
          <w:bCs/>
          <w:color w:val="000000"/>
          <w:sz w:val="16"/>
          <w:szCs w:val="16"/>
        </w:rPr>
      </w:pPr>
    </w:p>
    <w:p w:rsidR="00205A3D" w:rsidRPr="0027745B" w:rsidRDefault="00205A3D" w:rsidP="00CD26D6">
      <w:pPr>
        <w:pStyle w:val="ListParagraph"/>
        <w:numPr>
          <w:ilvl w:val="0"/>
          <w:numId w:val="17"/>
        </w:numPr>
        <w:tabs>
          <w:tab w:val="left" w:pos="709"/>
        </w:tabs>
        <w:ind w:left="0" w:firstLine="0"/>
        <w:jc w:val="both"/>
        <w:rPr>
          <w:rFonts w:cs="Arial"/>
          <w:bCs/>
          <w:color w:val="000000"/>
        </w:rPr>
      </w:pPr>
      <w:r w:rsidRPr="0027745B">
        <w:t>The Madrid</w:t>
      </w:r>
      <w:r w:rsidRPr="0027745B">
        <w:rPr>
          <w:rFonts w:cs="Arial"/>
          <w:bCs/>
          <w:color w:val="000000"/>
        </w:rPr>
        <w:t xml:space="preserve"> System experienced significant growth, both in terms of members to the Madrid Protocol and regarding the use of the </w:t>
      </w:r>
      <w:r w:rsidR="00EC1008">
        <w:rPr>
          <w:rFonts w:cs="Arial"/>
          <w:bCs/>
          <w:color w:val="000000"/>
        </w:rPr>
        <w:t>S</w:t>
      </w:r>
      <w:r w:rsidRPr="0027745B">
        <w:rPr>
          <w:rFonts w:cs="Arial"/>
          <w:bCs/>
          <w:color w:val="000000"/>
        </w:rPr>
        <w:t>ystem.</w:t>
      </w:r>
    </w:p>
    <w:p w:rsidR="00205A3D" w:rsidRPr="0005539E" w:rsidRDefault="00205A3D" w:rsidP="004C7D99">
      <w:pPr>
        <w:pStyle w:val="ListParagraph"/>
        <w:tabs>
          <w:tab w:val="left" w:pos="709"/>
        </w:tabs>
        <w:ind w:left="0"/>
        <w:rPr>
          <w:rFonts w:cs="Arial"/>
          <w:bCs/>
          <w:color w:val="000000"/>
          <w:sz w:val="16"/>
          <w:szCs w:val="16"/>
        </w:rPr>
      </w:pPr>
    </w:p>
    <w:p w:rsidR="00205A3D" w:rsidRPr="0027745B" w:rsidRDefault="00205A3D" w:rsidP="004C7D99">
      <w:pPr>
        <w:pStyle w:val="ListParagraph"/>
        <w:numPr>
          <w:ilvl w:val="0"/>
          <w:numId w:val="17"/>
        </w:numPr>
        <w:tabs>
          <w:tab w:val="left" w:pos="709"/>
        </w:tabs>
        <w:ind w:left="0" w:firstLine="0"/>
        <w:jc w:val="both"/>
      </w:pPr>
      <w:r w:rsidRPr="0027745B">
        <w:t xml:space="preserve">In 2012, the accessions by Colombia, Mexico, New Zealand and the Philippines represented an important milestone in the further geographical expansion of the </w:t>
      </w:r>
      <w:r w:rsidR="00601859">
        <w:t>Madrid System</w:t>
      </w:r>
      <w:r w:rsidRPr="0027745B">
        <w:t xml:space="preserve">, in particular with the entry of two countries from Latin America.  The geographical coverage of the </w:t>
      </w:r>
      <w:r w:rsidR="00601859">
        <w:t>Madrid System</w:t>
      </w:r>
      <w:r w:rsidRPr="0027745B">
        <w:t xml:space="preserve"> was further increased in 2013 by the accessions of India, Rwanda and Tunisia.  At the end of 2013, the </w:t>
      </w:r>
      <w:r w:rsidR="00601859">
        <w:t>Madrid System</w:t>
      </w:r>
      <w:r w:rsidRPr="0027745B">
        <w:t xml:space="preserve"> had 92 members offering trademark holders the possibility to obtain protection for their branded products and services in the territories covered by its 91 member countries and one intergovernmental organization member (the EU).  Of these 92 members, 91 are members of the Madrid Protocol and one country remains in the Agreement only.  </w:t>
      </w:r>
    </w:p>
    <w:p w:rsidR="00205A3D" w:rsidRPr="0005539E" w:rsidRDefault="00205A3D" w:rsidP="004C7D99">
      <w:pPr>
        <w:pStyle w:val="ListParagraph"/>
        <w:tabs>
          <w:tab w:val="left" w:pos="709"/>
        </w:tabs>
        <w:ind w:left="0"/>
        <w:rPr>
          <w:rFonts w:cs="Arial"/>
          <w:bCs/>
          <w:color w:val="000000"/>
          <w:sz w:val="16"/>
          <w:szCs w:val="16"/>
        </w:rPr>
      </w:pPr>
    </w:p>
    <w:p w:rsidR="00205A3D" w:rsidRPr="0027745B" w:rsidRDefault="00205A3D" w:rsidP="004C7D99">
      <w:pPr>
        <w:pStyle w:val="ListParagraph"/>
        <w:numPr>
          <w:ilvl w:val="0"/>
          <w:numId w:val="17"/>
        </w:numPr>
        <w:tabs>
          <w:tab w:val="left" w:pos="709"/>
        </w:tabs>
        <w:ind w:left="0" w:firstLine="0"/>
        <w:jc w:val="both"/>
        <w:rPr>
          <w:lang w:eastAsia="ko-KR"/>
        </w:rPr>
      </w:pPr>
      <w:r w:rsidRPr="0027745B">
        <w:t xml:space="preserve">The promotion of the Madrid System was intensified to current as well as potential members with an increased focus on countries where the Madrid System is deemed under-utilized. </w:t>
      </w:r>
      <w:r>
        <w:t xml:space="preserve"> </w:t>
      </w:r>
      <w:r w:rsidRPr="0027745B">
        <w:t xml:space="preserve">Particular efforts to encourage better use of the System by existing or potential users focused on </w:t>
      </w:r>
      <w:r w:rsidRPr="0027745B">
        <w:rPr>
          <w:bCs/>
        </w:rPr>
        <w:t>China, Japan, the Russian Federation, the United States of America, as well as the ASEAN and European regions</w:t>
      </w:r>
      <w:r w:rsidRPr="0027745B">
        <w:t xml:space="preserve">.  </w:t>
      </w:r>
      <w:r w:rsidRPr="0027745B">
        <w:rPr>
          <w:lang w:eastAsia="ko-KR"/>
        </w:rPr>
        <w:t xml:space="preserve"> As a way to further engage stakeholders with the most up-to-date information and developments about the Madrid System, </w:t>
      </w:r>
      <w:r w:rsidRPr="0027745B">
        <w:t xml:space="preserve">The Madrid Highlights, </w:t>
      </w:r>
      <w:r w:rsidRPr="0027745B">
        <w:rPr>
          <w:lang w:eastAsia="ko-KR"/>
        </w:rPr>
        <w:t xml:space="preserve">a quarterly newsletter about the Madrid System, was </w:t>
      </w:r>
      <w:r w:rsidRPr="0027745B">
        <w:t xml:space="preserve">introduced in 2012, and as of 2013, is available in the six official UN languages. </w:t>
      </w:r>
    </w:p>
    <w:p w:rsidR="00205A3D" w:rsidRPr="0005539E" w:rsidRDefault="00205A3D" w:rsidP="004C7D99">
      <w:pPr>
        <w:tabs>
          <w:tab w:val="left" w:pos="709"/>
        </w:tabs>
        <w:jc w:val="both"/>
        <w:rPr>
          <w:rFonts w:cs="Arial"/>
          <w:bCs/>
          <w:sz w:val="16"/>
          <w:szCs w:val="16"/>
        </w:rPr>
      </w:pPr>
    </w:p>
    <w:p w:rsidR="00205A3D" w:rsidRPr="0027745B" w:rsidRDefault="00205A3D" w:rsidP="004C7D99">
      <w:pPr>
        <w:pStyle w:val="ListParagraph"/>
        <w:numPr>
          <w:ilvl w:val="0"/>
          <w:numId w:val="17"/>
        </w:numPr>
        <w:tabs>
          <w:tab w:val="left" w:pos="709"/>
        </w:tabs>
        <w:ind w:left="0" w:firstLine="0"/>
        <w:jc w:val="both"/>
        <w:rPr>
          <w:rFonts w:cs="Arial"/>
        </w:rPr>
      </w:pPr>
      <w:r w:rsidRPr="0027745B">
        <w:rPr>
          <w:rFonts w:cs="Arial"/>
        </w:rPr>
        <w:t>The IB assisted a number of States, as well as intergovernmental organizations, in their preparatory work towards a future potential accession to the Madrid Protocol, in particular Algeria, Barbados</w:t>
      </w:r>
      <w:r>
        <w:rPr>
          <w:rFonts w:cs="Arial"/>
        </w:rPr>
        <w:t>,</w:t>
      </w:r>
      <w:r w:rsidRPr="0027745B">
        <w:rPr>
          <w:rFonts w:cs="Arial"/>
        </w:rPr>
        <w:t xml:space="preserve"> Brunei Darussalam, Cambodia, Colombia, Costa Rica, </w:t>
      </w:r>
      <w:r w:rsidR="0000237A">
        <w:rPr>
          <w:rFonts w:cs="Arial"/>
        </w:rPr>
        <w:t xml:space="preserve">the </w:t>
      </w:r>
      <w:r w:rsidRPr="0027745B">
        <w:rPr>
          <w:rFonts w:cs="Arial"/>
        </w:rPr>
        <w:t>Dominican Republic, the Gambia, India, Indonesia, Jamaica, Malaysia, Mexico, New Zealand, Nigeria, the Philippines, South Africa, Sri</w:t>
      </w:r>
      <w:r>
        <w:rPr>
          <w:rFonts w:cs="Arial"/>
        </w:rPr>
        <w:t> </w:t>
      </w:r>
      <w:r w:rsidRPr="0027745B">
        <w:rPr>
          <w:rFonts w:cs="Arial"/>
        </w:rPr>
        <w:t>Lanka, Pakistan, Thailand, Trinidad and Tobago, Tunisia, Zimbabwe and two intergovernmental organizations</w:t>
      </w:r>
      <w:r>
        <w:rPr>
          <w:rFonts w:cs="Arial"/>
        </w:rPr>
        <w:t xml:space="preserve"> </w:t>
      </w:r>
      <w:r w:rsidRPr="0027745B">
        <w:rPr>
          <w:rFonts w:cs="Arial"/>
        </w:rPr>
        <w:t xml:space="preserve">- the African Regional Intellectual Property Organisation (ARIPO) and the </w:t>
      </w:r>
      <w:r w:rsidRPr="0027745B">
        <w:rPr>
          <w:rFonts w:cs="Arial"/>
          <w:i/>
        </w:rPr>
        <w:t>Organisation Africaine de la Propriété Intellectuelle</w:t>
      </w:r>
      <w:r w:rsidRPr="0027745B">
        <w:rPr>
          <w:rFonts w:cs="Arial"/>
        </w:rPr>
        <w:t xml:space="preserve"> (OAPI). </w:t>
      </w:r>
      <w:r>
        <w:rPr>
          <w:rFonts w:cs="Arial"/>
        </w:rPr>
        <w:t xml:space="preserve"> </w:t>
      </w:r>
      <w:r w:rsidRPr="0027745B">
        <w:rPr>
          <w:rFonts w:cs="Arial"/>
        </w:rPr>
        <w:t>These potential future accessions will further enhance the geographical scope of the Madrid System and make the System more attractive for users, providing a simple, efficient and cost-effective option for trademark holders to obtain and maintain protection for their trademarks in an expanded geographical area.</w:t>
      </w:r>
    </w:p>
    <w:p w:rsidR="00205A3D" w:rsidRPr="0005539E" w:rsidRDefault="00205A3D" w:rsidP="00205A3D">
      <w:pPr>
        <w:jc w:val="both"/>
        <w:rPr>
          <w:rFonts w:cs="Arial"/>
          <w:bCs/>
          <w:sz w:val="16"/>
          <w:szCs w:val="16"/>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cs="Arial"/>
          <w:bCs/>
        </w:rPr>
        <w:t>In addition, the IB organized four workshops for IP Offices, mainly focusing on developing countries and LDCs, providing training on operational procedures in the Madrid System.</w:t>
      </w:r>
    </w:p>
    <w:p w:rsidR="00205A3D" w:rsidRPr="0005539E" w:rsidRDefault="00205A3D" w:rsidP="004C7D99">
      <w:pPr>
        <w:tabs>
          <w:tab w:val="left" w:pos="709"/>
        </w:tabs>
        <w:jc w:val="both"/>
        <w:rPr>
          <w:rFonts w:cs="Arial"/>
          <w:bCs/>
          <w:sz w:val="16"/>
          <w:szCs w:val="16"/>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cs="Arial"/>
          <w:bCs/>
        </w:rPr>
        <w:t xml:space="preserve">The year 2013 </w:t>
      </w:r>
      <w:r w:rsidRPr="0027745B">
        <w:rPr>
          <w:rFonts w:cs="Arial"/>
        </w:rPr>
        <w:t>saw the third consecutive year of continued growth of the Madrid System, in terms of filings of international applications, subsequent designations and renewals.  In 2013, the International Bureau received 46,829 international applications, which represented a 6.4 per cent increase compared to 2012.  The International Bureau recorded 44,414 applications, which represented a 5.9 per cent increase compared to 2012.  The increased use of the System was also confirmed by the number of decisions by Offices of the Contracting Parties, which increased by 4.5 per cent in 2013 (456,877) compared to 2012 (437,082).  In addition, renewals of international registrations, increased by 5.3</w:t>
      </w:r>
      <w:r w:rsidR="0000237A">
        <w:rPr>
          <w:rFonts w:cs="Arial"/>
        </w:rPr>
        <w:t> </w:t>
      </w:r>
      <w:r w:rsidRPr="0027745B">
        <w:rPr>
          <w:rFonts w:cs="Arial"/>
        </w:rPr>
        <w:t>per</w:t>
      </w:r>
      <w:r w:rsidR="0000237A">
        <w:rPr>
          <w:rFonts w:cs="Arial"/>
        </w:rPr>
        <w:t> </w:t>
      </w:r>
      <w:r w:rsidRPr="0027745B">
        <w:rPr>
          <w:rFonts w:cs="Arial"/>
        </w:rPr>
        <w:t>cent compared to 2012.</w:t>
      </w:r>
    </w:p>
    <w:p w:rsidR="00205A3D" w:rsidRPr="0005539E" w:rsidRDefault="00205A3D" w:rsidP="004C7D99">
      <w:pPr>
        <w:tabs>
          <w:tab w:val="left" w:pos="709"/>
        </w:tabs>
        <w:jc w:val="both"/>
        <w:rPr>
          <w:rFonts w:cs="Arial"/>
          <w:b/>
          <w:bCs/>
          <w:sz w:val="16"/>
          <w:szCs w:val="16"/>
        </w:rPr>
      </w:pPr>
    </w:p>
    <w:p w:rsidR="00205A3D" w:rsidRDefault="00205A3D" w:rsidP="004C7D99">
      <w:pPr>
        <w:pStyle w:val="ListParagraph"/>
        <w:numPr>
          <w:ilvl w:val="0"/>
          <w:numId w:val="17"/>
        </w:numPr>
        <w:tabs>
          <w:tab w:val="left" w:pos="709"/>
        </w:tabs>
        <w:ind w:left="0" w:firstLine="0"/>
        <w:jc w:val="both"/>
        <w:rPr>
          <w:rFonts w:cs="Arial"/>
        </w:rPr>
      </w:pPr>
      <w:r w:rsidRPr="0027745B">
        <w:rPr>
          <w:rFonts w:cs="Arial"/>
        </w:rPr>
        <w:t xml:space="preserve">Of the total applications received in 2012 and 2013, respectively 7 and 6.8 per cent originated from developing countries and LDCs.  </w:t>
      </w:r>
    </w:p>
    <w:p w:rsidR="00205A3D" w:rsidRDefault="00205A3D" w:rsidP="004C7D99">
      <w:pPr>
        <w:pStyle w:val="ListParagraph"/>
        <w:tabs>
          <w:tab w:val="left" w:pos="709"/>
        </w:tabs>
        <w:ind w:left="0"/>
        <w:jc w:val="both"/>
        <w:rPr>
          <w:rFonts w:cs="Arial"/>
        </w:rPr>
      </w:pPr>
    </w:p>
    <w:p w:rsidR="00205A3D" w:rsidRPr="0027745B" w:rsidRDefault="00205A3D" w:rsidP="004C7D99">
      <w:pPr>
        <w:pStyle w:val="ListParagraph"/>
        <w:numPr>
          <w:ilvl w:val="0"/>
          <w:numId w:val="17"/>
        </w:numPr>
        <w:tabs>
          <w:tab w:val="left" w:pos="709"/>
        </w:tabs>
        <w:ind w:left="0" w:firstLine="0"/>
        <w:jc w:val="both"/>
        <w:rPr>
          <w:rFonts w:cs="Arial"/>
        </w:rPr>
      </w:pPr>
      <w:r w:rsidRPr="00127239">
        <w:rPr>
          <w:rFonts w:cs="Arial"/>
        </w:rPr>
        <w:t xml:space="preserve">The average processing time for new applications amounted to 24 working days in 2013.  Irregularities amounted to 32.4 per cent of the total number of applications, of which 25.9 per cent pertained to classification issues.  The length of applications, and in particular the lists of goods and services, continued to grow in the biennium.  The number of words to classify and translate increased from 5.5 million words in 2010 to 9.4 million words in 2013. </w:t>
      </w:r>
      <w:r>
        <w:rPr>
          <w:rFonts w:cs="Arial"/>
        </w:rPr>
        <w:t xml:space="preserve"> </w:t>
      </w:r>
      <w:r w:rsidRPr="00127239">
        <w:rPr>
          <w:rFonts w:cs="Arial"/>
        </w:rPr>
        <w:t>The average</w:t>
      </w:r>
      <w:r w:rsidRPr="00127239">
        <w:t xml:space="preserve"> number of words in a list of goods and services increased from 70 in 1999 to 170 in 2011 to over 202 words in 2013</w:t>
      </w:r>
      <w:r>
        <w:t>.</w:t>
      </w:r>
    </w:p>
    <w:p w:rsidR="00205A3D" w:rsidRPr="0007045F" w:rsidRDefault="00205A3D" w:rsidP="00205A3D">
      <w:pPr>
        <w:tabs>
          <w:tab w:val="left" w:pos="567"/>
        </w:tabs>
        <w:jc w:val="both"/>
        <w:rPr>
          <w:rFonts w:cs="Arial"/>
          <w:szCs w:val="20"/>
        </w:rPr>
      </w:pPr>
    </w:p>
    <w:p w:rsidR="00205A3D" w:rsidRPr="0027745B" w:rsidRDefault="00205A3D" w:rsidP="004C7D99">
      <w:pPr>
        <w:pStyle w:val="ListParagraph"/>
        <w:numPr>
          <w:ilvl w:val="0"/>
          <w:numId w:val="17"/>
        </w:numPr>
        <w:tabs>
          <w:tab w:val="left" w:pos="709"/>
        </w:tabs>
        <w:ind w:left="0" w:firstLine="0"/>
        <w:jc w:val="both"/>
        <w:rPr>
          <w:rFonts w:eastAsia="MS Mincho"/>
        </w:rPr>
      </w:pPr>
      <w:r w:rsidRPr="0027745B">
        <w:rPr>
          <w:rFonts w:eastAsia="MS Mincho"/>
        </w:rPr>
        <w:lastRenderedPageBreak/>
        <w:t>Phase II of the IT Modernization Program involves the migration of all Madrid and Hague business functions from their legacy technology to a modern Internet ready and eBusiness</w:t>
      </w:r>
      <w:r>
        <w:rPr>
          <w:rFonts w:eastAsia="MS Mincho"/>
        </w:rPr>
        <w:t xml:space="preserve"> </w:t>
      </w:r>
      <w:r w:rsidRPr="0027745B">
        <w:rPr>
          <w:rFonts w:eastAsia="MS Mincho"/>
        </w:rPr>
        <w:t xml:space="preserve">enabled, technical architecture.  Phase II execution progressed to an advanced stage during the biennium. </w:t>
      </w:r>
      <w:r>
        <w:rPr>
          <w:rFonts w:eastAsia="MS Mincho"/>
        </w:rPr>
        <w:t xml:space="preserve"> </w:t>
      </w:r>
      <w:r w:rsidRPr="0027745B">
        <w:rPr>
          <w:rFonts w:eastAsia="MS Mincho"/>
        </w:rPr>
        <w:t>Following deployment, a subsequent Phase III of the IT Modernization Program will enhance the end-user interface, optimize workflows and streamline internal procedures.</w:t>
      </w:r>
    </w:p>
    <w:p w:rsidR="00205A3D" w:rsidRPr="0027745B" w:rsidRDefault="00205A3D" w:rsidP="004C7D99">
      <w:pPr>
        <w:tabs>
          <w:tab w:val="left" w:pos="709"/>
        </w:tabs>
        <w:jc w:val="both"/>
        <w:rPr>
          <w:rFonts w:cs="Arial"/>
          <w:szCs w:val="20"/>
        </w:rPr>
      </w:pPr>
    </w:p>
    <w:p w:rsidR="00205A3D" w:rsidRPr="0027745B" w:rsidRDefault="00205A3D" w:rsidP="004C7D99">
      <w:pPr>
        <w:pStyle w:val="ListParagraph"/>
        <w:numPr>
          <w:ilvl w:val="0"/>
          <w:numId w:val="17"/>
        </w:numPr>
        <w:tabs>
          <w:tab w:val="left" w:pos="709"/>
        </w:tabs>
        <w:ind w:left="0" w:firstLine="0"/>
        <w:jc w:val="both"/>
        <w:rPr>
          <w:rFonts w:cs="Arial"/>
        </w:rPr>
      </w:pPr>
      <w:r w:rsidRPr="0027745B">
        <w:rPr>
          <w:rFonts w:cs="Arial"/>
        </w:rPr>
        <w:t xml:space="preserve">The suite of Internet-based IT tools, </w:t>
      </w:r>
      <w:r w:rsidRPr="0027745B">
        <w:rPr>
          <w:rFonts w:eastAsia="MS Mincho"/>
          <w:i/>
          <w:iCs/>
          <w:lang w:eastAsia="ja-JP"/>
        </w:rPr>
        <w:t>Madrid Electronic Alert</w:t>
      </w:r>
      <w:r w:rsidRPr="0027745B">
        <w:rPr>
          <w:rFonts w:eastAsia="MS Mincho"/>
          <w:lang w:eastAsia="ja-JP"/>
        </w:rPr>
        <w:t xml:space="preserve"> (MEA),</w:t>
      </w:r>
      <w:r w:rsidRPr="0027745B">
        <w:rPr>
          <w:rFonts w:eastAsia="MS Mincho"/>
          <w:i/>
          <w:iCs/>
          <w:lang w:eastAsia="ja-JP"/>
        </w:rPr>
        <w:t xml:space="preserve"> Madrid Real-time Status</w:t>
      </w:r>
      <w:r w:rsidRPr="0027745B">
        <w:rPr>
          <w:rFonts w:eastAsia="MS Mincho"/>
          <w:lang w:eastAsia="ja-JP"/>
        </w:rPr>
        <w:t xml:space="preserve"> (MRS) and</w:t>
      </w:r>
      <w:r w:rsidRPr="0027745B">
        <w:rPr>
          <w:rFonts w:eastAsia="MS Mincho"/>
          <w:i/>
          <w:iCs/>
          <w:lang w:eastAsia="ja-JP"/>
        </w:rPr>
        <w:t xml:space="preserve"> Madrid Portfolio Manager</w:t>
      </w:r>
      <w:r w:rsidRPr="0027745B">
        <w:rPr>
          <w:rFonts w:eastAsia="MS Mincho"/>
          <w:lang w:eastAsia="ja-JP"/>
        </w:rPr>
        <w:t xml:space="preserve"> (MPM) enjoyed increased usage and improved functionality. </w:t>
      </w:r>
      <w:r>
        <w:rPr>
          <w:rFonts w:eastAsia="MS Mincho"/>
          <w:lang w:eastAsia="ja-JP"/>
        </w:rPr>
        <w:t xml:space="preserve"> </w:t>
      </w:r>
      <w:r w:rsidRPr="0027745B">
        <w:rPr>
          <w:rFonts w:cs="Arial"/>
        </w:rPr>
        <w:t xml:space="preserve">The </w:t>
      </w:r>
      <w:r w:rsidRPr="0027745B">
        <w:rPr>
          <w:rFonts w:cs="Arial"/>
          <w:i/>
        </w:rPr>
        <w:t>Madrid Goods and Services Manager</w:t>
      </w:r>
      <w:r w:rsidRPr="0027745B">
        <w:rPr>
          <w:rFonts w:cs="Arial"/>
        </w:rPr>
        <w:t xml:space="preserve"> (MGS) continued to be further enhanced in line with operational requirements including full compliance with the Nice Classification.</w:t>
      </w:r>
    </w:p>
    <w:p w:rsidR="00205A3D" w:rsidRPr="0027745B" w:rsidRDefault="00205A3D" w:rsidP="004C7D99">
      <w:pPr>
        <w:tabs>
          <w:tab w:val="left" w:pos="709"/>
        </w:tabs>
        <w:jc w:val="both"/>
        <w:rPr>
          <w:rFonts w:cs="Arial"/>
          <w:szCs w:val="20"/>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eastAsia="MS Mincho"/>
        </w:rPr>
        <w:t xml:space="preserve">As regards the legal development of the Madrid System, the discussions in the Working Group continued throughout the biennium, exploring possibilities for making the System more efficient, flexible and user-friendly </w:t>
      </w:r>
    </w:p>
    <w:p w:rsidR="00205A3D" w:rsidRPr="0027745B" w:rsidRDefault="00205A3D" w:rsidP="00205A3D">
      <w:pPr>
        <w:jc w:val="both"/>
        <w:rPr>
          <w:rFonts w:cs="Arial"/>
          <w:bCs/>
          <w:szCs w:val="20"/>
        </w:rPr>
      </w:pPr>
    </w:p>
    <w:p w:rsidR="00205A3D" w:rsidRPr="00CD26D6" w:rsidRDefault="00901768" w:rsidP="00205A3D">
      <w:pPr>
        <w:jc w:val="both"/>
        <w:rPr>
          <w:rFonts w:cs="Arial"/>
          <w:bCs/>
          <w:szCs w:val="22"/>
        </w:rPr>
      </w:pPr>
      <w:r w:rsidRPr="00CD26D6">
        <w:rPr>
          <w:rFonts w:cs="Arial"/>
          <w:bCs/>
          <w:szCs w:val="22"/>
        </w:rPr>
        <w:t>THE LISBON SYSTEM</w:t>
      </w:r>
    </w:p>
    <w:p w:rsidR="00205A3D" w:rsidRPr="0027745B" w:rsidRDefault="00205A3D" w:rsidP="00205A3D">
      <w:pPr>
        <w:jc w:val="both"/>
        <w:rPr>
          <w:rFonts w:cs="Arial"/>
          <w:bCs/>
          <w:szCs w:val="20"/>
        </w:rPr>
      </w:pPr>
    </w:p>
    <w:p w:rsidR="00205A3D" w:rsidRPr="0027745B" w:rsidRDefault="00205A3D" w:rsidP="004C7D99">
      <w:pPr>
        <w:pStyle w:val="ListParagraph"/>
        <w:numPr>
          <w:ilvl w:val="0"/>
          <w:numId w:val="17"/>
        </w:numPr>
        <w:tabs>
          <w:tab w:val="left" w:pos="709"/>
        </w:tabs>
        <w:ind w:left="0" w:firstLine="0"/>
      </w:pPr>
      <w:r w:rsidRPr="0027745B">
        <w:t xml:space="preserve">The Membership of the Lisbon Agreement increased to 28, following the accession of Bosnia and Herzegovina in April 2013.  </w:t>
      </w:r>
    </w:p>
    <w:p w:rsidR="00205A3D" w:rsidRPr="0027745B" w:rsidRDefault="00205A3D" w:rsidP="004C7D99">
      <w:pPr>
        <w:tabs>
          <w:tab w:val="left" w:pos="709"/>
        </w:tabs>
        <w:jc w:val="both"/>
        <w:rPr>
          <w:rFonts w:cs="Arial"/>
          <w:bCs/>
          <w:szCs w:val="20"/>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cs="Arial"/>
          <w:bCs/>
        </w:rPr>
        <w:t xml:space="preserve">The Assembly of the Lisbon Union mandated the Working Group on the Development of the Lisbon System, in 2009, to engage in a full review of the Lisbon System aimed at making the system more attractive for users and prospective new Members, while preserving its principles and objectives.  Under this mandate, the Working Group, which is open to all WIPO members and observers, is to explore what changes to the </w:t>
      </w:r>
      <w:r w:rsidR="00601859">
        <w:rPr>
          <w:rFonts w:cs="Arial"/>
          <w:bCs/>
        </w:rPr>
        <w:t>Lisbon System</w:t>
      </w:r>
      <w:r w:rsidRPr="0027745B">
        <w:rPr>
          <w:rFonts w:cs="Arial"/>
          <w:bCs/>
        </w:rPr>
        <w:t xml:space="preserve"> would be necessary to make an increase of its membership likely.  In view of the considerable progress made at the sessions of the Working Group in December 2012 and April/May 2013 on a draft Revised Lisbon Agreement and draft Regulations under such a Revised Lisbon Agreement, the Assembly approved the convening of a Diplomatic Conference for the Adoption of a Revised Lisbon Agreement on Appellations of Origin and Geographical Indications in 2015.  In accordance with the roadmap agreed by the Assembly, a further session of the Working Group took place in December 2013 and two more sessions are scheduled for June and October 2014, respectively. </w:t>
      </w:r>
      <w:r>
        <w:rPr>
          <w:rFonts w:cs="Arial"/>
          <w:bCs/>
        </w:rPr>
        <w:t xml:space="preserve"> </w:t>
      </w:r>
      <w:r w:rsidRPr="0027745B">
        <w:rPr>
          <w:rFonts w:cs="Arial"/>
          <w:bCs/>
        </w:rPr>
        <w:t>The latter will be combined with the meeting of the Preparatory Committee for the Diplomatic Conference.  In conjunction with the session of the Working Group in December 2014, a half-day conference was held on the issue of dispute settlement within the Lisbon System, for the purpose of exploring in which situations and in what form dispute settlement within the Lisbon System might be appropriate.</w:t>
      </w:r>
    </w:p>
    <w:p w:rsidR="00205A3D" w:rsidRPr="0027745B" w:rsidRDefault="00205A3D" w:rsidP="004C7D99">
      <w:pPr>
        <w:tabs>
          <w:tab w:val="left" w:pos="709"/>
        </w:tabs>
        <w:rPr>
          <w:rFonts w:cs="Arial"/>
          <w:bCs/>
          <w:szCs w:val="20"/>
        </w:rPr>
      </w:pPr>
    </w:p>
    <w:p w:rsidR="00205A3D" w:rsidRPr="0027745B" w:rsidRDefault="00205A3D" w:rsidP="00CD26D6">
      <w:pPr>
        <w:pStyle w:val="ListParagraph"/>
        <w:numPr>
          <w:ilvl w:val="0"/>
          <w:numId w:val="17"/>
        </w:numPr>
        <w:tabs>
          <w:tab w:val="left" w:pos="709"/>
        </w:tabs>
        <w:ind w:left="0" w:firstLine="0"/>
        <w:jc w:val="both"/>
        <w:rPr>
          <w:rFonts w:cs="Arial"/>
          <w:bCs/>
        </w:rPr>
      </w:pPr>
      <w:r w:rsidRPr="0027745B">
        <w:rPr>
          <w:rFonts w:cs="Arial"/>
          <w:bCs/>
        </w:rPr>
        <w:t xml:space="preserve">The IB regularly updated the information on, and the planned revision of, the Lisbon System on the WIPO website.  In addition, it also organized and participated in events in the various regions with a view to promoting the on-going review of the Lisbon System.  </w:t>
      </w:r>
    </w:p>
    <w:p w:rsidR="00205A3D" w:rsidRPr="0027745B" w:rsidRDefault="00205A3D" w:rsidP="00205A3D">
      <w:pPr>
        <w:rPr>
          <w:rFonts w:cs="Arial"/>
          <w:bCs/>
          <w:szCs w:val="20"/>
        </w:rPr>
      </w:pPr>
    </w:p>
    <w:p w:rsidR="00205A3D" w:rsidRPr="0027745B" w:rsidRDefault="00205A3D" w:rsidP="004C7D99">
      <w:pPr>
        <w:pStyle w:val="ListParagraph"/>
        <w:numPr>
          <w:ilvl w:val="0"/>
          <w:numId w:val="17"/>
        </w:numPr>
        <w:tabs>
          <w:tab w:val="left" w:pos="709"/>
        </w:tabs>
        <w:ind w:left="0" w:firstLine="0"/>
        <w:jc w:val="both"/>
        <w:rPr>
          <w:rFonts w:cs="Arial"/>
          <w:bCs/>
        </w:rPr>
      </w:pPr>
      <w:r w:rsidRPr="0027745B">
        <w:rPr>
          <w:rFonts w:cs="Arial"/>
          <w:bCs/>
        </w:rPr>
        <w:t xml:space="preserve">As from January 1, 2012, the amendments to the Regulations under the Lisbon Agreement, adopted by the Lisbon Union Assembly in September 2011, took effect.  These amendments are aimed at serving transparency as regards the contents of the International Register and, as a result, also of the Lisbon Express database on the WIPO website.  The amendment of Rule 5(3) of the Regulations provides the country of origin the option to indicate factual information that had permitted the grant of protection in respect of the appellation of origin in question.  The amendment of Rule 16(1) of the Regulations requires the competent authority of a Lisbon Member State that submits a notification of invalidation of the effects of an international registration in its territory to indicate in that notification the ground(s) on which the invalidation decision was based.  Data provided under these new provisions will be recorded in the International Register in the three working languages of the Lisbon System.  </w:t>
      </w:r>
    </w:p>
    <w:p w:rsidR="00205A3D" w:rsidRPr="0027745B" w:rsidRDefault="00205A3D" w:rsidP="004C7D99">
      <w:pPr>
        <w:tabs>
          <w:tab w:val="left" w:pos="709"/>
        </w:tabs>
        <w:jc w:val="both"/>
        <w:rPr>
          <w:rFonts w:cs="Arial"/>
          <w:bCs/>
          <w:szCs w:val="20"/>
        </w:rPr>
      </w:pPr>
    </w:p>
    <w:p w:rsidR="00205A3D" w:rsidRDefault="00205A3D" w:rsidP="004C7D99">
      <w:pPr>
        <w:pStyle w:val="ListParagraph"/>
        <w:numPr>
          <w:ilvl w:val="0"/>
          <w:numId w:val="17"/>
        </w:numPr>
        <w:tabs>
          <w:tab w:val="left" w:pos="709"/>
        </w:tabs>
        <w:ind w:left="0" w:firstLine="0"/>
        <w:jc w:val="both"/>
        <w:rPr>
          <w:rFonts w:cs="Arial"/>
          <w:bCs/>
        </w:rPr>
      </w:pPr>
      <w:r w:rsidRPr="0027745B">
        <w:rPr>
          <w:rFonts w:cs="Arial"/>
          <w:bCs/>
        </w:rPr>
        <w:t xml:space="preserve">Since January 2012, the official publication of the Lisbon System, the WIPO Bulletin “Appellations of Origin”, is only available in electronic format, on the WIPO website.  By the end of 2012, the number of competent authorities that had given their consent to the use of electronic means for communications under the procedures of the Lisbon System had increased to 23.  Considerable progress was also made towards the creation of an electronic International Register with the development of an IT program for that purpose.  The paper-based contents of the International Register were transformed into an electronic format and the procedure for updating the Lisbon Express database on the WIPO website was streamlined.  The Lisbon pages on the WIPO website were adapted both in 2012 and 2013 so as to further increase their user-friendliness.  </w:t>
      </w:r>
    </w:p>
    <w:p w:rsidR="0005539E" w:rsidRPr="0027745B" w:rsidRDefault="0005539E" w:rsidP="0005539E">
      <w:pPr>
        <w:pStyle w:val="ListParagraph"/>
        <w:ind w:left="0"/>
        <w:jc w:val="both"/>
        <w:rPr>
          <w:rFonts w:cs="Arial"/>
          <w:bCs/>
        </w:rPr>
      </w:pPr>
    </w:p>
    <w:p w:rsidR="00901768" w:rsidRPr="002C4083" w:rsidRDefault="00901768">
      <w:pPr>
        <w:rPr>
          <w:rFonts w:cs="Arial"/>
          <w:bCs/>
          <w:sz w:val="22"/>
          <w:szCs w:val="22"/>
        </w:rPr>
      </w:pPr>
      <w:r w:rsidRPr="002C4083">
        <w:rPr>
          <w:rFonts w:cs="Arial"/>
          <w:bCs/>
          <w:sz w:val="22"/>
          <w:szCs w:val="22"/>
        </w:rPr>
        <w:br w:type="page"/>
      </w:r>
    </w:p>
    <w:p w:rsidR="00205A3D" w:rsidRPr="0061449F" w:rsidRDefault="00205A3D" w:rsidP="00205A3D">
      <w:pPr>
        <w:rPr>
          <w:rFonts w:cs="Arial"/>
          <w:bCs/>
          <w:sz w:val="22"/>
          <w:szCs w:val="22"/>
          <w:lang w:val="pt-BR"/>
        </w:rPr>
      </w:pPr>
      <w:r w:rsidRPr="0061449F">
        <w:rPr>
          <w:rFonts w:cs="Arial"/>
          <w:bCs/>
          <w:sz w:val="22"/>
          <w:szCs w:val="22"/>
          <w:lang w:val="pt-BR"/>
        </w:rPr>
        <w:lastRenderedPageBreak/>
        <w:t xml:space="preserve">IMPLEMENTATION OF THE DEVELOPMENT AGENDA </w:t>
      </w:r>
    </w:p>
    <w:p w:rsidR="00205A3D" w:rsidRPr="0061449F" w:rsidRDefault="00205A3D" w:rsidP="00205A3D">
      <w:pPr>
        <w:rPr>
          <w:sz w:val="22"/>
          <w:szCs w:val="22"/>
        </w:rPr>
      </w:pPr>
    </w:p>
    <w:p w:rsidR="00205A3D" w:rsidRPr="0027745B" w:rsidRDefault="00205A3D" w:rsidP="00CD26D6">
      <w:pPr>
        <w:pStyle w:val="ListParagraph"/>
        <w:numPr>
          <w:ilvl w:val="0"/>
          <w:numId w:val="17"/>
        </w:numPr>
        <w:tabs>
          <w:tab w:val="left" w:pos="709"/>
        </w:tabs>
        <w:ind w:left="0" w:firstLine="0"/>
        <w:jc w:val="both"/>
        <w:rPr>
          <w:rFonts w:cs="Arial"/>
          <w:lang w:eastAsia="ja-JP"/>
        </w:rPr>
      </w:pPr>
      <w:r w:rsidRPr="0027745B">
        <w:rPr>
          <w:rFonts w:cs="Arial"/>
          <w:lang w:eastAsia="ja-JP"/>
        </w:rPr>
        <w:t xml:space="preserve">The design, planning and implementation of activities by Program 6 were informed and guided by the relevant DA Recommendations, in particular Recommendations 1 and 6.  In addition, the legislative assistance provided to Member States was development-oriented, balanced and tailored to unique Member State requests, in accordance with the DA principles (Recommendation 13), and bearing in mind the applicable flexibilities relevant to countries at differing levels of development (Recommendations 14 and 17). </w:t>
      </w:r>
      <w:r>
        <w:rPr>
          <w:rFonts w:cs="Arial"/>
          <w:lang w:eastAsia="ja-JP"/>
        </w:rPr>
        <w:t xml:space="preserve"> </w:t>
      </w:r>
      <w:r w:rsidRPr="0027745B">
        <w:rPr>
          <w:rFonts w:cs="Arial"/>
          <w:lang w:eastAsia="ja-JP"/>
        </w:rPr>
        <w:t xml:space="preserve">Further, the development of the Madrid Office Portal (MOP) internet based tool, enabled all Member States full access to the electronic register of international marks online, using minimal ICT infrastructure, namely an internet connection and a web browser. </w:t>
      </w:r>
      <w:r>
        <w:rPr>
          <w:rFonts w:cs="Arial"/>
          <w:lang w:eastAsia="ja-JP"/>
        </w:rPr>
        <w:t xml:space="preserve"> </w:t>
      </w:r>
      <w:r w:rsidRPr="0027745B">
        <w:rPr>
          <w:rFonts w:cs="Arial"/>
          <w:lang w:eastAsia="ja-JP"/>
        </w:rPr>
        <w:t xml:space="preserve">The MOP also enabled Offices to fulfill their basic obligations as Offices of Origin and Designated Contracting Party by undertaking interactions with the international register over the Internet. </w:t>
      </w:r>
    </w:p>
    <w:p w:rsidR="00205A3D" w:rsidRPr="0027745B" w:rsidRDefault="00205A3D" w:rsidP="00205A3D">
      <w:pPr>
        <w:rPr>
          <w:rFonts w:cs="Arial"/>
          <w:sz w:val="18"/>
          <w:szCs w:val="18"/>
        </w:rPr>
      </w:pPr>
    </w:p>
    <w:p w:rsidR="00205A3D" w:rsidRPr="0027745B" w:rsidRDefault="00205A3D" w:rsidP="00205A3D">
      <w:pPr>
        <w:rPr>
          <w:rFonts w:cs="Arial"/>
          <w:sz w:val="18"/>
          <w:szCs w:val="18"/>
        </w:rPr>
      </w:pPr>
    </w:p>
    <w:p w:rsidR="00205A3D" w:rsidRDefault="00205A3D" w:rsidP="00205A3D">
      <w:pPr>
        <w:rPr>
          <w:rFonts w:cs="Arial"/>
          <w:sz w:val="22"/>
          <w:szCs w:val="22"/>
        </w:rPr>
      </w:pPr>
      <w:r w:rsidRPr="005E6AFC">
        <w:rPr>
          <w:rFonts w:cs="Arial"/>
          <w:sz w:val="22"/>
          <w:szCs w:val="22"/>
        </w:rPr>
        <w:t>PERFORMANCE DATA</w:t>
      </w:r>
    </w:p>
    <w:p w:rsidR="00205A3D" w:rsidRPr="0027745B" w:rsidRDefault="00205A3D" w:rsidP="00205A3D">
      <w:pPr>
        <w:rPr>
          <w:sz w:val="18"/>
          <w:szCs w:val="18"/>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73"/>
        <w:gridCol w:w="1712"/>
        <w:gridCol w:w="1550"/>
        <w:gridCol w:w="3294"/>
        <w:gridCol w:w="1128"/>
      </w:tblGrid>
      <w:tr w:rsidR="00205A3D" w:rsidRPr="0005539E" w:rsidTr="00C96791">
        <w:trPr>
          <w:cantSplit/>
        </w:trPr>
        <w:tc>
          <w:tcPr>
            <w:tcW w:w="5000" w:type="pct"/>
            <w:gridSpan w:val="5"/>
            <w:tcBorders>
              <w:top w:val="single" w:sz="4" w:space="0" w:color="auto"/>
              <w:bottom w:val="single" w:sz="4" w:space="0" w:color="auto"/>
            </w:tcBorders>
            <w:shd w:val="clear" w:color="auto" w:fill="CCFFFF"/>
            <w:vAlign w:val="center"/>
          </w:tcPr>
          <w:p w:rsidR="00205A3D" w:rsidRPr="0005539E" w:rsidRDefault="00205A3D" w:rsidP="008B3E53">
            <w:pPr>
              <w:keepNext/>
              <w:keepLines/>
              <w:tabs>
                <w:tab w:val="left" w:pos="1452"/>
              </w:tabs>
              <w:spacing w:before="120" w:after="120"/>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05539E">
              <w:rPr>
                <w:rFonts w:cs="Arial"/>
                <w:sz w:val="16"/>
                <w:szCs w:val="16"/>
              </w:rPr>
              <w:t>Bette</w:t>
            </w:r>
            <w:r w:rsidR="00601859">
              <w:rPr>
                <w:rFonts w:cs="Arial"/>
                <w:sz w:val="16"/>
                <w:szCs w:val="16"/>
              </w:rPr>
              <w:t>r use of the Madrid and Lisbon S</w:t>
            </w:r>
            <w:r w:rsidRPr="0005539E">
              <w:rPr>
                <w:rFonts w:cs="Arial"/>
                <w:sz w:val="16"/>
                <w:szCs w:val="16"/>
              </w:rPr>
              <w:t>ystems, including by developing countries and LDCs</w:t>
            </w:r>
          </w:p>
        </w:tc>
      </w:tr>
      <w:tr w:rsidR="00205A3D" w:rsidRPr="0005539E" w:rsidTr="00C96791">
        <w:trPr>
          <w:cantSplit/>
        </w:trPr>
        <w:tc>
          <w:tcPr>
            <w:tcW w:w="894" w:type="pct"/>
            <w:tcBorders>
              <w:top w:val="single" w:sz="4" w:space="0" w:color="auto"/>
            </w:tcBorders>
            <w:shd w:val="clear" w:color="auto" w:fill="auto"/>
            <w:vAlign w:val="center"/>
          </w:tcPr>
          <w:p w:rsidR="00205A3D" w:rsidRPr="0005539E" w:rsidRDefault="00205A3D" w:rsidP="008B3E53">
            <w:pPr>
              <w:rPr>
                <w:rFonts w:cs="Arial"/>
                <w:sz w:val="16"/>
                <w:szCs w:val="16"/>
              </w:rPr>
            </w:pPr>
            <w:r w:rsidRPr="0005539E">
              <w:rPr>
                <w:rFonts w:cs="Arial"/>
                <w:b/>
                <w:bCs/>
                <w:sz w:val="16"/>
                <w:szCs w:val="16"/>
              </w:rPr>
              <w:t>Performance Indicators</w:t>
            </w:r>
          </w:p>
        </w:tc>
        <w:tc>
          <w:tcPr>
            <w:tcW w:w="915" w:type="pct"/>
            <w:tcBorders>
              <w:top w:val="single" w:sz="4" w:space="0" w:color="auto"/>
            </w:tcBorders>
            <w:shd w:val="clear" w:color="auto" w:fill="auto"/>
            <w:vAlign w:val="center"/>
          </w:tcPr>
          <w:p w:rsidR="00205A3D" w:rsidRPr="0005539E" w:rsidRDefault="00205A3D" w:rsidP="008B3E53">
            <w:pPr>
              <w:rPr>
                <w:rFonts w:cs="Arial"/>
                <w:b/>
                <w:bCs/>
                <w:sz w:val="16"/>
                <w:szCs w:val="16"/>
              </w:rPr>
            </w:pPr>
            <w:r w:rsidRPr="0005539E">
              <w:rPr>
                <w:rFonts w:cs="Arial"/>
                <w:b/>
                <w:bCs/>
                <w:sz w:val="16"/>
                <w:szCs w:val="16"/>
              </w:rPr>
              <w:t>Baselines</w:t>
            </w:r>
          </w:p>
        </w:tc>
        <w:tc>
          <w:tcPr>
            <w:tcW w:w="828" w:type="pct"/>
            <w:tcBorders>
              <w:top w:val="single" w:sz="4" w:space="0" w:color="auto"/>
            </w:tcBorders>
            <w:shd w:val="clear" w:color="auto" w:fill="auto"/>
            <w:tcMar>
              <w:top w:w="110" w:type="dxa"/>
            </w:tcMar>
            <w:vAlign w:val="center"/>
          </w:tcPr>
          <w:p w:rsidR="00205A3D" w:rsidRPr="0005539E" w:rsidRDefault="00205A3D" w:rsidP="008B3E53">
            <w:pPr>
              <w:rPr>
                <w:rFonts w:cs="Arial"/>
                <w:b/>
                <w:sz w:val="16"/>
                <w:szCs w:val="16"/>
              </w:rPr>
            </w:pPr>
            <w:r w:rsidRPr="0005539E">
              <w:rPr>
                <w:rFonts w:cs="Arial"/>
                <w:b/>
                <w:sz w:val="16"/>
                <w:szCs w:val="16"/>
              </w:rPr>
              <w:t>Target</w:t>
            </w:r>
            <w:r w:rsidR="00582788" w:rsidRPr="0005539E">
              <w:rPr>
                <w:rFonts w:cs="Arial"/>
                <w:b/>
                <w:sz w:val="16"/>
                <w:szCs w:val="16"/>
              </w:rPr>
              <w:t>s</w:t>
            </w:r>
          </w:p>
        </w:tc>
        <w:tc>
          <w:tcPr>
            <w:tcW w:w="1760" w:type="pct"/>
            <w:tcBorders>
              <w:top w:val="single" w:sz="4" w:space="0" w:color="auto"/>
            </w:tcBorders>
            <w:shd w:val="clear" w:color="auto" w:fill="FFFFFF"/>
            <w:tcMar>
              <w:top w:w="110" w:type="dxa"/>
            </w:tcMar>
            <w:vAlign w:val="center"/>
          </w:tcPr>
          <w:p w:rsidR="00205A3D" w:rsidRPr="0005539E" w:rsidRDefault="00205A3D" w:rsidP="008B3E53">
            <w:pPr>
              <w:rPr>
                <w:rFonts w:cs="Arial"/>
                <w:sz w:val="16"/>
                <w:szCs w:val="16"/>
              </w:rPr>
            </w:pPr>
            <w:r w:rsidRPr="0005539E">
              <w:rPr>
                <w:rFonts w:cs="Arial"/>
                <w:b/>
                <w:bCs/>
                <w:sz w:val="16"/>
                <w:szCs w:val="16"/>
              </w:rPr>
              <w:t>Performance Data</w:t>
            </w:r>
          </w:p>
        </w:tc>
        <w:tc>
          <w:tcPr>
            <w:tcW w:w="602" w:type="pct"/>
            <w:tcBorders>
              <w:top w:val="single" w:sz="4" w:space="0" w:color="auto"/>
            </w:tcBorders>
            <w:shd w:val="clear" w:color="auto" w:fill="auto"/>
            <w:tcMar>
              <w:top w:w="110" w:type="dxa"/>
            </w:tcMar>
            <w:vAlign w:val="center"/>
          </w:tcPr>
          <w:p w:rsidR="00205A3D" w:rsidRPr="0005539E" w:rsidRDefault="00205A3D" w:rsidP="008B3E53">
            <w:pPr>
              <w:keepNext/>
              <w:keepLines/>
              <w:jc w:val="center"/>
              <w:rPr>
                <w:rFonts w:cs="Arial"/>
                <w:b/>
                <w:bCs/>
                <w:sz w:val="16"/>
                <w:szCs w:val="16"/>
              </w:rPr>
            </w:pPr>
            <w:r w:rsidRPr="0005539E">
              <w:rPr>
                <w:rFonts w:cs="Arial"/>
                <w:b/>
                <w:bCs/>
                <w:sz w:val="16"/>
                <w:szCs w:val="16"/>
              </w:rPr>
              <w:t>TLS</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new registrations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40,711 (2011)</w:t>
            </w:r>
          </w:p>
          <w:p w:rsidR="00205A3D" w:rsidRPr="0005539E" w:rsidRDefault="00205A3D" w:rsidP="008B3E53">
            <w:pPr>
              <w:rPr>
                <w:rFonts w:cs="Arial"/>
                <w:color w:val="002060"/>
                <w:sz w:val="8"/>
                <w:szCs w:val="8"/>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37,533 (2010);</w:t>
            </w:r>
            <w:r w:rsidRPr="0005539E">
              <w:rPr>
                <w:rFonts w:cs="Arial"/>
                <w:sz w:val="16"/>
                <w:szCs w:val="16"/>
              </w:rPr>
              <w:br/>
              <w:t>40,900 (2011)</w:t>
            </w:r>
          </w:p>
        </w:tc>
        <w:tc>
          <w:tcPr>
            <w:tcW w:w="828" w:type="pct"/>
            <w:shd w:val="clear" w:color="auto" w:fill="auto"/>
            <w:tcMar>
              <w:top w:w="110" w:type="dxa"/>
            </w:tcMar>
          </w:tcPr>
          <w:p w:rsidR="00205A3D" w:rsidRPr="0005539E" w:rsidRDefault="00205A3D" w:rsidP="008B3E53">
            <w:pPr>
              <w:autoSpaceDE w:val="0"/>
              <w:autoSpaceDN w:val="0"/>
              <w:adjustRightInd w:val="0"/>
              <w:rPr>
                <w:rFonts w:cs="Arial"/>
                <w:sz w:val="16"/>
                <w:szCs w:val="16"/>
              </w:rPr>
            </w:pPr>
            <w:r w:rsidRPr="0005539E">
              <w:rPr>
                <w:rFonts w:cs="Arial"/>
                <w:sz w:val="16"/>
                <w:szCs w:val="16"/>
              </w:rPr>
              <w:t>42,100 (2012);</w:t>
            </w:r>
          </w:p>
          <w:p w:rsidR="00205A3D" w:rsidRPr="0005539E" w:rsidRDefault="00205A3D" w:rsidP="008B3E53">
            <w:pPr>
              <w:spacing w:after="120"/>
              <w:rPr>
                <w:rFonts w:cs="Arial"/>
                <w:i/>
                <w:sz w:val="16"/>
                <w:szCs w:val="16"/>
              </w:rPr>
            </w:pPr>
            <w:r w:rsidRPr="0005539E">
              <w:rPr>
                <w:rFonts w:cs="Arial"/>
                <w:sz w:val="16"/>
                <w:szCs w:val="16"/>
              </w:rPr>
              <w:t>43,500 (2013)</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41,954 (2012)</w:t>
            </w:r>
          </w:p>
          <w:p w:rsidR="00205A3D" w:rsidRPr="0005539E" w:rsidRDefault="00205A3D" w:rsidP="008B3E53">
            <w:pPr>
              <w:rPr>
                <w:rFonts w:cs="Arial"/>
                <w:color w:val="76923C" w:themeColor="accent3" w:themeShade="BF"/>
                <w:sz w:val="16"/>
                <w:szCs w:val="16"/>
              </w:rPr>
            </w:pPr>
            <w:r w:rsidRPr="0005539E">
              <w:rPr>
                <w:rFonts w:cs="Arial"/>
                <w:sz w:val="16"/>
                <w:szCs w:val="16"/>
                <w:lang w:bidi="th-TH"/>
              </w:rPr>
              <w:t>44,414 (2013)</w:t>
            </w:r>
          </w:p>
        </w:tc>
        <w:tc>
          <w:tcPr>
            <w:tcW w:w="602" w:type="pct"/>
            <w:shd w:val="clear" w:color="auto" w:fill="auto"/>
            <w:tcMar>
              <w:top w:w="110" w:type="dxa"/>
            </w:tcMar>
          </w:tcPr>
          <w:p w:rsidR="00205A3D" w:rsidRPr="0005539E" w:rsidRDefault="00205A3D" w:rsidP="008B3E53">
            <w:pPr>
              <w:keepNext/>
              <w:keepLines/>
              <w:jc w:val="center"/>
              <w:rPr>
                <w:rFonts w:cs="Arial"/>
                <w:bCs/>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renewals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i/>
                <w:color w:val="002060"/>
                <w:sz w:val="16"/>
                <w:szCs w:val="16"/>
              </w:rPr>
            </w:pPr>
            <w:r w:rsidRPr="0005539E">
              <w:rPr>
                <w:rFonts w:cs="Arial"/>
                <w:color w:val="002060"/>
                <w:sz w:val="16"/>
                <w:szCs w:val="16"/>
              </w:rPr>
              <w:t>21,754 (2011)</w:t>
            </w:r>
          </w:p>
          <w:p w:rsidR="00205A3D" w:rsidRPr="0005539E"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 xml:space="preserve">21,949 (2010);       </w:t>
            </w:r>
            <w:r w:rsidRPr="0005539E">
              <w:rPr>
                <w:rFonts w:cs="Arial"/>
                <w:sz w:val="16"/>
                <w:szCs w:val="16"/>
              </w:rPr>
              <w:br/>
              <w:t>21,900 (2011)</w:t>
            </w:r>
          </w:p>
        </w:tc>
        <w:tc>
          <w:tcPr>
            <w:tcW w:w="828" w:type="pct"/>
            <w:shd w:val="clear" w:color="auto" w:fill="auto"/>
            <w:tcMar>
              <w:top w:w="110" w:type="dxa"/>
            </w:tcMar>
          </w:tcPr>
          <w:p w:rsidR="00205A3D" w:rsidRPr="0005539E" w:rsidRDefault="00205A3D" w:rsidP="008B3E53">
            <w:pPr>
              <w:autoSpaceDE w:val="0"/>
              <w:autoSpaceDN w:val="0"/>
              <w:adjustRightInd w:val="0"/>
              <w:rPr>
                <w:rFonts w:cs="Arial"/>
                <w:sz w:val="16"/>
                <w:szCs w:val="16"/>
              </w:rPr>
            </w:pPr>
            <w:r w:rsidRPr="0005539E">
              <w:rPr>
                <w:rFonts w:cs="Arial"/>
                <w:sz w:val="16"/>
                <w:szCs w:val="16"/>
              </w:rPr>
              <w:t>21,300 (2012);</w:t>
            </w:r>
          </w:p>
          <w:p w:rsidR="00205A3D" w:rsidRPr="0005539E" w:rsidRDefault="00205A3D" w:rsidP="008B3E53">
            <w:pPr>
              <w:spacing w:after="120"/>
              <w:rPr>
                <w:rFonts w:cs="Arial"/>
                <w:i/>
                <w:sz w:val="16"/>
                <w:szCs w:val="16"/>
              </w:rPr>
            </w:pPr>
            <w:r w:rsidRPr="0005539E">
              <w:rPr>
                <w:rFonts w:cs="Arial"/>
                <w:sz w:val="16"/>
                <w:szCs w:val="16"/>
              </w:rPr>
              <w:t>22,000 (2013)</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21,859  (2012)</w:t>
            </w:r>
          </w:p>
          <w:p w:rsidR="00205A3D" w:rsidRPr="0005539E" w:rsidRDefault="00205A3D" w:rsidP="008B3E53">
            <w:pPr>
              <w:rPr>
                <w:rFonts w:cs="Arial"/>
                <w:sz w:val="16"/>
                <w:szCs w:val="16"/>
              </w:rPr>
            </w:pPr>
            <w:r w:rsidRPr="0005539E">
              <w:rPr>
                <w:rFonts w:cs="Arial"/>
                <w:sz w:val="16"/>
                <w:szCs w:val="16"/>
                <w:lang w:bidi="th-TH"/>
              </w:rPr>
              <w:t>23,014  (2013)</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 of irregularity letters compared to total number of applications received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i/>
                <w:color w:val="002060"/>
                <w:sz w:val="16"/>
                <w:szCs w:val="16"/>
              </w:rPr>
            </w:pPr>
            <w:r w:rsidRPr="0005539E">
              <w:rPr>
                <w:rFonts w:cs="Arial"/>
                <w:color w:val="002060"/>
                <w:sz w:val="16"/>
                <w:szCs w:val="16"/>
              </w:rPr>
              <w:t>23% (end 2011)</w:t>
            </w:r>
            <w:r w:rsidRPr="0005539E">
              <w:rPr>
                <w:rStyle w:val="FootnoteReference"/>
                <w:rFonts w:cs="Arial"/>
                <w:color w:val="002060"/>
                <w:sz w:val="16"/>
                <w:szCs w:val="16"/>
              </w:rPr>
              <w:footnoteReference w:id="8"/>
            </w:r>
          </w:p>
          <w:p w:rsidR="00205A3D" w:rsidRPr="0005539E"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19.3% (end 2010)</w:t>
            </w:r>
            <w:r w:rsidRPr="0005539E">
              <w:rPr>
                <w:rStyle w:val="FootnoteReference"/>
                <w:rFonts w:cs="Arial"/>
                <w:sz w:val="16"/>
                <w:szCs w:val="16"/>
              </w:rPr>
              <w:footnoteReference w:id="9"/>
            </w:r>
          </w:p>
        </w:tc>
        <w:tc>
          <w:tcPr>
            <w:tcW w:w="828" w:type="pct"/>
            <w:shd w:val="clear" w:color="auto" w:fill="auto"/>
            <w:tcMar>
              <w:top w:w="110" w:type="dxa"/>
            </w:tcMar>
          </w:tcPr>
          <w:p w:rsidR="00205A3D" w:rsidRPr="0005539E" w:rsidRDefault="00205A3D" w:rsidP="008B3E53">
            <w:pPr>
              <w:spacing w:after="120"/>
              <w:rPr>
                <w:rFonts w:cs="Arial"/>
                <w:b/>
                <w:sz w:val="16"/>
                <w:szCs w:val="16"/>
              </w:rPr>
            </w:pPr>
            <w:r w:rsidRPr="0005539E">
              <w:rPr>
                <w:rFonts w:cs="Arial"/>
                <w:sz w:val="16"/>
                <w:szCs w:val="16"/>
              </w:rPr>
              <w:t>15%</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2012: 32.1 per cent, of which 22.9 per cent pertained to classification issues</w:t>
            </w:r>
            <w:r w:rsidR="004C7D99">
              <w:rPr>
                <w:rFonts w:cs="Arial"/>
                <w:sz w:val="16"/>
                <w:szCs w:val="16"/>
                <w:lang w:bidi="th-TH"/>
              </w:rPr>
              <w:t>.</w:t>
            </w:r>
            <w:r w:rsidRPr="0005539E">
              <w:rPr>
                <w:rFonts w:cs="Arial"/>
                <w:sz w:val="16"/>
                <w:szCs w:val="16"/>
                <w:lang w:bidi="th-TH"/>
              </w:rPr>
              <w:t xml:space="preserve"> </w:t>
            </w:r>
          </w:p>
          <w:p w:rsidR="00205A3D" w:rsidRPr="0005539E" w:rsidRDefault="00205A3D" w:rsidP="008B3E53">
            <w:pPr>
              <w:rPr>
                <w:rFonts w:cs="Arial"/>
                <w:sz w:val="16"/>
                <w:szCs w:val="16"/>
              </w:rPr>
            </w:pPr>
            <w:r w:rsidRPr="0005539E">
              <w:rPr>
                <w:rFonts w:cs="Arial"/>
                <w:sz w:val="16"/>
                <w:szCs w:val="16"/>
                <w:lang w:bidi="th-TH"/>
              </w:rPr>
              <w:t>2013: 32.4 per cent, of which 25.9 per cent pertained to classification issues</w:t>
            </w:r>
            <w:r w:rsidR="004C7D99">
              <w:rPr>
                <w:rFonts w:cs="Arial"/>
                <w:sz w:val="16"/>
                <w:szCs w:val="16"/>
                <w:lang w:bidi="th-TH"/>
              </w:rPr>
              <w:t>.</w:t>
            </w:r>
            <w:r w:rsidRPr="0005539E">
              <w:rPr>
                <w:rFonts w:cs="Arial"/>
                <w:sz w:val="16"/>
                <w:szCs w:val="16"/>
                <w:lang w:bidi="th-TH"/>
              </w:rPr>
              <w:t xml:space="preserve"> </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FF0000"/>
                <w:sz w:val="16"/>
                <w:szCs w:val="16"/>
              </w:rPr>
              <w:t>Not</w:t>
            </w:r>
            <w:r w:rsidRPr="0005539E">
              <w:rPr>
                <w:rStyle w:val="Style5"/>
                <w:rFonts w:ascii="Arial" w:hAnsi="Arial" w:cs="Arial"/>
                <w:color w:val="FF0000"/>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 of international applications from developing countries and LDCs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7.4% (2011)</w:t>
            </w:r>
          </w:p>
          <w:p w:rsidR="00205A3D" w:rsidRPr="0005539E"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7% international applications</w:t>
            </w:r>
          </w:p>
        </w:tc>
        <w:tc>
          <w:tcPr>
            <w:tcW w:w="828" w:type="pct"/>
            <w:shd w:val="clear" w:color="auto" w:fill="auto"/>
            <w:tcMar>
              <w:top w:w="110" w:type="dxa"/>
            </w:tcMar>
          </w:tcPr>
          <w:p w:rsidR="00205A3D" w:rsidRPr="0005539E" w:rsidRDefault="00205A3D" w:rsidP="008B3E53">
            <w:pPr>
              <w:autoSpaceDE w:val="0"/>
              <w:autoSpaceDN w:val="0"/>
              <w:adjustRightInd w:val="0"/>
              <w:rPr>
                <w:rFonts w:cs="Arial"/>
                <w:sz w:val="16"/>
                <w:szCs w:val="16"/>
              </w:rPr>
            </w:pPr>
            <w:r w:rsidRPr="0005539E">
              <w:rPr>
                <w:rFonts w:cs="Arial"/>
                <w:sz w:val="16"/>
                <w:szCs w:val="16"/>
              </w:rPr>
              <w:t xml:space="preserve">At least </w:t>
            </w:r>
            <w:r w:rsidR="00EC1008">
              <w:rPr>
                <w:rFonts w:cs="Arial"/>
                <w:sz w:val="16"/>
                <w:szCs w:val="16"/>
              </w:rPr>
              <w:t>ten per cent</w:t>
            </w:r>
          </w:p>
          <w:p w:rsidR="00205A3D" w:rsidRPr="0005539E" w:rsidRDefault="00205A3D" w:rsidP="008B3E53">
            <w:pPr>
              <w:autoSpaceDE w:val="0"/>
              <w:autoSpaceDN w:val="0"/>
              <w:adjustRightInd w:val="0"/>
              <w:rPr>
                <w:rFonts w:cs="Arial"/>
                <w:sz w:val="16"/>
                <w:szCs w:val="16"/>
              </w:rPr>
            </w:pPr>
            <w:r w:rsidRPr="0005539E">
              <w:rPr>
                <w:rFonts w:cs="Arial"/>
                <w:sz w:val="16"/>
                <w:szCs w:val="16"/>
              </w:rPr>
              <w:t>international</w:t>
            </w:r>
          </w:p>
          <w:p w:rsidR="00205A3D" w:rsidRPr="0005539E" w:rsidRDefault="00205A3D" w:rsidP="008B3E53">
            <w:pPr>
              <w:spacing w:after="120"/>
              <w:rPr>
                <w:rFonts w:cs="Arial"/>
                <w:b/>
                <w:sz w:val="16"/>
                <w:szCs w:val="16"/>
              </w:rPr>
            </w:pPr>
            <w:r w:rsidRPr="0005539E">
              <w:rPr>
                <w:rFonts w:cs="Arial"/>
                <w:sz w:val="16"/>
                <w:szCs w:val="16"/>
              </w:rPr>
              <w:t>applications</w:t>
            </w:r>
            <w:r w:rsidRPr="0005539E" w:rsidDel="00AA396C">
              <w:rPr>
                <w:rFonts w:cs="Arial"/>
                <w:b/>
                <w:sz w:val="16"/>
                <w:szCs w:val="16"/>
              </w:rPr>
              <w:t xml:space="preserve"> </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 xml:space="preserve">7% (2012) </w:t>
            </w:r>
          </w:p>
          <w:p w:rsidR="00205A3D" w:rsidRPr="0005539E" w:rsidRDefault="00205A3D" w:rsidP="008B3E53">
            <w:pPr>
              <w:rPr>
                <w:rFonts w:cs="Arial"/>
                <w:sz w:val="16"/>
                <w:szCs w:val="16"/>
              </w:rPr>
            </w:pPr>
            <w:r w:rsidRPr="0005539E">
              <w:rPr>
                <w:rFonts w:cs="Arial"/>
                <w:sz w:val="16"/>
                <w:szCs w:val="16"/>
                <w:lang w:bidi="th-TH"/>
              </w:rPr>
              <w:t>6.8%(2013)</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FF0000"/>
                <w:sz w:val="16"/>
                <w:szCs w:val="16"/>
              </w:rPr>
              <w:t>Not</w:t>
            </w:r>
            <w:r w:rsidRPr="0005539E">
              <w:rPr>
                <w:rStyle w:val="Style5"/>
                <w:rFonts w:ascii="Arial" w:hAnsi="Arial" w:cs="Arial"/>
                <w:color w:val="FF0000"/>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Contracting Parties to the Madrid Protocol</w:t>
            </w:r>
          </w:p>
        </w:tc>
        <w:tc>
          <w:tcPr>
            <w:tcW w:w="915" w:type="pct"/>
            <w:shd w:val="clear" w:color="auto" w:fill="auto"/>
          </w:tcPr>
          <w:p w:rsidR="00205A3D" w:rsidRPr="0005539E" w:rsidRDefault="004C7D99" w:rsidP="008B3E53">
            <w:pPr>
              <w:rPr>
                <w:rFonts w:cs="Arial"/>
                <w:sz w:val="16"/>
                <w:szCs w:val="16"/>
              </w:rPr>
            </w:pPr>
            <w:r>
              <w:rPr>
                <w:rFonts w:cs="Arial"/>
                <w:sz w:val="16"/>
                <w:szCs w:val="16"/>
              </w:rPr>
              <w:t>85 c</w:t>
            </w:r>
            <w:r w:rsidRPr="0005539E">
              <w:rPr>
                <w:rFonts w:cs="Arial"/>
                <w:sz w:val="16"/>
                <w:szCs w:val="16"/>
              </w:rPr>
              <w:t xml:space="preserve">ontracting </w:t>
            </w:r>
            <w:r w:rsidR="00205A3D" w:rsidRPr="0005539E">
              <w:rPr>
                <w:rFonts w:cs="Arial"/>
                <w:sz w:val="16"/>
                <w:szCs w:val="16"/>
              </w:rPr>
              <w:t xml:space="preserve">parties to the </w:t>
            </w:r>
            <w:r w:rsidR="00601859">
              <w:rPr>
                <w:rFonts w:cs="Arial"/>
                <w:sz w:val="16"/>
                <w:szCs w:val="16"/>
              </w:rPr>
              <w:t>Madrid System</w:t>
            </w:r>
          </w:p>
        </w:tc>
        <w:tc>
          <w:tcPr>
            <w:tcW w:w="828" w:type="pct"/>
            <w:shd w:val="clear" w:color="auto" w:fill="auto"/>
            <w:tcMar>
              <w:top w:w="110" w:type="dxa"/>
            </w:tcMar>
          </w:tcPr>
          <w:p w:rsidR="00205A3D" w:rsidRPr="0005539E" w:rsidRDefault="00205A3D" w:rsidP="008B3E53">
            <w:pPr>
              <w:rPr>
                <w:rFonts w:cs="Arial"/>
                <w:sz w:val="16"/>
                <w:szCs w:val="16"/>
              </w:rPr>
            </w:pPr>
            <w:r w:rsidRPr="0005539E">
              <w:rPr>
                <w:rFonts w:cs="Arial"/>
                <w:sz w:val="16"/>
                <w:szCs w:val="16"/>
              </w:rPr>
              <w:t>93</w:t>
            </w:r>
          </w:p>
        </w:tc>
        <w:tc>
          <w:tcPr>
            <w:tcW w:w="1760" w:type="pct"/>
            <w:shd w:val="clear" w:color="auto" w:fill="FFFFFF"/>
            <w:tcMar>
              <w:top w:w="110" w:type="dxa"/>
            </w:tcMar>
          </w:tcPr>
          <w:p w:rsidR="00205A3D" w:rsidRPr="004C7D99" w:rsidRDefault="00205A3D" w:rsidP="008B3E53">
            <w:pPr>
              <w:rPr>
                <w:rFonts w:cs="Arial"/>
                <w:sz w:val="16"/>
                <w:szCs w:val="16"/>
              </w:rPr>
            </w:pPr>
            <w:r w:rsidRPr="004C7D99">
              <w:rPr>
                <w:rFonts w:cs="Arial"/>
                <w:sz w:val="16"/>
                <w:szCs w:val="16"/>
                <w:lang w:bidi="th-TH"/>
              </w:rPr>
              <w:t xml:space="preserve">92 contracting parties to the </w:t>
            </w:r>
            <w:r w:rsidR="00601859" w:rsidRPr="004C7D99">
              <w:rPr>
                <w:rFonts w:cs="Arial"/>
                <w:sz w:val="16"/>
                <w:szCs w:val="16"/>
                <w:lang w:bidi="th-TH"/>
              </w:rPr>
              <w:t>Madrid System</w:t>
            </w:r>
            <w:r w:rsidRPr="004C7D99">
              <w:rPr>
                <w:rFonts w:cs="Arial"/>
                <w:sz w:val="16"/>
                <w:szCs w:val="16"/>
                <w:lang w:bidi="th-TH"/>
              </w:rPr>
              <w:t xml:space="preserve"> (7 additional contracting parties:  Colombia, Mexico, New Zealand and the Philippines in 2012; India, Rwanda and Tunisia in 2013)</w:t>
            </w:r>
            <w:r w:rsidR="004C7D99" w:rsidRPr="004C7D99">
              <w:rPr>
                <w:rFonts w:cs="Arial"/>
                <w:sz w:val="16"/>
                <w:szCs w:val="16"/>
                <w:lang w:bidi="th-TH"/>
              </w:rPr>
              <w:t>.</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Contracting Parties to the Lisbon Agreement</w:t>
            </w:r>
          </w:p>
          <w:p w:rsidR="00205A3D" w:rsidRPr="0005539E" w:rsidRDefault="00205A3D" w:rsidP="008B3E53">
            <w:pPr>
              <w:rPr>
                <w:rFonts w:cs="Arial"/>
                <w:sz w:val="16"/>
                <w:szCs w:val="16"/>
              </w:rPr>
            </w:pP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27 (March 2011)</w:t>
            </w:r>
          </w:p>
        </w:tc>
        <w:tc>
          <w:tcPr>
            <w:tcW w:w="828" w:type="pct"/>
            <w:shd w:val="clear" w:color="auto" w:fill="auto"/>
            <w:tcMar>
              <w:top w:w="110" w:type="dxa"/>
            </w:tcMar>
          </w:tcPr>
          <w:p w:rsidR="00205A3D" w:rsidRPr="0005539E" w:rsidRDefault="00205A3D" w:rsidP="008B3E53">
            <w:pPr>
              <w:rPr>
                <w:rFonts w:cs="Arial"/>
                <w:i/>
                <w:sz w:val="16"/>
                <w:szCs w:val="16"/>
              </w:rPr>
            </w:pPr>
            <w:r w:rsidRPr="0005539E">
              <w:rPr>
                <w:rFonts w:cs="Arial"/>
                <w:sz w:val="16"/>
                <w:szCs w:val="16"/>
              </w:rPr>
              <w:t>30</w:t>
            </w:r>
          </w:p>
        </w:tc>
        <w:tc>
          <w:tcPr>
            <w:tcW w:w="1760" w:type="pct"/>
            <w:shd w:val="clear" w:color="auto" w:fill="FFFFFF"/>
            <w:tcMar>
              <w:top w:w="110" w:type="dxa"/>
            </w:tcMar>
          </w:tcPr>
          <w:p w:rsidR="00205A3D" w:rsidRPr="004C7D99" w:rsidRDefault="00205A3D" w:rsidP="008B3E53">
            <w:pPr>
              <w:rPr>
                <w:rFonts w:cs="Arial"/>
                <w:sz w:val="16"/>
                <w:szCs w:val="16"/>
              </w:rPr>
            </w:pPr>
            <w:r w:rsidRPr="004C7D99">
              <w:rPr>
                <w:rFonts w:cs="Arial"/>
                <w:sz w:val="16"/>
                <w:szCs w:val="16"/>
                <w:lang w:bidi="th-TH"/>
              </w:rPr>
              <w:t>28 contracting parties (1 additional contracting party: Bosnia and Herzegovina)</w:t>
            </w:r>
          </w:p>
        </w:tc>
        <w:tc>
          <w:tcPr>
            <w:tcW w:w="602" w:type="pct"/>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E36C0A" w:themeColor="accent6" w:themeShade="BF"/>
                <w:sz w:val="16"/>
                <w:szCs w:val="16"/>
              </w:rPr>
              <w:t>Partially</w:t>
            </w:r>
            <w:r w:rsidRPr="0005539E">
              <w:rPr>
                <w:rStyle w:val="Style5"/>
                <w:rFonts w:ascii="Arial" w:hAnsi="Arial" w:cs="Arial"/>
                <w:color w:val="E36C0A" w:themeColor="accent6" w:themeShade="BF"/>
                <w:sz w:val="16"/>
                <w:szCs w:val="16"/>
              </w:rPr>
              <w:br/>
              <w:t>Achieved</w:t>
            </w:r>
          </w:p>
        </w:tc>
      </w:tr>
      <w:tr w:rsidR="00205A3D" w:rsidRPr="0005539E" w:rsidTr="00C96791">
        <w:trPr>
          <w:cantSplit/>
        </w:trPr>
        <w:tc>
          <w:tcPr>
            <w:tcW w:w="894" w:type="pct"/>
            <w:tcBorders>
              <w:bottom w:val="single" w:sz="4" w:space="0" w:color="auto"/>
            </w:tcBorders>
            <w:shd w:val="clear" w:color="auto" w:fill="auto"/>
          </w:tcPr>
          <w:p w:rsidR="00205A3D" w:rsidRPr="0005539E" w:rsidRDefault="00205A3D" w:rsidP="008B3E53">
            <w:pPr>
              <w:rPr>
                <w:rFonts w:cs="Arial"/>
                <w:sz w:val="16"/>
                <w:szCs w:val="16"/>
              </w:rPr>
            </w:pPr>
            <w:r w:rsidRPr="0005539E">
              <w:rPr>
                <w:rFonts w:cs="Arial"/>
                <w:sz w:val="16"/>
                <w:szCs w:val="16"/>
              </w:rPr>
              <w:lastRenderedPageBreak/>
              <w:t xml:space="preserve">No. of international registrations in force under the Lisbon </w:t>
            </w:r>
            <w:r w:rsidR="00601859">
              <w:rPr>
                <w:rFonts w:cs="Arial"/>
                <w:sz w:val="16"/>
                <w:szCs w:val="16"/>
              </w:rPr>
              <w:t>S</w:t>
            </w:r>
            <w:r w:rsidRPr="0005539E">
              <w:rPr>
                <w:rFonts w:cs="Arial"/>
                <w:sz w:val="16"/>
                <w:szCs w:val="16"/>
              </w:rPr>
              <w:t>ystem concerning appellations of origin from developing countries and LDCs</w:t>
            </w:r>
          </w:p>
          <w:p w:rsidR="00205A3D" w:rsidRPr="0005539E" w:rsidRDefault="00205A3D" w:rsidP="008B3E53">
            <w:pPr>
              <w:rPr>
                <w:rFonts w:cs="Arial"/>
                <w:sz w:val="16"/>
                <w:szCs w:val="16"/>
              </w:rPr>
            </w:pPr>
          </w:p>
        </w:tc>
        <w:tc>
          <w:tcPr>
            <w:tcW w:w="915" w:type="pct"/>
            <w:tcBorders>
              <w:bottom w:val="single" w:sz="4" w:space="0" w:color="auto"/>
            </w:tcBorders>
            <w:shd w:val="clear" w:color="auto" w:fill="auto"/>
          </w:tcPr>
          <w:p w:rsidR="00205A3D" w:rsidRPr="0005539E" w:rsidRDefault="00205A3D" w:rsidP="008B3E53">
            <w:pPr>
              <w:rPr>
                <w:rFonts w:cs="Arial"/>
                <w:color w:val="002060"/>
                <w:sz w:val="16"/>
                <w:szCs w:val="16"/>
              </w:rPr>
            </w:pPr>
            <w:r w:rsidRPr="0005539E">
              <w:rPr>
                <w:rFonts w:cs="Arial"/>
                <w:i/>
                <w:color w:val="002060"/>
                <w:sz w:val="16"/>
                <w:szCs w:val="16"/>
              </w:rPr>
              <w:t>Updated Baseline end 2011:</w:t>
            </w:r>
            <w:r w:rsidR="0005539E">
              <w:rPr>
                <w:rFonts w:cs="Arial"/>
                <w:color w:val="002060"/>
                <w:sz w:val="16"/>
                <w:szCs w:val="16"/>
              </w:rPr>
              <w:t xml:space="preserve">  </w:t>
            </w:r>
            <w:r w:rsidRPr="0005539E">
              <w:rPr>
                <w:rFonts w:cs="Arial"/>
                <w:color w:val="002060"/>
                <w:sz w:val="16"/>
                <w:szCs w:val="16"/>
              </w:rPr>
              <w:t>75</w:t>
            </w:r>
          </w:p>
          <w:p w:rsidR="00205A3D" w:rsidRPr="0005539E" w:rsidRDefault="00205A3D" w:rsidP="008B3E53">
            <w:pPr>
              <w:rPr>
                <w:rFonts w:cs="Arial"/>
                <w:color w:val="002060"/>
                <w:sz w:val="16"/>
                <w:szCs w:val="16"/>
              </w:rPr>
            </w:pPr>
          </w:p>
          <w:p w:rsidR="00205A3D" w:rsidRPr="0005539E" w:rsidRDefault="00205A3D" w:rsidP="008B3E53">
            <w:pPr>
              <w:rPr>
                <w:rFonts w:cs="Arial"/>
                <w:sz w:val="16"/>
                <w:szCs w:val="16"/>
              </w:rPr>
            </w:pPr>
            <w:r w:rsidRPr="0005539E">
              <w:rPr>
                <w:rFonts w:cs="Arial"/>
                <w:i/>
                <w:sz w:val="16"/>
                <w:szCs w:val="16"/>
              </w:rPr>
              <w:t>Original Baseline P&amp;B 2012/13:</w:t>
            </w:r>
          </w:p>
          <w:p w:rsidR="00205A3D" w:rsidRPr="0005539E" w:rsidRDefault="00205A3D" w:rsidP="008B3E53">
            <w:pPr>
              <w:rPr>
                <w:rFonts w:cs="Arial"/>
                <w:sz w:val="16"/>
                <w:szCs w:val="16"/>
              </w:rPr>
            </w:pPr>
            <w:r w:rsidRPr="0005539E">
              <w:rPr>
                <w:rFonts w:cs="Arial"/>
                <w:sz w:val="16"/>
                <w:szCs w:val="16"/>
              </w:rPr>
              <w:t>58 (out of 795)</w:t>
            </w:r>
          </w:p>
        </w:tc>
        <w:tc>
          <w:tcPr>
            <w:tcW w:w="828" w:type="pct"/>
            <w:tcBorders>
              <w:bottom w:val="single" w:sz="4" w:space="0" w:color="auto"/>
            </w:tcBorders>
            <w:shd w:val="clear" w:color="auto" w:fill="auto"/>
            <w:tcMar>
              <w:top w:w="110" w:type="dxa"/>
            </w:tcMar>
          </w:tcPr>
          <w:p w:rsidR="00205A3D" w:rsidRPr="0005539E" w:rsidRDefault="00205A3D" w:rsidP="008B3E53">
            <w:pPr>
              <w:spacing w:after="120"/>
              <w:rPr>
                <w:rFonts w:cs="Arial"/>
                <w:sz w:val="16"/>
                <w:szCs w:val="16"/>
              </w:rPr>
            </w:pPr>
            <w:r w:rsidRPr="0005539E">
              <w:rPr>
                <w:rFonts w:cs="Arial"/>
                <w:sz w:val="16"/>
                <w:szCs w:val="16"/>
              </w:rPr>
              <w:t>75</w:t>
            </w:r>
          </w:p>
        </w:tc>
        <w:tc>
          <w:tcPr>
            <w:tcW w:w="1760" w:type="pct"/>
            <w:tcBorders>
              <w:bottom w:val="single" w:sz="4" w:space="0" w:color="auto"/>
            </w:tcBorders>
            <w:shd w:val="clear" w:color="auto" w:fill="FFFFFF"/>
            <w:tcMar>
              <w:top w:w="110" w:type="dxa"/>
            </w:tcMar>
          </w:tcPr>
          <w:p w:rsidR="00205A3D" w:rsidRPr="0005539E" w:rsidRDefault="00205A3D" w:rsidP="008B3E53">
            <w:pPr>
              <w:rPr>
                <w:rFonts w:cs="Arial"/>
                <w:sz w:val="16"/>
                <w:szCs w:val="16"/>
              </w:rPr>
            </w:pPr>
            <w:r w:rsidRPr="0005539E">
              <w:rPr>
                <w:rFonts w:cs="Arial"/>
                <w:sz w:val="16"/>
                <w:szCs w:val="16"/>
                <w:lang w:bidi="th-TH"/>
              </w:rPr>
              <w:t>67 (out of 816)</w:t>
            </w:r>
          </w:p>
        </w:tc>
        <w:tc>
          <w:tcPr>
            <w:tcW w:w="602" w:type="pct"/>
            <w:tcBorders>
              <w:bottom w:val="single" w:sz="4" w:space="0" w:color="auto"/>
            </w:tcBorders>
            <w:shd w:val="clear" w:color="auto" w:fill="auto"/>
            <w:tcMar>
              <w:top w:w="110" w:type="dxa"/>
            </w:tcMar>
          </w:tcPr>
          <w:p w:rsidR="00205A3D" w:rsidRPr="0005539E" w:rsidRDefault="00205A3D" w:rsidP="008B3E53">
            <w:pPr>
              <w:keepNext/>
              <w:keepLines/>
              <w:jc w:val="center"/>
              <w:rPr>
                <w:rFonts w:cs="Arial"/>
                <w:bCs/>
                <w:color w:val="80808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AA396C">
              <w:rPr>
                <w:rStyle w:val="Style5"/>
                <w:rFonts w:ascii="Arial" w:hAnsi="Arial" w:cs="Arial"/>
                <w:sz w:val="16"/>
                <w:szCs w:val="16"/>
              </w:rPr>
              <w:t xml:space="preserve"> </w:t>
            </w:r>
          </w:p>
        </w:tc>
      </w:tr>
      <w:tr w:rsidR="00205A3D" w:rsidRPr="0005539E" w:rsidTr="00C96791">
        <w:trPr>
          <w:cantSplit/>
        </w:trPr>
        <w:tc>
          <w:tcPr>
            <w:tcW w:w="5000" w:type="pct"/>
            <w:gridSpan w:val="5"/>
            <w:tcBorders>
              <w:top w:val="single" w:sz="4" w:space="0" w:color="auto"/>
              <w:bottom w:val="single" w:sz="4" w:space="0" w:color="auto"/>
            </w:tcBorders>
            <w:shd w:val="clear" w:color="auto" w:fill="CCFFFF"/>
            <w:vAlign w:val="center"/>
          </w:tcPr>
          <w:p w:rsidR="00205A3D" w:rsidRPr="0005539E" w:rsidRDefault="00205A3D" w:rsidP="008B3E53">
            <w:pPr>
              <w:keepNext/>
              <w:keepLines/>
              <w:tabs>
                <w:tab w:val="left" w:pos="1452"/>
              </w:tabs>
              <w:spacing w:before="120" w:after="120"/>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05539E">
              <w:rPr>
                <w:rFonts w:cs="Arial"/>
                <w:sz w:val="16"/>
                <w:szCs w:val="16"/>
              </w:rPr>
              <w:t>Better opera</w:t>
            </w:r>
            <w:r w:rsidR="00601859">
              <w:rPr>
                <w:rFonts w:cs="Arial"/>
                <w:sz w:val="16"/>
                <w:szCs w:val="16"/>
              </w:rPr>
              <w:t>tions of the Madrid and Lisbon S</w:t>
            </w:r>
            <w:r w:rsidRPr="0005539E">
              <w:rPr>
                <w:rFonts w:cs="Arial"/>
                <w:sz w:val="16"/>
                <w:szCs w:val="16"/>
              </w:rPr>
              <w:t>ystems</w:t>
            </w:r>
          </w:p>
        </w:tc>
      </w:tr>
      <w:tr w:rsidR="00205A3D" w:rsidRPr="004C7D99" w:rsidTr="00C96791">
        <w:trPr>
          <w:cantSplit/>
        </w:trPr>
        <w:tc>
          <w:tcPr>
            <w:tcW w:w="894" w:type="pct"/>
            <w:tcBorders>
              <w:top w:val="single" w:sz="4" w:space="0" w:color="auto"/>
            </w:tcBorders>
            <w:shd w:val="clear" w:color="auto" w:fill="auto"/>
            <w:vAlign w:val="center"/>
          </w:tcPr>
          <w:p w:rsidR="00205A3D" w:rsidRPr="004C7D99" w:rsidRDefault="00205A3D" w:rsidP="008B3E53">
            <w:pPr>
              <w:rPr>
                <w:rFonts w:cs="Arial"/>
                <w:sz w:val="16"/>
                <w:szCs w:val="16"/>
              </w:rPr>
            </w:pPr>
            <w:r w:rsidRPr="004C7D99">
              <w:rPr>
                <w:rFonts w:cs="Arial"/>
                <w:b/>
                <w:bCs/>
                <w:sz w:val="16"/>
                <w:szCs w:val="16"/>
              </w:rPr>
              <w:t>Performance Indicators</w:t>
            </w:r>
          </w:p>
        </w:tc>
        <w:tc>
          <w:tcPr>
            <w:tcW w:w="915" w:type="pct"/>
            <w:tcBorders>
              <w:top w:val="single" w:sz="4" w:space="0" w:color="auto"/>
            </w:tcBorders>
            <w:shd w:val="clear" w:color="auto" w:fill="auto"/>
            <w:vAlign w:val="center"/>
          </w:tcPr>
          <w:p w:rsidR="00205A3D" w:rsidRPr="004C7D99" w:rsidRDefault="00205A3D" w:rsidP="008B3E53">
            <w:pPr>
              <w:rPr>
                <w:rFonts w:cs="Arial"/>
                <w:b/>
                <w:bCs/>
                <w:sz w:val="16"/>
                <w:szCs w:val="16"/>
              </w:rPr>
            </w:pPr>
            <w:r w:rsidRPr="004C7D99">
              <w:rPr>
                <w:rFonts w:cs="Arial"/>
                <w:b/>
                <w:bCs/>
                <w:sz w:val="16"/>
                <w:szCs w:val="16"/>
              </w:rPr>
              <w:t>Baselines</w:t>
            </w:r>
          </w:p>
        </w:tc>
        <w:tc>
          <w:tcPr>
            <w:tcW w:w="828" w:type="pct"/>
            <w:tcBorders>
              <w:top w:val="single" w:sz="4" w:space="0" w:color="auto"/>
            </w:tcBorders>
            <w:shd w:val="clear" w:color="auto" w:fill="auto"/>
            <w:tcMar>
              <w:top w:w="110" w:type="dxa"/>
            </w:tcMar>
            <w:vAlign w:val="center"/>
          </w:tcPr>
          <w:p w:rsidR="00205A3D" w:rsidRPr="004C7D99" w:rsidRDefault="00205A3D" w:rsidP="008B3E53">
            <w:pPr>
              <w:rPr>
                <w:rFonts w:cs="Arial"/>
                <w:b/>
                <w:sz w:val="16"/>
                <w:szCs w:val="16"/>
              </w:rPr>
            </w:pPr>
            <w:r w:rsidRPr="004C7D99">
              <w:rPr>
                <w:rFonts w:cs="Arial"/>
                <w:b/>
                <w:sz w:val="16"/>
                <w:szCs w:val="16"/>
              </w:rPr>
              <w:t>Target</w:t>
            </w:r>
            <w:r w:rsidR="00582788" w:rsidRPr="004C7D99">
              <w:rPr>
                <w:rFonts w:cs="Arial"/>
                <w:b/>
                <w:sz w:val="16"/>
                <w:szCs w:val="16"/>
              </w:rPr>
              <w:t>s</w:t>
            </w:r>
          </w:p>
        </w:tc>
        <w:tc>
          <w:tcPr>
            <w:tcW w:w="1760" w:type="pct"/>
            <w:tcBorders>
              <w:top w:val="single" w:sz="4" w:space="0" w:color="auto"/>
            </w:tcBorders>
            <w:shd w:val="clear" w:color="auto" w:fill="FFFFFF"/>
            <w:tcMar>
              <w:top w:w="110" w:type="dxa"/>
            </w:tcMar>
            <w:vAlign w:val="center"/>
          </w:tcPr>
          <w:p w:rsidR="00205A3D" w:rsidRPr="004C7D99" w:rsidRDefault="00205A3D" w:rsidP="008B3E53">
            <w:pPr>
              <w:rPr>
                <w:rFonts w:cs="Arial"/>
                <w:sz w:val="16"/>
                <w:szCs w:val="16"/>
              </w:rPr>
            </w:pPr>
            <w:r w:rsidRPr="004C7D99">
              <w:rPr>
                <w:rFonts w:cs="Arial"/>
                <w:b/>
                <w:bCs/>
                <w:sz w:val="16"/>
                <w:szCs w:val="16"/>
              </w:rPr>
              <w:t>Performance Data</w:t>
            </w:r>
          </w:p>
        </w:tc>
        <w:tc>
          <w:tcPr>
            <w:tcW w:w="602" w:type="pct"/>
            <w:tcBorders>
              <w:top w:val="single" w:sz="4" w:space="0" w:color="auto"/>
            </w:tcBorders>
            <w:shd w:val="clear" w:color="auto" w:fill="auto"/>
            <w:tcMar>
              <w:top w:w="110" w:type="dxa"/>
            </w:tcMar>
            <w:vAlign w:val="center"/>
          </w:tcPr>
          <w:p w:rsidR="00205A3D" w:rsidRPr="004C7D99" w:rsidRDefault="00205A3D" w:rsidP="008B3E53">
            <w:pPr>
              <w:keepNext/>
              <w:keepLines/>
              <w:jc w:val="center"/>
              <w:rPr>
                <w:rFonts w:cs="Arial"/>
                <w:b/>
                <w:bCs/>
                <w:sz w:val="16"/>
                <w:szCs w:val="16"/>
              </w:rPr>
            </w:pPr>
            <w:r w:rsidRPr="004C7D99">
              <w:rPr>
                <w:rFonts w:cs="Arial"/>
                <w:b/>
                <w:bCs/>
                <w:sz w:val="16"/>
                <w:szCs w:val="16"/>
              </w:rPr>
              <w:t>TLS</w:t>
            </w:r>
          </w:p>
        </w:tc>
      </w:tr>
      <w:tr w:rsidR="00205A3D" w:rsidRPr="0005539E" w:rsidTr="00C96791">
        <w:trPr>
          <w:cantSplit/>
        </w:trPr>
        <w:tc>
          <w:tcPr>
            <w:tcW w:w="894" w:type="pct"/>
            <w:shd w:val="clear" w:color="auto" w:fill="FFFFFF"/>
          </w:tcPr>
          <w:p w:rsidR="00205A3D" w:rsidRPr="0005539E" w:rsidRDefault="00205A3D" w:rsidP="008B3E53">
            <w:pPr>
              <w:rPr>
                <w:rFonts w:cs="Arial"/>
                <w:sz w:val="16"/>
                <w:szCs w:val="16"/>
              </w:rPr>
            </w:pPr>
            <w:r w:rsidRPr="0005539E">
              <w:rPr>
                <w:rFonts w:cs="Arial"/>
                <w:sz w:val="16"/>
                <w:szCs w:val="16"/>
              </w:rPr>
              <w:t>Average processing time of new applications without irregularities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25 days (end 2011)</w:t>
            </w:r>
          </w:p>
          <w:p w:rsidR="00205A3D" w:rsidRPr="0005539E"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w:t>
            </w:r>
            <w:r w:rsidRPr="0005539E">
              <w:rPr>
                <w:rFonts w:cs="Arial"/>
                <w:sz w:val="16"/>
                <w:szCs w:val="16"/>
              </w:rPr>
              <w:t>:</w:t>
            </w:r>
          </w:p>
          <w:p w:rsidR="00205A3D" w:rsidRPr="0005539E" w:rsidRDefault="00205A3D" w:rsidP="008B3E53">
            <w:pPr>
              <w:rPr>
                <w:rFonts w:cs="Arial"/>
                <w:sz w:val="16"/>
                <w:szCs w:val="16"/>
              </w:rPr>
            </w:pPr>
            <w:r w:rsidRPr="0005539E">
              <w:rPr>
                <w:rFonts w:cs="Arial"/>
                <w:sz w:val="16"/>
                <w:szCs w:val="16"/>
              </w:rPr>
              <w:t>24 days (end 2010)</w:t>
            </w:r>
          </w:p>
        </w:tc>
        <w:tc>
          <w:tcPr>
            <w:tcW w:w="828" w:type="pct"/>
            <w:shd w:val="clear" w:color="auto" w:fill="auto"/>
            <w:tcMar>
              <w:top w:w="110" w:type="dxa"/>
            </w:tcMar>
          </w:tcPr>
          <w:p w:rsidR="00205A3D" w:rsidRPr="0005539E" w:rsidRDefault="00205A3D" w:rsidP="008B3E53">
            <w:pPr>
              <w:spacing w:after="120"/>
              <w:rPr>
                <w:rFonts w:cs="Arial"/>
                <w:b/>
                <w:sz w:val="16"/>
                <w:szCs w:val="16"/>
              </w:rPr>
            </w:pPr>
            <w:r w:rsidRPr="0005539E">
              <w:rPr>
                <w:rFonts w:cs="Arial"/>
                <w:sz w:val="16"/>
                <w:szCs w:val="16"/>
              </w:rPr>
              <w:t>20 days</w:t>
            </w:r>
            <w:r w:rsidRPr="0005539E" w:rsidDel="00FD4BC5">
              <w:rPr>
                <w:rFonts w:cs="Arial"/>
                <w:b/>
                <w:sz w:val="16"/>
                <w:szCs w:val="16"/>
              </w:rPr>
              <w:t xml:space="preserve"> </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34 working days (2012)</w:t>
            </w:r>
          </w:p>
          <w:p w:rsidR="00205A3D" w:rsidRPr="0005539E" w:rsidRDefault="00205A3D" w:rsidP="008B3E53">
            <w:pPr>
              <w:rPr>
                <w:rFonts w:cs="Arial"/>
                <w:sz w:val="16"/>
                <w:szCs w:val="16"/>
                <w:lang w:bidi="th-TH"/>
              </w:rPr>
            </w:pPr>
            <w:r w:rsidRPr="0005539E">
              <w:rPr>
                <w:rFonts w:cs="Arial"/>
                <w:sz w:val="16"/>
                <w:szCs w:val="16"/>
                <w:lang w:bidi="th-TH"/>
              </w:rPr>
              <w:t>24 working days(2013)</w:t>
            </w:r>
          </w:p>
        </w:tc>
        <w:tc>
          <w:tcPr>
            <w:tcW w:w="602" w:type="pct"/>
            <w:shd w:val="clear" w:color="auto" w:fill="auto"/>
            <w:tcMar>
              <w:top w:w="110" w:type="dxa"/>
            </w:tcMar>
          </w:tcPr>
          <w:p w:rsidR="00205A3D" w:rsidRPr="0005539E" w:rsidRDefault="00205A3D" w:rsidP="008B3E53">
            <w:pPr>
              <w:keepNext/>
              <w:keepLines/>
              <w:jc w:val="center"/>
              <w:rPr>
                <w:rFonts w:cs="Arial"/>
                <w:bCs/>
                <w:color w:val="E36C0A" w:themeColor="accent6" w:themeShade="BF"/>
                <w:sz w:val="16"/>
                <w:szCs w:val="16"/>
              </w:rPr>
            </w:pPr>
            <w:r w:rsidRPr="0005539E">
              <w:rPr>
                <w:rStyle w:val="Style5"/>
                <w:rFonts w:ascii="Arial" w:hAnsi="Arial" w:cs="Arial"/>
                <w:color w:val="E36C0A" w:themeColor="accent6" w:themeShade="BF"/>
                <w:sz w:val="16"/>
                <w:szCs w:val="16"/>
              </w:rPr>
              <w:t>Partially</w:t>
            </w:r>
            <w:r w:rsidRPr="0005539E">
              <w:rPr>
                <w:rStyle w:val="Style5"/>
                <w:rFonts w:ascii="Arial" w:hAnsi="Arial" w:cs="Arial"/>
                <w:color w:val="E36C0A" w:themeColor="accent6" w:themeShade="BF"/>
                <w:sz w:val="16"/>
                <w:szCs w:val="16"/>
              </w:rPr>
              <w:br/>
              <w:t>Achieved</w:t>
            </w:r>
            <w:r w:rsidRPr="0005539E" w:rsidDel="00FD4BC5">
              <w:rPr>
                <w:rStyle w:val="Style5"/>
                <w:rFonts w:ascii="Arial" w:hAnsi="Arial" w:cs="Arial"/>
                <w:color w:val="E36C0A" w:themeColor="accent6" w:themeShade="BF"/>
                <w:sz w:val="16"/>
                <w:szCs w:val="16"/>
              </w:rPr>
              <w:t xml:space="preserve"> </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Offices sending applications in XML format and receiving designations in XML format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Five Offices</w:t>
            </w:r>
          </w:p>
        </w:tc>
        <w:tc>
          <w:tcPr>
            <w:tcW w:w="828" w:type="pct"/>
            <w:shd w:val="clear" w:color="auto" w:fill="auto"/>
            <w:tcMar>
              <w:top w:w="110" w:type="dxa"/>
            </w:tcMar>
          </w:tcPr>
          <w:p w:rsidR="00205A3D" w:rsidRPr="0005539E" w:rsidRDefault="00205A3D" w:rsidP="008B3E53">
            <w:pPr>
              <w:rPr>
                <w:rFonts w:cs="Arial"/>
                <w:sz w:val="16"/>
                <w:szCs w:val="16"/>
                <w:lang w:bidi="th-TH"/>
              </w:rPr>
            </w:pPr>
            <w:r w:rsidRPr="0005539E">
              <w:rPr>
                <w:rFonts w:cs="Arial"/>
                <w:sz w:val="16"/>
                <w:szCs w:val="16"/>
              </w:rPr>
              <w:t>Eight Offices</w:t>
            </w:r>
            <w:r w:rsidRPr="0005539E" w:rsidDel="00FD4BC5">
              <w:rPr>
                <w:rFonts w:cs="Arial"/>
                <w:sz w:val="16"/>
                <w:szCs w:val="16"/>
              </w:rPr>
              <w:t xml:space="preserve"> </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10 Offices (2012)</w:t>
            </w:r>
          </w:p>
          <w:p w:rsidR="00205A3D" w:rsidRPr="0005539E" w:rsidRDefault="00205A3D" w:rsidP="008B3E53">
            <w:pPr>
              <w:rPr>
                <w:rFonts w:cs="Arial"/>
                <w:sz w:val="16"/>
                <w:szCs w:val="16"/>
                <w:lang w:bidi="th-TH"/>
              </w:rPr>
            </w:pPr>
            <w:r w:rsidRPr="0005539E">
              <w:rPr>
                <w:rFonts w:cs="Arial"/>
                <w:sz w:val="16"/>
                <w:szCs w:val="16"/>
                <w:lang w:bidi="th-TH"/>
              </w:rPr>
              <w:t>16 Offices (2013)</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FD4BC5">
              <w:rPr>
                <w:rStyle w:val="Style5"/>
                <w:rFonts w:ascii="Arial" w:hAnsi="Arial" w:cs="Arial"/>
                <w:sz w:val="16"/>
                <w:szCs w:val="16"/>
              </w:rPr>
              <w:t xml:space="preserve"> </w:t>
            </w:r>
          </w:p>
        </w:tc>
      </w:tr>
      <w:tr w:rsidR="00205A3D" w:rsidRPr="0005539E" w:rsidTr="00C96791">
        <w:trPr>
          <w:cantSplit/>
        </w:trPr>
        <w:tc>
          <w:tcPr>
            <w:tcW w:w="894" w:type="pct"/>
            <w:shd w:val="clear" w:color="auto" w:fill="FFFFFF"/>
          </w:tcPr>
          <w:p w:rsidR="00205A3D" w:rsidRPr="0005539E" w:rsidRDefault="00205A3D" w:rsidP="008B3E53">
            <w:pPr>
              <w:rPr>
                <w:rFonts w:cs="Arial"/>
                <w:sz w:val="16"/>
                <w:szCs w:val="16"/>
              </w:rPr>
            </w:pPr>
            <w:r w:rsidRPr="0005539E">
              <w:rPr>
                <w:rFonts w:cs="Arial"/>
                <w:sz w:val="16"/>
                <w:szCs w:val="16"/>
              </w:rPr>
              <w:t>% of documents received electronically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46%</w:t>
            </w:r>
          </w:p>
        </w:tc>
        <w:tc>
          <w:tcPr>
            <w:tcW w:w="828" w:type="pct"/>
            <w:shd w:val="clear" w:color="auto" w:fill="auto"/>
            <w:tcMar>
              <w:top w:w="110" w:type="dxa"/>
            </w:tcMar>
          </w:tcPr>
          <w:p w:rsidR="00205A3D" w:rsidRPr="0005539E" w:rsidRDefault="00205A3D" w:rsidP="008B3E53">
            <w:pPr>
              <w:rPr>
                <w:rFonts w:cs="Arial"/>
                <w:sz w:val="16"/>
                <w:szCs w:val="16"/>
              </w:rPr>
            </w:pPr>
            <w:r w:rsidRPr="0005539E">
              <w:rPr>
                <w:rFonts w:cs="Arial"/>
                <w:sz w:val="16"/>
                <w:szCs w:val="16"/>
              </w:rPr>
              <w:t>60%</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65% (2012)</w:t>
            </w:r>
          </w:p>
          <w:p w:rsidR="00205A3D" w:rsidRPr="0005539E" w:rsidRDefault="00205A3D" w:rsidP="008B3E53">
            <w:pPr>
              <w:rPr>
                <w:rFonts w:cs="Arial"/>
                <w:sz w:val="16"/>
                <w:szCs w:val="16"/>
                <w:lang w:bidi="th-TH"/>
              </w:rPr>
            </w:pPr>
            <w:r w:rsidRPr="0005539E">
              <w:rPr>
                <w:rFonts w:cs="Arial"/>
                <w:sz w:val="16"/>
                <w:szCs w:val="16"/>
                <w:lang w:bidi="th-TH"/>
              </w:rPr>
              <w:t>67% (2013)</w:t>
            </w:r>
          </w:p>
        </w:tc>
        <w:tc>
          <w:tcPr>
            <w:tcW w:w="602" w:type="pct"/>
            <w:shd w:val="clear" w:color="auto" w:fill="auto"/>
            <w:tcMar>
              <w:top w:w="110" w:type="dxa"/>
            </w:tcMar>
          </w:tcPr>
          <w:p w:rsidR="00205A3D" w:rsidRPr="0005539E" w:rsidRDefault="00205A3D" w:rsidP="008B3E53">
            <w:pPr>
              <w:keepNext/>
              <w:keepLines/>
              <w:jc w:val="center"/>
              <w:rPr>
                <w:rFonts w:cs="Arial"/>
                <w:bCs/>
                <w:color w:val="00800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FD4BC5">
              <w:rPr>
                <w:rStyle w:val="Style5"/>
                <w:rFonts w:ascii="Arial" w:hAnsi="Arial" w:cs="Arial"/>
                <w:sz w:val="16"/>
                <w:szCs w:val="16"/>
              </w:rPr>
              <w:t xml:space="preserve"> </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clients receiving email notifications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23,800</w:t>
            </w:r>
          </w:p>
        </w:tc>
        <w:tc>
          <w:tcPr>
            <w:tcW w:w="828" w:type="pct"/>
            <w:shd w:val="clear" w:color="auto" w:fill="auto"/>
            <w:tcMar>
              <w:top w:w="110" w:type="dxa"/>
            </w:tcMar>
          </w:tcPr>
          <w:p w:rsidR="00205A3D" w:rsidRPr="0005539E" w:rsidRDefault="00205A3D" w:rsidP="008B3E53">
            <w:pPr>
              <w:rPr>
                <w:rFonts w:cs="Arial"/>
                <w:sz w:val="16"/>
                <w:szCs w:val="16"/>
                <w:lang w:bidi="th-TH"/>
              </w:rPr>
            </w:pPr>
            <w:r w:rsidRPr="0005539E">
              <w:rPr>
                <w:rFonts w:cs="Arial"/>
                <w:sz w:val="16"/>
                <w:szCs w:val="16"/>
              </w:rPr>
              <w:t>26,000</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 xml:space="preserve">No. of marks which subscribed to email notifications: </w:t>
            </w:r>
          </w:p>
          <w:p w:rsidR="00205A3D" w:rsidRPr="0005539E" w:rsidRDefault="00205A3D" w:rsidP="008B3E53">
            <w:pPr>
              <w:rPr>
                <w:rFonts w:cs="Arial"/>
                <w:sz w:val="16"/>
                <w:szCs w:val="16"/>
                <w:lang w:bidi="th-TH"/>
              </w:rPr>
            </w:pPr>
            <w:r w:rsidRPr="0005539E">
              <w:rPr>
                <w:rFonts w:cs="Arial"/>
                <w:sz w:val="16"/>
                <w:szCs w:val="16"/>
                <w:lang w:bidi="th-TH"/>
              </w:rPr>
              <w:t xml:space="preserve">50,000 (2012); </w:t>
            </w:r>
          </w:p>
          <w:p w:rsidR="00205A3D" w:rsidRPr="0005539E" w:rsidRDefault="00205A3D" w:rsidP="008B3E53">
            <w:pPr>
              <w:rPr>
                <w:rFonts w:cs="Arial"/>
                <w:sz w:val="16"/>
                <w:szCs w:val="16"/>
                <w:lang w:bidi="th-TH"/>
              </w:rPr>
            </w:pPr>
            <w:r w:rsidRPr="0005539E">
              <w:rPr>
                <w:rFonts w:cs="Arial"/>
                <w:sz w:val="16"/>
                <w:szCs w:val="16"/>
                <w:lang w:bidi="th-TH"/>
              </w:rPr>
              <w:t>158,717 (2013)</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clients using Portfolio manager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nil</w:t>
            </w:r>
          </w:p>
        </w:tc>
        <w:tc>
          <w:tcPr>
            <w:tcW w:w="828" w:type="pct"/>
            <w:shd w:val="clear" w:color="auto" w:fill="auto"/>
            <w:tcMar>
              <w:top w:w="110" w:type="dxa"/>
            </w:tcMar>
          </w:tcPr>
          <w:p w:rsidR="00205A3D" w:rsidRPr="0005539E" w:rsidRDefault="00205A3D" w:rsidP="008B3E53">
            <w:pPr>
              <w:rPr>
                <w:rFonts w:cs="Arial"/>
                <w:sz w:val="16"/>
                <w:szCs w:val="16"/>
              </w:rPr>
            </w:pPr>
            <w:r w:rsidRPr="0005539E">
              <w:rPr>
                <w:rFonts w:cs="Arial"/>
                <w:sz w:val="16"/>
                <w:szCs w:val="16"/>
              </w:rPr>
              <w:t>400</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400 (2012)</w:t>
            </w:r>
          </w:p>
          <w:p w:rsidR="00205A3D" w:rsidRPr="0005539E" w:rsidRDefault="00205A3D" w:rsidP="008B3E53">
            <w:pPr>
              <w:rPr>
                <w:rFonts w:cs="Arial"/>
                <w:sz w:val="16"/>
                <w:szCs w:val="16"/>
                <w:lang w:bidi="th-TH"/>
              </w:rPr>
            </w:pPr>
            <w:r w:rsidRPr="0005539E">
              <w:rPr>
                <w:rFonts w:cs="Arial"/>
                <w:sz w:val="16"/>
                <w:szCs w:val="16"/>
                <w:lang w:bidi="th-TH"/>
              </w:rPr>
              <w:t>714 (2013)</w:t>
            </w:r>
          </w:p>
        </w:tc>
        <w:tc>
          <w:tcPr>
            <w:tcW w:w="602" w:type="pct"/>
            <w:shd w:val="clear" w:color="auto" w:fill="auto"/>
            <w:tcMar>
              <w:top w:w="110" w:type="dxa"/>
            </w:tcMar>
            <w:vAlign w:val="center"/>
          </w:tcPr>
          <w:p w:rsidR="00205A3D" w:rsidRPr="0005539E" w:rsidRDefault="00205A3D" w:rsidP="008B3E53">
            <w:pPr>
              <w:keepNext/>
              <w:keepLines/>
              <w:spacing w:after="120"/>
              <w:jc w:val="center"/>
              <w:rPr>
                <w:rFonts w:cs="Arial"/>
                <w:bCs/>
                <w:color w:val="00800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No. of fully automated processes (</w:t>
            </w:r>
            <w:r w:rsidR="00601859">
              <w:rPr>
                <w:rFonts w:cs="Arial"/>
                <w:sz w:val="16"/>
                <w:szCs w:val="16"/>
              </w:rPr>
              <w:t>Madrid System</w:t>
            </w:r>
            <w:r w:rsidRPr="0005539E">
              <w:rPr>
                <w:rFonts w:cs="Arial"/>
                <w:sz w:val="16"/>
                <w:szCs w:val="16"/>
              </w:rPr>
              <w:t xml:space="preserve">) </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r w:rsidR="0005539E">
              <w:rPr>
                <w:rFonts w:cs="Arial"/>
                <w:i/>
                <w:color w:val="002060"/>
                <w:sz w:val="16"/>
                <w:szCs w:val="16"/>
              </w:rPr>
              <w:t xml:space="preserve">  </w:t>
            </w:r>
            <w:r w:rsidRPr="0005539E">
              <w:rPr>
                <w:rFonts w:cs="Arial"/>
                <w:color w:val="002060"/>
                <w:sz w:val="16"/>
                <w:szCs w:val="16"/>
              </w:rPr>
              <w:t>Decisions by Offices: 53 % automated (2011)</w:t>
            </w:r>
          </w:p>
          <w:p w:rsidR="00205A3D" w:rsidRPr="008539B9"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w:t>
            </w:r>
          </w:p>
          <w:p w:rsidR="00205A3D" w:rsidRPr="0005539E" w:rsidRDefault="004C7D99" w:rsidP="008B3E53">
            <w:pPr>
              <w:rPr>
                <w:rFonts w:cs="Arial"/>
                <w:sz w:val="16"/>
                <w:szCs w:val="16"/>
              </w:rPr>
            </w:pPr>
            <w:r>
              <w:rPr>
                <w:rFonts w:cs="Arial"/>
                <w:sz w:val="16"/>
                <w:szCs w:val="16"/>
              </w:rPr>
              <w:t xml:space="preserve">Provisional refusals, renewals, </w:t>
            </w:r>
            <w:r w:rsidR="00205A3D" w:rsidRPr="0005539E">
              <w:rPr>
                <w:rFonts w:cs="Arial"/>
                <w:sz w:val="16"/>
                <w:szCs w:val="16"/>
              </w:rPr>
              <w:t>Automatic translation (Final Decision, Grant of protection)</w:t>
            </w:r>
          </w:p>
        </w:tc>
        <w:tc>
          <w:tcPr>
            <w:tcW w:w="828" w:type="pct"/>
            <w:shd w:val="clear" w:color="auto" w:fill="auto"/>
            <w:tcMar>
              <w:top w:w="110" w:type="dxa"/>
            </w:tcMar>
          </w:tcPr>
          <w:p w:rsidR="00205A3D" w:rsidRPr="004C7D99" w:rsidRDefault="00205A3D" w:rsidP="008B3E53">
            <w:pPr>
              <w:rPr>
                <w:rFonts w:cs="Arial"/>
                <w:sz w:val="16"/>
                <w:szCs w:val="16"/>
              </w:rPr>
            </w:pPr>
            <w:r w:rsidRPr="0005539E">
              <w:rPr>
                <w:rFonts w:cs="Arial"/>
                <w:sz w:val="16"/>
                <w:szCs w:val="16"/>
              </w:rPr>
              <w:t>Provisional refusals,</w:t>
            </w:r>
            <w:r w:rsidR="004C7D99">
              <w:rPr>
                <w:rFonts w:cs="Arial"/>
                <w:sz w:val="16"/>
                <w:szCs w:val="16"/>
              </w:rPr>
              <w:t xml:space="preserve"> </w:t>
            </w:r>
            <w:r w:rsidRPr="0005539E">
              <w:rPr>
                <w:rFonts w:cs="Arial"/>
                <w:sz w:val="16"/>
                <w:szCs w:val="16"/>
              </w:rPr>
              <w:t>renewals,</w:t>
            </w:r>
            <w:r w:rsidR="004C7D99">
              <w:rPr>
                <w:rFonts w:cs="Arial"/>
                <w:sz w:val="16"/>
                <w:szCs w:val="16"/>
              </w:rPr>
              <w:t xml:space="preserve"> </w:t>
            </w:r>
            <w:r w:rsidRPr="0005539E">
              <w:rPr>
                <w:rFonts w:cs="Arial"/>
                <w:sz w:val="16"/>
                <w:szCs w:val="16"/>
              </w:rPr>
              <w:t>Automatic translation</w:t>
            </w:r>
            <w:r w:rsidR="004C7D99">
              <w:rPr>
                <w:rFonts w:cs="Arial"/>
                <w:sz w:val="16"/>
                <w:szCs w:val="16"/>
              </w:rPr>
              <w:t xml:space="preserve"> </w:t>
            </w:r>
            <w:r w:rsidRPr="0005539E">
              <w:rPr>
                <w:rFonts w:cs="Arial"/>
                <w:sz w:val="16"/>
                <w:szCs w:val="16"/>
              </w:rPr>
              <w:t>(Final Decision, Grant</w:t>
            </w:r>
            <w:r w:rsidR="004C7D99">
              <w:rPr>
                <w:rFonts w:cs="Arial"/>
                <w:sz w:val="16"/>
                <w:szCs w:val="16"/>
              </w:rPr>
              <w:t xml:space="preserve"> </w:t>
            </w:r>
            <w:r w:rsidRPr="0005539E">
              <w:rPr>
                <w:rFonts w:cs="Arial"/>
                <w:sz w:val="16"/>
                <w:szCs w:val="16"/>
              </w:rPr>
              <w:t>of Protection),</w:t>
            </w:r>
            <w:r w:rsidR="004C7D99">
              <w:rPr>
                <w:rFonts w:cs="Arial"/>
                <w:sz w:val="16"/>
                <w:szCs w:val="16"/>
              </w:rPr>
              <w:t xml:space="preserve"> </w:t>
            </w:r>
            <w:r w:rsidRPr="0005539E">
              <w:rPr>
                <w:rFonts w:cs="Arial"/>
                <w:sz w:val="16"/>
                <w:szCs w:val="16"/>
              </w:rPr>
              <w:t>limitations,</w:t>
            </w:r>
            <w:r w:rsidR="004C7D99">
              <w:rPr>
                <w:rFonts w:cs="Arial"/>
                <w:sz w:val="16"/>
                <w:szCs w:val="16"/>
              </w:rPr>
              <w:t xml:space="preserve"> </w:t>
            </w:r>
            <w:r w:rsidRPr="0005539E">
              <w:rPr>
                <w:rFonts w:cs="Arial"/>
                <w:sz w:val="16"/>
                <w:szCs w:val="16"/>
              </w:rPr>
              <w:t>subsequent</w:t>
            </w:r>
            <w:r w:rsidR="004C7D99">
              <w:rPr>
                <w:rFonts w:cs="Arial"/>
                <w:sz w:val="16"/>
                <w:szCs w:val="16"/>
              </w:rPr>
              <w:t xml:space="preserve"> </w:t>
            </w:r>
            <w:r w:rsidRPr="0005539E">
              <w:rPr>
                <w:rFonts w:cs="Arial"/>
                <w:sz w:val="16"/>
                <w:szCs w:val="16"/>
              </w:rPr>
              <w:t>designations</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 xml:space="preserve">Decisions by offices: </w:t>
            </w:r>
          </w:p>
          <w:p w:rsidR="00205A3D" w:rsidRPr="0005539E" w:rsidRDefault="00205A3D" w:rsidP="008B3E53">
            <w:pPr>
              <w:rPr>
                <w:rFonts w:cs="Arial"/>
                <w:sz w:val="16"/>
                <w:szCs w:val="16"/>
                <w:lang w:bidi="th-TH"/>
              </w:rPr>
            </w:pPr>
            <w:r w:rsidRPr="0005539E">
              <w:rPr>
                <w:rFonts w:cs="Arial"/>
                <w:sz w:val="16"/>
                <w:szCs w:val="16"/>
                <w:lang w:bidi="th-TH"/>
              </w:rPr>
              <w:t xml:space="preserve">2012: </w:t>
            </w:r>
            <w:r w:rsidR="004C7D99">
              <w:rPr>
                <w:rFonts w:cs="Arial"/>
                <w:sz w:val="16"/>
                <w:szCs w:val="16"/>
                <w:lang w:bidi="th-TH"/>
              </w:rPr>
              <w:t xml:space="preserve"> </w:t>
            </w:r>
            <w:r w:rsidRPr="0005539E">
              <w:rPr>
                <w:rFonts w:cs="Arial"/>
                <w:sz w:val="16"/>
                <w:szCs w:val="16"/>
                <w:lang w:bidi="th-TH"/>
              </w:rPr>
              <w:t>55%</w:t>
            </w:r>
            <w:r w:rsidRPr="0005539E">
              <w:rPr>
                <w:rStyle w:val="FootnoteReference"/>
                <w:rFonts w:cs="Arial"/>
                <w:sz w:val="16"/>
                <w:szCs w:val="16"/>
                <w:lang w:bidi="th-TH"/>
              </w:rPr>
              <w:footnoteReference w:id="10"/>
            </w:r>
            <w:r w:rsidRPr="0005539E">
              <w:rPr>
                <w:rFonts w:cs="Arial"/>
                <w:sz w:val="16"/>
                <w:szCs w:val="16"/>
                <w:lang w:bidi="th-TH"/>
              </w:rPr>
              <w:t xml:space="preserve"> of transactions processed through fully automated processes (2012); </w:t>
            </w:r>
          </w:p>
          <w:p w:rsidR="00205A3D" w:rsidRPr="0005539E" w:rsidRDefault="00205A3D" w:rsidP="008B3E53">
            <w:pPr>
              <w:rPr>
                <w:rFonts w:cs="Arial"/>
                <w:sz w:val="16"/>
                <w:szCs w:val="16"/>
                <w:lang w:bidi="th-TH"/>
              </w:rPr>
            </w:pPr>
            <w:r w:rsidRPr="0005539E">
              <w:rPr>
                <w:rFonts w:cs="Arial"/>
                <w:sz w:val="16"/>
                <w:szCs w:val="16"/>
                <w:lang w:bidi="th-TH"/>
              </w:rPr>
              <w:t xml:space="preserve">2013: </w:t>
            </w:r>
            <w:r w:rsidR="004C7D99">
              <w:rPr>
                <w:rFonts w:cs="Arial"/>
                <w:sz w:val="16"/>
                <w:szCs w:val="16"/>
                <w:lang w:bidi="th-TH"/>
              </w:rPr>
              <w:t xml:space="preserve"> </w:t>
            </w:r>
            <w:r w:rsidRPr="0005539E">
              <w:rPr>
                <w:rFonts w:cs="Arial"/>
                <w:sz w:val="16"/>
                <w:szCs w:val="16"/>
                <w:lang w:bidi="th-TH"/>
              </w:rPr>
              <w:t>61% of transactions processed through fully automated processes</w:t>
            </w:r>
            <w:r w:rsidR="004C7D99">
              <w:rPr>
                <w:rFonts w:cs="Arial"/>
                <w:sz w:val="16"/>
                <w:szCs w:val="16"/>
                <w:lang w:bidi="th-TH"/>
              </w:rPr>
              <w:t>.</w:t>
            </w:r>
            <w:r w:rsidRPr="0005539E">
              <w:rPr>
                <w:rFonts w:cs="Arial"/>
                <w:sz w:val="16"/>
                <w:szCs w:val="16"/>
                <w:lang w:bidi="th-TH"/>
              </w:rPr>
              <w:t xml:space="preserve">  </w:t>
            </w:r>
          </w:p>
          <w:p w:rsidR="00205A3D" w:rsidRPr="0005539E" w:rsidRDefault="00205A3D" w:rsidP="008B3E53">
            <w:pPr>
              <w:rPr>
                <w:rFonts w:cs="Arial"/>
                <w:sz w:val="16"/>
                <w:szCs w:val="16"/>
                <w:lang w:bidi="th-TH"/>
              </w:rPr>
            </w:pPr>
          </w:p>
          <w:p w:rsidR="00205A3D" w:rsidRPr="0005539E" w:rsidRDefault="00205A3D" w:rsidP="008B3E53">
            <w:pPr>
              <w:rPr>
                <w:rFonts w:cs="Arial"/>
                <w:sz w:val="16"/>
                <w:szCs w:val="16"/>
              </w:rPr>
            </w:pPr>
            <w:r w:rsidRPr="0005539E">
              <w:rPr>
                <w:rFonts w:cs="Arial"/>
                <w:sz w:val="16"/>
                <w:szCs w:val="16"/>
              </w:rPr>
              <w:t xml:space="preserve">Renewals: </w:t>
            </w:r>
            <w:r w:rsidR="004C7D99">
              <w:rPr>
                <w:rFonts w:cs="Arial"/>
                <w:sz w:val="16"/>
                <w:szCs w:val="16"/>
              </w:rPr>
              <w:t xml:space="preserve"> </w:t>
            </w:r>
            <w:r w:rsidRPr="0005539E">
              <w:rPr>
                <w:rFonts w:cs="Arial"/>
                <w:sz w:val="16"/>
                <w:szCs w:val="16"/>
              </w:rPr>
              <w:t xml:space="preserve">54% of transactions processed through fully </w:t>
            </w:r>
            <w:proofErr w:type="gramStart"/>
            <w:r w:rsidRPr="0005539E">
              <w:rPr>
                <w:rFonts w:cs="Arial"/>
                <w:sz w:val="16"/>
                <w:szCs w:val="16"/>
              </w:rPr>
              <w:t>automated  processes</w:t>
            </w:r>
            <w:proofErr w:type="gramEnd"/>
            <w:r w:rsidRPr="0005539E">
              <w:rPr>
                <w:rFonts w:cs="Arial"/>
                <w:sz w:val="16"/>
                <w:szCs w:val="16"/>
              </w:rPr>
              <w:t xml:space="preserve"> (2012); 59% of transactions processed through fully automated  processes (2013)</w:t>
            </w:r>
            <w:r w:rsidR="004C7D99">
              <w:rPr>
                <w:rFonts w:cs="Arial"/>
                <w:sz w:val="16"/>
                <w:szCs w:val="16"/>
              </w:rPr>
              <w:t>.</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shd w:val="clear" w:color="auto" w:fill="FFFFFF"/>
          </w:tcPr>
          <w:p w:rsidR="00205A3D" w:rsidRPr="0005539E" w:rsidRDefault="00205A3D" w:rsidP="008B3E53">
            <w:pPr>
              <w:keepNext/>
              <w:keepLines/>
              <w:rPr>
                <w:rFonts w:cs="Arial"/>
                <w:sz w:val="16"/>
                <w:szCs w:val="16"/>
              </w:rPr>
            </w:pPr>
            <w:r w:rsidRPr="0005539E">
              <w:rPr>
                <w:rFonts w:cs="Arial"/>
                <w:sz w:val="16"/>
                <w:szCs w:val="16"/>
              </w:rPr>
              <w:t>% of corrections inscribed compared to the total of operations inscribed (with the exception of refusals and final decisions) (</w:t>
            </w:r>
            <w:r w:rsidR="00601859">
              <w:rPr>
                <w:rFonts w:cs="Arial"/>
                <w:sz w:val="16"/>
                <w:szCs w:val="16"/>
              </w:rPr>
              <w:t>Madrid System</w:t>
            </w:r>
            <w:r w:rsidRPr="0005539E">
              <w:rPr>
                <w:rFonts w:cs="Arial"/>
                <w:sz w:val="16"/>
                <w:szCs w:val="16"/>
              </w:rPr>
              <w:t>)</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4.7% (2011)</w:t>
            </w:r>
          </w:p>
          <w:p w:rsidR="00205A3D" w:rsidRPr="008539B9" w:rsidRDefault="00205A3D" w:rsidP="008B3E53">
            <w:pPr>
              <w:rPr>
                <w:rFonts w:cs="Arial"/>
                <w:i/>
                <w:color w:val="002060"/>
                <w:sz w:val="8"/>
                <w:szCs w:val="8"/>
              </w:rPr>
            </w:pPr>
          </w:p>
          <w:p w:rsidR="00205A3D" w:rsidRPr="0005539E" w:rsidRDefault="00205A3D" w:rsidP="008B3E53">
            <w:pPr>
              <w:keepNext/>
              <w:keepLines/>
              <w:rPr>
                <w:rFonts w:cs="Arial"/>
                <w:sz w:val="16"/>
                <w:szCs w:val="16"/>
              </w:rPr>
            </w:pPr>
            <w:r w:rsidRPr="0005539E">
              <w:rPr>
                <w:rFonts w:cs="Arial"/>
                <w:i/>
                <w:sz w:val="16"/>
                <w:szCs w:val="16"/>
              </w:rPr>
              <w:t>Original Baseline:</w:t>
            </w:r>
          </w:p>
          <w:p w:rsidR="00205A3D" w:rsidRPr="0005539E" w:rsidRDefault="00205A3D" w:rsidP="008B3E53">
            <w:pPr>
              <w:keepNext/>
              <w:keepLines/>
              <w:rPr>
                <w:rFonts w:cs="Arial"/>
                <w:sz w:val="16"/>
                <w:szCs w:val="16"/>
              </w:rPr>
            </w:pPr>
            <w:r w:rsidRPr="0005539E">
              <w:rPr>
                <w:rFonts w:cs="Arial"/>
                <w:sz w:val="16"/>
                <w:szCs w:val="16"/>
              </w:rPr>
              <w:t>5.30%</w:t>
            </w:r>
          </w:p>
        </w:tc>
        <w:tc>
          <w:tcPr>
            <w:tcW w:w="828" w:type="pct"/>
            <w:shd w:val="clear" w:color="auto" w:fill="auto"/>
            <w:tcMar>
              <w:top w:w="110" w:type="dxa"/>
            </w:tcMar>
          </w:tcPr>
          <w:p w:rsidR="00205A3D" w:rsidRPr="0005539E" w:rsidRDefault="00205A3D" w:rsidP="008B3E53">
            <w:pPr>
              <w:rPr>
                <w:rFonts w:cs="Arial"/>
                <w:sz w:val="16"/>
                <w:szCs w:val="16"/>
                <w:lang w:bidi="th-TH"/>
              </w:rPr>
            </w:pPr>
            <w:r w:rsidRPr="0005539E">
              <w:rPr>
                <w:rFonts w:cs="Arial"/>
                <w:sz w:val="16"/>
                <w:szCs w:val="16"/>
              </w:rPr>
              <w:t>less than 4%</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3.6% (2012)</w:t>
            </w:r>
          </w:p>
          <w:p w:rsidR="00205A3D" w:rsidRPr="0005539E" w:rsidRDefault="00205A3D" w:rsidP="008B3E53">
            <w:pPr>
              <w:rPr>
                <w:rFonts w:cs="Arial"/>
                <w:sz w:val="16"/>
                <w:szCs w:val="16"/>
                <w:lang w:bidi="th-TH"/>
              </w:rPr>
            </w:pPr>
            <w:r w:rsidRPr="0005539E">
              <w:rPr>
                <w:rFonts w:cs="Arial"/>
                <w:sz w:val="16"/>
                <w:szCs w:val="16"/>
                <w:lang w:bidi="th-TH"/>
              </w:rPr>
              <w:t>4.1% (2013)</w:t>
            </w:r>
          </w:p>
        </w:tc>
        <w:tc>
          <w:tcPr>
            <w:tcW w:w="602" w:type="pct"/>
            <w:shd w:val="clear" w:color="auto" w:fill="auto"/>
            <w:tcMar>
              <w:top w:w="110" w:type="dxa"/>
            </w:tcMar>
          </w:tcPr>
          <w:p w:rsidR="00205A3D" w:rsidRPr="008539B9" w:rsidRDefault="00205A3D" w:rsidP="008B3E53">
            <w:pPr>
              <w:keepNext/>
              <w:keepLines/>
              <w:jc w:val="center"/>
              <w:rPr>
                <w:rFonts w:cs="Arial"/>
                <w:bCs/>
                <w:color w:val="E36C0A" w:themeColor="accent6" w:themeShade="BF"/>
                <w:sz w:val="16"/>
                <w:szCs w:val="16"/>
              </w:rPr>
            </w:pPr>
            <w:r w:rsidRPr="008539B9">
              <w:rPr>
                <w:rStyle w:val="Style5"/>
                <w:rFonts w:ascii="Arial" w:hAnsi="Arial" w:cs="Arial"/>
                <w:color w:val="E36C0A" w:themeColor="accent6" w:themeShade="BF"/>
                <w:sz w:val="16"/>
                <w:szCs w:val="16"/>
              </w:rPr>
              <w:t>Partially</w:t>
            </w:r>
            <w:r w:rsidRPr="008539B9">
              <w:rPr>
                <w:rStyle w:val="Style5"/>
                <w:rFonts w:ascii="Arial" w:hAnsi="Arial" w:cs="Arial"/>
                <w:color w:val="E36C0A" w:themeColor="accent6" w:themeShade="BF"/>
                <w:sz w:val="16"/>
                <w:szCs w:val="16"/>
              </w:rPr>
              <w:br/>
              <w:t>Achieved</w:t>
            </w:r>
            <w:r w:rsidRPr="008539B9" w:rsidDel="00FD4BC5">
              <w:rPr>
                <w:rStyle w:val="Style5"/>
                <w:rFonts w:ascii="Arial" w:hAnsi="Arial" w:cs="Arial"/>
                <w:color w:val="E36C0A" w:themeColor="accent6" w:themeShade="BF"/>
                <w:sz w:val="16"/>
                <w:szCs w:val="16"/>
              </w:rPr>
              <w:t xml:space="preserve"> </w:t>
            </w:r>
          </w:p>
        </w:tc>
      </w:tr>
      <w:tr w:rsidR="00205A3D" w:rsidRPr="0005539E" w:rsidTr="00C96791">
        <w:trPr>
          <w:cantSplit/>
        </w:trPr>
        <w:tc>
          <w:tcPr>
            <w:tcW w:w="894" w:type="pct"/>
            <w:shd w:val="clear" w:color="auto" w:fill="auto"/>
          </w:tcPr>
          <w:p w:rsidR="00205A3D" w:rsidRPr="0005539E" w:rsidRDefault="00205A3D" w:rsidP="008B3E53">
            <w:pPr>
              <w:spacing w:after="240"/>
              <w:rPr>
                <w:rFonts w:cs="Arial"/>
                <w:sz w:val="16"/>
                <w:szCs w:val="16"/>
              </w:rPr>
            </w:pPr>
            <w:r w:rsidRPr="0005539E">
              <w:rPr>
                <w:rFonts w:cs="Arial"/>
                <w:sz w:val="16"/>
                <w:szCs w:val="16"/>
              </w:rPr>
              <w:t>Establishment of an automated International Register (</w:t>
            </w:r>
            <w:r w:rsidR="00601859">
              <w:rPr>
                <w:rFonts w:cs="Arial"/>
                <w:sz w:val="16"/>
                <w:szCs w:val="16"/>
              </w:rPr>
              <w:t>Lisbon System</w:t>
            </w:r>
            <w:r w:rsidRPr="0005539E">
              <w:rPr>
                <w:rFonts w:cs="Arial"/>
                <w:sz w:val="16"/>
                <w:szCs w:val="16"/>
              </w:rPr>
              <w:t>)</w:t>
            </w:r>
          </w:p>
        </w:tc>
        <w:tc>
          <w:tcPr>
            <w:tcW w:w="915" w:type="pct"/>
            <w:shd w:val="clear" w:color="auto" w:fill="auto"/>
          </w:tcPr>
          <w:p w:rsidR="00205A3D" w:rsidRPr="0005539E" w:rsidRDefault="00205A3D" w:rsidP="008B3E53">
            <w:pPr>
              <w:rPr>
                <w:rFonts w:cs="Arial"/>
                <w:sz w:val="16"/>
                <w:szCs w:val="16"/>
              </w:rPr>
            </w:pPr>
            <w:r w:rsidRPr="0005539E">
              <w:rPr>
                <w:rFonts w:cs="Arial"/>
                <w:sz w:val="16"/>
                <w:szCs w:val="16"/>
              </w:rPr>
              <w:t>Status of the automation exercise at the end of 2011</w:t>
            </w:r>
          </w:p>
        </w:tc>
        <w:tc>
          <w:tcPr>
            <w:tcW w:w="828" w:type="pct"/>
            <w:shd w:val="clear" w:color="auto" w:fill="auto"/>
            <w:tcMar>
              <w:top w:w="110" w:type="dxa"/>
            </w:tcMar>
          </w:tcPr>
          <w:p w:rsidR="00205A3D" w:rsidRPr="0005539E" w:rsidRDefault="00205A3D" w:rsidP="008B3E53">
            <w:pPr>
              <w:rPr>
                <w:rFonts w:cs="Arial"/>
                <w:sz w:val="16"/>
                <w:szCs w:val="16"/>
              </w:rPr>
            </w:pPr>
            <w:r w:rsidRPr="0005539E">
              <w:rPr>
                <w:rFonts w:cs="Arial"/>
                <w:sz w:val="16"/>
                <w:szCs w:val="16"/>
              </w:rPr>
              <w:t>Fully automated</w:t>
            </w:r>
            <w:r w:rsidR="004C7D99">
              <w:rPr>
                <w:rFonts w:cs="Arial"/>
                <w:sz w:val="16"/>
                <w:szCs w:val="16"/>
              </w:rPr>
              <w:t xml:space="preserve"> </w:t>
            </w:r>
            <w:r w:rsidRPr="0005539E">
              <w:rPr>
                <w:rFonts w:cs="Arial"/>
                <w:sz w:val="16"/>
                <w:szCs w:val="16"/>
              </w:rPr>
              <w:t>notification and</w:t>
            </w:r>
            <w:r w:rsidR="004C7D99">
              <w:rPr>
                <w:rFonts w:cs="Arial"/>
                <w:sz w:val="16"/>
                <w:szCs w:val="16"/>
              </w:rPr>
              <w:t xml:space="preserve"> </w:t>
            </w:r>
            <w:r w:rsidRPr="0005539E">
              <w:rPr>
                <w:rFonts w:cs="Arial"/>
                <w:sz w:val="16"/>
                <w:szCs w:val="16"/>
              </w:rPr>
              <w:t>registration</w:t>
            </w:r>
            <w:r w:rsidR="004C7D99">
              <w:rPr>
                <w:rFonts w:cs="Arial"/>
                <w:sz w:val="16"/>
                <w:szCs w:val="16"/>
              </w:rPr>
              <w:t xml:space="preserve"> </w:t>
            </w:r>
            <w:r w:rsidRPr="0005539E">
              <w:rPr>
                <w:rFonts w:cs="Arial"/>
                <w:sz w:val="16"/>
                <w:szCs w:val="16"/>
              </w:rPr>
              <w:t>procedures</w:t>
            </w:r>
            <w:r w:rsidRPr="0005539E" w:rsidDel="00FD4BC5">
              <w:rPr>
                <w:rFonts w:cs="Arial"/>
                <w:sz w:val="16"/>
                <w:szCs w:val="16"/>
              </w:rPr>
              <w:t xml:space="preserve"> </w:t>
            </w:r>
          </w:p>
        </w:tc>
        <w:tc>
          <w:tcPr>
            <w:tcW w:w="1760" w:type="pct"/>
            <w:shd w:val="clear" w:color="auto" w:fill="FFFFFF"/>
            <w:tcMar>
              <w:top w:w="110" w:type="dxa"/>
            </w:tcMar>
          </w:tcPr>
          <w:p w:rsidR="00205A3D" w:rsidRPr="0005539E" w:rsidRDefault="00205A3D" w:rsidP="008B3E53">
            <w:pPr>
              <w:rPr>
                <w:rFonts w:cs="Arial"/>
                <w:sz w:val="16"/>
                <w:szCs w:val="16"/>
                <w:lang w:bidi="th-TH"/>
              </w:rPr>
            </w:pPr>
            <w:r w:rsidRPr="0005539E">
              <w:rPr>
                <w:rFonts w:cs="Arial"/>
                <w:sz w:val="16"/>
                <w:szCs w:val="16"/>
                <w:lang w:bidi="th-TH"/>
              </w:rPr>
              <w:t>IT application for an electronic International Register in use since the summer of 2013</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FD4BC5">
              <w:rPr>
                <w:rStyle w:val="Style5"/>
                <w:rFonts w:ascii="Arial" w:hAnsi="Arial" w:cs="Arial"/>
                <w:sz w:val="16"/>
                <w:szCs w:val="16"/>
              </w:rPr>
              <w:t xml:space="preserve"> </w:t>
            </w:r>
          </w:p>
        </w:tc>
      </w:tr>
      <w:tr w:rsidR="00205A3D" w:rsidRPr="0005539E" w:rsidTr="00C96791">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lastRenderedPageBreak/>
              <w:t>Increased number of competent authorities using electronic means of communication under Lisbon procedures</w:t>
            </w:r>
          </w:p>
        </w:tc>
        <w:tc>
          <w:tcPr>
            <w:tcW w:w="915" w:type="pct"/>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color w:val="002060"/>
                <w:sz w:val="16"/>
                <w:szCs w:val="16"/>
              </w:rPr>
            </w:pPr>
            <w:r w:rsidRPr="0005539E">
              <w:rPr>
                <w:rFonts w:cs="Arial"/>
                <w:color w:val="002060"/>
                <w:sz w:val="16"/>
                <w:szCs w:val="16"/>
              </w:rPr>
              <w:t>16 (end 2011)</w:t>
            </w:r>
          </w:p>
          <w:p w:rsidR="00205A3D" w:rsidRPr="008539B9" w:rsidRDefault="00205A3D" w:rsidP="008B3E53">
            <w:pPr>
              <w:rPr>
                <w:rFonts w:cs="Arial"/>
                <w:i/>
                <w:sz w:val="8"/>
                <w:szCs w:val="8"/>
              </w:rPr>
            </w:pPr>
          </w:p>
          <w:p w:rsidR="00205A3D" w:rsidRPr="0005539E" w:rsidRDefault="00205A3D" w:rsidP="008B3E53">
            <w:pPr>
              <w:rPr>
                <w:rFonts w:cs="Arial"/>
                <w:sz w:val="16"/>
                <w:szCs w:val="16"/>
              </w:rPr>
            </w:pPr>
            <w:r w:rsidRPr="0005539E">
              <w:rPr>
                <w:rFonts w:cs="Arial"/>
                <w:i/>
                <w:sz w:val="16"/>
                <w:szCs w:val="16"/>
              </w:rPr>
              <w:t>Original Baseline:</w:t>
            </w:r>
          </w:p>
          <w:p w:rsidR="00205A3D" w:rsidRPr="0005539E" w:rsidRDefault="00205A3D" w:rsidP="008B3E53">
            <w:pPr>
              <w:rPr>
                <w:rFonts w:cs="Arial"/>
                <w:sz w:val="16"/>
                <w:szCs w:val="16"/>
              </w:rPr>
            </w:pPr>
            <w:r w:rsidRPr="0005539E">
              <w:rPr>
                <w:rFonts w:cs="Arial"/>
                <w:sz w:val="16"/>
                <w:szCs w:val="16"/>
              </w:rPr>
              <w:t>14 (March 2011)</w:t>
            </w:r>
          </w:p>
        </w:tc>
        <w:tc>
          <w:tcPr>
            <w:tcW w:w="828" w:type="pct"/>
            <w:shd w:val="clear" w:color="auto" w:fill="auto"/>
            <w:tcMar>
              <w:top w:w="110" w:type="dxa"/>
            </w:tcMar>
          </w:tcPr>
          <w:p w:rsidR="00205A3D" w:rsidRPr="008539B9" w:rsidRDefault="00205A3D" w:rsidP="008B3E53">
            <w:pPr>
              <w:rPr>
                <w:rFonts w:cs="Arial"/>
                <w:sz w:val="16"/>
                <w:szCs w:val="16"/>
                <w:lang w:bidi="th-TH"/>
              </w:rPr>
            </w:pPr>
            <w:r w:rsidRPr="008539B9">
              <w:rPr>
                <w:rFonts w:cs="Arial"/>
                <w:sz w:val="16"/>
                <w:szCs w:val="16"/>
              </w:rPr>
              <w:t>All</w:t>
            </w:r>
            <w:r w:rsidRPr="008539B9" w:rsidDel="00FD4BC5">
              <w:rPr>
                <w:rFonts w:cs="Arial"/>
                <w:sz w:val="16"/>
                <w:szCs w:val="16"/>
              </w:rPr>
              <w:t xml:space="preserve"> </w:t>
            </w:r>
          </w:p>
        </w:tc>
        <w:tc>
          <w:tcPr>
            <w:tcW w:w="1760" w:type="pct"/>
            <w:shd w:val="clear" w:color="auto" w:fill="FFFFFF"/>
            <w:tcMar>
              <w:top w:w="110" w:type="dxa"/>
            </w:tcMar>
          </w:tcPr>
          <w:p w:rsidR="00205A3D" w:rsidRPr="008539B9" w:rsidRDefault="00205A3D" w:rsidP="008B3E53">
            <w:pPr>
              <w:rPr>
                <w:rFonts w:cs="Arial"/>
                <w:sz w:val="16"/>
                <w:szCs w:val="16"/>
                <w:lang w:bidi="th-TH"/>
              </w:rPr>
            </w:pPr>
            <w:r w:rsidRPr="008539B9">
              <w:rPr>
                <w:rFonts w:cs="Arial"/>
                <w:sz w:val="16"/>
                <w:szCs w:val="16"/>
                <w:lang w:bidi="th-TH"/>
              </w:rPr>
              <w:t>The competent authorities of 23 Lisbon Member States have given their consent to the use of electronic means</w:t>
            </w:r>
            <w:r w:rsidR="00724EA5">
              <w:rPr>
                <w:rFonts w:cs="Arial"/>
                <w:sz w:val="16"/>
                <w:szCs w:val="16"/>
                <w:lang w:bidi="th-TH"/>
              </w:rPr>
              <w:t>.</w:t>
            </w:r>
          </w:p>
        </w:tc>
        <w:tc>
          <w:tcPr>
            <w:tcW w:w="602" w:type="pct"/>
            <w:shd w:val="clear" w:color="auto" w:fill="auto"/>
            <w:tcMar>
              <w:top w:w="110" w:type="dxa"/>
            </w:tcMar>
          </w:tcPr>
          <w:p w:rsidR="00205A3D" w:rsidRPr="0005539E" w:rsidRDefault="00205A3D" w:rsidP="008B3E53">
            <w:pPr>
              <w:keepNext/>
              <w:keepLines/>
              <w:spacing w:after="120"/>
              <w:jc w:val="center"/>
              <w:rPr>
                <w:rFonts w:cs="Arial"/>
                <w:bCs/>
                <w:color w:val="00800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p>
        </w:tc>
      </w:tr>
      <w:tr w:rsidR="00205A3D" w:rsidRPr="0005539E" w:rsidTr="00C96791">
        <w:trPr>
          <w:cantSplit/>
        </w:trPr>
        <w:tc>
          <w:tcPr>
            <w:tcW w:w="894" w:type="pct"/>
            <w:tcBorders>
              <w:bottom w:val="single" w:sz="4" w:space="0" w:color="auto"/>
            </w:tcBorders>
            <w:shd w:val="clear" w:color="auto" w:fill="auto"/>
          </w:tcPr>
          <w:p w:rsidR="00205A3D" w:rsidRPr="0005539E" w:rsidRDefault="00205A3D" w:rsidP="008B3E53">
            <w:pPr>
              <w:rPr>
                <w:rFonts w:cs="Arial"/>
                <w:sz w:val="16"/>
                <w:szCs w:val="16"/>
              </w:rPr>
            </w:pPr>
            <w:r w:rsidRPr="0005539E">
              <w:rPr>
                <w:rFonts w:cs="Arial"/>
                <w:sz w:val="16"/>
                <w:szCs w:val="16"/>
              </w:rPr>
              <w:t xml:space="preserve">Adoption of provisions streamlining or modernizing the </w:t>
            </w:r>
            <w:r w:rsidR="00601859">
              <w:rPr>
                <w:rFonts w:cs="Arial"/>
                <w:sz w:val="16"/>
                <w:szCs w:val="16"/>
              </w:rPr>
              <w:t>Lisbon System</w:t>
            </w:r>
            <w:r w:rsidRPr="0005539E">
              <w:rPr>
                <w:rFonts w:cs="Arial"/>
                <w:sz w:val="16"/>
                <w:szCs w:val="16"/>
              </w:rPr>
              <w:t xml:space="preserve"> legal framework</w:t>
            </w:r>
          </w:p>
        </w:tc>
        <w:tc>
          <w:tcPr>
            <w:tcW w:w="915" w:type="pct"/>
            <w:tcBorders>
              <w:bottom w:val="single" w:sz="4" w:space="0" w:color="auto"/>
            </w:tcBorders>
            <w:shd w:val="clear" w:color="auto" w:fill="auto"/>
          </w:tcPr>
          <w:p w:rsidR="00205A3D" w:rsidRPr="0005539E" w:rsidRDefault="00205A3D" w:rsidP="008B3E53">
            <w:pPr>
              <w:rPr>
                <w:rFonts w:cs="Arial"/>
                <w:i/>
                <w:color w:val="002060"/>
                <w:sz w:val="16"/>
                <w:szCs w:val="16"/>
              </w:rPr>
            </w:pPr>
            <w:r w:rsidRPr="0005539E">
              <w:rPr>
                <w:rFonts w:cs="Arial"/>
                <w:i/>
                <w:color w:val="002060"/>
                <w:sz w:val="16"/>
                <w:szCs w:val="16"/>
              </w:rPr>
              <w:t>Updated Baseline end 2011:</w:t>
            </w:r>
          </w:p>
          <w:p w:rsidR="00205A3D" w:rsidRPr="0005539E" w:rsidRDefault="00205A3D" w:rsidP="008B3E53">
            <w:pPr>
              <w:rPr>
                <w:rFonts w:cs="Arial"/>
                <w:sz w:val="16"/>
                <w:szCs w:val="16"/>
              </w:rPr>
            </w:pPr>
            <w:r w:rsidRPr="0005539E">
              <w:rPr>
                <w:rFonts w:cs="Arial"/>
                <w:color w:val="002060"/>
                <w:sz w:val="16"/>
                <w:szCs w:val="16"/>
              </w:rPr>
              <w:t xml:space="preserve">The procedures of the </w:t>
            </w:r>
            <w:r w:rsidR="00601859">
              <w:rPr>
                <w:rFonts w:cs="Arial"/>
                <w:color w:val="002060"/>
                <w:sz w:val="16"/>
                <w:szCs w:val="16"/>
              </w:rPr>
              <w:t>Lisbon System</w:t>
            </w:r>
            <w:r w:rsidRPr="0005539E">
              <w:rPr>
                <w:rFonts w:cs="Arial"/>
                <w:color w:val="002060"/>
                <w:sz w:val="16"/>
                <w:szCs w:val="16"/>
              </w:rPr>
              <w:t xml:space="preserve"> following the amendments that entered into force on January 1, 2012</w:t>
            </w:r>
          </w:p>
          <w:p w:rsidR="00205A3D" w:rsidRPr="008539B9" w:rsidRDefault="00205A3D" w:rsidP="008B3E53">
            <w:pPr>
              <w:rPr>
                <w:rFonts w:cs="Arial"/>
                <w:sz w:val="8"/>
                <w:szCs w:val="8"/>
              </w:rPr>
            </w:pPr>
          </w:p>
          <w:p w:rsidR="00205A3D" w:rsidRPr="0005539E" w:rsidRDefault="00205A3D" w:rsidP="008B3E53">
            <w:pPr>
              <w:rPr>
                <w:rFonts w:cs="Arial"/>
                <w:sz w:val="16"/>
                <w:szCs w:val="16"/>
              </w:rPr>
            </w:pPr>
            <w:r w:rsidRPr="0005539E">
              <w:rPr>
                <w:rFonts w:cs="Arial"/>
                <w:i/>
                <w:sz w:val="16"/>
                <w:szCs w:val="16"/>
              </w:rPr>
              <w:t>Original Baseline:</w:t>
            </w:r>
          </w:p>
          <w:p w:rsidR="00205A3D" w:rsidRPr="0005539E" w:rsidRDefault="00205A3D" w:rsidP="008B3E53">
            <w:pPr>
              <w:rPr>
                <w:rFonts w:cs="Arial"/>
                <w:sz w:val="16"/>
                <w:szCs w:val="16"/>
              </w:rPr>
            </w:pPr>
            <w:r w:rsidRPr="0005539E">
              <w:rPr>
                <w:rFonts w:cs="Arial"/>
                <w:sz w:val="16"/>
                <w:szCs w:val="16"/>
              </w:rPr>
              <w:t xml:space="preserve">The procedures of the </w:t>
            </w:r>
            <w:r w:rsidR="00601859">
              <w:rPr>
                <w:rFonts w:cs="Arial"/>
                <w:sz w:val="16"/>
                <w:szCs w:val="16"/>
              </w:rPr>
              <w:t>Lisbon System</w:t>
            </w:r>
            <w:r w:rsidRPr="0005539E">
              <w:rPr>
                <w:rFonts w:cs="Arial"/>
                <w:sz w:val="16"/>
                <w:szCs w:val="16"/>
              </w:rPr>
              <w:t xml:space="preserve"> end 2011</w:t>
            </w:r>
          </w:p>
          <w:p w:rsidR="00205A3D" w:rsidRPr="0005539E" w:rsidRDefault="00205A3D" w:rsidP="008B3E53">
            <w:pPr>
              <w:rPr>
                <w:rFonts w:cs="Arial"/>
                <w:sz w:val="16"/>
                <w:szCs w:val="16"/>
              </w:rPr>
            </w:pPr>
          </w:p>
        </w:tc>
        <w:tc>
          <w:tcPr>
            <w:tcW w:w="828" w:type="pct"/>
            <w:tcBorders>
              <w:bottom w:val="single" w:sz="4" w:space="0" w:color="auto"/>
            </w:tcBorders>
            <w:shd w:val="clear" w:color="auto" w:fill="auto"/>
            <w:tcMar>
              <w:top w:w="110" w:type="dxa"/>
            </w:tcMar>
          </w:tcPr>
          <w:p w:rsidR="00205A3D" w:rsidRPr="008539B9" w:rsidRDefault="00205A3D" w:rsidP="00724EA5">
            <w:pPr>
              <w:autoSpaceDE w:val="0"/>
              <w:autoSpaceDN w:val="0"/>
              <w:adjustRightInd w:val="0"/>
              <w:rPr>
                <w:rFonts w:cs="Arial"/>
                <w:sz w:val="16"/>
                <w:szCs w:val="16"/>
              </w:rPr>
            </w:pPr>
            <w:r w:rsidRPr="008539B9">
              <w:rPr>
                <w:rFonts w:cs="Arial"/>
                <w:sz w:val="16"/>
                <w:szCs w:val="16"/>
              </w:rPr>
              <w:t>Recommendations for modifications of the procedures under the</w:t>
            </w:r>
            <w:r w:rsidR="00724EA5">
              <w:rPr>
                <w:rFonts w:cs="Arial"/>
                <w:sz w:val="16"/>
                <w:szCs w:val="16"/>
              </w:rPr>
              <w:t xml:space="preserve"> </w:t>
            </w:r>
            <w:r w:rsidRPr="008539B9">
              <w:rPr>
                <w:rFonts w:cs="Arial"/>
                <w:sz w:val="16"/>
                <w:szCs w:val="16"/>
              </w:rPr>
              <w:t>Lisbon Agreement</w:t>
            </w:r>
            <w:r w:rsidR="00724EA5">
              <w:rPr>
                <w:rFonts w:cs="Arial"/>
                <w:sz w:val="16"/>
                <w:szCs w:val="16"/>
              </w:rPr>
              <w:t xml:space="preserve"> </w:t>
            </w:r>
            <w:r w:rsidRPr="008539B9">
              <w:rPr>
                <w:rFonts w:cs="Arial"/>
                <w:sz w:val="16"/>
                <w:szCs w:val="16"/>
              </w:rPr>
              <w:t>and/or the Lisbon</w:t>
            </w:r>
            <w:r w:rsidR="00724EA5">
              <w:rPr>
                <w:rFonts w:cs="Arial"/>
                <w:sz w:val="16"/>
                <w:szCs w:val="16"/>
              </w:rPr>
              <w:t xml:space="preserve"> R</w:t>
            </w:r>
            <w:r w:rsidRPr="008539B9">
              <w:rPr>
                <w:rFonts w:cs="Arial"/>
                <w:sz w:val="16"/>
                <w:szCs w:val="16"/>
              </w:rPr>
              <w:t>egulations</w:t>
            </w:r>
            <w:r w:rsidRPr="008539B9" w:rsidDel="00FD4BC5">
              <w:rPr>
                <w:rFonts w:cs="Arial"/>
                <w:sz w:val="16"/>
                <w:szCs w:val="16"/>
              </w:rPr>
              <w:t xml:space="preserve"> </w:t>
            </w:r>
          </w:p>
        </w:tc>
        <w:tc>
          <w:tcPr>
            <w:tcW w:w="1760" w:type="pct"/>
            <w:tcBorders>
              <w:bottom w:val="single" w:sz="4" w:space="0" w:color="auto"/>
            </w:tcBorders>
            <w:shd w:val="clear" w:color="auto" w:fill="FFFFFF"/>
            <w:tcMar>
              <w:top w:w="110" w:type="dxa"/>
            </w:tcMar>
          </w:tcPr>
          <w:p w:rsidR="00205A3D" w:rsidRPr="008539B9" w:rsidRDefault="00205A3D" w:rsidP="008B3E53">
            <w:pPr>
              <w:rPr>
                <w:rFonts w:cs="Arial"/>
                <w:sz w:val="16"/>
                <w:szCs w:val="16"/>
                <w:lang w:bidi="th-TH"/>
              </w:rPr>
            </w:pPr>
            <w:r w:rsidRPr="008539B9">
              <w:rPr>
                <w:rFonts w:cs="Arial"/>
                <w:sz w:val="16"/>
                <w:szCs w:val="16"/>
                <w:lang w:bidi="th-TH"/>
              </w:rPr>
              <w:t xml:space="preserve">A revision of the Lisbon Agreement and amendments to the Lisbon Regulations are in preparation in the Working Group on the Development of the </w:t>
            </w:r>
            <w:r w:rsidR="00601859">
              <w:rPr>
                <w:rFonts w:cs="Arial"/>
                <w:sz w:val="16"/>
                <w:szCs w:val="16"/>
                <w:lang w:bidi="th-TH"/>
              </w:rPr>
              <w:t>Lisbon System</w:t>
            </w:r>
            <w:r w:rsidR="00724EA5">
              <w:rPr>
                <w:rFonts w:cs="Arial"/>
                <w:sz w:val="16"/>
                <w:szCs w:val="16"/>
                <w:lang w:bidi="th-TH"/>
              </w:rPr>
              <w:t>.</w:t>
            </w:r>
          </w:p>
        </w:tc>
        <w:tc>
          <w:tcPr>
            <w:tcW w:w="602" w:type="pct"/>
            <w:tcBorders>
              <w:bottom w:val="single" w:sz="4" w:space="0" w:color="auto"/>
            </w:tcBorders>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E36C0A" w:themeColor="accent6" w:themeShade="BF"/>
                <w:sz w:val="16"/>
                <w:szCs w:val="16"/>
              </w:rPr>
              <w:t>Partially</w:t>
            </w:r>
            <w:r w:rsidRPr="0005539E">
              <w:rPr>
                <w:rStyle w:val="Style5"/>
                <w:rFonts w:ascii="Arial" w:hAnsi="Arial" w:cs="Arial"/>
                <w:color w:val="E36C0A" w:themeColor="accent6" w:themeShade="BF"/>
                <w:sz w:val="16"/>
                <w:szCs w:val="16"/>
              </w:rPr>
              <w:br/>
              <w:t>Achieved</w:t>
            </w:r>
            <w:r w:rsidRPr="0005539E" w:rsidDel="00FD4BC5">
              <w:rPr>
                <w:rStyle w:val="Style5"/>
                <w:rFonts w:ascii="Arial" w:hAnsi="Arial" w:cs="Arial"/>
                <w:sz w:val="16"/>
                <w:szCs w:val="16"/>
              </w:rPr>
              <w:t xml:space="preserve"> </w:t>
            </w:r>
          </w:p>
        </w:tc>
      </w:tr>
      <w:tr w:rsidR="00205A3D" w:rsidRPr="0005539E" w:rsidTr="00C96791">
        <w:trPr>
          <w:cantSplit/>
        </w:trPr>
        <w:tc>
          <w:tcPr>
            <w:tcW w:w="5000" w:type="pct"/>
            <w:gridSpan w:val="5"/>
            <w:tcBorders>
              <w:top w:val="single" w:sz="4" w:space="0" w:color="auto"/>
              <w:bottom w:val="single" w:sz="4" w:space="0" w:color="auto"/>
            </w:tcBorders>
            <w:shd w:val="clear" w:color="auto" w:fill="CCFFFF"/>
            <w:vAlign w:val="center"/>
          </w:tcPr>
          <w:p w:rsidR="00205A3D" w:rsidRPr="0005539E" w:rsidRDefault="00205A3D" w:rsidP="008B3E53">
            <w:pPr>
              <w:keepNext/>
              <w:keepLines/>
              <w:tabs>
                <w:tab w:val="left" w:pos="1452"/>
              </w:tabs>
              <w:spacing w:before="120" w:after="120"/>
              <w:ind w:left="1452" w:hanging="1452"/>
              <w:rPr>
                <w:rFonts w:cs="Arial"/>
                <w:b/>
                <w:bCs/>
                <w:sz w:val="16"/>
                <w:szCs w:val="16"/>
              </w:rPr>
            </w:pPr>
            <w:r w:rsidRPr="0005539E">
              <w:rPr>
                <w:rFonts w:cs="Arial"/>
                <w:b/>
                <w:bCs/>
                <w:sz w:val="16"/>
                <w:szCs w:val="16"/>
              </w:rPr>
              <w:t>Expected Result:</w:t>
            </w:r>
            <w:r w:rsidRPr="0005539E">
              <w:rPr>
                <w:rFonts w:cs="Arial"/>
                <w:b/>
                <w:bCs/>
                <w:sz w:val="16"/>
                <w:szCs w:val="16"/>
              </w:rPr>
              <w:tab/>
            </w:r>
            <w:r w:rsidRPr="0005539E">
              <w:rPr>
                <w:rFonts w:cs="Arial"/>
                <w:sz w:val="16"/>
                <w:szCs w:val="16"/>
              </w:rPr>
              <w:t>Increased awar</w:t>
            </w:r>
            <w:r w:rsidR="00601859">
              <w:rPr>
                <w:rFonts w:cs="Arial"/>
                <w:sz w:val="16"/>
                <w:szCs w:val="16"/>
              </w:rPr>
              <w:t>eness of the Madrid and Lisbon S</w:t>
            </w:r>
            <w:r w:rsidRPr="0005539E">
              <w:rPr>
                <w:rFonts w:cs="Arial"/>
                <w:sz w:val="16"/>
                <w:szCs w:val="16"/>
              </w:rPr>
              <w:t>ystems</w:t>
            </w:r>
          </w:p>
        </w:tc>
      </w:tr>
      <w:tr w:rsidR="00205A3D" w:rsidRPr="00724EA5" w:rsidTr="00C96791">
        <w:trPr>
          <w:cantSplit/>
        </w:trPr>
        <w:tc>
          <w:tcPr>
            <w:tcW w:w="894" w:type="pct"/>
            <w:tcBorders>
              <w:top w:val="single" w:sz="4" w:space="0" w:color="auto"/>
            </w:tcBorders>
            <w:shd w:val="clear" w:color="auto" w:fill="auto"/>
            <w:vAlign w:val="center"/>
          </w:tcPr>
          <w:p w:rsidR="00205A3D" w:rsidRPr="00724EA5" w:rsidRDefault="00205A3D" w:rsidP="008B3E53">
            <w:pPr>
              <w:rPr>
                <w:rFonts w:cs="Arial"/>
                <w:sz w:val="16"/>
                <w:szCs w:val="16"/>
              </w:rPr>
            </w:pPr>
            <w:r w:rsidRPr="00724EA5">
              <w:rPr>
                <w:rFonts w:cs="Arial"/>
                <w:b/>
                <w:bCs/>
                <w:sz w:val="16"/>
                <w:szCs w:val="16"/>
              </w:rPr>
              <w:t>Performance Indicators</w:t>
            </w:r>
          </w:p>
        </w:tc>
        <w:tc>
          <w:tcPr>
            <w:tcW w:w="915" w:type="pct"/>
            <w:tcBorders>
              <w:top w:val="single" w:sz="4" w:space="0" w:color="auto"/>
            </w:tcBorders>
            <w:shd w:val="clear" w:color="auto" w:fill="auto"/>
            <w:vAlign w:val="center"/>
          </w:tcPr>
          <w:p w:rsidR="00205A3D" w:rsidRPr="00724EA5" w:rsidRDefault="00205A3D" w:rsidP="008B3E53">
            <w:pPr>
              <w:rPr>
                <w:rFonts w:cs="Arial"/>
                <w:b/>
                <w:bCs/>
                <w:sz w:val="16"/>
                <w:szCs w:val="16"/>
              </w:rPr>
            </w:pPr>
            <w:r w:rsidRPr="00724EA5">
              <w:rPr>
                <w:rFonts w:cs="Arial"/>
                <w:b/>
                <w:bCs/>
                <w:sz w:val="16"/>
                <w:szCs w:val="16"/>
              </w:rPr>
              <w:t>Baselines</w:t>
            </w:r>
          </w:p>
        </w:tc>
        <w:tc>
          <w:tcPr>
            <w:tcW w:w="828" w:type="pct"/>
            <w:tcBorders>
              <w:top w:val="single" w:sz="4" w:space="0" w:color="auto"/>
            </w:tcBorders>
            <w:shd w:val="clear" w:color="auto" w:fill="auto"/>
            <w:tcMar>
              <w:top w:w="110" w:type="dxa"/>
            </w:tcMar>
            <w:vAlign w:val="center"/>
          </w:tcPr>
          <w:p w:rsidR="00205A3D" w:rsidRPr="00724EA5" w:rsidRDefault="00205A3D" w:rsidP="008B3E53">
            <w:pPr>
              <w:rPr>
                <w:rFonts w:cs="Arial"/>
                <w:b/>
                <w:sz w:val="16"/>
                <w:szCs w:val="16"/>
              </w:rPr>
            </w:pPr>
            <w:r w:rsidRPr="00724EA5">
              <w:rPr>
                <w:rFonts w:cs="Arial"/>
                <w:b/>
                <w:sz w:val="16"/>
                <w:szCs w:val="16"/>
              </w:rPr>
              <w:t>Target</w:t>
            </w:r>
            <w:r w:rsidR="00582788" w:rsidRPr="00724EA5">
              <w:rPr>
                <w:rFonts w:cs="Arial"/>
                <w:b/>
                <w:sz w:val="16"/>
                <w:szCs w:val="16"/>
              </w:rPr>
              <w:t>s</w:t>
            </w:r>
          </w:p>
        </w:tc>
        <w:tc>
          <w:tcPr>
            <w:tcW w:w="1760" w:type="pct"/>
            <w:tcBorders>
              <w:top w:val="single" w:sz="4" w:space="0" w:color="auto"/>
            </w:tcBorders>
            <w:shd w:val="clear" w:color="auto" w:fill="FFFFFF"/>
            <w:tcMar>
              <w:top w:w="110" w:type="dxa"/>
            </w:tcMar>
            <w:vAlign w:val="center"/>
          </w:tcPr>
          <w:p w:rsidR="00205A3D" w:rsidRPr="00724EA5" w:rsidRDefault="00205A3D" w:rsidP="008B3E53">
            <w:pPr>
              <w:rPr>
                <w:rFonts w:cs="Arial"/>
                <w:sz w:val="16"/>
                <w:szCs w:val="16"/>
              </w:rPr>
            </w:pPr>
            <w:r w:rsidRPr="00724EA5">
              <w:rPr>
                <w:rFonts w:cs="Arial"/>
                <w:b/>
                <w:bCs/>
                <w:sz w:val="16"/>
                <w:szCs w:val="16"/>
              </w:rPr>
              <w:t>Performance Data</w:t>
            </w:r>
          </w:p>
        </w:tc>
        <w:tc>
          <w:tcPr>
            <w:tcW w:w="602" w:type="pct"/>
            <w:tcBorders>
              <w:top w:val="single" w:sz="4" w:space="0" w:color="auto"/>
            </w:tcBorders>
            <w:shd w:val="clear" w:color="auto" w:fill="auto"/>
            <w:tcMar>
              <w:top w:w="110" w:type="dxa"/>
            </w:tcMar>
            <w:vAlign w:val="center"/>
          </w:tcPr>
          <w:p w:rsidR="00205A3D" w:rsidRPr="00724EA5" w:rsidRDefault="00205A3D" w:rsidP="008B3E53">
            <w:pPr>
              <w:keepNext/>
              <w:keepLines/>
              <w:jc w:val="center"/>
              <w:rPr>
                <w:rFonts w:cs="Arial"/>
                <w:b/>
                <w:bCs/>
                <w:sz w:val="16"/>
                <w:szCs w:val="16"/>
              </w:rPr>
            </w:pPr>
            <w:r w:rsidRPr="00724EA5">
              <w:rPr>
                <w:rFonts w:cs="Arial"/>
                <w:b/>
                <w:bCs/>
                <w:sz w:val="16"/>
                <w:szCs w:val="16"/>
              </w:rPr>
              <w:t>TLS</w:t>
            </w:r>
          </w:p>
        </w:tc>
      </w:tr>
      <w:tr w:rsidR="00205A3D" w:rsidRPr="0005539E" w:rsidTr="00EC1008">
        <w:trPr>
          <w:cantSplit/>
          <w:trHeight w:val="1420"/>
        </w:trPr>
        <w:tc>
          <w:tcPr>
            <w:tcW w:w="894" w:type="pct"/>
            <w:shd w:val="clear" w:color="auto" w:fill="FFFFFF"/>
          </w:tcPr>
          <w:p w:rsidR="00205A3D" w:rsidRPr="0005539E" w:rsidRDefault="00205A3D" w:rsidP="008B3E53">
            <w:pPr>
              <w:rPr>
                <w:rFonts w:cs="Arial"/>
                <w:sz w:val="16"/>
                <w:szCs w:val="16"/>
              </w:rPr>
            </w:pPr>
            <w:r w:rsidRPr="0005539E">
              <w:rPr>
                <w:rFonts w:cs="Arial"/>
                <w:sz w:val="16"/>
                <w:szCs w:val="16"/>
              </w:rPr>
              <w:t xml:space="preserve">% of participants in </w:t>
            </w:r>
            <w:r w:rsidR="00601859">
              <w:rPr>
                <w:rFonts w:cs="Arial"/>
                <w:sz w:val="16"/>
                <w:szCs w:val="16"/>
              </w:rPr>
              <w:t>Madrid System</w:t>
            </w:r>
            <w:r w:rsidRPr="0005539E">
              <w:rPr>
                <w:rFonts w:cs="Arial"/>
                <w:sz w:val="16"/>
                <w:szCs w:val="16"/>
              </w:rPr>
              <w:t xml:space="preserve"> related events who are satisfied and report enhanced awareness post training event</w:t>
            </w:r>
          </w:p>
        </w:tc>
        <w:tc>
          <w:tcPr>
            <w:tcW w:w="915" w:type="pct"/>
            <w:shd w:val="clear" w:color="auto" w:fill="auto"/>
          </w:tcPr>
          <w:p w:rsidR="00205A3D" w:rsidRPr="008539B9" w:rsidRDefault="00205A3D" w:rsidP="008B3E53">
            <w:pPr>
              <w:rPr>
                <w:rFonts w:cs="Arial"/>
                <w:sz w:val="16"/>
                <w:szCs w:val="16"/>
              </w:rPr>
            </w:pPr>
            <w:r w:rsidRPr="008539B9">
              <w:rPr>
                <w:rFonts w:cs="Arial"/>
                <w:sz w:val="16"/>
                <w:szCs w:val="16"/>
              </w:rPr>
              <w:t>data not available</w:t>
            </w:r>
          </w:p>
        </w:tc>
        <w:tc>
          <w:tcPr>
            <w:tcW w:w="828" w:type="pct"/>
            <w:shd w:val="clear" w:color="auto" w:fill="auto"/>
            <w:tcMar>
              <w:top w:w="110" w:type="dxa"/>
            </w:tcMar>
          </w:tcPr>
          <w:p w:rsidR="00205A3D" w:rsidRPr="008539B9" w:rsidRDefault="00205A3D" w:rsidP="008B3E53">
            <w:pPr>
              <w:rPr>
                <w:rFonts w:cs="Arial"/>
                <w:sz w:val="16"/>
                <w:szCs w:val="16"/>
                <w:lang w:bidi="th-TH"/>
              </w:rPr>
            </w:pPr>
            <w:r w:rsidRPr="008539B9">
              <w:rPr>
                <w:rFonts w:cs="Arial"/>
                <w:sz w:val="16"/>
                <w:szCs w:val="16"/>
              </w:rPr>
              <w:t>At least 85%</w:t>
            </w:r>
          </w:p>
        </w:tc>
        <w:tc>
          <w:tcPr>
            <w:tcW w:w="1760" w:type="pct"/>
            <w:shd w:val="clear" w:color="auto" w:fill="FFFFFF"/>
            <w:tcMar>
              <w:top w:w="110" w:type="dxa"/>
            </w:tcMar>
          </w:tcPr>
          <w:p w:rsidR="00EC1008" w:rsidRDefault="00EC1008" w:rsidP="008B3E53">
            <w:pPr>
              <w:rPr>
                <w:rFonts w:cs="Arial"/>
                <w:sz w:val="16"/>
                <w:szCs w:val="16"/>
                <w:lang w:bidi="th-TH"/>
              </w:rPr>
            </w:pPr>
            <w:r w:rsidRPr="008539B9">
              <w:rPr>
                <w:rFonts w:cs="Arial"/>
                <w:sz w:val="16"/>
                <w:szCs w:val="16"/>
                <w:lang w:bidi="th-TH"/>
              </w:rPr>
              <w:t xml:space="preserve">Four in-house seminars on </w:t>
            </w:r>
            <w:r>
              <w:rPr>
                <w:rFonts w:cs="Arial"/>
                <w:sz w:val="16"/>
                <w:szCs w:val="16"/>
                <w:lang w:bidi="th-TH"/>
              </w:rPr>
              <w:t>Madrid System</w:t>
            </w:r>
            <w:r w:rsidRPr="008539B9">
              <w:rPr>
                <w:rFonts w:cs="Arial"/>
                <w:sz w:val="16"/>
                <w:szCs w:val="16"/>
                <w:lang w:bidi="th-TH"/>
              </w:rPr>
              <w:t xml:space="preserve"> were held in Geneva.</w:t>
            </w:r>
            <w:r>
              <w:rPr>
                <w:rFonts w:cs="Arial"/>
                <w:sz w:val="16"/>
                <w:szCs w:val="16"/>
                <w:lang w:bidi="th-TH"/>
              </w:rPr>
              <w:t xml:space="preserve"> </w:t>
            </w:r>
            <w:r w:rsidRPr="008539B9">
              <w:rPr>
                <w:rFonts w:cs="Arial"/>
                <w:sz w:val="16"/>
                <w:szCs w:val="16"/>
                <w:lang w:bidi="th-TH"/>
              </w:rPr>
              <w:t xml:space="preserve"> Evaluation questionnaires showed a satisfaction rate of more than 90%</w:t>
            </w:r>
            <w:r>
              <w:rPr>
                <w:rFonts w:cs="Arial"/>
                <w:sz w:val="16"/>
                <w:szCs w:val="16"/>
                <w:lang w:bidi="th-TH"/>
              </w:rPr>
              <w:t>.</w:t>
            </w:r>
            <w:r w:rsidRPr="008539B9">
              <w:rPr>
                <w:rFonts w:cs="Arial"/>
                <w:sz w:val="16"/>
                <w:szCs w:val="16"/>
                <w:lang w:bidi="th-TH"/>
              </w:rPr>
              <w:t xml:space="preserve"> </w:t>
            </w:r>
          </w:p>
          <w:p w:rsidR="00EC1008" w:rsidRDefault="00EC1008" w:rsidP="008B3E53">
            <w:pPr>
              <w:rPr>
                <w:rFonts w:cs="Arial"/>
                <w:sz w:val="16"/>
                <w:szCs w:val="16"/>
                <w:lang w:bidi="th-TH"/>
              </w:rPr>
            </w:pPr>
          </w:p>
          <w:p w:rsidR="00205A3D" w:rsidRPr="008539B9" w:rsidRDefault="00205A3D" w:rsidP="008B3E53">
            <w:pPr>
              <w:rPr>
                <w:rFonts w:cs="Arial"/>
                <w:sz w:val="16"/>
                <w:szCs w:val="16"/>
                <w:lang w:bidi="th-TH"/>
              </w:rPr>
            </w:pPr>
            <w:r w:rsidRPr="008539B9">
              <w:rPr>
                <w:rFonts w:cs="Arial"/>
                <w:sz w:val="16"/>
                <w:szCs w:val="16"/>
                <w:lang w:bidi="th-TH"/>
              </w:rPr>
              <w:t xml:space="preserve">For outreach activities – Data not available </w:t>
            </w:r>
          </w:p>
          <w:p w:rsidR="00205A3D" w:rsidRPr="00724EA5" w:rsidRDefault="00205A3D" w:rsidP="008B3E53">
            <w:pPr>
              <w:rPr>
                <w:rFonts w:cs="Arial"/>
                <w:sz w:val="8"/>
                <w:szCs w:val="8"/>
                <w:lang w:bidi="th-TH"/>
              </w:rPr>
            </w:pPr>
          </w:p>
          <w:p w:rsidR="00205A3D" w:rsidRPr="008539B9" w:rsidRDefault="00205A3D" w:rsidP="008B3E53">
            <w:pPr>
              <w:rPr>
                <w:rFonts w:cs="Arial"/>
                <w:sz w:val="16"/>
                <w:szCs w:val="16"/>
                <w:lang w:bidi="th-TH"/>
              </w:rPr>
            </w:pPr>
          </w:p>
        </w:tc>
        <w:tc>
          <w:tcPr>
            <w:tcW w:w="602" w:type="pct"/>
            <w:shd w:val="clear" w:color="auto" w:fill="auto"/>
            <w:tcMar>
              <w:top w:w="110" w:type="dxa"/>
            </w:tcMar>
          </w:tcPr>
          <w:p w:rsidR="00205A3D" w:rsidRPr="0005539E" w:rsidRDefault="00205A3D" w:rsidP="008B3E53">
            <w:pPr>
              <w:keepNext/>
              <w:keepLines/>
              <w:jc w:val="center"/>
              <w:rPr>
                <w:rFonts w:cs="Arial"/>
                <w:bCs/>
                <w:color w:val="008000"/>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sidDel="00FD4BC5">
              <w:rPr>
                <w:rStyle w:val="Style5"/>
                <w:rFonts w:ascii="Arial" w:hAnsi="Arial" w:cs="Arial"/>
                <w:sz w:val="16"/>
                <w:szCs w:val="16"/>
              </w:rPr>
              <w:t xml:space="preserve"> </w:t>
            </w:r>
          </w:p>
        </w:tc>
      </w:tr>
      <w:tr w:rsidR="00205A3D" w:rsidRPr="0005539E" w:rsidTr="00724EA5">
        <w:trPr>
          <w:cantSplit/>
        </w:trPr>
        <w:tc>
          <w:tcPr>
            <w:tcW w:w="894" w:type="pct"/>
            <w:shd w:val="clear" w:color="auto" w:fill="auto"/>
          </w:tcPr>
          <w:p w:rsidR="00205A3D" w:rsidRPr="0005539E" w:rsidRDefault="00205A3D" w:rsidP="008B3E53">
            <w:pPr>
              <w:rPr>
                <w:rFonts w:cs="Arial"/>
                <w:sz w:val="16"/>
                <w:szCs w:val="16"/>
              </w:rPr>
            </w:pPr>
            <w:r w:rsidRPr="0005539E">
              <w:rPr>
                <w:rFonts w:cs="Arial"/>
                <w:sz w:val="16"/>
                <w:szCs w:val="16"/>
              </w:rPr>
              <w:t xml:space="preserve">% of participants in </w:t>
            </w:r>
            <w:r w:rsidR="00601859">
              <w:rPr>
                <w:rFonts w:cs="Arial"/>
                <w:sz w:val="16"/>
                <w:szCs w:val="16"/>
              </w:rPr>
              <w:t>Lisbon System</w:t>
            </w:r>
            <w:r w:rsidRPr="0005539E">
              <w:rPr>
                <w:rFonts w:cs="Arial"/>
                <w:sz w:val="16"/>
                <w:szCs w:val="16"/>
              </w:rPr>
              <w:t xml:space="preserve"> related events who are satisfied and report enhanced awareness post seminars/</w:t>
            </w:r>
            <w:r w:rsidR="00884095">
              <w:rPr>
                <w:rFonts w:cs="Arial"/>
                <w:sz w:val="16"/>
                <w:szCs w:val="16"/>
              </w:rPr>
              <w:t xml:space="preserve"> </w:t>
            </w:r>
            <w:r w:rsidRPr="0005539E">
              <w:rPr>
                <w:rFonts w:cs="Arial"/>
                <w:sz w:val="16"/>
                <w:szCs w:val="16"/>
              </w:rPr>
              <w:t>workshops</w:t>
            </w:r>
          </w:p>
          <w:p w:rsidR="00205A3D" w:rsidRPr="0005539E" w:rsidRDefault="00205A3D" w:rsidP="008B3E53">
            <w:pPr>
              <w:rPr>
                <w:rFonts w:cs="Arial"/>
                <w:sz w:val="16"/>
                <w:szCs w:val="16"/>
              </w:rPr>
            </w:pPr>
          </w:p>
        </w:tc>
        <w:tc>
          <w:tcPr>
            <w:tcW w:w="915" w:type="pct"/>
            <w:shd w:val="clear" w:color="auto" w:fill="auto"/>
          </w:tcPr>
          <w:p w:rsidR="00205A3D" w:rsidRPr="008539B9" w:rsidRDefault="00205A3D" w:rsidP="008B3E53">
            <w:pPr>
              <w:rPr>
                <w:rFonts w:cs="Arial"/>
                <w:sz w:val="16"/>
                <w:szCs w:val="16"/>
              </w:rPr>
            </w:pPr>
            <w:r w:rsidRPr="008539B9">
              <w:rPr>
                <w:rFonts w:cs="Arial"/>
                <w:sz w:val="16"/>
                <w:szCs w:val="16"/>
              </w:rPr>
              <w:t>data not available</w:t>
            </w:r>
          </w:p>
        </w:tc>
        <w:tc>
          <w:tcPr>
            <w:tcW w:w="828" w:type="pct"/>
            <w:shd w:val="clear" w:color="auto" w:fill="auto"/>
            <w:tcMar>
              <w:top w:w="110" w:type="dxa"/>
            </w:tcMar>
          </w:tcPr>
          <w:p w:rsidR="00205A3D" w:rsidRPr="008539B9" w:rsidRDefault="00205A3D" w:rsidP="008B3E53">
            <w:pPr>
              <w:rPr>
                <w:rFonts w:cs="Arial"/>
                <w:sz w:val="16"/>
                <w:szCs w:val="16"/>
                <w:lang w:bidi="th-TH"/>
              </w:rPr>
            </w:pPr>
            <w:r w:rsidRPr="008539B9">
              <w:rPr>
                <w:rFonts w:cs="Arial"/>
                <w:sz w:val="16"/>
                <w:szCs w:val="16"/>
              </w:rPr>
              <w:t>At least 85%</w:t>
            </w:r>
          </w:p>
        </w:tc>
        <w:tc>
          <w:tcPr>
            <w:tcW w:w="1760" w:type="pct"/>
            <w:shd w:val="clear" w:color="auto" w:fill="FFFFFF"/>
            <w:tcMar>
              <w:top w:w="110" w:type="dxa"/>
            </w:tcMar>
          </w:tcPr>
          <w:p w:rsidR="00205A3D" w:rsidRPr="008539B9" w:rsidRDefault="00205A3D" w:rsidP="008B3E53">
            <w:pPr>
              <w:rPr>
                <w:rFonts w:cs="Arial"/>
                <w:sz w:val="16"/>
                <w:szCs w:val="16"/>
                <w:lang w:bidi="th-TH"/>
              </w:rPr>
            </w:pPr>
            <w:r w:rsidRPr="008539B9">
              <w:rPr>
                <w:rFonts w:cs="Arial"/>
                <w:sz w:val="16"/>
                <w:szCs w:val="16"/>
                <w:lang w:bidi="th-TH"/>
              </w:rPr>
              <w:t>Evaluation questionnaires showed a satisfaction rate of more than 90%</w:t>
            </w:r>
            <w:r w:rsidR="00724EA5">
              <w:rPr>
                <w:rFonts w:cs="Arial"/>
                <w:sz w:val="16"/>
                <w:szCs w:val="16"/>
                <w:lang w:bidi="th-TH"/>
              </w:rPr>
              <w:t>.</w:t>
            </w:r>
          </w:p>
        </w:tc>
        <w:tc>
          <w:tcPr>
            <w:tcW w:w="602" w:type="pct"/>
            <w:shd w:val="clear" w:color="auto" w:fill="auto"/>
          </w:tcPr>
          <w:p w:rsidR="00205A3D" w:rsidRPr="0005539E" w:rsidRDefault="00205A3D" w:rsidP="008B3E53">
            <w:pPr>
              <w:keepNext/>
              <w:keepLines/>
              <w:jc w:val="center"/>
              <w:rPr>
                <w:rFonts w:cs="Arial"/>
                <w:bCs/>
                <w:color w:val="333333"/>
                <w:sz w:val="16"/>
                <w:szCs w:val="16"/>
              </w:rPr>
            </w:pPr>
            <w:r w:rsidRPr="0005539E">
              <w:rPr>
                <w:rStyle w:val="Style5"/>
                <w:rFonts w:ascii="Arial" w:hAnsi="Arial" w:cs="Arial"/>
                <w:color w:val="10862C"/>
                <w:sz w:val="16"/>
                <w:szCs w:val="16"/>
              </w:rPr>
              <w:t>Fully</w:t>
            </w:r>
            <w:r w:rsidRPr="0005539E">
              <w:rPr>
                <w:rStyle w:val="Style5"/>
                <w:rFonts w:ascii="Arial" w:hAnsi="Arial" w:cs="Arial"/>
                <w:color w:val="10862C"/>
                <w:sz w:val="16"/>
                <w:szCs w:val="16"/>
              </w:rPr>
              <w:br/>
              <w:t>Achieved</w:t>
            </w:r>
            <w:r w:rsidRPr="0005539E">
              <w:rPr>
                <w:rStyle w:val="Style5"/>
                <w:rFonts w:ascii="Arial" w:hAnsi="Arial" w:cs="Arial"/>
                <w:i/>
                <w:color w:val="365F91"/>
                <w:sz w:val="16"/>
                <w:szCs w:val="16"/>
              </w:rPr>
              <w:t xml:space="preserve"> </w:t>
            </w:r>
          </w:p>
        </w:tc>
      </w:tr>
    </w:tbl>
    <w:p w:rsidR="00205A3D" w:rsidRPr="002A56E1" w:rsidRDefault="00205A3D" w:rsidP="00205A3D"/>
    <w:p w:rsidR="00205A3D" w:rsidRDefault="00205A3D" w:rsidP="00205A3D">
      <w:pPr>
        <w:rPr>
          <w:rFonts w:cs="Arial"/>
          <w:sz w:val="22"/>
          <w:szCs w:val="22"/>
        </w:rPr>
      </w:pPr>
    </w:p>
    <w:p w:rsidR="00205A3D" w:rsidRPr="0027745B" w:rsidRDefault="00205A3D" w:rsidP="00205A3D">
      <w:pPr>
        <w:rPr>
          <w:rFonts w:cs="Arial"/>
          <w:szCs w:val="20"/>
        </w:rPr>
      </w:pPr>
      <w:r w:rsidRPr="0027745B">
        <w:rPr>
          <w:rFonts w:cs="Arial"/>
          <w:szCs w:val="20"/>
        </w:rPr>
        <w:t>BUDGET AND ACTUAL EXPENDITURE</w:t>
      </w:r>
    </w:p>
    <w:p w:rsidR="00205A3D" w:rsidRPr="0027745B" w:rsidRDefault="00205A3D" w:rsidP="00205A3D">
      <w:pPr>
        <w:jc w:val="center"/>
        <w:rPr>
          <w:rFonts w:cs="Arial"/>
          <w:szCs w:val="20"/>
        </w:rPr>
      </w:pPr>
    </w:p>
    <w:p w:rsidR="00205A3D" w:rsidRPr="0027745B" w:rsidRDefault="00205A3D" w:rsidP="00205A3D">
      <w:pPr>
        <w:pStyle w:val="NormalWeb"/>
        <w:spacing w:before="0" w:beforeAutospacing="0" w:after="0" w:afterAutospacing="0"/>
        <w:jc w:val="center"/>
        <w:rPr>
          <w:sz w:val="20"/>
          <w:szCs w:val="20"/>
        </w:rPr>
      </w:pPr>
      <w:r w:rsidRPr="0027745B">
        <w:rPr>
          <w:color w:val="000000"/>
          <w:sz w:val="20"/>
          <w:szCs w:val="20"/>
        </w:rPr>
        <w:t>Budget and Actual Expenditure (by result)</w:t>
      </w:r>
    </w:p>
    <w:p w:rsidR="00205A3D" w:rsidRPr="0027745B" w:rsidRDefault="00205A3D" w:rsidP="00205A3D">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205A3D" w:rsidRDefault="00205A3D" w:rsidP="00205A3D">
      <w:pPr>
        <w:rPr>
          <w:rFonts w:cs="Arial"/>
          <w:sz w:val="22"/>
          <w:szCs w:val="22"/>
        </w:rPr>
      </w:pPr>
    </w:p>
    <w:tbl>
      <w:tblPr>
        <w:tblW w:w="0" w:type="auto"/>
        <w:tblInd w:w="103" w:type="dxa"/>
        <w:tblLayout w:type="fixed"/>
        <w:tblLook w:val="04A0" w:firstRow="1" w:lastRow="0" w:firstColumn="1" w:lastColumn="0" w:noHBand="0" w:noVBand="1"/>
      </w:tblPr>
      <w:tblGrid>
        <w:gridCol w:w="567"/>
        <w:gridCol w:w="4541"/>
        <w:gridCol w:w="1417"/>
        <w:gridCol w:w="1418"/>
        <w:gridCol w:w="1418"/>
      </w:tblGrid>
      <w:tr w:rsidR="00205A3D" w:rsidRPr="008539B9" w:rsidTr="00724EA5">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05A3D" w:rsidRPr="008539B9" w:rsidRDefault="00205A3D" w:rsidP="00C96791">
            <w:pPr>
              <w:spacing w:before="120" w:after="120"/>
              <w:jc w:val="center"/>
              <w:rPr>
                <w:rFonts w:cs="Arial"/>
                <w:bCs/>
                <w:color w:val="000000"/>
                <w:sz w:val="16"/>
                <w:szCs w:val="16"/>
              </w:rPr>
            </w:pPr>
            <w:r w:rsidRPr="008539B9">
              <w:rPr>
                <w:rFonts w:cs="Arial"/>
                <w:bCs/>
                <w:color w:val="000000"/>
                <w:sz w:val="16"/>
                <w:szCs w:val="16"/>
              </w:rPr>
              <w:t>Expected Result No. and Description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205A3D" w:rsidRPr="008539B9" w:rsidRDefault="00205A3D" w:rsidP="00C96791">
            <w:pPr>
              <w:spacing w:before="120" w:after="120"/>
              <w:jc w:val="center"/>
              <w:rPr>
                <w:rFonts w:cs="Arial"/>
                <w:bCs/>
                <w:color w:val="000000"/>
                <w:sz w:val="16"/>
                <w:szCs w:val="16"/>
              </w:rPr>
            </w:pPr>
            <w:r w:rsidRPr="008539B9">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205A3D" w:rsidRPr="008539B9" w:rsidRDefault="00205A3D" w:rsidP="00C96791">
            <w:pPr>
              <w:spacing w:before="120" w:after="120"/>
              <w:jc w:val="center"/>
              <w:rPr>
                <w:rFonts w:cs="Arial"/>
                <w:bCs/>
                <w:color w:val="000000"/>
                <w:sz w:val="16"/>
                <w:szCs w:val="16"/>
              </w:rPr>
            </w:pPr>
            <w:r w:rsidRPr="008539B9">
              <w:rPr>
                <w:rFonts w:cs="Arial"/>
                <w:bCs/>
                <w:color w:val="000000"/>
                <w:sz w:val="16"/>
                <w:szCs w:val="16"/>
              </w:rPr>
              <w:t xml:space="preserve">2012/13 Budget </w:t>
            </w:r>
            <w:r w:rsidRPr="008539B9">
              <w:rPr>
                <w:rFonts w:cs="Arial"/>
                <w:bCs/>
                <w:color w:val="000000"/>
                <w:sz w:val="16"/>
                <w:szCs w:val="16"/>
              </w:rPr>
              <w:br/>
              <w:t>After Transfers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205A3D" w:rsidRPr="008539B9" w:rsidRDefault="00205A3D" w:rsidP="00AB2445">
            <w:pPr>
              <w:spacing w:before="120" w:after="120"/>
              <w:jc w:val="center"/>
              <w:rPr>
                <w:rFonts w:cs="Arial"/>
                <w:bCs/>
                <w:color w:val="000000"/>
                <w:sz w:val="16"/>
                <w:szCs w:val="16"/>
              </w:rPr>
            </w:pPr>
            <w:r w:rsidRPr="008539B9">
              <w:rPr>
                <w:rFonts w:cs="Arial"/>
                <w:bCs/>
                <w:color w:val="000000"/>
                <w:sz w:val="16"/>
                <w:szCs w:val="16"/>
              </w:rPr>
              <w:t>2012/13</w:t>
            </w:r>
            <w:r w:rsidR="00AB2445">
              <w:rPr>
                <w:rFonts w:cs="Arial"/>
                <w:bCs/>
                <w:color w:val="000000"/>
                <w:sz w:val="16"/>
                <w:szCs w:val="16"/>
              </w:rPr>
              <w:br/>
            </w:r>
            <w:r w:rsidRPr="008539B9">
              <w:rPr>
                <w:rFonts w:cs="Arial"/>
                <w:bCs/>
                <w:color w:val="000000"/>
                <w:sz w:val="16"/>
                <w:szCs w:val="16"/>
              </w:rPr>
              <w:t>Expenditure</w:t>
            </w:r>
          </w:p>
        </w:tc>
      </w:tr>
      <w:tr w:rsidR="00205A3D" w:rsidRPr="00AB6428" w:rsidTr="00724EA5">
        <w:tc>
          <w:tcPr>
            <w:tcW w:w="567" w:type="dxa"/>
            <w:tcBorders>
              <w:top w:val="nil"/>
              <w:left w:val="single" w:sz="4" w:space="0" w:color="auto"/>
              <w:bottom w:val="nil"/>
              <w:right w:val="nil"/>
            </w:tcBorders>
            <w:shd w:val="clear" w:color="000000" w:fill="FFFFFF"/>
            <w:noWrap/>
            <w:hideMark/>
          </w:tcPr>
          <w:p w:rsidR="00205A3D" w:rsidRPr="0027745B" w:rsidRDefault="00205A3D" w:rsidP="008539B9">
            <w:pPr>
              <w:spacing w:before="120"/>
              <w:jc w:val="center"/>
              <w:rPr>
                <w:rFonts w:cs="Arial"/>
                <w:color w:val="000000"/>
                <w:sz w:val="16"/>
                <w:szCs w:val="16"/>
              </w:rPr>
            </w:pPr>
            <w:r w:rsidRPr="0027745B">
              <w:rPr>
                <w:rFonts w:cs="Arial"/>
                <w:color w:val="000000"/>
                <w:sz w:val="16"/>
                <w:szCs w:val="16"/>
              </w:rPr>
              <w:t>II.8</w:t>
            </w:r>
          </w:p>
        </w:tc>
        <w:tc>
          <w:tcPr>
            <w:tcW w:w="4541" w:type="dxa"/>
            <w:tcBorders>
              <w:top w:val="nil"/>
              <w:left w:val="nil"/>
              <w:bottom w:val="nil"/>
              <w:right w:val="nil"/>
            </w:tcBorders>
            <w:shd w:val="clear" w:color="000000" w:fill="FFFFFF"/>
            <w:hideMark/>
          </w:tcPr>
          <w:p w:rsidR="00205A3D" w:rsidRPr="0027745B" w:rsidRDefault="00205A3D" w:rsidP="008539B9">
            <w:pPr>
              <w:spacing w:before="120"/>
              <w:rPr>
                <w:rFonts w:cs="Arial"/>
                <w:color w:val="000000"/>
                <w:sz w:val="16"/>
                <w:szCs w:val="16"/>
              </w:rPr>
            </w:pPr>
            <w:r w:rsidRPr="0027745B">
              <w:rPr>
                <w:rFonts w:cs="Arial"/>
                <w:color w:val="000000"/>
                <w:sz w:val="16"/>
                <w:szCs w:val="16"/>
              </w:rPr>
              <w:t>Bet</w:t>
            </w:r>
            <w:r w:rsidR="00601859">
              <w:rPr>
                <w:rFonts w:cs="Arial"/>
                <w:color w:val="000000"/>
                <w:sz w:val="16"/>
                <w:szCs w:val="16"/>
              </w:rPr>
              <w:t>ter use of the Madrid &amp; Lisbon S</w:t>
            </w:r>
            <w:r w:rsidRPr="0027745B">
              <w:rPr>
                <w:rFonts w:cs="Arial"/>
                <w:color w:val="000000"/>
                <w:sz w:val="16"/>
                <w:szCs w:val="16"/>
              </w:rPr>
              <w:t>ystems, including by developing countries and LDCs</w:t>
            </w:r>
          </w:p>
        </w:tc>
        <w:tc>
          <w:tcPr>
            <w:tcW w:w="1417" w:type="dxa"/>
            <w:tcBorders>
              <w:top w:val="nil"/>
              <w:left w:val="nil"/>
              <w:bottom w:val="nil"/>
              <w:right w:val="nil"/>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7,103</w:t>
            </w:r>
          </w:p>
        </w:tc>
        <w:tc>
          <w:tcPr>
            <w:tcW w:w="1418" w:type="dxa"/>
            <w:tcBorders>
              <w:top w:val="nil"/>
              <w:left w:val="nil"/>
              <w:bottom w:val="nil"/>
              <w:right w:val="nil"/>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7,362</w:t>
            </w:r>
          </w:p>
        </w:tc>
        <w:tc>
          <w:tcPr>
            <w:tcW w:w="1418" w:type="dxa"/>
            <w:tcBorders>
              <w:top w:val="nil"/>
              <w:left w:val="nil"/>
              <w:bottom w:val="nil"/>
              <w:right w:val="single" w:sz="4" w:space="0" w:color="auto"/>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7,256</w:t>
            </w:r>
          </w:p>
        </w:tc>
      </w:tr>
      <w:tr w:rsidR="00205A3D" w:rsidRPr="00AB6428" w:rsidTr="00724EA5">
        <w:tc>
          <w:tcPr>
            <w:tcW w:w="567" w:type="dxa"/>
            <w:tcBorders>
              <w:top w:val="nil"/>
              <w:left w:val="single" w:sz="4" w:space="0" w:color="auto"/>
              <w:bottom w:val="nil"/>
              <w:right w:val="nil"/>
            </w:tcBorders>
            <w:shd w:val="clear" w:color="000000" w:fill="FFFFFF"/>
            <w:noWrap/>
            <w:hideMark/>
          </w:tcPr>
          <w:p w:rsidR="00205A3D" w:rsidRPr="0027745B" w:rsidRDefault="00205A3D" w:rsidP="008539B9">
            <w:pPr>
              <w:spacing w:before="120"/>
              <w:jc w:val="center"/>
              <w:rPr>
                <w:rFonts w:cs="Arial"/>
                <w:color w:val="000000"/>
                <w:sz w:val="16"/>
                <w:szCs w:val="16"/>
              </w:rPr>
            </w:pPr>
            <w:r w:rsidRPr="0027745B">
              <w:rPr>
                <w:rFonts w:cs="Arial"/>
                <w:color w:val="000000"/>
                <w:sz w:val="16"/>
                <w:szCs w:val="16"/>
              </w:rPr>
              <w:t>II.9</w:t>
            </w:r>
          </w:p>
        </w:tc>
        <w:tc>
          <w:tcPr>
            <w:tcW w:w="4541" w:type="dxa"/>
            <w:tcBorders>
              <w:top w:val="nil"/>
              <w:left w:val="nil"/>
              <w:bottom w:val="nil"/>
              <w:right w:val="nil"/>
            </w:tcBorders>
            <w:shd w:val="clear" w:color="000000" w:fill="FFFFFF"/>
            <w:hideMark/>
          </w:tcPr>
          <w:p w:rsidR="00205A3D" w:rsidRPr="0027745B" w:rsidRDefault="00205A3D" w:rsidP="008539B9">
            <w:pPr>
              <w:spacing w:before="120"/>
              <w:rPr>
                <w:rFonts w:cs="Arial"/>
                <w:color w:val="000000"/>
                <w:sz w:val="16"/>
                <w:szCs w:val="16"/>
              </w:rPr>
            </w:pPr>
            <w:r w:rsidRPr="0027745B">
              <w:rPr>
                <w:rFonts w:cs="Arial"/>
                <w:color w:val="000000"/>
                <w:sz w:val="16"/>
                <w:szCs w:val="16"/>
              </w:rPr>
              <w:t>Better ope</w:t>
            </w:r>
            <w:r w:rsidR="00601859">
              <w:rPr>
                <w:rFonts w:cs="Arial"/>
                <w:color w:val="000000"/>
                <w:sz w:val="16"/>
                <w:szCs w:val="16"/>
              </w:rPr>
              <w:t>rations of the Madrid &amp; Lisbon S</w:t>
            </w:r>
            <w:r w:rsidRPr="0027745B">
              <w:rPr>
                <w:rFonts w:cs="Arial"/>
                <w:color w:val="000000"/>
                <w:sz w:val="16"/>
                <w:szCs w:val="16"/>
              </w:rPr>
              <w:t>ystems</w:t>
            </w:r>
          </w:p>
        </w:tc>
        <w:tc>
          <w:tcPr>
            <w:tcW w:w="1417" w:type="dxa"/>
            <w:tcBorders>
              <w:top w:val="nil"/>
              <w:left w:val="nil"/>
              <w:bottom w:val="nil"/>
              <w:right w:val="nil"/>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43,445</w:t>
            </w:r>
          </w:p>
        </w:tc>
        <w:tc>
          <w:tcPr>
            <w:tcW w:w="1418" w:type="dxa"/>
            <w:tcBorders>
              <w:top w:val="nil"/>
              <w:left w:val="nil"/>
              <w:bottom w:val="nil"/>
              <w:right w:val="nil"/>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42,436</w:t>
            </w:r>
          </w:p>
        </w:tc>
        <w:tc>
          <w:tcPr>
            <w:tcW w:w="1418" w:type="dxa"/>
            <w:tcBorders>
              <w:top w:val="nil"/>
              <w:left w:val="nil"/>
              <w:bottom w:val="nil"/>
              <w:right w:val="single" w:sz="4" w:space="0" w:color="auto"/>
            </w:tcBorders>
            <w:shd w:val="clear" w:color="000000" w:fill="FFFFFF"/>
            <w:vAlign w:val="center"/>
            <w:hideMark/>
          </w:tcPr>
          <w:p w:rsidR="00205A3D" w:rsidRPr="0027745B" w:rsidRDefault="00205A3D" w:rsidP="008539B9">
            <w:pPr>
              <w:spacing w:before="120"/>
              <w:jc w:val="right"/>
              <w:rPr>
                <w:rFonts w:cs="Arial"/>
                <w:color w:val="000000"/>
                <w:sz w:val="16"/>
                <w:szCs w:val="16"/>
              </w:rPr>
            </w:pPr>
            <w:r w:rsidRPr="0027745B">
              <w:rPr>
                <w:rFonts w:cs="Arial"/>
                <w:color w:val="000000"/>
                <w:sz w:val="16"/>
                <w:szCs w:val="16"/>
              </w:rPr>
              <w:t>41,109</w:t>
            </w:r>
          </w:p>
        </w:tc>
      </w:tr>
      <w:tr w:rsidR="00205A3D" w:rsidRPr="00AB6428" w:rsidTr="00724EA5">
        <w:tc>
          <w:tcPr>
            <w:tcW w:w="567" w:type="dxa"/>
            <w:tcBorders>
              <w:top w:val="nil"/>
              <w:left w:val="single" w:sz="4" w:space="0" w:color="auto"/>
              <w:bottom w:val="single" w:sz="4" w:space="0" w:color="auto"/>
              <w:right w:val="nil"/>
            </w:tcBorders>
            <w:shd w:val="clear" w:color="000000" w:fill="FFFFFF"/>
            <w:noWrap/>
            <w:hideMark/>
          </w:tcPr>
          <w:p w:rsidR="00205A3D" w:rsidRPr="0027745B" w:rsidRDefault="00205A3D" w:rsidP="00C96791">
            <w:pPr>
              <w:spacing w:before="120" w:after="120"/>
              <w:jc w:val="center"/>
              <w:rPr>
                <w:rFonts w:cs="Arial"/>
                <w:color w:val="000000"/>
                <w:sz w:val="16"/>
                <w:szCs w:val="16"/>
              </w:rPr>
            </w:pPr>
            <w:r w:rsidRPr="0027745B">
              <w:rPr>
                <w:rFonts w:cs="Arial"/>
                <w:color w:val="000000"/>
                <w:sz w:val="16"/>
                <w:szCs w:val="16"/>
              </w:rPr>
              <w:t>II.10</w:t>
            </w:r>
          </w:p>
        </w:tc>
        <w:tc>
          <w:tcPr>
            <w:tcW w:w="4541" w:type="dxa"/>
            <w:tcBorders>
              <w:top w:val="nil"/>
              <w:left w:val="nil"/>
              <w:bottom w:val="single" w:sz="4" w:space="0" w:color="auto"/>
              <w:right w:val="nil"/>
            </w:tcBorders>
            <w:shd w:val="clear" w:color="000000" w:fill="FFFFFF"/>
            <w:hideMark/>
          </w:tcPr>
          <w:p w:rsidR="00205A3D" w:rsidRPr="0027745B" w:rsidRDefault="00205A3D" w:rsidP="00601859">
            <w:pPr>
              <w:spacing w:before="120" w:after="120"/>
              <w:rPr>
                <w:rFonts w:cs="Arial"/>
                <w:color w:val="000000"/>
                <w:sz w:val="16"/>
                <w:szCs w:val="16"/>
              </w:rPr>
            </w:pPr>
            <w:r w:rsidRPr="0027745B">
              <w:rPr>
                <w:rFonts w:cs="Arial"/>
                <w:color w:val="000000"/>
                <w:sz w:val="16"/>
                <w:szCs w:val="16"/>
              </w:rPr>
              <w:t xml:space="preserve">Increased awareness of the Madrid &amp; Lisbon </w:t>
            </w:r>
            <w:r w:rsidR="00601859">
              <w:rPr>
                <w:rFonts w:cs="Arial"/>
                <w:color w:val="000000"/>
                <w:sz w:val="16"/>
                <w:szCs w:val="16"/>
              </w:rPr>
              <w:t>S</w:t>
            </w:r>
            <w:r w:rsidRPr="0027745B">
              <w:rPr>
                <w:rFonts w:cs="Arial"/>
                <w:color w:val="000000"/>
                <w:sz w:val="16"/>
                <w:szCs w:val="16"/>
              </w:rPr>
              <w:t>ystems</w:t>
            </w:r>
          </w:p>
        </w:tc>
        <w:tc>
          <w:tcPr>
            <w:tcW w:w="1417" w:type="dxa"/>
            <w:tcBorders>
              <w:top w:val="nil"/>
              <w:left w:val="nil"/>
              <w:bottom w:val="single" w:sz="4" w:space="0" w:color="auto"/>
              <w:right w:val="nil"/>
            </w:tcBorders>
            <w:shd w:val="clear" w:color="000000" w:fill="FFFFFF"/>
            <w:vAlign w:val="center"/>
            <w:hideMark/>
          </w:tcPr>
          <w:p w:rsidR="00205A3D" w:rsidRPr="0027745B" w:rsidRDefault="00205A3D" w:rsidP="00C96791">
            <w:pPr>
              <w:spacing w:before="120" w:after="120"/>
              <w:jc w:val="right"/>
              <w:rPr>
                <w:rFonts w:cs="Arial"/>
                <w:color w:val="000000"/>
                <w:sz w:val="16"/>
                <w:szCs w:val="16"/>
              </w:rPr>
            </w:pPr>
            <w:r w:rsidRPr="0027745B">
              <w:rPr>
                <w:rFonts w:cs="Arial"/>
                <w:color w:val="000000"/>
                <w:sz w:val="16"/>
                <w:szCs w:val="16"/>
              </w:rPr>
              <w:t>1,546</w:t>
            </w:r>
          </w:p>
        </w:tc>
        <w:tc>
          <w:tcPr>
            <w:tcW w:w="1418" w:type="dxa"/>
            <w:tcBorders>
              <w:top w:val="nil"/>
              <w:left w:val="nil"/>
              <w:bottom w:val="single" w:sz="4" w:space="0" w:color="auto"/>
              <w:right w:val="nil"/>
            </w:tcBorders>
            <w:shd w:val="clear" w:color="000000" w:fill="FFFFFF"/>
            <w:vAlign w:val="center"/>
            <w:hideMark/>
          </w:tcPr>
          <w:p w:rsidR="00205A3D" w:rsidRPr="0027745B" w:rsidRDefault="00205A3D" w:rsidP="00C96791">
            <w:pPr>
              <w:spacing w:before="120" w:after="120"/>
              <w:jc w:val="right"/>
              <w:rPr>
                <w:rFonts w:cs="Arial"/>
                <w:color w:val="000000"/>
                <w:sz w:val="16"/>
                <w:szCs w:val="16"/>
              </w:rPr>
            </w:pPr>
            <w:r w:rsidRPr="0027745B">
              <w:rPr>
                <w:rFonts w:cs="Arial"/>
                <w:color w:val="000000"/>
                <w:sz w:val="16"/>
                <w:szCs w:val="16"/>
              </w:rPr>
              <w:t xml:space="preserve">1,356 </w:t>
            </w:r>
          </w:p>
        </w:tc>
        <w:tc>
          <w:tcPr>
            <w:tcW w:w="1418" w:type="dxa"/>
            <w:tcBorders>
              <w:top w:val="nil"/>
              <w:left w:val="nil"/>
              <w:bottom w:val="single" w:sz="4" w:space="0" w:color="auto"/>
              <w:right w:val="single" w:sz="4" w:space="0" w:color="auto"/>
            </w:tcBorders>
            <w:shd w:val="clear" w:color="000000" w:fill="FFFFFF"/>
            <w:vAlign w:val="center"/>
            <w:hideMark/>
          </w:tcPr>
          <w:p w:rsidR="00205A3D" w:rsidRPr="0027745B" w:rsidRDefault="00205A3D" w:rsidP="00C96791">
            <w:pPr>
              <w:spacing w:before="120" w:after="120"/>
              <w:jc w:val="right"/>
              <w:rPr>
                <w:rFonts w:cs="Arial"/>
                <w:color w:val="000000"/>
                <w:sz w:val="16"/>
                <w:szCs w:val="16"/>
              </w:rPr>
            </w:pPr>
            <w:r w:rsidRPr="0027745B">
              <w:rPr>
                <w:rFonts w:cs="Arial"/>
                <w:color w:val="000000"/>
                <w:sz w:val="16"/>
                <w:szCs w:val="16"/>
              </w:rPr>
              <w:t>1,087</w:t>
            </w:r>
          </w:p>
        </w:tc>
      </w:tr>
      <w:tr w:rsidR="00205A3D" w:rsidRPr="00AB6428" w:rsidTr="00724EA5">
        <w:tc>
          <w:tcPr>
            <w:tcW w:w="567" w:type="dxa"/>
            <w:tcBorders>
              <w:top w:val="nil"/>
              <w:left w:val="single" w:sz="4" w:space="0" w:color="auto"/>
              <w:bottom w:val="single" w:sz="4" w:space="0" w:color="auto"/>
              <w:right w:val="nil"/>
            </w:tcBorders>
            <w:shd w:val="clear" w:color="000000" w:fill="CCFFFF"/>
            <w:noWrap/>
            <w:vAlign w:val="bottom"/>
            <w:hideMark/>
          </w:tcPr>
          <w:p w:rsidR="00205A3D" w:rsidRPr="0027745B" w:rsidRDefault="00205A3D" w:rsidP="00C96791">
            <w:pPr>
              <w:spacing w:before="120" w:after="120"/>
              <w:jc w:val="center"/>
              <w:rPr>
                <w:rFonts w:cs="Arial"/>
                <w:b/>
                <w:bCs/>
                <w:color w:val="000000"/>
                <w:sz w:val="16"/>
                <w:szCs w:val="16"/>
              </w:rPr>
            </w:pPr>
            <w:r w:rsidRPr="0027745B">
              <w:rPr>
                <w:rFonts w:cs="Arial"/>
                <w:b/>
                <w:bCs/>
                <w:color w:val="000000"/>
                <w:sz w:val="16"/>
                <w:szCs w:val="16"/>
              </w:rPr>
              <w:t> </w:t>
            </w:r>
          </w:p>
        </w:tc>
        <w:tc>
          <w:tcPr>
            <w:tcW w:w="4541" w:type="dxa"/>
            <w:tcBorders>
              <w:top w:val="nil"/>
              <w:left w:val="nil"/>
              <w:bottom w:val="single" w:sz="4" w:space="0" w:color="auto"/>
              <w:right w:val="nil"/>
            </w:tcBorders>
            <w:shd w:val="clear" w:color="000000" w:fill="CCFFFF"/>
            <w:noWrap/>
            <w:vAlign w:val="center"/>
            <w:hideMark/>
          </w:tcPr>
          <w:p w:rsidR="00205A3D" w:rsidRPr="0027745B" w:rsidRDefault="00205A3D" w:rsidP="00C96791">
            <w:pPr>
              <w:spacing w:before="120" w:after="120"/>
              <w:rPr>
                <w:rFonts w:cs="Arial"/>
                <w:b/>
                <w:bCs/>
                <w:color w:val="000000"/>
                <w:sz w:val="16"/>
                <w:szCs w:val="16"/>
              </w:rPr>
            </w:pPr>
            <w:r w:rsidRPr="0027745B">
              <w:rPr>
                <w:rFonts w:cs="Arial"/>
                <w:b/>
                <w:bCs/>
                <w:color w:val="000000"/>
                <w:sz w:val="16"/>
                <w:szCs w:val="16"/>
              </w:rPr>
              <w:t>Total</w:t>
            </w:r>
          </w:p>
        </w:tc>
        <w:tc>
          <w:tcPr>
            <w:tcW w:w="1417" w:type="dxa"/>
            <w:tcBorders>
              <w:top w:val="nil"/>
              <w:left w:val="single" w:sz="4" w:space="0" w:color="auto"/>
              <w:bottom w:val="single" w:sz="4" w:space="0" w:color="auto"/>
              <w:right w:val="single" w:sz="4" w:space="0" w:color="auto"/>
            </w:tcBorders>
            <w:shd w:val="clear" w:color="000000" w:fill="CCFFFF"/>
            <w:vAlign w:val="center"/>
            <w:hideMark/>
          </w:tcPr>
          <w:p w:rsidR="00205A3D" w:rsidRPr="0027745B" w:rsidRDefault="00205A3D" w:rsidP="00C96791">
            <w:pPr>
              <w:spacing w:before="120" w:after="120"/>
              <w:jc w:val="right"/>
              <w:rPr>
                <w:rFonts w:cs="Arial"/>
                <w:b/>
                <w:bCs/>
                <w:color w:val="000000"/>
                <w:sz w:val="16"/>
                <w:szCs w:val="16"/>
              </w:rPr>
            </w:pPr>
            <w:r w:rsidRPr="0027745B">
              <w:rPr>
                <w:rFonts w:cs="Arial"/>
                <w:b/>
                <w:bCs/>
                <w:color w:val="000000"/>
                <w:sz w:val="16"/>
                <w:szCs w:val="16"/>
              </w:rPr>
              <w:t>52,094</w:t>
            </w:r>
          </w:p>
        </w:tc>
        <w:tc>
          <w:tcPr>
            <w:tcW w:w="1418" w:type="dxa"/>
            <w:tcBorders>
              <w:top w:val="nil"/>
              <w:left w:val="nil"/>
              <w:bottom w:val="single" w:sz="4" w:space="0" w:color="auto"/>
              <w:right w:val="single" w:sz="4" w:space="0" w:color="auto"/>
            </w:tcBorders>
            <w:shd w:val="clear" w:color="000000" w:fill="CCFFFF"/>
            <w:noWrap/>
            <w:vAlign w:val="center"/>
            <w:hideMark/>
          </w:tcPr>
          <w:p w:rsidR="00205A3D" w:rsidRPr="0027745B" w:rsidRDefault="00205A3D" w:rsidP="00C96791">
            <w:pPr>
              <w:spacing w:before="120" w:after="120"/>
              <w:jc w:val="right"/>
              <w:rPr>
                <w:rFonts w:cs="Arial"/>
                <w:b/>
                <w:bCs/>
                <w:color w:val="000000"/>
                <w:sz w:val="16"/>
                <w:szCs w:val="16"/>
              </w:rPr>
            </w:pPr>
            <w:r w:rsidRPr="0027745B">
              <w:rPr>
                <w:rFonts w:cs="Arial"/>
                <w:b/>
                <w:bCs/>
                <w:color w:val="000000"/>
                <w:sz w:val="16"/>
                <w:szCs w:val="16"/>
              </w:rPr>
              <w:t>51,154</w:t>
            </w:r>
          </w:p>
        </w:tc>
        <w:tc>
          <w:tcPr>
            <w:tcW w:w="1418" w:type="dxa"/>
            <w:tcBorders>
              <w:top w:val="nil"/>
              <w:left w:val="nil"/>
              <w:bottom w:val="single" w:sz="4" w:space="0" w:color="auto"/>
              <w:right w:val="single" w:sz="4" w:space="0" w:color="auto"/>
            </w:tcBorders>
            <w:shd w:val="clear" w:color="000000" w:fill="CCFFFF"/>
            <w:vAlign w:val="center"/>
            <w:hideMark/>
          </w:tcPr>
          <w:p w:rsidR="00205A3D" w:rsidRPr="0027745B" w:rsidRDefault="00205A3D" w:rsidP="00C96791">
            <w:pPr>
              <w:spacing w:before="120" w:after="120"/>
              <w:jc w:val="right"/>
              <w:rPr>
                <w:rFonts w:cs="Arial"/>
                <w:b/>
                <w:bCs/>
                <w:color w:val="000000"/>
                <w:sz w:val="16"/>
                <w:szCs w:val="16"/>
              </w:rPr>
            </w:pPr>
            <w:r w:rsidRPr="0027745B">
              <w:rPr>
                <w:rFonts w:cs="Arial"/>
                <w:b/>
                <w:bCs/>
                <w:color w:val="000000"/>
                <w:sz w:val="16"/>
                <w:szCs w:val="16"/>
              </w:rPr>
              <w:t>49,452</w:t>
            </w:r>
          </w:p>
        </w:tc>
      </w:tr>
    </w:tbl>
    <w:p w:rsidR="00205A3D" w:rsidRPr="0098133B" w:rsidRDefault="00205A3D" w:rsidP="00205A3D">
      <w:pPr>
        <w:rPr>
          <w:rFonts w:cs="Arial"/>
          <w:sz w:val="22"/>
          <w:szCs w:val="22"/>
        </w:rPr>
      </w:pPr>
    </w:p>
    <w:p w:rsidR="00205A3D" w:rsidRDefault="00205A3D" w:rsidP="00205A3D"/>
    <w:p w:rsidR="00205A3D" w:rsidRDefault="00205A3D" w:rsidP="00205A3D">
      <w:pPr>
        <w:rPr>
          <w:rFonts w:cs="Arial"/>
          <w:sz w:val="18"/>
          <w:szCs w:val="18"/>
        </w:rPr>
      </w:pPr>
      <w:r>
        <w:br w:type="page"/>
      </w:r>
    </w:p>
    <w:p w:rsidR="00205A3D" w:rsidRPr="008539B9" w:rsidRDefault="00205A3D" w:rsidP="00205A3D">
      <w:pPr>
        <w:pStyle w:val="NormalWeb"/>
        <w:spacing w:before="0" w:beforeAutospacing="0" w:after="0" w:afterAutospacing="0"/>
        <w:jc w:val="center"/>
        <w:rPr>
          <w:sz w:val="20"/>
          <w:szCs w:val="20"/>
        </w:rPr>
      </w:pPr>
      <w:r w:rsidRPr="008539B9">
        <w:rPr>
          <w:color w:val="000000"/>
          <w:sz w:val="20"/>
          <w:szCs w:val="20"/>
        </w:rPr>
        <w:lastRenderedPageBreak/>
        <w:t xml:space="preserve">Budget and Actual Expenditure (personnel and non-personnel) </w:t>
      </w:r>
    </w:p>
    <w:p w:rsidR="00205A3D" w:rsidRPr="008539B9" w:rsidRDefault="00205A3D" w:rsidP="00205A3D">
      <w:pPr>
        <w:pStyle w:val="NormalWeb"/>
        <w:spacing w:before="0" w:beforeAutospacing="0" w:after="0" w:afterAutospacing="0"/>
        <w:jc w:val="center"/>
        <w:rPr>
          <w:sz w:val="20"/>
          <w:szCs w:val="20"/>
        </w:rPr>
      </w:pPr>
      <w:r w:rsidRPr="008539B9">
        <w:rPr>
          <w:i/>
          <w:iCs/>
          <w:color w:val="000000"/>
          <w:sz w:val="20"/>
          <w:szCs w:val="20"/>
        </w:rPr>
        <w:t>(</w:t>
      </w:r>
      <w:proofErr w:type="gramStart"/>
      <w:r w:rsidRPr="008539B9">
        <w:rPr>
          <w:i/>
          <w:iCs/>
          <w:color w:val="000000"/>
          <w:sz w:val="20"/>
          <w:szCs w:val="20"/>
        </w:rPr>
        <w:t>in</w:t>
      </w:r>
      <w:proofErr w:type="gramEnd"/>
      <w:r w:rsidRPr="008539B9">
        <w:rPr>
          <w:i/>
          <w:iCs/>
          <w:color w:val="000000"/>
          <w:sz w:val="20"/>
          <w:szCs w:val="20"/>
        </w:rPr>
        <w:t xml:space="preserve"> thousands of Swiss francs)</w:t>
      </w:r>
    </w:p>
    <w:p w:rsidR="00205A3D" w:rsidRPr="00DC6DE1" w:rsidRDefault="00205A3D" w:rsidP="00205A3D"/>
    <w:tbl>
      <w:tblPr>
        <w:tblW w:w="0" w:type="auto"/>
        <w:tblInd w:w="93" w:type="dxa"/>
        <w:tblLook w:val="04A0" w:firstRow="1" w:lastRow="0" w:firstColumn="1" w:lastColumn="0" w:noHBand="0" w:noVBand="1"/>
      </w:tblPr>
      <w:tblGrid>
        <w:gridCol w:w="2425"/>
        <w:gridCol w:w="1736"/>
        <w:gridCol w:w="1737"/>
        <w:gridCol w:w="1736"/>
        <w:gridCol w:w="1737"/>
      </w:tblGrid>
      <w:tr w:rsidR="00205A3D" w:rsidRPr="008539B9" w:rsidTr="00724EA5">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05A3D" w:rsidRPr="008539B9" w:rsidRDefault="00205A3D" w:rsidP="00C35E18">
            <w:pPr>
              <w:spacing w:before="120" w:after="120"/>
              <w:rPr>
                <w:rFonts w:cs="Arial"/>
                <w:color w:val="000000"/>
                <w:sz w:val="16"/>
                <w:szCs w:val="16"/>
              </w:rPr>
            </w:pPr>
            <w:r w:rsidRPr="008539B9">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205A3D" w:rsidRPr="008539B9" w:rsidRDefault="00205A3D" w:rsidP="00C35E18">
            <w:pPr>
              <w:spacing w:before="120" w:after="120"/>
              <w:jc w:val="center"/>
              <w:rPr>
                <w:rFonts w:cs="Arial"/>
                <w:bCs/>
                <w:color w:val="000000"/>
                <w:sz w:val="16"/>
                <w:szCs w:val="16"/>
              </w:rPr>
            </w:pPr>
            <w:r w:rsidRPr="008539B9">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205A3D" w:rsidRPr="008539B9" w:rsidRDefault="00205A3D" w:rsidP="00C35E18">
            <w:pPr>
              <w:spacing w:before="120" w:after="120"/>
              <w:jc w:val="center"/>
              <w:rPr>
                <w:rFonts w:cs="Arial"/>
                <w:bCs/>
                <w:color w:val="000000"/>
                <w:sz w:val="16"/>
                <w:szCs w:val="16"/>
              </w:rPr>
            </w:pPr>
            <w:r w:rsidRPr="008539B9">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205A3D" w:rsidRPr="008539B9" w:rsidRDefault="00205A3D" w:rsidP="00C35E18">
            <w:pPr>
              <w:spacing w:before="120" w:after="120"/>
              <w:jc w:val="center"/>
              <w:rPr>
                <w:rFonts w:cs="Arial"/>
                <w:bCs/>
                <w:color w:val="000000"/>
                <w:sz w:val="16"/>
                <w:szCs w:val="16"/>
              </w:rPr>
            </w:pPr>
            <w:r w:rsidRPr="008539B9">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205A3D" w:rsidRPr="008539B9" w:rsidRDefault="00205A3D" w:rsidP="00C35E18">
            <w:pPr>
              <w:spacing w:before="120" w:after="120"/>
              <w:jc w:val="center"/>
              <w:rPr>
                <w:rFonts w:cs="Arial"/>
                <w:bCs/>
                <w:color w:val="000000"/>
                <w:sz w:val="16"/>
                <w:szCs w:val="16"/>
              </w:rPr>
            </w:pPr>
            <w:r w:rsidRPr="008539B9">
              <w:rPr>
                <w:rFonts w:cs="Arial"/>
                <w:bCs/>
                <w:color w:val="000000"/>
                <w:sz w:val="16"/>
                <w:szCs w:val="16"/>
              </w:rPr>
              <w:t>Utilization rate (%)</w:t>
            </w:r>
          </w:p>
        </w:tc>
      </w:tr>
      <w:tr w:rsidR="00205A3D" w:rsidRPr="00205A3D" w:rsidTr="00724E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05A3D" w:rsidRPr="00205A3D" w:rsidRDefault="00205A3D" w:rsidP="00C35E18">
            <w:pPr>
              <w:spacing w:before="120" w:after="120"/>
              <w:rPr>
                <w:rFonts w:cs="Arial"/>
                <w:color w:val="000000"/>
                <w:sz w:val="16"/>
                <w:szCs w:val="16"/>
              </w:rPr>
            </w:pPr>
            <w:r w:rsidRPr="00205A3D">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38,617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39,160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39,160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100%</w:t>
            </w:r>
          </w:p>
        </w:tc>
      </w:tr>
      <w:tr w:rsidR="00205A3D" w:rsidRPr="00205A3D" w:rsidTr="00724E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05A3D" w:rsidRPr="00205A3D" w:rsidRDefault="00205A3D" w:rsidP="00C35E18">
            <w:pPr>
              <w:spacing w:before="120" w:after="120"/>
              <w:rPr>
                <w:rFonts w:cs="Arial"/>
                <w:color w:val="000000"/>
                <w:sz w:val="16"/>
                <w:szCs w:val="16"/>
              </w:rPr>
            </w:pPr>
            <w:r w:rsidRPr="00205A3D">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13,477</w:t>
            </w:r>
          </w:p>
        </w:tc>
        <w:tc>
          <w:tcPr>
            <w:tcW w:w="1737"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11,994</w:t>
            </w:r>
          </w:p>
        </w:tc>
        <w:tc>
          <w:tcPr>
            <w:tcW w:w="1736"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10,292</w:t>
            </w:r>
          </w:p>
        </w:tc>
        <w:tc>
          <w:tcPr>
            <w:tcW w:w="1737"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color w:val="000000"/>
                <w:sz w:val="16"/>
                <w:szCs w:val="16"/>
              </w:rPr>
            </w:pPr>
            <w:r w:rsidRPr="00205A3D">
              <w:rPr>
                <w:rFonts w:cs="Arial"/>
                <w:color w:val="000000"/>
                <w:sz w:val="16"/>
                <w:szCs w:val="16"/>
              </w:rPr>
              <w:t>86%</w:t>
            </w:r>
          </w:p>
        </w:tc>
      </w:tr>
      <w:tr w:rsidR="00205A3D" w:rsidRPr="00205A3D" w:rsidTr="00724E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205A3D" w:rsidRPr="00205A3D" w:rsidRDefault="00205A3D" w:rsidP="00C35E18">
            <w:pPr>
              <w:spacing w:before="120" w:after="120"/>
              <w:jc w:val="right"/>
              <w:rPr>
                <w:rFonts w:cs="Arial"/>
                <w:b/>
                <w:bCs/>
                <w:color w:val="000000"/>
                <w:sz w:val="16"/>
                <w:szCs w:val="16"/>
              </w:rPr>
            </w:pPr>
            <w:r w:rsidRPr="00205A3D">
              <w:rPr>
                <w:rFonts w:cs="Arial"/>
                <w:b/>
                <w:bCs/>
                <w:color w:val="000000"/>
                <w:sz w:val="16"/>
                <w:szCs w:val="16"/>
              </w:rPr>
              <w:t>TOTAL</w:t>
            </w:r>
          </w:p>
        </w:tc>
        <w:tc>
          <w:tcPr>
            <w:tcW w:w="1736"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b/>
                <w:bCs/>
                <w:color w:val="000000"/>
                <w:sz w:val="16"/>
                <w:szCs w:val="16"/>
              </w:rPr>
            </w:pPr>
            <w:r w:rsidRPr="00205A3D">
              <w:rPr>
                <w:rFonts w:cs="Arial"/>
                <w:b/>
                <w:bCs/>
                <w:color w:val="000000"/>
                <w:sz w:val="16"/>
                <w:szCs w:val="16"/>
              </w:rPr>
              <w:t>52,094</w:t>
            </w:r>
          </w:p>
        </w:tc>
        <w:tc>
          <w:tcPr>
            <w:tcW w:w="1737"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b/>
                <w:bCs/>
                <w:color w:val="000000"/>
                <w:sz w:val="16"/>
                <w:szCs w:val="16"/>
              </w:rPr>
            </w:pPr>
            <w:r w:rsidRPr="00205A3D">
              <w:rPr>
                <w:rFonts w:cs="Arial"/>
                <w:b/>
                <w:bCs/>
                <w:color w:val="000000"/>
                <w:sz w:val="16"/>
                <w:szCs w:val="16"/>
              </w:rPr>
              <w:t>51,154</w:t>
            </w:r>
          </w:p>
        </w:tc>
        <w:tc>
          <w:tcPr>
            <w:tcW w:w="1736"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b/>
                <w:bCs/>
                <w:color w:val="000000"/>
                <w:sz w:val="16"/>
                <w:szCs w:val="16"/>
              </w:rPr>
            </w:pPr>
            <w:r w:rsidRPr="00205A3D">
              <w:rPr>
                <w:rFonts w:cs="Arial"/>
                <w:b/>
                <w:bCs/>
                <w:color w:val="000000"/>
                <w:sz w:val="16"/>
                <w:szCs w:val="16"/>
              </w:rPr>
              <w:t>49,452</w:t>
            </w:r>
          </w:p>
        </w:tc>
        <w:tc>
          <w:tcPr>
            <w:tcW w:w="1737" w:type="dxa"/>
            <w:tcBorders>
              <w:top w:val="nil"/>
              <w:left w:val="nil"/>
              <w:bottom w:val="single" w:sz="4" w:space="0" w:color="auto"/>
              <w:right w:val="single" w:sz="4" w:space="0" w:color="auto"/>
            </w:tcBorders>
            <w:shd w:val="clear" w:color="auto" w:fill="auto"/>
            <w:vAlign w:val="center"/>
            <w:hideMark/>
          </w:tcPr>
          <w:p w:rsidR="00205A3D" w:rsidRPr="00205A3D" w:rsidRDefault="00205A3D" w:rsidP="00C35E18">
            <w:pPr>
              <w:spacing w:before="120" w:after="120"/>
              <w:jc w:val="center"/>
              <w:rPr>
                <w:rFonts w:cs="Arial"/>
                <w:b/>
                <w:bCs/>
                <w:color w:val="000000"/>
                <w:sz w:val="16"/>
                <w:szCs w:val="16"/>
              </w:rPr>
            </w:pPr>
            <w:r w:rsidRPr="00205A3D">
              <w:rPr>
                <w:rFonts w:cs="Arial"/>
                <w:b/>
                <w:bCs/>
                <w:color w:val="000000"/>
                <w:sz w:val="16"/>
                <w:szCs w:val="16"/>
              </w:rPr>
              <w:t>97%</w:t>
            </w:r>
          </w:p>
        </w:tc>
      </w:tr>
    </w:tbl>
    <w:p w:rsidR="00205A3D" w:rsidRDefault="00205A3D" w:rsidP="00205A3D">
      <w:pPr>
        <w:jc w:val="center"/>
      </w:pPr>
    </w:p>
    <w:p w:rsidR="00205A3D" w:rsidRDefault="00205A3D" w:rsidP="00205A3D">
      <w:pPr>
        <w:keepNext/>
        <w:autoSpaceDE w:val="0"/>
        <w:autoSpaceDN w:val="0"/>
        <w:rPr>
          <w:sz w:val="16"/>
          <w:szCs w:val="16"/>
        </w:rPr>
      </w:pPr>
      <w:r>
        <w:rPr>
          <w:sz w:val="16"/>
          <w:szCs w:val="16"/>
        </w:rPr>
        <w:t>NOTES:</w:t>
      </w:r>
    </w:p>
    <w:p w:rsidR="008539B9" w:rsidRDefault="008539B9" w:rsidP="00205A3D">
      <w:pPr>
        <w:keepNext/>
        <w:autoSpaceDE w:val="0"/>
        <w:autoSpaceDN w:val="0"/>
        <w:rPr>
          <w:sz w:val="16"/>
          <w:szCs w:val="16"/>
        </w:rPr>
      </w:pPr>
    </w:p>
    <w:p w:rsidR="00205A3D" w:rsidRDefault="00205A3D" w:rsidP="00205A3D">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8539B9" w:rsidRDefault="008539B9" w:rsidP="00205A3D">
      <w:pPr>
        <w:keepNext/>
        <w:autoSpaceDE w:val="0"/>
        <w:autoSpaceDN w:val="0"/>
        <w:rPr>
          <w:sz w:val="16"/>
          <w:szCs w:val="16"/>
        </w:rPr>
      </w:pPr>
    </w:p>
    <w:p w:rsidR="00205A3D" w:rsidRDefault="00DC2CFA" w:rsidP="00205A3D">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205A3D">
        <w:rPr>
          <w:sz w:val="16"/>
          <w:szCs w:val="16"/>
        </w:rPr>
        <w:t xml:space="preserve"> </w:t>
      </w:r>
    </w:p>
    <w:p w:rsidR="00205A3D" w:rsidRPr="008539B9" w:rsidRDefault="00205A3D" w:rsidP="00205A3D">
      <w:pPr>
        <w:keepNext/>
        <w:autoSpaceDE w:val="0"/>
        <w:autoSpaceDN w:val="0"/>
        <w:rPr>
          <w:sz w:val="22"/>
          <w:szCs w:val="22"/>
        </w:rPr>
      </w:pPr>
    </w:p>
    <w:p w:rsidR="00205A3D" w:rsidRPr="008539B9" w:rsidRDefault="00205A3D" w:rsidP="00205A3D">
      <w:pPr>
        <w:rPr>
          <w:sz w:val="22"/>
          <w:szCs w:val="22"/>
        </w:rPr>
      </w:pPr>
    </w:p>
    <w:p w:rsidR="00205A3D" w:rsidRPr="00BF58A4" w:rsidRDefault="00205A3D" w:rsidP="004C7D99">
      <w:pPr>
        <w:keepNext/>
        <w:keepLines/>
        <w:tabs>
          <w:tab w:val="left" w:pos="709"/>
        </w:tabs>
        <w:rPr>
          <w:u w:val="single"/>
        </w:rPr>
      </w:pPr>
      <w:r w:rsidRPr="00BF58A4">
        <w:t>A.</w:t>
      </w:r>
      <w:r w:rsidRPr="00BF58A4">
        <w:tab/>
      </w:r>
      <w:r w:rsidRPr="00BF58A4">
        <w:rPr>
          <w:u w:val="single"/>
        </w:rPr>
        <w:t>Budget after Transfers 2012/13</w:t>
      </w:r>
    </w:p>
    <w:p w:rsidR="00205A3D" w:rsidRDefault="00205A3D" w:rsidP="004C7D99">
      <w:pPr>
        <w:tabs>
          <w:tab w:val="left" w:pos="709"/>
        </w:tabs>
        <w:jc w:val="both"/>
      </w:pPr>
    </w:p>
    <w:p w:rsidR="00205A3D" w:rsidRPr="0027745B" w:rsidRDefault="00205A3D" w:rsidP="004C7D99">
      <w:pPr>
        <w:pStyle w:val="ListParagraph"/>
        <w:numPr>
          <w:ilvl w:val="0"/>
          <w:numId w:val="17"/>
        </w:numPr>
        <w:tabs>
          <w:tab w:val="left" w:pos="709"/>
        </w:tabs>
        <w:ind w:left="0" w:firstLine="0"/>
        <w:jc w:val="both"/>
        <w:rPr>
          <w:rFonts w:eastAsia="Batang"/>
          <w:lang w:eastAsia="ko-KR"/>
        </w:rPr>
      </w:pPr>
      <w:r w:rsidRPr="00632C30">
        <w:rPr>
          <w:rFonts w:eastAsia="Batang"/>
          <w:lang w:eastAsia="ko-KR"/>
        </w:rPr>
        <w:t>The personnel allocation for 2012/13 Budget after Transfers reflects an upward adjustment pri</w:t>
      </w:r>
      <w:r w:rsidRPr="0027745B">
        <w:rPr>
          <w:rFonts w:eastAsia="Batang"/>
          <w:lang w:eastAsia="ko-KR"/>
        </w:rPr>
        <w:t xml:space="preserve">marily due to the regularization of several long serving temporary employees in line with the decision taken at the Assemblies in 2010.  </w:t>
      </w:r>
    </w:p>
    <w:p w:rsidR="00205A3D" w:rsidRDefault="00205A3D" w:rsidP="004C7D99">
      <w:pPr>
        <w:tabs>
          <w:tab w:val="left" w:pos="709"/>
        </w:tabs>
        <w:jc w:val="both"/>
        <w:rPr>
          <w:rFonts w:eastAsia="Batang"/>
          <w:lang w:eastAsia="ko-KR"/>
        </w:rPr>
      </w:pPr>
    </w:p>
    <w:p w:rsidR="00205A3D" w:rsidRPr="0027745B" w:rsidRDefault="00205A3D" w:rsidP="004C7D99">
      <w:pPr>
        <w:pStyle w:val="ListParagraph"/>
        <w:numPr>
          <w:ilvl w:val="0"/>
          <w:numId w:val="17"/>
        </w:numPr>
        <w:tabs>
          <w:tab w:val="left" w:pos="709"/>
        </w:tabs>
        <w:ind w:left="0" w:firstLine="0"/>
        <w:jc w:val="both"/>
        <w:rPr>
          <w:rFonts w:eastAsia="Batang"/>
          <w:lang w:eastAsia="ko-KR"/>
        </w:rPr>
      </w:pPr>
      <w:r w:rsidRPr="00632C30">
        <w:rPr>
          <w:rFonts w:eastAsia="Batang"/>
          <w:lang w:eastAsia="ko-KR"/>
        </w:rPr>
        <w:t>The non-personnel allocation for the 2012/13 Budget after Transfers reflects downward adjustments made for cost effic</w:t>
      </w:r>
      <w:r w:rsidRPr="0027745B">
        <w:rPr>
          <w:rFonts w:eastAsia="Batang"/>
          <w:lang w:eastAsia="ko-KR"/>
        </w:rPr>
        <w:t xml:space="preserve">iency gains, in accordance with the Organization’s commitment to reduce expenditures by 10.2 million Swiss francs in the 2012/13 biennium.  </w:t>
      </w:r>
    </w:p>
    <w:p w:rsidR="00205A3D" w:rsidRDefault="00205A3D" w:rsidP="004C7D99">
      <w:pPr>
        <w:tabs>
          <w:tab w:val="left" w:pos="709"/>
        </w:tabs>
        <w:jc w:val="both"/>
        <w:rPr>
          <w:rFonts w:eastAsia="Batang"/>
          <w:lang w:eastAsia="ko-KR"/>
        </w:rPr>
      </w:pPr>
    </w:p>
    <w:p w:rsidR="00205A3D" w:rsidRPr="00BF58A4" w:rsidRDefault="00205A3D" w:rsidP="004C7D99">
      <w:pPr>
        <w:tabs>
          <w:tab w:val="left" w:pos="709"/>
        </w:tabs>
        <w:jc w:val="both"/>
        <w:rPr>
          <w:rFonts w:eastAsia="Batang"/>
          <w:u w:val="single"/>
          <w:lang w:eastAsia="ko-KR"/>
        </w:rPr>
      </w:pPr>
      <w:r w:rsidRPr="00BF58A4">
        <w:rPr>
          <w:rFonts w:eastAsia="Batang"/>
          <w:lang w:eastAsia="ko-KR"/>
        </w:rPr>
        <w:t>B</w:t>
      </w:r>
      <w:r>
        <w:rPr>
          <w:rFonts w:eastAsia="Batang"/>
          <w:lang w:eastAsia="ko-KR"/>
        </w:rPr>
        <w:t>.</w:t>
      </w:r>
      <w:r w:rsidRPr="00BF58A4">
        <w:rPr>
          <w:rFonts w:eastAsia="Batang"/>
          <w:lang w:eastAsia="ko-KR"/>
        </w:rPr>
        <w:tab/>
      </w:r>
      <w:r w:rsidRPr="00BF58A4">
        <w:rPr>
          <w:rFonts w:eastAsia="Batang"/>
          <w:u w:val="single"/>
          <w:lang w:eastAsia="ko-KR"/>
        </w:rPr>
        <w:t>Budg</w:t>
      </w:r>
      <w:r w:rsidR="00D44A34">
        <w:rPr>
          <w:rFonts w:eastAsia="Batang"/>
          <w:u w:val="single"/>
          <w:lang w:eastAsia="ko-KR"/>
        </w:rPr>
        <w:t>et U</w:t>
      </w:r>
      <w:r w:rsidRPr="00BF58A4">
        <w:rPr>
          <w:rFonts w:eastAsia="Batang"/>
          <w:u w:val="single"/>
          <w:lang w:eastAsia="ko-KR"/>
        </w:rPr>
        <w:t>tilization 2012</w:t>
      </w:r>
      <w:r>
        <w:rPr>
          <w:rFonts w:eastAsia="Batang"/>
          <w:u w:val="single"/>
          <w:lang w:eastAsia="ko-KR"/>
        </w:rPr>
        <w:t>/13</w:t>
      </w:r>
    </w:p>
    <w:p w:rsidR="00205A3D" w:rsidRDefault="00205A3D" w:rsidP="004C7D99">
      <w:pPr>
        <w:tabs>
          <w:tab w:val="left" w:pos="709"/>
        </w:tabs>
        <w:jc w:val="both"/>
      </w:pPr>
    </w:p>
    <w:p w:rsidR="00205A3D" w:rsidRPr="0027745B" w:rsidRDefault="00205A3D" w:rsidP="004C7D99">
      <w:pPr>
        <w:pStyle w:val="ListParagraph"/>
        <w:numPr>
          <w:ilvl w:val="0"/>
          <w:numId w:val="17"/>
        </w:numPr>
        <w:tabs>
          <w:tab w:val="left" w:pos="709"/>
        </w:tabs>
        <w:ind w:left="0" w:firstLine="0"/>
        <w:jc w:val="both"/>
        <w:rPr>
          <w:rFonts w:eastAsia="Batang" w:cs="Arial"/>
          <w:lang w:eastAsia="ko-KR"/>
        </w:rPr>
      </w:pPr>
      <w:r w:rsidRPr="00632C30">
        <w:rPr>
          <w:rFonts w:eastAsia="Batang" w:cs="Arial"/>
          <w:lang w:eastAsia="ko-KR"/>
        </w:rPr>
        <w:t xml:space="preserve">The non-personnel budget utilization rate for the Program amounted to </w:t>
      </w:r>
      <w:r w:rsidRPr="0027745B">
        <w:rPr>
          <w:rFonts w:eastAsia="Batang" w:cs="Arial"/>
          <w:lang w:eastAsia="ko-KR"/>
        </w:rPr>
        <w:t>86 per cent of the Budget after Transfers.  The under-utilization of non-personnel resources resulted primarily from:</w:t>
      </w:r>
    </w:p>
    <w:p w:rsidR="00205A3D" w:rsidRDefault="00205A3D" w:rsidP="00205A3D">
      <w:pPr>
        <w:jc w:val="both"/>
        <w:rPr>
          <w:rFonts w:eastAsia="Batang" w:cs="Arial"/>
          <w:szCs w:val="20"/>
          <w:lang w:eastAsia="ko-KR"/>
        </w:rPr>
      </w:pPr>
    </w:p>
    <w:p w:rsidR="00205A3D" w:rsidRDefault="00205A3D" w:rsidP="005703CF">
      <w:pPr>
        <w:pStyle w:val="ListParagraph"/>
        <w:numPr>
          <w:ilvl w:val="0"/>
          <w:numId w:val="16"/>
        </w:numPr>
        <w:ind w:left="851" w:hanging="284"/>
        <w:jc w:val="both"/>
        <w:rPr>
          <w:rFonts w:eastAsia="Batang" w:cs="Arial"/>
          <w:lang w:eastAsia="ko-KR"/>
        </w:rPr>
      </w:pPr>
      <w:r>
        <w:rPr>
          <w:rFonts w:eastAsia="Batang" w:cs="Arial"/>
          <w:lang w:eastAsia="ko-KR"/>
        </w:rPr>
        <w:t xml:space="preserve">a reduction in the staff missions and </w:t>
      </w:r>
      <w:r w:rsidRPr="00F22D24">
        <w:rPr>
          <w:rFonts w:eastAsia="Batang" w:cs="Arial"/>
          <w:lang w:eastAsia="ko-KR"/>
        </w:rPr>
        <w:t xml:space="preserve">cost savings </w:t>
      </w:r>
      <w:r>
        <w:rPr>
          <w:rFonts w:eastAsia="Batang" w:cs="Arial"/>
          <w:lang w:eastAsia="ko-KR"/>
        </w:rPr>
        <w:t xml:space="preserve">due to early booking </w:t>
      </w:r>
      <w:r w:rsidRPr="00F22D24">
        <w:rPr>
          <w:rFonts w:eastAsia="Batang" w:cs="Arial"/>
          <w:lang w:eastAsia="ko-KR"/>
        </w:rPr>
        <w:t>for travel under Result</w:t>
      </w:r>
      <w:r>
        <w:rPr>
          <w:rFonts w:eastAsia="Batang" w:cs="Arial"/>
          <w:lang w:eastAsia="ko-KR"/>
        </w:rPr>
        <w:t>s</w:t>
      </w:r>
      <w:r w:rsidRPr="00F22D24">
        <w:rPr>
          <w:rFonts w:eastAsia="Batang" w:cs="Arial"/>
          <w:lang w:eastAsia="ko-KR"/>
        </w:rPr>
        <w:t xml:space="preserve"> II.8 (Bet</w:t>
      </w:r>
      <w:r w:rsidR="00601859">
        <w:rPr>
          <w:rFonts w:eastAsia="Batang" w:cs="Arial"/>
          <w:lang w:eastAsia="ko-KR"/>
        </w:rPr>
        <w:t>ter use of the Madrid &amp; Lisbon S</w:t>
      </w:r>
      <w:r w:rsidRPr="00F22D24">
        <w:rPr>
          <w:rFonts w:eastAsia="Batang" w:cs="Arial"/>
          <w:lang w:eastAsia="ko-KR"/>
        </w:rPr>
        <w:t>ystems)</w:t>
      </w:r>
      <w:r>
        <w:rPr>
          <w:rFonts w:eastAsia="Batang" w:cs="Arial"/>
          <w:lang w:eastAsia="ko-KR"/>
        </w:rPr>
        <w:t xml:space="preserve"> and II.10 (</w:t>
      </w:r>
      <w:r w:rsidRPr="00EF19A6">
        <w:rPr>
          <w:rFonts w:eastAsia="Batang" w:cs="Arial"/>
          <w:lang w:eastAsia="ko-KR"/>
        </w:rPr>
        <w:t xml:space="preserve">Increased awareness of the Madrid &amp; Lisbon </w:t>
      </w:r>
      <w:r w:rsidR="00601859">
        <w:rPr>
          <w:rFonts w:eastAsia="Batang" w:cs="Arial"/>
          <w:lang w:eastAsia="ko-KR"/>
        </w:rPr>
        <w:t>S</w:t>
      </w:r>
      <w:r w:rsidRPr="00EF19A6">
        <w:rPr>
          <w:rFonts w:eastAsia="Batang" w:cs="Arial"/>
          <w:lang w:eastAsia="ko-KR"/>
        </w:rPr>
        <w:t>ystems)</w:t>
      </w:r>
      <w:r w:rsidRPr="00F22D24">
        <w:rPr>
          <w:rFonts w:eastAsia="Batang" w:cs="Arial"/>
          <w:lang w:eastAsia="ko-KR"/>
        </w:rPr>
        <w:t xml:space="preserve">; </w:t>
      </w:r>
      <w:r w:rsidR="00724EA5">
        <w:rPr>
          <w:rFonts w:eastAsia="Batang" w:cs="Arial"/>
          <w:lang w:eastAsia="ko-KR"/>
        </w:rPr>
        <w:t xml:space="preserve"> </w:t>
      </w:r>
      <w:r>
        <w:rPr>
          <w:rFonts w:eastAsia="Batang" w:cs="Arial"/>
          <w:lang w:eastAsia="ko-KR"/>
        </w:rPr>
        <w:t xml:space="preserve">and </w:t>
      </w:r>
    </w:p>
    <w:p w:rsidR="00205A3D" w:rsidRPr="00D20173" w:rsidRDefault="00205A3D" w:rsidP="00205A3D">
      <w:pPr>
        <w:pStyle w:val="ListParagraph"/>
        <w:ind w:left="851" w:hanging="284"/>
        <w:jc w:val="both"/>
        <w:rPr>
          <w:rFonts w:eastAsia="Batang" w:cs="Arial"/>
          <w:lang w:eastAsia="ko-KR"/>
        </w:rPr>
      </w:pPr>
    </w:p>
    <w:p w:rsidR="00205A3D" w:rsidRPr="00E967B5" w:rsidRDefault="00205A3D" w:rsidP="005703CF">
      <w:pPr>
        <w:pStyle w:val="ListParagraph"/>
        <w:numPr>
          <w:ilvl w:val="0"/>
          <w:numId w:val="16"/>
        </w:numPr>
        <w:ind w:left="851" w:hanging="284"/>
        <w:jc w:val="both"/>
      </w:pPr>
      <w:proofErr w:type="gramStart"/>
      <w:r>
        <w:rPr>
          <w:rFonts w:eastAsia="Batang" w:cs="Arial"/>
          <w:lang w:eastAsia="ko-KR"/>
        </w:rPr>
        <w:t>cost</w:t>
      </w:r>
      <w:proofErr w:type="gramEnd"/>
      <w:r>
        <w:rPr>
          <w:rFonts w:eastAsia="Batang" w:cs="Arial"/>
          <w:lang w:eastAsia="ko-KR"/>
        </w:rPr>
        <w:t xml:space="preserve"> savings on (i) interpretation costs due to a shorter Madrid Working Group, i.e. three days instead of five days, and an increase in the use of World Server and external translation services; </w:t>
      </w:r>
      <w:r w:rsidR="00724EA5">
        <w:rPr>
          <w:rFonts w:eastAsia="Batang" w:cs="Arial"/>
          <w:lang w:eastAsia="ko-KR"/>
        </w:rPr>
        <w:t xml:space="preserve"> </w:t>
      </w:r>
      <w:r>
        <w:rPr>
          <w:rFonts w:eastAsia="Batang" w:cs="Arial"/>
          <w:lang w:eastAsia="ko-KR"/>
        </w:rPr>
        <w:t xml:space="preserve">and (ii) a reduction in postage under </w:t>
      </w:r>
      <w:r>
        <w:t>II.9 (</w:t>
      </w:r>
      <w:r w:rsidRPr="00373317">
        <w:t>Better ope</w:t>
      </w:r>
      <w:r w:rsidR="00601859">
        <w:t>rations of the Madrid &amp; Lisbon S</w:t>
      </w:r>
      <w:r w:rsidRPr="00373317">
        <w:t>ystems</w:t>
      </w:r>
      <w:r>
        <w:t>)</w:t>
      </w:r>
      <w:r w:rsidR="00EC1008">
        <w:t xml:space="preserve"> </w:t>
      </w:r>
      <w:r w:rsidR="00EC1008" w:rsidRPr="00E967B5">
        <w:t>due to an increased use of electronic means</w:t>
      </w:r>
      <w:r w:rsidRPr="00E967B5">
        <w:t>.</w:t>
      </w:r>
    </w:p>
    <w:p w:rsidR="00205A3D" w:rsidRDefault="00205A3D" w:rsidP="00205A3D">
      <w:pPr>
        <w:pStyle w:val="ListParagraph"/>
        <w:ind w:left="851" w:hanging="284"/>
        <w:jc w:val="both"/>
      </w:pPr>
    </w:p>
    <w:p w:rsidR="00205A3D" w:rsidRDefault="00205A3D">
      <w:pPr>
        <w:rPr>
          <w:szCs w:val="20"/>
        </w:rPr>
      </w:pPr>
      <w:r>
        <w:br w:type="page"/>
      </w:r>
    </w:p>
    <w:p w:rsidR="00AF1291" w:rsidRPr="00305272" w:rsidRDefault="00305272" w:rsidP="00305272">
      <w:pPr>
        <w:pStyle w:val="Heading3"/>
      </w:pPr>
      <w:bookmarkStart w:id="27" w:name="_Toc393956049"/>
      <w:r w:rsidRPr="00305272">
        <w:lastRenderedPageBreak/>
        <w:t>Program 31</w:t>
      </w:r>
      <w:r w:rsidRPr="00305272">
        <w:tab/>
        <w:t>The Hague System</w:t>
      </w:r>
      <w:bookmarkEnd w:id="27"/>
    </w:p>
    <w:p w:rsidR="00AF1291" w:rsidRPr="00191037" w:rsidRDefault="00AF1291" w:rsidP="00AF1291">
      <w:pPr>
        <w:ind w:left="2268" w:hanging="2268"/>
        <w:rPr>
          <w:rFonts w:cs="Arial"/>
          <w:b/>
          <w:sz w:val="22"/>
          <w:szCs w:val="22"/>
        </w:rPr>
      </w:pPr>
    </w:p>
    <w:p w:rsidR="00AF1291" w:rsidRPr="00191037" w:rsidRDefault="00AF1291" w:rsidP="00AF1291">
      <w:pPr>
        <w:ind w:left="2268" w:hanging="2268"/>
        <w:rPr>
          <w:rFonts w:cs="Arial"/>
          <w:b/>
          <w:sz w:val="22"/>
          <w:szCs w:val="22"/>
        </w:rPr>
      </w:pPr>
      <w:r w:rsidRPr="00191037">
        <w:rPr>
          <w:rFonts w:cs="Arial"/>
          <w:b/>
          <w:sz w:val="22"/>
          <w:szCs w:val="22"/>
        </w:rPr>
        <w:t>Program Manager</w:t>
      </w:r>
      <w:r w:rsidRPr="00191037">
        <w:rPr>
          <w:rFonts w:cs="Arial"/>
          <w:b/>
          <w:sz w:val="22"/>
          <w:szCs w:val="22"/>
        </w:rPr>
        <w:tab/>
      </w:r>
      <w:r w:rsidRPr="00191037">
        <w:rPr>
          <w:rFonts w:cs="Arial"/>
          <w:b/>
          <w:sz w:val="22"/>
          <w:szCs w:val="22"/>
        </w:rPr>
        <w:tab/>
      </w:r>
      <w:r w:rsidRPr="00191037">
        <w:rPr>
          <w:rFonts w:cs="Arial"/>
          <w:b/>
          <w:bCs/>
          <w:sz w:val="22"/>
          <w:szCs w:val="22"/>
        </w:rPr>
        <w:t>Ms. B</w:t>
      </w:r>
      <w:r w:rsidR="00F21199">
        <w:rPr>
          <w:rFonts w:cs="Arial"/>
          <w:b/>
          <w:bCs/>
          <w:sz w:val="22"/>
          <w:szCs w:val="22"/>
        </w:rPr>
        <w:t>.</w:t>
      </w:r>
      <w:r w:rsidRPr="00191037">
        <w:rPr>
          <w:rFonts w:cs="Arial"/>
          <w:b/>
          <w:bCs/>
          <w:sz w:val="22"/>
          <w:szCs w:val="22"/>
        </w:rPr>
        <w:t xml:space="preserve"> Wang</w:t>
      </w:r>
    </w:p>
    <w:p w:rsidR="00AF1291" w:rsidRPr="00191037" w:rsidRDefault="00AF1291" w:rsidP="00AF1291">
      <w:pPr>
        <w:rPr>
          <w:rFonts w:cs="Arial"/>
          <w:sz w:val="22"/>
          <w:szCs w:val="22"/>
        </w:rPr>
      </w:pPr>
    </w:p>
    <w:p w:rsidR="00AF1291" w:rsidRPr="00191037" w:rsidRDefault="00AF1291" w:rsidP="00AF1291">
      <w:pPr>
        <w:rPr>
          <w:rFonts w:cs="Arial"/>
          <w:bCs/>
          <w:sz w:val="22"/>
          <w:szCs w:val="22"/>
        </w:rPr>
      </w:pPr>
    </w:p>
    <w:p w:rsidR="00AF1291" w:rsidRPr="00191037" w:rsidRDefault="00AF1291" w:rsidP="00AF1291">
      <w:pPr>
        <w:rPr>
          <w:rFonts w:cs="Arial"/>
          <w:sz w:val="22"/>
          <w:szCs w:val="22"/>
        </w:rPr>
      </w:pPr>
      <w:r w:rsidRPr="00191037">
        <w:rPr>
          <w:rFonts w:cs="Arial"/>
          <w:bCs/>
          <w:sz w:val="22"/>
          <w:szCs w:val="22"/>
        </w:rPr>
        <w:t>ACHIEVEMENTS IN THE 2012/13 BIENNIUM</w:t>
      </w:r>
    </w:p>
    <w:p w:rsidR="00AF1291" w:rsidRPr="00753A80" w:rsidRDefault="00AF1291" w:rsidP="00AF1291">
      <w:pPr>
        <w:autoSpaceDE w:val="0"/>
        <w:autoSpaceDN w:val="0"/>
        <w:adjustRightInd w:val="0"/>
        <w:rPr>
          <w:rFonts w:cs="Arial"/>
          <w:sz w:val="22"/>
          <w:szCs w:val="22"/>
        </w:rPr>
      </w:pPr>
    </w:p>
    <w:p w:rsidR="00AF1291" w:rsidRPr="0027745B" w:rsidRDefault="00AF1291" w:rsidP="00AF1291">
      <w:pPr>
        <w:tabs>
          <w:tab w:val="left" w:pos="709"/>
        </w:tabs>
        <w:autoSpaceDE w:val="0"/>
        <w:autoSpaceDN w:val="0"/>
        <w:adjustRightInd w:val="0"/>
        <w:jc w:val="both"/>
        <w:rPr>
          <w:rFonts w:cs="Arial"/>
          <w:szCs w:val="20"/>
        </w:rPr>
      </w:pPr>
      <w:r>
        <w:rPr>
          <w:rFonts w:cs="Arial"/>
          <w:szCs w:val="20"/>
        </w:rPr>
        <w:t>31.1.</w:t>
      </w:r>
      <w:r>
        <w:rPr>
          <w:rFonts w:cs="Arial"/>
          <w:szCs w:val="20"/>
        </w:rPr>
        <w:tab/>
      </w:r>
      <w:r w:rsidRPr="0027745B">
        <w:rPr>
          <w:rFonts w:cs="Arial"/>
          <w:szCs w:val="20"/>
        </w:rPr>
        <w:t xml:space="preserve">During the 2012/13 biennium, Brunei Darussalam, Montenegro, Tajikistan and Tunisia became party to the Geneva (1999) Act of the Hague Agreement Concerning the International Registration of Industrial Designs (hereinafter referred to as “the 1999 Act”), with the accession by Tunisia representing an important step towards the objective of establishing a predominance of the 1999 Act in the system since, as a result of this accession, there remains no Contracting State bound only by the 1934 Act.  Further progress towards terminating this latter treaty was achieved as four consents to that effect were received. </w:t>
      </w:r>
      <w:r w:rsidR="00724EA5">
        <w:rPr>
          <w:rFonts w:cs="Arial"/>
          <w:szCs w:val="20"/>
        </w:rPr>
        <w:t xml:space="preserve"> </w:t>
      </w:r>
      <w:r w:rsidRPr="0027745B">
        <w:rPr>
          <w:rFonts w:cs="Arial"/>
          <w:szCs w:val="20"/>
        </w:rPr>
        <w:t xml:space="preserve">By the end of the biennium, three consents were still required before formal termination can be pronounced. </w:t>
      </w:r>
    </w:p>
    <w:p w:rsidR="00AF1291" w:rsidRPr="0027745B" w:rsidRDefault="00AF1291" w:rsidP="00AF1291">
      <w:pPr>
        <w:tabs>
          <w:tab w:val="left" w:pos="709"/>
        </w:tabs>
        <w:autoSpaceDE w:val="0"/>
        <w:autoSpaceDN w:val="0"/>
        <w:adjustRightInd w:val="0"/>
        <w:jc w:val="both"/>
        <w:rPr>
          <w:rFonts w:cs="Arial"/>
          <w:szCs w:val="20"/>
        </w:rPr>
      </w:pPr>
    </w:p>
    <w:p w:rsidR="00AF1291" w:rsidRPr="0027745B" w:rsidRDefault="00AF1291" w:rsidP="00AF1291">
      <w:pPr>
        <w:tabs>
          <w:tab w:val="left" w:pos="709"/>
        </w:tabs>
        <w:autoSpaceDE w:val="0"/>
        <w:autoSpaceDN w:val="0"/>
        <w:adjustRightInd w:val="0"/>
        <w:jc w:val="both"/>
        <w:rPr>
          <w:rFonts w:cs="Arial"/>
          <w:szCs w:val="20"/>
        </w:rPr>
      </w:pPr>
      <w:r>
        <w:rPr>
          <w:rFonts w:cs="Arial"/>
          <w:szCs w:val="20"/>
        </w:rPr>
        <w:t>31.2</w:t>
      </w:r>
      <w:r w:rsidR="001B0411">
        <w:rPr>
          <w:rFonts w:cs="Arial"/>
          <w:szCs w:val="20"/>
        </w:rPr>
        <w:t>.</w:t>
      </w:r>
      <w:r>
        <w:rPr>
          <w:rFonts w:cs="Arial"/>
          <w:szCs w:val="20"/>
        </w:rPr>
        <w:tab/>
      </w:r>
      <w:r w:rsidRPr="0027745B">
        <w:rPr>
          <w:rFonts w:cs="Arial"/>
          <w:szCs w:val="20"/>
        </w:rPr>
        <w:t>A number of amendments to the Common Regulations and to the Administrative Instructions came into effect or were adopted during the biennium, leading to a general updating of the legal framework.  The Working Group, at its second and third sessions held in Geneva in November 2012 and October 2013, favorably considered the legislative implications of the introduction of new information</w:t>
      </w:r>
      <w:r w:rsidR="00B60A00">
        <w:rPr>
          <w:rFonts w:cs="Arial"/>
          <w:szCs w:val="20"/>
        </w:rPr>
        <w:t>-</w:t>
      </w:r>
      <w:r w:rsidRPr="0027745B">
        <w:rPr>
          <w:rFonts w:cs="Arial"/>
          <w:szCs w:val="20"/>
        </w:rPr>
        <w:t xml:space="preserve"> technology-based innovations, such as the Hague Portfolio Manager, in the administration of the </w:t>
      </w:r>
      <w:r w:rsidR="00601859">
        <w:rPr>
          <w:rFonts w:cs="Arial"/>
          <w:szCs w:val="20"/>
        </w:rPr>
        <w:t>Hague System</w:t>
      </w:r>
      <w:r w:rsidRPr="0027745B">
        <w:rPr>
          <w:rFonts w:cs="Arial"/>
          <w:szCs w:val="20"/>
        </w:rPr>
        <w:t>, which is expected to lead to further amendments.</w:t>
      </w:r>
      <w:r w:rsidR="00724EA5">
        <w:rPr>
          <w:rFonts w:cs="Arial"/>
          <w:szCs w:val="20"/>
        </w:rPr>
        <w:t xml:space="preserve"> </w:t>
      </w:r>
      <w:r w:rsidRPr="0027745B">
        <w:rPr>
          <w:rFonts w:cs="Arial"/>
          <w:szCs w:val="20"/>
        </w:rPr>
        <w:t xml:space="preserve"> In addition, as from January 2012, the International Designs Bulletin was published on a weekly basis, reducing the average pendency time from filing to publication for a regular non-deferred application from nine to four weeks.  Furthermore, about 80</w:t>
      </w:r>
      <w:r w:rsidR="00724EA5">
        <w:rPr>
          <w:rFonts w:cs="Arial"/>
          <w:szCs w:val="20"/>
        </w:rPr>
        <w:t> </w:t>
      </w:r>
      <w:r w:rsidRPr="0027745B">
        <w:rPr>
          <w:rFonts w:cs="Arial"/>
          <w:szCs w:val="20"/>
        </w:rPr>
        <w:t xml:space="preserve">per cent of applications and renewals were filed through the respective electronic interfaces.  Finally, in 2012, an independently-conducted survey revealed a 95 per cent satisfaction rate amongst users of the </w:t>
      </w:r>
      <w:r w:rsidR="00601859">
        <w:rPr>
          <w:rFonts w:cs="Arial"/>
          <w:szCs w:val="20"/>
        </w:rPr>
        <w:t>Hague System</w:t>
      </w:r>
      <w:r w:rsidRPr="0027745B">
        <w:rPr>
          <w:rFonts w:cs="Arial"/>
          <w:szCs w:val="20"/>
        </w:rPr>
        <w:t>.</w:t>
      </w:r>
    </w:p>
    <w:p w:rsidR="00AF1291" w:rsidRPr="0027745B" w:rsidRDefault="00AF1291" w:rsidP="00AF1291">
      <w:pPr>
        <w:tabs>
          <w:tab w:val="left" w:pos="709"/>
        </w:tabs>
        <w:autoSpaceDE w:val="0"/>
        <w:autoSpaceDN w:val="0"/>
        <w:adjustRightInd w:val="0"/>
        <w:jc w:val="both"/>
        <w:rPr>
          <w:rFonts w:cs="Arial"/>
          <w:szCs w:val="20"/>
        </w:rPr>
      </w:pPr>
    </w:p>
    <w:p w:rsidR="00AF1291" w:rsidRPr="0027745B" w:rsidRDefault="00AF1291" w:rsidP="00AF1291">
      <w:pPr>
        <w:tabs>
          <w:tab w:val="left" w:pos="709"/>
        </w:tabs>
        <w:autoSpaceDE w:val="0"/>
        <w:autoSpaceDN w:val="0"/>
        <w:adjustRightInd w:val="0"/>
        <w:jc w:val="both"/>
        <w:rPr>
          <w:rFonts w:cs="Arial"/>
          <w:szCs w:val="20"/>
        </w:rPr>
      </w:pPr>
      <w:r>
        <w:rPr>
          <w:rFonts w:cs="Arial"/>
          <w:szCs w:val="20"/>
        </w:rPr>
        <w:t>31.3.</w:t>
      </w:r>
      <w:r>
        <w:rPr>
          <w:rFonts w:cs="Arial"/>
          <w:szCs w:val="20"/>
        </w:rPr>
        <w:tab/>
      </w:r>
      <w:r w:rsidRPr="0027745B">
        <w:rPr>
          <w:rFonts w:cs="Arial"/>
          <w:szCs w:val="20"/>
        </w:rPr>
        <w:t xml:space="preserve">Regarding raising awareness of </w:t>
      </w:r>
      <w:proofErr w:type="gramStart"/>
      <w:r w:rsidRPr="0027745B">
        <w:rPr>
          <w:rFonts w:cs="Arial"/>
          <w:szCs w:val="20"/>
        </w:rPr>
        <w:t>the</w:t>
      </w:r>
      <w:proofErr w:type="gramEnd"/>
      <w:r w:rsidRPr="0027745B">
        <w:rPr>
          <w:rFonts w:cs="Arial"/>
          <w:szCs w:val="20"/>
        </w:rPr>
        <w:t xml:space="preserve"> </w:t>
      </w:r>
      <w:r w:rsidR="00601859">
        <w:rPr>
          <w:rFonts w:cs="Arial"/>
          <w:szCs w:val="20"/>
        </w:rPr>
        <w:t>Hague System</w:t>
      </w:r>
      <w:r w:rsidRPr="0027745B">
        <w:rPr>
          <w:rFonts w:cs="Arial"/>
          <w:szCs w:val="20"/>
        </w:rPr>
        <w:t xml:space="preserve">, the number of publications available in more than just the three working languages of the </w:t>
      </w:r>
      <w:r w:rsidR="00724EA5">
        <w:rPr>
          <w:rFonts w:cs="Arial"/>
          <w:szCs w:val="20"/>
        </w:rPr>
        <w:t>S</w:t>
      </w:r>
      <w:r w:rsidRPr="0027745B">
        <w:rPr>
          <w:rFonts w:cs="Arial"/>
          <w:szCs w:val="20"/>
        </w:rPr>
        <w:t xml:space="preserve">ystem continued to increase during the biennium. </w:t>
      </w:r>
      <w:r w:rsidR="00724EA5">
        <w:rPr>
          <w:rFonts w:cs="Arial"/>
          <w:szCs w:val="20"/>
        </w:rPr>
        <w:t xml:space="preserve"> </w:t>
      </w:r>
      <w:r w:rsidRPr="0027745B">
        <w:rPr>
          <w:rFonts w:cs="Arial"/>
          <w:szCs w:val="20"/>
        </w:rPr>
        <w:t xml:space="preserve">The number of concerned Offices providing adequate public information about the </w:t>
      </w:r>
      <w:r w:rsidR="00601859">
        <w:rPr>
          <w:rFonts w:cs="Arial"/>
          <w:szCs w:val="20"/>
        </w:rPr>
        <w:t>Hague System</w:t>
      </w:r>
      <w:r w:rsidRPr="0027745B">
        <w:rPr>
          <w:rFonts w:cs="Arial"/>
          <w:szCs w:val="20"/>
        </w:rPr>
        <w:t xml:space="preserve"> also increased. </w:t>
      </w:r>
    </w:p>
    <w:p w:rsidR="00AF1291" w:rsidRPr="0027745B" w:rsidRDefault="00AF1291" w:rsidP="00AF1291">
      <w:pPr>
        <w:tabs>
          <w:tab w:val="left" w:pos="709"/>
        </w:tabs>
        <w:autoSpaceDE w:val="0"/>
        <w:autoSpaceDN w:val="0"/>
        <w:adjustRightInd w:val="0"/>
        <w:jc w:val="both"/>
        <w:rPr>
          <w:rFonts w:cs="Arial"/>
          <w:szCs w:val="20"/>
        </w:rPr>
      </w:pPr>
    </w:p>
    <w:p w:rsidR="00AF1291" w:rsidRPr="0027745B" w:rsidRDefault="00AF1291" w:rsidP="00AF1291">
      <w:pPr>
        <w:tabs>
          <w:tab w:val="left" w:pos="709"/>
        </w:tabs>
        <w:jc w:val="both"/>
        <w:rPr>
          <w:rFonts w:eastAsia="MS Mincho" w:cs="Arial"/>
          <w:szCs w:val="20"/>
          <w:lang w:eastAsia="ja-JP"/>
        </w:rPr>
      </w:pPr>
      <w:r>
        <w:rPr>
          <w:rFonts w:cs="Arial"/>
          <w:szCs w:val="20"/>
        </w:rPr>
        <w:t>31.4.</w:t>
      </w:r>
      <w:r>
        <w:rPr>
          <w:rFonts w:cs="Arial"/>
          <w:szCs w:val="20"/>
        </w:rPr>
        <w:tab/>
      </w:r>
      <w:r w:rsidRPr="0027745B">
        <w:rPr>
          <w:rFonts w:cs="Arial"/>
          <w:szCs w:val="20"/>
        </w:rPr>
        <w:t xml:space="preserve">In spite of a general growth in filings and recording activity, with notably more filings made for and from developing countries and LDCs, and in spite of exceeding the objective in terms of renewals, the volumes remained far below </w:t>
      </w:r>
      <w:r w:rsidR="00502B3E">
        <w:rPr>
          <w:rFonts w:cs="Arial"/>
          <w:szCs w:val="20"/>
        </w:rPr>
        <w:t>the anticipated growth levels</w:t>
      </w:r>
      <w:r w:rsidRPr="0027745B">
        <w:rPr>
          <w:rFonts w:cs="Arial"/>
          <w:szCs w:val="20"/>
        </w:rPr>
        <w:t>.  This is explained by lower results than e</w:t>
      </w:r>
      <w:r w:rsidR="00B60A00">
        <w:rPr>
          <w:rFonts w:cs="Arial"/>
          <w:szCs w:val="20"/>
        </w:rPr>
        <w:t>xpected in the biennium 2010/11,</w:t>
      </w:r>
      <w:r w:rsidRPr="0027745B">
        <w:rPr>
          <w:rFonts w:cs="Arial"/>
          <w:szCs w:val="20"/>
        </w:rPr>
        <w:t xml:space="preserve"> the latter forming the basis for the 2012/13 forecast.  The lower than anticipated results for the 2010/11 biennium were due to a combination of two external factors: </w:t>
      </w:r>
      <w:r w:rsidR="00724EA5">
        <w:rPr>
          <w:rFonts w:cs="Arial"/>
          <w:szCs w:val="20"/>
        </w:rPr>
        <w:t xml:space="preserve"> </w:t>
      </w:r>
      <w:r w:rsidRPr="0027745B">
        <w:rPr>
          <w:rFonts w:cs="Arial"/>
          <w:szCs w:val="20"/>
        </w:rPr>
        <w:t xml:space="preserve">(i) the enduring global economic crisis; and (ii) the fact that the membership to the 1999 Act did not grow as </w:t>
      </w:r>
      <w:r w:rsidRPr="00E967B5">
        <w:rPr>
          <w:rFonts w:cs="Arial"/>
          <w:szCs w:val="20"/>
        </w:rPr>
        <w:t xml:space="preserve">expected.  </w:t>
      </w:r>
      <w:r w:rsidR="00B60A00" w:rsidRPr="00E967B5">
        <w:rPr>
          <w:rFonts w:cs="Arial"/>
          <w:szCs w:val="20"/>
        </w:rPr>
        <w:t>As regards the lower-than-expected decrease in irregular applications, the</w:t>
      </w:r>
      <w:r w:rsidRPr="00E967B5">
        <w:rPr>
          <w:rFonts w:cs="Arial"/>
          <w:szCs w:val="20"/>
        </w:rPr>
        <w:t xml:space="preserve"> development of a</w:t>
      </w:r>
      <w:r w:rsidRPr="0027745B">
        <w:rPr>
          <w:rFonts w:cs="Arial"/>
          <w:szCs w:val="20"/>
        </w:rPr>
        <w:t xml:space="preserve"> new e</w:t>
      </w:r>
      <w:r w:rsidRPr="0027745B">
        <w:rPr>
          <w:rFonts w:cs="Arial"/>
          <w:szCs w:val="20"/>
        </w:rPr>
        <w:noBreakHyphen/>
        <w:t xml:space="preserve">filing interface that would have led to a reduction in formal mistakes in applications was delayed and eventually not completed until mid-2013. </w:t>
      </w:r>
    </w:p>
    <w:p w:rsidR="00AF1291" w:rsidRPr="00191037" w:rsidRDefault="00AF1291" w:rsidP="00AF1291">
      <w:pPr>
        <w:tabs>
          <w:tab w:val="left" w:pos="709"/>
        </w:tabs>
        <w:jc w:val="both"/>
        <w:rPr>
          <w:rFonts w:cs="Arial"/>
          <w:bCs/>
          <w:sz w:val="22"/>
          <w:szCs w:val="22"/>
        </w:rPr>
      </w:pPr>
    </w:p>
    <w:p w:rsidR="00AF1291" w:rsidRPr="002C4083" w:rsidRDefault="00AF1291" w:rsidP="00AF1291">
      <w:pPr>
        <w:tabs>
          <w:tab w:val="left" w:pos="709"/>
        </w:tabs>
        <w:jc w:val="both"/>
        <w:rPr>
          <w:rFonts w:cs="Arial"/>
          <w:bCs/>
          <w:sz w:val="22"/>
          <w:szCs w:val="22"/>
        </w:rPr>
      </w:pPr>
      <w:r w:rsidRPr="002C4083">
        <w:rPr>
          <w:rFonts w:cs="Arial"/>
          <w:bCs/>
          <w:sz w:val="22"/>
          <w:szCs w:val="22"/>
        </w:rPr>
        <w:t xml:space="preserve">IMPLEMENTATION OF THE DEVELOPMENT AGENDA </w:t>
      </w:r>
    </w:p>
    <w:p w:rsidR="00AF1291" w:rsidRPr="002C4083" w:rsidRDefault="00AF1291" w:rsidP="00AF1291">
      <w:pPr>
        <w:tabs>
          <w:tab w:val="left" w:pos="709"/>
        </w:tabs>
        <w:jc w:val="both"/>
        <w:rPr>
          <w:rFonts w:cs="Arial"/>
          <w:bCs/>
          <w:sz w:val="22"/>
          <w:szCs w:val="22"/>
        </w:rPr>
      </w:pPr>
    </w:p>
    <w:p w:rsidR="00AF1291" w:rsidRPr="002C4083" w:rsidRDefault="00AF1291" w:rsidP="00AF1291">
      <w:pPr>
        <w:tabs>
          <w:tab w:val="left" w:pos="709"/>
        </w:tabs>
        <w:jc w:val="both"/>
        <w:rPr>
          <w:rFonts w:cs="Arial"/>
          <w:bCs/>
          <w:szCs w:val="20"/>
        </w:rPr>
      </w:pPr>
      <w:r w:rsidRPr="002C4083">
        <w:rPr>
          <w:rFonts w:cs="Arial"/>
          <w:bCs/>
          <w:szCs w:val="20"/>
        </w:rPr>
        <w:t>31.5.</w:t>
      </w:r>
      <w:r w:rsidRPr="002C4083">
        <w:rPr>
          <w:rFonts w:cs="Arial"/>
          <w:bCs/>
          <w:szCs w:val="20"/>
        </w:rPr>
        <w:tab/>
        <w:t>The design, planning and implementation of activities by Program 31 were informed and guided by the relevant Recommendations, in particular Recommendations 1 and 6.</w:t>
      </w:r>
    </w:p>
    <w:p w:rsidR="00AF1291" w:rsidRPr="00191037" w:rsidRDefault="00AF1291" w:rsidP="00AF1291">
      <w:pPr>
        <w:rPr>
          <w:rFonts w:cs="Arial"/>
          <w:b/>
          <w:bCs/>
          <w:color w:val="000000"/>
          <w:sz w:val="22"/>
          <w:szCs w:val="22"/>
        </w:rPr>
      </w:pPr>
    </w:p>
    <w:p w:rsidR="00AF1291" w:rsidRPr="00191037" w:rsidRDefault="00AF1291" w:rsidP="00AF1291">
      <w:pPr>
        <w:rPr>
          <w:rFonts w:cs="Arial"/>
          <w:sz w:val="22"/>
          <w:szCs w:val="22"/>
        </w:rPr>
      </w:pPr>
      <w:r w:rsidRPr="00191037">
        <w:rPr>
          <w:rFonts w:cs="Arial"/>
          <w:sz w:val="22"/>
          <w:szCs w:val="22"/>
        </w:rPr>
        <w:t>PERFORMANCE DATA</w:t>
      </w:r>
    </w:p>
    <w:p w:rsidR="00AF1291" w:rsidRPr="00191037" w:rsidRDefault="00AF1291" w:rsidP="00AF1291">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72"/>
        <w:gridCol w:w="17"/>
        <w:gridCol w:w="1841"/>
        <w:gridCol w:w="127"/>
        <w:gridCol w:w="352"/>
        <w:gridCol w:w="1361"/>
        <w:gridCol w:w="2414"/>
        <w:gridCol w:w="150"/>
        <w:gridCol w:w="1123"/>
      </w:tblGrid>
      <w:tr w:rsidR="00AF1291" w:rsidRPr="008539B9" w:rsidTr="007C0423">
        <w:trPr>
          <w:cantSplit/>
        </w:trPr>
        <w:tc>
          <w:tcPr>
            <w:tcW w:w="5000" w:type="pct"/>
            <w:gridSpan w:val="9"/>
            <w:tcBorders>
              <w:top w:val="single" w:sz="4" w:space="0" w:color="auto"/>
              <w:bottom w:val="single" w:sz="4" w:space="0" w:color="auto"/>
            </w:tcBorders>
            <w:shd w:val="clear" w:color="auto" w:fill="CCFFFF"/>
            <w:vAlign w:val="center"/>
          </w:tcPr>
          <w:p w:rsidR="00AF1291" w:rsidRPr="008539B9" w:rsidRDefault="00AF1291" w:rsidP="007C0423">
            <w:pPr>
              <w:keepNext/>
              <w:keepLines/>
              <w:tabs>
                <w:tab w:val="left" w:pos="1452"/>
              </w:tabs>
              <w:spacing w:before="120" w:after="120"/>
              <w:ind w:left="1452" w:hanging="1452"/>
              <w:rPr>
                <w:rFonts w:cs="Arial"/>
                <w:b/>
                <w:bCs/>
                <w:sz w:val="16"/>
                <w:szCs w:val="16"/>
              </w:rPr>
            </w:pPr>
            <w:r w:rsidRPr="008539B9">
              <w:rPr>
                <w:rFonts w:cs="Arial"/>
                <w:b/>
                <w:bCs/>
                <w:sz w:val="16"/>
                <w:szCs w:val="16"/>
              </w:rPr>
              <w:t>Expected Result:</w:t>
            </w:r>
            <w:r w:rsidRPr="008539B9">
              <w:rPr>
                <w:rFonts w:cs="Arial"/>
                <w:b/>
                <w:bCs/>
                <w:sz w:val="16"/>
                <w:szCs w:val="16"/>
              </w:rPr>
              <w:tab/>
            </w:r>
            <w:r w:rsidRPr="008539B9">
              <w:rPr>
                <w:rFonts w:cs="Arial"/>
                <w:color w:val="000000"/>
                <w:sz w:val="16"/>
                <w:szCs w:val="16"/>
              </w:rPr>
              <w:t xml:space="preserve">Increased awareness of the </w:t>
            </w:r>
            <w:r w:rsidR="00601859">
              <w:rPr>
                <w:rFonts w:cs="Arial"/>
                <w:color w:val="000000"/>
                <w:sz w:val="16"/>
                <w:szCs w:val="16"/>
              </w:rPr>
              <w:t>Hague System</w:t>
            </w:r>
          </w:p>
        </w:tc>
      </w:tr>
      <w:tr w:rsidR="00AF1291" w:rsidRPr="008539B9" w:rsidTr="007C0423">
        <w:trPr>
          <w:cantSplit/>
        </w:trPr>
        <w:tc>
          <w:tcPr>
            <w:tcW w:w="1054" w:type="pct"/>
            <w:tcBorders>
              <w:top w:val="single" w:sz="4" w:space="0" w:color="auto"/>
            </w:tcBorders>
            <w:shd w:val="clear" w:color="auto" w:fill="auto"/>
            <w:vAlign w:val="center"/>
          </w:tcPr>
          <w:p w:rsidR="00AF1291" w:rsidRPr="008539B9" w:rsidRDefault="00AF1291" w:rsidP="007C0423">
            <w:pPr>
              <w:rPr>
                <w:rFonts w:cs="Arial"/>
                <w:sz w:val="16"/>
                <w:szCs w:val="16"/>
              </w:rPr>
            </w:pPr>
            <w:r w:rsidRPr="008539B9">
              <w:rPr>
                <w:rFonts w:cs="Arial"/>
                <w:b/>
                <w:bCs/>
                <w:sz w:val="16"/>
                <w:szCs w:val="16"/>
              </w:rPr>
              <w:t>Performance Indicators</w:t>
            </w:r>
          </w:p>
        </w:tc>
        <w:tc>
          <w:tcPr>
            <w:tcW w:w="1061" w:type="pct"/>
            <w:gridSpan w:val="3"/>
            <w:tcBorders>
              <w:top w:val="single" w:sz="4" w:space="0" w:color="auto"/>
            </w:tcBorders>
            <w:shd w:val="clear" w:color="auto" w:fill="auto"/>
            <w:vAlign w:val="center"/>
          </w:tcPr>
          <w:p w:rsidR="00AF1291" w:rsidRPr="008539B9" w:rsidRDefault="00AF1291" w:rsidP="007C0423">
            <w:pPr>
              <w:rPr>
                <w:rFonts w:cs="Arial"/>
                <w:b/>
                <w:bCs/>
                <w:sz w:val="16"/>
                <w:szCs w:val="16"/>
              </w:rPr>
            </w:pPr>
            <w:r w:rsidRPr="008539B9">
              <w:rPr>
                <w:rFonts w:cs="Arial"/>
                <w:b/>
                <w:bCs/>
                <w:sz w:val="16"/>
                <w:szCs w:val="16"/>
              </w:rPr>
              <w:t>Baselines</w:t>
            </w:r>
          </w:p>
        </w:tc>
        <w:tc>
          <w:tcPr>
            <w:tcW w:w="915" w:type="pct"/>
            <w:gridSpan w:val="2"/>
            <w:tcBorders>
              <w:top w:val="single" w:sz="4" w:space="0" w:color="auto"/>
            </w:tcBorders>
            <w:shd w:val="clear" w:color="auto" w:fill="auto"/>
            <w:tcMar>
              <w:top w:w="110" w:type="dxa"/>
            </w:tcMar>
            <w:vAlign w:val="center"/>
          </w:tcPr>
          <w:p w:rsidR="00AF1291" w:rsidRPr="008539B9" w:rsidRDefault="00AF1291" w:rsidP="007C0423">
            <w:pPr>
              <w:rPr>
                <w:rFonts w:cs="Arial"/>
                <w:b/>
                <w:sz w:val="16"/>
                <w:szCs w:val="16"/>
              </w:rPr>
            </w:pPr>
            <w:r w:rsidRPr="008539B9">
              <w:rPr>
                <w:rFonts w:cs="Arial"/>
                <w:b/>
                <w:sz w:val="16"/>
                <w:szCs w:val="16"/>
              </w:rPr>
              <w:t>Target</w:t>
            </w:r>
            <w:r w:rsidR="00582788" w:rsidRPr="008539B9">
              <w:rPr>
                <w:rFonts w:cs="Arial"/>
                <w:b/>
                <w:sz w:val="16"/>
                <w:szCs w:val="16"/>
              </w:rPr>
              <w:t>s</w:t>
            </w:r>
          </w:p>
        </w:tc>
        <w:tc>
          <w:tcPr>
            <w:tcW w:w="1290" w:type="pct"/>
            <w:tcBorders>
              <w:top w:val="single" w:sz="4" w:space="0" w:color="auto"/>
            </w:tcBorders>
            <w:shd w:val="clear" w:color="auto" w:fill="FFFFFF"/>
            <w:tcMar>
              <w:top w:w="110" w:type="dxa"/>
            </w:tcMar>
            <w:vAlign w:val="center"/>
          </w:tcPr>
          <w:p w:rsidR="00AF1291" w:rsidRPr="008539B9" w:rsidRDefault="00AF1291" w:rsidP="007C0423">
            <w:pPr>
              <w:rPr>
                <w:rFonts w:cs="Arial"/>
                <w:sz w:val="16"/>
                <w:szCs w:val="16"/>
              </w:rPr>
            </w:pPr>
            <w:r w:rsidRPr="008539B9">
              <w:rPr>
                <w:rFonts w:cs="Arial"/>
                <w:b/>
                <w:bCs/>
                <w:sz w:val="16"/>
                <w:szCs w:val="16"/>
              </w:rPr>
              <w:t>Performance Data</w:t>
            </w:r>
          </w:p>
        </w:tc>
        <w:tc>
          <w:tcPr>
            <w:tcW w:w="680" w:type="pct"/>
            <w:gridSpan w:val="2"/>
            <w:tcBorders>
              <w:top w:val="single" w:sz="4" w:space="0" w:color="auto"/>
            </w:tcBorders>
            <w:shd w:val="clear" w:color="auto" w:fill="auto"/>
            <w:tcMar>
              <w:top w:w="110" w:type="dxa"/>
            </w:tcMar>
            <w:vAlign w:val="center"/>
          </w:tcPr>
          <w:p w:rsidR="00AF1291" w:rsidRPr="008539B9" w:rsidRDefault="00AF1291" w:rsidP="007C0423">
            <w:pPr>
              <w:keepNext/>
              <w:keepLines/>
              <w:jc w:val="center"/>
              <w:rPr>
                <w:rFonts w:cs="Arial"/>
                <w:b/>
                <w:bCs/>
                <w:sz w:val="16"/>
                <w:szCs w:val="16"/>
              </w:rPr>
            </w:pPr>
            <w:r w:rsidRPr="008539B9">
              <w:rPr>
                <w:rFonts w:cs="Arial"/>
                <w:b/>
                <w:bCs/>
                <w:sz w:val="16"/>
                <w:szCs w:val="16"/>
              </w:rPr>
              <w:t>TLS</w:t>
            </w:r>
          </w:p>
        </w:tc>
      </w:tr>
      <w:tr w:rsidR="00AF1291" w:rsidRPr="008539B9" w:rsidTr="007C0423">
        <w:trPr>
          <w:cantSplit/>
        </w:trPr>
        <w:tc>
          <w:tcPr>
            <w:tcW w:w="1054" w:type="pct"/>
            <w:shd w:val="clear" w:color="auto" w:fill="auto"/>
          </w:tcPr>
          <w:p w:rsidR="00AF1291" w:rsidRPr="008539B9" w:rsidRDefault="00AF1291" w:rsidP="007C0423">
            <w:pPr>
              <w:rPr>
                <w:rFonts w:cs="Arial"/>
                <w:color w:val="000000"/>
                <w:sz w:val="16"/>
                <w:szCs w:val="16"/>
              </w:rPr>
            </w:pPr>
            <w:r w:rsidRPr="008539B9">
              <w:rPr>
                <w:rFonts w:cs="Arial"/>
                <w:color w:val="000000"/>
                <w:sz w:val="16"/>
                <w:szCs w:val="16"/>
              </w:rPr>
              <w:t>No. of first-time applicants</w:t>
            </w:r>
          </w:p>
        </w:tc>
        <w:tc>
          <w:tcPr>
            <w:tcW w:w="1061" w:type="pct"/>
            <w:gridSpan w:val="3"/>
            <w:shd w:val="clear" w:color="auto" w:fill="auto"/>
          </w:tcPr>
          <w:p w:rsidR="00AF1291" w:rsidRPr="008539B9" w:rsidRDefault="00AF1291" w:rsidP="007C0423">
            <w:pPr>
              <w:rPr>
                <w:rFonts w:cs="Arial"/>
                <w:color w:val="000000"/>
                <w:sz w:val="16"/>
                <w:szCs w:val="16"/>
              </w:rPr>
            </w:pPr>
            <w:r w:rsidRPr="008539B9">
              <w:rPr>
                <w:rFonts w:cs="Arial"/>
                <w:color w:val="000000"/>
                <w:sz w:val="16"/>
                <w:szCs w:val="16"/>
              </w:rPr>
              <w:t>Not available</w:t>
            </w:r>
          </w:p>
        </w:tc>
        <w:tc>
          <w:tcPr>
            <w:tcW w:w="915" w:type="pct"/>
            <w:gridSpan w:val="2"/>
            <w:shd w:val="clear" w:color="auto" w:fill="auto"/>
            <w:tcMar>
              <w:top w:w="110" w:type="dxa"/>
            </w:tcMar>
          </w:tcPr>
          <w:p w:rsidR="00AF1291" w:rsidRPr="008539B9" w:rsidRDefault="00AF1291" w:rsidP="007C0423">
            <w:pPr>
              <w:rPr>
                <w:rFonts w:cs="Arial"/>
                <w:color w:val="000000"/>
                <w:sz w:val="16"/>
                <w:szCs w:val="16"/>
              </w:rPr>
            </w:pPr>
            <w:r w:rsidRPr="008539B9">
              <w:rPr>
                <w:rFonts w:cs="Arial"/>
                <w:sz w:val="16"/>
                <w:szCs w:val="16"/>
              </w:rPr>
              <w:t>tbd in the course of 2011</w:t>
            </w:r>
          </w:p>
        </w:tc>
        <w:tc>
          <w:tcPr>
            <w:tcW w:w="1290" w:type="pct"/>
            <w:shd w:val="clear" w:color="auto" w:fill="FFFFFF"/>
            <w:tcMar>
              <w:top w:w="110" w:type="dxa"/>
            </w:tcMar>
          </w:tcPr>
          <w:p w:rsidR="00AF1291" w:rsidRPr="008539B9" w:rsidRDefault="00AF1291" w:rsidP="007C0423">
            <w:pPr>
              <w:rPr>
                <w:rFonts w:cs="Arial"/>
                <w:sz w:val="16"/>
                <w:szCs w:val="16"/>
              </w:rPr>
            </w:pPr>
            <w:r w:rsidRPr="008539B9">
              <w:rPr>
                <w:rFonts w:cs="Arial"/>
                <w:sz w:val="16"/>
                <w:szCs w:val="16"/>
                <w:lang w:bidi="th-TH"/>
              </w:rPr>
              <w:t>Not available</w:t>
            </w:r>
          </w:p>
        </w:tc>
        <w:tc>
          <w:tcPr>
            <w:tcW w:w="680" w:type="pct"/>
            <w:gridSpan w:val="2"/>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Style w:val="Style5"/>
                <w:rFonts w:ascii="Arial" w:hAnsi="Arial" w:cs="Arial"/>
                <w:sz w:val="16"/>
                <w:szCs w:val="16"/>
              </w:rPr>
              <w:t>Discontinued</w:t>
            </w:r>
          </w:p>
        </w:tc>
      </w:tr>
      <w:tr w:rsidR="00AF1291" w:rsidRPr="008539B9" w:rsidTr="007C0423">
        <w:trPr>
          <w:cantSplit/>
        </w:trPr>
        <w:tc>
          <w:tcPr>
            <w:tcW w:w="1054" w:type="pct"/>
            <w:shd w:val="clear" w:color="auto" w:fill="auto"/>
          </w:tcPr>
          <w:p w:rsidR="00AF1291" w:rsidRPr="008539B9" w:rsidRDefault="00AF1291" w:rsidP="007C0423">
            <w:pPr>
              <w:rPr>
                <w:rFonts w:cs="Arial"/>
                <w:sz w:val="16"/>
                <w:szCs w:val="16"/>
              </w:rPr>
            </w:pPr>
            <w:r w:rsidRPr="008539B9">
              <w:rPr>
                <w:rFonts w:cs="Arial"/>
                <w:sz w:val="16"/>
                <w:szCs w:val="16"/>
              </w:rPr>
              <w:t>No. of languages in which general information is available</w:t>
            </w:r>
          </w:p>
          <w:p w:rsidR="00AF1291" w:rsidRPr="008539B9" w:rsidRDefault="00AF1291" w:rsidP="007C0423">
            <w:pPr>
              <w:rPr>
                <w:rFonts w:cs="Arial"/>
                <w:sz w:val="16"/>
                <w:szCs w:val="16"/>
              </w:rPr>
            </w:pPr>
          </w:p>
        </w:tc>
        <w:tc>
          <w:tcPr>
            <w:tcW w:w="1061" w:type="pct"/>
            <w:gridSpan w:val="3"/>
            <w:shd w:val="clear" w:color="auto" w:fill="auto"/>
          </w:tcPr>
          <w:p w:rsidR="00AF1291" w:rsidRPr="008539B9" w:rsidRDefault="00AF1291" w:rsidP="007C0423">
            <w:pPr>
              <w:rPr>
                <w:rFonts w:cs="Arial"/>
                <w:sz w:val="16"/>
                <w:szCs w:val="16"/>
              </w:rPr>
            </w:pPr>
            <w:r w:rsidRPr="008539B9">
              <w:rPr>
                <w:rFonts w:cs="Arial"/>
                <w:sz w:val="16"/>
                <w:szCs w:val="16"/>
              </w:rPr>
              <w:t>The three working languages of the system</w:t>
            </w:r>
          </w:p>
        </w:tc>
        <w:tc>
          <w:tcPr>
            <w:tcW w:w="915" w:type="pct"/>
            <w:gridSpan w:val="2"/>
            <w:shd w:val="clear" w:color="auto" w:fill="auto"/>
            <w:tcMar>
              <w:top w:w="110" w:type="dxa"/>
            </w:tcMar>
          </w:tcPr>
          <w:p w:rsidR="00AF1291" w:rsidRPr="008539B9" w:rsidRDefault="00AF1291" w:rsidP="007C0423">
            <w:pPr>
              <w:rPr>
                <w:rFonts w:cs="Arial"/>
                <w:color w:val="993300"/>
                <w:sz w:val="16"/>
                <w:szCs w:val="16"/>
                <w:lang w:bidi="th-TH"/>
              </w:rPr>
            </w:pPr>
            <w:r w:rsidRPr="008539B9">
              <w:rPr>
                <w:rFonts w:cs="Arial"/>
                <w:sz w:val="16"/>
                <w:szCs w:val="16"/>
              </w:rPr>
              <w:t>All official languages</w:t>
            </w:r>
          </w:p>
        </w:tc>
        <w:tc>
          <w:tcPr>
            <w:tcW w:w="1290" w:type="pct"/>
            <w:shd w:val="clear" w:color="auto" w:fill="FFFFFF"/>
            <w:tcMar>
              <w:top w:w="110" w:type="dxa"/>
            </w:tcMar>
          </w:tcPr>
          <w:p w:rsidR="00AF1291" w:rsidRPr="008539B9" w:rsidRDefault="00AF1291" w:rsidP="007C0423">
            <w:pPr>
              <w:rPr>
                <w:rFonts w:cs="Arial"/>
                <w:sz w:val="16"/>
                <w:szCs w:val="16"/>
              </w:rPr>
            </w:pPr>
            <w:r w:rsidRPr="008539B9">
              <w:rPr>
                <w:rFonts w:cs="Arial"/>
                <w:sz w:val="16"/>
                <w:szCs w:val="16"/>
                <w:lang w:bidi="th-TH"/>
              </w:rPr>
              <w:t>80% of the general information is available in the six official languages.</w:t>
            </w:r>
          </w:p>
        </w:tc>
        <w:tc>
          <w:tcPr>
            <w:tcW w:w="680" w:type="pct"/>
            <w:gridSpan w:val="2"/>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008000"/>
                <w:sz w:val="16"/>
                <w:szCs w:val="16"/>
              </w:rPr>
              <w:t>Fully</w:t>
            </w:r>
            <w:r w:rsidRPr="008539B9">
              <w:rPr>
                <w:rFonts w:cs="Arial"/>
                <w:bCs/>
                <w:color w:val="008000"/>
                <w:sz w:val="16"/>
                <w:szCs w:val="16"/>
              </w:rPr>
              <w:br/>
              <w:t>Achieved</w:t>
            </w:r>
          </w:p>
        </w:tc>
      </w:tr>
      <w:tr w:rsidR="00AF1291" w:rsidRPr="008539B9" w:rsidTr="007C0423">
        <w:trPr>
          <w:cantSplit/>
        </w:trPr>
        <w:tc>
          <w:tcPr>
            <w:tcW w:w="1054" w:type="pct"/>
            <w:tcBorders>
              <w:bottom w:val="single" w:sz="4" w:space="0" w:color="auto"/>
            </w:tcBorders>
            <w:shd w:val="clear" w:color="auto" w:fill="auto"/>
          </w:tcPr>
          <w:p w:rsidR="00AF1291" w:rsidRPr="008539B9" w:rsidRDefault="00AF1291" w:rsidP="007C0423">
            <w:pPr>
              <w:rPr>
                <w:rFonts w:cs="Arial"/>
                <w:sz w:val="16"/>
                <w:szCs w:val="16"/>
              </w:rPr>
            </w:pPr>
            <w:r w:rsidRPr="008539B9">
              <w:rPr>
                <w:rFonts w:cs="Arial"/>
                <w:sz w:val="16"/>
                <w:szCs w:val="16"/>
              </w:rPr>
              <w:lastRenderedPageBreak/>
              <w:t xml:space="preserve">No. of national or regional offices providing  adequate information on the </w:t>
            </w:r>
            <w:r w:rsidR="00601859">
              <w:rPr>
                <w:rFonts w:cs="Arial"/>
                <w:sz w:val="16"/>
                <w:szCs w:val="16"/>
              </w:rPr>
              <w:t>Hague System</w:t>
            </w:r>
          </w:p>
          <w:p w:rsidR="00AF1291" w:rsidRPr="008539B9" w:rsidRDefault="00AF1291" w:rsidP="007C0423">
            <w:pPr>
              <w:rPr>
                <w:rFonts w:cs="Arial"/>
                <w:sz w:val="16"/>
                <w:szCs w:val="16"/>
              </w:rPr>
            </w:pPr>
          </w:p>
        </w:tc>
        <w:tc>
          <w:tcPr>
            <w:tcW w:w="1061" w:type="pct"/>
            <w:gridSpan w:val="3"/>
            <w:tcBorders>
              <w:bottom w:val="single" w:sz="4" w:space="0" w:color="auto"/>
            </w:tcBorders>
            <w:shd w:val="clear" w:color="auto" w:fill="auto"/>
          </w:tcPr>
          <w:p w:rsidR="00AF1291" w:rsidRPr="008539B9" w:rsidRDefault="00AF1291" w:rsidP="007C0423">
            <w:pPr>
              <w:rPr>
                <w:rFonts w:cs="Arial"/>
                <w:sz w:val="16"/>
                <w:szCs w:val="16"/>
              </w:rPr>
            </w:pPr>
            <w:r w:rsidRPr="008539B9">
              <w:rPr>
                <w:rFonts w:cs="Arial"/>
                <w:color w:val="000000"/>
                <w:sz w:val="16"/>
                <w:szCs w:val="16"/>
              </w:rPr>
              <w:t>About</w:t>
            </w:r>
            <w:r w:rsidRPr="008539B9">
              <w:rPr>
                <w:rFonts w:cs="Arial"/>
                <w:sz w:val="16"/>
                <w:szCs w:val="16"/>
              </w:rPr>
              <w:t xml:space="preserve"> 2/3 of the offices concerned</w:t>
            </w:r>
          </w:p>
        </w:tc>
        <w:tc>
          <w:tcPr>
            <w:tcW w:w="915" w:type="pct"/>
            <w:gridSpan w:val="2"/>
            <w:tcBorders>
              <w:bottom w:val="single" w:sz="4" w:space="0" w:color="auto"/>
            </w:tcBorders>
            <w:shd w:val="clear" w:color="auto" w:fill="auto"/>
            <w:tcMar>
              <w:top w:w="110" w:type="dxa"/>
            </w:tcMar>
          </w:tcPr>
          <w:p w:rsidR="00AF1291" w:rsidRPr="008539B9" w:rsidRDefault="00AF1291" w:rsidP="007C0423">
            <w:pPr>
              <w:rPr>
                <w:rFonts w:cs="Arial"/>
                <w:sz w:val="16"/>
                <w:szCs w:val="16"/>
              </w:rPr>
            </w:pPr>
            <w:r w:rsidRPr="008539B9">
              <w:rPr>
                <w:rFonts w:cs="Arial"/>
                <w:sz w:val="16"/>
                <w:szCs w:val="16"/>
              </w:rPr>
              <w:t>All offices concerned</w:t>
            </w:r>
          </w:p>
        </w:tc>
        <w:tc>
          <w:tcPr>
            <w:tcW w:w="1290" w:type="pct"/>
            <w:tcBorders>
              <w:bottom w:val="single" w:sz="4" w:space="0" w:color="auto"/>
            </w:tcBorders>
            <w:shd w:val="clear" w:color="auto" w:fill="FFFFFF"/>
            <w:tcMar>
              <w:top w:w="110" w:type="dxa"/>
            </w:tcMar>
          </w:tcPr>
          <w:p w:rsidR="00AF1291" w:rsidRPr="008539B9" w:rsidRDefault="00AF1291" w:rsidP="007C0423">
            <w:pPr>
              <w:rPr>
                <w:rFonts w:cs="Arial"/>
                <w:sz w:val="16"/>
                <w:szCs w:val="16"/>
              </w:rPr>
            </w:pPr>
            <w:r w:rsidRPr="008539B9">
              <w:rPr>
                <w:rFonts w:cs="Arial"/>
                <w:sz w:val="16"/>
                <w:szCs w:val="16"/>
                <w:lang w:bidi="th-TH"/>
              </w:rPr>
              <w:t xml:space="preserve">42 national or regional Offices were providing adequate information on the </w:t>
            </w:r>
            <w:r w:rsidR="00601859">
              <w:rPr>
                <w:rFonts w:cs="Arial"/>
                <w:sz w:val="16"/>
                <w:szCs w:val="16"/>
                <w:lang w:bidi="th-TH"/>
              </w:rPr>
              <w:t>Hague System</w:t>
            </w:r>
            <w:r w:rsidRPr="008539B9">
              <w:rPr>
                <w:rFonts w:cs="Arial"/>
                <w:sz w:val="16"/>
                <w:szCs w:val="16"/>
                <w:lang w:bidi="th-TH"/>
              </w:rPr>
              <w:t>.  Nine Offices have no web site.</w:t>
            </w:r>
          </w:p>
        </w:tc>
        <w:tc>
          <w:tcPr>
            <w:tcW w:w="680" w:type="pct"/>
            <w:gridSpan w:val="2"/>
            <w:tcBorders>
              <w:bottom w:val="single" w:sz="4" w:space="0" w:color="auto"/>
            </w:tcBorders>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E36C0A" w:themeColor="accent6" w:themeShade="BF"/>
                <w:sz w:val="16"/>
                <w:szCs w:val="16"/>
              </w:rPr>
              <w:t>Partially</w:t>
            </w:r>
            <w:r w:rsidRPr="008539B9">
              <w:rPr>
                <w:rFonts w:cs="Arial"/>
                <w:bCs/>
                <w:color w:val="E36C0A" w:themeColor="accent6" w:themeShade="BF"/>
                <w:sz w:val="16"/>
                <w:szCs w:val="16"/>
              </w:rPr>
              <w:br/>
              <w:t>Achieved</w:t>
            </w:r>
          </w:p>
        </w:tc>
      </w:tr>
      <w:tr w:rsidR="00AF1291" w:rsidRPr="008539B9" w:rsidTr="007C0423">
        <w:trPr>
          <w:cantSplit/>
        </w:trPr>
        <w:tc>
          <w:tcPr>
            <w:tcW w:w="5000" w:type="pct"/>
            <w:gridSpan w:val="9"/>
            <w:tcBorders>
              <w:top w:val="single" w:sz="4" w:space="0" w:color="auto"/>
              <w:bottom w:val="single" w:sz="4" w:space="0" w:color="auto"/>
            </w:tcBorders>
            <w:shd w:val="clear" w:color="auto" w:fill="CCFFFF"/>
            <w:vAlign w:val="center"/>
          </w:tcPr>
          <w:p w:rsidR="00AF1291" w:rsidRPr="008539B9" w:rsidRDefault="00AF1291" w:rsidP="007C0423">
            <w:pPr>
              <w:keepNext/>
              <w:keepLines/>
              <w:tabs>
                <w:tab w:val="left" w:pos="1452"/>
              </w:tabs>
              <w:spacing w:before="120" w:after="120"/>
              <w:ind w:left="1452" w:hanging="1452"/>
              <w:rPr>
                <w:rFonts w:cs="Arial"/>
                <w:b/>
                <w:bCs/>
                <w:sz w:val="16"/>
                <w:szCs w:val="16"/>
              </w:rPr>
            </w:pPr>
            <w:r w:rsidRPr="008539B9">
              <w:rPr>
                <w:rFonts w:cs="Arial"/>
                <w:b/>
                <w:bCs/>
                <w:sz w:val="16"/>
                <w:szCs w:val="16"/>
              </w:rPr>
              <w:t>Expected Result:</w:t>
            </w:r>
            <w:r w:rsidRPr="008539B9">
              <w:rPr>
                <w:rFonts w:cs="Arial"/>
                <w:b/>
                <w:bCs/>
                <w:sz w:val="16"/>
                <w:szCs w:val="16"/>
              </w:rPr>
              <w:tab/>
            </w:r>
            <w:r w:rsidRPr="008539B9">
              <w:rPr>
                <w:rFonts w:cs="Arial"/>
                <w:color w:val="000000"/>
                <w:sz w:val="16"/>
                <w:szCs w:val="16"/>
              </w:rPr>
              <w:t>Wider</w:t>
            </w:r>
            <w:r w:rsidRPr="008539B9">
              <w:rPr>
                <w:rFonts w:cs="Arial"/>
                <w:sz w:val="16"/>
                <w:szCs w:val="16"/>
              </w:rPr>
              <w:t xml:space="preserve"> and better use of the </w:t>
            </w:r>
            <w:r w:rsidR="00601859">
              <w:rPr>
                <w:rFonts w:cs="Arial"/>
                <w:sz w:val="16"/>
                <w:szCs w:val="16"/>
              </w:rPr>
              <w:t>Hague System</w:t>
            </w:r>
          </w:p>
        </w:tc>
      </w:tr>
      <w:tr w:rsidR="00AF1291" w:rsidRPr="00724EA5" w:rsidTr="007C0423">
        <w:trPr>
          <w:cantSplit/>
        </w:trPr>
        <w:tc>
          <w:tcPr>
            <w:tcW w:w="1054" w:type="pct"/>
            <w:tcBorders>
              <w:top w:val="single" w:sz="4" w:space="0" w:color="auto"/>
            </w:tcBorders>
            <w:shd w:val="clear" w:color="auto" w:fill="auto"/>
            <w:vAlign w:val="center"/>
          </w:tcPr>
          <w:p w:rsidR="00AF1291" w:rsidRPr="00724EA5" w:rsidRDefault="00AF1291" w:rsidP="007C0423">
            <w:pPr>
              <w:rPr>
                <w:rFonts w:cs="Arial"/>
                <w:sz w:val="16"/>
                <w:szCs w:val="16"/>
              </w:rPr>
            </w:pPr>
            <w:r w:rsidRPr="00724EA5">
              <w:rPr>
                <w:rFonts w:cs="Arial"/>
                <w:b/>
                <w:bCs/>
                <w:sz w:val="16"/>
                <w:szCs w:val="16"/>
              </w:rPr>
              <w:t>Performance Indicators</w:t>
            </w:r>
          </w:p>
        </w:tc>
        <w:tc>
          <w:tcPr>
            <w:tcW w:w="1061" w:type="pct"/>
            <w:gridSpan w:val="3"/>
            <w:tcBorders>
              <w:top w:val="single" w:sz="4" w:space="0" w:color="auto"/>
            </w:tcBorders>
            <w:shd w:val="clear" w:color="auto" w:fill="auto"/>
            <w:vAlign w:val="center"/>
          </w:tcPr>
          <w:p w:rsidR="00AF1291" w:rsidRPr="00724EA5" w:rsidRDefault="00AF1291" w:rsidP="007C0423">
            <w:pPr>
              <w:rPr>
                <w:rFonts w:cs="Arial"/>
                <w:b/>
                <w:bCs/>
                <w:sz w:val="16"/>
                <w:szCs w:val="16"/>
              </w:rPr>
            </w:pPr>
            <w:r w:rsidRPr="00724EA5">
              <w:rPr>
                <w:rFonts w:cs="Arial"/>
                <w:b/>
                <w:bCs/>
                <w:sz w:val="16"/>
                <w:szCs w:val="16"/>
              </w:rPr>
              <w:t>Baselines</w:t>
            </w:r>
          </w:p>
        </w:tc>
        <w:tc>
          <w:tcPr>
            <w:tcW w:w="915" w:type="pct"/>
            <w:gridSpan w:val="2"/>
            <w:tcBorders>
              <w:top w:val="single" w:sz="4" w:space="0" w:color="auto"/>
            </w:tcBorders>
            <w:shd w:val="clear" w:color="auto" w:fill="auto"/>
            <w:tcMar>
              <w:top w:w="110" w:type="dxa"/>
            </w:tcMar>
            <w:vAlign w:val="center"/>
          </w:tcPr>
          <w:p w:rsidR="00AF1291" w:rsidRPr="00724EA5" w:rsidRDefault="00AF1291" w:rsidP="007C0423">
            <w:pPr>
              <w:rPr>
                <w:rFonts w:cs="Arial"/>
                <w:b/>
                <w:sz w:val="16"/>
                <w:szCs w:val="16"/>
              </w:rPr>
            </w:pPr>
            <w:r w:rsidRPr="00724EA5">
              <w:rPr>
                <w:rFonts w:cs="Arial"/>
                <w:b/>
                <w:sz w:val="16"/>
                <w:szCs w:val="16"/>
              </w:rPr>
              <w:t>Target</w:t>
            </w:r>
            <w:r w:rsidR="00582788" w:rsidRPr="00724EA5">
              <w:rPr>
                <w:rFonts w:cs="Arial"/>
                <w:b/>
                <w:sz w:val="16"/>
                <w:szCs w:val="16"/>
              </w:rPr>
              <w:t>s</w:t>
            </w:r>
          </w:p>
        </w:tc>
        <w:tc>
          <w:tcPr>
            <w:tcW w:w="1370" w:type="pct"/>
            <w:gridSpan w:val="2"/>
            <w:tcBorders>
              <w:top w:val="single" w:sz="4" w:space="0" w:color="auto"/>
            </w:tcBorders>
            <w:shd w:val="clear" w:color="auto" w:fill="FFFFFF"/>
            <w:tcMar>
              <w:top w:w="110" w:type="dxa"/>
            </w:tcMar>
            <w:vAlign w:val="center"/>
          </w:tcPr>
          <w:p w:rsidR="00AF1291" w:rsidRPr="00724EA5" w:rsidRDefault="00AF1291" w:rsidP="007C0423">
            <w:pPr>
              <w:rPr>
                <w:rFonts w:cs="Arial"/>
                <w:sz w:val="16"/>
                <w:szCs w:val="16"/>
              </w:rPr>
            </w:pPr>
            <w:r w:rsidRPr="00724EA5">
              <w:rPr>
                <w:rFonts w:cs="Arial"/>
                <w:b/>
                <w:bCs/>
                <w:sz w:val="16"/>
                <w:szCs w:val="16"/>
              </w:rPr>
              <w:t>Performance Data</w:t>
            </w:r>
          </w:p>
        </w:tc>
        <w:tc>
          <w:tcPr>
            <w:tcW w:w="600" w:type="pct"/>
            <w:tcBorders>
              <w:top w:val="single" w:sz="4" w:space="0" w:color="auto"/>
            </w:tcBorders>
            <w:shd w:val="clear" w:color="auto" w:fill="auto"/>
            <w:tcMar>
              <w:top w:w="110" w:type="dxa"/>
            </w:tcMar>
            <w:vAlign w:val="center"/>
          </w:tcPr>
          <w:p w:rsidR="00AF1291" w:rsidRPr="00724EA5" w:rsidRDefault="00AF1291" w:rsidP="007C0423">
            <w:pPr>
              <w:keepNext/>
              <w:keepLines/>
              <w:jc w:val="center"/>
              <w:rPr>
                <w:rFonts w:cs="Arial"/>
                <w:b/>
                <w:bCs/>
                <w:sz w:val="16"/>
                <w:szCs w:val="16"/>
              </w:rPr>
            </w:pPr>
            <w:r w:rsidRPr="00724EA5">
              <w:rPr>
                <w:rFonts w:cs="Arial"/>
                <w:b/>
                <w:bCs/>
                <w:sz w:val="16"/>
                <w:szCs w:val="16"/>
              </w:rPr>
              <w:t>TLS</w:t>
            </w:r>
          </w:p>
        </w:tc>
      </w:tr>
      <w:tr w:rsidR="00AF1291" w:rsidRPr="008539B9" w:rsidTr="007C0423">
        <w:trPr>
          <w:cantSplit/>
        </w:trPr>
        <w:tc>
          <w:tcPr>
            <w:tcW w:w="1054" w:type="pct"/>
            <w:shd w:val="clear" w:color="auto" w:fill="auto"/>
          </w:tcPr>
          <w:p w:rsidR="00AF1291" w:rsidRPr="008539B9" w:rsidRDefault="00AF1291" w:rsidP="007C0423">
            <w:pPr>
              <w:rPr>
                <w:rFonts w:cs="Arial"/>
                <w:sz w:val="16"/>
                <w:szCs w:val="16"/>
              </w:rPr>
            </w:pPr>
            <w:r w:rsidRPr="008539B9">
              <w:rPr>
                <w:rFonts w:cs="Arial"/>
                <w:color w:val="000000"/>
                <w:sz w:val="16"/>
                <w:szCs w:val="16"/>
              </w:rPr>
              <w:t>No</w:t>
            </w:r>
            <w:r w:rsidRPr="008539B9">
              <w:rPr>
                <w:rFonts w:cs="Arial"/>
                <w:sz w:val="16"/>
                <w:szCs w:val="16"/>
              </w:rPr>
              <w:t>. of registrations, designs contained in registrations, renewals and other recordings</w:t>
            </w:r>
          </w:p>
        </w:tc>
        <w:tc>
          <w:tcPr>
            <w:tcW w:w="1061" w:type="pct"/>
            <w:gridSpan w:val="3"/>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p>
          <w:p w:rsidR="00AF1291" w:rsidRPr="008539B9" w:rsidRDefault="00AF1291" w:rsidP="007C0423">
            <w:pPr>
              <w:rPr>
                <w:rFonts w:cs="Arial"/>
                <w:i/>
                <w:color w:val="002060"/>
                <w:sz w:val="16"/>
                <w:szCs w:val="16"/>
              </w:rPr>
            </w:pPr>
          </w:p>
          <w:p w:rsidR="00AF1291" w:rsidRPr="008539B9" w:rsidRDefault="00AF1291" w:rsidP="007C0423">
            <w:pPr>
              <w:rPr>
                <w:rFonts w:cs="Arial"/>
                <w:color w:val="002060"/>
                <w:sz w:val="16"/>
                <w:szCs w:val="16"/>
                <w:lang w:bidi="th-TH"/>
              </w:rPr>
            </w:pPr>
            <w:r w:rsidRPr="008539B9">
              <w:rPr>
                <w:rFonts w:cs="Arial"/>
                <w:color w:val="002060"/>
                <w:sz w:val="16"/>
                <w:szCs w:val="16"/>
              </w:rPr>
              <w:t>New Registrations</w:t>
            </w:r>
          </w:p>
          <w:p w:rsidR="00AF1291" w:rsidRPr="008539B9" w:rsidRDefault="00AF1291" w:rsidP="007C0423">
            <w:pPr>
              <w:rPr>
                <w:rFonts w:cs="Arial"/>
                <w:i/>
                <w:color w:val="002060"/>
                <w:sz w:val="16"/>
                <w:szCs w:val="16"/>
              </w:rPr>
            </w:pPr>
            <w:r w:rsidRPr="008539B9">
              <w:rPr>
                <w:rFonts w:cs="Arial"/>
                <w:color w:val="002060"/>
                <w:sz w:val="16"/>
                <w:szCs w:val="16"/>
                <w:lang w:bidi="th-TH"/>
              </w:rPr>
              <w:t>2,363</w:t>
            </w: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r w:rsidRPr="008539B9">
              <w:rPr>
                <w:rFonts w:cs="Arial"/>
                <w:color w:val="002060"/>
                <w:sz w:val="16"/>
                <w:szCs w:val="16"/>
              </w:rPr>
              <w:t xml:space="preserve">Designs contained </w:t>
            </w:r>
          </w:p>
          <w:p w:rsidR="00AF1291" w:rsidRPr="008539B9" w:rsidRDefault="00AF1291" w:rsidP="007C0423">
            <w:pPr>
              <w:rPr>
                <w:rFonts w:cs="Arial"/>
                <w:color w:val="002060"/>
                <w:sz w:val="16"/>
                <w:szCs w:val="16"/>
              </w:rPr>
            </w:pPr>
            <w:r w:rsidRPr="008539B9">
              <w:rPr>
                <w:rFonts w:cs="Arial"/>
                <w:color w:val="002060"/>
                <w:sz w:val="16"/>
                <w:szCs w:val="16"/>
              </w:rPr>
              <w:t>11,077</w:t>
            </w: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r w:rsidRPr="008539B9">
              <w:rPr>
                <w:rFonts w:cs="Arial"/>
                <w:color w:val="002060"/>
                <w:sz w:val="16"/>
                <w:szCs w:val="16"/>
              </w:rPr>
              <w:t>Renewals</w:t>
            </w:r>
          </w:p>
          <w:p w:rsidR="00AF1291" w:rsidRPr="008539B9" w:rsidRDefault="00AF1291" w:rsidP="007C0423">
            <w:pPr>
              <w:rPr>
                <w:rFonts w:cs="Arial"/>
                <w:color w:val="002060"/>
                <w:sz w:val="16"/>
                <w:szCs w:val="16"/>
              </w:rPr>
            </w:pPr>
            <w:r w:rsidRPr="008539B9">
              <w:rPr>
                <w:rFonts w:cs="Arial"/>
                <w:color w:val="002060"/>
                <w:sz w:val="16"/>
                <w:szCs w:val="16"/>
              </w:rPr>
              <w:t>2,821</w:t>
            </w: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p>
          <w:p w:rsidR="00AF1291" w:rsidRPr="008539B9" w:rsidRDefault="00AF1291" w:rsidP="007C0423">
            <w:pPr>
              <w:rPr>
                <w:rFonts w:cs="Arial"/>
                <w:color w:val="002060"/>
                <w:sz w:val="16"/>
                <w:szCs w:val="16"/>
              </w:rPr>
            </w:pPr>
            <w:r w:rsidRPr="008539B9">
              <w:rPr>
                <w:rFonts w:cs="Arial"/>
                <w:color w:val="002060"/>
                <w:sz w:val="16"/>
                <w:szCs w:val="16"/>
              </w:rPr>
              <w:t>Other recordings</w:t>
            </w:r>
          </w:p>
          <w:p w:rsidR="00AF1291" w:rsidRPr="008539B9" w:rsidRDefault="00AF1291" w:rsidP="007C0423">
            <w:pPr>
              <w:rPr>
                <w:rFonts w:cs="Arial"/>
                <w:color w:val="002060"/>
                <w:sz w:val="16"/>
                <w:szCs w:val="16"/>
              </w:rPr>
            </w:pPr>
            <w:r w:rsidRPr="008539B9">
              <w:rPr>
                <w:rFonts w:cs="Arial"/>
                <w:color w:val="002060"/>
                <w:sz w:val="16"/>
                <w:szCs w:val="16"/>
              </w:rPr>
              <w:t>4,326</w:t>
            </w:r>
          </w:p>
          <w:p w:rsidR="00AF1291" w:rsidRPr="008539B9" w:rsidRDefault="00AF1291" w:rsidP="007C0423">
            <w:pPr>
              <w:rPr>
                <w:rFonts w:cs="Arial"/>
                <w:sz w:val="16"/>
                <w:szCs w:val="16"/>
              </w:rPr>
            </w:pPr>
          </w:p>
          <w:p w:rsid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br/>
            </w:r>
          </w:p>
          <w:p w:rsidR="00AF1291" w:rsidRPr="008539B9" w:rsidRDefault="00AF1291" w:rsidP="007C0423">
            <w:pPr>
              <w:rPr>
                <w:rFonts w:cs="Arial"/>
                <w:sz w:val="16"/>
                <w:szCs w:val="16"/>
              </w:rPr>
            </w:pPr>
            <w:r w:rsidRPr="008539B9">
              <w:rPr>
                <w:rFonts w:cs="Arial"/>
                <w:sz w:val="16"/>
                <w:szCs w:val="16"/>
              </w:rPr>
              <w:t>New Registrations</w:t>
            </w:r>
            <w:r w:rsidRPr="008539B9">
              <w:rPr>
                <w:rFonts w:cs="Arial"/>
                <w:sz w:val="16"/>
                <w:szCs w:val="16"/>
              </w:rPr>
              <w:br/>
              <w:t>2,216 (201</w:t>
            </w:r>
            <w:r w:rsidR="000A26B8">
              <w:rPr>
                <w:rFonts w:cs="Arial"/>
                <w:sz w:val="16"/>
                <w:szCs w:val="16"/>
              </w:rPr>
              <w:t>0)</w:t>
            </w:r>
          </w:p>
          <w:p w:rsidR="00AF1291" w:rsidRPr="008539B9" w:rsidRDefault="00AF1291" w:rsidP="007C0423">
            <w:pPr>
              <w:rPr>
                <w:rFonts w:cs="Arial"/>
                <w:sz w:val="16"/>
                <w:szCs w:val="16"/>
              </w:rPr>
            </w:pPr>
            <w:r w:rsidRPr="008539B9">
              <w:rPr>
                <w:rFonts w:cs="Arial"/>
                <w:sz w:val="16"/>
                <w:szCs w:val="16"/>
              </w:rPr>
              <w:t>2,900 (2011)</w:t>
            </w:r>
          </w:p>
        </w:tc>
        <w:tc>
          <w:tcPr>
            <w:tcW w:w="915" w:type="pct"/>
            <w:gridSpan w:val="2"/>
            <w:shd w:val="clear" w:color="auto" w:fill="auto"/>
            <w:tcMar>
              <w:top w:w="110" w:type="dxa"/>
            </w:tcMar>
          </w:tcPr>
          <w:p w:rsidR="00AF1291" w:rsidRPr="008539B9" w:rsidRDefault="00AF1291" w:rsidP="007C0423">
            <w:pPr>
              <w:autoSpaceDE w:val="0"/>
              <w:autoSpaceDN w:val="0"/>
              <w:adjustRightInd w:val="0"/>
              <w:rPr>
                <w:rFonts w:cs="Arial"/>
                <w:sz w:val="16"/>
                <w:szCs w:val="16"/>
              </w:rPr>
            </w:pPr>
          </w:p>
          <w:p w:rsidR="00AF1291" w:rsidRPr="008539B9" w:rsidRDefault="00AF1291" w:rsidP="007C0423">
            <w:pPr>
              <w:autoSpaceDE w:val="0"/>
              <w:autoSpaceDN w:val="0"/>
              <w:adjustRightInd w:val="0"/>
              <w:rPr>
                <w:rFonts w:cs="Arial"/>
                <w:sz w:val="16"/>
                <w:szCs w:val="16"/>
              </w:rPr>
            </w:pPr>
          </w:p>
          <w:p w:rsidR="00AF1291" w:rsidRPr="008539B9" w:rsidRDefault="00AF1291" w:rsidP="007C0423">
            <w:pPr>
              <w:autoSpaceDE w:val="0"/>
              <w:autoSpaceDN w:val="0"/>
              <w:adjustRightInd w:val="0"/>
              <w:rPr>
                <w:rFonts w:cs="Arial"/>
                <w:sz w:val="16"/>
                <w:szCs w:val="16"/>
              </w:rPr>
            </w:pPr>
          </w:p>
          <w:p w:rsidR="00AF1291" w:rsidRPr="008539B9" w:rsidRDefault="00AF1291" w:rsidP="007C0423">
            <w:pPr>
              <w:autoSpaceDE w:val="0"/>
              <w:autoSpaceDN w:val="0"/>
              <w:adjustRightInd w:val="0"/>
              <w:rPr>
                <w:rFonts w:cs="Arial"/>
                <w:sz w:val="16"/>
                <w:szCs w:val="16"/>
              </w:rPr>
            </w:pPr>
            <w:r w:rsidRPr="008539B9">
              <w:rPr>
                <w:rFonts w:cs="Arial"/>
                <w:sz w:val="16"/>
                <w:szCs w:val="16"/>
              </w:rPr>
              <w:t>New Registrations</w:t>
            </w:r>
          </w:p>
          <w:p w:rsidR="00AF1291" w:rsidRPr="008539B9" w:rsidRDefault="00724EA5" w:rsidP="007C0423">
            <w:pPr>
              <w:rPr>
                <w:rFonts w:cs="Arial"/>
                <w:sz w:val="16"/>
                <w:szCs w:val="16"/>
              </w:rPr>
            </w:pPr>
            <w:r>
              <w:rPr>
                <w:rFonts w:cs="Arial"/>
                <w:sz w:val="16"/>
                <w:szCs w:val="16"/>
              </w:rPr>
              <w:t>5,000 (2012)</w:t>
            </w:r>
          </w:p>
          <w:p w:rsidR="00AF1291" w:rsidRPr="008539B9" w:rsidRDefault="00AF1291" w:rsidP="007C0423">
            <w:pPr>
              <w:rPr>
                <w:rFonts w:cs="Arial"/>
                <w:sz w:val="16"/>
                <w:szCs w:val="16"/>
              </w:rPr>
            </w:pPr>
            <w:r w:rsidRPr="008539B9">
              <w:rPr>
                <w:rFonts w:cs="Arial"/>
                <w:sz w:val="16"/>
                <w:szCs w:val="16"/>
              </w:rPr>
              <w:t>7,500 (2013)</w:t>
            </w:r>
          </w:p>
          <w:p w:rsidR="00AF1291" w:rsidRPr="008539B9" w:rsidRDefault="00AF1291" w:rsidP="007C0423">
            <w:pPr>
              <w:rPr>
                <w:rFonts w:cs="Arial"/>
                <w:sz w:val="16"/>
                <w:szCs w:val="16"/>
              </w:rPr>
            </w:pPr>
          </w:p>
          <w:p w:rsidR="00AF1291" w:rsidRPr="008539B9" w:rsidRDefault="00AF1291" w:rsidP="007C0423">
            <w:pPr>
              <w:rPr>
                <w:rFonts w:cs="Arial"/>
                <w:sz w:val="16"/>
                <w:szCs w:val="16"/>
              </w:rPr>
            </w:pPr>
            <w:r w:rsidRPr="008539B9">
              <w:rPr>
                <w:rFonts w:cs="Arial"/>
                <w:sz w:val="16"/>
                <w:szCs w:val="16"/>
              </w:rPr>
              <w:t>Designs contained</w:t>
            </w:r>
          </w:p>
          <w:p w:rsidR="00AF1291" w:rsidRPr="008539B9" w:rsidRDefault="00724EA5" w:rsidP="007C0423">
            <w:pPr>
              <w:rPr>
                <w:rFonts w:cs="Arial"/>
                <w:sz w:val="16"/>
                <w:szCs w:val="16"/>
              </w:rPr>
            </w:pPr>
            <w:r>
              <w:rPr>
                <w:rFonts w:cs="Arial"/>
                <w:sz w:val="16"/>
                <w:szCs w:val="16"/>
              </w:rPr>
              <w:t>20,000 (2012)</w:t>
            </w:r>
          </w:p>
          <w:p w:rsidR="00AF1291" w:rsidRPr="008539B9" w:rsidRDefault="00AF1291" w:rsidP="007C0423">
            <w:pPr>
              <w:rPr>
                <w:rFonts w:cs="Arial"/>
                <w:sz w:val="16"/>
                <w:szCs w:val="16"/>
              </w:rPr>
            </w:pPr>
            <w:r w:rsidRPr="008539B9">
              <w:rPr>
                <w:rFonts w:cs="Arial"/>
                <w:sz w:val="16"/>
                <w:szCs w:val="16"/>
              </w:rPr>
              <w:t>25,000 (2013)</w:t>
            </w:r>
          </w:p>
          <w:p w:rsidR="00AF1291" w:rsidRPr="008539B9" w:rsidRDefault="00AF1291" w:rsidP="007C0423">
            <w:pPr>
              <w:rPr>
                <w:rFonts w:cs="Arial"/>
                <w:sz w:val="16"/>
                <w:szCs w:val="16"/>
              </w:rPr>
            </w:pPr>
          </w:p>
          <w:p w:rsidR="00AF1291" w:rsidRPr="008539B9" w:rsidRDefault="00AF1291" w:rsidP="007C0423">
            <w:pPr>
              <w:rPr>
                <w:rFonts w:cs="Arial"/>
                <w:sz w:val="16"/>
                <w:szCs w:val="16"/>
              </w:rPr>
            </w:pPr>
            <w:r w:rsidRPr="008539B9">
              <w:rPr>
                <w:rFonts w:cs="Arial"/>
                <w:sz w:val="16"/>
                <w:szCs w:val="16"/>
              </w:rPr>
              <w:t>Renewals</w:t>
            </w:r>
          </w:p>
          <w:p w:rsidR="00AF1291" w:rsidRPr="008539B9" w:rsidRDefault="00AF1291" w:rsidP="007C0423">
            <w:pPr>
              <w:rPr>
                <w:rFonts w:cs="Arial"/>
                <w:sz w:val="16"/>
                <w:szCs w:val="16"/>
              </w:rPr>
            </w:pPr>
            <w:r w:rsidRPr="008539B9">
              <w:rPr>
                <w:rFonts w:cs="Arial"/>
                <w:sz w:val="16"/>
                <w:szCs w:val="16"/>
              </w:rPr>
              <w:t xml:space="preserve">2,800 (2012) </w:t>
            </w:r>
          </w:p>
          <w:p w:rsidR="00AF1291" w:rsidRPr="008539B9" w:rsidRDefault="00AF1291" w:rsidP="007C0423">
            <w:pPr>
              <w:rPr>
                <w:rFonts w:cs="Arial"/>
                <w:sz w:val="16"/>
                <w:szCs w:val="16"/>
              </w:rPr>
            </w:pPr>
            <w:r w:rsidRPr="008539B9">
              <w:rPr>
                <w:rFonts w:cs="Arial"/>
                <w:sz w:val="16"/>
                <w:szCs w:val="16"/>
              </w:rPr>
              <w:t>2,500 (2013)</w:t>
            </w:r>
          </w:p>
          <w:p w:rsidR="00AF1291" w:rsidRPr="008539B9" w:rsidRDefault="00AF1291" w:rsidP="007C0423">
            <w:pPr>
              <w:rPr>
                <w:rFonts w:cs="Arial"/>
                <w:sz w:val="16"/>
                <w:szCs w:val="16"/>
              </w:rPr>
            </w:pPr>
          </w:p>
          <w:p w:rsidR="00AF1291" w:rsidRPr="008539B9" w:rsidRDefault="00AF1291" w:rsidP="007C0423">
            <w:pPr>
              <w:rPr>
                <w:rFonts w:cs="Arial"/>
                <w:sz w:val="16"/>
                <w:szCs w:val="16"/>
              </w:rPr>
            </w:pPr>
            <w:r w:rsidRPr="008539B9">
              <w:rPr>
                <w:rFonts w:cs="Arial"/>
                <w:sz w:val="16"/>
                <w:szCs w:val="16"/>
              </w:rPr>
              <w:t>Other recordings</w:t>
            </w:r>
          </w:p>
          <w:p w:rsidR="00AF1291" w:rsidRPr="008539B9" w:rsidRDefault="00AF1291" w:rsidP="007C0423">
            <w:pPr>
              <w:rPr>
                <w:rFonts w:cs="Arial"/>
                <w:sz w:val="16"/>
                <w:szCs w:val="16"/>
              </w:rPr>
            </w:pPr>
            <w:r w:rsidRPr="008539B9">
              <w:rPr>
                <w:rFonts w:cs="Arial"/>
                <w:sz w:val="16"/>
                <w:szCs w:val="16"/>
              </w:rPr>
              <w:t xml:space="preserve">8,000 (2012) </w:t>
            </w:r>
          </w:p>
          <w:p w:rsidR="00AF1291" w:rsidRPr="008539B9" w:rsidRDefault="00AF1291" w:rsidP="007C0423">
            <w:pPr>
              <w:rPr>
                <w:rFonts w:cs="Arial"/>
                <w:sz w:val="16"/>
                <w:szCs w:val="16"/>
                <w:lang w:bidi="th-TH"/>
              </w:rPr>
            </w:pPr>
            <w:r w:rsidRPr="008539B9">
              <w:rPr>
                <w:rFonts w:cs="Arial"/>
                <w:sz w:val="16"/>
                <w:szCs w:val="16"/>
              </w:rPr>
              <w:t>12,000 (2013)</w:t>
            </w:r>
          </w:p>
        </w:tc>
        <w:tc>
          <w:tcPr>
            <w:tcW w:w="1370" w:type="pct"/>
            <w:gridSpan w:val="2"/>
            <w:shd w:val="clear" w:color="auto" w:fill="FFFFFF"/>
            <w:tcMar>
              <w:top w:w="110" w:type="dxa"/>
            </w:tcMar>
          </w:tcPr>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r w:rsidRPr="008539B9">
              <w:rPr>
                <w:rFonts w:cs="Arial"/>
                <w:sz w:val="16"/>
                <w:szCs w:val="16"/>
                <w:lang w:bidi="th-TH"/>
              </w:rPr>
              <w:t>New Registrations</w:t>
            </w:r>
          </w:p>
          <w:p w:rsidR="00AF1291" w:rsidRPr="008539B9" w:rsidRDefault="00AF1291" w:rsidP="007C0423">
            <w:pPr>
              <w:rPr>
                <w:rFonts w:cs="Arial"/>
                <w:sz w:val="16"/>
                <w:szCs w:val="16"/>
                <w:lang w:bidi="th-TH"/>
              </w:rPr>
            </w:pPr>
            <w:r w:rsidRPr="008539B9">
              <w:rPr>
                <w:rFonts w:cs="Arial"/>
                <w:sz w:val="16"/>
                <w:szCs w:val="16"/>
                <w:lang w:bidi="th-TH"/>
              </w:rPr>
              <w:t>2,440 (2012)</w:t>
            </w:r>
          </w:p>
          <w:p w:rsidR="00AF1291" w:rsidRPr="008539B9" w:rsidRDefault="00AF1291" w:rsidP="007C0423">
            <w:pPr>
              <w:rPr>
                <w:rFonts w:cs="Arial"/>
                <w:sz w:val="16"/>
                <w:szCs w:val="16"/>
                <w:lang w:bidi="th-TH"/>
              </w:rPr>
            </w:pPr>
            <w:r w:rsidRPr="008539B9">
              <w:rPr>
                <w:rFonts w:cs="Arial"/>
                <w:sz w:val="16"/>
                <w:szCs w:val="16"/>
                <w:lang w:bidi="th-TH"/>
              </w:rPr>
              <w:t>2,734 (2013)</w:t>
            </w: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r w:rsidRPr="008539B9">
              <w:rPr>
                <w:rFonts w:cs="Arial"/>
                <w:sz w:val="16"/>
                <w:szCs w:val="16"/>
                <w:lang w:bidi="th-TH"/>
              </w:rPr>
              <w:t>Designs contained</w:t>
            </w:r>
          </w:p>
          <w:p w:rsidR="00AF1291" w:rsidRPr="008539B9" w:rsidRDefault="00AF1291" w:rsidP="007C0423">
            <w:pPr>
              <w:rPr>
                <w:rFonts w:cs="Arial"/>
                <w:sz w:val="16"/>
                <w:szCs w:val="16"/>
                <w:lang w:bidi="th-TH"/>
              </w:rPr>
            </w:pPr>
            <w:r w:rsidRPr="008539B9">
              <w:rPr>
                <w:rFonts w:cs="Arial"/>
                <w:sz w:val="16"/>
                <w:szCs w:val="16"/>
                <w:lang w:bidi="th-TH"/>
              </w:rPr>
              <w:t>11,971 (2012)</w:t>
            </w:r>
          </w:p>
          <w:p w:rsidR="00AF1291" w:rsidRPr="008539B9" w:rsidRDefault="00AF1291" w:rsidP="007C0423">
            <w:pPr>
              <w:rPr>
                <w:rFonts w:cs="Arial"/>
                <w:sz w:val="16"/>
                <w:szCs w:val="16"/>
                <w:lang w:bidi="th-TH"/>
              </w:rPr>
            </w:pPr>
            <w:r w:rsidRPr="008539B9">
              <w:rPr>
                <w:rFonts w:cs="Arial"/>
                <w:sz w:val="16"/>
                <w:szCs w:val="16"/>
                <w:lang w:bidi="th-TH"/>
              </w:rPr>
              <w:t>12,806 (2013)</w:t>
            </w: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r w:rsidRPr="008539B9">
              <w:rPr>
                <w:rFonts w:cs="Arial"/>
                <w:sz w:val="16"/>
                <w:szCs w:val="16"/>
                <w:lang w:bidi="th-TH"/>
              </w:rPr>
              <w:t>Renewals</w:t>
            </w:r>
          </w:p>
          <w:p w:rsidR="00AF1291" w:rsidRPr="008539B9" w:rsidRDefault="00AF1291" w:rsidP="007C0423">
            <w:pPr>
              <w:rPr>
                <w:rFonts w:cs="Arial"/>
                <w:sz w:val="16"/>
                <w:szCs w:val="16"/>
                <w:lang w:bidi="th-TH"/>
              </w:rPr>
            </w:pPr>
            <w:r w:rsidRPr="008539B9">
              <w:rPr>
                <w:rFonts w:cs="Arial"/>
                <w:sz w:val="16"/>
                <w:szCs w:val="16"/>
                <w:lang w:bidi="th-TH"/>
              </w:rPr>
              <w:t>3,120 (2012)</w:t>
            </w:r>
          </w:p>
          <w:p w:rsidR="00AF1291" w:rsidRPr="008539B9" w:rsidRDefault="00AF1291" w:rsidP="007C0423">
            <w:pPr>
              <w:rPr>
                <w:rFonts w:cs="Arial"/>
                <w:sz w:val="16"/>
                <w:szCs w:val="16"/>
                <w:lang w:bidi="th-TH"/>
              </w:rPr>
            </w:pPr>
            <w:r w:rsidRPr="008539B9">
              <w:rPr>
                <w:rFonts w:cs="Arial"/>
                <w:sz w:val="16"/>
                <w:szCs w:val="16"/>
                <w:lang w:bidi="th-TH"/>
              </w:rPr>
              <w:t>2,859 (2013)</w:t>
            </w:r>
          </w:p>
          <w:p w:rsidR="00AF1291" w:rsidRPr="008539B9" w:rsidRDefault="00AF1291" w:rsidP="007C0423">
            <w:pPr>
              <w:rPr>
                <w:rFonts w:cs="Arial"/>
                <w:sz w:val="16"/>
                <w:szCs w:val="16"/>
                <w:lang w:bidi="th-TH"/>
              </w:rPr>
            </w:pPr>
          </w:p>
          <w:p w:rsidR="00AF1291" w:rsidRPr="008539B9" w:rsidRDefault="00AF1291" w:rsidP="007C0423">
            <w:pPr>
              <w:rPr>
                <w:rFonts w:cs="Arial"/>
                <w:sz w:val="16"/>
                <w:szCs w:val="16"/>
                <w:lang w:bidi="th-TH"/>
              </w:rPr>
            </w:pPr>
            <w:r w:rsidRPr="008539B9">
              <w:rPr>
                <w:rFonts w:cs="Arial"/>
                <w:sz w:val="16"/>
                <w:szCs w:val="16"/>
                <w:lang w:bidi="th-TH"/>
              </w:rPr>
              <w:t>Other recordings</w:t>
            </w:r>
          </w:p>
          <w:p w:rsidR="00AF1291" w:rsidRPr="008539B9" w:rsidRDefault="00AF1291" w:rsidP="007C0423">
            <w:pPr>
              <w:rPr>
                <w:rFonts w:cs="Arial"/>
                <w:sz w:val="16"/>
                <w:szCs w:val="16"/>
                <w:lang w:bidi="th-TH"/>
              </w:rPr>
            </w:pPr>
            <w:r w:rsidRPr="008539B9">
              <w:rPr>
                <w:rFonts w:cs="Arial"/>
                <w:sz w:val="16"/>
                <w:szCs w:val="16"/>
                <w:lang w:bidi="th-TH"/>
              </w:rPr>
              <w:t>3,643 (2012)</w:t>
            </w:r>
          </w:p>
          <w:p w:rsidR="00AF1291" w:rsidRPr="008539B9" w:rsidRDefault="00AF1291" w:rsidP="007C0423">
            <w:pPr>
              <w:rPr>
                <w:rFonts w:cs="Arial"/>
                <w:sz w:val="16"/>
                <w:szCs w:val="16"/>
                <w:lang w:bidi="th-TH"/>
              </w:rPr>
            </w:pPr>
            <w:r w:rsidRPr="008539B9">
              <w:rPr>
                <w:rFonts w:cs="Arial"/>
                <w:sz w:val="16"/>
                <w:szCs w:val="16"/>
                <w:lang w:bidi="th-TH"/>
              </w:rPr>
              <w:t>3,631 (2013)</w:t>
            </w:r>
          </w:p>
        </w:tc>
        <w:tc>
          <w:tcPr>
            <w:tcW w:w="600" w:type="pct"/>
            <w:shd w:val="clear" w:color="auto" w:fill="auto"/>
            <w:tcMar>
              <w:top w:w="110" w:type="dxa"/>
            </w:tcMar>
          </w:tcPr>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Fonts w:cs="Arial"/>
                <w:bCs/>
                <w:color w:val="FF0000"/>
                <w:sz w:val="16"/>
                <w:szCs w:val="16"/>
              </w:rPr>
            </w:pPr>
            <w:r w:rsidRPr="008539B9">
              <w:rPr>
                <w:rFonts w:cs="Arial"/>
                <w:bCs/>
                <w:color w:val="FF0000"/>
                <w:sz w:val="16"/>
                <w:szCs w:val="16"/>
              </w:rPr>
              <w:t>Not</w:t>
            </w:r>
            <w:r w:rsidRPr="008539B9">
              <w:rPr>
                <w:rFonts w:cs="Arial"/>
                <w:bCs/>
                <w:color w:val="FF0000"/>
                <w:sz w:val="16"/>
                <w:szCs w:val="16"/>
              </w:rPr>
              <w:br/>
              <w:t>Achieved</w:t>
            </w:r>
          </w:p>
          <w:p w:rsidR="00AF1291" w:rsidRPr="008539B9" w:rsidRDefault="00AF1291" w:rsidP="007C0423">
            <w:pPr>
              <w:keepNext/>
              <w:keepLines/>
              <w:jc w:val="center"/>
              <w:rPr>
                <w:rFonts w:cs="Arial"/>
                <w:bCs/>
                <w:sz w:val="16"/>
                <w:szCs w:val="16"/>
              </w:rPr>
            </w:pPr>
          </w:p>
          <w:p w:rsidR="00AF1291" w:rsidRPr="008539B9" w:rsidRDefault="00AF1291" w:rsidP="007C0423">
            <w:pPr>
              <w:keepNext/>
              <w:keepLines/>
              <w:jc w:val="center"/>
              <w:rPr>
                <w:rFonts w:cs="Arial"/>
                <w:bCs/>
                <w:sz w:val="16"/>
                <w:szCs w:val="16"/>
              </w:rPr>
            </w:pPr>
          </w:p>
          <w:p w:rsidR="00AF1291" w:rsidRPr="008539B9" w:rsidRDefault="00AF1291" w:rsidP="007C0423">
            <w:pPr>
              <w:keepNext/>
              <w:keepLines/>
              <w:jc w:val="center"/>
              <w:rPr>
                <w:rFonts w:cs="Arial"/>
                <w:bCs/>
                <w:color w:val="FF0000"/>
                <w:sz w:val="16"/>
                <w:szCs w:val="16"/>
              </w:rPr>
            </w:pPr>
            <w:r w:rsidRPr="008539B9">
              <w:rPr>
                <w:rFonts w:cs="Arial"/>
                <w:bCs/>
                <w:color w:val="FF0000"/>
                <w:sz w:val="16"/>
                <w:szCs w:val="16"/>
              </w:rPr>
              <w:t>Not</w:t>
            </w:r>
            <w:r w:rsidRPr="008539B9">
              <w:rPr>
                <w:rFonts w:cs="Arial"/>
                <w:bCs/>
                <w:color w:val="FF0000"/>
                <w:sz w:val="16"/>
                <w:szCs w:val="16"/>
              </w:rPr>
              <w:br/>
              <w:t>Achieved</w:t>
            </w:r>
          </w:p>
          <w:p w:rsidR="00AF1291" w:rsidRPr="008539B9" w:rsidRDefault="00AF1291" w:rsidP="007C0423">
            <w:pPr>
              <w:keepNext/>
              <w:keepLines/>
              <w:jc w:val="center"/>
              <w:rPr>
                <w:rFonts w:cs="Arial"/>
                <w:bCs/>
                <w:sz w:val="16"/>
                <w:szCs w:val="16"/>
              </w:rPr>
            </w:pP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Style w:val="Style5"/>
                <w:rFonts w:ascii="Arial" w:hAnsi="Arial" w:cs="Arial"/>
                <w:b/>
                <w:sz w:val="16"/>
                <w:szCs w:val="16"/>
              </w:rPr>
            </w:pPr>
            <w:r w:rsidRPr="008539B9">
              <w:rPr>
                <w:rFonts w:cs="Arial"/>
                <w:bCs/>
                <w:color w:val="008000"/>
                <w:sz w:val="16"/>
                <w:szCs w:val="16"/>
              </w:rPr>
              <w:t>Fully</w:t>
            </w:r>
            <w:r w:rsidRPr="008539B9">
              <w:rPr>
                <w:rFonts w:cs="Arial"/>
                <w:bCs/>
                <w:color w:val="008000"/>
                <w:sz w:val="16"/>
                <w:szCs w:val="16"/>
              </w:rPr>
              <w:br/>
              <w:t>Achieved</w:t>
            </w: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Style w:val="Style5"/>
                <w:rFonts w:ascii="Arial" w:hAnsi="Arial" w:cs="Arial"/>
                <w:b/>
                <w:sz w:val="16"/>
                <w:szCs w:val="16"/>
              </w:rPr>
            </w:pPr>
          </w:p>
          <w:p w:rsidR="00AF1291" w:rsidRPr="008539B9" w:rsidRDefault="00AF1291" w:rsidP="007C0423">
            <w:pPr>
              <w:keepNext/>
              <w:keepLines/>
              <w:jc w:val="center"/>
              <w:rPr>
                <w:rFonts w:cs="Arial"/>
                <w:bCs/>
                <w:color w:val="808080"/>
                <w:sz w:val="16"/>
                <w:szCs w:val="16"/>
              </w:rPr>
            </w:pPr>
            <w:r w:rsidRPr="008539B9">
              <w:rPr>
                <w:rFonts w:cs="Arial"/>
                <w:bCs/>
                <w:color w:val="FF0000"/>
                <w:sz w:val="16"/>
                <w:szCs w:val="16"/>
              </w:rPr>
              <w:t>Not</w:t>
            </w:r>
            <w:r w:rsidRPr="008539B9">
              <w:rPr>
                <w:rFonts w:cs="Arial"/>
                <w:bCs/>
                <w:color w:val="FF0000"/>
                <w:sz w:val="16"/>
                <w:szCs w:val="16"/>
              </w:rPr>
              <w:br/>
              <w:t>Achieved</w:t>
            </w:r>
          </w:p>
        </w:tc>
      </w:tr>
      <w:tr w:rsidR="00AF1291" w:rsidRPr="008539B9" w:rsidTr="007C0423">
        <w:trPr>
          <w:cantSplit/>
        </w:trPr>
        <w:tc>
          <w:tcPr>
            <w:tcW w:w="1054" w:type="pct"/>
            <w:shd w:val="clear" w:color="auto" w:fill="auto"/>
          </w:tcPr>
          <w:p w:rsidR="00AF1291" w:rsidRPr="008539B9" w:rsidRDefault="00AF1291" w:rsidP="007C0423">
            <w:pPr>
              <w:ind w:firstLineChars="100" w:firstLine="160"/>
              <w:rPr>
                <w:rFonts w:cs="Arial"/>
                <w:sz w:val="16"/>
                <w:szCs w:val="16"/>
              </w:rPr>
            </w:pPr>
          </w:p>
        </w:tc>
        <w:tc>
          <w:tcPr>
            <w:tcW w:w="1061" w:type="pct"/>
            <w:gridSpan w:val="3"/>
            <w:shd w:val="clear" w:color="auto" w:fill="auto"/>
          </w:tcPr>
          <w:p w:rsidR="00AF1291" w:rsidRPr="008539B9" w:rsidRDefault="00AF1291" w:rsidP="007C0423">
            <w:pPr>
              <w:rPr>
                <w:rFonts w:cs="Arial"/>
                <w:sz w:val="16"/>
                <w:szCs w:val="16"/>
              </w:rPr>
            </w:pPr>
            <w:r w:rsidRPr="008539B9">
              <w:rPr>
                <w:rFonts w:cs="Arial"/>
                <w:sz w:val="16"/>
                <w:szCs w:val="16"/>
              </w:rPr>
              <w:t xml:space="preserve">Designs contained </w:t>
            </w:r>
          </w:p>
          <w:p w:rsidR="00AF1291" w:rsidRPr="008539B9" w:rsidRDefault="00AF1291" w:rsidP="007C0423">
            <w:pPr>
              <w:rPr>
                <w:rFonts w:cs="Arial"/>
                <w:sz w:val="16"/>
                <w:szCs w:val="16"/>
              </w:rPr>
            </w:pPr>
            <w:r w:rsidRPr="008539B9">
              <w:rPr>
                <w:rFonts w:cs="Arial"/>
                <w:sz w:val="16"/>
                <w:szCs w:val="16"/>
              </w:rPr>
              <w:t>11,238 (2010)</w:t>
            </w:r>
          </w:p>
          <w:p w:rsidR="00AF1291" w:rsidRPr="008539B9" w:rsidRDefault="00AF1291" w:rsidP="007C0423">
            <w:pPr>
              <w:rPr>
                <w:rFonts w:cs="Arial"/>
                <w:sz w:val="16"/>
                <w:szCs w:val="16"/>
              </w:rPr>
            </w:pPr>
            <w:r w:rsidRPr="008539B9">
              <w:rPr>
                <w:rFonts w:cs="Arial"/>
                <w:sz w:val="16"/>
                <w:szCs w:val="16"/>
              </w:rPr>
              <w:t>15,000 (2011)</w:t>
            </w:r>
          </w:p>
        </w:tc>
        <w:tc>
          <w:tcPr>
            <w:tcW w:w="188" w:type="pct"/>
            <w:shd w:val="clear" w:color="auto" w:fill="auto"/>
            <w:tcMar>
              <w:top w:w="110" w:type="dxa"/>
            </w:tcMar>
          </w:tcPr>
          <w:p w:rsidR="00AF1291" w:rsidRPr="008539B9" w:rsidRDefault="00AF1291" w:rsidP="007C0423">
            <w:pPr>
              <w:rPr>
                <w:rFonts w:cs="Arial"/>
                <w:sz w:val="16"/>
                <w:szCs w:val="16"/>
                <w:lang w:bidi="th-TH"/>
              </w:rPr>
            </w:pPr>
          </w:p>
        </w:tc>
        <w:tc>
          <w:tcPr>
            <w:tcW w:w="2097" w:type="pct"/>
            <w:gridSpan w:val="3"/>
            <w:shd w:val="clear" w:color="auto" w:fill="FFFFFF"/>
            <w:tcMar>
              <w:top w:w="110" w:type="dxa"/>
            </w:tcMar>
          </w:tcPr>
          <w:p w:rsidR="00AF1291" w:rsidRPr="008539B9" w:rsidRDefault="00AF1291" w:rsidP="007C0423">
            <w:pPr>
              <w:rPr>
                <w:rFonts w:cs="Arial"/>
                <w:sz w:val="16"/>
                <w:szCs w:val="16"/>
                <w:lang w:bidi="th-TH"/>
              </w:rPr>
            </w:pPr>
          </w:p>
        </w:tc>
        <w:tc>
          <w:tcPr>
            <w:tcW w:w="600" w:type="pct"/>
            <w:shd w:val="clear" w:color="auto" w:fill="auto"/>
            <w:tcMar>
              <w:top w:w="110" w:type="dxa"/>
            </w:tcMar>
          </w:tcPr>
          <w:p w:rsidR="00AF1291" w:rsidRPr="008539B9" w:rsidRDefault="00AF1291" w:rsidP="007C0423">
            <w:pPr>
              <w:keepNext/>
              <w:keepLines/>
              <w:jc w:val="center"/>
              <w:rPr>
                <w:rFonts w:cs="Arial"/>
                <w:b/>
                <w:bCs/>
                <w:sz w:val="16"/>
                <w:szCs w:val="16"/>
              </w:rPr>
            </w:pPr>
          </w:p>
        </w:tc>
      </w:tr>
      <w:tr w:rsidR="00AF1291" w:rsidRPr="008539B9" w:rsidTr="007C0423">
        <w:trPr>
          <w:cantSplit/>
        </w:trPr>
        <w:tc>
          <w:tcPr>
            <w:tcW w:w="1054" w:type="pct"/>
            <w:shd w:val="clear" w:color="auto" w:fill="auto"/>
          </w:tcPr>
          <w:p w:rsidR="00AF1291" w:rsidRPr="008539B9" w:rsidRDefault="00AF1291" w:rsidP="007C0423">
            <w:pPr>
              <w:ind w:firstLineChars="100" w:firstLine="160"/>
              <w:rPr>
                <w:rFonts w:cs="Arial"/>
                <w:sz w:val="16"/>
                <w:szCs w:val="16"/>
              </w:rPr>
            </w:pPr>
          </w:p>
        </w:tc>
        <w:tc>
          <w:tcPr>
            <w:tcW w:w="1061" w:type="pct"/>
            <w:gridSpan w:val="3"/>
            <w:shd w:val="clear" w:color="auto" w:fill="auto"/>
          </w:tcPr>
          <w:p w:rsidR="00AF1291" w:rsidRPr="008539B9" w:rsidRDefault="00AF1291" w:rsidP="007C0423">
            <w:pPr>
              <w:rPr>
                <w:rFonts w:cs="Arial"/>
                <w:sz w:val="16"/>
                <w:szCs w:val="16"/>
              </w:rPr>
            </w:pPr>
            <w:r w:rsidRPr="008539B9">
              <w:rPr>
                <w:rFonts w:cs="Arial"/>
                <w:sz w:val="16"/>
                <w:szCs w:val="16"/>
              </w:rPr>
              <w:t>Renewals</w:t>
            </w:r>
          </w:p>
          <w:p w:rsidR="00AF1291" w:rsidRPr="008539B9" w:rsidRDefault="00AF1291" w:rsidP="007C0423">
            <w:pPr>
              <w:rPr>
                <w:rFonts w:cs="Arial"/>
                <w:sz w:val="16"/>
                <w:szCs w:val="16"/>
              </w:rPr>
            </w:pPr>
            <w:r w:rsidRPr="008539B9">
              <w:rPr>
                <w:rFonts w:cs="Arial"/>
                <w:sz w:val="16"/>
                <w:szCs w:val="16"/>
              </w:rPr>
              <w:t>2,793 (2010)</w:t>
            </w:r>
          </w:p>
          <w:p w:rsidR="00AF1291" w:rsidRPr="008539B9" w:rsidRDefault="00AF1291" w:rsidP="007C0423">
            <w:pPr>
              <w:rPr>
                <w:rFonts w:cs="Arial"/>
                <w:sz w:val="16"/>
                <w:szCs w:val="16"/>
              </w:rPr>
            </w:pPr>
            <w:r w:rsidRPr="008539B9">
              <w:rPr>
                <w:rFonts w:cs="Arial"/>
                <w:sz w:val="16"/>
                <w:szCs w:val="16"/>
              </w:rPr>
              <w:t>2,700 (2011)</w:t>
            </w:r>
          </w:p>
        </w:tc>
        <w:tc>
          <w:tcPr>
            <w:tcW w:w="188" w:type="pct"/>
            <w:shd w:val="clear" w:color="auto" w:fill="auto"/>
            <w:tcMar>
              <w:top w:w="110" w:type="dxa"/>
            </w:tcMar>
          </w:tcPr>
          <w:p w:rsidR="00AF1291" w:rsidRPr="008539B9" w:rsidRDefault="00AF1291" w:rsidP="007C0423">
            <w:pPr>
              <w:rPr>
                <w:rFonts w:cs="Arial"/>
                <w:sz w:val="16"/>
                <w:szCs w:val="16"/>
                <w:u w:val="single"/>
                <w:lang w:bidi="th-TH"/>
              </w:rPr>
            </w:pPr>
          </w:p>
        </w:tc>
        <w:tc>
          <w:tcPr>
            <w:tcW w:w="2097" w:type="pct"/>
            <w:gridSpan w:val="3"/>
            <w:shd w:val="clear" w:color="auto" w:fill="FFFFFF"/>
            <w:tcMar>
              <w:top w:w="110" w:type="dxa"/>
            </w:tcMar>
          </w:tcPr>
          <w:p w:rsidR="00AF1291" w:rsidRPr="008539B9" w:rsidRDefault="00AF1291" w:rsidP="007C0423">
            <w:pPr>
              <w:rPr>
                <w:rFonts w:cs="Arial"/>
                <w:sz w:val="16"/>
                <w:szCs w:val="16"/>
                <w:lang w:bidi="th-TH"/>
              </w:rPr>
            </w:pPr>
          </w:p>
        </w:tc>
        <w:tc>
          <w:tcPr>
            <w:tcW w:w="600" w:type="pct"/>
            <w:shd w:val="clear" w:color="auto" w:fill="auto"/>
            <w:tcMar>
              <w:top w:w="110" w:type="dxa"/>
            </w:tcMar>
          </w:tcPr>
          <w:p w:rsidR="00AF1291" w:rsidRPr="008539B9" w:rsidRDefault="00AF1291" w:rsidP="007C0423">
            <w:pPr>
              <w:keepNext/>
              <w:keepLines/>
              <w:jc w:val="center"/>
              <w:rPr>
                <w:rFonts w:cs="Arial"/>
                <w:bCs/>
                <w:sz w:val="16"/>
                <w:szCs w:val="16"/>
              </w:rPr>
            </w:pPr>
          </w:p>
        </w:tc>
      </w:tr>
      <w:tr w:rsidR="00AF1291" w:rsidRPr="008539B9" w:rsidTr="007C0423">
        <w:trPr>
          <w:cantSplit/>
        </w:trPr>
        <w:tc>
          <w:tcPr>
            <w:tcW w:w="1054" w:type="pct"/>
            <w:shd w:val="clear" w:color="auto" w:fill="auto"/>
          </w:tcPr>
          <w:p w:rsidR="00AF1291" w:rsidRPr="008539B9" w:rsidRDefault="00AF1291" w:rsidP="007C0423">
            <w:pPr>
              <w:ind w:firstLineChars="100" w:firstLine="160"/>
              <w:rPr>
                <w:rFonts w:cs="Arial"/>
                <w:sz w:val="16"/>
                <w:szCs w:val="16"/>
              </w:rPr>
            </w:pPr>
          </w:p>
        </w:tc>
        <w:tc>
          <w:tcPr>
            <w:tcW w:w="1061" w:type="pct"/>
            <w:gridSpan w:val="3"/>
            <w:shd w:val="clear" w:color="auto" w:fill="auto"/>
          </w:tcPr>
          <w:p w:rsidR="00AF1291" w:rsidRPr="008539B9" w:rsidRDefault="00AF1291" w:rsidP="007C0423">
            <w:pPr>
              <w:rPr>
                <w:rFonts w:cs="Arial"/>
                <w:sz w:val="16"/>
                <w:szCs w:val="16"/>
              </w:rPr>
            </w:pPr>
            <w:r w:rsidRPr="008539B9">
              <w:rPr>
                <w:rFonts w:cs="Arial"/>
                <w:color w:val="000000"/>
                <w:sz w:val="16"/>
                <w:szCs w:val="16"/>
              </w:rPr>
              <w:t>Other</w:t>
            </w:r>
            <w:r w:rsidRPr="008539B9">
              <w:rPr>
                <w:rFonts w:cs="Arial"/>
                <w:sz w:val="16"/>
                <w:szCs w:val="16"/>
              </w:rPr>
              <w:t xml:space="preserve"> recordings</w:t>
            </w:r>
          </w:p>
          <w:p w:rsidR="00AF1291" w:rsidRPr="008539B9" w:rsidRDefault="00AF1291" w:rsidP="007C0423">
            <w:pPr>
              <w:rPr>
                <w:rFonts w:cs="Arial"/>
                <w:sz w:val="16"/>
                <w:szCs w:val="16"/>
              </w:rPr>
            </w:pPr>
            <w:r w:rsidRPr="008539B9">
              <w:rPr>
                <w:rFonts w:cs="Arial"/>
                <w:sz w:val="16"/>
                <w:szCs w:val="16"/>
              </w:rPr>
              <w:t>4,244 (2010)</w:t>
            </w:r>
          </w:p>
          <w:p w:rsidR="00AF1291" w:rsidRPr="008539B9" w:rsidRDefault="00AF1291" w:rsidP="007C0423">
            <w:pPr>
              <w:rPr>
                <w:rFonts w:cs="Arial"/>
                <w:i/>
                <w:sz w:val="16"/>
                <w:szCs w:val="16"/>
              </w:rPr>
            </w:pPr>
            <w:r w:rsidRPr="008539B9">
              <w:rPr>
                <w:rFonts w:cs="Arial"/>
                <w:sz w:val="16"/>
                <w:szCs w:val="16"/>
              </w:rPr>
              <w:t>5,100 (2011)</w:t>
            </w:r>
          </w:p>
        </w:tc>
        <w:tc>
          <w:tcPr>
            <w:tcW w:w="188" w:type="pct"/>
            <w:shd w:val="clear" w:color="auto" w:fill="auto"/>
            <w:tcMar>
              <w:top w:w="110" w:type="dxa"/>
            </w:tcMar>
          </w:tcPr>
          <w:p w:rsidR="00AF1291" w:rsidRPr="008539B9" w:rsidRDefault="00AF1291" w:rsidP="007C0423">
            <w:pPr>
              <w:rPr>
                <w:rFonts w:cs="Arial"/>
                <w:sz w:val="16"/>
                <w:szCs w:val="16"/>
              </w:rPr>
            </w:pPr>
          </w:p>
        </w:tc>
        <w:tc>
          <w:tcPr>
            <w:tcW w:w="2097" w:type="pct"/>
            <w:gridSpan w:val="3"/>
            <w:shd w:val="clear" w:color="auto" w:fill="FFFFFF"/>
            <w:tcMar>
              <w:top w:w="110" w:type="dxa"/>
            </w:tcMar>
          </w:tcPr>
          <w:p w:rsidR="00AF1291" w:rsidRPr="008539B9" w:rsidRDefault="00AF1291" w:rsidP="007C0423">
            <w:pPr>
              <w:rPr>
                <w:rFonts w:cs="Arial"/>
                <w:sz w:val="16"/>
                <w:szCs w:val="16"/>
              </w:rPr>
            </w:pPr>
          </w:p>
        </w:tc>
        <w:tc>
          <w:tcPr>
            <w:tcW w:w="600" w:type="pct"/>
            <w:shd w:val="clear" w:color="auto" w:fill="auto"/>
            <w:tcMar>
              <w:top w:w="110" w:type="dxa"/>
            </w:tcMar>
          </w:tcPr>
          <w:p w:rsidR="00AF1291" w:rsidRPr="008539B9" w:rsidRDefault="00AF1291" w:rsidP="007C0423">
            <w:pPr>
              <w:keepNext/>
              <w:keepLines/>
              <w:jc w:val="center"/>
              <w:rPr>
                <w:rFonts w:cs="Arial"/>
                <w:bCs/>
                <w:sz w:val="16"/>
                <w:szCs w:val="16"/>
              </w:rPr>
            </w:pPr>
          </w:p>
        </w:tc>
      </w:tr>
      <w:tr w:rsidR="00AF1291" w:rsidRPr="008539B9" w:rsidTr="007C0423">
        <w:trPr>
          <w:cantSplit/>
        </w:trPr>
        <w:tc>
          <w:tcPr>
            <w:tcW w:w="1054" w:type="pct"/>
            <w:shd w:val="clear" w:color="auto" w:fill="auto"/>
          </w:tcPr>
          <w:p w:rsidR="00AF1291" w:rsidRPr="008539B9" w:rsidRDefault="00AF1291" w:rsidP="007C0423">
            <w:pPr>
              <w:rPr>
                <w:rFonts w:cs="Arial"/>
                <w:color w:val="000000"/>
                <w:sz w:val="16"/>
                <w:szCs w:val="16"/>
              </w:rPr>
            </w:pPr>
            <w:r w:rsidRPr="008539B9">
              <w:rPr>
                <w:rFonts w:cs="Arial"/>
                <w:color w:val="000000"/>
                <w:sz w:val="16"/>
                <w:szCs w:val="16"/>
              </w:rPr>
              <w:t>No. of applications from, and designations of,  developing countries and LDCs</w:t>
            </w:r>
          </w:p>
        </w:tc>
        <w:tc>
          <w:tcPr>
            <w:tcW w:w="1061" w:type="pct"/>
            <w:gridSpan w:val="3"/>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20 applications</w:t>
            </w:r>
          </w:p>
          <w:p w:rsidR="00AF1291" w:rsidRPr="008539B9" w:rsidRDefault="00AF1291" w:rsidP="007C0423">
            <w:pPr>
              <w:rPr>
                <w:rFonts w:cs="Arial"/>
                <w:color w:val="002060"/>
                <w:sz w:val="16"/>
                <w:szCs w:val="16"/>
              </w:rPr>
            </w:pPr>
            <w:r w:rsidRPr="008539B9">
              <w:rPr>
                <w:rFonts w:cs="Arial"/>
                <w:color w:val="002060"/>
                <w:sz w:val="16"/>
                <w:szCs w:val="16"/>
              </w:rPr>
              <w:t>from and 2,059</w:t>
            </w:r>
          </w:p>
          <w:p w:rsidR="00AF1291" w:rsidRPr="008539B9" w:rsidRDefault="00AF1291" w:rsidP="007C0423">
            <w:pPr>
              <w:rPr>
                <w:rFonts w:cs="Arial"/>
                <w:color w:val="002060"/>
                <w:sz w:val="16"/>
                <w:szCs w:val="16"/>
              </w:rPr>
            </w:pPr>
            <w:r w:rsidRPr="008539B9">
              <w:rPr>
                <w:rFonts w:cs="Arial"/>
                <w:color w:val="002060"/>
                <w:sz w:val="16"/>
                <w:szCs w:val="16"/>
              </w:rPr>
              <w:t>designations of developing countries and LDCs</w:t>
            </w:r>
          </w:p>
          <w:p w:rsidR="00AF1291" w:rsidRPr="008539B9" w:rsidRDefault="00AF1291" w:rsidP="007C0423">
            <w:pPr>
              <w:rPr>
                <w:rFonts w:cs="Arial"/>
                <w:i/>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t xml:space="preserve"> 12 applications from and 2,065 designations of developing countries and LDCs (2010)</w:t>
            </w:r>
          </w:p>
        </w:tc>
        <w:tc>
          <w:tcPr>
            <w:tcW w:w="915" w:type="pct"/>
            <w:gridSpan w:val="2"/>
            <w:shd w:val="clear" w:color="auto" w:fill="auto"/>
            <w:tcMar>
              <w:top w:w="110" w:type="dxa"/>
            </w:tcMar>
          </w:tcPr>
          <w:p w:rsidR="00AF1291" w:rsidRPr="00724EA5" w:rsidRDefault="00AF1291" w:rsidP="00724EA5">
            <w:pPr>
              <w:autoSpaceDE w:val="0"/>
              <w:autoSpaceDN w:val="0"/>
              <w:adjustRightInd w:val="0"/>
              <w:rPr>
                <w:rFonts w:cs="Arial"/>
                <w:sz w:val="16"/>
                <w:szCs w:val="16"/>
              </w:rPr>
            </w:pPr>
            <w:r w:rsidRPr="00724EA5">
              <w:rPr>
                <w:rFonts w:cs="Arial"/>
                <w:sz w:val="16"/>
                <w:szCs w:val="16"/>
              </w:rPr>
              <w:t>80 applications from and 7,500 designations of</w:t>
            </w:r>
            <w:r w:rsidR="00724EA5">
              <w:rPr>
                <w:rFonts w:cs="Arial"/>
                <w:sz w:val="16"/>
                <w:szCs w:val="16"/>
              </w:rPr>
              <w:t xml:space="preserve"> </w:t>
            </w:r>
            <w:r w:rsidRPr="00724EA5">
              <w:rPr>
                <w:rFonts w:cs="Arial"/>
                <w:sz w:val="16"/>
                <w:szCs w:val="16"/>
              </w:rPr>
              <w:t>developing countries and  LDCs</w:t>
            </w:r>
          </w:p>
        </w:tc>
        <w:tc>
          <w:tcPr>
            <w:tcW w:w="1370" w:type="pct"/>
            <w:gridSpan w:val="2"/>
            <w:shd w:val="clear" w:color="auto" w:fill="FFFFFF"/>
            <w:tcMar>
              <w:top w:w="110" w:type="dxa"/>
            </w:tcMar>
          </w:tcPr>
          <w:p w:rsidR="00AF1291" w:rsidRPr="00724EA5" w:rsidRDefault="00AF1291" w:rsidP="007C0423">
            <w:pPr>
              <w:rPr>
                <w:rFonts w:cs="Arial"/>
                <w:sz w:val="16"/>
                <w:szCs w:val="16"/>
                <w:lang w:bidi="th-TH"/>
              </w:rPr>
            </w:pPr>
            <w:r w:rsidRPr="00724EA5">
              <w:rPr>
                <w:rFonts w:cs="Arial"/>
                <w:sz w:val="16"/>
                <w:szCs w:val="16"/>
                <w:lang w:bidi="th-TH"/>
              </w:rPr>
              <w:t>16 applications  from and 2,216</w:t>
            </w:r>
            <w:r w:rsidRPr="00724EA5">
              <w:rPr>
                <w:rStyle w:val="FootnoteReference"/>
                <w:rFonts w:cs="Arial"/>
                <w:sz w:val="16"/>
                <w:szCs w:val="16"/>
                <w:lang w:bidi="th-TH"/>
              </w:rPr>
              <w:footnoteReference w:id="11"/>
            </w:r>
          </w:p>
          <w:p w:rsidR="00AF1291" w:rsidRPr="00724EA5" w:rsidRDefault="00AF1291" w:rsidP="007C0423">
            <w:pPr>
              <w:rPr>
                <w:rFonts w:cs="Arial"/>
                <w:sz w:val="16"/>
                <w:szCs w:val="16"/>
                <w:lang w:bidi="th-TH"/>
              </w:rPr>
            </w:pPr>
            <w:r w:rsidRPr="00724EA5">
              <w:rPr>
                <w:rFonts w:cs="Arial"/>
                <w:sz w:val="16"/>
                <w:szCs w:val="16"/>
                <w:lang w:bidi="th-TH"/>
              </w:rPr>
              <w:t>Designations of developing countries and LDCs (2012)</w:t>
            </w:r>
          </w:p>
          <w:p w:rsidR="00AF1291" w:rsidRPr="00724EA5" w:rsidRDefault="00AF1291" w:rsidP="007C0423">
            <w:pPr>
              <w:rPr>
                <w:rFonts w:cs="Arial"/>
                <w:sz w:val="8"/>
                <w:szCs w:val="8"/>
                <w:lang w:bidi="th-TH"/>
              </w:rPr>
            </w:pPr>
          </w:p>
          <w:p w:rsidR="00AF1291" w:rsidRPr="00724EA5" w:rsidRDefault="00AF1291" w:rsidP="007C0423">
            <w:pPr>
              <w:rPr>
                <w:rFonts w:cs="Arial"/>
                <w:sz w:val="16"/>
                <w:szCs w:val="16"/>
              </w:rPr>
            </w:pPr>
            <w:r w:rsidRPr="00724EA5">
              <w:rPr>
                <w:rFonts w:cs="Arial"/>
                <w:sz w:val="16"/>
                <w:szCs w:val="16"/>
                <w:lang w:bidi="th-TH"/>
              </w:rPr>
              <w:t>22 applications  from and 2,877 designations of developing countries and LDCs (2013)</w:t>
            </w:r>
          </w:p>
        </w:tc>
        <w:tc>
          <w:tcPr>
            <w:tcW w:w="600" w:type="pct"/>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FF0000"/>
                <w:sz w:val="16"/>
                <w:szCs w:val="16"/>
              </w:rPr>
              <w:t>Not</w:t>
            </w:r>
            <w:r w:rsidRPr="008539B9">
              <w:rPr>
                <w:rFonts w:cs="Arial"/>
                <w:bCs/>
                <w:color w:val="FF0000"/>
                <w:sz w:val="16"/>
                <w:szCs w:val="16"/>
              </w:rPr>
              <w:br/>
              <w:t>Achieved</w:t>
            </w:r>
            <w:r w:rsidRPr="008539B9" w:rsidDel="008F5063">
              <w:rPr>
                <w:rStyle w:val="Style5"/>
                <w:rFonts w:ascii="Arial" w:hAnsi="Arial" w:cs="Arial"/>
                <w:b/>
                <w:color w:val="FF0000"/>
                <w:sz w:val="16"/>
                <w:szCs w:val="16"/>
              </w:rPr>
              <w:t xml:space="preserve"> </w:t>
            </w:r>
          </w:p>
        </w:tc>
      </w:tr>
      <w:tr w:rsidR="00AF1291" w:rsidRPr="008539B9" w:rsidTr="007C0423">
        <w:trPr>
          <w:cantSplit/>
        </w:trPr>
        <w:tc>
          <w:tcPr>
            <w:tcW w:w="1054" w:type="pct"/>
            <w:tcBorders>
              <w:bottom w:val="single" w:sz="4" w:space="0" w:color="auto"/>
            </w:tcBorders>
            <w:shd w:val="clear" w:color="auto" w:fill="auto"/>
          </w:tcPr>
          <w:p w:rsidR="00AF1291" w:rsidRPr="008539B9" w:rsidRDefault="00AF1291" w:rsidP="007C0423">
            <w:pPr>
              <w:rPr>
                <w:rFonts w:cs="Arial"/>
                <w:sz w:val="16"/>
                <w:szCs w:val="16"/>
              </w:rPr>
            </w:pPr>
            <w:r w:rsidRPr="008539B9">
              <w:rPr>
                <w:rFonts w:cs="Arial"/>
                <w:sz w:val="16"/>
                <w:szCs w:val="16"/>
              </w:rPr>
              <w:t>% of irregular applications</w:t>
            </w:r>
          </w:p>
        </w:tc>
        <w:tc>
          <w:tcPr>
            <w:tcW w:w="1061" w:type="pct"/>
            <w:gridSpan w:val="3"/>
            <w:tcBorders>
              <w:bottom w:val="single" w:sz="4" w:space="0" w:color="auto"/>
            </w:tcBorders>
            <w:shd w:val="clear" w:color="auto" w:fill="auto"/>
          </w:tcPr>
          <w:p w:rsidR="00AF1291" w:rsidRPr="008539B9" w:rsidRDefault="00AF1291" w:rsidP="007C0423">
            <w:pPr>
              <w:rPr>
                <w:rFonts w:cs="Arial"/>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60%</w:t>
            </w:r>
          </w:p>
          <w:p w:rsidR="00AF1291" w:rsidRPr="008539B9" w:rsidRDefault="00AF1291" w:rsidP="007C0423">
            <w:pPr>
              <w:rPr>
                <w:rFonts w:cs="Arial"/>
                <w:i/>
                <w:color w:val="002060"/>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br/>
              <w:t>57% (in 2010)</w:t>
            </w:r>
          </w:p>
          <w:p w:rsidR="00AF1291" w:rsidRPr="008539B9" w:rsidRDefault="00AF1291" w:rsidP="007C0423">
            <w:pPr>
              <w:rPr>
                <w:rFonts w:cs="Arial"/>
                <w:sz w:val="16"/>
                <w:szCs w:val="16"/>
              </w:rPr>
            </w:pPr>
          </w:p>
        </w:tc>
        <w:tc>
          <w:tcPr>
            <w:tcW w:w="915" w:type="pct"/>
            <w:gridSpan w:val="2"/>
            <w:tcBorders>
              <w:bottom w:val="single" w:sz="4" w:space="0" w:color="auto"/>
            </w:tcBorders>
            <w:shd w:val="clear" w:color="auto" w:fill="auto"/>
            <w:tcMar>
              <w:top w:w="110" w:type="dxa"/>
            </w:tcMar>
          </w:tcPr>
          <w:p w:rsidR="00AF1291" w:rsidRPr="008539B9" w:rsidRDefault="00AF1291" w:rsidP="007C0423">
            <w:pPr>
              <w:rPr>
                <w:rFonts w:cs="Arial"/>
                <w:sz w:val="16"/>
                <w:szCs w:val="16"/>
              </w:rPr>
            </w:pPr>
            <w:r w:rsidRPr="008539B9">
              <w:rPr>
                <w:rFonts w:cs="Arial"/>
                <w:sz w:val="16"/>
                <w:szCs w:val="16"/>
              </w:rPr>
              <w:t>40% (in 2013)</w:t>
            </w:r>
          </w:p>
        </w:tc>
        <w:tc>
          <w:tcPr>
            <w:tcW w:w="1370" w:type="pct"/>
            <w:gridSpan w:val="2"/>
            <w:tcBorders>
              <w:bottom w:val="single" w:sz="4" w:space="0" w:color="auto"/>
            </w:tcBorders>
            <w:shd w:val="clear" w:color="auto" w:fill="FFFFFF"/>
            <w:tcMar>
              <w:top w:w="110" w:type="dxa"/>
            </w:tcMar>
          </w:tcPr>
          <w:p w:rsidR="00AF1291" w:rsidRPr="008539B9" w:rsidRDefault="00AF1291" w:rsidP="007C0423">
            <w:pPr>
              <w:rPr>
                <w:rFonts w:cs="Arial"/>
                <w:sz w:val="16"/>
                <w:szCs w:val="16"/>
                <w:lang w:bidi="th-TH"/>
              </w:rPr>
            </w:pPr>
            <w:r w:rsidRPr="008539B9">
              <w:rPr>
                <w:rFonts w:cs="Arial"/>
                <w:sz w:val="16"/>
                <w:szCs w:val="16"/>
                <w:lang w:bidi="th-TH"/>
              </w:rPr>
              <w:t>62% (2012)</w:t>
            </w:r>
          </w:p>
          <w:p w:rsidR="00AF1291" w:rsidRPr="008539B9" w:rsidRDefault="00AF1291" w:rsidP="007C0423">
            <w:pPr>
              <w:rPr>
                <w:rFonts w:cs="Arial"/>
                <w:sz w:val="16"/>
                <w:szCs w:val="16"/>
              </w:rPr>
            </w:pPr>
            <w:r w:rsidRPr="008539B9">
              <w:rPr>
                <w:rFonts w:cs="Arial"/>
                <w:sz w:val="16"/>
                <w:szCs w:val="16"/>
                <w:lang w:bidi="th-TH"/>
              </w:rPr>
              <w:t>61.85% (2013)</w:t>
            </w:r>
          </w:p>
        </w:tc>
        <w:tc>
          <w:tcPr>
            <w:tcW w:w="600" w:type="pct"/>
            <w:tcBorders>
              <w:bottom w:val="single" w:sz="4" w:space="0" w:color="auto"/>
            </w:tcBorders>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FF0000"/>
                <w:sz w:val="16"/>
                <w:szCs w:val="16"/>
              </w:rPr>
              <w:t>Not</w:t>
            </w:r>
            <w:r w:rsidRPr="008539B9">
              <w:rPr>
                <w:rFonts w:cs="Arial"/>
                <w:bCs/>
                <w:color w:val="FF0000"/>
                <w:sz w:val="16"/>
                <w:szCs w:val="16"/>
              </w:rPr>
              <w:br/>
              <w:t>Achieved</w:t>
            </w:r>
            <w:r w:rsidRPr="008539B9" w:rsidDel="008F5063">
              <w:rPr>
                <w:rStyle w:val="Style5"/>
                <w:rFonts w:ascii="Arial" w:hAnsi="Arial" w:cs="Arial"/>
                <w:b/>
                <w:color w:val="FF0000"/>
                <w:sz w:val="16"/>
                <w:szCs w:val="16"/>
              </w:rPr>
              <w:t xml:space="preserve"> </w:t>
            </w:r>
          </w:p>
        </w:tc>
      </w:tr>
      <w:tr w:rsidR="00AF1291" w:rsidRPr="008539B9" w:rsidTr="007C0423">
        <w:trPr>
          <w:cantSplit/>
        </w:trPr>
        <w:tc>
          <w:tcPr>
            <w:tcW w:w="5000" w:type="pct"/>
            <w:gridSpan w:val="9"/>
            <w:tcBorders>
              <w:top w:val="single" w:sz="4" w:space="0" w:color="auto"/>
              <w:bottom w:val="single" w:sz="4" w:space="0" w:color="auto"/>
            </w:tcBorders>
            <w:shd w:val="clear" w:color="auto" w:fill="CCFFFF"/>
            <w:vAlign w:val="center"/>
          </w:tcPr>
          <w:p w:rsidR="00AF1291" w:rsidRPr="008539B9" w:rsidRDefault="00AF1291" w:rsidP="007C0423">
            <w:pPr>
              <w:keepNext/>
              <w:keepLines/>
              <w:tabs>
                <w:tab w:val="left" w:pos="1452"/>
              </w:tabs>
              <w:spacing w:before="120" w:after="120"/>
              <w:ind w:left="1452" w:hanging="1452"/>
              <w:rPr>
                <w:rFonts w:cs="Arial"/>
                <w:b/>
                <w:bCs/>
                <w:sz w:val="16"/>
                <w:szCs w:val="16"/>
              </w:rPr>
            </w:pPr>
            <w:r w:rsidRPr="008539B9">
              <w:rPr>
                <w:rFonts w:cs="Arial"/>
                <w:b/>
                <w:bCs/>
                <w:sz w:val="16"/>
                <w:szCs w:val="16"/>
              </w:rPr>
              <w:lastRenderedPageBreak/>
              <w:t>Expected Result:</w:t>
            </w:r>
            <w:r w:rsidRPr="008539B9">
              <w:rPr>
                <w:rFonts w:cs="Arial"/>
                <w:b/>
                <w:bCs/>
                <w:sz w:val="16"/>
                <w:szCs w:val="16"/>
              </w:rPr>
              <w:tab/>
            </w:r>
            <w:r w:rsidRPr="008539B9">
              <w:rPr>
                <w:rFonts w:cs="Arial"/>
                <w:sz w:val="16"/>
                <w:szCs w:val="16"/>
              </w:rPr>
              <w:t xml:space="preserve">Better administration of the </w:t>
            </w:r>
            <w:r w:rsidR="00601859">
              <w:rPr>
                <w:rFonts w:cs="Arial"/>
                <w:sz w:val="16"/>
                <w:szCs w:val="16"/>
              </w:rPr>
              <w:t>Hague System</w:t>
            </w:r>
          </w:p>
        </w:tc>
      </w:tr>
      <w:tr w:rsidR="00AF1291" w:rsidRPr="008539B9" w:rsidTr="000B2E9F">
        <w:trPr>
          <w:cantSplit/>
        </w:trPr>
        <w:tc>
          <w:tcPr>
            <w:tcW w:w="1063" w:type="pct"/>
            <w:gridSpan w:val="2"/>
            <w:tcBorders>
              <w:top w:val="single" w:sz="4" w:space="0" w:color="auto"/>
            </w:tcBorders>
            <w:shd w:val="clear" w:color="auto" w:fill="auto"/>
            <w:vAlign w:val="center"/>
          </w:tcPr>
          <w:p w:rsidR="00AF1291" w:rsidRPr="008539B9" w:rsidRDefault="00AF1291" w:rsidP="007C0423">
            <w:pPr>
              <w:keepNext/>
              <w:keepLines/>
              <w:rPr>
                <w:rFonts w:cs="Arial"/>
                <w:sz w:val="16"/>
                <w:szCs w:val="16"/>
              </w:rPr>
            </w:pPr>
            <w:r w:rsidRPr="008539B9">
              <w:rPr>
                <w:rFonts w:cs="Arial"/>
                <w:b/>
                <w:bCs/>
                <w:sz w:val="16"/>
                <w:szCs w:val="16"/>
              </w:rPr>
              <w:t>Performance Indicators</w:t>
            </w:r>
          </w:p>
        </w:tc>
        <w:tc>
          <w:tcPr>
            <w:tcW w:w="984" w:type="pct"/>
            <w:tcBorders>
              <w:top w:val="single" w:sz="4" w:space="0" w:color="auto"/>
            </w:tcBorders>
            <w:shd w:val="clear" w:color="auto" w:fill="auto"/>
            <w:vAlign w:val="center"/>
          </w:tcPr>
          <w:p w:rsidR="00AF1291" w:rsidRPr="008539B9" w:rsidRDefault="00AF1291" w:rsidP="007C0423">
            <w:pPr>
              <w:keepNext/>
              <w:keepLines/>
              <w:rPr>
                <w:rFonts w:cs="Arial"/>
                <w:b/>
                <w:bCs/>
                <w:sz w:val="16"/>
                <w:szCs w:val="16"/>
              </w:rPr>
            </w:pPr>
            <w:r w:rsidRPr="008539B9">
              <w:rPr>
                <w:rFonts w:cs="Arial"/>
                <w:b/>
                <w:bCs/>
                <w:sz w:val="16"/>
                <w:szCs w:val="16"/>
              </w:rPr>
              <w:t>Baselines</w:t>
            </w:r>
          </w:p>
        </w:tc>
        <w:tc>
          <w:tcPr>
            <w:tcW w:w="983" w:type="pct"/>
            <w:gridSpan w:val="3"/>
            <w:tcBorders>
              <w:top w:val="single" w:sz="4" w:space="0" w:color="auto"/>
            </w:tcBorders>
            <w:shd w:val="clear" w:color="auto" w:fill="auto"/>
            <w:tcMar>
              <w:top w:w="110" w:type="dxa"/>
            </w:tcMar>
            <w:vAlign w:val="center"/>
          </w:tcPr>
          <w:p w:rsidR="00AF1291" w:rsidRPr="008539B9" w:rsidRDefault="00AF1291" w:rsidP="007C0423">
            <w:pPr>
              <w:keepNext/>
              <w:keepLines/>
              <w:rPr>
                <w:rFonts w:cs="Arial"/>
                <w:b/>
                <w:sz w:val="16"/>
                <w:szCs w:val="16"/>
              </w:rPr>
            </w:pPr>
            <w:r w:rsidRPr="008539B9">
              <w:rPr>
                <w:rFonts w:cs="Arial"/>
                <w:b/>
                <w:sz w:val="16"/>
                <w:szCs w:val="16"/>
              </w:rPr>
              <w:t>Target</w:t>
            </w:r>
            <w:r w:rsidR="00582788" w:rsidRPr="008539B9">
              <w:rPr>
                <w:rFonts w:cs="Arial"/>
                <w:b/>
                <w:sz w:val="16"/>
                <w:szCs w:val="16"/>
              </w:rPr>
              <w:t>s</w:t>
            </w:r>
          </w:p>
        </w:tc>
        <w:tc>
          <w:tcPr>
            <w:tcW w:w="1370" w:type="pct"/>
            <w:gridSpan w:val="2"/>
            <w:tcBorders>
              <w:top w:val="single" w:sz="4" w:space="0" w:color="auto"/>
            </w:tcBorders>
            <w:shd w:val="clear" w:color="auto" w:fill="FFFFFF"/>
            <w:tcMar>
              <w:top w:w="110" w:type="dxa"/>
            </w:tcMar>
            <w:vAlign w:val="center"/>
          </w:tcPr>
          <w:p w:rsidR="00AF1291" w:rsidRPr="008539B9" w:rsidRDefault="00AF1291" w:rsidP="007C0423">
            <w:pPr>
              <w:keepNext/>
              <w:keepLines/>
              <w:rPr>
                <w:rFonts w:cs="Arial"/>
                <w:sz w:val="16"/>
                <w:szCs w:val="16"/>
              </w:rPr>
            </w:pPr>
            <w:r w:rsidRPr="008539B9">
              <w:rPr>
                <w:rFonts w:cs="Arial"/>
                <w:b/>
                <w:bCs/>
                <w:sz w:val="16"/>
                <w:szCs w:val="16"/>
              </w:rPr>
              <w:t>Performance Data</w:t>
            </w:r>
          </w:p>
        </w:tc>
        <w:tc>
          <w:tcPr>
            <w:tcW w:w="600" w:type="pct"/>
            <w:tcBorders>
              <w:top w:val="single" w:sz="4" w:space="0" w:color="auto"/>
            </w:tcBorders>
            <w:shd w:val="clear" w:color="auto" w:fill="auto"/>
            <w:tcMar>
              <w:top w:w="110" w:type="dxa"/>
            </w:tcMar>
            <w:vAlign w:val="center"/>
          </w:tcPr>
          <w:p w:rsidR="00AF1291" w:rsidRPr="008539B9" w:rsidRDefault="00AF1291" w:rsidP="007C0423">
            <w:pPr>
              <w:keepNext/>
              <w:keepLines/>
              <w:jc w:val="center"/>
              <w:rPr>
                <w:rFonts w:cs="Arial"/>
                <w:b/>
                <w:bCs/>
                <w:sz w:val="16"/>
                <w:szCs w:val="16"/>
              </w:rPr>
            </w:pPr>
            <w:r w:rsidRPr="008539B9">
              <w:rPr>
                <w:rFonts w:cs="Arial"/>
                <w:b/>
                <w:bCs/>
                <w:sz w:val="16"/>
                <w:szCs w:val="16"/>
              </w:rPr>
              <w:t>TLS</w:t>
            </w:r>
          </w:p>
        </w:tc>
      </w:tr>
      <w:tr w:rsidR="00AF1291" w:rsidRPr="008539B9" w:rsidTr="000B2E9F">
        <w:trPr>
          <w:cantSplit/>
        </w:trPr>
        <w:tc>
          <w:tcPr>
            <w:tcW w:w="1063" w:type="pct"/>
            <w:gridSpan w:val="2"/>
            <w:shd w:val="clear" w:color="auto" w:fill="auto"/>
          </w:tcPr>
          <w:p w:rsidR="00AF1291" w:rsidRPr="008539B9" w:rsidRDefault="00AF1291" w:rsidP="007C0423">
            <w:pPr>
              <w:keepNext/>
              <w:keepLines/>
              <w:rPr>
                <w:rFonts w:cs="Arial"/>
                <w:sz w:val="16"/>
                <w:szCs w:val="16"/>
              </w:rPr>
            </w:pPr>
            <w:r w:rsidRPr="008539B9">
              <w:rPr>
                <w:rFonts w:cs="Arial"/>
                <w:color w:val="000000"/>
                <w:sz w:val="16"/>
                <w:szCs w:val="16"/>
              </w:rPr>
              <w:t>Predominance</w:t>
            </w:r>
            <w:r w:rsidRPr="008539B9">
              <w:rPr>
                <w:rFonts w:cs="Arial"/>
                <w:sz w:val="16"/>
                <w:szCs w:val="16"/>
              </w:rPr>
              <w:t xml:space="preserve"> of the Geneva Act in the system as a whole system</w:t>
            </w:r>
          </w:p>
        </w:tc>
        <w:tc>
          <w:tcPr>
            <w:tcW w:w="984" w:type="pct"/>
            <w:shd w:val="clear" w:color="auto" w:fill="auto"/>
          </w:tcPr>
          <w:p w:rsidR="00AF1291" w:rsidRPr="008539B9" w:rsidRDefault="00AF1291" w:rsidP="007C0423">
            <w:pPr>
              <w:keepNext/>
              <w:keepLines/>
              <w:rPr>
                <w:rFonts w:cs="Arial"/>
                <w:i/>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4</w:t>
            </w:r>
            <w:r w:rsidR="0007055D">
              <w:rPr>
                <w:rFonts w:cs="Arial"/>
                <w:color w:val="002060"/>
                <w:sz w:val="16"/>
                <w:szCs w:val="16"/>
              </w:rPr>
              <w:t>3</w:t>
            </w:r>
            <w:r w:rsidRPr="008539B9">
              <w:rPr>
                <w:rFonts w:cs="Arial"/>
                <w:color w:val="002060"/>
                <w:sz w:val="16"/>
                <w:szCs w:val="16"/>
              </w:rPr>
              <w:t xml:space="preserve"> Contracting </w:t>
            </w:r>
            <w:r w:rsidR="0007055D">
              <w:rPr>
                <w:rFonts w:cs="Arial"/>
                <w:color w:val="002060"/>
                <w:sz w:val="16"/>
                <w:szCs w:val="16"/>
              </w:rPr>
              <w:t>Parties to the Geneva Act and 17</w:t>
            </w:r>
            <w:r w:rsidRPr="008539B9">
              <w:rPr>
                <w:rFonts w:cs="Arial"/>
                <w:color w:val="002060"/>
                <w:sz w:val="16"/>
                <w:szCs w:val="16"/>
              </w:rPr>
              <w:t xml:space="preserve"> Contracting Parties bound by other Acts only in 201</w:t>
            </w:r>
            <w:r w:rsidR="0007055D">
              <w:rPr>
                <w:rFonts w:cs="Arial"/>
                <w:color w:val="002060"/>
                <w:sz w:val="16"/>
                <w:szCs w:val="16"/>
              </w:rPr>
              <w:t>1</w:t>
            </w:r>
          </w:p>
          <w:p w:rsidR="00AF1291" w:rsidRPr="00724EA5" w:rsidRDefault="00AF1291" w:rsidP="007C0423">
            <w:pPr>
              <w:keepNext/>
              <w:keepLines/>
              <w:rPr>
                <w:rFonts w:cs="Arial"/>
                <w:i/>
                <w:sz w:val="8"/>
                <w:szCs w:val="8"/>
              </w:rPr>
            </w:pPr>
          </w:p>
          <w:p w:rsidR="00AF1291" w:rsidRPr="008539B9" w:rsidRDefault="00AF1291" w:rsidP="007C0423">
            <w:pPr>
              <w:keepNext/>
              <w:keepLines/>
              <w:rPr>
                <w:rFonts w:cs="Arial"/>
                <w:sz w:val="16"/>
                <w:szCs w:val="16"/>
              </w:rPr>
            </w:pPr>
            <w:r w:rsidRPr="00724EA5">
              <w:rPr>
                <w:rFonts w:cs="Arial"/>
                <w:i/>
                <w:sz w:val="16"/>
                <w:szCs w:val="16"/>
              </w:rPr>
              <w:t>Original Baseline P&amp;B 2012/13:</w:t>
            </w:r>
            <w:r w:rsidRPr="00724EA5">
              <w:rPr>
                <w:rFonts w:cs="Arial"/>
                <w:sz w:val="16"/>
                <w:szCs w:val="16"/>
              </w:rPr>
              <w:br/>
              <w:t>39 Contracting Parties to the Geneva Act and 18 Contracting Parties bound by other Acts only in 2010</w:t>
            </w:r>
          </w:p>
        </w:tc>
        <w:tc>
          <w:tcPr>
            <w:tcW w:w="983" w:type="pct"/>
            <w:gridSpan w:val="3"/>
            <w:shd w:val="clear" w:color="auto" w:fill="auto"/>
            <w:tcMar>
              <w:top w:w="110" w:type="dxa"/>
            </w:tcMar>
          </w:tcPr>
          <w:p w:rsidR="00AF1291" w:rsidRPr="008539B9" w:rsidRDefault="00AF1291" w:rsidP="007C0423">
            <w:pPr>
              <w:keepNext/>
              <w:keepLines/>
              <w:autoSpaceDE w:val="0"/>
              <w:autoSpaceDN w:val="0"/>
              <w:adjustRightInd w:val="0"/>
              <w:rPr>
                <w:rFonts w:cs="Arial"/>
                <w:sz w:val="16"/>
                <w:szCs w:val="16"/>
              </w:rPr>
            </w:pPr>
            <w:r w:rsidRPr="008539B9">
              <w:rPr>
                <w:rFonts w:cs="Arial"/>
                <w:sz w:val="16"/>
                <w:szCs w:val="16"/>
              </w:rPr>
              <w:t>55 Contracting Parties to the Geneva Act , 1934 Act terminated and no countries bound only by the 1960 Act outside the EU or OAPI</w:t>
            </w:r>
          </w:p>
        </w:tc>
        <w:tc>
          <w:tcPr>
            <w:tcW w:w="1290" w:type="pct"/>
            <w:shd w:val="clear" w:color="auto" w:fill="FFFFFF"/>
            <w:tcMar>
              <w:top w:w="110" w:type="dxa"/>
            </w:tcMar>
          </w:tcPr>
          <w:p w:rsidR="00AF1291" w:rsidRPr="008539B9" w:rsidRDefault="00AF1291" w:rsidP="007C0423">
            <w:pPr>
              <w:rPr>
                <w:rFonts w:cs="Arial"/>
                <w:sz w:val="16"/>
                <w:szCs w:val="16"/>
              </w:rPr>
            </w:pPr>
            <w:r w:rsidRPr="008539B9">
              <w:rPr>
                <w:rFonts w:cs="Arial"/>
                <w:sz w:val="16"/>
                <w:szCs w:val="16"/>
              </w:rPr>
              <w:t>46 Contracting Parties to the Geneva Act (Montenegro, Tajikistan and Tunisia in 2012; Brunei Darussalam in 2013)</w:t>
            </w:r>
            <w:r w:rsidR="000A26B8">
              <w:rPr>
                <w:rFonts w:cs="Arial"/>
                <w:sz w:val="16"/>
                <w:szCs w:val="16"/>
              </w:rPr>
              <w:t>.</w:t>
            </w:r>
            <w:r w:rsidRPr="008539B9">
              <w:rPr>
                <w:rFonts w:cs="Arial"/>
                <w:sz w:val="16"/>
                <w:szCs w:val="16"/>
              </w:rPr>
              <w:t xml:space="preserve">  </w:t>
            </w:r>
          </w:p>
          <w:p w:rsidR="00AF1291" w:rsidRPr="00724EA5" w:rsidRDefault="00AF1291" w:rsidP="007C0423">
            <w:pPr>
              <w:rPr>
                <w:rFonts w:cs="Arial"/>
                <w:sz w:val="8"/>
                <w:szCs w:val="8"/>
              </w:rPr>
            </w:pPr>
          </w:p>
          <w:p w:rsidR="00AF1291" w:rsidRPr="008539B9" w:rsidRDefault="00AF1291" w:rsidP="007C0423">
            <w:pPr>
              <w:rPr>
                <w:rFonts w:cs="Arial"/>
                <w:sz w:val="16"/>
                <w:szCs w:val="16"/>
              </w:rPr>
            </w:pPr>
            <w:r w:rsidRPr="008539B9">
              <w:rPr>
                <w:rFonts w:cs="Arial"/>
                <w:sz w:val="16"/>
                <w:szCs w:val="16"/>
              </w:rPr>
              <w:t>As at December 31, 2013, three consents were still required for the termination of the 1934 Act, and four Contracting Parties outside the EU and OAPI remained bound by the 1960 Act</w:t>
            </w:r>
            <w:r w:rsidR="000A26B8">
              <w:rPr>
                <w:rFonts w:cs="Arial"/>
                <w:sz w:val="16"/>
                <w:szCs w:val="16"/>
              </w:rPr>
              <w:t>.</w:t>
            </w:r>
            <w:r w:rsidRPr="008539B9">
              <w:rPr>
                <w:rFonts w:cs="Arial"/>
                <w:sz w:val="16"/>
                <w:szCs w:val="16"/>
              </w:rPr>
              <w:t xml:space="preserve"> </w:t>
            </w:r>
          </w:p>
        </w:tc>
        <w:tc>
          <w:tcPr>
            <w:tcW w:w="680" w:type="pct"/>
            <w:gridSpan w:val="2"/>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E36C0A" w:themeColor="accent6" w:themeShade="BF"/>
                <w:sz w:val="16"/>
                <w:szCs w:val="16"/>
              </w:rPr>
              <w:t>Partially</w:t>
            </w:r>
            <w:r w:rsidRPr="008539B9">
              <w:rPr>
                <w:rFonts w:cs="Arial"/>
                <w:bCs/>
                <w:color w:val="E36C0A" w:themeColor="accent6" w:themeShade="BF"/>
                <w:sz w:val="16"/>
                <w:szCs w:val="16"/>
              </w:rPr>
              <w:br/>
              <w:t>Achieved</w:t>
            </w:r>
          </w:p>
        </w:tc>
      </w:tr>
      <w:tr w:rsidR="00AF1291" w:rsidRPr="008539B9" w:rsidTr="000B2E9F">
        <w:trPr>
          <w:cantSplit/>
        </w:trPr>
        <w:tc>
          <w:tcPr>
            <w:tcW w:w="1063" w:type="pct"/>
            <w:gridSpan w:val="2"/>
            <w:shd w:val="clear" w:color="auto" w:fill="auto"/>
          </w:tcPr>
          <w:p w:rsidR="00AF1291" w:rsidRPr="008539B9" w:rsidRDefault="00AF1291" w:rsidP="007C0423">
            <w:pPr>
              <w:rPr>
                <w:rFonts w:cs="Arial"/>
                <w:sz w:val="16"/>
                <w:szCs w:val="16"/>
              </w:rPr>
            </w:pPr>
            <w:r w:rsidRPr="008539B9">
              <w:rPr>
                <w:rFonts w:cs="Arial"/>
                <w:sz w:val="16"/>
                <w:szCs w:val="16"/>
              </w:rPr>
              <w:t>Pen</w:t>
            </w:r>
            <w:r w:rsidRPr="008539B9">
              <w:rPr>
                <w:rFonts w:cs="Arial"/>
                <w:color w:val="000000"/>
                <w:sz w:val="16"/>
                <w:szCs w:val="16"/>
              </w:rPr>
              <w:t>dency for a regular non-deferr</w:t>
            </w:r>
            <w:r w:rsidRPr="008539B9">
              <w:rPr>
                <w:rFonts w:cs="Arial"/>
                <w:sz w:val="16"/>
                <w:szCs w:val="16"/>
              </w:rPr>
              <w:t xml:space="preserve">ed application, until publication </w:t>
            </w:r>
          </w:p>
        </w:tc>
        <w:tc>
          <w:tcPr>
            <w:tcW w:w="984" w:type="pct"/>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Four weeks</w:t>
            </w:r>
          </w:p>
          <w:p w:rsidR="00AF1291" w:rsidRPr="008539B9" w:rsidRDefault="00AF1291" w:rsidP="007C0423">
            <w:pPr>
              <w:rPr>
                <w:rFonts w:cs="Arial"/>
                <w:i/>
                <w:color w:val="002060"/>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t xml:space="preserve"> Nine weeks</w:t>
            </w:r>
          </w:p>
        </w:tc>
        <w:tc>
          <w:tcPr>
            <w:tcW w:w="983" w:type="pct"/>
            <w:gridSpan w:val="3"/>
            <w:shd w:val="clear" w:color="auto" w:fill="auto"/>
            <w:tcMar>
              <w:top w:w="110" w:type="dxa"/>
            </w:tcMar>
          </w:tcPr>
          <w:p w:rsidR="00AF1291" w:rsidRPr="008539B9" w:rsidRDefault="00AF1291" w:rsidP="007C0423">
            <w:pPr>
              <w:rPr>
                <w:rFonts w:cs="Arial"/>
                <w:sz w:val="16"/>
                <w:szCs w:val="16"/>
              </w:rPr>
            </w:pPr>
            <w:r w:rsidRPr="008539B9">
              <w:rPr>
                <w:rFonts w:cs="Arial"/>
                <w:sz w:val="16"/>
                <w:szCs w:val="16"/>
              </w:rPr>
              <w:t>Three weeks</w:t>
            </w:r>
          </w:p>
        </w:tc>
        <w:tc>
          <w:tcPr>
            <w:tcW w:w="1290" w:type="pct"/>
            <w:shd w:val="clear" w:color="auto" w:fill="FFFFFF"/>
            <w:tcMar>
              <w:top w:w="110" w:type="dxa"/>
            </w:tcMar>
          </w:tcPr>
          <w:p w:rsidR="00AF1291" w:rsidRPr="008539B9" w:rsidRDefault="00AF1291" w:rsidP="007C0423">
            <w:pPr>
              <w:rPr>
                <w:rFonts w:cs="Arial"/>
                <w:sz w:val="16"/>
                <w:szCs w:val="16"/>
                <w:lang w:bidi="th-TH"/>
              </w:rPr>
            </w:pPr>
            <w:r w:rsidRPr="008539B9">
              <w:rPr>
                <w:rFonts w:cs="Arial"/>
                <w:sz w:val="16"/>
                <w:szCs w:val="16"/>
                <w:lang w:bidi="th-TH"/>
              </w:rPr>
              <w:t>Four weeks (2012)</w:t>
            </w:r>
          </w:p>
          <w:p w:rsidR="00AF1291" w:rsidRPr="008539B9" w:rsidRDefault="00AF1291" w:rsidP="007C0423">
            <w:pPr>
              <w:rPr>
                <w:rFonts w:cs="Arial"/>
                <w:sz w:val="16"/>
                <w:szCs w:val="16"/>
              </w:rPr>
            </w:pPr>
            <w:r w:rsidRPr="008539B9">
              <w:rPr>
                <w:rFonts w:cs="Arial"/>
                <w:sz w:val="16"/>
                <w:szCs w:val="16"/>
                <w:lang w:bidi="th-TH"/>
              </w:rPr>
              <w:t>Two weeks (2013)</w:t>
            </w:r>
          </w:p>
        </w:tc>
        <w:tc>
          <w:tcPr>
            <w:tcW w:w="680" w:type="pct"/>
            <w:gridSpan w:val="2"/>
            <w:shd w:val="clear" w:color="auto" w:fill="auto"/>
            <w:tcMar>
              <w:top w:w="110" w:type="dxa"/>
            </w:tcMar>
          </w:tcPr>
          <w:p w:rsidR="00AF1291" w:rsidRPr="008539B9" w:rsidRDefault="00AF1291" w:rsidP="007C0423">
            <w:pPr>
              <w:keepNext/>
              <w:keepLines/>
              <w:jc w:val="center"/>
              <w:rPr>
                <w:rFonts w:cs="Arial"/>
                <w:b/>
                <w:bCs/>
                <w:color w:val="00B050"/>
                <w:sz w:val="16"/>
                <w:szCs w:val="16"/>
              </w:rPr>
            </w:pPr>
            <w:r w:rsidRPr="008539B9">
              <w:rPr>
                <w:rFonts w:cs="Arial"/>
                <w:bCs/>
                <w:color w:val="008000"/>
                <w:sz w:val="16"/>
                <w:szCs w:val="16"/>
              </w:rPr>
              <w:t>Fully</w:t>
            </w:r>
            <w:r w:rsidRPr="008539B9">
              <w:rPr>
                <w:rFonts w:cs="Arial"/>
                <w:bCs/>
                <w:color w:val="008000"/>
                <w:sz w:val="16"/>
                <w:szCs w:val="16"/>
              </w:rPr>
              <w:br/>
              <w:t>Achieved</w:t>
            </w:r>
          </w:p>
        </w:tc>
      </w:tr>
      <w:tr w:rsidR="00AF1291" w:rsidRPr="008539B9" w:rsidTr="000B2E9F">
        <w:trPr>
          <w:cantSplit/>
        </w:trPr>
        <w:tc>
          <w:tcPr>
            <w:tcW w:w="1063" w:type="pct"/>
            <w:gridSpan w:val="2"/>
            <w:shd w:val="clear" w:color="auto" w:fill="auto"/>
          </w:tcPr>
          <w:p w:rsidR="00AF1291" w:rsidRPr="008539B9" w:rsidRDefault="00AF1291" w:rsidP="007C0423">
            <w:pPr>
              <w:rPr>
                <w:rFonts w:cs="Arial"/>
                <w:sz w:val="16"/>
                <w:szCs w:val="16"/>
              </w:rPr>
            </w:pPr>
            <w:r w:rsidRPr="008539B9">
              <w:rPr>
                <w:rFonts w:cs="Arial"/>
                <w:sz w:val="16"/>
                <w:szCs w:val="16"/>
              </w:rPr>
              <w:t>No. of fully automated processes</w:t>
            </w:r>
          </w:p>
        </w:tc>
        <w:tc>
          <w:tcPr>
            <w:tcW w:w="984" w:type="pct"/>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r w:rsidRPr="008539B9">
              <w:rPr>
                <w:rFonts w:cs="Arial"/>
                <w:color w:val="002060"/>
                <w:sz w:val="16"/>
                <w:szCs w:val="16"/>
              </w:rPr>
              <w:t>one</w:t>
            </w:r>
          </w:p>
          <w:p w:rsidR="00AF1291" w:rsidRPr="008539B9" w:rsidRDefault="00AF1291" w:rsidP="007C0423">
            <w:pPr>
              <w:rPr>
                <w:rFonts w:cs="Arial"/>
                <w:i/>
                <w:color w:val="002060"/>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t xml:space="preserve">  Zero</w:t>
            </w:r>
          </w:p>
        </w:tc>
        <w:tc>
          <w:tcPr>
            <w:tcW w:w="983" w:type="pct"/>
            <w:gridSpan w:val="3"/>
            <w:shd w:val="clear" w:color="auto" w:fill="auto"/>
            <w:tcMar>
              <w:top w:w="110" w:type="dxa"/>
            </w:tcMar>
          </w:tcPr>
          <w:p w:rsidR="00AF1291" w:rsidRPr="008539B9" w:rsidRDefault="00AF1291" w:rsidP="007C0423">
            <w:pPr>
              <w:rPr>
                <w:rFonts w:cs="Arial"/>
                <w:sz w:val="16"/>
                <w:szCs w:val="16"/>
              </w:rPr>
            </w:pPr>
            <w:r w:rsidRPr="008539B9">
              <w:rPr>
                <w:rFonts w:cs="Arial"/>
                <w:sz w:val="16"/>
                <w:szCs w:val="16"/>
              </w:rPr>
              <w:t>Two</w:t>
            </w:r>
            <w:r w:rsidRPr="008539B9" w:rsidDel="00194030">
              <w:rPr>
                <w:rFonts w:cs="Arial"/>
                <w:sz w:val="16"/>
                <w:szCs w:val="16"/>
              </w:rPr>
              <w:t xml:space="preserve"> </w:t>
            </w:r>
          </w:p>
        </w:tc>
        <w:tc>
          <w:tcPr>
            <w:tcW w:w="1290" w:type="pct"/>
            <w:shd w:val="clear" w:color="auto" w:fill="FFFFFF"/>
            <w:tcMar>
              <w:top w:w="110" w:type="dxa"/>
            </w:tcMar>
          </w:tcPr>
          <w:p w:rsidR="00AF1291" w:rsidRPr="008539B9" w:rsidRDefault="00AF1291" w:rsidP="007C0423">
            <w:pPr>
              <w:rPr>
                <w:rFonts w:cs="Arial"/>
                <w:sz w:val="16"/>
                <w:szCs w:val="16"/>
              </w:rPr>
            </w:pPr>
            <w:r w:rsidRPr="008539B9">
              <w:rPr>
                <w:rFonts w:cs="Arial"/>
                <w:sz w:val="16"/>
                <w:szCs w:val="16"/>
                <w:lang w:bidi="th-TH"/>
              </w:rPr>
              <w:t>Two (renewal and grant of protection)</w:t>
            </w:r>
          </w:p>
        </w:tc>
        <w:tc>
          <w:tcPr>
            <w:tcW w:w="680" w:type="pct"/>
            <w:gridSpan w:val="2"/>
            <w:shd w:val="clear" w:color="auto" w:fill="auto"/>
            <w:tcMar>
              <w:top w:w="110" w:type="dxa"/>
            </w:tcMar>
          </w:tcPr>
          <w:p w:rsidR="00AF1291" w:rsidRPr="008539B9" w:rsidRDefault="00AF1291" w:rsidP="007C0423">
            <w:pPr>
              <w:keepNext/>
              <w:keepLines/>
              <w:jc w:val="center"/>
              <w:rPr>
                <w:rFonts w:cs="Arial"/>
                <w:b/>
                <w:bCs/>
                <w:color w:val="808080"/>
                <w:sz w:val="16"/>
                <w:szCs w:val="16"/>
              </w:rPr>
            </w:pPr>
            <w:r w:rsidRPr="008539B9">
              <w:rPr>
                <w:rFonts w:cs="Arial"/>
                <w:bCs/>
                <w:color w:val="008000"/>
                <w:sz w:val="16"/>
                <w:szCs w:val="16"/>
              </w:rPr>
              <w:t>Fully</w:t>
            </w:r>
            <w:r w:rsidRPr="008539B9">
              <w:rPr>
                <w:rFonts w:cs="Arial"/>
                <w:bCs/>
                <w:color w:val="008000"/>
                <w:sz w:val="16"/>
                <w:szCs w:val="16"/>
              </w:rPr>
              <w:br/>
              <w:t>Achieved</w:t>
            </w:r>
            <w:r w:rsidRPr="008539B9" w:rsidDel="00194030">
              <w:rPr>
                <w:rStyle w:val="Style5"/>
                <w:rFonts w:ascii="Arial" w:hAnsi="Arial" w:cs="Arial"/>
                <w:b/>
                <w:color w:val="00B050"/>
                <w:sz w:val="16"/>
                <w:szCs w:val="16"/>
              </w:rPr>
              <w:t xml:space="preserve"> </w:t>
            </w:r>
          </w:p>
        </w:tc>
      </w:tr>
      <w:tr w:rsidR="00AF1291" w:rsidRPr="008539B9" w:rsidTr="000B2E9F">
        <w:trPr>
          <w:cantSplit/>
        </w:trPr>
        <w:tc>
          <w:tcPr>
            <w:tcW w:w="1063" w:type="pct"/>
            <w:gridSpan w:val="2"/>
            <w:shd w:val="clear" w:color="auto" w:fill="auto"/>
          </w:tcPr>
          <w:p w:rsidR="00AF1291" w:rsidRPr="008539B9" w:rsidRDefault="00AF1291" w:rsidP="007C0423">
            <w:pPr>
              <w:rPr>
                <w:rFonts w:cs="Arial"/>
                <w:sz w:val="16"/>
                <w:szCs w:val="16"/>
              </w:rPr>
            </w:pPr>
            <w:r w:rsidRPr="008539B9">
              <w:rPr>
                <w:rFonts w:cs="Arial"/>
                <w:sz w:val="16"/>
                <w:szCs w:val="16"/>
              </w:rPr>
              <w:t>% of requests filed through electronic interfaces</w:t>
            </w:r>
          </w:p>
        </w:tc>
        <w:tc>
          <w:tcPr>
            <w:tcW w:w="984" w:type="pct"/>
            <w:shd w:val="clear" w:color="auto" w:fill="auto"/>
          </w:tcPr>
          <w:p w:rsidR="00AF1291" w:rsidRPr="008539B9" w:rsidRDefault="00AF1291" w:rsidP="007C0423">
            <w:pPr>
              <w:rPr>
                <w:rFonts w:cs="Arial"/>
                <w:i/>
                <w:color w:val="002060"/>
                <w:sz w:val="16"/>
                <w:szCs w:val="16"/>
              </w:rPr>
            </w:pPr>
            <w:r w:rsidRPr="008539B9">
              <w:rPr>
                <w:rFonts w:cs="Arial"/>
                <w:i/>
                <w:color w:val="002060"/>
                <w:sz w:val="16"/>
                <w:szCs w:val="16"/>
              </w:rPr>
              <w:t xml:space="preserve">Updated Baseline end 2011:  </w:t>
            </w:r>
          </w:p>
          <w:p w:rsidR="00AF1291" w:rsidRPr="008539B9" w:rsidRDefault="00AF1291" w:rsidP="007C0423">
            <w:pPr>
              <w:rPr>
                <w:rFonts w:cs="Arial"/>
                <w:color w:val="002060"/>
                <w:sz w:val="16"/>
                <w:szCs w:val="16"/>
              </w:rPr>
            </w:pPr>
            <w:r w:rsidRPr="008539B9">
              <w:rPr>
                <w:rFonts w:cs="Arial"/>
                <w:color w:val="002060"/>
                <w:sz w:val="16"/>
                <w:szCs w:val="16"/>
              </w:rPr>
              <w:t>80% of applications</w:t>
            </w:r>
          </w:p>
          <w:p w:rsidR="00AF1291" w:rsidRPr="008539B9" w:rsidRDefault="00AF1291" w:rsidP="007C0423">
            <w:pPr>
              <w:rPr>
                <w:rFonts w:cs="Arial"/>
                <w:i/>
                <w:color w:val="002060"/>
                <w:sz w:val="16"/>
                <w:szCs w:val="16"/>
              </w:rPr>
            </w:pPr>
            <w:r w:rsidRPr="008539B9">
              <w:rPr>
                <w:rFonts w:cs="Arial"/>
                <w:color w:val="002060"/>
                <w:sz w:val="16"/>
                <w:szCs w:val="16"/>
              </w:rPr>
              <w:t>60% of renewals</w:t>
            </w:r>
          </w:p>
          <w:p w:rsidR="00AF1291" w:rsidRPr="008539B9" w:rsidRDefault="00AF1291" w:rsidP="007C0423">
            <w:pPr>
              <w:rPr>
                <w:rFonts w:cs="Arial"/>
                <w:i/>
                <w:color w:val="002060"/>
                <w:sz w:val="8"/>
                <w:szCs w:val="8"/>
              </w:rPr>
            </w:pPr>
          </w:p>
          <w:p w:rsidR="00AF1291" w:rsidRPr="008539B9" w:rsidRDefault="00AF1291" w:rsidP="007C0423">
            <w:pPr>
              <w:rPr>
                <w:rFonts w:cs="Arial"/>
                <w:sz w:val="16"/>
                <w:szCs w:val="16"/>
              </w:rPr>
            </w:pPr>
            <w:r w:rsidRPr="008539B9">
              <w:rPr>
                <w:rFonts w:cs="Arial"/>
                <w:i/>
                <w:sz w:val="16"/>
                <w:szCs w:val="16"/>
              </w:rPr>
              <w:t>Original Baseline P&amp;B 2012/13:</w:t>
            </w:r>
            <w:r w:rsidRPr="008539B9">
              <w:rPr>
                <w:rFonts w:cs="Arial"/>
                <w:sz w:val="16"/>
                <w:szCs w:val="16"/>
              </w:rPr>
              <w:br/>
            </w:r>
            <w:r w:rsidRPr="008539B9">
              <w:rPr>
                <w:rFonts w:cs="Arial"/>
                <w:color w:val="000000"/>
                <w:sz w:val="16"/>
                <w:szCs w:val="16"/>
              </w:rPr>
              <w:t>64% of international applications filed through electronic interfaces in 2010, no other requests going through electronic processes</w:t>
            </w:r>
          </w:p>
        </w:tc>
        <w:tc>
          <w:tcPr>
            <w:tcW w:w="983" w:type="pct"/>
            <w:gridSpan w:val="3"/>
            <w:shd w:val="clear" w:color="auto" w:fill="auto"/>
            <w:tcMar>
              <w:top w:w="110" w:type="dxa"/>
            </w:tcMar>
          </w:tcPr>
          <w:p w:rsidR="00AF1291" w:rsidRPr="008539B9" w:rsidRDefault="00AF1291" w:rsidP="007C0423">
            <w:pPr>
              <w:autoSpaceDE w:val="0"/>
              <w:autoSpaceDN w:val="0"/>
              <w:adjustRightInd w:val="0"/>
              <w:rPr>
                <w:rFonts w:cs="Arial"/>
                <w:sz w:val="16"/>
                <w:szCs w:val="16"/>
              </w:rPr>
            </w:pPr>
            <w:r w:rsidRPr="008539B9">
              <w:rPr>
                <w:rFonts w:cs="Arial"/>
                <w:sz w:val="16"/>
                <w:szCs w:val="16"/>
              </w:rPr>
              <w:t>80% of applications and renewal requests filed electronically</w:t>
            </w:r>
          </w:p>
        </w:tc>
        <w:tc>
          <w:tcPr>
            <w:tcW w:w="1290" w:type="pct"/>
            <w:shd w:val="clear" w:color="auto" w:fill="FFFFFF"/>
            <w:tcMar>
              <w:top w:w="110" w:type="dxa"/>
            </w:tcMar>
          </w:tcPr>
          <w:p w:rsidR="00AF1291" w:rsidRPr="008539B9" w:rsidRDefault="00AF1291" w:rsidP="007C0423">
            <w:pPr>
              <w:rPr>
                <w:rFonts w:cs="Arial"/>
                <w:sz w:val="16"/>
                <w:szCs w:val="16"/>
                <w:lang w:bidi="th-TH"/>
              </w:rPr>
            </w:pPr>
            <w:r w:rsidRPr="008539B9">
              <w:rPr>
                <w:rFonts w:cs="Arial"/>
                <w:sz w:val="16"/>
                <w:szCs w:val="16"/>
                <w:lang w:bidi="th-TH"/>
              </w:rPr>
              <w:t>83% of applications (2012)</w:t>
            </w:r>
          </w:p>
          <w:p w:rsidR="00AF1291" w:rsidRPr="008539B9" w:rsidRDefault="00AF1291" w:rsidP="007C0423">
            <w:pPr>
              <w:rPr>
                <w:rFonts w:cs="Arial"/>
                <w:sz w:val="16"/>
                <w:szCs w:val="16"/>
                <w:lang w:bidi="th-TH"/>
              </w:rPr>
            </w:pPr>
            <w:r w:rsidRPr="008539B9">
              <w:rPr>
                <w:rFonts w:cs="Arial"/>
                <w:sz w:val="16"/>
                <w:szCs w:val="16"/>
                <w:lang w:bidi="th-TH"/>
              </w:rPr>
              <w:t>86% of applications (2013)</w:t>
            </w:r>
          </w:p>
          <w:p w:rsidR="00AF1291" w:rsidRPr="000A26B8" w:rsidRDefault="00AF1291" w:rsidP="007C0423">
            <w:pPr>
              <w:rPr>
                <w:rFonts w:cs="Arial"/>
                <w:sz w:val="8"/>
                <w:szCs w:val="8"/>
                <w:lang w:bidi="th-TH"/>
              </w:rPr>
            </w:pPr>
          </w:p>
          <w:p w:rsidR="00AF1291" w:rsidRPr="008539B9" w:rsidRDefault="00AF1291" w:rsidP="007C0423">
            <w:pPr>
              <w:rPr>
                <w:rFonts w:cs="Arial"/>
                <w:sz w:val="16"/>
                <w:szCs w:val="16"/>
                <w:lang w:bidi="th-TH"/>
              </w:rPr>
            </w:pPr>
            <w:r w:rsidRPr="008539B9">
              <w:rPr>
                <w:rFonts w:cs="Arial"/>
                <w:sz w:val="16"/>
                <w:szCs w:val="16"/>
                <w:lang w:bidi="th-TH"/>
              </w:rPr>
              <w:t xml:space="preserve">54% of renewals (2012) </w:t>
            </w:r>
          </w:p>
          <w:p w:rsidR="00AF1291" w:rsidRPr="008539B9" w:rsidRDefault="00AF1291" w:rsidP="007C0423">
            <w:pPr>
              <w:rPr>
                <w:rFonts w:cs="Arial"/>
                <w:sz w:val="16"/>
                <w:szCs w:val="16"/>
              </w:rPr>
            </w:pPr>
            <w:r w:rsidRPr="008539B9">
              <w:rPr>
                <w:rFonts w:cs="Arial"/>
                <w:sz w:val="16"/>
                <w:szCs w:val="16"/>
                <w:lang w:bidi="th-TH"/>
              </w:rPr>
              <w:t>65% of renewals (2013)</w:t>
            </w:r>
          </w:p>
        </w:tc>
        <w:tc>
          <w:tcPr>
            <w:tcW w:w="680" w:type="pct"/>
            <w:gridSpan w:val="2"/>
            <w:shd w:val="clear" w:color="auto" w:fill="auto"/>
            <w:tcMar>
              <w:top w:w="110" w:type="dxa"/>
            </w:tcMar>
          </w:tcPr>
          <w:p w:rsidR="00AF1291" w:rsidRPr="008539B9" w:rsidRDefault="00AF1291" w:rsidP="007C0423">
            <w:pPr>
              <w:keepNext/>
              <w:keepLines/>
              <w:jc w:val="center"/>
              <w:rPr>
                <w:rFonts w:cs="Arial"/>
                <w:bCs/>
                <w:color w:val="808080"/>
                <w:sz w:val="16"/>
                <w:szCs w:val="16"/>
              </w:rPr>
            </w:pPr>
            <w:r w:rsidRPr="008539B9">
              <w:rPr>
                <w:rFonts w:cs="Arial"/>
                <w:bCs/>
                <w:color w:val="008000"/>
                <w:sz w:val="16"/>
                <w:szCs w:val="16"/>
              </w:rPr>
              <w:t>Fully</w:t>
            </w:r>
            <w:r w:rsidRPr="008539B9">
              <w:rPr>
                <w:rFonts w:cs="Arial"/>
                <w:bCs/>
                <w:color w:val="008000"/>
                <w:sz w:val="16"/>
                <w:szCs w:val="16"/>
              </w:rPr>
              <w:br/>
              <w:t>Achieved</w:t>
            </w:r>
          </w:p>
        </w:tc>
      </w:tr>
      <w:tr w:rsidR="00AF1291" w:rsidRPr="008539B9" w:rsidTr="000B2E9F">
        <w:trPr>
          <w:cantSplit/>
        </w:trPr>
        <w:tc>
          <w:tcPr>
            <w:tcW w:w="1063" w:type="pct"/>
            <w:gridSpan w:val="2"/>
            <w:shd w:val="clear" w:color="auto" w:fill="auto"/>
          </w:tcPr>
          <w:p w:rsidR="00AF1291" w:rsidRPr="008539B9" w:rsidRDefault="00AF1291" w:rsidP="007C0423">
            <w:pPr>
              <w:rPr>
                <w:rFonts w:cs="Arial"/>
                <w:sz w:val="16"/>
                <w:szCs w:val="16"/>
              </w:rPr>
            </w:pPr>
            <w:r w:rsidRPr="008539B9">
              <w:rPr>
                <w:rFonts w:cs="Arial"/>
                <w:sz w:val="16"/>
                <w:szCs w:val="16"/>
              </w:rPr>
              <w:t xml:space="preserve">% of users satisfied with the services provided by the International Bureau </w:t>
            </w:r>
          </w:p>
        </w:tc>
        <w:tc>
          <w:tcPr>
            <w:tcW w:w="984" w:type="pct"/>
            <w:shd w:val="clear" w:color="auto" w:fill="auto"/>
          </w:tcPr>
          <w:p w:rsidR="00AF1291" w:rsidRPr="008539B9" w:rsidRDefault="00AF1291" w:rsidP="007C0423">
            <w:pPr>
              <w:rPr>
                <w:rFonts w:cs="Arial"/>
                <w:sz w:val="16"/>
                <w:szCs w:val="16"/>
              </w:rPr>
            </w:pPr>
            <w:r w:rsidRPr="008539B9">
              <w:rPr>
                <w:rFonts w:cs="Arial"/>
                <w:sz w:val="16"/>
                <w:szCs w:val="16"/>
              </w:rPr>
              <w:t>Tbd end 2011</w:t>
            </w:r>
          </w:p>
        </w:tc>
        <w:tc>
          <w:tcPr>
            <w:tcW w:w="983" w:type="pct"/>
            <w:gridSpan w:val="3"/>
            <w:shd w:val="clear" w:color="auto" w:fill="auto"/>
            <w:tcMar>
              <w:top w:w="110" w:type="dxa"/>
            </w:tcMar>
          </w:tcPr>
          <w:p w:rsidR="00AF1291" w:rsidRPr="008539B9" w:rsidRDefault="00AF1291" w:rsidP="007C0423">
            <w:pPr>
              <w:rPr>
                <w:rFonts w:cs="Arial"/>
                <w:sz w:val="16"/>
                <w:szCs w:val="16"/>
              </w:rPr>
            </w:pPr>
            <w:r w:rsidRPr="008539B9">
              <w:rPr>
                <w:rFonts w:cs="Arial"/>
                <w:sz w:val="16"/>
                <w:szCs w:val="16"/>
              </w:rPr>
              <w:t>Tbd end 2011</w:t>
            </w:r>
          </w:p>
        </w:tc>
        <w:tc>
          <w:tcPr>
            <w:tcW w:w="1288" w:type="pct"/>
            <w:shd w:val="clear" w:color="auto" w:fill="FFFFFF"/>
            <w:tcMar>
              <w:top w:w="110" w:type="dxa"/>
            </w:tcMar>
          </w:tcPr>
          <w:p w:rsidR="00AF1291" w:rsidRPr="008539B9" w:rsidRDefault="00EC1008" w:rsidP="007C0423">
            <w:pPr>
              <w:pStyle w:val="CommentText"/>
              <w:rPr>
                <w:rFonts w:cs="Arial"/>
                <w:sz w:val="16"/>
                <w:szCs w:val="16"/>
              </w:rPr>
            </w:pPr>
            <w:proofErr w:type="gramStart"/>
            <w:r>
              <w:rPr>
                <w:rFonts w:cs="Arial"/>
                <w:sz w:val="16"/>
                <w:szCs w:val="16"/>
              </w:rPr>
              <w:t>ten</w:t>
            </w:r>
            <w:proofErr w:type="gramEnd"/>
            <w:r>
              <w:rPr>
                <w:rFonts w:cs="Arial"/>
                <w:sz w:val="16"/>
                <w:szCs w:val="16"/>
              </w:rPr>
              <w:t xml:space="preserve"> per cent</w:t>
            </w:r>
            <w:r w:rsidR="00AF1291" w:rsidRPr="008539B9">
              <w:rPr>
                <w:rFonts w:cs="Arial"/>
                <w:sz w:val="16"/>
                <w:szCs w:val="16"/>
              </w:rPr>
              <w:t xml:space="preserve"> of the users were extremely satisfied; </w:t>
            </w:r>
            <w:r w:rsidR="000A26B8">
              <w:rPr>
                <w:rFonts w:cs="Arial"/>
                <w:sz w:val="16"/>
                <w:szCs w:val="16"/>
              </w:rPr>
              <w:t xml:space="preserve"> </w:t>
            </w:r>
            <w:r w:rsidR="00AF1291" w:rsidRPr="008539B9">
              <w:rPr>
                <w:rFonts w:cs="Arial"/>
                <w:sz w:val="16"/>
                <w:szCs w:val="16"/>
              </w:rPr>
              <w:t xml:space="preserve">42% were very satisfied; </w:t>
            </w:r>
            <w:r w:rsidR="000A26B8">
              <w:rPr>
                <w:rFonts w:cs="Arial"/>
                <w:sz w:val="16"/>
                <w:szCs w:val="16"/>
              </w:rPr>
              <w:t xml:space="preserve"> </w:t>
            </w:r>
            <w:r w:rsidR="00AF1291" w:rsidRPr="008539B9">
              <w:rPr>
                <w:rFonts w:cs="Arial"/>
                <w:sz w:val="16"/>
                <w:szCs w:val="16"/>
              </w:rPr>
              <w:t>42% were satisfied and 5% were moderately satisfied (survey carried out in May 22, 2012)</w:t>
            </w:r>
            <w:r w:rsidR="000A26B8">
              <w:rPr>
                <w:rFonts w:cs="Arial"/>
                <w:sz w:val="16"/>
                <w:szCs w:val="16"/>
              </w:rPr>
              <w:t>.</w:t>
            </w:r>
          </w:p>
          <w:p w:rsidR="00AF1291" w:rsidRPr="000A26B8" w:rsidRDefault="00AF1291" w:rsidP="007C0423">
            <w:pPr>
              <w:rPr>
                <w:rFonts w:cs="Arial"/>
                <w:sz w:val="8"/>
                <w:szCs w:val="8"/>
                <w:lang w:bidi="th-TH"/>
              </w:rPr>
            </w:pPr>
          </w:p>
          <w:p w:rsidR="00AF1291" w:rsidRPr="008539B9" w:rsidRDefault="00AF1291" w:rsidP="007C0423">
            <w:pPr>
              <w:rPr>
                <w:rFonts w:cs="Arial"/>
                <w:sz w:val="16"/>
                <w:szCs w:val="16"/>
                <w:lang w:bidi="th-TH"/>
              </w:rPr>
            </w:pPr>
            <w:r w:rsidRPr="008539B9">
              <w:rPr>
                <w:rFonts w:cs="Arial"/>
                <w:sz w:val="16"/>
                <w:szCs w:val="16"/>
                <w:lang w:bidi="th-TH"/>
              </w:rPr>
              <w:t>There was no survey carried out in 2013.</w:t>
            </w:r>
          </w:p>
          <w:p w:rsidR="00AF1291" w:rsidRPr="008539B9" w:rsidRDefault="00AF1291" w:rsidP="007C0423">
            <w:pPr>
              <w:rPr>
                <w:rFonts w:cs="Arial"/>
                <w:sz w:val="16"/>
                <w:szCs w:val="16"/>
              </w:rPr>
            </w:pPr>
          </w:p>
        </w:tc>
        <w:tc>
          <w:tcPr>
            <w:tcW w:w="682" w:type="pct"/>
            <w:gridSpan w:val="2"/>
            <w:shd w:val="clear" w:color="auto" w:fill="auto"/>
            <w:tcMar>
              <w:top w:w="110" w:type="dxa"/>
            </w:tcMar>
          </w:tcPr>
          <w:p w:rsidR="00AF1291" w:rsidRPr="0007055D" w:rsidRDefault="00AF1291" w:rsidP="007C0423">
            <w:pPr>
              <w:keepNext/>
              <w:keepLines/>
              <w:jc w:val="center"/>
              <w:rPr>
                <w:rFonts w:cs="Arial"/>
                <w:bCs/>
                <w:color w:val="808080" w:themeColor="background1" w:themeShade="80"/>
                <w:sz w:val="16"/>
                <w:szCs w:val="16"/>
              </w:rPr>
            </w:pPr>
            <w:r w:rsidRPr="0007055D">
              <w:rPr>
                <w:rStyle w:val="Style5"/>
                <w:rFonts w:ascii="Arial" w:hAnsi="Arial" w:cs="Arial"/>
                <w:color w:val="808080" w:themeColor="background1" w:themeShade="80"/>
                <w:sz w:val="16"/>
                <w:szCs w:val="16"/>
              </w:rPr>
              <w:t>Not Assessable</w:t>
            </w:r>
          </w:p>
        </w:tc>
      </w:tr>
    </w:tbl>
    <w:p w:rsidR="00AF1291" w:rsidRPr="00191037" w:rsidRDefault="00AF1291" w:rsidP="00AF1291">
      <w:pPr>
        <w:rPr>
          <w:rFonts w:cs="Arial"/>
        </w:rPr>
      </w:pPr>
    </w:p>
    <w:p w:rsidR="00AF1291" w:rsidRPr="00191037" w:rsidRDefault="00AF1291" w:rsidP="00AF1291">
      <w:pPr>
        <w:rPr>
          <w:rFonts w:cs="Arial"/>
        </w:rPr>
      </w:pPr>
    </w:p>
    <w:p w:rsidR="00AF1291" w:rsidRPr="00191037" w:rsidRDefault="00AF1291" w:rsidP="00AF1291">
      <w:pPr>
        <w:rPr>
          <w:rFonts w:cs="Arial"/>
        </w:rPr>
      </w:pPr>
    </w:p>
    <w:p w:rsidR="00AF1291" w:rsidRDefault="00AF1291" w:rsidP="00AF1291">
      <w:pPr>
        <w:rPr>
          <w:rFonts w:cs="Arial"/>
          <w:sz w:val="22"/>
          <w:szCs w:val="22"/>
        </w:rPr>
      </w:pPr>
      <w:r>
        <w:rPr>
          <w:rFonts w:cs="Arial"/>
          <w:sz w:val="22"/>
          <w:szCs w:val="22"/>
        </w:rPr>
        <w:br w:type="page"/>
      </w:r>
    </w:p>
    <w:p w:rsidR="00AF1291" w:rsidRPr="00191037" w:rsidRDefault="00AF1291" w:rsidP="00AF1291">
      <w:pPr>
        <w:rPr>
          <w:rFonts w:cs="Arial"/>
          <w:sz w:val="22"/>
          <w:szCs w:val="22"/>
        </w:rPr>
      </w:pPr>
      <w:r w:rsidRPr="00191037">
        <w:rPr>
          <w:rFonts w:cs="Arial"/>
          <w:sz w:val="22"/>
          <w:szCs w:val="22"/>
        </w:rPr>
        <w:lastRenderedPageBreak/>
        <w:t xml:space="preserve">BUDGET </w:t>
      </w:r>
      <w:r>
        <w:rPr>
          <w:rFonts w:cs="Arial"/>
          <w:sz w:val="22"/>
          <w:szCs w:val="22"/>
        </w:rPr>
        <w:t>AND ACTUAL EXPENDITURE</w:t>
      </w:r>
    </w:p>
    <w:p w:rsidR="00AF1291" w:rsidRDefault="00AF1291" w:rsidP="00AF1291">
      <w:pPr>
        <w:rPr>
          <w:rFonts w:cs="Arial"/>
          <w:szCs w:val="20"/>
        </w:rPr>
      </w:pPr>
    </w:p>
    <w:p w:rsidR="00AF1291" w:rsidRPr="0027745B" w:rsidRDefault="00AF1291" w:rsidP="00AF1291">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AF1291" w:rsidRPr="0027745B" w:rsidRDefault="00AF1291" w:rsidP="00AF1291">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AF1291" w:rsidRDefault="00AF1291" w:rsidP="00AF1291">
      <w:pPr>
        <w:pStyle w:val="NormalWeb"/>
        <w:spacing w:before="0" w:beforeAutospacing="0" w:after="0" w:afterAutospacing="0"/>
        <w:jc w:val="center"/>
      </w:pPr>
    </w:p>
    <w:tbl>
      <w:tblPr>
        <w:tblW w:w="0" w:type="auto"/>
        <w:tblInd w:w="103" w:type="dxa"/>
        <w:tblLook w:val="04A0" w:firstRow="1" w:lastRow="0" w:firstColumn="1" w:lastColumn="0" w:noHBand="0" w:noVBand="1"/>
      </w:tblPr>
      <w:tblGrid>
        <w:gridCol w:w="439"/>
        <w:gridCol w:w="4244"/>
        <w:gridCol w:w="1559"/>
        <w:gridCol w:w="1559"/>
        <w:gridCol w:w="1560"/>
      </w:tblGrid>
      <w:tr w:rsidR="00AF1291" w:rsidRPr="008539B9" w:rsidTr="007C0423">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 xml:space="preserve">2012/13 Budget </w:t>
            </w:r>
            <w:r w:rsidRPr="008539B9">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 xml:space="preserve">2012/13 </w:t>
            </w:r>
            <w:r w:rsidRPr="008539B9">
              <w:rPr>
                <w:rFonts w:cs="Arial"/>
                <w:bCs/>
                <w:color w:val="000000"/>
                <w:sz w:val="16"/>
                <w:szCs w:val="16"/>
              </w:rPr>
              <w:br/>
              <w:t>Expenditure</w:t>
            </w:r>
          </w:p>
        </w:tc>
      </w:tr>
      <w:tr w:rsidR="00AF1291" w:rsidRPr="00194030" w:rsidTr="007C0423">
        <w:tc>
          <w:tcPr>
            <w:tcW w:w="439" w:type="dxa"/>
            <w:tcBorders>
              <w:top w:val="nil"/>
              <w:left w:val="single" w:sz="4" w:space="0" w:color="auto"/>
              <w:bottom w:val="nil"/>
              <w:right w:val="nil"/>
            </w:tcBorders>
            <w:shd w:val="clear" w:color="000000" w:fill="FFFFFF"/>
            <w:noWrap/>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II.5</w:t>
            </w:r>
          </w:p>
        </w:tc>
        <w:tc>
          <w:tcPr>
            <w:tcW w:w="4244" w:type="dxa"/>
            <w:tcBorders>
              <w:top w:val="nil"/>
              <w:left w:val="nil"/>
              <w:bottom w:val="nil"/>
              <w:right w:val="nil"/>
            </w:tcBorders>
            <w:shd w:val="clear" w:color="000000" w:fill="FFFFFF"/>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Increased awareness of the </w:t>
            </w:r>
            <w:r w:rsidR="00601859">
              <w:rPr>
                <w:rFonts w:cs="Arial"/>
                <w:color w:val="000000"/>
                <w:sz w:val="16"/>
                <w:szCs w:val="16"/>
              </w:rPr>
              <w:t>Hague System</w:t>
            </w:r>
          </w:p>
        </w:tc>
        <w:tc>
          <w:tcPr>
            <w:tcW w:w="1559" w:type="dxa"/>
            <w:tcBorders>
              <w:top w:val="nil"/>
              <w:left w:val="nil"/>
              <w:bottom w:val="nil"/>
              <w:right w:val="nil"/>
            </w:tcBorders>
            <w:shd w:val="clear" w:color="000000" w:fill="FFFFFF"/>
            <w:vAlign w:val="center"/>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 xml:space="preserve">2,185 </w:t>
            </w:r>
          </w:p>
        </w:tc>
        <w:tc>
          <w:tcPr>
            <w:tcW w:w="1559" w:type="dxa"/>
            <w:tcBorders>
              <w:top w:val="nil"/>
              <w:left w:val="nil"/>
              <w:bottom w:val="nil"/>
              <w:right w:val="nil"/>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1,815</w:t>
            </w:r>
          </w:p>
        </w:tc>
        <w:tc>
          <w:tcPr>
            <w:tcW w:w="1560" w:type="dxa"/>
            <w:tcBorders>
              <w:top w:val="nil"/>
              <w:left w:val="nil"/>
              <w:bottom w:val="nil"/>
              <w:right w:val="single" w:sz="4" w:space="0" w:color="auto"/>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1,752</w:t>
            </w:r>
          </w:p>
        </w:tc>
      </w:tr>
      <w:tr w:rsidR="00AF1291" w:rsidRPr="00194030" w:rsidTr="007C0423">
        <w:tc>
          <w:tcPr>
            <w:tcW w:w="439" w:type="dxa"/>
            <w:tcBorders>
              <w:top w:val="nil"/>
              <w:left w:val="single" w:sz="4" w:space="0" w:color="auto"/>
              <w:bottom w:val="nil"/>
              <w:right w:val="nil"/>
            </w:tcBorders>
            <w:shd w:val="clear" w:color="000000" w:fill="FFFFFF"/>
            <w:noWrap/>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II.6</w:t>
            </w:r>
          </w:p>
        </w:tc>
        <w:tc>
          <w:tcPr>
            <w:tcW w:w="4244" w:type="dxa"/>
            <w:tcBorders>
              <w:top w:val="nil"/>
              <w:left w:val="nil"/>
              <w:bottom w:val="nil"/>
              <w:right w:val="nil"/>
            </w:tcBorders>
            <w:shd w:val="clear" w:color="000000" w:fill="FFFFFF"/>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Wider and better use of the </w:t>
            </w:r>
            <w:r w:rsidR="00601859">
              <w:rPr>
                <w:rFonts w:cs="Arial"/>
                <w:color w:val="000000"/>
                <w:sz w:val="16"/>
                <w:szCs w:val="16"/>
              </w:rPr>
              <w:t>Hague System</w:t>
            </w:r>
          </w:p>
        </w:tc>
        <w:tc>
          <w:tcPr>
            <w:tcW w:w="1559" w:type="dxa"/>
            <w:tcBorders>
              <w:top w:val="nil"/>
              <w:left w:val="nil"/>
              <w:bottom w:val="nil"/>
              <w:right w:val="nil"/>
            </w:tcBorders>
            <w:shd w:val="clear" w:color="000000" w:fill="FFFFFF"/>
            <w:vAlign w:val="center"/>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 xml:space="preserve">2,153 </w:t>
            </w:r>
          </w:p>
        </w:tc>
        <w:tc>
          <w:tcPr>
            <w:tcW w:w="1559" w:type="dxa"/>
            <w:tcBorders>
              <w:top w:val="nil"/>
              <w:left w:val="nil"/>
              <w:bottom w:val="nil"/>
              <w:right w:val="nil"/>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2,806</w:t>
            </w:r>
          </w:p>
        </w:tc>
        <w:tc>
          <w:tcPr>
            <w:tcW w:w="1560" w:type="dxa"/>
            <w:tcBorders>
              <w:top w:val="nil"/>
              <w:left w:val="nil"/>
              <w:bottom w:val="nil"/>
              <w:right w:val="single" w:sz="4" w:space="0" w:color="auto"/>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2,784</w:t>
            </w:r>
          </w:p>
        </w:tc>
      </w:tr>
      <w:tr w:rsidR="00AF1291" w:rsidRPr="00194030" w:rsidTr="007C0423">
        <w:tc>
          <w:tcPr>
            <w:tcW w:w="439" w:type="dxa"/>
            <w:tcBorders>
              <w:top w:val="nil"/>
              <w:left w:val="single" w:sz="4" w:space="0" w:color="auto"/>
              <w:bottom w:val="single" w:sz="4" w:space="0" w:color="auto"/>
              <w:right w:val="nil"/>
            </w:tcBorders>
            <w:shd w:val="clear" w:color="000000" w:fill="FFFFFF"/>
            <w:noWrap/>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II.7</w:t>
            </w:r>
          </w:p>
        </w:tc>
        <w:tc>
          <w:tcPr>
            <w:tcW w:w="4244" w:type="dxa"/>
            <w:tcBorders>
              <w:top w:val="nil"/>
              <w:left w:val="nil"/>
              <w:bottom w:val="single" w:sz="4" w:space="0" w:color="auto"/>
              <w:right w:val="nil"/>
            </w:tcBorders>
            <w:shd w:val="clear" w:color="000000" w:fill="FFFFFF"/>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Better administration of the </w:t>
            </w:r>
            <w:r w:rsidR="00601859">
              <w:rPr>
                <w:rFonts w:cs="Arial"/>
                <w:color w:val="000000"/>
                <w:sz w:val="16"/>
                <w:szCs w:val="16"/>
              </w:rPr>
              <w:t>Hague System</w:t>
            </w:r>
          </w:p>
        </w:tc>
        <w:tc>
          <w:tcPr>
            <w:tcW w:w="1559" w:type="dxa"/>
            <w:tcBorders>
              <w:top w:val="nil"/>
              <w:left w:val="nil"/>
              <w:bottom w:val="single" w:sz="4" w:space="0" w:color="auto"/>
              <w:right w:val="nil"/>
            </w:tcBorders>
            <w:shd w:val="clear" w:color="000000" w:fill="FFFFFF"/>
            <w:vAlign w:val="center"/>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 xml:space="preserve">2,633 </w:t>
            </w:r>
          </w:p>
        </w:tc>
        <w:tc>
          <w:tcPr>
            <w:tcW w:w="1559" w:type="dxa"/>
            <w:tcBorders>
              <w:top w:val="nil"/>
              <w:left w:val="nil"/>
              <w:bottom w:val="single" w:sz="4" w:space="0" w:color="auto"/>
              <w:right w:val="nil"/>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2,630</w:t>
            </w:r>
          </w:p>
        </w:tc>
        <w:tc>
          <w:tcPr>
            <w:tcW w:w="1560" w:type="dxa"/>
            <w:tcBorders>
              <w:top w:val="nil"/>
              <w:left w:val="nil"/>
              <w:bottom w:val="single" w:sz="4" w:space="0" w:color="auto"/>
              <w:right w:val="single" w:sz="4" w:space="0" w:color="auto"/>
            </w:tcBorders>
            <w:shd w:val="clear" w:color="000000" w:fill="FFFFFF"/>
            <w:vAlign w:val="bottom"/>
            <w:hideMark/>
          </w:tcPr>
          <w:p w:rsidR="00AF1291" w:rsidRPr="0027745B" w:rsidRDefault="00AF1291" w:rsidP="007C0423">
            <w:pPr>
              <w:spacing w:before="120" w:after="120"/>
              <w:jc w:val="right"/>
              <w:rPr>
                <w:rFonts w:cs="Arial"/>
                <w:color w:val="000000"/>
                <w:sz w:val="16"/>
                <w:szCs w:val="16"/>
              </w:rPr>
            </w:pPr>
            <w:r w:rsidRPr="0027745B">
              <w:rPr>
                <w:rFonts w:cs="Arial"/>
                <w:color w:val="000000"/>
                <w:sz w:val="16"/>
                <w:szCs w:val="16"/>
              </w:rPr>
              <w:t>2,413</w:t>
            </w:r>
          </w:p>
        </w:tc>
      </w:tr>
      <w:tr w:rsidR="00AF1291" w:rsidRPr="00194030" w:rsidTr="007C0423">
        <w:tc>
          <w:tcPr>
            <w:tcW w:w="439" w:type="dxa"/>
            <w:tcBorders>
              <w:top w:val="nil"/>
              <w:left w:val="single" w:sz="4" w:space="0" w:color="auto"/>
              <w:bottom w:val="single" w:sz="4" w:space="0" w:color="auto"/>
              <w:right w:val="nil"/>
            </w:tcBorders>
            <w:shd w:val="clear" w:color="000000" w:fill="CCFFFF"/>
            <w:noWrap/>
            <w:vAlign w:val="bottom"/>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 </w:t>
            </w:r>
          </w:p>
        </w:tc>
        <w:tc>
          <w:tcPr>
            <w:tcW w:w="4244" w:type="dxa"/>
            <w:tcBorders>
              <w:top w:val="nil"/>
              <w:left w:val="nil"/>
              <w:bottom w:val="single" w:sz="4" w:space="0" w:color="auto"/>
              <w:right w:val="nil"/>
            </w:tcBorders>
            <w:shd w:val="clear" w:color="000000" w:fill="CCFFFF"/>
            <w:noWrap/>
            <w:vAlign w:val="center"/>
            <w:hideMark/>
          </w:tcPr>
          <w:p w:rsidR="00AF1291" w:rsidRPr="0027745B" w:rsidRDefault="00AF1291" w:rsidP="007C0423">
            <w:pPr>
              <w:spacing w:before="120" w:after="120"/>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AF1291" w:rsidRPr="0027745B" w:rsidRDefault="00AF1291" w:rsidP="007C0423">
            <w:pPr>
              <w:spacing w:before="120" w:after="120"/>
              <w:jc w:val="right"/>
              <w:rPr>
                <w:rFonts w:cs="Arial"/>
                <w:b/>
                <w:bCs/>
                <w:color w:val="000000"/>
                <w:sz w:val="16"/>
                <w:szCs w:val="16"/>
              </w:rPr>
            </w:pPr>
            <w:r w:rsidRPr="0027745B">
              <w:rPr>
                <w:rFonts w:cs="Arial"/>
                <w:b/>
                <w:bCs/>
                <w:color w:val="000000"/>
                <w:sz w:val="16"/>
                <w:szCs w:val="16"/>
              </w:rPr>
              <w:t>6,970</w:t>
            </w:r>
          </w:p>
        </w:tc>
        <w:tc>
          <w:tcPr>
            <w:tcW w:w="1559" w:type="dxa"/>
            <w:tcBorders>
              <w:top w:val="nil"/>
              <w:left w:val="nil"/>
              <w:bottom w:val="single" w:sz="4" w:space="0" w:color="auto"/>
              <w:right w:val="single" w:sz="4" w:space="0" w:color="auto"/>
            </w:tcBorders>
            <w:shd w:val="clear" w:color="000000" w:fill="CCFFFF"/>
            <w:noWrap/>
            <w:vAlign w:val="center"/>
            <w:hideMark/>
          </w:tcPr>
          <w:p w:rsidR="00AF1291" w:rsidRPr="0027745B" w:rsidRDefault="00AF1291" w:rsidP="007C0423">
            <w:pPr>
              <w:spacing w:before="120" w:after="120"/>
              <w:jc w:val="right"/>
              <w:rPr>
                <w:rFonts w:cs="Arial"/>
                <w:b/>
                <w:bCs/>
                <w:color w:val="000000"/>
                <w:sz w:val="16"/>
                <w:szCs w:val="16"/>
              </w:rPr>
            </w:pPr>
            <w:r w:rsidRPr="0027745B">
              <w:rPr>
                <w:rFonts w:cs="Arial"/>
                <w:b/>
                <w:bCs/>
                <w:color w:val="000000"/>
                <w:sz w:val="16"/>
                <w:szCs w:val="16"/>
              </w:rPr>
              <w:t>7,251</w:t>
            </w:r>
          </w:p>
        </w:tc>
        <w:tc>
          <w:tcPr>
            <w:tcW w:w="1560" w:type="dxa"/>
            <w:tcBorders>
              <w:top w:val="nil"/>
              <w:left w:val="nil"/>
              <w:bottom w:val="single" w:sz="4" w:space="0" w:color="auto"/>
              <w:right w:val="single" w:sz="4" w:space="0" w:color="auto"/>
            </w:tcBorders>
            <w:shd w:val="clear" w:color="000000" w:fill="CCFFFF"/>
            <w:vAlign w:val="center"/>
            <w:hideMark/>
          </w:tcPr>
          <w:p w:rsidR="00AF1291" w:rsidRPr="0027745B" w:rsidRDefault="00AF1291" w:rsidP="007C0423">
            <w:pPr>
              <w:spacing w:before="120" w:after="120"/>
              <w:jc w:val="right"/>
              <w:rPr>
                <w:rFonts w:cs="Arial"/>
                <w:b/>
                <w:bCs/>
                <w:color w:val="000000"/>
                <w:sz w:val="16"/>
                <w:szCs w:val="16"/>
              </w:rPr>
            </w:pPr>
            <w:r w:rsidRPr="0027745B">
              <w:rPr>
                <w:rFonts w:cs="Arial"/>
                <w:b/>
                <w:bCs/>
                <w:color w:val="000000"/>
                <w:sz w:val="16"/>
                <w:szCs w:val="16"/>
              </w:rPr>
              <w:t>6,950</w:t>
            </w:r>
          </w:p>
        </w:tc>
      </w:tr>
    </w:tbl>
    <w:p w:rsidR="00AF1291" w:rsidRDefault="00AF1291" w:rsidP="00AF1291">
      <w:pPr>
        <w:rPr>
          <w:rFonts w:cs="Arial"/>
          <w:szCs w:val="20"/>
        </w:rPr>
      </w:pPr>
    </w:p>
    <w:p w:rsidR="00AF1291" w:rsidRDefault="00AF1291" w:rsidP="00AF1291">
      <w:pPr>
        <w:rPr>
          <w:rFonts w:cs="Arial"/>
          <w:szCs w:val="20"/>
        </w:rPr>
      </w:pPr>
    </w:p>
    <w:p w:rsidR="00AF1291" w:rsidRPr="0027745B" w:rsidRDefault="00AF1291" w:rsidP="00AF1291">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AF1291" w:rsidRPr="0027745B" w:rsidRDefault="00AF1291" w:rsidP="00AF1291">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AF1291" w:rsidRDefault="00AF1291" w:rsidP="00AF1291">
      <w:pPr>
        <w:pStyle w:val="NormalWeb"/>
        <w:spacing w:before="0" w:beforeAutospacing="0" w:after="0" w:afterAutospacing="0"/>
        <w:jc w:val="center"/>
      </w:pPr>
    </w:p>
    <w:tbl>
      <w:tblPr>
        <w:tblW w:w="0" w:type="auto"/>
        <w:tblInd w:w="93" w:type="dxa"/>
        <w:tblLook w:val="04A0" w:firstRow="1" w:lastRow="0" w:firstColumn="1" w:lastColumn="0" w:noHBand="0" w:noVBand="1"/>
      </w:tblPr>
      <w:tblGrid>
        <w:gridCol w:w="2425"/>
        <w:gridCol w:w="1736"/>
        <w:gridCol w:w="1737"/>
        <w:gridCol w:w="1736"/>
        <w:gridCol w:w="1737"/>
      </w:tblGrid>
      <w:tr w:rsidR="00AF1291" w:rsidRPr="008539B9" w:rsidTr="000A26B8">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AF1291" w:rsidRPr="008539B9" w:rsidRDefault="00AF1291" w:rsidP="007C0423">
            <w:pPr>
              <w:spacing w:before="120" w:after="120"/>
              <w:rPr>
                <w:rFonts w:cs="Arial"/>
                <w:color w:val="000000"/>
                <w:sz w:val="16"/>
                <w:szCs w:val="16"/>
              </w:rPr>
            </w:pPr>
            <w:r w:rsidRPr="008539B9">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AF1291" w:rsidRPr="008539B9" w:rsidRDefault="00AF1291" w:rsidP="007C0423">
            <w:pPr>
              <w:spacing w:before="120" w:after="120"/>
              <w:jc w:val="center"/>
              <w:rPr>
                <w:rFonts w:cs="Arial"/>
                <w:bCs/>
                <w:color w:val="000000"/>
                <w:sz w:val="16"/>
                <w:szCs w:val="16"/>
              </w:rPr>
            </w:pPr>
            <w:r w:rsidRPr="008539B9">
              <w:rPr>
                <w:rFonts w:cs="Arial"/>
                <w:bCs/>
                <w:color w:val="000000"/>
                <w:sz w:val="16"/>
                <w:szCs w:val="16"/>
              </w:rPr>
              <w:t>Utilization rate (%)</w:t>
            </w:r>
          </w:p>
        </w:tc>
      </w:tr>
      <w:tr w:rsidR="00AF1291" w:rsidRPr="00194030" w:rsidTr="000A26B8">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5,373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5,814</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5,814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100%</w:t>
            </w:r>
          </w:p>
        </w:tc>
      </w:tr>
      <w:tr w:rsidR="00AF1291" w:rsidRPr="00194030" w:rsidTr="000A26B8">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AF1291" w:rsidRPr="0027745B" w:rsidRDefault="00AF1291" w:rsidP="007C0423">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1,597</w:t>
            </w:r>
          </w:p>
        </w:tc>
        <w:tc>
          <w:tcPr>
            <w:tcW w:w="1737"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1,437</w:t>
            </w:r>
          </w:p>
        </w:tc>
        <w:tc>
          <w:tcPr>
            <w:tcW w:w="1736"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1,136</w:t>
            </w:r>
          </w:p>
        </w:tc>
        <w:tc>
          <w:tcPr>
            <w:tcW w:w="1737"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color w:val="000000"/>
                <w:sz w:val="16"/>
                <w:szCs w:val="16"/>
              </w:rPr>
            </w:pPr>
            <w:r w:rsidRPr="0027745B">
              <w:rPr>
                <w:rFonts w:cs="Arial"/>
                <w:color w:val="000000"/>
                <w:sz w:val="16"/>
                <w:szCs w:val="16"/>
              </w:rPr>
              <w:t>79%</w:t>
            </w:r>
          </w:p>
        </w:tc>
      </w:tr>
      <w:tr w:rsidR="00AF1291" w:rsidRPr="00194030" w:rsidTr="000A26B8">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AF1291" w:rsidRPr="0027745B" w:rsidRDefault="00AF1291" w:rsidP="007C0423">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6,970</w:t>
            </w:r>
          </w:p>
        </w:tc>
        <w:tc>
          <w:tcPr>
            <w:tcW w:w="1737"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7,251</w:t>
            </w:r>
          </w:p>
        </w:tc>
        <w:tc>
          <w:tcPr>
            <w:tcW w:w="1736"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6,950</w:t>
            </w:r>
          </w:p>
        </w:tc>
        <w:tc>
          <w:tcPr>
            <w:tcW w:w="1737" w:type="dxa"/>
            <w:tcBorders>
              <w:top w:val="nil"/>
              <w:left w:val="nil"/>
              <w:bottom w:val="single" w:sz="4" w:space="0" w:color="auto"/>
              <w:right w:val="single" w:sz="4" w:space="0" w:color="auto"/>
            </w:tcBorders>
            <w:shd w:val="clear" w:color="auto" w:fill="auto"/>
            <w:vAlign w:val="center"/>
            <w:hideMark/>
          </w:tcPr>
          <w:p w:rsidR="00AF1291" w:rsidRPr="0027745B" w:rsidRDefault="00AF1291" w:rsidP="007C0423">
            <w:pPr>
              <w:spacing w:before="120" w:after="120"/>
              <w:jc w:val="center"/>
              <w:rPr>
                <w:rFonts w:cs="Arial"/>
                <w:b/>
                <w:bCs/>
                <w:color w:val="000000"/>
                <w:sz w:val="16"/>
                <w:szCs w:val="16"/>
              </w:rPr>
            </w:pPr>
            <w:r w:rsidRPr="0027745B">
              <w:rPr>
                <w:rFonts w:cs="Arial"/>
                <w:b/>
                <w:bCs/>
                <w:color w:val="000000"/>
                <w:sz w:val="16"/>
                <w:szCs w:val="16"/>
              </w:rPr>
              <w:t>96%</w:t>
            </w:r>
          </w:p>
        </w:tc>
      </w:tr>
    </w:tbl>
    <w:p w:rsidR="00AF1291" w:rsidRDefault="00AF1291" w:rsidP="00AF1291">
      <w:pPr>
        <w:rPr>
          <w:rFonts w:cs="Arial"/>
          <w:szCs w:val="20"/>
        </w:rPr>
      </w:pPr>
    </w:p>
    <w:p w:rsidR="00AF1291" w:rsidRPr="0027745B" w:rsidRDefault="00AF1291" w:rsidP="00AF1291">
      <w:pPr>
        <w:keepNext/>
        <w:autoSpaceDE w:val="0"/>
        <w:autoSpaceDN w:val="0"/>
        <w:rPr>
          <w:rFonts w:cs="Arial"/>
          <w:sz w:val="16"/>
          <w:szCs w:val="16"/>
        </w:rPr>
      </w:pPr>
      <w:r w:rsidRPr="0027745B">
        <w:rPr>
          <w:rFonts w:cs="Arial"/>
          <w:sz w:val="16"/>
          <w:szCs w:val="16"/>
        </w:rPr>
        <w:t>NOTES:</w:t>
      </w:r>
    </w:p>
    <w:p w:rsidR="00AF1291" w:rsidRPr="0027745B" w:rsidRDefault="00AF1291" w:rsidP="00AF1291">
      <w:pPr>
        <w:keepNext/>
        <w:autoSpaceDE w:val="0"/>
        <w:autoSpaceDN w:val="0"/>
        <w:rPr>
          <w:rFonts w:cs="Arial"/>
          <w:sz w:val="16"/>
          <w:szCs w:val="16"/>
        </w:rPr>
      </w:pPr>
    </w:p>
    <w:p w:rsidR="00AF1291" w:rsidRPr="0027745B" w:rsidRDefault="00AF1291" w:rsidP="00AF1291">
      <w:pPr>
        <w:keepNext/>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AF1291" w:rsidRPr="0027745B" w:rsidRDefault="00AF1291" w:rsidP="00AF1291">
      <w:pPr>
        <w:keepNext/>
        <w:autoSpaceDE w:val="0"/>
        <w:autoSpaceDN w:val="0"/>
        <w:rPr>
          <w:rFonts w:cs="Arial"/>
          <w:sz w:val="16"/>
          <w:szCs w:val="16"/>
        </w:rPr>
      </w:pPr>
    </w:p>
    <w:p w:rsidR="00AF1291" w:rsidRPr="0027745B" w:rsidRDefault="00DC2CFA" w:rsidP="00AF1291">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AF1291" w:rsidRPr="0027745B">
        <w:rPr>
          <w:rFonts w:cs="Arial"/>
          <w:sz w:val="16"/>
          <w:szCs w:val="16"/>
        </w:rPr>
        <w:t xml:space="preserve"> </w:t>
      </w:r>
    </w:p>
    <w:p w:rsidR="00AF1291" w:rsidRDefault="00AF1291" w:rsidP="00AF1291">
      <w:pPr>
        <w:keepNext/>
        <w:autoSpaceDE w:val="0"/>
        <w:autoSpaceDN w:val="0"/>
        <w:rPr>
          <w:sz w:val="16"/>
          <w:szCs w:val="16"/>
        </w:rPr>
      </w:pPr>
    </w:p>
    <w:p w:rsidR="00AF1291" w:rsidRDefault="00AF1291" w:rsidP="00AF1291">
      <w:pPr>
        <w:rPr>
          <w:rFonts w:cs="Arial"/>
          <w:szCs w:val="20"/>
        </w:rPr>
      </w:pPr>
    </w:p>
    <w:p w:rsidR="00AF1291" w:rsidRPr="00E967B5" w:rsidRDefault="00AF1291" w:rsidP="00AF1291">
      <w:pPr>
        <w:tabs>
          <w:tab w:val="left" w:pos="709"/>
        </w:tabs>
        <w:rPr>
          <w:rFonts w:cs="Arial"/>
          <w:szCs w:val="20"/>
          <w:u w:val="single"/>
        </w:rPr>
      </w:pPr>
      <w:r w:rsidRPr="00E967B5">
        <w:rPr>
          <w:rFonts w:cs="Arial"/>
          <w:szCs w:val="20"/>
        </w:rPr>
        <w:t>A.</w:t>
      </w:r>
      <w:r w:rsidRPr="00E967B5">
        <w:rPr>
          <w:rFonts w:cs="Arial"/>
          <w:szCs w:val="20"/>
        </w:rPr>
        <w:tab/>
      </w:r>
      <w:r w:rsidRPr="00E967B5">
        <w:rPr>
          <w:rFonts w:cs="Arial"/>
          <w:szCs w:val="20"/>
          <w:u w:val="single"/>
        </w:rPr>
        <w:t>Budget after Transfers 2012/13</w:t>
      </w:r>
      <w:r w:rsidR="00E967B5" w:rsidRPr="00E967B5">
        <w:rPr>
          <w:rFonts w:cs="Arial"/>
          <w:szCs w:val="20"/>
          <w:u w:val="single"/>
        </w:rPr>
        <w:t xml:space="preserve">       </w:t>
      </w:r>
    </w:p>
    <w:p w:rsidR="00AF1291" w:rsidRPr="00E967B5" w:rsidRDefault="00AF1291" w:rsidP="00AF1291">
      <w:pPr>
        <w:tabs>
          <w:tab w:val="left" w:pos="709"/>
        </w:tabs>
        <w:rPr>
          <w:rFonts w:cs="Arial"/>
          <w:szCs w:val="20"/>
        </w:rPr>
      </w:pPr>
    </w:p>
    <w:p w:rsidR="00AF1291" w:rsidRPr="00E967B5" w:rsidRDefault="00AF1291" w:rsidP="00AF1291">
      <w:pPr>
        <w:tabs>
          <w:tab w:val="left" w:pos="709"/>
        </w:tabs>
        <w:jc w:val="both"/>
        <w:rPr>
          <w:rFonts w:cs="Arial"/>
          <w:iCs/>
          <w:szCs w:val="20"/>
        </w:rPr>
      </w:pPr>
      <w:r w:rsidRPr="00E967B5">
        <w:rPr>
          <w:rFonts w:cs="Arial"/>
          <w:szCs w:val="20"/>
        </w:rPr>
        <w:t>31.6.</w:t>
      </w:r>
      <w:r w:rsidRPr="00E967B5">
        <w:rPr>
          <w:rFonts w:cs="Arial"/>
          <w:szCs w:val="20"/>
        </w:rPr>
        <w:tab/>
        <w:t xml:space="preserve">The Budget after Transfer reflects an overall upward adjustment due to:  </w:t>
      </w:r>
      <w:r w:rsidR="000A26B8" w:rsidRPr="00E967B5">
        <w:rPr>
          <w:rFonts w:cs="Arial"/>
          <w:szCs w:val="20"/>
        </w:rPr>
        <w:t>(</w:t>
      </w:r>
      <w:r w:rsidR="006C0510" w:rsidRPr="00E967B5">
        <w:rPr>
          <w:rFonts w:cs="Arial"/>
          <w:szCs w:val="20"/>
        </w:rPr>
        <w:t>i</w:t>
      </w:r>
      <w:r w:rsidRPr="00E967B5">
        <w:rPr>
          <w:rFonts w:cs="Arial"/>
          <w:szCs w:val="20"/>
        </w:rPr>
        <w:t xml:space="preserve">) an increase in personnel resources deployed to information and promotion activities in relation to the Hague System. This is reflected under Result II.6 (Wider and better use of the </w:t>
      </w:r>
      <w:r w:rsidR="00601859" w:rsidRPr="00E967B5">
        <w:rPr>
          <w:rFonts w:cs="Arial"/>
          <w:szCs w:val="20"/>
        </w:rPr>
        <w:t>Hague System</w:t>
      </w:r>
      <w:r w:rsidRPr="00E967B5">
        <w:rPr>
          <w:rFonts w:cs="Arial"/>
          <w:szCs w:val="20"/>
        </w:rPr>
        <w:t xml:space="preserve">;  and </w:t>
      </w:r>
      <w:r w:rsidR="000A26B8" w:rsidRPr="00E967B5">
        <w:rPr>
          <w:rFonts w:cs="Arial"/>
          <w:szCs w:val="20"/>
        </w:rPr>
        <w:t>(</w:t>
      </w:r>
      <w:r w:rsidR="006C0510" w:rsidRPr="00E967B5">
        <w:rPr>
          <w:rFonts w:cs="Arial"/>
          <w:szCs w:val="20"/>
        </w:rPr>
        <w:t>ii</w:t>
      </w:r>
      <w:r w:rsidRPr="00E967B5">
        <w:rPr>
          <w:rFonts w:cs="Arial"/>
          <w:szCs w:val="20"/>
        </w:rPr>
        <w:t xml:space="preserve">) </w:t>
      </w:r>
      <w:r w:rsidRPr="00E967B5">
        <w:rPr>
          <w:rFonts w:cs="Arial"/>
          <w:iCs/>
          <w:szCs w:val="20"/>
        </w:rPr>
        <w:t>the Organization’s commitment, in the event of a pick-up in projected income levels, to reinstate the provisions for after service employee benefits that were initially budgeted at a lower level than in the previous biennia.</w:t>
      </w:r>
    </w:p>
    <w:p w:rsidR="00AF1291" w:rsidRPr="00E967B5" w:rsidRDefault="00AF1291" w:rsidP="00AF1291">
      <w:pPr>
        <w:tabs>
          <w:tab w:val="left" w:pos="709"/>
        </w:tabs>
        <w:jc w:val="both"/>
        <w:rPr>
          <w:rFonts w:cs="Arial"/>
          <w:szCs w:val="20"/>
        </w:rPr>
      </w:pPr>
    </w:p>
    <w:p w:rsidR="00AF1291" w:rsidRPr="00E967B5" w:rsidRDefault="00AF1291" w:rsidP="00AF1291">
      <w:pPr>
        <w:tabs>
          <w:tab w:val="left" w:pos="709"/>
        </w:tabs>
        <w:jc w:val="both"/>
        <w:rPr>
          <w:rFonts w:cs="Arial"/>
          <w:szCs w:val="20"/>
        </w:rPr>
      </w:pPr>
      <w:r w:rsidRPr="00E967B5">
        <w:rPr>
          <w:rFonts w:cs="Arial"/>
          <w:szCs w:val="20"/>
        </w:rPr>
        <w:t>31.7.</w:t>
      </w:r>
      <w:r w:rsidRPr="00E967B5">
        <w:rPr>
          <w:rFonts w:cs="Arial"/>
          <w:szCs w:val="20"/>
        </w:rPr>
        <w:tab/>
        <w:t>The non-personnel allocation for the 2012/13 Budget after Transfers reflects downward adjustments made for cost efficiency gains, in accordance with the Organization’s commitment to reduce expenditures by 10.2 million Swiss francs in the 2012/13 biennium.</w:t>
      </w:r>
    </w:p>
    <w:p w:rsidR="00AF1291" w:rsidRPr="00E967B5" w:rsidRDefault="00AF1291" w:rsidP="00AF1291">
      <w:pPr>
        <w:tabs>
          <w:tab w:val="left" w:pos="709"/>
        </w:tabs>
        <w:jc w:val="both"/>
        <w:rPr>
          <w:rFonts w:cs="Arial"/>
          <w:szCs w:val="20"/>
        </w:rPr>
      </w:pPr>
    </w:p>
    <w:p w:rsidR="00AF1291" w:rsidRPr="00E967B5" w:rsidRDefault="00AF1291" w:rsidP="00AF1291">
      <w:pPr>
        <w:tabs>
          <w:tab w:val="left" w:pos="709"/>
        </w:tabs>
        <w:jc w:val="both"/>
        <w:rPr>
          <w:rFonts w:cs="Arial"/>
          <w:szCs w:val="20"/>
        </w:rPr>
      </w:pPr>
    </w:p>
    <w:p w:rsidR="00AF1291" w:rsidRPr="00E967B5" w:rsidRDefault="00AF1291" w:rsidP="00AF1291">
      <w:pPr>
        <w:keepNext/>
        <w:keepLines/>
        <w:tabs>
          <w:tab w:val="left" w:pos="709"/>
        </w:tabs>
        <w:jc w:val="both"/>
        <w:rPr>
          <w:rFonts w:eastAsia="Batang" w:cs="Arial"/>
          <w:szCs w:val="20"/>
          <w:u w:val="single"/>
          <w:lang w:eastAsia="ko-KR"/>
        </w:rPr>
      </w:pPr>
      <w:r w:rsidRPr="00E967B5">
        <w:rPr>
          <w:rFonts w:eastAsia="Batang" w:cs="Arial"/>
          <w:szCs w:val="20"/>
          <w:lang w:eastAsia="ko-KR"/>
        </w:rPr>
        <w:t>B.</w:t>
      </w:r>
      <w:r w:rsidRPr="00E967B5">
        <w:rPr>
          <w:rFonts w:eastAsia="Batang" w:cs="Arial"/>
          <w:szCs w:val="20"/>
          <w:lang w:eastAsia="ko-KR"/>
        </w:rPr>
        <w:tab/>
      </w:r>
      <w:r w:rsidR="00D44A34" w:rsidRPr="00E967B5">
        <w:rPr>
          <w:rFonts w:eastAsia="Batang" w:cs="Arial"/>
          <w:szCs w:val="20"/>
          <w:u w:val="single"/>
          <w:lang w:eastAsia="ko-KR"/>
        </w:rPr>
        <w:t>Budget U</w:t>
      </w:r>
      <w:r w:rsidRPr="00E967B5">
        <w:rPr>
          <w:rFonts w:eastAsia="Batang" w:cs="Arial"/>
          <w:szCs w:val="20"/>
          <w:u w:val="single"/>
          <w:lang w:eastAsia="ko-KR"/>
        </w:rPr>
        <w:t>tilization 2012</w:t>
      </w:r>
      <w:r w:rsidR="00D44A34" w:rsidRPr="00E967B5">
        <w:rPr>
          <w:rFonts w:eastAsia="Batang" w:cs="Arial"/>
          <w:szCs w:val="20"/>
          <w:u w:val="single"/>
          <w:lang w:eastAsia="ko-KR"/>
        </w:rPr>
        <w:t>/13</w:t>
      </w:r>
    </w:p>
    <w:p w:rsidR="00AF1291" w:rsidRPr="00E967B5" w:rsidRDefault="00AF1291" w:rsidP="00AF1291">
      <w:pPr>
        <w:keepNext/>
        <w:keepLines/>
        <w:tabs>
          <w:tab w:val="left" w:pos="709"/>
        </w:tabs>
        <w:jc w:val="both"/>
        <w:rPr>
          <w:rFonts w:eastAsia="Batang" w:cs="Arial"/>
          <w:szCs w:val="20"/>
          <w:u w:val="single"/>
          <w:lang w:eastAsia="ko-KR"/>
        </w:rPr>
      </w:pPr>
    </w:p>
    <w:p w:rsidR="00AF1291" w:rsidRDefault="00AF1291" w:rsidP="00AF1291">
      <w:pPr>
        <w:tabs>
          <w:tab w:val="left" w:pos="709"/>
        </w:tabs>
        <w:jc w:val="both"/>
        <w:rPr>
          <w:rFonts w:eastAsiaTheme="minorHAnsi"/>
          <w:szCs w:val="20"/>
        </w:rPr>
      </w:pPr>
      <w:r w:rsidRPr="00E967B5">
        <w:rPr>
          <w:szCs w:val="20"/>
        </w:rPr>
        <w:t>31.8.</w:t>
      </w:r>
      <w:r w:rsidRPr="00E967B5">
        <w:rPr>
          <w:szCs w:val="20"/>
        </w:rPr>
        <w:tab/>
        <w:t xml:space="preserve">The non-personnel budget utilization rate for the Program amounted to 79 per cent of the Budget after Transfers.  This resulted primarily from </w:t>
      </w:r>
      <w:r w:rsidRPr="00E967B5">
        <w:t xml:space="preserve">savings on postage costs and a delay in IT-related work due to the postponement in the accessions of certain Contracting Parties under Result II.7 (Better administration of the </w:t>
      </w:r>
      <w:r w:rsidR="00601859" w:rsidRPr="00E967B5">
        <w:t>Hague System</w:t>
      </w:r>
      <w:r w:rsidRPr="00E967B5">
        <w:t>).</w:t>
      </w:r>
    </w:p>
    <w:p w:rsidR="00AF1291" w:rsidRPr="00191037" w:rsidRDefault="00AF1291" w:rsidP="00AF1291">
      <w:pPr>
        <w:tabs>
          <w:tab w:val="left" w:pos="709"/>
        </w:tabs>
        <w:rPr>
          <w:rFonts w:cs="Arial"/>
          <w:szCs w:val="20"/>
        </w:rPr>
      </w:pPr>
    </w:p>
    <w:p w:rsidR="00AF1291" w:rsidRDefault="00AF1291">
      <w:pPr>
        <w:rPr>
          <w:rFonts w:ascii="Arial Bold" w:hAnsi="Arial Bold" w:cs="Arial"/>
          <w:b/>
          <w:bCs/>
          <w:iCs/>
          <w:sz w:val="22"/>
          <w:szCs w:val="28"/>
        </w:rPr>
      </w:pPr>
      <w:r>
        <w:br w:type="page"/>
      </w:r>
    </w:p>
    <w:p w:rsidR="008B3E53" w:rsidRPr="00305272" w:rsidRDefault="00305272" w:rsidP="00305272">
      <w:pPr>
        <w:pStyle w:val="Heading3"/>
      </w:pPr>
      <w:bookmarkStart w:id="28" w:name="_Toc393956050"/>
      <w:r w:rsidRPr="00305272">
        <w:lastRenderedPageBreak/>
        <w:t>Program 7</w:t>
      </w:r>
      <w:r w:rsidRPr="00305272">
        <w:tab/>
        <w:t>Arbitration, Mediation and Domain Names</w:t>
      </w:r>
      <w:bookmarkEnd w:id="28"/>
    </w:p>
    <w:p w:rsidR="008B3E53" w:rsidRPr="00CA7E6E" w:rsidRDefault="008B3E53" w:rsidP="008B3E53">
      <w:pPr>
        <w:ind w:left="2268" w:hanging="2268"/>
        <w:rPr>
          <w:b/>
          <w:sz w:val="22"/>
          <w:szCs w:val="22"/>
        </w:rPr>
      </w:pPr>
    </w:p>
    <w:p w:rsidR="008B3E53" w:rsidRPr="00CA7E6E" w:rsidRDefault="008B3E53" w:rsidP="008B3E53">
      <w:pPr>
        <w:ind w:left="2268" w:hanging="2268"/>
        <w:rPr>
          <w:rFonts w:cs="Arial"/>
          <w:b/>
          <w:sz w:val="22"/>
          <w:szCs w:val="22"/>
        </w:rPr>
      </w:pPr>
      <w:r w:rsidRPr="00CA7E6E">
        <w:rPr>
          <w:rFonts w:cs="Arial"/>
          <w:b/>
          <w:sz w:val="22"/>
          <w:szCs w:val="22"/>
        </w:rPr>
        <w:t>Program Manager</w:t>
      </w:r>
      <w:r w:rsidRPr="00CA7E6E">
        <w:rPr>
          <w:rFonts w:cs="Arial"/>
          <w:b/>
          <w:sz w:val="22"/>
          <w:szCs w:val="22"/>
        </w:rPr>
        <w:tab/>
      </w:r>
      <w:r w:rsidRPr="00CA7E6E">
        <w:rPr>
          <w:rFonts w:cs="Arial"/>
          <w:b/>
          <w:sz w:val="22"/>
          <w:szCs w:val="22"/>
        </w:rPr>
        <w:tab/>
      </w:r>
      <w:r w:rsidRPr="00CA7E6E">
        <w:rPr>
          <w:rFonts w:cs="Arial"/>
          <w:b/>
          <w:bCs/>
          <w:sz w:val="22"/>
          <w:szCs w:val="22"/>
        </w:rPr>
        <w:t>Mr. J. C. Wichard</w:t>
      </w:r>
    </w:p>
    <w:p w:rsidR="008B3E53" w:rsidRPr="00CA7E6E" w:rsidRDefault="008B3E53" w:rsidP="008B3E53">
      <w:pPr>
        <w:ind w:left="2268" w:hanging="2268"/>
        <w:rPr>
          <w:b/>
          <w:sz w:val="22"/>
          <w:szCs w:val="22"/>
        </w:rPr>
      </w:pPr>
    </w:p>
    <w:p w:rsidR="008B3E53" w:rsidRPr="00CA7E6E" w:rsidRDefault="008B3E53" w:rsidP="008B3E53">
      <w:pPr>
        <w:ind w:left="2268" w:hanging="2268"/>
        <w:rPr>
          <w:b/>
          <w:bCs/>
          <w:sz w:val="22"/>
          <w:szCs w:val="22"/>
        </w:rPr>
      </w:pPr>
    </w:p>
    <w:p w:rsidR="008B3E53" w:rsidRPr="00CA7E6E" w:rsidRDefault="008B3E53" w:rsidP="008B3E53">
      <w:pPr>
        <w:ind w:left="2268" w:hanging="2268"/>
        <w:rPr>
          <w:rFonts w:cs="Arial"/>
          <w:sz w:val="22"/>
          <w:szCs w:val="22"/>
        </w:rPr>
      </w:pPr>
      <w:r w:rsidRPr="00CA7E6E">
        <w:rPr>
          <w:bCs/>
          <w:sz w:val="22"/>
          <w:szCs w:val="22"/>
        </w:rPr>
        <w:t>ACHIEVEMENTS IN THE 2012/13 BIENNIUM</w:t>
      </w:r>
    </w:p>
    <w:p w:rsidR="008B3E53" w:rsidRPr="00CA7E6E" w:rsidRDefault="008B3E53" w:rsidP="008B3E53">
      <w:pPr>
        <w:ind w:left="2268" w:hanging="2268"/>
        <w:rPr>
          <w:b/>
          <w:sz w:val="22"/>
          <w:szCs w:val="22"/>
        </w:rPr>
      </w:pPr>
    </w:p>
    <w:p w:rsidR="008B3E53" w:rsidRPr="00FA09F8" w:rsidRDefault="008B3E53" w:rsidP="008B3E53">
      <w:pPr>
        <w:tabs>
          <w:tab w:val="left" w:pos="709"/>
        </w:tabs>
        <w:jc w:val="both"/>
        <w:rPr>
          <w:rFonts w:cs="Arial"/>
          <w:snapToGrid w:val="0"/>
        </w:rPr>
      </w:pPr>
      <w:r>
        <w:rPr>
          <w:rFonts w:cs="Arial"/>
          <w:snapToGrid w:val="0"/>
        </w:rPr>
        <w:t>7.1.</w:t>
      </w:r>
      <w:r>
        <w:rPr>
          <w:rFonts w:cs="Arial"/>
          <w:snapToGrid w:val="0"/>
        </w:rPr>
        <w:tab/>
        <w:t xml:space="preserve">The WIPO Arbitration and Mediation Center (WIPO Center) is recognized as the principal international resource for timely and cost effective alternatives to court litigation of IP disputes, acting as a provider of legal and organizational expertise and as an administrator of cases.  This also includes the provision of services for Internet domain name disputes.  </w:t>
      </w:r>
    </w:p>
    <w:p w:rsidR="008B3E53" w:rsidRPr="007A17F5" w:rsidRDefault="008B3E53" w:rsidP="008B3E53">
      <w:pPr>
        <w:tabs>
          <w:tab w:val="left" w:pos="709"/>
        </w:tabs>
        <w:jc w:val="both"/>
        <w:rPr>
          <w:snapToGrid w:val="0"/>
        </w:rPr>
      </w:pPr>
    </w:p>
    <w:p w:rsidR="008B3E53" w:rsidRDefault="008B3E53" w:rsidP="008B3E53">
      <w:pPr>
        <w:pStyle w:val="Header"/>
        <w:widowControl w:val="0"/>
        <w:tabs>
          <w:tab w:val="left" w:pos="709"/>
          <w:tab w:val="right" w:pos="9000"/>
        </w:tabs>
        <w:autoSpaceDE w:val="0"/>
        <w:autoSpaceDN w:val="0"/>
        <w:adjustRightInd w:val="0"/>
        <w:jc w:val="both"/>
        <w:rPr>
          <w:noProof/>
        </w:rPr>
      </w:pPr>
      <w:r>
        <w:rPr>
          <w:noProof/>
        </w:rPr>
        <w:t>7.2.</w:t>
      </w:r>
      <w:r>
        <w:rPr>
          <w:noProof/>
        </w:rPr>
        <w:tab/>
        <w:t xml:space="preserve">In 2012/13, the WIPO </w:t>
      </w:r>
      <w:r w:rsidRPr="008003DD">
        <w:rPr>
          <w:noProof/>
        </w:rPr>
        <w:t>Center work</w:t>
      </w:r>
      <w:r>
        <w:rPr>
          <w:noProof/>
        </w:rPr>
        <w:t xml:space="preserve">ed </w:t>
      </w:r>
      <w:r w:rsidRPr="008003DD">
        <w:rPr>
          <w:noProof/>
        </w:rPr>
        <w:t>t</w:t>
      </w:r>
      <w:r>
        <w:rPr>
          <w:noProof/>
        </w:rPr>
        <w:t xml:space="preserve">o optimize the potential of its </w:t>
      </w:r>
      <w:r w:rsidRPr="008003DD">
        <w:rPr>
          <w:noProof/>
        </w:rPr>
        <w:t xml:space="preserve">procedures to meet the needs of </w:t>
      </w:r>
      <w:r>
        <w:rPr>
          <w:noProof/>
        </w:rPr>
        <w:t xml:space="preserve">IP </w:t>
      </w:r>
      <w:r w:rsidRPr="008003DD">
        <w:rPr>
          <w:noProof/>
        </w:rPr>
        <w:t xml:space="preserve">right holders </w:t>
      </w:r>
      <w:r>
        <w:rPr>
          <w:noProof/>
        </w:rPr>
        <w:t>and users</w:t>
      </w:r>
      <w:r w:rsidRPr="008003DD">
        <w:rPr>
          <w:noProof/>
        </w:rPr>
        <w:t xml:space="preserve">.  </w:t>
      </w:r>
      <w:r>
        <w:rPr>
          <w:noProof/>
        </w:rPr>
        <w:t xml:space="preserve">In this context, the WIPO Center in 2013 published a report entitled  Results of the WIPO Arbitration and Mediation Center International </w:t>
      </w:r>
      <w:r w:rsidRPr="000361DD">
        <w:rPr>
          <w:noProof/>
        </w:rPr>
        <w:t>Survey o</w:t>
      </w:r>
      <w:r>
        <w:rPr>
          <w:noProof/>
        </w:rPr>
        <w:t>n</w:t>
      </w:r>
      <w:r w:rsidRPr="000361DD">
        <w:rPr>
          <w:noProof/>
        </w:rPr>
        <w:t xml:space="preserve"> Dispute Resolution in International Technology Transactions</w:t>
      </w:r>
      <w:r>
        <w:rPr>
          <w:rStyle w:val="FootnoteReference"/>
          <w:noProof/>
        </w:rPr>
        <w:footnoteReference w:id="12"/>
      </w:r>
      <w:r w:rsidRPr="000361DD">
        <w:rPr>
          <w:noProof/>
        </w:rPr>
        <w:t>.</w:t>
      </w:r>
      <w:r>
        <w:rPr>
          <w:noProof/>
        </w:rPr>
        <w:t xml:space="preserve">  The Report provides data on and analysis of user expectations and experience. </w:t>
      </w:r>
      <w:r w:rsidR="00695B53">
        <w:rPr>
          <w:noProof/>
        </w:rPr>
        <w:t xml:space="preserve"> </w:t>
      </w:r>
      <w:r>
        <w:rPr>
          <w:noProof/>
        </w:rPr>
        <w:t xml:space="preserve">The WIPO Center also held arbitration and mediation workshops, and actively managed WIPO cases using up-to-date case administration infrastructure, in particular </w:t>
      </w:r>
      <w:r w:rsidRPr="008003DD">
        <w:rPr>
          <w:noProof/>
        </w:rPr>
        <w:t>the WIPO Electronic Case Facility (ECAF</w:t>
      </w:r>
      <w:r>
        <w:rPr>
          <w:noProof/>
        </w:rPr>
        <w:t xml:space="preserve">).  </w:t>
      </w:r>
    </w:p>
    <w:p w:rsidR="008B3E53" w:rsidRPr="000134CB" w:rsidRDefault="008B3E53" w:rsidP="008B3E53">
      <w:pPr>
        <w:pStyle w:val="Header"/>
        <w:widowControl w:val="0"/>
        <w:tabs>
          <w:tab w:val="left" w:pos="709"/>
          <w:tab w:val="right" w:pos="9000"/>
        </w:tabs>
        <w:autoSpaceDE w:val="0"/>
        <w:autoSpaceDN w:val="0"/>
        <w:adjustRightInd w:val="0"/>
        <w:jc w:val="both"/>
      </w:pPr>
    </w:p>
    <w:p w:rsidR="008B3E53" w:rsidRDefault="008B3E53" w:rsidP="008B3E53">
      <w:pPr>
        <w:pStyle w:val="Header"/>
        <w:widowControl w:val="0"/>
        <w:tabs>
          <w:tab w:val="left" w:pos="709"/>
          <w:tab w:val="right" w:pos="9000"/>
        </w:tabs>
        <w:autoSpaceDE w:val="0"/>
        <w:autoSpaceDN w:val="0"/>
        <w:adjustRightInd w:val="0"/>
        <w:jc w:val="both"/>
        <w:rPr>
          <w:noProof/>
        </w:rPr>
      </w:pPr>
      <w:r>
        <w:rPr>
          <w:noProof/>
        </w:rPr>
        <w:t>7.3.</w:t>
      </w:r>
      <w:r>
        <w:rPr>
          <w:noProof/>
        </w:rPr>
        <w:tab/>
      </w:r>
      <w:r w:rsidRPr="008670C1">
        <w:rPr>
          <w:noProof/>
        </w:rPr>
        <w:t xml:space="preserve">The </w:t>
      </w:r>
      <w:r>
        <w:rPr>
          <w:noProof/>
        </w:rPr>
        <w:t xml:space="preserve">WIPO </w:t>
      </w:r>
      <w:r w:rsidRPr="008670C1">
        <w:rPr>
          <w:noProof/>
        </w:rPr>
        <w:t>Center assisted IP stakeholders in establishing</w:t>
      </w:r>
      <w:r>
        <w:rPr>
          <w:noProof/>
        </w:rPr>
        <w:t xml:space="preserve"> a</w:t>
      </w:r>
      <w:r w:rsidRPr="008670C1">
        <w:rPr>
          <w:noProof/>
        </w:rPr>
        <w:t xml:space="preserve">lternative dispute resolution </w:t>
      </w:r>
      <w:r>
        <w:rPr>
          <w:noProof/>
        </w:rPr>
        <w:t xml:space="preserve">(ADR) </w:t>
      </w:r>
      <w:r w:rsidRPr="008670C1">
        <w:rPr>
          <w:noProof/>
        </w:rPr>
        <w:t xml:space="preserve">procedures adapted to the features of recurrent disputes in their areas of activity.  </w:t>
      </w:r>
      <w:r>
        <w:rPr>
          <w:noProof/>
        </w:rPr>
        <w:t xml:space="preserve">The year 2012 saw the first cases </w:t>
      </w:r>
      <w:r w:rsidRPr="000B1D42">
        <w:rPr>
          <w:noProof/>
        </w:rPr>
        <w:t>successfully settled</w:t>
      </w:r>
      <w:r>
        <w:rPr>
          <w:noProof/>
        </w:rPr>
        <w:t xml:space="preserve"> under a</w:t>
      </w:r>
      <w:hyperlink r:id="rId49" w:history="1">
        <w:r w:rsidRPr="000E337A">
          <w:rPr>
            <w:noProof/>
          </w:rPr>
          <w:t xml:space="preserve"> procedure</w:t>
        </w:r>
      </w:hyperlink>
      <w:r w:rsidRPr="000B1D42">
        <w:rPr>
          <w:noProof/>
        </w:rPr>
        <w:t xml:space="preserve"> </w:t>
      </w:r>
      <w:r>
        <w:rPr>
          <w:noProof/>
        </w:rPr>
        <w:t>for</w:t>
      </w:r>
      <w:r w:rsidRPr="000B1D42">
        <w:rPr>
          <w:noProof/>
        </w:rPr>
        <w:t xml:space="preserve"> the mediation of trademark oppositions at the Intellectual Property Office of Singapore (IPOS).  </w:t>
      </w:r>
      <w:r>
        <w:rPr>
          <w:noProof/>
        </w:rPr>
        <w:t>T</w:t>
      </w:r>
      <w:r>
        <w:rPr>
          <w:lang w:val="en"/>
        </w:rPr>
        <w:t>h</w:t>
      </w:r>
      <w:r w:rsidRPr="000B1D42">
        <w:rPr>
          <w:noProof/>
        </w:rPr>
        <w:t xml:space="preserve">e </w:t>
      </w:r>
      <w:r>
        <w:rPr>
          <w:noProof/>
        </w:rPr>
        <w:t xml:space="preserve">WIPO </w:t>
      </w:r>
      <w:r w:rsidRPr="000B1D42">
        <w:rPr>
          <w:noProof/>
        </w:rPr>
        <w:t xml:space="preserve">Center </w:t>
      </w:r>
      <w:r>
        <w:rPr>
          <w:noProof/>
        </w:rPr>
        <w:t>helped develop</w:t>
      </w:r>
      <w:r w:rsidRPr="000B1D42">
        <w:rPr>
          <w:noProof/>
        </w:rPr>
        <w:t xml:space="preserve"> a similar mediation option for trademark proceedings before</w:t>
      </w:r>
      <w:r>
        <w:rPr>
          <w:noProof/>
        </w:rPr>
        <w:t xml:space="preserve"> the National Institute of Industrial Property of Brazil (</w:t>
      </w:r>
      <w:r>
        <w:rPr>
          <w:lang w:val="en"/>
        </w:rPr>
        <w:t>INPI</w:t>
      </w:r>
      <w:r>
        <w:rPr>
          <w:lang w:val="en"/>
        </w:rPr>
        <w:noBreakHyphen/>
        <w:t>BR), which became available</w:t>
      </w:r>
      <w:r>
        <w:rPr>
          <w:noProof/>
        </w:rPr>
        <w:t xml:space="preserve"> to parties in July 2013.</w:t>
      </w:r>
    </w:p>
    <w:p w:rsidR="008B3E53" w:rsidRDefault="008B3E53" w:rsidP="008B3E53">
      <w:pPr>
        <w:pStyle w:val="Header"/>
        <w:widowControl w:val="0"/>
        <w:tabs>
          <w:tab w:val="left" w:pos="709"/>
          <w:tab w:val="right" w:pos="9000"/>
        </w:tabs>
        <w:autoSpaceDE w:val="0"/>
        <w:autoSpaceDN w:val="0"/>
        <w:adjustRightInd w:val="0"/>
        <w:jc w:val="both"/>
        <w:rPr>
          <w:noProof/>
        </w:rPr>
      </w:pPr>
    </w:p>
    <w:p w:rsidR="008B3E53" w:rsidRDefault="008B3E53" w:rsidP="008B3E53">
      <w:pPr>
        <w:tabs>
          <w:tab w:val="left" w:pos="709"/>
        </w:tabs>
        <w:jc w:val="both"/>
        <w:rPr>
          <w:noProof/>
        </w:rPr>
      </w:pPr>
      <w:r>
        <w:rPr>
          <w:noProof/>
        </w:rPr>
        <w:t>7.4.</w:t>
      </w:r>
      <w:r>
        <w:rPr>
          <w:noProof/>
        </w:rPr>
        <w:tab/>
      </w:r>
      <w:r w:rsidRPr="00924282">
        <w:rPr>
          <w:noProof/>
        </w:rPr>
        <w:t>In the area of film and media dispute resolution, M</w:t>
      </w:r>
      <w:r>
        <w:rPr>
          <w:noProof/>
        </w:rPr>
        <w:t xml:space="preserve">emoranda of Understanding </w:t>
      </w:r>
      <w:r w:rsidRPr="00924282">
        <w:rPr>
          <w:noProof/>
        </w:rPr>
        <w:t xml:space="preserve">were signed </w:t>
      </w:r>
      <w:r>
        <w:rPr>
          <w:lang w:val="en"/>
        </w:rPr>
        <w:t xml:space="preserve">in 2012 between WIPO and the </w:t>
      </w:r>
      <w:r w:rsidRPr="00CE0ABE">
        <w:rPr>
          <w:lang w:val="en"/>
        </w:rPr>
        <w:t>Korea Creative Content Agency (KOCCA)</w:t>
      </w:r>
      <w:r>
        <w:rPr>
          <w:lang w:val="en"/>
        </w:rPr>
        <w:t xml:space="preserve"> and the </w:t>
      </w:r>
      <w:r w:rsidRPr="00114B78">
        <w:rPr>
          <w:lang w:val="en"/>
        </w:rPr>
        <w:t>Ministry of Culture, Sports and Tourism</w:t>
      </w:r>
      <w:r>
        <w:rPr>
          <w:lang w:val="en"/>
        </w:rPr>
        <w:t xml:space="preserve"> (MCST) of the Republic of Korea, aiming to promote ADR services in the sectors covered by their respective activities</w:t>
      </w:r>
      <w:r>
        <w:rPr>
          <w:noProof/>
        </w:rPr>
        <w:t>.</w:t>
      </w:r>
    </w:p>
    <w:p w:rsidR="008B3E53" w:rsidRDefault="008B3E53" w:rsidP="008B3E53">
      <w:pPr>
        <w:pStyle w:val="Header"/>
        <w:widowControl w:val="0"/>
        <w:tabs>
          <w:tab w:val="left" w:pos="709"/>
          <w:tab w:val="right" w:pos="9000"/>
        </w:tabs>
        <w:autoSpaceDE w:val="0"/>
        <w:autoSpaceDN w:val="0"/>
        <w:adjustRightInd w:val="0"/>
        <w:jc w:val="both"/>
        <w:rPr>
          <w:noProof/>
        </w:rPr>
      </w:pPr>
    </w:p>
    <w:p w:rsidR="008B3E53" w:rsidRDefault="008B3E53" w:rsidP="008B3E53">
      <w:pPr>
        <w:tabs>
          <w:tab w:val="left" w:pos="709"/>
        </w:tabs>
        <w:jc w:val="both"/>
        <w:rPr>
          <w:lang w:val="en"/>
        </w:rPr>
      </w:pPr>
      <w:r>
        <w:rPr>
          <w:lang w:val="en"/>
        </w:rPr>
        <w:t>7.5.</w:t>
      </w:r>
      <w:r>
        <w:rPr>
          <w:lang w:val="en"/>
        </w:rPr>
        <w:tab/>
        <w:t xml:space="preserve">In collaboration with </w:t>
      </w:r>
      <w:r w:rsidRPr="00CE7992">
        <w:rPr>
          <w:lang w:val="en"/>
        </w:rPr>
        <w:t>the Secretariat of the European Telecommunica</w:t>
      </w:r>
      <w:r>
        <w:rPr>
          <w:lang w:val="en"/>
        </w:rPr>
        <w:t>tion Standards Institute (ETSI), t</w:t>
      </w:r>
      <w:r w:rsidRPr="000134CB">
        <w:rPr>
          <w:lang w:val="en"/>
        </w:rPr>
        <w:t xml:space="preserve">he WIPO Center </w:t>
      </w:r>
      <w:r>
        <w:rPr>
          <w:lang w:val="en"/>
        </w:rPr>
        <w:t xml:space="preserve">in December 2013 </w:t>
      </w:r>
      <w:r w:rsidRPr="000134CB">
        <w:rPr>
          <w:lang w:val="en"/>
        </w:rPr>
        <w:t>made availabl</w:t>
      </w:r>
      <w:r>
        <w:rPr>
          <w:lang w:val="en"/>
        </w:rPr>
        <w:t>e tailored model agreements that</w:t>
      </w:r>
      <w:r w:rsidRPr="000134CB">
        <w:rPr>
          <w:lang w:val="en"/>
        </w:rPr>
        <w:t xml:space="preserve"> companies involved in the telecom industry may use to refer a </w:t>
      </w:r>
      <w:hyperlink r:id="rId50" w:history="1">
        <w:r>
          <w:rPr>
            <w:lang w:val="en"/>
          </w:rPr>
          <w:t xml:space="preserve">dispute concerning </w:t>
        </w:r>
        <w:r w:rsidRPr="000134CB">
          <w:rPr>
            <w:lang w:val="en"/>
          </w:rPr>
          <w:t xml:space="preserve">fair, reasonable and non-discriminatory (FRAND) </w:t>
        </w:r>
        <w:r>
          <w:rPr>
            <w:lang w:val="en"/>
          </w:rPr>
          <w:t xml:space="preserve">licensing </w:t>
        </w:r>
        <w:r w:rsidRPr="000134CB">
          <w:rPr>
            <w:lang w:val="en"/>
          </w:rPr>
          <w:t>terms</w:t>
        </w:r>
      </w:hyperlink>
      <w:r w:rsidRPr="000134CB">
        <w:rPr>
          <w:lang w:val="en"/>
        </w:rPr>
        <w:t xml:space="preserve"> </w:t>
      </w:r>
      <w:r>
        <w:rPr>
          <w:lang w:val="en"/>
        </w:rPr>
        <w:t>for the use of patents involved in an industry standard</w:t>
      </w:r>
      <w:r w:rsidRPr="000134CB">
        <w:rPr>
          <w:lang w:val="en"/>
        </w:rPr>
        <w:t xml:space="preserve"> to WIPO Mediation and (Expedited) Arbitration</w:t>
      </w:r>
      <w:r>
        <w:rPr>
          <w:lang w:val="en"/>
        </w:rPr>
        <w:t>, with the aim of facilitating cost- and time-effective FRAND adjudication.</w:t>
      </w:r>
      <w:r w:rsidRPr="000134CB">
        <w:rPr>
          <w:lang w:val="en"/>
        </w:rPr>
        <w:t xml:space="preserve"> </w:t>
      </w:r>
    </w:p>
    <w:p w:rsidR="008B3E53" w:rsidRDefault="008B3E53" w:rsidP="008B3E53">
      <w:pPr>
        <w:tabs>
          <w:tab w:val="left" w:pos="709"/>
        </w:tabs>
        <w:jc w:val="both"/>
        <w:rPr>
          <w:lang w:val="en"/>
        </w:rPr>
      </w:pPr>
    </w:p>
    <w:p w:rsidR="008B3E53" w:rsidRPr="000134CB" w:rsidRDefault="008B3E53" w:rsidP="008B3E53">
      <w:pPr>
        <w:tabs>
          <w:tab w:val="left" w:pos="709"/>
        </w:tabs>
        <w:jc w:val="both"/>
        <w:rPr>
          <w:lang w:val="en"/>
        </w:rPr>
      </w:pPr>
      <w:r>
        <w:rPr>
          <w:lang w:val="en"/>
        </w:rPr>
        <w:t>7.6.</w:t>
      </w:r>
      <w:r>
        <w:rPr>
          <w:lang w:val="en"/>
        </w:rPr>
        <w:tab/>
        <w:t xml:space="preserve">In the context of the WIPO Center’s policy collaboration in the area of </w:t>
      </w:r>
      <w:r w:rsidRPr="000134CB">
        <w:rPr>
          <w:lang w:val="en"/>
        </w:rPr>
        <w:t>R</w:t>
      </w:r>
      <w:r>
        <w:rPr>
          <w:lang w:val="en"/>
        </w:rPr>
        <w:t xml:space="preserve">esearch </w:t>
      </w:r>
      <w:r w:rsidRPr="000134CB">
        <w:rPr>
          <w:lang w:val="en"/>
        </w:rPr>
        <w:t>&amp;</w:t>
      </w:r>
      <w:r>
        <w:rPr>
          <w:lang w:val="en"/>
        </w:rPr>
        <w:t xml:space="preserve"> </w:t>
      </w:r>
      <w:r w:rsidRPr="000134CB">
        <w:rPr>
          <w:lang w:val="en"/>
        </w:rPr>
        <w:t>D</w:t>
      </w:r>
      <w:r>
        <w:t>evelopment</w:t>
      </w:r>
      <w:r w:rsidRPr="000134CB">
        <w:rPr>
          <w:lang w:val="en"/>
        </w:rPr>
        <w:t xml:space="preserve"> </w:t>
      </w:r>
      <w:r>
        <w:rPr>
          <w:lang w:val="en"/>
        </w:rPr>
        <w:t xml:space="preserve">disputes, the </w:t>
      </w:r>
      <w:r w:rsidRPr="000134CB">
        <w:rPr>
          <w:lang w:val="en"/>
        </w:rPr>
        <w:t>Austrian Intellectual Property Agreement Guide (IPAG)</w:t>
      </w:r>
      <w:r>
        <w:rPr>
          <w:lang w:val="en"/>
        </w:rPr>
        <w:t xml:space="preserve"> in 2013</w:t>
      </w:r>
      <w:r w:rsidRPr="000134CB">
        <w:rPr>
          <w:lang w:val="en"/>
        </w:rPr>
        <w:t xml:space="preserve"> launched a set of model agreements including WIPO ADR clauses.  </w:t>
      </w:r>
    </w:p>
    <w:p w:rsidR="008B3E53" w:rsidRDefault="008B3E53" w:rsidP="008B3E53">
      <w:pPr>
        <w:tabs>
          <w:tab w:val="left" w:pos="709"/>
        </w:tabs>
        <w:jc w:val="both"/>
        <w:rPr>
          <w:noProof/>
        </w:rPr>
      </w:pPr>
    </w:p>
    <w:p w:rsidR="008B3E53" w:rsidRPr="00CE0ABE" w:rsidRDefault="008B3E53" w:rsidP="008B3E53">
      <w:pPr>
        <w:tabs>
          <w:tab w:val="left" w:pos="709"/>
        </w:tabs>
        <w:jc w:val="both"/>
        <w:rPr>
          <w:lang w:val="en"/>
        </w:rPr>
      </w:pPr>
      <w:r>
        <w:rPr>
          <w:lang w:val="en"/>
        </w:rPr>
        <w:t>7.7.</w:t>
      </w:r>
      <w:r>
        <w:rPr>
          <w:lang w:val="en"/>
        </w:rPr>
        <w:tab/>
      </w:r>
      <w:r w:rsidRPr="00596295">
        <w:rPr>
          <w:lang w:val="en"/>
        </w:rPr>
        <w:t xml:space="preserve">In the area of domain names, </w:t>
      </w:r>
      <w:r>
        <w:rPr>
          <w:lang w:val="en"/>
        </w:rPr>
        <w:t>the WIPO Center in 2012/13 administered 5,469</w:t>
      </w:r>
      <w:r w:rsidRPr="00596295">
        <w:rPr>
          <w:lang w:val="en"/>
        </w:rPr>
        <w:t xml:space="preserve"> cybersquatting cases covering </w:t>
      </w:r>
      <w:r>
        <w:rPr>
          <w:lang w:val="en"/>
        </w:rPr>
        <w:t>11,271</w:t>
      </w:r>
      <w:r w:rsidRPr="00596295">
        <w:rPr>
          <w:lang w:val="en"/>
        </w:rPr>
        <w:t xml:space="preserve"> names under procedures based on the Uniform Domain Name Dispute Resolution Policy (UDRP)</w:t>
      </w:r>
      <w:r>
        <w:t>.</w:t>
      </w:r>
      <w:r>
        <w:rPr>
          <w:lang w:val="en"/>
        </w:rPr>
        <w:t xml:space="preserve">  </w:t>
      </w:r>
      <w:r w:rsidRPr="00596295">
        <w:rPr>
          <w:lang w:val="en"/>
        </w:rPr>
        <w:t xml:space="preserve">The </w:t>
      </w:r>
      <w:r>
        <w:rPr>
          <w:lang w:val="en"/>
        </w:rPr>
        <w:t xml:space="preserve">WIPO </w:t>
      </w:r>
      <w:r w:rsidRPr="00596295">
        <w:rPr>
          <w:lang w:val="en"/>
        </w:rPr>
        <w:t>Center</w:t>
      </w:r>
      <w:r>
        <w:rPr>
          <w:lang w:val="en"/>
        </w:rPr>
        <w:t xml:space="preserve"> d</w:t>
      </w:r>
      <w:r w:rsidRPr="00596295">
        <w:rPr>
          <w:lang w:val="en"/>
        </w:rPr>
        <w:t xml:space="preserve">eveloped </w:t>
      </w:r>
      <w:r>
        <w:rPr>
          <w:lang w:val="en"/>
        </w:rPr>
        <w:t>and launched in 2012 the Domain Name Electronic Case Access Facility (</w:t>
      </w:r>
      <w:r w:rsidRPr="00596295">
        <w:rPr>
          <w:lang w:val="en"/>
        </w:rPr>
        <w:t>DECAF</w:t>
      </w:r>
      <w:r>
        <w:rPr>
          <w:lang w:val="en"/>
        </w:rPr>
        <w:t>)</w:t>
      </w:r>
      <w:r w:rsidRPr="00596295">
        <w:rPr>
          <w:lang w:val="en"/>
        </w:rPr>
        <w:t xml:space="preserve">, a </w:t>
      </w:r>
      <w:r w:rsidRPr="00CF611C">
        <w:rPr>
          <w:lang w:val="en"/>
        </w:rPr>
        <w:t xml:space="preserve">secure WIPO </w:t>
      </w:r>
      <w:r>
        <w:rPr>
          <w:lang w:val="en"/>
        </w:rPr>
        <w:t xml:space="preserve">panel </w:t>
      </w:r>
      <w:r w:rsidRPr="00CF611C">
        <w:rPr>
          <w:lang w:val="en"/>
        </w:rPr>
        <w:t xml:space="preserve">platform for </w:t>
      </w:r>
      <w:r>
        <w:rPr>
          <w:lang w:val="en"/>
        </w:rPr>
        <w:t xml:space="preserve">dispute </w:t>
      </w:r>
      <w:r w:rsidRPr="00CF611C">
        <w:rPr>
          <w:lang w:val="en"/>
        </w:rPr>
        <w:t>pleadings</w:t>
      </w:r>
      <w:r w:rsidRPr="00596295">
        <w:rPr>
          <w:lang w:val="en"/>
        </w:rPr>
        <w:t>.</w:t>
      </w:r>
      <w:r>
        <w:rPr>
          <w:lang w:val="en"/>
        </w:rPr>
        <w:t xml:space="preserve">  The total number of domain names in UDRP</w:t>
      </w:r>
      <w:r>
        <w:rPr>
          <w:lang w:val="en"/>
        </w:rPr>
        <w:noBreakHyphen/>
        <w:t>based cases received by WIPO since 1999 surpassed 50,000.</w:t>
      </w:r>
    </w:p>
    <w:p w:rsidR="008B3E53" w:rsidRPr="00596295" w:rsidRDefault="008B3E53" w:rsidP="008B3E53">
      <w:pPr>
        <w:pStyle w:val="Header"/>
        <w:widowControl w:val="0"/>
        <w:tabs>
          <w:tab w:val="left" w:pos="709"/>
          <w:tab w:val="right" w:pos="9000"/>
        </w:tabs>
        <w:autoSpaceDE w:val="0"/>
        <w:autoSpaceDN w:val="0"/>
        <w:adjustRightInd w:val="0"/>
        <w:jc w:val="both"/>
        <w:rPr>
          <w:noProof/>
          <w:lang w:val="en"/>
        </w:rPr>
      </w:pPr>
    </w:p>
    <w:p w:rsidR="008B3E53" w:rsidRPr="00193549" w:rsidRDefault="008B3E53" w:rsidP="008B3E53">
      <w:pPr>
        <w:tabs>
          <w:tab w:val="left" w:pos="709"/>
        </w:tabs>
        <w:jc w:val="both"/>
        <w:rPr>
          <w:noProof/>
        </w:rPr>
      </w:pPr>
      <w:r>
        <w:rPr>
          <w:noProof/>
        </w:rPr>
        <w:t>7.8.</w:t>
      </w:r>
      <w:r>
        <w:rPr>
          <w:noProof/>
        </w:rPr>
        <w:tab/>
      </w:r>
      <w:r w:rsidRPr="00193549">
        <w:rPr>
          <w:noProof/>
        </w:rPr>
        <w:t>Focusing on new Rights Protection Mechanisms adopted by the Internet Corporation for Assigned Names and Nu</w:t>
      </w:r>
      <w:r>
        <w:rPr>
          <w:noProof/>
        </w:rPr>
        <w:t xml:space="preserve">mbers (ICANN), WIPO engaged in significant IP-related </w:t>
      </w:r>
      <w:r w:rsidRPr="00193549">
        <w:rPr>
          <w:noProof/>
        </w:rPr>
        <w:t xml:space="preserve">policy activity </w:t>
      </w:r>
      <w:r>
        <w:rPr>
          <w:noProof/>
        </w:rPr>
        <w:t>in relation to</w:t>
      </w:r>
      <w:r w:rsidRPr="00193549">
        <w:rPr>
          <w:noProof/>
        </w:rPr>
        <w:t xml:space="preserve"> the introduction</w:t>
      </w:r>
      <w:r>
        <w:rPr>
          <w:noProof/>
        </w:rPr>
        <w:t xml:space="preserve"> </w:t>
      </w:r>
      <w:r w:rsidRPr="00193549">
        <w:rPr>
          <w:noProof/>
        </w:rPr>
        <w:t xml:space="preserve">by ICANN of </w:t>
      </w:r>
      <w:r>
        <w:rPr>
          <w:noProof/>
        </w:rPr>
        <w:t xml:space="preserve">up to 1,400 </w:t>
      </w:r>
      <w:r w:rsidRPr="00193549">
        <w:rPr>
          <w:noProof/>
        </w:rPr>
        <w:t>new Top Level Domains</w:t>
      </w:r>
      <w:r>
        <w:rPr>
          <w:noProof/>
        </w:rPr>
        <w:t>.  T</w:t>
      </w:r>
      <w:r w:rsidRPr="00193549">
        <w:rPr>
          <w:noProof/>
        </w:rPr>
        <w:t xml:space="preserve">he </w:t>
      </w:r>
      <w:r>
        <w:rPr>
          <w:noProof/>
        </w:rPr>
        <w:t>WIPO Center</w:t>
      </w:r>
      <w:r w:rsidRPr="00193549">
        <w:rPr>
          <w:noProof/>
        </w:rPr>
        <w:t xml:space="preserve"> </w:t>
      </w:r>
      <w:r>
        <w:rPr>
          <w:noProof/>
        </w:rPr>
        <w:t>administered 69</w:t>
      </w:r>
      <w:r w:rsidR="00695B53">
        <w:rPr>
          <w:noProof/>
        </w:rPr>
        <w:t> </w:t>
      </w:r>
      <w:r>
        <w:rPr>
          <w:noProof/>
        </w:rPr>
        <w:t xml:space="preserve">cases as the </w:t>
      </w:r>
      <w:r w:rsidRPr="00193549">
        <w:rPr>
          <w:noProof/>
        </w:rPr>
        <w:t>provider of dispute re</w:t>
      </w:r>
      <w:r>
        <w:rPr>
          <w:noProof/>
        </w:rPr>
        <w:t>solution services under a WIPO</w:t>
      </w:r>
      <w:r>
        <w:rPr>
          <w:noProof/>
        </w:rPr>
        <w:noBreakHyphen/>
        <w:t>developed trademark-</w:t>
      </w:r>
      <w:r w:rsidRPr="00193549">
        <w:rPr>
          <w:noProof/>
        </w:rPr>
        <w:t>based “pre</w:t>
      </w:r>
      <w:r w:rsidR="00695B53">
        <w:rPr>
          <w:noProof/>
        </w:rPr>
        <w:noBreakHyphen/>
      </w:r>
      <w:r w:rsidRPr="00193549">
        <w:rPr>
          <w:noProof/>
        </w:rPr>
        <w:t xml:space="preserve">delegation” Legal Rights Objections </w:t>
      </w:r>
      <w:r>
        <w:rPr>
          <w:noProof/>
        </w:rPr>
        <w:t>(LRO) procedure, capped by a WIPO Report published in December 2013</w:t>
      </w:r>
      <w:r>
        <w:rPr>
          <w:rStyle w:val="FootnoteReference"/>
          <w:noProof/>
        </w:rPr>
        <w:footnoteReference w:id="13"/>
      </w:r>
      <w:r>
        <w:rPr>
          <w:noProof/>
        </w:rPr>
        <w:t>.</w:t>
      </w:r>
    </w:p>
    <w:p w:rsidR="008B3E53" w:rsidRDefault="008B3E53" w:rsidP="008B3E53">
      <w:pPr>
        <w:pStyle w:val="BodyText"/>
        <w:widowControl w:val="0"/>
        <w:tabs>
          <w:tab w:val="left" w:pos="709"/>
        </w:tabs>
        <w:autoSpaceDE w:val="0"/>
        <w:autoSpaceDN w:val="0"/>
        <w:adjustRightInd w:val="0"/>
        <w:jc w:val="both"/>
        <w:rPr>
          <w:noProof/>
          <w:szCs w:val="24"/>
        </w:rPr>
      </w:pPr>
    </w:p>
    <w:p w:rsidR="008B3E53" w:rsidRPr="00B84BB2" w:rsidRDefault="008B3E53" w:rsidP="008B3E53">
      <w:pPr>
        <w:keepNext/>
        <w:keepLines/>
        <w:tabs>
          <w:tab w:val="left" w:pos="709"/>
        </w:tabs>
        <w:jc w:val="both"/>
        <w:rPr>
          <w:rFonts w:cs="Arial"/>
          <w:sz w:val="22"/>
          <w:szCs w:val="22"/>
        </w:rPr>
      </w:pPr>
      <w:r>
        <w:rPr>
          <w:noProof/>
        </w:rPr>
        <w:lastRenderedPageBreak/>
        <w:t>7.9.</w:t>
      </w:r>
      <w:r>
        <w:rPr>
          <w:noProof/>
        </w:rPr>
        <w:tab/>
      </w:r>
      <w:r w:rsidRPr="0088043C">
        <w:rPr>
          <w:noProof/>
        </w:rPr>
        <w:t xml:space="preserve">The </w:t>
      </w:r>
      <w:r>
        <w:rPr>
          <w:noProof/>
        </w:rPr>
        <w:t>WIPO Center</w:t>
      </w:r>
      <w:r w:rsidRPr="0088043C">
        <w:rPr>
          <w:noProof/>
        </w:rPr>
        <w:t xml:space="preserve"> liaise</w:t>
      </w:r>
      <w:r>
        <w:rPr>
          <w:noProof/>
        </w:rPr>
        <w:t>d</w:t>
      </w:r>
      <w:r w:rsidRPr="0088043C">
        <w:rPr>
          <w:noProof/>
        </w:rPr>
        <w:t xml:space="preserve"> with the administrators of country code Top</w:t>
      </w:r>
      <w:r>
        <w:rPr>
          <w:noProof/>
        </w:rPr>
        <w:noBreakHyphen/>
      </w:r>
      <w:r w:rsidRPr="0088043C">
        <w:rPr>
          <w:noProof/>
        </w:rPr>
        <w:t>Level Domains (ccTLDs)</w:t>
      </w:r>
      <w:r>
        <w:rPr>
          <w:noProof/>
        </w:rPr>
        <w:t xml:space="preserve"> in different regions in relation to </w:t>
      </w:r>
      <w:r w:rsidRPr="0088043C">
        <w:rPr>
          <w:noProof/>
        </w:rPr>
        <w:t>dispute resolution policies</w:t>
      </w:r>
      <w:r>
        <w:rPr>
          <w:noProof/>
        </w:rPr>
        <w:t xml:space="preserve">.  In 2012/13, the WIPO Center became a provider for the </w:t>
      </w:r>
      <w:r w:rsidRPr="00865894">
        <w:rPr>
          <w:noProof/>
        </w:rPr>
        <w:t xml:space="preserve">.FM (Micronesia (Federated States of)), .GD (Grenada), .ML (Mali) </w:t>
      </w:r>
      <w:r w:rsidRPr="00FA3695">
        <w:rPr>
          <w:noProof/>
        </w:rPr>
        <w:t xml:space="preserve">.PW (Palau) </w:t>
      </w:r>
      <w:r>
        <w:rPr>
          <w:noProof/>
        </w:rPr>
        <w:t xml:space="preserve">and </w:t>
      </w:r>
      <w:r w:rsidRPr="00FA3695">
        <w:rPr>
          <w:noProof/>
        </w:rPr>
        <w:t>.TZ (</w:t>
      </w:r>
      <w:r w:rsidR="00695B53">
        <w:rPr>
          <w:noProof/>
        </w:rPr>
        <w:t xml:space="preserve">United Republic of </w:t>
      </w:r>
      <w:r w:rsidRPr="00FA3695">
        <w:rPr>
          <w:noProof/>
        </w:rPr>
        <w:t xml:space="preserve">Tanzania) </w:t>
      </w:r>
      <w:r w:rsidRPr="00865894">
        <w:rPr>
          <w:noProof/>
        </w:rPr>
        <w:t>domain</w:t>
      </w:r>
      <w:r>
        <w:rPr>
          <w:noProof/>
        </w:rPr>
        <w:t xml:space="preserve">s, bringing the total of </w:t>
      </w:r>
      <w:r w:rsidRPr="00865894">
        <w:rPr>
          <w:noProof/>
        </w:rPr>
        <w:t xml:space="preserve">ccTLDs </w:t>
      </w:r>
      <w:r>
        <w:rPr>
          <w:noProof/>
        </w:rPr>
        <w:t xml:space="preserve">for which </w:t>
      </w:r>
      <w:r w:rsidRPr="00865894">
        <w:rPr>
          <w:noProof/>
        </w:rPr>
        <w:t xml:space="preserve">WIPO </w:t>
      </w:r>
      <w:r>
        <w:rPr>
          <w:noProof/>
        </w:rPr>
        <w:t>provides such services to 70</w:t>
      </w:r>
      <w:r w:rsidRPr="0088043C">
        <w:rPr>
          <w:noProof/>
        </w:rPr>
        <w:t xml:space="preserve">.  </w:t>
      </w:r>
    </w:p>
    <w:p w:rsidR="008B3E53" w:rsidRPr="00CA7E6E" w:rsidRDefault="008B3E53" w:rsidP="008B3E53">
      <w:pPr>
        <w:ind w:left="2268" w:hanging="2268"/>
        <w:rPr>
          <w:b/>
          <w:bCs/>
          <w:sz w:val="22"/>
          <w:szCs w:val="22"/>
        </w:rPr>
      </w:pPr>
    </w:p>
    <w:p w:rsidR="008B3E53" w:rsidRPr="002C4083" w:rsidRDefault="008B3E53" w:rsidP="008B3E53">
      <w:pPr>
        <w:ind w:left="2268" w:hanging="2268"/>
        <w:rPr>
          <w:rFonts w:cs="Arial"/>
          <w:bCs/>
          <w:sz w:val="22"/>
          <w:szCs w:val="22"/>
        </w:rPr>
      </w:pPr>
      <w:r w:rsidRPr="002C4083">
        <w:rPr>
          <w:rFonts w:cs="Arial"/>
          <w:bCs/>
          <w:sz w:val="22"/>
          <w:szCs w:val="22"/>
        </w:rPr>
        <w:t xml:space="preserve">IMPLEMENTATION OF THE DEVELOPMENT AGENDA </w:t>
      </w:r>
    </w:p>
    <w:p w:rsidR="008B3E53" w:rsidRPr="00CA7E6E" w:rsidRDefault="008B3E53" w:rsidP="008B3E53">
      <w:pPr>
        <w:ind w:left="2268" w:hanging="2268"/>
        <w:rPr>
          <w:b/>
          <w:sz w:val="22"/>
          <w:szCs w:val="22"/>
        </w:rPr>
      </w:pPr>
    </w:p>
    <w:p w:rsidR="008B3E53" w:rsidRPr="002654BC" w:rsidRDefault="008B3E53" w:rsidP="008B3E53">
      <w:pPr>
        <w:tabs>
          <w:tab w:val="left" w:pos="709"/>
        </w:tabs>
        <w:jc w:val="both"/>
        <w:rPr>
          <w:rFonts w:cs="Arial"/>
          <w:bCs/>
          <w:szCs w:val="20"/>
        </w:rPr>
      </w:pPr>
      <w:r>
        <w:rPr>
          <w:rFonts w:cs="Arial"/>
          <w:bCs/>
          <w:szCs w:val="20"/>
        </w:rPr>
        <w:t>7.10.</w:t>
      </w:r>
      <w:r>
        <w:rPr>
          <w:rFonts w:cs="Arial"/>
          <w:bCs/>
          <w:szCs w:val="20"/>
        </w:rPr>
        <w:tab/>
      </w:r>
      <w:r w:rsidRPr="002654BC">
        <w:rPr>
          <w:rFonts w:cs="Arial"/>
          <w:bCs/>
          <w:szCs w:val="20"/>
        </w:rPr>
        <w:t xml:space="preserve">The design, planning and implementation of activities by Program 7 were informed and guided by the relevant DA Recommendations, in particular Recommendations 1, 6 and 10. </w:t>
      </w:r>
      <w:r w:rsidR="00695B53">
        <w:rPr>
          <w:rFonts w:cs="Arial"/>
          <w:bCs/>
          <w:szCs w:val="20"/>
        </w:rPr>
        <w:t xml:space="preserve"> </w:t>
      </w:r>
      <w:r w:rsidRPr="002654BC">
        <w:rPr>
          <w:rFonts w:cs="Arial"/>
          <w:bCs/>
          <w:szCs w:val="20"/>
        </w:rPr>
        <w:t>In this regard, the Center organized tailor-made arbitration and mediation programs for IP officials and practitioners, assisted IP Offices in establishing optional ADR frameworks for disputes pending before them, and further assisted national domain name authorities in the establishment of best registry practices and dispute resolution mechanisms, as relevant to developing countries and countries with economies in transition.  </w:t>
      </w:r>
    </w:p>
    <w:p w:rsidR="008B3E53" w:rsidRPr="00CA7E6E" w:rsidRDefault="008B3E53" w:rsidP="008B3E53">
      <w:pPr>
        <w:ind w:left="2268" w:hanging="2268"/>
        <w:jc w:val="both"/>
        <w:rPr>
          <w:rFonts w:eastAsia="MS Mincho"/>
          <w:b/>
          <w:sz w:val="22"/>
          <w:szCs w:val="22"/>
          <w:lang w:eastAsia="ja-JP" w:bidi="th-TH"/>
        </w:rPr>
      </w:pPr>
    </w:p>
    <w:p w:rsidR="008B3E53" w:rsidRDefault="008B3E53" w:rsidP="008B3E53">
      <w:pPr>
        <w:rPr>
          <w:rFonts w:cs="Arial"/>
          <w:sz w:val="22"/>
          <w:szCs w:val="22"/>
        </w:rPr>
      </w:pPr>
    </w:p>
    <w:p w:rsidR="008B3E53" w:rsidRPr="00CA7E6E" w:rsidRDefault="008B3E53" w:rsidP="008B3E53">
      <w:pPr>
        <w:ind w:left="2268" w:hanging="2268"/>
        <w:rPr>
          <w:rFonts w:cs="Arial"/>
          <w:sz w:val="22"/>
          <w:szCs w:val="22"/>
        </w:rPr>
      </w:pPr>
      <w:r w:rsidRPr="00CA7E6E">
        <w:rPr>
          <w:rFonts w:cs="Arial"/>
          <w:sz w:val="22"/>
          <w:szCs w:val="22"/>
        </w:rPr>
        <w:t>PERFORMANCE DATA</w:t>
      </w:r>
    </w:p>
    <w:p w:rsidR="008B3E53" w:rsidRPr="00CA7E6E" w:rsidRDefault="008B3E53" w:rsidP="008B3E53">
      <w:pPr>
        <w:ind w:left="2268" w:hanging="2268"/>
        <w:rPr>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5"/>
        <w:gridCol w:w="2047"/>
        <w:gridCol w:w="1606"/>
        <w:gridCol w:w="2968"/>
        <w:gridCol w:w="105"/>
        <w:gridCol w:w="1276"/>
      </w:tblGrid>
      <w:tr w:rsidR="008B3E53" w:rsidRPr="00054B91" w:rsidTr="008B3E53">
        <w:tc>
          <w:tcPr>
            <w:tcW w:w="5000" w:type="pct"/>
            <w:gridSpan w:val="6"/>
            <w:tcBorders>
              <w:top w:val="single" w:sz="4" w:space="0" w:color="auto"/>
              <w:bottom w:val="single" w:sz="4" w:space="0" w:color="auto"/>
            </w:tcBorders>
            <w:shd w:val="clear" w:color="auto" w:fill="CCFFFF"/>
            <w:vAlign w:val="center"/>
          </w:tcPr>
          <w:p w:rsidR="008B3E53" w:rsidRPr="00054B91" w:rsidRDefault="008B3E53" w:rsidP="008B3E53">
            <w:pPr>
              <w:keepNext/>
              <w:keepLines/>
              <w:tabs>
                <w:tab w:val="left" w:pos="1452"/>
              </w:tabs>
              <w:spacing w:before="120" w:after="120"/>
              <w:ind w:left="1452" w:hanging="1452"/>
              <w:rPr>
                <w:rFonts w:cs="Arial"/>
                <w:b/>
                <w:bCs/>
                <w:sz w:val="16"/>
                <w:szCs w:val="16"/>
              </w:rPr>
            </w:pPr>
            <w:r w:rsidRPr="00054B91">
              <w:rPr>
                <w:rFonts w:cs="Arial"/>
                <w:b/>
                <w:bCs/>
                <w:sz w:val="16"/>
                <w:szCs w:val="16"/>
              </w:rPr>
              <w:t>Expected Result:</w:t>
            </w:r>
            <w:r w:rsidRPr="00054B91">
              <w:rPr>
                <w:rFonts w:cs="Arial"/>
                <w:b/>
                <w:bCs/>
                <w:sz w:val="16"/>
                <w:szCs w:val="16"/>
              </w:rPr>
              <w:tab/>
            </w:r>
            <w:r w:rsidRPr="00054B91">
              <w:rPr>
                <w:rFonts w:cs="Arial"/>
                <w:sz w:val="16"/>
                <w:szCs w:val="16"/>
              </w:rPr>
              <w:t>International and domestic intellectual property disputes are increasingly prevented or resolved through mediation, arbitration and other alternative dispute resolution methods</w:t>
            </w:r>
          </w:p>
        </w:tc>
      </w:tr>
      <w:tr w:rsidR="008B3E53" w:rsidRPr="00054B91" w:rsidTr="001D2E83">
        <w:tc>
          <w:tcPr>
            <w:tcW w:w="724" w:type="pct"/>
            <w:tcBorders>
              <w:top w:val="single" w:sz="4" w:space="0" w:color="auto"/>
            </w:tcBorders>
            <w:shd w:val="clear" w:color="auto" w:fill="auto"/>
            <w:vAlign w:val="center"/>
          </w:tcPr>
          <w:p w:rsidR="008B3E53" w:rsidRPr="00054B91" w:rsidRDefault="008B3E53" w:rsidP="008B3E53">
            <w:pPr>
              <w:rPr>
                <w:rFonts w:cs="Arial"/>
                <w:sz w:val="16"/>
                <w:szCs w:val="16"/>
              </w:rPr>
            </w:pPr>
            <w:r w:rsidRPr="00054B91">
              <w:rPr>
                <w:rFonts w:cs="Arial"/>
                <w:b/>
                <w:bCs/>
                <w:sz w:val="16"/>
                <w:szCs w:val="16"/>
              </w:rPr>
              <w:t>Performance Indicators</w:t>
            </w:r>
          </w:p>
        </w:tc>
        <w:tc>
          <w:tcPr>
            <w:tcW w:w="1094" w:type="pct"/>
            <w:tcBorders>
              <w:top w:val="single" w:sz="4" w:space="0" w:color="auto"/>
            </w:tcBorders>
            <w:shd w:val="clear" w:color="auto" w:fill="auto"/>
            <w:vAlign w:val="center"/>
          </w:tcPr>
          <w:p w:rsidR="008B3E53" w:rsidRPr="00054B91" w:rsidRDefault="008B3E53" w:rsidP="008B3E53">
            <w:pPr>
              <w:rPr>
                <w:rFonts w:cs="Arial"/>
                <w:b/>
                <w:bCs/>
                <w:sz w:val="16"/>
                <w:szCs w:val="16"/>
              </w:rPr>
            </w:pPr>
            <w:r w:rsidRPr="00054B91">
              <w:rPr>
                <w:rFonts w:cs="Arial"/>
                <w:b/>
                <w:bCs/>
                <w:sz w:val="16"/>
                <w:szCs w:val="16"/>
              </w:rPr>
              <w:t>Baselines</w:t>
            </w:r>
          </w:p>
        </w:tc>
        <w:tc>
          <w:tcPr>
            <w:tcW w:w="858" w:type="pct"/>
            <w:tcBorders>
              <w:top w:val="single" w:sz="4" w:space="0" w:color="auto"/>
            </w:tcBorders>
            <w:shd w:val="clear" w:color="auto" w:fill="auto"/>
            <w:tcMar>
              <w:top w:w="110" w:type="dxa"/>
            </w:tcMar>
            <w:vAlign w:val="center"/>
          </w:tcPr>
          <w:p w:rsidR="008B3E53" w:rsidRPr="00054B91" w:rsidRDefault="008B3E53" w:rsidP="008B3E53">
            <w:pPr>
              <w:rPr>
                <w:rFonts w:cs="Arial"/>
                <w:b/>
                <w:sz w:val="16"/>
                <w:szCs w:val="16"/>
              </w:rPr>
            </w:pPr>
            <w:r w:rsidRPr="00054B91">
              <w:rPr>
                <w:rFonts w:cs="Arial"/>
                <w:b/>
                <w:sz w:val="16"/>
                <w:szCs w:val="16"/>
              </w:rPr>
              <w:t>Target</w:t>
            </w:r>
            <w:r w:rsidR="00582788" w:rsidRPr="00054B91">
              <w:rPr>
                <w:rFonts w:cs="Arial"/>
                <w:b/>
                <w:sz w:val="16"/>
                <w:szCs w:val="16"/>
              </w:rPr>
              <w:t>s</w:t>
            </w:r>
          </w:p>
        </w:tc>
        <w:tc>
          <w:tcPr>
            <w:tcW w:w="1642" w:type="pct"/>
            <w:gridSpan w:val="2"/>
            <w:tcBorders>
              <w:top w:val="single" w:sz="4" w:space="0" w:color="auto"/>
            </w:tcBorders>
            <w:shd w:val="clear" w:color="auto" w:fill="FFFFFF"/>
            <w:tcMar>
              <w:top w:w="110" w:type="dxa"/>
            </w:tcMar>
            <w:vAlign w:val="center"/>
          </w:tcPr>
          <w:p w:rsidR="008B3E53" w:rsidRPr="00054B91" w:rsidRDefault="008B3E53" w:rsidP="008B3E53">
            <w:pPr>
              <w:rPr>
                <w:rFonts w:cs="Arial"/>
                <w:sz w:val="16"/>
                <w:szCs w:val="16"/>
              </w:rPr>
            </w:pPr>
            <w:r w:rsidRPr="00054B91">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8B3E53" w:rsidRPr="00054B91" w:rsidRDefault="008B3E53" w:rsidP="008B3E53">
            <w:pPr>
              <w:keepNext/>
              <w:keepLines/>
              <w:jc w:val="center"/>
              <w:rPr>
                <w:rFonts w:cs="Arial"/>
                <w:b/>
                <w:bCs/>
                <w:sz w:val="16"/>
                <w:szCs w:val="16"/>
              </w:rPr>
            </w:pPr>
            <w:r w:rsidRPr="00054B91">
              <w:rPr>
                <w:rFonts w:cs="Arial"/>
                <w:b/>
                <w:bCs/>
                <w:sz w:val="16"/>
                <w:szCs w:val="16"/>
              </w:rPr>
              <w:t>TLS</w:t>
            </w:r>
          </w:p>
        </w:tc>
      </w:tr>
      <w:tr w:rsidR="008B3E53" w:rsidRPr="00054B91" w:rsidTr="001D2E83">
        <w:tc>
          <w:tcPr>
            <w:tcW w:w="724" w:type="pct"/>
            <w:shd w:val="clear" w:color="auto" w:fill="auto"/>
          </w:tcPr>
          <w:p w:rsidR="008B3E53" w:rsidRPr="00054B91" w:rsidRDefault="008B3E53" w:rsidP="008B3E53">
            <w:pPr>
              <w:rPr>
                <w:rFonts w:cs="Arial"/>
                <w:sz w:val="16"/>
                <w:szCs w:val="16"/>
              </w:rPr>
            </w:pPr>
            <w:r w:rsidRPr="00054B91">
              <w:rPr>
                <w:rFonts w:cs="Arial"/>
                <w:sz w:val="16"/>
                <w:szCs w:val="16"/>
              </w:rPr>
              <w:t>Increased consideration of the use of alternative dispute resolution services in intellectual property transactions, including through the use of WIPO procedures</w:t>
            </w: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269 disputes and 65 bons offices (end 2011)</w:t>
            </w:r>
          </w:p>
          <w:p w:rsidR="008B3E53" w:rsidRPr="00054B91" w:rsidRDefault="008B3E53" w:rsidP="008B3E53">
            <w:pPr>
              <w:rPr>
                <w:rFonts w:cs="Arial"/>
                <w:color w:val="002060"/>
                <w:sz w:val="16"/>
                <w:szCs w:val="16"/>
              </w:rPr>
            </w:pPr>
          </w:p>
          <w:p w:rsidR="008B3E53" w:rsidRPr="00054B91" w:rsidRDefault="008B3E53" w:rsidP="008B3E53">
            <w:pPr>
              <w:rPr>
                <w:rFonts w:cs="Arial"/>
                <w:sz w:val="16"/>
                <w:szCs w:val="16"/>
              </w:rPr>
            </w:pPr>
            <w:r w:rsidRPr="00054B91">
              <w:rPr>
                <w:rFonts w:cs="Arial"/>
                <w:i/>
                <w:sz w:val="16"/>
                <w:szCs w:val="16"/>
              </w:rPr>
              <w:t>Original Baseline P&amp;B 2012/13:</w:t>
            </w:r>
            <w:r w:rsidR="00054B91">
              <w:rPr>
                <w:rFonts w:cs="Arial"/>
                <w:sz w:val="16"/>
                <w:szCs w:val="16"/>
              </w:rPr>
              <w:t xml:space="preserve">  </w:t>
            </w:r>
            <w:r w:rsidRPr="00054B91">
              <w:rPr>
                <w:rFonts w:cs="Arial"/>
                <w:sz w:val="16"/>
                <w:szCs w:val="16"/>
              </w:rPr>
              <w:t>225 disputes and 50 bons offices (end 2010)</w:t>
            </w:r>
          </w:p>
        </w:tc>
        <w:tc>
          <w:tcPr>
            <w:tcW w:w="858" w:type="pct"/>
            <w:shd w:val="clear" w:color="auto" w:fill="auto"/>
            <w:tcMar>
              <w:top w:w="110" w:type="dxa"/>
            </w:tcMar>
          </w:tcPr>
          <w:p w:rsidR="008B3E53" w:rsidRPr="00054B91" w:rsidRDefault="008B3E53" w:rsidP="008B3E53">
            <w:pPr>
              <w:autoSpaceDE w:val="0"/>
              <w:autoSpaceDN w:val="0"/>
              <w:adjustRightInd w:val="0"/>
              <w:rPr>
                <w:rFonts w:cs="Arial"/>
                <w:sz w:val="16"/>
                <w:szCs w:val="16"/>
              </w:rPr>
            </w:pPr>
            <w:r w:rsidRPr="00054B91">
              <w:rPr>
                <w:rFonts w:cs="Arial"/>
                <w:sz w:val="16"/>
                <w:szCs w:val="16"/>
              </w:rPr>
              <w:t>20 additional disputes and bons offices</w:t>
            </w:r>
            <w:r w:rsidRPr="00054B91" w:rsidDel="001B4B60">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 xml:space="preserve">375 disputes and 95 bons offices (cumulative per end 2013) </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rPr>
            </w:pPr>
            <w:r w:rsidRPr="00054B91">
              <w:rPr>
                <w:rFonts w:cs="Arial"/>
                <w:sz w:val="16"/>
                <w:szCs w:val="16"/>
                <w:lang w:bidi="th-TH"/>
              </w:rPr>
              <w:t>136 additional disputes (mediations, arbitrations and expert determinations) and bons offices</w:t>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rPr>
                <w:rFonts w:cs="Arial"/>
                <w:sz w:val="16"/>
                <w:szCs w:val="16"/>
              </w:rPr>
            </w:pPr>
            <w:r w:rsidRPr="00054B91">
              <w:rPr>
                <w:rFonts w:cs="Arial"/>
                <w:sz w:val="16"/>
                <w:szCs w:val="16"/>
              </w:rPr>
              <w:t>Center Survey Results</w:t>
            </w:r>
          </w:p>
        </w:tc>
        <w:tc>
          <w:tcPr>
            <w:tcW w:w="858" w:type="pct"/>
            <w:shd w:val="clear" w:color="auto" w:fill="auto"/>
            <w:tcMar>
              <w:top w:w="110" w:type="dxa"/>
            </w:tcMar>
          </w:tcPr>
          <w:p w:rsidR="008B3E53" w:rsidRPr="00054B91" w:rsidRDefault="008B3E53" w:rsidP="008B3E53">
            <w:pPr>
              <w:rPr>
                <w:rFonts w:cs="Arial"/>
                <w:sz w:val="16"/>
                <w:szCs w:val="16"/>
              </w:rPr>
            </w:pPr>
            <w:r w:rsidRPr="00054B91">
              <w:rPr>
                <w:rFonts w:cs="Arial"/>
                <w:sz w:val="16"/>
                <w:szCs w:val="16"/>
              </w:rPr>
              <w:t>Center Survey Results</w:t>
            </w:r>
            <w:r w:rsidRPr="00054B91" w:rsidDel="001B4B60">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rPr>
            </w:pPr>
            <w:r w:rsidRPr="00054B91">
              <w:rPr>
                <w:rFonts w:cs="Arial"/>
                <w:sz w:val="16"/>
                <w:szCs w:val="16"/>
              </w:rPr>
              <w:t>Published Report: Results of the WIPO Arbitration and Mediation Center International Survey on Dispute Resolution in International Technology Transactions</w:t>
            </w:r>
            <w:r w:rsidRPr="00054B91">
              <w:rPr>
                <w:rStyle w:val="FootnoteReference"/>
                <w:rFonts w:cs="Arial"/>
                <w:noProof/>
                <w:sz w:val="16"/>
                <w:szCs w:val="16"/>
              </w:rPr>
              <w:footnoteReference w:id="14"/>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4,000 incoming queries (2010/11)</w:t>
            </w:r>
          </w:p>
          <w:p w:rsidR="008B3E53" w:rsidRPr="00054B91" w:rsidRDefault="008B3E53" w:rsidP="008B3E53">
            <w:pPr>
              <w:rPr>
                <w:rFonts w:cs="Arial"/>
                <w:color w:val="002060"/>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r w:rsidRPr="00054B91">
              <w:rPr>
                <w:rFonts w:cs="Arial"/>
                <w:sz w:val="16"/>
                <w:szCs w:val="16"/>
              </w:rPr>
              <w:t xml:space="preserve">  2,000 incoming queries (2010)</w:t>
            </w:r>
          </w:p>
        </w:tc>
        <w:tc>
          <w:tcPr>
            <w:tcW w:w="858" w:type="pct"/>
            <w:shd w:val="clear" w:color="auto" w:fill="auto"/>
            <w:tcMar>
              <w:top w:w="110" w:type="dxa"/>
            </w:tcMar>
          </w:tcPr>
          <w:p w:rsidR="008B3E53" w:rsidRPr="00054B91" w:rsidRDefault="008B3E53" w:rsidP="008B3E53">
            <w:pPr>
              <w:autoSpaceDE w:val="0"/>
              <w:autoSpaceDN w:val="0"/>
              <w:adjustRightInd w:val="0"/>
              <w:rPr>
                <w:rFonts w:cs="Arial"/>
                <w:sz w:val="16"/>
                <w:szCs w:val="16"/>
              </w:rPr>
            </w:pPr>
            <w:r w:rsidRPr="00054B91">
              <w:rPr>
                <w:rFonts w:cs="Arial"/>
                <w:sz w:val="16"/>
                <w:szCs w:val="16"/>
              </w:rPr>
              <w:t>4,000 additional</w:t>
            </w:r>
          </w:p>
          <w:p w:rsidR="008B3E53" w:rsidRPr="00054B91" w:rsidRDefault="008B3E53" w:rsidP="008B3E53">
            <w:pPr>
              <w:rPr>
                <w:rFonts w:cs="Arial"/>
                <w:sz w:val="16"/>
                <w:szCs w:val="16"/>
              </w:rPr>
            </w:pPr>
            <w:r w:rsidRPr="00054B91">
              <w:rPr>
                <w:rFonts w:cs="Arial"/>
                <w:sz w:val="16"/>
                <w:szCs w:val="16"/>
              </w:rPr>
              <w:t>queries</w:t>
            </w:r>
            <w:r w:rsidRPr="00054B91" w:rsidDel="001B4B60">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rPr>
            </w:pPr>
            <w:r w:rsidRPr="00054B91">
              <w:rPr>
                <w:rFonts w:cs="Arial"/>
                <w:sz w:val="16"/>
                <w:szCs w:val="16"/>
              </w:rPr>
              <w:t>4,000 additional incoming queries</w:t>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00695B53">
              <w:rPr>
                <w:rFonts w:cs="Arial"/>
                <w:i/>
                <w:color w:val="002060"/>
                <w:sz w:val="16"/>
                <w:szCs w:val="16"/>
              </w:rPr>
              <w:t xml:space="preserve"> </w:t>
            </w:r>
            <w:r w:rsidRPr="00054B91">
              <w:rPr>
                <w:rFonts w:cs="Arial"/>
                <w:color w:val="002060"/>
                <w:sz w:val="16"/>
                <w:szCs w:val="16"/>
              </w:rPr>
              <w:t xml:space="preserve">Web visits </w:t>
            </w:r>
            <w:r w:rsidR="00695B53" w:rsidRPr="00054B91">
              <w:rPr>
                <w:rFonts w:cs="Arial"/>
                <w:color w:val="002060"/>
                <w:sz w:val="16"/>
                <w:szCs w:val="16"/>
              </w:rPr>
              <w:t>30</w:t>
            </w:r>
            <w:r w:rsidR="00695B53">
              <w:rPr>
                <w:rFonts w:cs="Arial"/>
                <w:color w:val="002060"/>
                <w:sz w:val="16"/>
                <w:szCs w:val="16"/>
              </w:rPr>
              <w:t> </w:t>
            </w:r>
            <w:r w:rsidRPr="00054B91">
              <w:rPr>
                <w:rFonts w:cs="Arial"/>
                <w:color w:val="002060"/>
                <w:sz w:val="16"/>
                <w:szCs w:val="16"/>
              </w:rPr>
              <w:t>million (2010/11)</w:t>
            </w:r>
          </w:p>
          <w:p w:rsidR="008B3E53" w:rsidRPr="00054B91" w:rsidRDefault="008B3E53" w:rsidP="008B3E53">
            <w:pPr>
              <w:rPr>
                <w:rFonts w:cs="Arial"/>
                <w:i/>
                <w:sz w:val="8"/>
                <w:szCs w:val="8"/>
              </w:rPr>
            </w:pPr>
          </w:p>
          <w:p w:rsidR="008B3E53" w:rsidRPr="00054B91" w:rsidRDefault="008B3E53">
            <w:pPr>
              <w:rPr>
                <w:rFonts w:cs="Arial"/>
                <w:sz w:val="16"/>
                <w:szCs w:val="16"/>
              </w:rPr>
            </w:pPr>
            <w:r w:rsidRPr="00054B91">
              <w:rPr>
                <w:rFonts w:cs="Arial"/>
                <w:i/>
                <w:sz w:val="16"/>
                <w:szCs w:val="16"/>
              </w:rPr>
              <w:t>Original Baseline P&amp;B 2012/13:</w:t>
            </w:r>
            <w:r w:rsidR="00695B53">
              <w:rPr>
                <w:rFonts w:cs="Arial"/>
                <w:sz w:val="16"/>
                <w:szCs w:val="16"/>
              </w:rPr>
              <w:t xml:space="preserve">  </w:t>
            </w:r>
            <w:r w:rsidRPr="00054B91">
              <w:rPr>
                <w:rFonts w:cs="Arial"/>
                <w:sz w:val="16"/>
                <w:szCs w:val="16"/>
              </w:rPr>
              <w:t xml:space="preserve">Web visits </w:t>
            </w:r>
            <w:r w:rsidR="00695B53" w:rsidRPr="00054B91">
              <w:rPr>
                <w:rFonts w:cs="Arial"/>
                <w:sz w:val="16"/>
                <w:szCs w:val="16"/>
              </w:rPr>
              <w:t>15</w:t>
            </w:r>
            <w:r w:rsidR="00695B53">
              <w:rPr>
                <w:rFonts w:cs="Arial"/>
                <w:sz w:val="16"/>
                <w:szCs w:val="16"/>
              </w:rPr>
              <w:t> </w:t>
            </w:r>
            <w:r w:rsidRPr="00054B91">
              <w:rPr>
                <w:rFonts w:cs="Arial"/>
                <w:sz w:val="16"/>
                <w:szCs w:val="16"/>
              </w:rPr>
              <w:t>million (2010)</w:t>
            </w:r>
          </w:p>
        </w:tc>
        <w:tc>
          <w:tcPr>
            <w:tcW w:w="858" w:type="pct"/>
            <w:shd w:val="clear" w:color="auto" w:fill="auto"/>
            <w:tcMar>
              <w:top w:w="110" w:type="dxa"/>
            </w:tcMar>
          </w:tcPr>
          <w:p w:rsidR="008B3E53" w:rsidRPr="00054B91" w:rsidRDefault="008B3E53" w:rsidP="008B3E53">
            <w:pPr>
              <w:rPr>
                <w:rFonts w:cs="Arial"/>
                <w:sz w:val="16"/>
                <w:szCs w:val="16"/>
              </w:rPr>
            </w:pPr>
            <w:r w:rsidRPr="00054B91">
              <w:rPr>
                <w:rFonts w:cs="Arial"/>
                <w:sz w:val="16"/>
                <w:szCs w:val="16"/>
              </w:rPr>
              <w:t>30 million</w:t>
            </w:r>
            <w:r w:rsidRPr="00054B91" w:rsidDel="001B4B60">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rPr>
            </w:pPr>
            <w:r w:rsidRPr="00054B91">
              <w:rPr>
                <w:rFonts w:cs="Arial"/>
                <w:sz w:val="16"/>
                <w:szCs w:val="16"/>
                <w:lang w:bidi="th-TH"/>
              </w:rPr>
              <w:t>3.5 million additional visits</w:t>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FF0000"/>
                <w:sz w:val="16"/>
                <w:szCs w:val="16"/>
              </w:rPr>
              <w:t>Not</w:t>
            </w:r>
            <w:r w:rsidRPr="00054B91">
              <w:rPr>
                <w:rFonts w:cs="Arial"/>
                <w:bCs/>
                <w:color w:val="FF0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276 participants at Center annual events (2010/11);  3,000 participants at Center external events (2010/11)</w:t>
            </w:r>
          </w:p>
          <w:p w:rsidR="008B3E53" w:rsidRPr="00054B91" w:rsidRDefault="008B3E53" w:rsidP="008B3E53">
            <w:pPr>
              <w:rPr>
                <w:rFonts w:cs="Arial"/>
                <w:sz w:val="16"/>
                <w:szCs w:val="16"/>
              </w:rPr>
            </w:pPr>
          </w:p>
        </w:tc>
        <w:tc>
          <w:tcPr>
            <w:tcW w:w="858" w:type="pct"/>
            <w:shd w:val="clear" w:color="auto" w:fill="auto"/>
            <w:tcMar>
              <w:top w:w="110" w:type="dxa"/>
            </w:tcMar>
          </w:tcPr>
          <w:p w:rsidR="008B3E53" w:rsidRPr="00054B91" w:rsidRDefault="008B3E53" w:rsidP="008B3E53">
            <w:pPr>
              <w:autoSpaceDE w:val="0"/>
              <w:autoSpaceDN w:val="0"/>
              <w:adjustRightInd w:val="0"/>
              <w:rPr>
                <w:rFonts w:cs="Arial"/>
                <w:sz w:val="16"/>
                <w:szCs w:val="16"/>
              </w:rPr>
            </w:pPr>
            <w:r w:rsidRPr="00054B91">
              <w:rPr>
                <w:rFonts w:cs="Arial"/>
                <w:sz w:val="16"/>
                <w:szCs w:val="16"/>
              </w:rPr>
              <w:t>250 participants at Center annual events; 6,000 participants at</w:t>
            </w:r>
          </w:p>
          <w:p w:rsidR="008B3E53" w:rsidRPr="00054B91" w:rsidRDefault="008B3E53" w:rsidP="008B3E53">
            <w:pPr>
              <w:rPr>
                <w:rFonts w:cs="Arial"/>
                <w:sz w:val="16"/>
                <w:szCs w:val="16"/>
              </w:rPr>
            </w:pPr>
            <w:r w:rsidRPr="00054B91">
              <w:rPr>
                <w:rFonts w:cs="Arial"/>
                <w:sz w:val="16"/>
                <w:szCs w:val="16"/>
              </w:rPr>
              <w:t>Center external events</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408 participants at WIPO Center annual events</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rPr>
            </w:pPr>
            <w:r w:rsidRPr="00054B91">
              <w:rPr>
                <w:rFonts w:cs="Arial"/>
                <w:sz w:val="16"/>
                <w:szCs w:val="16"/>
                <w:lang w:bidi="th-TH"/>
              </w:rPr>
              <w:t>4,000 participants at WIPO Center external events</w:t>
            </w:r>
          </w:p>
        </w:tc>
        <w:tc>
          <w:tcPr>
            <w:tcW w:w="682" w:type="pct"/>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E36C0A" w:themeColor="accent6" w:themeShade="BF"/>
                <w:sz w:val="16"/>
                <w:szCs w:val="16"/>
              </w:rPr>
              <w:t>Partially</w:t>
            </w:r>
            <w:r w:rsidRPr="00054B91">
              <w:rPr>
                <w:rFonts w:cs="Arial"/>
                <w:bCs/>
                <w:color w:val="E36C0A" w:themeColor="accent6" w:themeShade="BF"/>
                <w:sz w:val="16"/>
                <w:szCs w:val="16"/>
              </w:rPr>
              <w:br/>
              <w:t>Achieved</w:t>
            </w:r>
          </w:p>
        </w:tc>
      </w:tr>
      <w:tr w:rsidR="001D2E83" w:rsidRPr="00054B91" w:rsidTr="001D2E83">
        <w:tc>
          <w:tcPr>
            <w:tcW w:w="724" w:type="pct"/>
            <w:shd w:val="clear" w:color="auto" w:fill="auto"/>
          </w:tcPr>
          <w:p w:rsidR="001D2E83" w:rsidRPr="00054B91" w:rsidRDefault="001D2E83" w:rsidP="001D2E83">
            <w:pPr>
              <w:keepNext/>
              <w:keepLines/>
              <w:rPr>
                <w:rFonts w:cs="Arial"/>
                <w:sz w:val="16"/>
                <w:szCs w:val="16"/>
              </w:rPr>
            </w:pPr>
          </w:p>
        </w:tc>
        <w:tc>
          <w:tcPr>
            <w:tcW w:w="1094" w:type="pct"/>
            <w:shd w:val="clear" w:color="auto" w:fill="auto"/>
          </w:tcPr>
          <w:p w:rsidR="001D2E83" w:rsidRPr="00054B91" w:rsidRDefault="001D2E83" w:rsidP="001D2E83">
            <w:pPr>
              <w:keepNext/>
              <w:keepLines/>
              <w:autoSpaceDE w:val="0"/>
              <w:autoSpaceDN w:val="0"/>
              <w:adjustRightInd w:val="0"/>
              <w:rPr>
                <w:rFonts w:cs="Arial"/>
                <w:i/>
                <w:color w:val="002060"/>
                <w:sz w:val="16"/>
                <w:szCs w:val="16"/>
              </w:rPr>
            </w:pPr>
            <w:r w:rsidRPr="00054B91">
              <w:rPr>
                <w:rFonts w:cs="Arial"/>
                <w:i/>
                <w:sz w:val="16"/>
                <w:szCs w:val="16"/>
              </w:rPr>
              <w:t>Original Baseline P&amp;B 2012/13:</w:t>
            </w:r>
            <w:r w:rsidRPr="00054B91">
              <w:rPr>
                <w:rFonts w:cs="Arial"/>
                <w:sz w:val="16"/>
                <w:szCs w:val="16"/>
              </w:rPr>
              <w:t xml:space="preserve">  125 participants at Center annual events (2010);  </w:t>
            </w:r>
            <w:r w:rsidRPr="00054B91">
              <w:rPr>
                <w:rFonts w:cs="Arial"/>
                <w:sz w:val="16"/>
                <w:szCs w:val="16"/>
              </w:rPr>
              <w:br/>
              <w:t>3,000 participants at Center external events (2010)</w:t>
            </w:r>
          </w:p>
        </w:tc>
        <w:tc>
          <w:tcPr>
            <w:tcW w:w="858" w:type="pct"/>
            <w:shd w:val="clear" w:color="auto" w:fill="auto"/>
            <w:tcMar>
              <w:top w:w="110" w:type="dxa"/>
            </w:tcMar>
          </w:tcPr>
          <w:p w:rsidR="001D2E83" w:rsidRPr="00054B91" w:rsidRDefault="001D2E83" w:rsidP="001D2E83">
            <w:pPr>
              <w:keepNext/>
              <w:keepLines/>
              <w:autoSpaceDE w:val="0"/>
              <w:autoSpaceDN w:val="0"/>
              <w:adjustRightInd w:val="0"/>
              <w:rPr>
                <w:rFonts w:cs="Arial"/>
                <w:sz w:val="16"/>
                <w:szCs w:val="16"/>
              </w:rPr>
            </w:pPr>
          </w:p>
        </w:tc>
        <w:tc>
          <w:tcPr>
            <w:tcW w:w="1642" w:type="pct"/>
            <w:gridSpan w:val="2"/>
            <w:shd w:val="clear" w:color="auto" w:fill="FFFFFF"/>
            <w:tcMar>
              <w:top w:w="110" w:type="dxa"/>
            </w:tcMar>
          </w:tcPr>
          <w:p w:rsidR="001D2E83" w:rsidRPr="00054B91" w:rsidRDefault="001D2E83" w:rsidP="001D2E83">
            <w:pPr>
              <w:keepNext/>
              <w:keepLines/>
              <w:rPr>
                <w:rFonts w:cs="Arial"/>
                <w:sz w:val="16"/>
                <w:szCs w:val="16"/>
                <w:lang w:bidi="th-TH"/>
              </w:rPr>
            </w:pPr>
          </w:p>
        </w:tc>
        <w:tc>
          <w:tcPr>
            <w:tcW w:w="682" w:type="pct"/>
            <w:shd w:val="clear" w:color="auto" w:fill="auto"/>
            <w:tcMar>
              <w:top w:w="110" w:type="dxa"/>
            </w:tcMar>
          </w:tcPr>
          <w:p w:rsidR="001D2E83" w:rsidRPr="00054B91" w:rsidRDefault="001D2E83" w:rsidP="001D2E83">
            <w:pPr>
              <w:keepNext/>
              <w:keepLines/>
              <w:jc w:val="center"/>
              <w:rPr>
                <w:rFonts w:cs="Arial"/>
                <w:bCs/>
                <w:color w:val="E36C0A" w:themeColor="accent6" w:themeShade="BF"/>
                <w:sz w:val="16"/>
                <w:szCs w:val="16"/>
              </w:rPr>
            </w:pPr>
          </w:p>
        </w:tc>
      </w:tr>
      <w:tr w:rsidR="008B3E53" w:rsidRPr="00054B91" w:rsidTr="001D2E83">
        <w:tc>
          <w:tcPr>
            <w:tcW w:w="724" w:type="pct"/>
            <w:tcBorders>
              <w:bottom w:val="single" w:sz="4" w:space="0" w:color="auto"/>
            </w:tcBorders>
            <w:shd w:val="clear" w:color="auto" w:fill="auto"/>
          </w:tcPr>
          <w:p w:rsidR="008B3E53" w:rsidRPr="00054B91" w:rsidRDefault="008B3E53" w:rsidP="008B3E53">
            <w:pPr>
              <w:rPr>
                <w:rFonts w:cs="Arial"/>
                <w:sz w:val="16"/>
                <w:szCs w:val="16"/>
              </w:rPr>
            </w:pPr>
            <w:r w:rsidRPr="00054B91">
              <w:rPr>
                <w:rFonts w:cs="Arial"/>
                <w:sz w:val="16"/>
                <w:szCs w:val="16"/>
              </w:rPr>
              <w:t>Alternative dispute resolution policies to the development and implementation of which policies the Center has contributed</w:t>
            </w:r>
          </w:p>
          <w:p w:rsidR="008B3E53" w:rsidRPr="00054B91" w:rsidRDefault="008B3E53" w:rsidP="008B3E53">
            <w:pPr>
              <w:rPr>
                <w:rFonts w:cs="Arial"/>
                <w:sz w:val="16"/>
                <w:szCs w:val="16"/>
              </w:rPr>
            </w:pPr>
          </w:p>
        </w:tc>
        <w:tc>
          <w:tcPr>
            <w:tcW w:w="1094" w:type="pct"/>
            <w:tcBorders>
              <w:bottom w:val="single" w:sz="4" w:space="0" w:color="auto"/>
            </w:tcBorders>
            <w:shd w:val="clear" w:color="auto" w:fill="auto"/>
          </w:tcPr>
          <w:p w:rsidR="008B3E53" w:rsidRPr="00054B91" w:rsidRDefault="008B3E53" w:rsidP="008B3E53">
            <w:pPr>
              <w:rPr>
                <w:rFonts w:cs="Arial"/>
                <w:sz w:val="16"/>
                <w:szCs w:val="16"/>
              </w:rPr>
            </w:pPr>
            <w:r w:rsidRPr="00054B91">
              <w:rPr>
                <w:rFonts w:cs="Arial"/>
                <w:sz w:val="16"/>
                <w:szCs w:val="16"/>
              </w:rPr>
              <w:t>Schemes adopted (AGICOA, Film and Media, EGEDA)</w:t>
            </w:r>
          </w:p>
        </w:tc>
        <w:tc>
          <w:tcPr>
            <w:tcW w:w="858" w:type="pct"/>
            <w:tcBorders>
              <w:bottom w:val="single" w:sz="4" w:space="0" w:color="auto"/>
            </w:tcBorders>
            <w:shd w:val="clear" w:color="auto" w:fill="auto"/>
            <w:tcMar>
              <w:top w:w="110" w:type="dxa"/>
            </w:tcMar>
          </w:tcPr>
          <w:p w:rsidR="008B3E53" w:rsidRPr="00054B91" w:rsidRDefault="008B3E53" w:rsidP="008B3E53">
            <w:pPr>
              <w:autoSpaceDE w:val="0"/>
              <w:autoSpaceDN w:val="0"/>
              <w:adjustRightInd w:val="0"/>
              <w:rPr>
                <w:rFonts w:cs="Arial"/>
                <w:sz w:val="16"/>
                <w:szCs w:val="16"/>
              </w:rPr>
            </w:pPr>
            <w:r w:rsidRPr="00054B91">
              <w:rPr>
                <w:rFonts w:cs="Arial"/>
                <w:sz w:val="16"/>
                <w:szCs w:val="16"/>
              </w:rPr>
              <w:t>One to three additional schemes</w:t>
            </w:r>
          </w:p>
        </w:tc>
        <w:tc>
          <w:tcPr>
            <w:tcW w:w="1642" w:type="pct"/>
            <w:gridSpan w:val="2"/>
            <w:tcBorders>
              <w:bottom w:val="single" w:sz="4" w:space="0" w:color="auto"/>
            </w:tcBorders>
            <w:shd w:val="clear" w:color="auto" w:fill="FFFFFF"/>
            <w:tcMar>
              <w:top w:w="110" w:type="dxa"/>
            </w:tcMar>
          </w:tcPr>
          <w:p w:rsidR="008B3E53" w:rsidRPr="00054B91" w:rsidRDefault="008B3E53" w:rsidP="008B3E53">
            <w:pPr>
              <w:rPr>
                <w:rFonts w:cs="Arial"/>
                <w:sz w:val="16"/>
                <w:szCs w:val="16"/>
              </w:rPr>
            </w:pPr>
            <w:r w:rsidRPr="00054B91">
              <w:rPr>
                <w:rFonts w:cs="Arial"/>
                <w:sz w:val="16"/>
                <w:szCs w:val="16"/>
                <w:lang w:bidi="th-TH"/>
              </w:rPr>
              <w:t>Four</w:t>
            </w:r>
            <w:r w:rsidRPr="00054B91">
              <w:rPr>
                <w:rFonts w:cs="Arial"/>
                <w:sz w:val="16"/>
                <w:szCs w:val="16"/>
              </w:rPr>
              <w:t xml:space="preserve"> schemes adopted (ETSI, INPI</w:t>
            </w:r>
            <w:r w:rsidRPr="00054B91">
              <w:rPr>
                <w:rFonts w:cs="Arial"/>
                <w:sz w:val="16"/>
                <w:szCs w:val="16"/>
              </w:rPr>
              <w:noBreakHyphen/>
              <w:t>BR,</w:t>
            </w:r>
            <w:r w:rsidRPr="00054B91" w:rsidDel="00D853BC">
              <w:rPr>
                <w:rFonts w:cs="Arial"/>
                <w:sz w:val="16"/>
                <w:szCs w:val="16"/>
              </w:rPr>
              <w:t xml:space="preserve"> </w:t>
            </w:r>
            <w:r w:rsidRPr="00054B91">
              <w:rPr>
                <w:rFonts w:cs="Arial"/>
                <w:sz w:val="16"/>
                <w:szCs w:val="16"/>
              </w:rPr>
              <w:t>IPAG, IPOS)</w:t>
            </w:r>
          </w:p>
        </w:tc>
        <w:tc>
          <w:tcPr>
            <w:tcW w:w="682" w:type="pct"/>
            <w:tcBorders>
              <w:bottom w:val="single" w:sz="4" w:space="0" w:color="auto"/>
            </w:tcBorders>
            <w:shd w:val="clear" w:color="auto" w:fill="auto"/>
            <w:tcMar>
              <w:top w:w="110" w:type="dxa"/>
            </w:tcMar>
          </w:tcPr>
          <w:p w:rsidR="008B3E53" w:rsidRPr="00054B91" w:rsidRDefault="008B3E53" w:rsidP="008B3E53">
            <w:pPr>
              <w:keepNext/>
              <w:keepLines/>
              <w:jc w:val="center"/>
              <w:rPr>
                <w:rFonts w:cs="Arial"/>
                <w:bCs/>
                <w:color w:val="80808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8B3E53">
        <w:tc>
          <w:tcPr>
            <w:tcW w:w="5000" w:type="pct"/>
            <w:gridSpan w:val="6"/>
            <w:tcBorders>
              <w:top w:val="single" w:sz="4" w:space="0" w:color="auto"/>
              <w:bottom w:val="single" w:sz="4" w:space="0" w:color="auto"/>
            </w:tcBorders>
            <w:shd w:val="clear" w:color="auto" w:fill="CCFFFF"/>
            <w:vAlign w:val="center"/>
          </w:tcPr>
          <w:p w:rsidR="008B3E53" w:rsidRPr="00054B91" w:rsidRDefault="008B3E53" w:rsidP="008B3E53">
            <w:pPr>
              <w:keepNext/>
              <w:keepLines/>
              <w:tabs>
                <w:tab w:val="left" w:pos="1452"/>
              </w:tabs>
              <w:spacing w:before="120" w:after="120"/>
              <w:ind w:left="1452" w:hanging="1452"/>
              <w:rPr>
                <w:rFonts w:cs="Arial"/>
                <w:b/>
                <w:bCs/>
                <w:sz w:val="16"/>
                <w:szCs w:val="16"/>
              </w:rPr>
            </w:pPr>
            <w:r w:rsidRPr="00054B91">
              <w:rPr>
                <w:rFonts w:cs="Arial"/>
                <w:b/>
                <w:bCs/>
                <w:sz w:val="16"/>
                <w:szCs w:val="16"/>
              </w:rPr>
              <w:t>Expected Result:</w:t>
            </w:r>
            <w:r w:rsidRPr="00054B91">
              <w:rPr>
                <w:rFonts w:cs="Arial"/>
                <w:b/>
                <w:bCs/>
                <w:sz w:val="16"/>
                <w:szCs w:val="16"/>
              </w:rPr>
              <w:tab/>
            </w:r>
            <w:r w:rsidRPr="00054B91">
              <w:rPr>
                <w:rFonts w:cs="Arial"/>
                <w:sz w:val="16"/>
                <w:szCs w:val="16"/>
              </w:rPr>
              <w:t>Effective intellectual property protection in the gTLDs and the ccTLDs</w:t>
            </w:r>
          </w:p>
        </w:tc>
      </w:tr>
      <w:tr w:rsidR="008B3E53" w:rsidRPr="00054B91" w:rsidTr="008B3E53">
        <w:tc>
          <w:tcPr>
            <w:tcW w:w="724" w:type="pct"/>
            <w:tcBorders>
              <w:top w:val="single" w:sz="4" w:space="0" w:color="auto"/>
            </w:tcBorders>
            <w:shd w:val="clear" w:color="auto" w:fill="auto"/>
            <w:vAlign w:val="center"/>
          </w:tcPr>
          <w:p w:rsidR="008B3E53" w:rsidRPr="00054B91" w:rsidRDefault="008B3E53" w:rsidP="008B3E53">
            <w:pPr>
              <w:rPr>
                <w:rFonts w:cs="Arial"/>
                <w:sz w:val="16"/>
                <w:szCs w:val="16"/>
              </w:rPr>
            </w:pPr>
            <w:r w:rsidRPr="00054B91">
              <w:rPr>
                <w:rFonts w:cs="Arial"/>
                <w:b/>
                <w:bCs/>
                <w:sz w:val="16"/>
                <w:szCs w:val="16"/>
              </w:rPr>
              <w:t>Performance Indicators</w:t>
            </w:r>
          </w:p>
        </w:tc>
        <w:tc>
          <w:tcPr>
            <w:tcW w:w="1094" w:type="pct"/>
            <w:tcBorders>
              <w:top w:val="single" w:sz="4" w:space="0" w:color="auto"/>
            </w:tcBorders>
            <w:shd w:val="clear" w:color="auto" w:fill="auto"/>
            <w:vAlign w:val="center"/>
          </w:tcPr>
          <w:p w:rsidR="008B3E53" w:rsidRPr="00054B91" w:rsidRDefault="008B3E53" w:rsidP="008B3E53">
            <w:pPr>
              <w:rPr>
                <w:rFonts w:cs="Arial"/>
                <w:b/>
                <w:bCs/>
                <w:sz w:val="16"/>
                <w:szCs w:val="16"/>
              </w:rPr>
            </w:pPr>
            <w:r w:rsidRPr="00054B91">
              <w:rPr>
                <w:rFonts w:cs="Arial"/>
                <w:b/>
                <w:bCs/>
                <w:sz w:val="16"/>
                <w:szCs w:val="16"/>
              </w:rPr>
              <w:t>Baselines</w:t>
            </w:r>
          </w:p>
        </w:tc>
        <w:tc>
          <w:tcPr>
            <w:tcW w:w="858" w:type="pct"/>
            <w:tcBorders>
              <w:top w:val="single" w:sz="4" w:space="0" w:color="auto"/>
            </w:tcBorders>
            <w:shd w:val="clear" w:color="auto" w:fill="auto"/>
            <w:tcMar>
              <w:top w:w="110" w:type="dxa"/>
            </w:tcMar>
            <w:vAlign w:val="center"/>
          </w:tcPr>
          <w:p w:rsidR="008B3E53" w:rsidRPr="00054B91" w:rsidRDefault="008B3E53" w:rsidP="008B3E53">
            <w:pPr>
              <w:rPr>
                <w:rFonts w:cs="Arial"/>
                <w:b/>
                <w:sz w:val="16"/>
                <w:szCs w:val="16"/>
              </w:rPr>
            </w:pPr>
            <w:r w:rsidRPr="00054B91">
              <w:rPr>
                <w:rFonts w:cs="Arial"/>
                <w:b/>
                <w:sz w:val="16"/>
                <w:szCs w:val="16"/>
              </w:rPr>
              <w:t>Target</w:t>
            </w:r>
            <w:r w:rsidR="00582788" w:rsidRPr="00054B91">
              <w:rPr>
                <w:rFonts w:cs="Arial"/>
                <w:b/>
                <w:sz w:val="16"/>
                <w:szCs w:val="16"/>
              </w:rPr>
              <w:t>s</w:t>
            </w:r>
          </w:p>
        </w:tc>
        <w:tc>
          <w:tcPr>
            <w:tcW w:w="1586" w:type="pct"/>
            <w:tcBorders>
              <w:top w:val="single" w:sz="4" w:space="0" w:color="auto"/>
            </w:tcBorders>
            <w:shd w:val="clear" w:color="auto" w:fill="FFFFFF"/>
            <w:tcMar>
              <w:top w:w="110" w:type="dxa"/>
            </w:tcMar>
            <w:vAlign w:val="center"/>
          </w:tcPr>
          <w:p w:rsidR="008B3E53" w:rsidRPr="00054B91" w:rsidRDefault="008B3E53" w:rsidP="008B3E53">
            <w:pPr>
              <w:rPr>
                <w:rFonts w:cs="Arial"/>
                <w:sz w:val="16"/>
                <w:szCs w:val="16"/>
              </w:rPr>
            </w:pPr>
            <w:r w:rsidRPr="00054B91">
              <w:rPr>
                <w:rFonts w:cs="Arial"/>
                <w:b/>
                <w:bCs/>
                <w:sz w:val="16"/>
                <w:szCs w:val="16"/>
              </w:rPr>
              <w:t>Performance Data</w:t>
            </w:r>
          </w:p>
        </w:tc>
        <w:tc>
          <w:tcPr>
            <w:tcW w:w="738" w:type="pct"/>
            <w:gridSpan w:val="2"/>
            <w:tcBorders>
              <w:top w:val="single" w:sz="4" w:space="0" w:color="auto"/>
            </w:tcBorders>
            <w:shd w:val="clear" w:color="auto" w:fill="auto"/>
            <w:tcMar>
              <w:top w:w="110" w:type="dxa"/>
            </w:tcMar>
            <w:vAlign w:val="center"/>
          </w:tcPr>
          <w:p w:rsidR="008B3E53" w:rsidRPr="00054B91" w:rsidRDefault="008B3E53" w:rsidP="008B3E53">
            <w:pPr>
              <w:keepNext/>
              <w:keepLines/>
              <w:jc w:val="center"/>
              <w:rPr>
                <w:rFonts w:cs="Arial"/>
                <w:b/>
                <w:bCs/>
                <w:sz w:val="16"/>
                <w:szCs w:val="16"/>
              </w:rPr>
            </w:pPr>
            <w:r w:rsidRPr="00054B91">
              <w:rPr>
                <w:rFonts w:cs="Arial"/>
                <w:b/>
                <w:bCs/>
                <w:sz w:val="16"/>
                <w:szCs w:val="16"/>
              </w:rPr>
              <w:t>TLS</w:t>
            </w:r>
          </w:p>
        </w:tc>
      </w:tr>
      <w:tr w:rsidR="008B3E53" w:rsidRPr="00054B91" w:rsidTr="001D2E83">
        <w:tc>
          <w:tcPr>
            <w:tcW w:w="724" w:type="pct"/>
            <w:shd w:val="clear" w:color="auto" w:fill="FFFFFF"/>
          </w:tcPr>
          <w:p w:rsidR="008B3E53" w:rsidRPr="00054B91" w:rsidRDefault="008B3E53" w:rsidP="008B3E53">
            <w:pPr>
              <w:rPr>
                <w:rFonts w:cs="Arial"/>
                <w:sz w:val="16"/>
                <w:szCs w:val="16"/>
              </w:rPr>
            </w:pPr>
            <w:r w:rsidRPr="00054B91">
              <w:rPr>
                <w:rFonts w:cs="Arial"/>
                <w:sz w:val="16"/>
                <w:szCs w:val="16"/>
              </w:rPr>
              <w:t>Number of gTLD UDRP cases administered</w:t>
            </w: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20,095 gTLD cases (end 2011)</w:t>
            </w:r>
          </w:p>
          <w:p w:rsidR="008B3E53" w:rsidRPr="001D2E83" w:rsidRDefault="008B3E53" w:rsidP="008B3E53">
            <w:pPr>
              <w:rPr>
                <w:rFonts w:cs="Arial"/>
                <w:i/>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r w:rsidRPr="00054B91">
              <w:rPr>
                <w:rFonts w:cs="Arial"/>
                <w:sz w:val="16"/>
                <w:szCs w:val="16"/>
              </w:rPr>
              <w:t xml:space="preserve">  17,772 gTLD cases (end 2010)</w:t>
            </w:r>
          </w:p>
        </w:tc>
        <w:tc>
          <w:tcPr>
            <w:tcW w:w="858" w:type="pct"/>
            <w:shd w:val="clear" w:color="auto" w:fill="auto"/>
            <w:tcMar>
              <w:top w:w="110" w:type="dxa"/>
            </w:tcMar>
          </w:tcPr>
          <w:p w:rsidR="008B3E53" w:rsidRPr="00054B91" w:rsidRDefault="008B3E53" w:rsidP="008B3E53">
            <w:pPr>
              <w:rPr>
                <w:rFonts w:cs="Arial"/>
                <w:sz w:val="16"/>
                <w:szCs w:val="16"/>
                <w:lang w:bidi="th-TH"/>
              </w:rPr>
            </w:pPr>
            <w:r w:rsidRPr="00054B91">
              <w:rPr>
                <w:rFonts w:cs="Arial"/>
                <w:sz w:val="16"/>
                <w:szCs w:val="16"/>
              </w:rPr>
              <w:t>3,500 additional cases</w:t>
            </w:r>
            <w:r w:rsidRPr="00054B91" w:rsidDel="00D05644">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24,901 gTLD cases (cumulative per end 2013)</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lang w:bidi="th-TH"/>
              </w:rPr>
            </w:pPr>
            <w:r w:rsidRPr="00054B91">
              <w:rPr>
                <w:rFonts w:cs="Arial"/>
                <w:sz w:val="16"/>
                <w:szCs w:val="16"/>
                <w:lang w:bidi="th-TH"/>
              </w:rPr>
              <w:t>4,806 additional gTLD cases</w:t>
            </w:r>
          </w:p>
        </w:tc>
        <w:tc>
          <w:tcPr>
            <w:tcW w:w="682" w:type="pct"/>
            <w:shd w:val="clear" w:color="auto" w:fill="auto"/>
            <w:tcMar>
              <w:top w:w="110" w:type="dxa"/>
            </w:tcMar>
          </w:tcPr>
          <w:p w:rsidR="008B3E53" w:rsidRPr="00054B91" w:rsidRDefault="008B3E53" w:rsidP="008B3E53">
            <w:pPr>
              <w:keepNext/>
              <w:keepLines/>
              <w:jc w:val="center"/>
              <w:rPr>
                <w:rFonts w:cs="Arial"/>
                <w:bCs/>
                <w:color w:val="008000"/>
                <w:sz w:val="16"/>
                <w:szCs w:val="16"/>
              </w:rPr>
            </w:pPr>
            <w:r w:rsidRPr="00054B91">
              <w:rPr>
                <w:rFonts w:cs="Arial"/>
                <w:bCs/>
                <w:color w:val="008000"/>
                <w:sz w:val="16"/>
                <w:szCs w:val="16"/>
              </w:rPr>
              <w:t>Fully</w:t>
            </w:r>
            <w:r w:rsidRPr="00054B91">
              <w:rPr>
                <w:rFonts w:cs="Arial"/>
                <w:bCs/>
                <w:color w:val="008000"/>
                <w:sz w:val="16"/>
                <w:szCs w:val="16"/>
              </w:rPr>
              <w:br/>
              <w:t>Achieved</w:t>
            </w:r>
            <w:r w:rsidRPr="00054B91" w:rsidDel="00D05644">
              <w:rPr>
                <w:rStyle w:val="Style5"/>
                <w:rFonts w:ascii="Arial" w:hAnsi="Arial" w:cs="Arial"/>
                <w:sz w:val="16"/>
                <w:szCs w:val="16"/>
              </w:rPr>
              <w:t xml:space="preserve"> </w:t>
            </w:r>
          </w:p>
        </w:tc>
      </w:tr>
      <w:tr w:rsidR="008B3E53" w:rsidRPr="00054B91" w:rsidTr="001D2E83">
        <w:tc>
          <w:tcPr>
            <w:tcW w:w="724" w:type="pct"/>
            <w:shd w:val="clear" w:color="auto" w:fill="auto"/>
          </w:tcPr>
          <w:p w:rsidR="008B3E53" w:rsidRPr="00054B91" w:rsidRDefault="008B3E53" w:rsidP="008B3E53">
            <w:pPr>
              <w:rPr>
                <w:rFonts w:cs="Arial"/>
                <w:sz w:val="16"/>
                <w:szCs w:val="16"/>
              </w:rPr>
            </w:pPr>
            <w:r w:rsidRPr="00054B91">
              <w:rPr>
                <w:rFonts w:cs="Arial"/>
                <w:sz w:val="16"/>
                <w:szCs w:val="16"/>
              </w:rPr>
              <w:t>Number of ccTLD UDRP</w:t>
            </w:r>
            <w:r w:rsidRPr="00054B91">
              <w:rPr>
                <w:rFonts w:cs="Arial"/>
                <w:sz w:val="16"/>
                <w:szCs w:val="16"/>
              </w:rPr>
              <w:noBreakHyphen/>
              <w:t>based cases administered</w:t>
            </w: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2,135 ccTLD-only cases administered by the Center (end 2011)</w:t>
            </w:r>
          </w:p>
          <w:p w:rsidR="008B3E53" w:rsidRPr="001D2E83" w:rsidRDefault="008B3E53" w:rsidP="008B3E53">
            <w:pPr>
              <w:rPr>
                <w:rFonts w:cs="Arial"/>
                <w:i/>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p>
          <w:p w:rsidR="008B3E53" w:rsidRPr="00054B91" w:rsidRDefault="008B3E53" w:rsidP="008B3E53">
            <w:pPr>
              <w:rPr>
                <w:rFonts w:cs="Arial"/>
                <w:sz w:val="16"/>
                <w:szCs w:val="16"/>
              </w:rPr>
            </w:pPr>
            <w:r w:rsidRPr="00054B91">
              <w:rPr>
                <w:rFonts w:cs="Arial"/>
                <w:sz w:val="16"/>
                <w:szCs w:val="16"/>
              </w:rPr>
              <w:t>1,694 ccTLD</w:t>
            </w:r>
            <w:r w:rsidRPr="00054B91">
              <w:rPr>
                <w:rFonts w:cs="Arial"/>
                <w:sz w:val="16"/>
                <w:szCs w:val="16"/>
              </w:rPr>
              <w:noBreakHyphen/>
              <w:t>only cases administered by the Center (end 2010)</w:t>
            </w:r>
          </w:p>
        </w:tc>
        <w:tc>
          <w:tcPr>
            <w:tcW w:w="858" w:type="pct"/>
            <w:shd w:val="clear" w:color="auto" w:fill="auto"/>
            <w:tcMar>
              <w:top w:w="110" w:type="dxa"/>
            </w:tcMar>
          </w:tcPr>
          <w:p w:rsidR="008B3E53" w:rsidRPr="00054B91" w:rsidRDefault="008B3E53" w:rsidP="008B3E53">
            <w:pPr>
              <w:rPr>
                <w:rFonts w:cs="Arial"/>
                <w:sz w:val="16"/>
                <w:szCs w:val="16"/>
                <w:lang w:bidi="th-TH"/>
              </w:rPr>
            </w:pPr>
            <w:r w:rsidRPr="00054B91">
              <w:rPr>
                <w:rFonts w:cs="Arial"/>
                <w:sz w:val="16"/>
                <w:szCs w:val="16"/>
              </w:rPr>
              <w:t>350 additional cases</w:t>
            </w:r>
            <w:r w:rsidRPr="00054B91" w:rsidDel="00D05644">
              <w:rPr>
                <w:rFonts w:cs="Arial"/>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2,788 ccTLD-only cases (cumulative per end 2013)</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lang w:bidi="th-TH"/>
              </w:rPr>
            </w:pPr>
            <w:r w:rsidRPr="00054B91">
              <w:rPr>
                <w:rFonts w:cs="Arial"/>
                <w:sz w:val="16"/>
                <w:szCs w:val="16"/>
                <w:lang w:bidi="th-TH"/>
              </w:rPr>
              <w:t xml:space="preserve">663 additional ccTLD-only cases </w:t>
            </w:r>
          </w:p>
        </w:tc>
        <w:tc>
          <w:tcPr>
            <w:tcW w:w="682" w:type="pct"/>
            <w:shd w:val="clear" w:color="auto" w:fill="auto"/>
          </w:tcPr>
          <w:p w:rsidR="008B3E53" w:rsidRPr="00054B91" w:rsidRDefault="008B3E53" w:rsidP="008B3E53">
            <w:pPr>
              <w:keepNext/>
              <w:keepLines/>
              <w:jc w:val="center"/>
              <w:rPr>
                <w:rFonts w:cs="Arial"/>
                <w:bCs/>
                <w:color w:val="333333"/>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r w:rsidRPr="00054B91">
              <w:rPr>
                <w:rFonts w:cs="Arial"/>
                <w:sz w:val="16"/>
                <w:szCs w:val="16"/>
              </w:rPr>
              <w:t>Dispute resolution policies in the Domain Name System to the development and implementation of which policies the Center has contributed</w:t>
            </w:r>
          </w:p>
        </w:tc>
        <w:tc>
          <w:tcPr>
            <w:tcW w:w="1094" w:type="pct"/>
            <w:shd w:val="clear" w:color="auto" w:fill="auto"/>
          </w:tcPr>
          <w:p w:rsidR="008B3E53" w:rsidRPr="00054B91" w:rsidRDefault="008B3E53" w:rsidP="008B3E53">
            <w:pPr>
              <w:autoSpaceDE w:val="0"/>
              <w:autoSpaceDN w:val="0"/>
              <w:adjustRightInd w:val="0"/>
              <w:rPr>
                <w:rFonts w:cs="Arial"/>
                <w:i/>
                <w:color w:val="002060"/>
                <w:sz w:val="16"/>
                <w:szCs w:val="16"/>
              </w:rPr>
            </w:pPr>
            <w:r w:rsidRPr="00054B91">
              <w:rPr>
                <w:rFonts w:cs="Arial"/>
                <w:i/>
                <w:color w:val="002060"/>
                <w:sz w:val="16"/>
                <w:szCs w:val="16"/>
              </w:rPr>
              <w:t xml:space="preserve">Updated Baseline end 2011:  </w:t>
            </w:r>
            <w:r w:rsidRPr="00054B91">
              <w:rPr>
                <w:rFonts w:cs="Arial"/>
                <w:color w:val="002060"/>
                <w:sz w:val="16"/>
                <w:szCs w:val="16"/>
              </w:rPr>
              <w:t>UDRP (at the end of 2011, only the UDRP had been adopted, for a number of years already)</w:t>
            </w:r>
          </w:p>
          <w:p w:rsidR="008B3E53" w:rsidRPr="001D2E83" w:rsidRDefault="008B3E53" w:rsidP="008B3E53">
            <w:pPr>
              <w:rPr>
                <w:rFonts w:cs="Arial"/>
                <w:i/>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r w:rsidR="00D16EC9">
              <w:rPr>
                <w:rFonts w:cs="Arial"/>
                <w:sz w:val="16"/>
                <w:szCs w:val="16"/>
              </w:rPr>
              <w:t xml:space="preserve">  </w:t>
            </w:r>
            <w:r w:rsidRPr="00054B91">
              <w:rPr>
                <w:rFonts w:cs="Arial"/>
                <w:sz w:val="16"/>
                <w:szCs w:val="16"/>
              </w:rPr>
              <w:t>UDRP (at the end of 2010, only the UDRP had been adopted, for a number of years already)</w:t>
            </w:r>
          </w:p>
        </w:tc>
        <w:tc>
          <w:tcPr>
            <w:tcW w:w="858" w:type="pct"/>
            <w:shd w:val="clear" w:color="auto" w:fill="auto"/>
            <w:tcMar>
              <w:top w:w="110" w:type="dxa"/>
            </w:tcMar>
          </w:tcPr>
          <w:p w:rsidR="008B3E53" w:rsidRPr="00054B91" w:rsidRDefault="008B3E53" w:rsidP="008B3E53">
            <w:pPr>
              <w:rPr>
                <w:rFonts w:cs="Arial"/>
                <w:sz w:val="16"/>
                <w:szCs w:val="16"/>
              </w:rPr>
            </w:pPr>
            <w:r w:rsidRPr="00054B91">
              <w:rPr>
                <w:rFonts w:cs="Arial"/>
                <w:sz w:val="16"/>
                <w:szCs w:val="16"/>
              </w:rPr>
              <w:t>Implementation in the Domain Name System</w:t>
            </w:r>
          </w:p>
          <w:p w:rsidR="008B3E53" w:rsidRPr="00054B91" w:rsidRDefault="008B3E53" w:rsidP="008B3E53">
            <w:pPr>
              <w:rPr>
                <w:rFonts w:cs="Arial"/>
                <w:sz w:val="16"/>
                <w:szCs w:val="16"/>
              </w:rPr>
            </w:pPr>
            <w:r w:rsidRPr="00054B91">
              <w:rPr>
                <w:rFonts w:cs="Arial"/>
                <w:sz w:val="16"/>
                <w:szCs w:val="16"/>
              </w:rPr>
              <w:t>of WIPO policy and process</w:t>
            </w:r>
          </w:p>
          <w:p w:rsidR="008B3E53" w:rsidRPr="00054B91" w:rsidRDefault="008B3E53" w:rsidP="008B3E53">
            <w:pPr>
              <w:rPr>
                <w:rFonts w:cs="Arial"/>
                <w:sz w:val="16"/>
                <w:szCs w:val="16"/>
              </w:rPr>
            </w:pPr>
            <w:r w:rsidRPr="00054B91">
              <w:rPr>
                <w:rFonts w:cs="Arial"/>
                <w:sz w:val="16"/>
                <w:szCs w:val="16"/>
              </w:rPr>
              <w:t>recommendations</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Accreditation of WIPO Center for ICANN Pre-Delegation Legal Rights Objections Procedure (LRO)</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lang w:bidi="th-TH"/>
              </w:rPr>
            </w:pPr>
            <w:r w:rsidRPr="00054B91">
              <w:rPr>
                <w:rFonts w:cs="Arial"/>
                <w:sz w:val="16"/>
                <w:szCs w:val="16"/>
                <w:lang w:bidi="th-TH"/>
              </w:rPr>
              <w:t>Accreditation of WIPO Center for ICANN Trademark Post-Delegation Dispute Resolution Procedure (TMDDRP)</w:t>
            </w:r>
          </w:p>
        </w:tc>
        <w:tc>
          <w:tcPr>
            <w:tcW w:w="682" w:type="pct"/>
            <w:shd w:val="clear" w:color="auto" w:fill="auto"/>
            <w:tcMar>
              <w:top w:w="110" w:type="dxa"/>
            </w:tcMar>
          </w:tcPr>
          <w:p w:rsidR="008B3E53" w:rsidRPr="00054B91" w:rsidRDefault="008B3E53" w:rsidP="008B3E53">
            <w:pPr>
              <w:keepNext/>
              <w:keepLines/>
              <w:spacing w:after="120"/>
              <w:jc w:val="center"/>
              <w:rPr>
                <w:rFonts w:cs="Arial"/>
                <w:bCs/>
                <w:color w:val="008000"/>
                <w:sz w:val="16"/>
                <w:szCs w:val="16"/>
              </w:rPr>
            </w:pPr>
            <w:r w:rsidRPr="00054B91">
              <w:rPr>
                <w:rFonts w:cs="Arial"/>
                <w:bCs/>
                <w:color w:val="008000"/>
                <w:sz w:val="16"/>
                <w:szCs w:val="16"/>
              </w:rPr>
              <w:t>Fully</w:t>
            </w:r>
            <w:r w:rsidRPr="00054B91">
              <w:rPr>
                <w:rFonts w:cs="Arial"/>
                <w:bCs/>
                <w:color w:val="008000"/>
                <w:sz w:val="16"/>
                <w:szCs w:val="16"/>
              </w:rPr>
              <w:br/>
              <w:t>Achieved</w:t>
            </w:r>
          </w:p>
        </w:tc>
      </w:tr>
      <w:tr w:rsidR="008B3E53" w:rsidRPr="00054B91" w:rsidTr="001D2E83">
        <w:tc>
          <w:tcPr>
            <w:tcW w:w="724" w:type="pct"/>
            <w:shd w:val="clear" w:color="auto" w:fill="auto"/>
          </w:tcPr>
          <w:p w:rsidR="008B3E53" w:rsidRPr="00054B91" w:rsidRDefault="008B3E53" w:rsidP="008B3E53">
            <w:pPr>
              <w:rPr>
                <w:rFonts w:cs="Arial"/>
                <w:sz w:val="16"/>
                <w:szCs w:val="16"/>
              </w:rPr>
            </w:pPr>
            <w:r w:rsidRPr="00054B91">
              <w:rPr>
                <w:rFonts w:cs="Arial"/>
                <w:sz w:val="16"/>
                <w:szCs w:val="16"/>
              </w:rPr>
              <w:t>Number of ccTLD administrators with WIPO</w:t>
            </w:r>
            <w:r w:rsidRPr="00054B91">
              <w:rPr>
                <w:rFonts w:cs="Arial"/>
                <w:sz w:val="16"/>
                <w:szCs w:val="16"/>
              </w:rPr>
              <w:noBreakHyphen/>
              <w:t>assisted design or administration of intellectual property protection mechanisms in accordance with international standards</w:t>
            </w:r>
          </w:p>
          <w:p w:rsidR="008B3E53" w:rsidRPr="00054B91" w:rsidRDefault="008B3E53" w:rsidP="008B3E53">
            <w:pPr>
              <w:rPr>
                <w:rFonts w:cs="Arial"/>
                <w:sz w:val="16"/>
                <w:szCs w:val="16"/>
              </w:rPr>
            </w:pPr>
          </w:p>
        </w:tc>
        <w:tc>
          <w:tcPr>
            <w:tcW w:w="1094" w:type="pct"/>
            <w:shd w:val="clear" w:color="auto" w:fill="auto"/>
          </w:tcPr>
          <w:p w:rsidR="008B3E53" w:rsidRPr="00054B91" w:rsidRDefault="008B3E53" w:rsidP="008B3E53">
            <w:pPr>
              <w:rPr>
                <w:rFonts w:cs="Arial"/>
                <w:i/>
                <w:color w:val="002060"/>
                <w:sz w:val="16"/>
                <w:szCs w:val="16"/>
                <w:lang w:bidi="th-TH"/>
              </w:rPr>
            </w:pPr>
            <w:r w:rsidRPr="00054B91">
              <w:rPr>
                <w:rFonts w:cs="Arial"/>
                <w:i/>
                <w:color w:val="002060"/>
                <w:sz w:val="16"/>
                <w:szCs w:val="16"/>
              </w:rPr>
              <w:t xml:space="preserve">Updated Baseline end 2011:  </w:t>
            </w:r>
            <w:r w:rsidRPr="00054B91">
              <w:rPr>
                <w:rFonts w:cs="Arial"/>
                <w:color w:val="002060"/>
                <w:sz w:val="16"/>
                <w:szCs w:val="16"/>
              </w:rPr>
              <w:t>65 ccTLD administrators (end 2011)</w:t>
            </w:r>
          </w:p>
          <w:p w:rsidR="008B3E53" w:rsidRPr="001D2E83" w:rsidRDefault="008B3E53" w:rsidP="008B3E53">
            <w:pPr>
              <w:rPr>
                <w:rFonts w:cs="Arial"/>
                <w:i/>
                <w:color w:val="002060"/>
                <w:sz w:val="8"/>
                <w:szCs w:val="8"/>
              </w:rPr>
            </w:pPr>
          </w:p>
          <w:p w:rsidR="008B3E53" w:rsidRPr="00054B91" w:rsidRDefault="008B3E53" w:rsidP="008B3E53">
            <w:pPr>
              <w:rPr>
                <w:rFonts w:cs="Arial"/>
                <w:sz w:val="16"/>
                <w:szCs w:val="16"/>
              </w:rPr>
            </w:pPr>
            <w:r w:rsidRPr="00054B91">
              <w:rPr>
                <w:rFonts w:cs="Arial"/>
                <w:i/>
                <w:sz w:val="16"/>
                <w:szCs w:val="16"/>
              </w:rPr>
              <w:t>Original Baseline P&amp;B 2012/13:</w:t>
            </w:r>
            <w:r w:rsidR="00695B53">
              <w:rPr>
                <w:rFonts w:cs="Arial"/>
                <w:sz w:val="16"/>
                <w:szCs w:val="16"/>
              </w:rPr>
              <w:t xml:space="preserve">  </w:t>
            </w:r>
            <w:r w:rsidRPr="00054B91">
              <w:rPr>
                <w:rFonts w:cs="Arial"/>
                <w:sz w:val="16"/>
                <w:szCs w:val="16"/>
              </w:rPr>
              <w:t>65 ccTLD administrators (end 2010)</w:t>
            </w:r>
          </w:p>
        </w:tc>
        <w:tc>
          <w:tcPr>
            <w:tcW w:w="858" w:type="pct"/>
            <w:shd w:val="clear" w:color="auto" w:fill="auto"/>
            <w:tcMar>
              <w:top w:w="110" w:type="dxa"/>
            </w:tcMar>
          </w:tcPr>
          <w:p w:rsidR="008B3E53" w:rsidRPr="00054B91" w:rsidRDefault="008B3E53" w:rsidP="008B3E53">
            <w:pPr>
              <w:rPr>
                <w:rFonts w:cs="Arial"/>
                <w:sz w:val="16"/>
                <w:szCs w:val="16"/>
              </w:rPr>
            </w:pPr>
            <w:r w:rsidRPr="00054B91">
              <w:rPr>
                <w:rFonts w:cs="Arial"/>
                <w:sz w:val="16"/>
                <w:szCs w:val="16"/>
              </w:rPr>
              <w:t>Six additional</w:t>
            </w:r>
          </w:p>
          <w:p w:rsidR="008B3E53" w:rsidRPr="00054B91" w:rsidRDefault="008B3E53" w:rsidP="008B3E53">
            <w:pPr>
              <w:rPr>
                <w:rFonts w:cs="Arial"/>
                <w:color w:val="993300"/>
                <w:sz w:val="16"/>
                <w:szCs w:val="16"/>
                <w:lang w:bidi="th-TH"/>
              </w:rPr>
            </w:pPr>
            <w:r w:rsidRPr="00054B91">
              <w:rPr>
                <w:rFonts w:cs="Arial"/>
                <w:sz w:val="16"/>
                <w:szCs w:val="16"/>
              </w:rPr>
              <w:t>administrators</w:t>
            </w:r>
            <w:r w:rsidRPr="00054B91" w:rsidDel="00D05644">
              <w:rPr>
                <w:rFonts w:cs="Arial"/>
                <w:color w:val="993300"/>
                <w:sz w:val="16"/>
                <w:szCs w:val="16"/>
              </w:rPr>
              <w:t xml:space="preserve"> </w:t>
            </w:r>
          </w:p>
        </w:tc>
        <w:tc>
          <w:tcPr>
            <w:tcW w:w="1642" w:type="pct"/>
            <w:gridSpan w:val="2"/>
            <w:shd w:val="clear" w:color="auto" w:fill="FFFFFF"/>
            <w:tcMar>
              <w:top w:w="110" w:type="dxa"/>
            </w:tcMar>
          </w:tcPr>
          <w:p w:rsidR="008B3E53" w:rsidRPr="00054B91" w:rsidRDefault="008B3E53" w:rsidP="008B3E53">
            <w:pPr>
              <w:rPr>
                <w:rFonts w:cs="Arial"/>
                <w:sz w:val="16"/>
                <w:szCs w:val="16"/>
                <w:lang w:bidi="th-TH"/>
              </w:rPr>
            </w:pPr>
            <w:r w:rsidRPr="00054B91">
              <w:rPr>
                <w:rFonts w:cs="Arial"/>
                <w:sz w:val="16"/>
                <w:szCs w:val="16"/>
                <w:lang w:bidi="th-TH"/>
              </w:rPr>
              <w:t>70 ccTLD administrators (cumulative per end 2013)</w:t>
            </w:r>
          </w:p>
          <w:p w:rsidR="008B3E53" w:rsidRPr="00054B91" w:rsidRDefault="008B3E53" w:rsidP="008B3E53">
            <w:pPr>
              <w:rPr>
                <w:rFonts w:cs="Arial"/>
                <w:sz w:val="16"/>
                <w:szCs w:val="16"/>
                <w:lang w:bidi="th-TH"/>
              </w:rPr>
            </w:pPr>
          </w:p>
          <w:p w:rsidR="008B3E53" w:rsidRPr="00054B91" w:rsidRDefault="008B3E53" w:rsidP="008B3E53">
            <w:pPr>
              <w:rPr>
                <w:rFonts w:cs="Arial"/>
                <w:sz w:val="16"/>
                <w:szCs w:val="16"/>
              </w:rPr>
            </w:pPr>
            <w:r w:rsidRPr="00054B91">
              <w:rPr>
                <w:rFonts w:cs="Arial"/>
                <w:sz w:val="16"/>
                <w:szCs w:val="16"/>
                <w:lang w:bidi="th-TH"/>
              </w:rPr>
              <w:t>Five additional ccTLD administrators</w:t>
            </w:r>
          </w:p>
        </w:tc>
        <w:tc>
          <w:tcPr>
            <w:tcW w:w="682" w:type="pct"/>
            <w:shd w:val="clear" w:color="auto" w:fill="auto"/>
          </w:tcPr>
          <w:p w:rsidR="008B3E53" w:rsidRPr="00054B91" w:rsidRDefault="008B3E53" w:rsidP="008B3E53">
            <w:pPr>
              <w:keepNext/>
              <w:keepLines/>
              <w:jc w:val="center"/>
              <w:rPr>
                <w:rFonts w:cs="Arial"/>
                <w:bCs/>
                <w:color w:val="333333"/>
                <w:sz w:val="16"/>
                <w:szCs w:val="16"/>
              </w:rPr>
            </w:pPr>
            <w:r w:rsidRPr="00054B91">
              <w:rPr>
                <w:rFonts w:cs="Arial"/>
                <w:bCs/>
                <w:color w:val="008000"/>
                <w:sz w:val="16"/>
                <w:szCs w:val="16"/>
              </w:rPr>
              <w:t>Fully</w:t>
            </w:r>
            <w:r w:rsidRPr="00054B91">
              <w:rPr>
                <w:rFonts w:cs="Arial"/>
                <w:bCs/>
                <w:color w:val="008000"/>
                <w:sz w:val="16"/>
                <w:szCs w:val="16"/>
              </w:rPr>
              <w:br/>
              <w:t>Achieved</w:t>
            </w:r>
          </w:p>
        </w:tc>
      </w:tr>
    </w:tbl>
    <w:p w:rsidR="008B3E53" w:rsidRPr="00BF7F74" w:rsidRDefault="008B3E53" w:rsidP="008B3E53">
      <w:pPr>
        <w:rPr>
          <w:rFonts w:cs="Arial"/>
          <w:sz w:val="22"/>
          <w:szCs w:val="22"/>
        </w:rPr>
      </w:pPr>
    </w:p>
    <w:p w:rsidR="008B3E53" w:rsidRDefault="008B3E53" w:rsidP="008B3E53">
      <w:pPr>
        <w:rPr>
          <w:rFonts w:cs="Arial"/>
          <w:sz w:val="22"/>
          <w:szCs w:val="22"/>
        </w:rPr>
      </w:pPr>
    </w:p>
    <w:p w:rsidR="001D2E83" w:rsidRDefault="001D2E83">
      <w:pPr>
        <w:rPr>
          <w:rFonts w:cs="Arial"/>
          <w:sz w:val="22"/>
          <w:szCs w:val="22"/>
        </w:rPr>
      </w:pPr>
      <w:r>
        <w:rPr>
          <w:rFonts w:cs="Arial"/>
          <w:sz w:val="22"/>
          <w:szCs w:val="22"/>
        </w:rPr>
        <w:br w:type="page"/>
      </w:r>
    </w:p>
    <w:p w:rsidR="008B3E53" w:rsidRDefault="008B3E53" w:rsidP="008B3E53">
      <w:pPr>
        <w:rPr>
          <w:rFonts w:cs="Arial"/>
          <w:sz w:val="22"/>
          <w:szCs w:val="22"/>
        </w:rPr>
      </w:pPr>
      <w:r w:rsidRPr="00BF7F74">
        <w:rPr>
          <w:rFonts w:cs="Arial"/>
          <w:sz w:val="22"/>
          <w:szCs w:val="22"/>
        </w:rPr>
        <w:lastRenderedPageBreak/>
        <w:t xml:space="preserve">BUDGET </w:t>
      </w:r>
      <w:r>
        <w:rPr>
          <w:rFonts w:cs="Arial"/>
          <w:sz w:val="22"/>
          <w:szCs w:val="22"/>
        </w:rPr>
        <w:t>AND ACTUAL EXPENDITURE</w:t>
      </w:r>
    </w:p>
    <w:p w:rsidR="008B3E53" w:rsidRDefault="008B3E53" w:rsidP="008B3E53">
      <w:pPr>
        <w:rPr>
          <w:rFonts w:cs="Arial"/>
          <w:sz w:val="22"/>
          <w:szCs w:val="22"/>
        </w:rPr>
      </w:pPr>
    </w:p>
    <w:p w:rsidR="008B3E53" w:rsidRPr="0027745B" w:rsidRDefault="008B3E53" w:rsidP="008B3E53">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8B3E53" w:rsidRPr="0027745B" w:rsidRDefault="008B3E53" w:rsidP="008B3E53">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8B3E53" w:rsidRDefault="008B3E53" w:rsidP="008B3E53">
      <w:pPr>
        <w:rPr>
          <w:rFonts w:cs="Arial"/>
          <w:sz w:val="22"/>
          <w:szCs w:val="22"/>
        </w:rPr>
      </w:pPr>
    </w:p>
    <w:tbl>
      <w:tblPr>
        <w:tblW w:w="0" w:type="auto"/>
        <w:tblInd w:w="103" w:type="dxa"/>
        <w:tblLayout w:type="fixed"/>
        <w:tblLook w:val="04A0" w:firstRow="1" w:lastRow="0" w:firstColumn="1" w:lastColumn="0" w:noHBand="0" w:noVBand="1"/>
      </w:tblPr>
      <w:tblGrid>
        <w:gridCol w:w="567"/>
        <w:gridCol w:w="4258"/>
        <w:gridCol w:w="1512"/>
        <w:gridCol w:w="1512"/>
        <w:gridCol w:w="1512"/>
      </w:tblGrid>
      <w:tr w:rsidR="008B3E53" w:rsidRPr="00054B91" w:rsidTr="00D16EC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054B91" w:rsidRDefault="008B3E53" w:rsidP="001D2E83">
            <w:pPr>
              <w:spacing w:before="120" w:after="120"/>
              <w:jc w:val="center"/>
              <w:rPr>
                <w:rFonts w:cs="Arial"/>
                <w:bCs/>
                <w:color w:val="000000"/>
                <w:sz w:val="16"/>
                <w:szCs w:val="16"/>
              </w:rPr>
            </w:pPr>
            <w:r w:rsidRPr="00054B91">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8B3E53" w:rsidRPr="00054B91" w:rsidRDefault="008B3E53" w:rsidP="001D2E83">
            <w:pPr>
              <w:spacing w:before="120" w:after="120"/>
              <w:jc w:val="center"/>
              <w:rPr>
                <w:rFonts w:cs="Arial"/>
                <w:bCs/>
                <w:color w:val="000000"/>
                <w:sz w:val="16"/>
                <w:szCs w:val="16"/>
              </w:rPr>
            </w:pPr>
            <w:r w:rsidRPr="00054B91">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8B3E53" w:rsidRPr="00054B91" w:rsidRDefault="008B3E53" w:rsidP="001D2E83">
            <w:pPr>
              <w:spacing w:before="120" w:after="120"/>
              <w:jc w:val="center"/>
              <w:rPr>
                <w:rFonts w:cs="Arial"/>
                <w:bCs/>
                <w:color w:val="000000"/>
                <w:sz w:val="16"/>
                <w:szCs w:val="16"/>
              </w:rPr>
            </w:pPr>
            <w:r w:rsidRPr="00054B91">
              <w:rPr>
                <w:rFonts w:cs="Arial"/>
                <w:bCs/>
                <w:color w:val="000000"/>
                <w:sz w:val="16"/>
                <w:szCs w:val="16"/>
              </w:rPr>
              <w:t xml:space="preserve">2012/13 Budget </w:t>
            </w:r>
            <w:r w:rsidRPr="00054B91">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8B3E53" w:rsidRPr="00054B91" w:rsidRDefault="008B3E53" w:rsidP="001D2E83">
            <w:pPr>
              <w:spacing w:before="120" w:after="120"/>
              <w:jc w:val="center"/>
              <w:rPr>
                <w:rFonts w:cs="Arial"/>
                <w:bCs/>
                <w:color w:val="000000"/>
                <w:sz w:val="16"/>
                <w:szCs w:val="16"/>
              </w:rPr>
            </w:pPr>
            <w:r w:rsidRPr="00054B91">
              <w:rPr>
                <w:rFonts w:cs="Arial"/>
                <w:bCs/>
                <w:color w:val="000000"/>
                <w:sz w:val="16"/>
                <w:szCs w:val="16"/>
              </w:rPr>
              <w:t xml:space="preserve">2012/13 </w:t>
            </w:r>
            <w:r w:rsidRPr="00054B91">
              <w:rPr>
                <w:rFonts w:cs="Arial"/>
                <w:bCs/>
                <w:color w:val="000000"/>
                <w:sz w:val="16"/>
                <w:szCs w:val="16"/>
              </w:rPr>
              <w:br/>
              <w:t>Expenditure</w:t>
            </w:r>
          </w:p>
        </w:tc>
      </w:tr>
      <w:tr w:rsidR="008B3E53" w:rsidRPr="00D05644" w:rsidTr="00D16EC9">
        <w:tc>
          <w:tcPr>
            <w:tcW w:w="567" w:type="dxa"/>
            <w:tcBorders>
              <w:top w:val="nil"/>
              <w:left w:val="single" w:sz="4" w:space="0" w:color="auto"/>
              <w:bottom w:val="nil"/>
              <w:right w:val="nil"/>
            </w:tcBorders>
            <w:shd w:val="clear" w:color="000000" w:fill="FFFFFF"/>
            <w:noWrap/>
            <w:hideMark/>
          </w:tcPr>
          <w:p w:rsidR="008B3E53" w:rsidRPr="0027745B" w:rsidRDefault="008B3E53" w:rsidP="001D2E83">
            <w:pPr>
              <w:spacing w:before="120"/>
              <w:jc w:val="center"/>
              <w:rPr>
                <w:rFonts w:cs="Arial"/>
                <w:color w:val="000000"/>
                <w:sz w:val="16"/>
                <w:szCs w:val="16"/>
              </w:rPr>
            </w:pPr>
            <w:r w:rsidRPr="0027745B">
              <w:rPr>
                <w:rFonts w:cs="Arial"/>
                <w:color w:val="000000"/>
                <w:sz w:val="16"/>
                <w:szCs w:val="16"/>
              </w:rPr>
              <w:t>II.11</w:t>
            </w:r>
          </w:p>
        </w:tc>
        <w:tc>
          <w:tcPr>
            <w:tcW w:w="4258" w:type="dxa"/>
            <w:tcBorders>
              <w:top w:val="nil"/>
              <w:left w:val="nil"/>
              <w:bottom w:val="nil"/>
              <w:right w:val="nil"/>
            </w:tcBorders>
            <w:shd w:val="clear" w:color="000000" w:fill="FFFFFF"/>
            <w:hideMark/>
          </w:tcPr>
          <w:p w:rsidR="008B3E53" w:rsidRPr="0027745B" w:rsidRDefault="008B3E53" w:rsidP="001D2E83">
            <w:pPr>
              <w:spacing w:before="120"/>
              <w:rPr>
                <w:rFonts w:cs="Arial"/>
                <w:color w:val="000000"/>
                <w:sz w:val="16"/>
                <w:szCs w:val="16"/>
              </w:rPr>
            </w:pPr>
            <w:r w:rsidRPr="0027745B">
              <w:rPr>
                <w:rFonts w:cs="Arial"/>
                <w:color w:val="000000"/>
                <w:sz w:val="16"/>
                <w:szCs w:val="16"/>
              </w:rPr>
              <w:t>International and domestic intellectual property disputes are increasingly prevented or resolved through mediation, arbitration and other alternative dispute resolution methods</w:t>
            </w:r>
          </w:p>
        </w:tc>
        <w:tc>
          <w:tcPr>
            <w:tcW w:w="1512" w:type="dxa"/>
            <w:tcBorders>
              <w:top w:val="nil"/>
              <w:left w:val="nil"/>
              <w:bottom w:val="nil"/>
              <w:right w:val="nil"/>
            </w:tcBorders>
            <w:shd w:val="clear" w:color="000000" w:fill="FFFFFF"/>
            <w:vAlign w:val="center"/>
            <w:hideMark/>
          </w:tcPr>
          <w:p w:rsidR="008B3E53" w:rsidRPr="0027745B" w:rsidRDefault="008B3E53" w:rsidP="001D2E83">
            <w:pPr>
              <w:spacing w:before="120"/>
              <w:jc w:val="right"/>
              <w:rPr>
                <w:rFonts w:cs="Arial"/>
                <w:color w:val="000000"/>
                <w:sz w:val="16"/>
                <w:szCs w:val="16"/>
              </w:rPr>
            </w:pPr>
            <w:r w:rsidRPr="0027745B">
              <w:rPr>
                <w:rFonts w:cs="Arial"/>
                <w:color w:val="000000"/>
                <w:sz w:val="16"/>
                <w:szCs w:val="16"/>
              </w:rPr>
              <w:t xml:space="preserve">3,175 </w:t>
            </w:r>
          </w:p>
        </w:tc>
        <w:tc>
          <w:tcPr>
            <w:tcW w:w="1512" w:type="dxa"/>
            <w:tcBorders>
              <w:top w:val="nil"/>
              <w:left w:val="nil"/>
              <w:bottom w:val="nil"/>
              <w:right w:val="nil"/>
            </w:tcBorders>
            <w:shd w:val="clear" w:color="000000" w:fill="FFFFFF"/>
            <w:vAlign w:val="center"/>
            <w:hideMark/>
          </w:tcPr>
          <w:p w:rsidR="008B3E53" w:rsidRPr="0027745B" w:rsidRDefault="008B3E53" w:rsidP="001D2E83">
            <w:pPr>
              <w:spacing w:before="120"/>
              <w:jc w:val="right"/>
              <w:rPr>
                <w:rFonts w:cs="Arial"/>
                <w:color w:val="000000"/>
                <w:sz w:val="16"/>
                <w:szCs w:val="16"/>
              </w:rPr>
            </w:pPr>
            <w:r w:rsidRPr="0027745B">
              <w:rPr>
                <w:rFonts w:cs="Arial"/>
                <w:color w:val="000000"/>
                <w:sz w:val="16"/>
                <w:szCs w:val="16"/>
              </w:rPr>
              <w:t xml:space="preserve">3,541 </w:t>
            </w:r>
          </w:p>
        </w:tc>
        <w:tc>
          <w:tcPr>
            <w:tcW w:w="1512" w:type="dxa"/>
            <w:tcBorders>
              <w:top w:val="nil"/>
              <w:left w:val="nil"/>
              <w:bottom w:val="nil"/>
              <w:right w:val="single" w:sz="4" w:space="0" w:color="auto"/>
            </w:tcBorders>
            <w:shd w:val="clear" w:color="000000" w:fill="FFFFFF"/>
            <w:vAlign w:val="center"/>
            <w:hideMark/>
          </w:tcPr>
          <w:p w:rsidR="008B3E53" w:rsidRPr="0027745B" w:rsidRDefault="008B3E53" w:rsidP="001D2E83">
            <w:pPr>
              <w:spacing w:before="120"/>
              <w:jc w:val="right"/>
              <w:rPr>
                <w:rFonts w:cs="Arial"/>
                <w:color w:val="000000"/>
                <w:sz w:val="16"/>
                <w:szCs w:val="16"/>
              </w:rPr>
            </w:pPr>
            <w:r w:rsidRPr="0027745B">
              <w:rPr>
                <w:rFonts w:cs="Arial"/>
                <w:color w:val="000000"/>
                <w:sz w:val="16"/>
                <w:szCs w:val="16"/>
              </w:rPr>
              <w:t xml:space="preserve">3,424 </w:t>
            </w:r>
          </w:p>
        </w:tc>
      </w:tr>
      <w:tr w:rsidR="008B3E53" w:rsidRPr="00D05644" w:rsidTr="00D16EC9">
        <w:tc>
          <w:tcPr>
            <w:tcW w:w="567" w:type="dxa"/>
            <w:tcBorders>
              <w:top w:val="nil"/>
              <w:left w:val="single" w:sz="4" w:space="0" w:color="auto"/>
              <w:bottom w:val="single" w:sz="4" w:space="0" w:color="auto"/>
              <w:right w:val="nil"/>
            </w:tcBorders>
            <w:shd w:val="clear" w:color="000000" w:fill="FFFFFF"/>
            <w:noWrap/>
            <w:hideMark/>
          </w:tcPr>
          <w:p w:rsidR="008B3E53" w:rsidRPr="0027745B" w:rsidRDefault="008B3E53" w:rsidP="001D2E83">
            <w:pPr>
              <w:spacing w:before="120" w:after="120"/>
              <w:jc w:val="center"/>
              <w:rPr>
                <w:rFonts w:cs="Arial"/>
                <w:color w:val="000000"/>
                <w:sz w:val="16"/>
                <w:szCs w:val="16"/>
              </w:rPr>
            </w:pPr>
            <w:r w:rsidRPr="0027745B">
              <w:rPr>
                <w:rFonts w:cs="Arial"/>
                <w:color w:val="000000"/>
                <w:sz w:val="16"/>
                <w:szCs w:val="16"/>
              </w:rPr>
              <w:t>II.12</w:t>
            </w:r>
          </w:p>
        </w:tc>
        <w:tc>
          <w:tcPr>
            <w:tcW w:w="4258" w:type="dxa"/>
            <w:tcBorders>
              <w:top w:val="nil"/>
              <w:left w:val="nil"/>
              <w:bottom w:val="single" w:sz="4" w:space="0" w:color="auto"/>
              <w:right w:val="nil"/>
            </w:tcBorders>
            <w:shd w:val="clear" w:color="000000" w:fill="FFFFFF"/>
            <w:hideMark/>
          </w:tcPr>
          <w:p w:rsidR="008B3E53" w:rsidRPr="0027745B" w:rsidRDefault="008B3E53" w:rsidP="001D2E83">
            <w:pPr>
              <w:spacing w:before="120" w:after="120"/>
              <w:rPr>
                <w:rFonts w:cs="Arial"/>
                <w:color w:val="000000"/>
                <w:sz w:val="16"/>
                <w:szCs w:val="16"/>
              </w:rPr>
            </w:pPr>
            <w:r w:rsidRPr="0027745B">
              <w:rPr>
                <w:rFonts w:cs="Arial"/>
                <w:color w:val="000000"/>
                <w:sz w:val="16"/>
                <w:szCs w:val="16"/>
              </w:rPr>
              <w:t>Effective intellectual property protection in the gTLDs and the ccTLDs</w:t>
            </w:r>
          </w:p>
        </w:tc>
        <w:tc>
          <w:tcPr>
            <w:tcW w:w="1512" w:type="dxa"/>
            <w:tcBorders>
              <w:top w:val="nil"/>
              <w:left w:val="nil"/>
              <w:bottom w:val="single" w:sz="4" w:space="0" w:color="auto"/>
              <w:right w:val="nil"/>
            </w:tcBorders>
            <w:shd w:val="clear" w:color="000000" w:fill="FFFFFF"/>
            <w:vAlign w:val="center"/>
            <w:hideMark/>
          </w:tcPr>
          <w:p w:rsidR="008B3E53" w:rsidRPr="0027745B" w:rsidRDefault="008B3E53" w:rsidP="001D2E83">
            <w:pPr>
              <w:spacing w:before="120" w:after="120"/>
              <w:jc w:val="right"/>
              <w:rPr>
                <w:rFonts w:cs="Arial"/>
                <w:color w:val="000000"/>
                <w:sz w:val="16"/>
                <w:szCs w:val="16"/>
              </w:rPr>
            </w:pPr>
            <w:r w:rsidRPr="0027745B">
              <w:rPr>
                <w:rFonts w:cs="Arial"/>
                <w:color w:val="000000"/>
                <w:sz w:val="16"/>
                <w:szCs w:val="16"/>
              </w:rPr>
              <w:t xml:space="preserve">7,409 </w:t>
            </w:r>
          </w:p>
        </w:tc>
        <w:tc>
          <w:tcPr>
            <w:tcW w:w="1512" w:type="dxa"/>
            <w:tcBorders>
              <w:top w:val="nil"/>
              <w:left w:val="nil"/>
              <w:bottom w:val="single" w:sz="4" w:space="0" w:color="auto"/>
              <w:right w:val="nil"/>
            </w:tcBorders>
            <w:shd w:val="clear" w:color="000000" w:fill="FFFFFF"/>
            <w:vAlign w:val="center"/>
            <w:hideMark/>
          </w:tcPr>
          <w:p w:rsidR="008B3E53" w:rsidRPr="0027745B" w:rsidRDefault="008B3E53" w:rsidP="001D2E83">
            <w:pPr>
              <w:spacing w:before="120" w:after="120"/>
              <w:jc w:val="right"/>
              <w:rPr>
                <w:rFonts w:cs="Arial"/>
                <w:color w:val="000000"/>
                <w:sz w:val="16"/>
                <w:szCs w:val="16"/>
              </w:rPr>
            </w:pPr>
            <w:r w:rsidRPr="0027745B">
              <w:rPr>
                <w:rFonts w:cs="Arial"/>
                <w:color w:val="000000"/>
                <w:sz w:val="16"/>
                <w:szCs w:val="16"/>
              </w:rPr>
              <w:t xml:space="preserve">6,623 </w:t>
            </w:r>
          </w:p>
        </w:tc>
        <w:tc>
          <w:tcPr>
            <w:tcW w:w="1512" w:type="dxa"/>
            <w:tcBorders>
              <w:top w:val="nil"/>
              <w:left w:val="nil"/>
              <w:bottom w:val="single" w:sz="4" w:space="0" w:color="auto"/>
              <w:right w:val="single" w:sz="4" w:space="0" w:color="auto"/>
            </w:tcBorders>
            <w:shd w:val="clear" w:color="000000" w:fill="FFFFFF"/>
            <w:vAlign w:val="center"/>
            <w:hideMark/>
          </w:tcPr>
          <w:p w:rsidR="008B3E53" w:rsidRPr="0027745B" w:rsidRDefault="008B3E53" w:rsidP="001D2E83">
            <w:pPr>
              <w:spacing w:before="120" w:after="120"/>
              <w:jc w:val="right"/>
              <w:rPr>
                <w:rFonts w:cs="Arial"/>
                <w:color w:val="000000"/>
                <w:sz w:val="16"/>
                <w:szCs w:val="16"/>
              </w:rPr>
            </w:pPr>
            <w:r w:rsidRPr="0027745B">
              <w:rPr>
                <w:rFonts w:cs="Arial"/>
                <w:color w:val="000000"/>
                <w:sz w:val="16"/>
                <w:szCs w:val="16"/>
              </w:rPr>
              <w:t>6,390</w:t>
            </w:r>
          </w:p>
        </w:tc>
      </w:tr>
      <w:tr w:rsidR="008B3E53" w:rsidRPr="00D05644" w:rsidTr="00D16EC9">
        <w:tc>
          <w:tcPr>
            <w:tcW w:w="567" w:type="dxa"/>
            <w:tcBorders>
              <w:top w:val="nil"/>
              <w:left w:val="single" w:sz="4" w:space="0" w:color="auto"/>
              <w:bottom w:val="single" w:sz="4" w:space="0" w:color="auto"/>
              <w:right w:val="nil"/>
            </w:tcBorders>
            <w:shd w:val="clear" w:color="000000" w:fill="CCFFFF"/>
            <w:noWrap/>
            <w:vAlign w:val="bottom"/>
            <w:hideMark/>
          </w:tcPr>
          <w:p w:rsidR="008B3E53" w:rsidRPr="0027745B" w:rsidRDefault="008B3E53" w:rsidP="001D2E83">
            <w:pPr>
              <w:spacing w:before="120" w:after="120"/>
              <w:jc w:val="center"/>
              <w:rPr>
                <w:rFonts w:cs="Arial"/>
                <w:b/>
                <w:bCs/>
                <w:color w:val="000000"/>
                <w:sz w:val="16"/>
                <w:szCs w:val="16"/>
              </w:rPr>
            </w:pPr>
            <w:r w:rsidRPr="0027745B">
              <w:rPr>
                <w:rFonts w:cs="Arial"/>
                <w:b/>
                <w:bCs/>
                <w:color w:val="000000"/>
                <w:sz w:val="16"/>
                <w:szCs w:val="16"/>
              </w:rPr>
              <w:t> </w:t>
            </w:r>
          </w:p>
        </w:tc>
        <w:tc>
          <w:tcPr>
            <w:tcW w:w="4258" w:type="dxa"/>
            <w:tcBorders>
              <w:top w:val="nil"/>
              <w:left w:val="nil"/>
              <w:bottom w:val="single" w:sz="4" w:space="0" w:color="auto"/>
              <w:right w:val="nil"/>
            </w:tcBorders>
            <w:shd w:val="clear" w:color="000000" w:fill="CCFFFF"/>
            <w:noWrap/>
            <w:vAlign w:val="center"/>
            <w:hideMark/>
          </w:tcPr>
          <w:p w:rsidR="008B3E53" w:rsidRPr="0027745B" w:rsidRDefault="008B3E53" w:rsidP="001D2E83">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8B3E53" w:rsidRPr="0027745B" w:rsidRDefault="008B3E53" w:rsidP="001D2E83">
            <w:pPr>
              <w:spacing w:before="120" w:after="120"/>
              <w:jc w:val="right"/>
              <w:rPr>
                <w:rFonts w:cs="Arial"/>
                <w:b/>
                <w:bCs/>
                <w:color w:val="000000"/>
                <w:sz w:val="16"/>
                <w:szCs w:val="16"/>
              </w:rPr>
            </w:pPr>
            <w:r w:rsidRPr="0027745B">
              <w:rPr>
                <w:rFonts w:cs="Arial"/>
                <w:b/>
                <w:bCs/>
                <w:color w:val="000000"/>
                <w:sz w:val="16"/>
                <w:szCs w:val="16"/>
              </w:rPr>
              <w:t xml:space="preserve">10,585 </w:t>
            </w:r>
          </w:p>
        </w:tc>
        <w:tc>
          <w:tcPr>
            <w:tcW w:w="1512" w:type="dxa"/>
            <w:tcBorders>
              <w:top w:val="nil"/>
              <w:left w:val="nil"/>
              <w:bottom w:val="single" w:sz="4" w:space="0" w:color="auto"/>
              <w:right w:val="single" w:sz="4" w:space="0" w:color="auto"/>
            </w:tcBorders>
            <w:shd w:val="clear" w:color="000000" w:fill="CCFFFF"/>
            <w:noWrap/>
            <w:vAlign w:val="center"/>
            <w:hideMark/>
          </w:tcPr>
          <w:p w:rsidR="008B3E53" w:rsidRPr="0027745B" w:rsidRDefault="008B3E53" w:rsidP="001D2E83">
            <w:pPr>
              <w:spacing w:before="120" w:after="120"/>
              <w:jc w:val="right"/>
              <w:rPr>
                <w:rFonts w:cs="Arial"/>
                <w:b/>
                <w:bCs/>
                <w:color w:val="000000"/>
                <w:sz w:val="16"/>
                <w:szCs w:val="16"/>
              </w:rPr>
            </w:pPr>
            <w:r w:rsidRPr="0027745B">
              <w:rPr>
                <w:rFonts w:cs="Arial"/>
                <w:b/>
                <w:bCs/>
                <w:color w:val="000000"/>
                <w:sz w:val="16"/>
                <w:szCs w:val="16"/>
              </w:rPr>
              <w:t>10,164</w:t>
            </w:r>
          </w:p>
        </w:tc>
        <w:tc>
          <w:tcPr>
            <w:tcW w:w="1512" w:type="dxa"/>
            <w:tcBorders>
              <w:top w:val="nil"/>
              <w:left w:val="nil"/>
              <w:bottom w:val="single" w:sz="4" w:space="0" w:color="auto"/>
              <w:right w:val="single" w:sz="4" w:space="0" w:color="auto"/>
            </w:tcBorders>
            <w:shd w:val="clear" w:color="000000" w:fill="CCFFFF"/>
            <w:vAlign w:val="center"/>
            <w:hideMark/>
          </w:tcPr>
          <w:p w:rsidR="008B3E53" w:rsidRPr="0027745B" w:rsidRDefault="008B3E53" w:rsidP="001D2E83">
            <w:pPr>
              <w:spacing w:before="120" w:after="120"/>
              <w:jc w:val="right"/>
              <w:rPr>
                <w:rFonts w:cs="Arial"/>
                <w:b/>
                <w:bCs/>
                <w:color w:val="000000"/>
                <w:sz w:val="16"/>
                <w:szCs w:val="16"/>
              </w:rPr>
            </w:pPr>
            <w:r w:rsidRPr="0027745B">
              <w:rPr>
                <w:rFonts w:cs="Arial"/>
                <w:b/>
                <w:bCs/>
                <w:color w:val="000000"/>
                <w:sz w:val="16"/>
                <w:szCs w:val="16"/>
              </w:rPr>
              <w:t>9,814</w:t>
            </w:r>
          </w:p>
        </w:tc>
      </w:tr>
    </w:tbl>
    <w:p w:rsidR="008B3E53" w:rsidRDefault="008B3E53" w:rsidP="008B3E53">
      <w:pPr>
        <w:rPr>
          <w:rFonts w:cs="Arial"/>
          <w:sz w:val="22"/>
          <w:szCs w:val="22"/>
        </w:rPr>
      </w:pPr>
    </w:p>
    <w:p w:rsidR="008B3E53" w:rsidRDefault="008B3E53" w:rsidP="008B3E53">
      <w:pPr>
        <w:rPr>
          <w:rFonts w:cs="Arial"/>
          <w:sz w:val="22"/>
          <w:szCs w:val="22"/>
        </w:rPr>
      </w:pPr>
    </w:p>
    <w:p w:rsidR="008B3E53" w:rsidRPr="0027745B" w:rsidRDefault="008B3E53" w:rsidP="008B3E53">
      <w:pPr>
        <w:pStyle w:val="NormalWeb"/>
        <w:spacing w:before="0" w:beforeAutospacing="0" w:after="0" w:afterAutospacing="0"/>
        <w:jc w:val="center"/>
        <w:rPr>
          <w:sz w:val="20"/>
          <w:szCs w:val="20"/>
        </w:rPr>
      </w:pPr>
      <w:r w:rsidRPr="0027745B">
        <w:rPr>
          <w:color w:val="000000"/>
          <w:sz w:val="20"/>
          <w:szCs w:val="20"/>
        </w:rPr>
        <w:t>Budget and Actual Expenditure (personnel and non-personnel)</w:t>
      </w:r>
    </w:p>
    <w:p w:rsidR="008B3E53" w:rsidRPr="0027745B" w:rsidRDefault="008B3E53" w:rsidP="008B3E53">
      <w:pPr>
        <w:jc w:val="center"/>
        <w:rPr>
          <w:rFonts w:cs="Arial"/>
          <w:szCs w:val="20"/>
        </w:rPr>
      </w:pPr>
      <w:r w:rsidRPr="0027745B">
        <w:rPr>
          <w:i/>
          <w:iCs/>
          <w:color w:val="000000"/>
          <w:szCs w:val="20"/>
        </w:rPr>
        <w:t>(</w:t>
      </w:r>
      <w:proofErr w:type="gramStart"/>
      <w:r w:rsidRPr="0027745B">
        <w:rPr>
          <w:i/>
          <w:iCs/>
          <w:color w:val="000000"/>
          <w:szCs w:val="20"/>
        </w:rPr>
        <w:t>in</w:t>
      </w:r>
      <w:proofErr w:type="gramEnd"/>
      <w:r w:rsidRPr="0027745B">
        <w:rPr>
          <w:i/>
          <w:iCs/>
          <w:color w:val="000000"/>
          <w:szCs w:val="20"/>
        </w:rPr>
        <w:t xml:space="preserve"> thousands of Swiss francs)</w:t>
      </w:r>
    </w:p>
    <w:p w:rsidR="008B3E53" w:rsidRDefault="008B3E53" w:rsidP="008B3E53">
      <w:pPr>
        <w:rPr>
          <w:rFonts w:cs="Arial"/>
          <w:sz w:val="22"/>
          <w:szCs w:val="22"/>
        </w:rPr>
      </w:pPr>
    </w:p>
    <w:tbl>
      <w:tblPr>
        <w:tblW w:w="9371" w:type="dxa"/>
        <w:tblInd w:w="93" w:type="dxa"/>
        <w:tblLook w:val="04A0" w:firstRow="1" w:lastRow="0" w:firstColumn="1" w:lastColumn="0" w:noHBand="0" w:noVBand="1"/>
      </w:tblPr>
      <w:tblGrid>
        <w:gridCol w:w="2425"/>
        <w:gridCol w:w="1736"/>
        <w:gridCol w:w="1737"/>
        <w:gridCol w:w="1736"/>
        <w:gridCol w:w="1737"/>
      </w:tblGrid>
      <w:tr w:rsidR="008B3E53" w:rsidRPr="00054B91" w:rsidTr="00D16EC9">
        <w:trPr>
          <w:trHeight w:val="53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054B91" w:rsidRDefault="008B3E53" w:rsidP="008B3E53">
            <w:pPr>
              <w:rPr>
                <w:rFonts w:cs="Arial"/>
                <w:color w:val="000000"/>
                <w:sz w:val="16"/>
                <w:szCs w:val="16"/>
              </w:rPr>
            </w:pPr>
            <w:r w:rsidRPr="00054B91">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8B3E53" w:rsidRPr="00054B91" w:rsidRDefault="008B3E53" w:rsidP="008B3E53">
            <w:pPr>
              <w:jc w:val="center"/>
              <w:rPr>
                <w:rFonts w:cs="Arial"/>
                <w:bCs/>
                <w:color w:val="000000"/>
                <w:sz w:val="16"/>
                <w:szCs w:val="16"/>
              </w:rPr>
            </w:pPr>
            <w:r w:rsidRPr="00054B91">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8B3E53" w:rsidRPr="00054B91" w:rsidRDefault="008B3E53" w:rsidP="008B3E53">
            <w:pPr>
              <w:jc w:val="center"/>
              <w:rPr>
                <w:rFonts w:cs="Arial"/>
                <w:bCs/>
                <w:color w:val="000000"/>
                <w:sz w:val="16"/>
                <w:szCs w:val="16"/>
              </w:rPr>
            </w:pPr>
            <w:r w:rsidRPr="00054B91">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8B3E53" w:rsidRPr="00054B91" w:rsidRDefault="008B3E53" w:rsidP="008B3E53">
            <w:pPr>
              <w:jc w:val="center"/>
              <w:rPr>
                <w:rFonts w:cs="Arial"/>
                <w:bCs/>
                <w:color w:val="000000"/>
                <w:sz w:val="16"/>
                <w:szCs w:val="16"/>
              </w:rPr>
            </w:pPr>
            <w:r w:rsidRPr="00054B91">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8B3E53" w:rsidRPr="00054B91" w:rsidRDefault="008B3E53" w:rsidP="008B3E53">
            <w:pPr>
              <w:jc w:val="center"/>
              <w:rPr>
                <w:rFonts w:cs="Arial"/>
                <w:bCs/>
                <w:color w:val="000000"/>
                <w:sz w:val="16"/>
                <w:szCs w:val="16"/>
              </w:rPr>
            </w:pPr>
            <w:r w:rsidRPr="00054B91">
              <w:rPr>
                <w:rFonts w:cs="Arial"/>
                <w:bCs/>
                <w:color w:val="000000"/>
                <w:sz w:val="16"/>
                <w:szCs w:val="16"/>
              </w:rPr>
              <w:t>Utilization rate (%)</w:t>
            </w:r>
          </w:p>
        </w:tc>
      </w:tr>
      <w:tr w:rsidR="008B3E53" w:rsidRPr="00D05644" w:rsidTr="00D16EC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8B3E53">
            <w:pPr>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9,634</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8,686</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8,686</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100%</w:t>
            </w:r>
          </w:p>
        </w:tc>
      </w:tr>
      <w:tr w:rsidR="008B3E53" w:rsidRPr="00D05644" w:rsidTr="00D16EC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8B3E53">
            <w:pPr>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951</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1,478</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1,128</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color w:val="000000"/>
                <w:sz w:val="16"/>
                <w:szCs w:val="16"/>
              </w:rPr>
            </w:pPr>
            <w:r w:rsidRPr="0027745B">
              <w:rPr>
                <w:rFonts w:cs="Arial"/>
                <w:color w:val="000000"/>
                <w:sz w:val="16"/>
                <w:szCs w:val="16"/>
              </w:rPr>
              <w:t>76%</w:t>
            </w:r>
          </w:p>
        </w:tc>
      </w:tr>
      <w:tr w:rsidR="008B3E53" w:rsidRPr="00D05644" w:rsidTr="00D16EC9">
        <w:trPr>
          <w:trHeight w:val="532"/>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8B3E53">
            <w:pPr>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b/>
                <w:bCs/>
                <w:color w:val="000000"/>
                <w:sz w:val="16"/>
                <w:szCs w:val="16"/>
              </w:rPr>
            </w:pPr>
            <w:r w:rsidRPr="0027745B">
              <w:rPr>
                <w:rFonts w:cs="Arial"/>
                <w:b/>
                <w:bCs/>
                <w:color w:val="000000"/>
                <w:sz w:val="16"/>
                <w:szCs w:val="16"/>
              </w:rPr>
              <w:t>10,585</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b/>
                <w:bCs/>
                <w:color w:val="000000"/>
                <w:sz w:val="16"/>
                <w:szCs w:val="16"/>
              </w:rPr>
            </w:pPr>
            <w:r w:rsidRPr="0027745B">
              <w:rPr>
                <w:rFonts w:cs="Arial"/>
                <w:b/>
                <w:bCs/>
                <w:color w:val="000000"/>
                <w:sz w:val="16"/>
                <w:szCs w:val="16"/>
              </w:rPr>
              <w:t>10,164</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b/>
                <w:bCs/>
                <w:color w:val="000000"/>
                <w:sz w:val="16"/>
                <w:szCs w:val="16"/>
              </w:rPr>
            </w:pPr>
            <w:r w:rsidRPr="0027745B">
              <w:rPr>
                <w:rFonts w:cs="Arial"/>
                <w:b/>
                <w:bCs/>
                <w:color w:val="000000"/>
                <w:sz w:val="16"/>
                <w:szCs w:val="16"/>
              </w:rPr>
              <w:t>9,814</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8B3E53">
            <w:pPr>
              <w:jc w:val="center"/>
              <w:rPr>
                <w:rFonts w:cs="Arial"/>
                <w:b/>
                <w:bCs/>
                <w:color w:val="000000"/>
                <w:sz w:val="16"/>
                <w:szCs w:val="16"/>
              </w:rPr>
            </w:pPr>
            <w:r w:rsidRPr="0027745B">
              <w:rPr>
                <w:rFonts w:cs="Arial"/>
                <w:b/>
                <w:bCs/>
                <w:color w:val="000000"/>
                <w:sz w:val="16"/>
                <w:szCs w:val="16"/>
              </w:rPr>
              <w:t>97%</w:t>
            </w:r>
          </w:p>
        </w:tc>
      </w:tr>
    </w:tbl>
    <w:p w:rsidR="008B3E53" w:rsidRDefault="008B3E53" w:rsidP="008B3E53"/>
    <w:p w:rsidR="008B3E53" w:rsidRDefault="008B3E53" w:rsidP="008B3E53">
      <w:pPr>
        <w:keepNext/>
        <w:autoSpaceDE w:val="0"/>
        <w:autoSpaceDN w:val="0"/>
        <w:rPr>
          <w:sz w:val="16"/>
          <w:szCs w:val="16"/>
        </w:rPr>
      </w:pPr>
      <w:r>
        <w:rPr>
          <w:sz w:val="16"/>
          <w:szCs w:val="16"/>
        </w:rPr>
        <w:t>NOTES:</w:t>
      </w:r>
    </w:p>
    <w:p w:rsidR="008B3E53" w:rsidRDefault="008B3E53" w:rsidP="008B3E53">
      <w:pPr>
        <w:keepNext/>
        <w:autoSpaceDE w:val="0"/>
        <w:autoSpaceDN w:val="0"/>
        <w:rPr>
          <w:sz w:val="16"/>
          <w:szCs w:val="16"/>
        </w:rPr>
      </w:pPr>
    </w:p>
    <w:p w:rsidR="008B3E53" w:rsidRDefault="008B3E53" w:rsidP="008B3E53">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8B3E53" w:rsidRDefault="008B3E53" w:rsidP="008B3E53">
      <w:pPr>
        <w:keepNext/>
        <w:autoSpaceDE w:val="0"/>
        <w:autoSpaceDN w:val="0"/>
        <w:rPr>
          <w:sz w:val="16"/>
          <w:szCs w:val="16"/>
        </w:rPr>
      </w:pPr>
    </w:p>
    <w:p w:rsidR="008B3E53" w:rsidRDefault="00DC2CFA" w:rsidP="008B3E53">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8B3E53">
        <w:rPr>
          <w:sz w:val="16"/>
          <w:szCs w:val="16"/>
        </w:rPr>
        <w:t xml:space="preserve"> </w:t>
      </w:r>
    </w:p>
    <w:p w:rsidR="008B3E53" w:rsidRDefault="008B3E53" w:rsidP="008B3E53"/>
    <w:p w:rsidR="008B3E53" w:rsidRDefault="008B3E53" w:rsidP="008B3E53"/>
    <w:p w:rsidR="008B3E53" w:rsidRPr="0027745B" w:rsidRDefault="008B3E53" w:rsidP="005703CF">
      <w:pPr>
        <w:pStyle w:val="ListParagraph"/>
        <w:numPr>
          <w:ilvl w:val="0"/>
          <w:numId w:val="18"/>
        </w:numPr>
        <w:ind w:left="709" w:hanging="709"/>
        <w:rPr>
          <w:u w:val="single"/>
        </w:rPr>
      </w:pPr>
      <w:r w:rsidRPr="0027745B">
        <w:rPr>
          <w:u w:val="single"/>
        </w:rPr>
        <w:t>Budget after Transfers 2012/13</w:t>
      </w:r>
    </w:p>
    <w:p w:rsidR="008B3E53" w:rsidRPr="0027745B" w:rsidRDefault="008B3E53" w:rsidP="008B3E53">
      <w:pPr>
        <w:pStyle w:val="ListParagraph"/>
      </w:pPr>
    </w:p>
    <w:p w:rsidR="008B3E53" w:rsidRPr="0027745B" w:rsidRDefault="008B3E53" w:rsidP="008B3E53">
      <w:pPr>
        <w:pStyle w:val="ListParagraph"/>
        <w:tabs>
          <w:tab w:val="left" w:pos="709"/>
        </w:tabs>
        <w:ind w:left="0"/>
        <w:jc w:val="both"/>
      </w:pPr>
      <w:r>
        <w:t>7.11</w:t>
      </w:r>
      <w:r w:rsidR="0068151C">
        <w:t>.</w:t>
      </w:r>
      <w:r>
        <w:tab/>
      </w:r>
      <w:r w:rsidRPr="0027745B">
        <w:t xml:space="preserve">The Budget after Transfers reflects the reallocation of personnel to non-personnel resources, as a result of the implementation of the WIPO contract reforms in January 2013.  In the Approved Budget for 2012/13, the costs of Short Term Labor contracts (SLCs) were considered as part of personnel costs.  Within the context of the contract reform, a WIPO Fellowship program was created in the Arbitration and Mediation Center in 2013, to recognize the arrangement through which the Organization provides young professionals with case management experience to strengthen their knowledge and professional competence in the areas under the Arbitration and Mediation Center’s responsibility.  Accordingly, the budget for these fellowships was moved to non-personnel costs in 2013. </w:t>
      </w:r>
    </w:p>
    <w:p w:rsidR="008B3E53" w:rsidRPr="0027745B" w:rsidRDefault="008B3E53" w:rsidP="008B3E53">
      <w:pPr>
        <w:pStyle w:val="ListParagraph"/>
        <w:ind w:left="0"/>
        <w:jc w:val="both"/>
      </w:pPr>
    </w:p>
    <w:p w:rsidR="008B3E53" w:rsidRPr="0027745B" w:rsidRDefault="008B3E53" w:rsidP="008B3E53">
      <w:pPr>
        <w:pStyle w:val="ListParagraph"/>
        <w:tabs>
          <w:tab w:val="left" w:pos="709"/>
        </w:tabs>
        <w:ind w:left="0"/>
        <w:jc w:val="both"/>
      </w:pPr>
      <w:r>
        <w:t>7.12</w:t>
      </w:r>
      <w:r w:rsidR="0068151C">
        <w:t>.</w:t>
      </w:r>
      <w:r>
        <w:tab/>
      </w:r>
      <w:r w:rsidRPr="0027745B">
        <w:t>The upward adjustment under Result II.11 (International and domestic IP disputes) reflects a shift in the Center’s personnel resources to better manage the demand for WIPO’s ADR Services.</w:t>
      </w:r>
    </w:p>
    <w:p w:rsidR="008B3E53" w:rsidRPr="0027745B" w:rsidRDefault="008B3E53" w:rsidP="008B3E53">
      <w:pPr>
        <w:jc w:val="both"/>
        <w:rPr>
          <w:szCs w:val="20"/>
        </w:rPr>
      </w:pPr>
    </w:p>
    <w:p w:rsidR="008B3E53" w:rsidRPr="0027745B" w:rsidRDefault="008B3E53" w:rsidP="008B3E53">
      <w:pPr>
        <w:tabs>
          <w:tab w:val="left" w:pos="709"/>
        </w:tabs>
        <w:jc w:val="both"/>
        <w:rPr>
          <w:szCs w:val="20"/>
        </w:rPr>
      </w:pPr>
      <w:r w:rsidRPr="0027745B">
        <w:rPr>
          <w:szCs w:val="20"/>
        </w:rPr>
        <w:t>B.</w:t>
      </w:r>
      <w:r w:rsidRPr="0027745B">
        <w:rPr>
          <w:szCs w:val="20"/>
        </w:rPr>
        <w:tab/>
      </w:r>
      <w:r w:rsidRPr="0027745B">
        <w:rPr>
          <w:szCs w:val="20"/>
          <w:u w:val="single"/>
        </w:rPr>
        <w:t>Bu</w:t>
      </w:r>
      <w:r w:rsidR="00D44A34">
        <w:rPr>
          <w:szCs w:val="20"/>
          <w:u w:val="single"/>
        </w:rPr>
        <w:t>dget U</w:t>
      </w:r>
      <w:r w:rsidRPr="0027745B">
        <w:rPr>
          <w:szCs w:val="20"/>
          <w:u w:val="single"/>
        </w:rPr>
        <w:t>tilization 2012/13</w:t>
      </w:r>
    </w:p>
    <w:p w:rsidR="008B3E53" w:rsidRPr="0027745B" w:rsidRDefault="008B3E53" w:rsidP="008B3E53">
      <w:pPr>
        <w:jc w:val="both"/>
        <w:rPr>
          <w:szCs w:val="20"/>
        </w:rPr>
      </w:pPr>
    </w:p>
    <w:p w:rsidR="008B3E53" w:rsidRPr="0027745B" w:rsidRDefault="008B3E53" w:rsidP="008B3E53">
      <w:pPr>
        <w:tabs>
          <w:tab w:val="left" w:pos="709"/>
        </w:tabs>
        <w:jc w:val="both"/>
        <w:rPr>
          <w:szCs w:val="20"/>
        </w:rPr>
      </w:pPr>
      <w:r>
        <w:rPr>
          <w:szCs w:val="20"/>
        </w:rPr>
        <w:t>7.13</w:t>
      </w:r>
      <w:r w:rsidR="0068151C">
        <w:rPr>
          <w:szCs w:val="20"/>
        </w:rPr>
        <w:t>.</w:t>
      </w:r>
      <w:r>
        <w:rPr>
          <w:szCs w:val="20"/>
        </w:rPr>
        <w:tab/>
      </w:r>
      <w:r w:rsidRPr="0027745B">
        <w:rPr>
          <w:szCs w:val="20"/>
        </w:rPr>
        <w:t xml:space="preserve">The slightly lower than expected budget utilization for non-personnel resources reflects cost savings due to: </w:t>
      </w:r>
      <w:r w:rsidR="00D16EC9">
        <w:rPr>
          <w:szCs w:val="20"/>
        </w:rPr>
        <w:t xml:space="preserve"> </w:t>
      </w:r>
      <w:r w:rsidRPr="0027745B">
        <w:rPr>
          <w:szCs w:val="20"/>
        </w:rPr>
        <w:t xml:space="preserve">(i) a more strategic approach to the recruitment of fellows (domain name case managers); </w:t>
      </w:r>
      <w:r w:rsidR="00D16EC9">
        <w:rPr>
          <w:szCs w:val="20"/>
        </w:rPr>
        <w:t xml:space="preserve"> </w:t>
      </w:r>
      <w:r w:rsidRPr="0027745B">
        <w:rPr>
          <w:szCs w:val="20"/>
        </w:rPr>
        <w:t>and (ii) a reduction in staff missions and travel costs due to the postponement or cancellation of certain planned events as a result of shifting priorities at the national level.</w:t>
      </w:r>
    </w:p>
    <w:p w:rsidR="008B3E53" w:rsidRDefault="008B3E53">
      <w:pPr>
        <w:rPr>
          <w:szCs w:val="20"/>
        </w:rPr>
      </w:pPr>
      <w:r>
        <w:br w:type="page"/>
      </w:r>
    </w:p>
    <w:p w:rsidR="00121D79" w:rsidRPr="00A522FE" w:rsidRDefault="00121D79" w:rsidP="00121D79">
      <w:pPr>
        <w:pStyle w:val="Heading2"/>
      </w:pPr>
      <w:bookmarkStart w:id="29" w:name="_Toc301357250"/>
      <w:bookmarkStart w:id="30" w:name="_Toc393956051"/>
      <w:r w:rsidRPr="00A522FE">
        <w:lastRenderedPageBreak/>
        <w:t xml:space="preserve">STRATEGIC GOAL </w:t>
      </w:r>
      <w:proofErr w:type="gramStart"/>
      <w:r w:rsidRPr="00A522FE">
        <w:t xml:space="preserve">III  </w:t>
      </w:r>
      <w:proofErr w:type="gramEnd"/>
      <w:r w:rsidRPr="00A522FE">
        <w:br/>
      </w:r>
      <w:r w:rsidRPr="00A522FE">
        <w:br/>
        <w:t>Facilitating the Use of IP for Development</w:t>
      </w:r>
      <w:bookmarkEnd w:id="29"/>
      <w:bookmarkEnd w:id="30"/>
    </w:p>
    <w:p w:rsidR="00121D79" w:rsidRDefault="00121D79" w:rsidP="001525FC">
      <w:pPr>
        <w:jc w:val="center"/>
      </w:pPr>
    </w:p>
    <w:p w:rsidR="006A6EC1" w:rsidRDefault="006A6EC1" w:rsidP="001525FC">
      <w:pPr>
        <w:jc w:val="center"/>
      </w:pPr>
    </w:p>
    <w:p w:rsidR="006A6EC1" w:rsidRDefault="00121D79" w:rsidP="006A6EC1">
      <w:pPr>
        <w:jc w:val="center"/>
      </w:pPr>
      <w:r>
        <w:t>BIENNIAL PERFORMANCE DASHBOARD</w:t>
      </w:r>
    </w:p>
    <w:p w:rsidR="006A6EC1" w:rsidRPr="00A522FE" w:rsidRDefault="006A6EC1" w:rsidP="001525FC">
      <w:pPr>
        <w:jc w:val="center"/>
      </w:pPr>
    </w:p>
    <w:p w:rsidR="00121D79" w:rsidRDefault="00121D79" w:rsidP="00121D79">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6A6EC1" w:rsidRDefault="006A6EC1" w:rsidP="00121D79">
      <w:pPr>
        <w:autoSpaceDE w:val="0"/>
        <w:autoSpaceDN w:val="0"/>
        <w:adjustRightInd w:val="0"/>
        <w:jc w:val="both"/>
        <w:rPr>
          <w:rFonts w:cs="Arial"/>
        </w:rPr>
      </w:pPr>
    </w:p>
    <w:p w:rsidR="006A6EC1" w:rsidRDefault="006A6EC1" w:rsidP="006A6EC1">
      <w:pPr>
        <w:autoSpaceDE w:val="0"/>
        <w:autoSpaceDN w:val="0"/>
        <w:adjustRightInd w:val="0"/>
        <w:jc w:val="center"/>
        <w:rPr>
          <w:rFonts w:cs="Arial"/>
        </w:rPr>
      </w:pPr>
      <w:r>
        <w:rPr>
          <w:noProof/>
        </w:rPr>
        <w:drawing>
          <wp:inline distT="0" distB="0" distL="0" distR="0" wp14:anchorId="622EACFC" wp14:editId="33AF3689">
            <wp:extent cx="3694176" cy="2031797"/>
            <wp:effectExtent l="0" t="0" r="1905" b="6985"/>
            <wp:docPr id="5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51"/>
                    <a:stretch>
                      <a:fillRect/>
                    </a:stretch>
                  </pic:blipFill>
                  <pic:spPr>
                    <a:xfrm>
                      <a:off x="0" y="0"/>
                      <a:ext cx="3694176" cy="2031797"/>
                    </a:xfrm>
                    <a:prstGeom prst="rect">
                      <a:avLst/>
                    </a:prstGeom>
                  </pic:spPr>
                </pic:pic>
              </a:graphicData>
            </a:graphic>
          </wp:inline>
        </w:drawing>
      </w:r>
    </w:p>
    <w:p w:rsidR="006A6EC1" w:rsidRPr="00FA331B" w:rsidRDefault="006A6EC1" w:rsidP="006A6EC1">
      <w:pPr>
        <w:autoSpaceDE w:val="0"/>
        <w:autoSpaceDN w:val="0"/>
        <w:adjustRightInd w:val="0"/>
        <w:jc w:val="center"/>
        <w:rPr>
          <w:rFonts w:cs="Arial"/>
        </w:rPr>
      </w:pPr>
    </w:p>
    <w:p w:rsidR="00121D79" w:rsidRPr="00A522FE" w:rsidRDefault="00121D79" w:rsidP="00121D79">
      <w:pPr>
        <w:tabs>
          <w:tab w:val="left" w:pos="1701"/>
        </w:tabs>
        <w:ind w:left="1701" w:hanging="1701"/>
        <w:jc w:val="center"/>
        <w:rPr>
          <w:rFonts w:cs="Arial"/>
          <w:b/>
          <w:bCs/>
          <w:caps/>
        </w:rPr>
      </w:pPr>
    </w:p>
    <w:tbl>
      <w:tblPr>
        <w:tblW w:w="0" w:type="auto"/>
        <w:tblInd w:w="9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537"/>
        <w:gridCol w:w="4032"/>
        <w:gridCol w:w="1200"/>
        <w:gridCol w:w="709"/>
      </w:tblGrid>
      <w:tr w:rsidR="006E397A" w:rsidRPr="007354C4" w:rsidTr="00945A40">
        <w:trPr>
          <w:tblHeader/>
        </w:trPr>
        <w:tc>
          <w:tcPr>
            <w:tcW w:w="0" w:type="auto"/>
            <w:tcBorders>
              <w:top w:val="single" w:sz="4" w:space="0" w:color="auto"/>
              <w:bottom w:val="single" w:sz="4" w:space="0" w:color="auto"/>
            </w:tcBorders>
            <w:shd w:val="clear" w:color="auto" w:fill="CCFFFF"/>
            <w:vAlign w:val="center"/>
          </w:tcPr>
          <w:p w:rsidR="006E397A" w:rsidRPr="006A6EC1" w:rsidRDefault="006E397A" w:rsidP="006E397A">
            <w:pPr>
              <w:spacing w:before="120" w:after="120"/>
              <w:jc w:val="center"/>
              <w:rPr>
                <w:b/>
                <w:bCs/>
                <w:sz w:val="14"/>
                <w:szCs w:val="14"/>
                <w:lang w:bidi="th-TH"/>
              </w:rPr>
            </w:pPr>
            <w:r w:rsidRPr="006A6EC1">
              <w:rPr>
                <w:b/>
                <w:bCs/>
                <w:sz w:val="14"/>
                <w:szCs w:val="14"/>
                <w:lang w:bidi="th-TH"/>
              </w:rPr>
              <w:t>Expected Results</w:t>
            </w:r>
          </w:p>
        </w:tc>
        <w:tc>
          <w:tcPr>
            <w:tcW w:w="0" w:type="auto"/>
            <w:tcBorders>
              <w:top w:val="single" w:sz="4" w:space="0" w:color="auto"/>
              <w:bottom w:val="single" w:sz="4" w:space="0" w:color="auto"/>
            </w:tcBorders>
            <w:shd w:val="clear" w:color="auto" w:fill="CCFFFF"/>
            <w:vAlign w:val="center"/>
          </w:tcPr>
          <w:p w:rsidR="006E397A" w:rsidRPr="006A6EC1" w:rsidRDefault="006E397A" w:rsidP="006E397A">
            <w:pPr>
              <w:spacing w:before="120" w:after="120"/>
              <w:jc w:val="center"/>
              <w:rPr>
                <w:b/>
                <w:bCs/>
                <w:sz w:val="14"/>
                <w:szCs w:val="14"/>
                <w:lang w:bidi="th-TH"/>
              </w:rPr>
            </w:pPr>
            <w:r w:rsidRPr="006A6EC1">
              <w:rPr>
                <w:b/>
                <w:bCs/>
                <w:sz w:val="14"/>
                <w:szCs w:val="14"/>
                <w:lang w:bidi="th-TH"/>
              </w:rPr>
              <w:t>Performance Indicators</w:t>
            </w:r>
          </w:p>
        </w:tc>
        <w:tc>
          <w:tcPr>
            <w:tcW w:w="0" w:type="auto"/>
            <w:tcBorders>
              <w:top w:val="single" w:sz="4" w:space="0" w:color="auto"/>
              <w:bottom w:val="single" w:sz="4" w:space="0" w:color="auto"/>
            </w:tcBorders>
            <w:shd w:val="clear" w:color="auto" w:fill="CCFFFF"/>
            <w:vAlign w:val="center"/>
          </w:tcPr>
          <w:p w:rsidR="006E397A" w:rsidRPr="006A6EC1" w:rsidRDefault="006E397A" w:rsidP="003F6BF4">
            <w:pPr>
              <w:spacing w:before="120" w:after="120"/>
              <w:jc w:val="center"/>
              <w:rPr>
                <w:b/>
                <w:bCs/>
                <w:sz w:val="14"/>
                <w:szCs w:val="14"/>
                <w:lang w:bidi="th-TH"/>
              </w:rPr>
            </w:pPr>
            <w:r w:rsidRPr="006A6EC1">
              <w:rPr>
                <w:b/>
                <w:bCs/>
                <w:sz w:val="14"/>
                <w:szCs w:val="14"/>
                <w:lang w:bidi="th-TH"/>
              </w:rPr>
              <w:t>Responsible Program(s)</w:t>
            </w:r>
          </w:p>
        </w:tc>
        <w:tc>
          <w:tcPr>
            <w:tcW w:w="0" w:type="auto"/>
            <w:tcBorders>
              <w:top w:val="single" w:sz="4" w:space="0" w:color="auto"/>
              <w:bottom w:val="single" w:sz="4" w:space="0" w:color="auto"/>
            </w:tcBorders>
            <w:shd w:val="clear" w:color="auto" w:fill="CCFFFF"/>
          </w:tcPr>
          <w:p w:rsidR="006E397A" w:rsidRPr="006A6EC1" w:rsidRDefault="006E397A" w:rsidP="006E397A">
            <w:pPr>
              <w:spacing w:before="120" w:after="120"/>
              <w:jc w:val="center"/>
              <w:rPr>
                <w:b/>
                <w:bCs/>
                <w:sz w:val="14"/>
                <w:szCs w:val="14"/>
                <w:lang w:bidi="th-TH"/>
              </w:rPr>
            </w:pPr>
            <w:r w:rsidRPr="006A6EC1">
              <w:rPr>
                <w:b/>
                <w:bCs/>
                <w:sz w:val="14"/>
                <w:szCs w:val="14"/>
                <w:lang w:bidi="th-TH"/>
              </w:rPr>
              <w:t>TLS</w:t>
            </w:r>
          </w:p>
        </w:tc>
      </w:tr>
      <w:tr w:rsidR="006E397A" w:rsidRPr="007354C4" w:rsidTr="00945A40">
        <w:tc>
          <w:tcPr>
            <w:tcW w:w="0" w:type="auto"/>
            <w:vMerge w:val="restart"/>
            <w:tcBorders>
              <w:top w:val="single" w:sz="4" w:space="0" w:color="auto"/>
            </w:tcBorders>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Clearly defined and coherent national innovation and IP policies, strategies and development plans consistent with national development goals and objectives </w:t>
            </w:r>
          </w:p>
          <w:p w:rsidR="006E397A" w:rsidRPr="006A6EC1" w:rsidRDefault="006E397A" w:rsidP="006E397A">
            <w:pPr>
              <w:spacing w:before="80"/>
              <w:rPr>
                <w:sz w:val="14"/>
                <w:szCs w:val="14"/>
                <w:lang w:bidi="th-TH"/>
              </w:rPr>
            </w:pPr>
            <w:r w:rsidRPr="006A6EC1">
              <w:rPr>
                <w:sz w:val="14"/>
                <w:szCs w:val="14"/>
                <w:lang w:bidi="th-TH"/>
              </w:rPr>
              <w:t> </w:t>
            </w:r>
          </w:p>
        </w:tc>
        <w:tc>
          <w:tcPr>
            <w:tcW w:w="0" w:type="auto"/>
            <w:tcBorders>
              <w:top w:val="single" w:sz="4" w:space="0" w:color="auto"/>
            </w:tcBorders>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that have formulated and/or are engaged in implementation of their IP Policies, Strategies and/or Plans each year (Africa)</w:t>
            </w:r>
          </w:p>
        </w:tc>
        <w:tc>
          <w:tcPr>
            <w:tcW w:w="0" w:type="auto"/>
            <w:tcBorders>
              <w:top w:val="single" w:sz="4" w:space="0" w:color="auto"/>
            </w:tcBorders>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Borders>
              <w:top w:val="single" w:sz="4" w:space="0" w:color="auto"/>
            </w:tcBorders>
          </w:tcPr>
          <w:p w:rsidR="006E397A" w:rsidRPr="006A6EC1" w:rsidRDefault="006E397A" w:rsidP="004F4C48">
            <w:pPr>
              <w:spacing w:before="40"/>
              <w:jc w:val="center"/>
              <w:rPr>
                <w:sz w:val="22"/>
                <w:szCs w:val="22"/>
                <w:lang w:bidi="th-TH"/>
              </w:rPr>
            </w:pPr>
            <w:r w:rsidRPr="006A6EC1">
              <w:rPr>
                <w:rFonts w:cs="Arial"/>
                <w:color w:val="E36C0A" w:themeColor="accent6" w:themeShade="BF"/>
                <w:sz w:val="22"/>
                <w:szCs w:val="22"/>
              </w:rPr>
              <w:sym w:font="Wingdings" w:char="F06C"/>
            </w:r>
            <w:r w:rsidR="00262E3E" w:rsidRPr="006A6EC1">
              <w:rPr>
                <w:rFonts w:cs="Arial"/>
                <w:color w:val="FF0000"/>
                <w:sz w:val="22"/>
                <w:szCs w:val="22"/>
              </w:rPr>
              <w:sym w:font="Wingdings" w:char="F06C"/>
            </w:r>
            <w:r w:rsidR="00262E3E"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with appropriate mechanisms for the development and implementation of IP strategies (Arab region)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sz w:val="22"/>
                <w:szCs w:val="22"/>
              </w:rPr>
            </w:pPr>
            <w:r w:rsidRPr="006A6EC1">
              <w:rPr>
                <w:rFonts w:cs="Arial"/>
                <w:color w:val="E36C0A" w:themeColor="accent6" w:themeShade="BF"/>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with initiatives l</w:t>
            </w:r>
            <w:r w:rsidR="00262E3E" w:rsidRPr="006A6EC1">
              <w:rPr>
                <w:sz w:val="14"/>
                <w:szCs w:val="14"/>
                <w:lang w:bidi="th-TH"/>
              </w:rPr>
              <w:t xml:space="preserve">inked to the national IP plans  </w:t>
            </w:r>
            <w:r w:rsidRPr="006A6EC1">
              <w:rPr>
                <w:sz w:val="14"/>
                <w:szCs w:val="14"/>
                <w:lang w:bidi="th-TH"/>
              </w:rPr>
              <w:t>(Arab region)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with IP policies and strategies in the</w:t>
            </w:r>
            <w:r w:rsidR="00262E3E" w:rsidRPr="006A6EC1">
              <w:rPr>
                <w:sz w:val="14"/>
                <w:szCs w:val="14"/>
                <w:lang w:bidi="th-TH"/>
              </w:rPr>
              <w:t xml:space="preserve">ir national approval processes </w:t>
            </w:r>
            <w:r w:rsidRPr="006A6EC1">
              <w:rPr>
                <w:sz w:val="14"/>
                <w:szCs w:val="14"/>
                <w:lang w:bidi="th-TH"/>
              </w:rPr>
              <w:t>(Asia and the Pacific)</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sz w:val="22"/>
                <w:szCs w:val="22"/>
              </w:rPr>
            </w:pPr>
            <w:r w:rsidRPr="006A6EC1">
              <w:rPr>
                <w:rFonts w:cs="Arial"/>
                <w:color w:val="E36C0A" w:themeColor="accent6" w:themeShade="BF"/>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having adop</w:t>
            </w:r>
            <w:r w:rsidR="00262E3E" w:rsidRPr="006A6EC1">
              <w:rPr>
                <w:sz w:val="14"/>
                <w:szCs w:val="14"/>
                <w:lang w:bidi="th-TH"/>
              </w:rPr>
              <w:t xml:space="preserve">ted IP policies and strategies </w:t>
            </w:r>
            <w:r w:rsidRPr="006A6EC1">
              <w:rPr>
                <w:sz w:val="14"/>
                <w:szCs w:val="14"/>
                <w:lang w:bidi="th-TH"/>
              </w:rPr>
              <w:t>(Asia and the Pacific)</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color w:val="000000"/>
                <w:sz w:val="14"/>
                <w:szCs w:val="14"/>
                <w:lang w:bidi="th-TH"/>
              </w:rPr>
            </w:pPr>
            <w:r w:rsidRPr="006A6EC1">
              <w:rPr>
                <w:color w:val="000000"/>
                <w:sz w:val="14"/>
                <w:szCs w:val="14"/>
                <w:lang w:bidi="th-TH"/>
              </w:rPr>
              <w:t>No. of countries in which activities/projects have been carried out that contribute to the formulation of  IP strategies/policies</w:t>
            </w:r>
            <w:r w:rsidRPr="006A6EC1">
              <w:rPr>
                <w:color w:val="000000"/>
                <w:sz w:val="14"/>
                <w:szCs w:val="14"/>
                <w:lang w:bidi="th-TH"/>
              </w:rPr>
              <w:br/>
              <w:t xml:space="preserve">(Latin America and the Caribbean)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color w:val="000000"/>
                <w:sz w:val="14"/>
                <w:szCs w:val="14"/>
                <w:lang w:bidi="th-TH"/>
              </w:rPr>
            </w:pPr>
            <w:r w:rsidRPr="006A6EC1">
              <w:rPr>
                <w:color w:val="000000"/>
                <w:sz w:val="14"/>
                <w:szCs w:val="14"/>
                <w:lang w:bidi="th-TH"/>
              </w:rPr>
              <w:t>No. of countries in which activities/projects have been carried out that contribute to the implementation of  IP strategies/policies</w:t>
            </w:r>
            <w:r w:rsidRPr="006A6EC1">
              <w:rPr>
                <w:color w:val="000000"/>
                <w:sz w:val="14"/>
                <w:szCs w:val="14"/>
                <w:lang w:bidi="th-TH"/>
              </w:rPr>
              <w:br/>
              <w:t xml:space="preserve">(Latin America and the Caribbean)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sz w:val="22"/>
                <w:szCs w:val="22"/>
              </w:rPr>
            </w:pPr>
            <w:r w:rsidRPr="006A6EC1">
              <w:rPr>
                <w:rFonts w:cs="Arial"/>
                <w:color w:val="E36C0A" w:themeColor="accent6" w:themeShade="BF"/>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LDCs that have included LDC-specific IP considerations in their national IP strategies and/or policies (LDCs)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No of countries having developed national IP strategies or plans, dovetailed with national development goals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10</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076E2A" w:rsidRPr="007354C4" w:rsidTr="00945A40">
        <w:tc>
          <w:tcPr>
            <w:tcW w:w="0" w:type="auto"/>
            <w:vMerge w:val="restart"/>
            <w:shd w:val="clear" w:color="auto" w:fill="auto"/>
          </w:tcPr>
          <w:p w:rsidR="00076E2A" w:rsidRPr="006A6EC1" w:rsidRDefault="00076E2A" w:rsidP="006E397A">
            <w:pPr>
              <w:spacing w:before="80"/>
              <w:rPr>
                <w:sz w:val="14"/>
                <w:szCs w:val="14"/>
                <w:lang w:bidi="th-TH"/>
              </w:rPr>
            </w:pPr>
            <w:r w:rsidRPr="006A6EC1">
              <w:rPr>
                <w:sz w:val="14"/>
                <w:szCs w:val="14"/>
                <w:lang w:bidi="th-TH"/>
              </w:rPr>
              <w:t>Enhanced human resource capacities able to deal with the broad range of requirements for the effective use of IP for development in developing countries, LDCs and countries with economies in transition</w:t>
            </w:r>
          </w:p>
          <w:p w:rsidR="00076E2A" w:rsidRPr="006A6EC1" w:rsidRDefault="00076E2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076E2A" w:rsidRPr="006A6EC1" w:rsidRDefault="004F4C48" w:rsidP="004F4C48">
            <w:pPr>
              <w:spacing w:before="80"/>
              <w:rPr>
                <w:sz w:val="14"/>
                <w:szCs w:val="14"/>
                <w:highlight w:val="yellow"/>
                <w:lang w:bidi="th-TH"/>
              </w:rPr>
            </w:pPr>
            <w:r w:rsidRPr="006A6EC1">
              <w:rPr>
                <w:rFonts w:cs="Arial"/>
                <w:sz w:val="14"/>
                <w:szCs w:val="14"/>
                <w:lang w:bidi="th-TH"/>
              </w:rPr>
              <w:t>No. of national IP strategies which includes an innovation and technology component</w:t>
            </w:r>
          </w:p>
        </w:tc>
        <w:tc>
          <w:tcPr>
            <w:tcW w:w="0" w:type="auto"/>
            <w:shd w:val="clear" w:color="auto" w:fill="auto"/>
          </w:tcPr>
          <w:p w:rsidR="00076E2A" w:rsidRPr="006A6EC1" w:rsidRDefault="00076E2A" w:rsidP="003F6BF4">
            <w:pPr>
              <w:spacing w:before="80"/>
              <w:jc w:val="center"/>
              <w:rPr>
                <w:sz w:val="14"/>
                <w:szCs w:val="14"/>
                <w:highlight w:val="yellow"/>
                <w:lang w:bidi="th-TH"/>
              </w:rPr>
            </w:pPr>
            <w:r w:rsidRPr="006A6EC1">
              <w:rPr>
                <w:sz w:val="14"/>
                <w:szCs w:val="14"/>
                <w:lang w:bidi="th-TH"/>
              </w:rPr>
              <w:t xml:space="preserve">Program </w:t>
            </w:r>
            <w:r w:rsidR="004F4C48" w:rsidRPr="006A6EC1">
              <w:rPr>
                <w:sz w:val="14"/>
                <w:szCs w:val="14"/>
                <w:lang w:bidi="th-TH"/>
              </w:rPr>
              <w:t>30</w:t>
            </w:r>
          </w:p>
        </w:tc>
        <w:tc>
          <w:tcPr>
            <w:tcW w:w="0" w:type="auto"/>
          </w:tcPr>
          <w:p w:rsidR="00076E2A" w:rsidRPr="006A6EC1" w:rsidRDefault="004F4C48" w:rsidP="004F4C48">
            <w:pPr>
              <w:spacing w:before="20"/>
              <w:jc w:val="center"/>
              <w:rPr>
                <w:sz w:val="22"/>
                <w:szCs w:val="22"/>
                <w:highlight w:val="yellow"/>
              </w:rPr>
            </w:pPr>
            <w:r w:rsidRPr="006A6EC1">
              <w:rPr>
                <w:rFonts w:cs="Arial"/>
                <w:color w:val="A6A6A6" w:themeColor="background1" w:themeShade="A6"/>
                <w:sz w:val="22"/>
                <w:szCs w:val="22"/>
              </w:rPr>
              <w:sym w:font="Wingdings" w:char="F06C"/>
            </w:r>
          </w:p>
        </w:tc>
      </w:tr>
      <w:tr w:rsidR="00076E2A" w:rsidRPr="007354C4" w:rsidTr="00945A40">
        <w:tc>
          <w:tcPr>
            <w:tcW w:w="0" w:type="auto"/>
            <w:vMerge/>
            <w:shd w:val="clear" w:color="auto" w:fill="auto"/>
          </w:tcPr>
          <w:p w:rsidR="00076E2A" w:rsidRPr="006A6EC1" w:rsidRDefault="00076E2A" w:rsidP="006A6EC1">
            <w:pPr>
              <w:spacing w:before="80"/>
              <w:ind w:firstLineChars="100" w:firstLine="140"/>
              <w:rPr>
                <w:sz w:val="14"/>
                <w:szCs w:val="14"/>
                <w:lang w:bidi="th-TH"/>
              </w:rPr>
            </w:pPr>
          </w:p>
        </w:tc>
        <w:tc>
          <w:tcPr>
            <w:tcW w:w="0" w:type="auto"/>
            <w:shd w:val="clear" w:color="auto" w:fill="auto"/>
          </w:tcPr>
          <w:p w:rsidR="00076E2A" w:rsidRPr="006A6EC1" w:rsidRDefault="00076E2A" w:rsidP="006E397A">
            <w:pPr>
              <w:spacing w:before="80"/>
              <w:rPr>
                <w:sz w:val="14"/>
                <w:szCs w:val="14"/>
                <w:lang w:bidi="th-TH"/>
              </w:rPr>
            </w:pPr>
            <w:r w:rsidRPr="006A6EC1">
              <w:rPr>
                <w:sz w:val="14"/>
                <w:szCs w:val="14"/>
                <w:lang w:bidi="th-TH"/>
              </w:rPr>
              <w:t>% of policy makers, government officials, IP practitioners and examiners, enforcement agents and |P users with a better understanding of IP issues and its use for development</w:t>
            </w:r>
          </w:p>
        </w:tc>
        <w:tc>
          <w:tcPr>
            <w:tcW w:w="0" w:type="auto"/>
            <w:shd w:val="clear" w:color="auto" w:fill="auto"/>
          </w:tcPr>
          <w:p w:rsidR="00076E2A" w:rsidRPr="006A6EC1" w:rsidRDefault="00076E2A" w:rsidP="003F6BF4">
            <w:pPr>
              <w:spacing w:before="80"/>
              <w:jc w:val="center"/>
              <w:rPr>
                <w:sz w:val="14"/>
                <w:szCs w:val="14"/>
                <w:lang w:bidi="th-TH"/>
              </w:rPr>
            </w:pPr>
            <w:r w:rsidRPr="006A6EC1">
              <w:rPr>
                <w:sz w:val="14"/>
                <w:szCs w:val="14"/>
                <w:lang w:bidi="th-TH"/>
              </w:rPr>
              <w:t>Program 9</w:t>
            </w:r>
          </w:p>
        </w:tc>
        <w:tc>
          <w:tcPr>
            <w:tcW w:w="0" w:type="auto"/>
          </w:tcPr>
          <w:p w:rsidR="00076E2A" w:rsidRPr="006A6EC1" w:rsidRDefault="00E36A85" w:rsidP="006E397A">
            <w:pPr>
              <w:spacing w:before="20"/>
              <w:jc w:val="center"/>
              <w:rPr>
                <w:color w:val="00B050"/>
                <w:sz w:val="22"/>
                <w:szCs w:val="22"/>
              </w:rPr>
            </w:pPr>
            <w:r w:rsidRPr="006A6EC1">
              <w:rPr>
                <w:rFonts w:cs="Arial"/>
                <w:color w:val="008000"/>
                <w:sz w:val="22"/>
                <w:szCs w:val="22"/>
              </w:rPr>
              <w:sym w:font="Wingdings" w:char="F06C"/>
            </w:r>
          </w:p>
        </w:tc>
      </w:tr>
      <w:tr w:rsidR="00076E2A" w:rsidRPr="007354C4" w:rsidTr="00945A40">
        <w:tc>
          <w:tcPr>
            <w:tcW w:w="0" w:type="auto"/>
            <w:vMerge/>
            <w:shd w:val="clear" w:color="auto" w:fill="auto"/>
          </w:tcPr>
          <w:p w:rsidR="00076E2A" w:rsidRPr="006A6EC1" w:rsidRDefault="00076E2A" w:rsidP="006A6EC1">
            <w:pPr>
              <w:spacing w:before="80"/>
              <w:ind w:firstLineChars="100" w:firstLine="140"/>
              <w:rPr>
                <w:sz w:val="14"/>
                <w:szCs w:val="14"/>
                <w:lang w:bidi="th-TH"/>
              </w:rPr>
            </w:pPr>
          </w:p>
        </w:tc>
        <w:tc>
          <w:tcPr>
            <w:tcW w:w="0" w:type="auto"/>
            <w:shd w:val="clear" w:color="auto" w:fill="auto"/>
          </w:tcPr>
          <w:p w:rsidR="00076E2A" w:rsidRPr="006A6EC1" w:rsidRDefault="00076E2A" w:rsidP="006E397A">
            <w:pPr>
              <w:spacing w:before="80"/>
              <w:rPr>
                <w:sz w:val="14"/>
                <w:szCs w:val="14"/>
                <w:lang w:bidi="th-TH"/>
              </w:rPr>
            </w:pPr>
            <w:r w:rsidRPr="006A6EC1">
              <w:rPr>
                <w:sz w:val="14"/>
                <w:szCs w:val="14"/>
                <w:lang w:bidi="th-TH"/>
              </w:rPr>
              <w:t>No. of countries with  available IP training programs and IP related career opportunities (Arab region)</w:t>
            </w:r>
          </w:p>
        </w:tc>
        <w:tc>
          <w:tcPr>
            <w:tcW w:w="0" w:type="auto"/>
            <w:shd w:val="clear" w:color="auto" w:fill="auto"/>
          </w:tcPr>
          <w:p w:rsidR="00076E2A" w:rsidRPr="006A6EC1" w:rsidRDefault="00076E2A" w:rsidP="003F6BF4">
            <w:pPr>
              <w:spacing w:before="80"/>
              <w:jc w:val="center"/>
              <w:rPr>
                <w:sz w:val="14"/>
                <w:szCs w:val="14"/>
                <w:lang w:bidi="th-TH"/>
              </w:rPr>
            </w:pPr>
            <w:r w:rsidRPr="006A6EC1">
              <w:rPr>
                <w:sz w:val="14"/>
                <w:szCs w:val="14"/>
                <w:lang w:bidi="th-TH"/>
              </w:rPr>
              <w:t>Program 9</w:t>
            </w:r>
          </w:p>
        </w:tc>
        <w:tc>
          <w:tcPr>
            <w:tcW w:w="0" w:type="auto"/>
          </w:tcPr>
          <w:p w:rsidR="00076E2A" w:rsidRPr="006A6EC1" w:rsidRDefault="00076E2A" w:rsidP="006E397A">
            <w:pPr>
              <w:spacing w:before="20"/>
              <w:jc w:val="center"/>
              <w:rPr>
                <w:color w:val="008000"/>
                <w:sz w:val="22"/>
                <w:szCs w:val="22"/>
              </w:rPr>
            </w:pPr>
            <w:r w:rsidRPr="006A6EC1">
              <w:rPr>
                <w:rFonts w:cs="Arial"/>
                <w:color w:val="008000"/>
                <w:sz w:val="22"/>
                <w:szCs w:val="22"/>
              </w:rPr>
              <w:sym w:font="Wingdings" w:char="F06C"/>
            </w:r>
          </w:p>
        </w:tc>
      </w:tr>
      <w:tr w:rsidR="00076E2A" w:rsidRPr="007354C4" w:rsidTr="00945A40">
        <w:tc>
          <w:tcPr>
            <w:tcW w:w="0" w:type="auto"/>
            <w:vMerge/>
            <w:shd w:val="clear" w:color="auto" w:fill="auto"/>
          </w:tcPr>
          <w:p w:rsidR="00076E2A" w:rsidRPr="006A6EC1" w:rsidRDefault="00076E2A" w:rsidP="006A6EC1">
            <w:pPr>
              <w:spacing w:before="80"/>
              <w:ind w:firstLineChars="100" w:firstLine="140"/>
              <w:rPr>
                <w:sz w:val="14"/>
                <w:szCs w:val="14"/>
                <w:lang w:bidi="th-TH"/>
              </w:rPr>
            </w:pPr>
          </w:p>
        </w:tc>
        <w:tc>
          <w:tcPr>
            <w:tcW w:w="0" w:type="auto"/>
            <w:shd w:val="clear" w:color="auto" w:fill="auto"/>
            <w:tcMar>
              <w:top w:w="113" w:type="dxa"/>
            </w:tcMar>
          </w:tcPr>
          <w:p w:rsidR="00076E2A" w:rsidRPr="006A6EC1" w:rsidRDefault="00076E2A" w:rsidP="006E397A">
            <w:pPr>
              <w:spacing w:before="80"/>
              <w:rPr>
                <w:sz w:val="14"/>
                <w:szCs w:val="14"/>
                <w:lang w:bidi="th-TH"/>
              </w:rPr>
            </w:pPr>
            <w:r w:rsidRPr="006A6EC1">
              <w:rPr>
                <w:sz w:val="14"/>
                <w:szCs w:val="14"/>
                <w:lang w:bidi="th-TH"/>
              </w:rPr>
              <w:t>% of trained examiners using upgraded skills in their professional work (Asia and the Pacific)</w:t>
            </w:r>
          </w:p>
        </w:tc>
        <w:tc>
          <w:tcPr>
            <w:tcW w:w="0" w:type="auto"/>
            <w:shd w:val="clear" w:color="auto" w:fill="auto"/>
            <w:tcMar>
              <w:top w:w="113" w:type="dxa"/>
            </w:tcMar>
          </w:tcPr>
          <w:p w:rsidR="00076E2A" w:rsidRPr="006A6EC1" w:rsidRDefault="00076E2A" w:rsidP="003F6BF4">
            <w:pPr>
              <w:spacing w:before="80"/>
              <w:jc w:val="center"/>
              <w:rPr>
                <w:sz w:val="14"/>
                <w:szCs w:val="14"/>
                <w:lang w:bidi="th-TH"/>
              </w:rPr>
            </w:pPr>
            <w:r w:rsidRPr="006A6EC1">
              <w:rPr>
                <w:sz w:val="14"/>
                <w:szCs w:val="14"/>
                <w:lang w:bidi="th-TH"/>
              </w:rPr>
              <w:t>Program 9</w:t>
            </w:r>
          </w:p>
        </w:tc>
        <w:tc>
          <w:tcPr>
            <w:tcW w:w="0" w:type="auto"/>
          </w:tcPr>
          <w:p w:rsidR="00076E2A" w:rsidRPr="006A6EC1" w:rsidRDefault="00076E2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policy makers, government officials, and IP practitioners with enhanced understanding of IP issues, including how to effectively use IP for development (Asia and the Pacific)</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076E2A" w:rsidP="006E397A">
            <w:pPr>
              <w:spacing w:before="80"/>
              <w:rPr>
                <w:color w:val="000000"/>
                <w:sz w:val="14"/>
                <w:szCs w:val="14"/>
                <w:lang w:bidi="th-TH"/>
              </w:rPr>
            </w:pPr>
            <w:r w:rsidRPr="006A6EC1">
              <w:rPr>
                <w:color w:val="000000"/>
                <w:sz w:val="14"/>
                <w:szCs w:val="14"/>
                <w:lang w:bidi="th-TH"/>
              </w:rPr>
              <w:t xml:space="preserve">No. of national </w:t>
            </w:r>
            <w:r w:rsidR="006E397A" w:rsidRPr="006A6EC1">
              <w:rPr>
                <w:color w:val="000000"/>
                <w:sz w:val="14"/>
                <w:szCs w:val="14"/>
                <w:lang w:bidi="th-TH"/>
              </w:rPr>
              <w:t>IP trainers/national experts (Latin America and the Caribbean)</w:t>
            </w:r>
            <w:r w:rsidR="00945A40">
              <w:rPr>
                <w:color w:val="000000"/>
                <w:sz w:val="14"/>
                <w:szCs w:val="14"/>
                <w:lang w:bidi="th-TH"/>
              </w:rPr>
              <w:br/>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lastRenderedPageBreak/>
              <w:t> </w:t>
            </w:r>
          </w:p>
        </w:tc>
        <w:tc>
          <w:tcPr>
            <w:tcW w:w="0" w:type="auto"/>
            <w:shd w:val="clear" w:color="auto" w:fill="auto"/>
          </w:tcPr>
          <w:p w:rsidR="006E397A" w:rsidRPr="006A6EC1" w:rsidRDefault="006E397A" w:rsidP="006E397A">
            <w:pPr>
              <w:spacing w:before="80"/>
              <w:rPr>
                <w:color w:val="000000"/>
                <w:sz w:val="14"/>
                <w:szCs w:val="14"/>
                <w:lang w:bidi="th-TH"/>
              </w:rPr>
            </w:pPr>
            <w:r w:rsidRPr="006A6EC1">
              <w:rPr>
                <w:color w:val="000000"/>
                <w:sz w:val="14"/>
                <w:szCs w:val="14"/>
                <w:lang w:bidi="th-TH"/>
              </w:rPr>
              <w:t>No. of structured national training programs (Latin America and the Caribbean)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945A40" w:rsidRPr="007354C4" w:rsidTr="00945A40">
        <w:tc>
          <w:tcPr>
            <w:tcW w:w="0" w:type="auto"/>
            <w:shd w:val="clear" w:color="auto" w:fill="auto"/>
          </w:tcPr>
          <w:p w:rsidR="00945A40" w:rsidRPr="006A6EC1" w:rsidRDefault="00945A40" w:rsidP="00945A40">
            <w:pPr>
              <w:spacing w:before="80"/>
              <w:ind w:firstLineChars="100" w:firstLine="140"/>
              <w:rPr>
                <w:sz w:val="14"/>
                <w:szCs w:val="14"/>
                <w:lang w:bidi="th-TH"/>
              </w:rPr>
            </w:pPr>
          </w:p>
        </w:tc>
        <w:tc>
          <w:tcPr>
            <w:tcW w:w="0" w:type="auto"/>
            <w:shd w:val="clear" w:color="auto" w:fill="auto"/>
          </w:tcPr>
          <w:p w:rsidR="00945A40" w:rsidRPr="006A6EC1" w:rsidRDefault="00945A40" w:rsidP="00945A40">
            <w:pPr>
              <w:spacing w:before="80"/>
              <w:rPr>
                <w:sz w:val="14"/>
                <w:szCs w:val="14"/>
                <w:lang w:bidi="th-TH"/>
              </w:rPr>
            </w:pPr>
            <w:r w:rsidRPr="006A6EC1">
              <w:rPr>
                <w:sz w:val="14"/>
                <w:szCs w:val="14"/>
                <w:lang w:bidi="th-TH"/>
              </w:rPr>
              <w:t>No. of countries in which the needs for technical assistance and capacity building have been assessed (LDCs)</w:t>
            </w:r>
          </w:p>
        </w:tc>
        <w:tc>
          <w:tcPr>
            <w:tcW w:w="0" w:type="auto"/>
            <w:shd w:val="clear" w:color="auto" w:fill="auto"/>
          </w:tcPr>
          <w:p w:rsidR="00945A40" w:rsidRPr="006A6EC1" w:rsidRDefault="00945A40" w:rsidP="00945A40">
            <w:pPr>
              <w:spacing w:before="80"/>
              <w:jc w:val="center"/>
              <w:rPr>
                <w:sz w:val="14"/>
                <w:szCs w:val="14"/>
                <w:lang w:bidi="th-TH"/>
              </w:rPr>
            </w:pPr>
            <w:r w:rsidRPr="006A6EC1">
              <w:rPr>
                <w:sz w:val="14"/>
                <w:szCs w:val="14"/>
                <w:lang w:bidi="th-TH"/>
              </w:rPr>
              <w:t>Program 9</w:t>
            </w:r>
          </w:p>
        </w:tc>
        <w:tc>
          <w:tcPr>
            <w:tcW w:w="0" w:type="auto"/>
          </w:tcPr>
          <w:p w:rsidR="00945A40" w:rsidRPr="006A6EC1" w:rsidRDefault="00945A40" w:rsidP="00945A40">
            <w:pPr>
              <w:spacing w:before="20"/>
              <w:jc w:val="center"/>
              <w:rPr>
                <w:rFonts w:cs="Arial"/>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945A40">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945A40">
            <w:pPr>
              <w:spacing w:before="80"/>
              <w:rPr>
                <w:sz w:val="14"/>
                <w:szCs w:val="14"/>
                <w:lang w:bidi="th-TH"/>
              </w:rPr>
            </w:pPr>
            <w:r w:rsidRPr="006A6EC1">
              <w:rPr>
                <w:sz w:val="14"/>
                <w:szCs w:val="14"/>
                <w:lang w:bidi="th-TH"/>
              </w:rPr>
              <w:t>No. of trainees/participants per year and geographical distribution (LDCs)</w:t>
            </w:r>
          </w:p>
        </w:tc>
        <w:tc>
          <w:tcPr>
            <w:tcW w:w="0" w:type="auto"/>
            <w:shd w:val="clear" w:color="auto" w:fill="auto"/>
          </w:tcPr>
          <w:p w:rsidR="006E397A" w:rsidRPr="006A6EC1" w:rsidRDefault="006E397A" w:rsidP="00945A40">
            <w:pPr>
              <w:spacing w:before="80"/>
              <w:jc w:val="center"/>
              <w:rPr>
                <w:sz w:val="14"/>
                <w:szCs w:val="14"/>
                <w:lang w:bidi="th-TH"/>
              </w:rPr>
            </w:pPr>
            <w:r w:rsidRPr="006A6EC1">
              <w:rPr>
                <w:sz w:val="14"/>
                <w:szCs w:val="14"/>
                <w:lang w:bidi="th-TH"/>
              </w:rPr>
              <w:t>Program 9</w:t>
            </w:r>
          </w:p>
        </w:tc>
        <w:tc>
          <w:tcPr>
            <w:tcW w:w="0" w:type="auto"/>
          </w:tcPr>
          <w:p w:rsidR="006E397A" w:rsidRPr="006A6EC1" w:rsidRDefault="006E397A" w:rsidP="00945A40">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945A40">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945A40">
            <w:pPr>
              <w:spacing w:before="80"/>
              <w:rPr>
                <w:sz w:val="14"/>
                <w:szCs w:val="14"/>
                <w:lang w:bidi="th-TH"/>
              </w:rPr>
            </w:pPr>
            <w:r w:rsidRPr="006A6EC1">
              <w:rPr>
                <w:sz w:val="14"/>
                <w:szCs w:val="14"/>
                <w:lang w:bidi="th-TH"/>
              </w:rPr>
              <w:t xml:space="preserve">% of participants in WIPO capacity-building activities which report enhanced capacity to understand and use IP principles, systems and tools or the protection of TK and TCEs, and for management of the relationship between IP and GRs </w:t>
            </w:r>
          </w:p>
        </w:tc>
        <w:tc>
          <w:tcPr>
            <w:tcW w:w="0" w:type="auto"/>
            <w:shd w:val="clear" w:color="auto" w:fill="auto"/>
          </w:tcPr>
          <w:p w:rsidR="00076E2A" w:rsidRPr="006A6EC1" w:rsidRDefault="006E397A" w:rsidP="00945A40">
            <w:pPr>
              <w:spacing w:before="80"/>
              <w:jc w:val="center"/>
              <w:rPr>
                <w:sz w:val="14"/>
                <w:szCs w:val="14"/>
                <w:lang w:bidi="th-TH"/>
              </w:rPr>
            </w:pPr>
            <w:r w:rsidRPr="006A6EC1">
              <w:rPr>
                <w:sz w:val="14"/>
                <w:szCs w:val="14"/>
                <w:lang w:bidi="th-TH"/>
              </w:rPr>
              <w:t>Program 9</w:t>
            </w:r>
          </w:p>
          <w:p w:rsidR="006E397A" w:rsidRPr="006A6EC1" w:rsidRDefault="006E397A" w:rsidP="00945A40">
            <w:pPr>
              <w:spacing w:before="120"/>
              <w:jc w:val="center"/>
              <w:rPr>
                <w:sz w:val="14"/>
                <w:szCs w:val="14"/>
                <w:lang w:bidi="th-TH"/>
              </w:rPr>
            </w:pPr>
            <w:r w:rsidRPr="006A6EC1">
              <w:rPr>
                <w:sz w:val="14"/>
                <w:szCs w:val="14"/>
                <w:lang w:bidi="th-TH"/>
              </w:rPr>
              <w:t>Program 4</w:t>
            </w:r>
          </w:p>
        </w:tc>
        <w:tc>
          <w:tcPr>
            <w:tcW w:w="0" w:type="auto"/>
          </w:tcPr>
          <w:p w:rsidR="006E397A" w:rsidRPr="006A6EC1" w:rsidRDefault="006E397A" w:rsidP="00945A40">
            <w:pPr>
              <w:spacing w:before="20"/>
              <w:jc w:val="center"/>
              <w:rPr>
                <w:rFonts w:cs="Arial"/>
                <w:color w:val="008000"/>
                <w:sz w:val="22"/>
                <w:szCs w:val="22"/>
              </w:rPr>
            </w:pPr>
            <w:r w:rsidRPr="006A6EC1">
              <w:rPr>
                <w:rFonts w:cs="Arial"/>
                <w:color w:val="008000"/>
                <w:sz w:val="22"/>
                <w:szCs w:val="22"/>
              </w:rPr>
              <w:sym w:font="Wingdings" w:char="F06C"/>
            </w:r>
          </w:p>
          <w:p w:rsidR="00076E2A" w:rsidRPr="006A6EC1" w:rsidRDefault="00076E2A" w:rsidP="00945A40">
            <w:pPr>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trained IP office officials using upgraded skills in their work</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10</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IP professionals attesting to an enhanced understanding of IP issues</w:t>
            </w:r>
          </w:p>
        </w:tc>
        <w:tc>
          <w:tcPr>
            <w:tcW w:w="0" w:type="auto"/>
            <w:shd w:val="clear" w:color="auto" w:fill="auto"/>
          </w:tcPr>
          <w:p w:rsidR="006E397A" w:rsidRPr="006A6EC1" w:rsidRDefault="00076E2A" w:rsidP="003F6BF4">
            <w:pPr>
              <w:spacing w:before="80"/>
              <w:jc w:val="center"/>
              <w:rPr>
                <w:sz w:val="14"/>
                <w:szCs w:val="14"/>
                <w:lang w:bidi="th-TH"/>
              </w:rPr>
            </w:pPr>
            <w:r w:rsidRPr="006A6EC1">
              <w:rPr>
                <w:sz w:val="14"/>
                <w:szCs w:val="14"/>
                <w:lang w:bidi="th-TH"/>
              </w:rPr>
              <w:t>Program 10</w:t>
            </w:r>
          </w:p>
        </w:tc>
        <w:tc>
          <w:tcPr>
            <w:tcW w:w="0" w:type="auto"/>
          </w:tcPr>
          <w:p w:rsidR="006E397A" w:rsidRPr="006A6EC1" w:rsidRDefault="00076E2A" w:rsidP="006E397A">
            <w:pPr>
              <w:spacing w:before="20"/>
              <w:jc w:val="center"/>
              <w:rPr>
                <w:rFonts w:cs="Arial"/>
                <w:color w:val="008000"/>
                <w:sz w:val="22"/>
                <w:szCs w:val="22"/>
              </w:rPr>
            </w:pPr>
            <w:r w:rsidRPr="006A6EC1">
              <w:rPr>
                <w:rFonts w:cs="Arial"/>
                <w:color w:val="008000"/>
                <w:sz w:val="22"/>
                <w:szCs w:val="22"/>
              </w:rPr>
              <w:sym w:font="Wingdings" w:char="F06C"/>
            </w:r>
          </w:p>
        </w:tc>
      </w:tr>
      <w:tr w:rsidR="00E74216" w:rsidRPr="007354C4" w:rsidTr="00945A40">
        <w:tc>
          <w:tcPr>
            <w:tcW w:w="0" w:type="auto"/>
            <w:shd w:val="clear" w:color="auto" w:fill="auto"/>
          </w:tcPr>
          <w:p w:rsidR="00E74216" w:rsidRPr="006A6EC1" w:rsidRDefault="00E74216" w:rsidP="006A6EC1">
            <w:pPr>
              <w:spacing w:before="80"/>
              <w:ind w:firstLineChars="100" w:firstLine="140"/>
              <w:rPr>
                <w:sz w:val="14"/>
                <w:szCs w:val="14"/>
                <w:lang w:bidi="th-TH"/>
              </w:rPr>
            </w:pPr>
          </w:p>
        </w:tc>
        <w:tc>
          <w:tcPr>
            <w:tcW w:w="0" w:type="auto"/>
            <w:shd w:val="clear" w:color="auto" w:fill="auto"/>
          </w:tcPr>
          <w:p w:rsidR="00E74216" w:rsidRPr="006A6EC1" w:rsidRDefault="00E74216" w:rsidP="006E397A">
            <w:pPr>
              <w:spacing w:before="80"/>
              <w:rPr>
                <w:sz w:val="14"/>
                <w:szCs w:val="14"/>
                <w:lang w:bidi="th-TH"/>
              </w:rPr>
            </w:pPr>
            <w:r w:rsidRPr="006A6EC1">
              <w:rPr>
                <w:sz w:val="14"/>
                <w:szCs w:val="14"/>
                <w:lang w:bidi="th-TH"/>
              </w:rPr>
              <w:t>Inclusion of development-related issues in WIPO enforcement training programs</w:t>
            </w:r>
          </w:p>
        </w:tc>
        <w:tc>
          <w:tcPr>
            <w:tcW w:w="0" w:type="auto"/>
            <w:shd w:val="clear" w:color="auto" w:fill="auto"/>
          </w:tcPr>
          <w:p w:rsidR="00E74216" w:rsidRPr="006A6EC1" w:rsidRDefault="00E74216" w:rsidP="003F6BF4">
            <w:pPr>
              <w:spacing w:before="80"/>
              <w:jc w:val="center"/>
              <w:rPr>
                <w:sz w:val="14"/>
                <w:szCs w:val="14"/>
                <w:lang w:bidi="th-TH"/>
              </w:rPr>
            </w:pPr>
            <w:r w:rsidRPr="006A6EC1">
              <w:rPr>
                <w:sz w:val="14"/>
                <w:szCs w:val="14"/>
                <w:lang w:bidi="th-TH"/>
              </w:rPr>
              <w:t>Program 17</w:t>
            </w:r>
          </w:p>
        </w:tc>
        <w:tc>
          <w:tcPr>
            <w:tcW w:w="0" w:type="auto"/>
          </w:tcPr>
          <w:p w:rsidR="00E74216" w:rsidRPr="006A6EC1" w:rsidRDefault="00E74216" w:rsidP="00581E25">
            <w:pPr>
              <w:jc w:val="center"/>
              <w:rPr>
                <w:rFonts w:cs="Arial"/>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highlight w:val="yellow"/>
                <w:lang w:bidi="th-TH"/>
              </w:rPr>
            </w:pPr>
            <w:r w:rsidRPr="006A6EC1">
              <w:rPr>
                <w:sz w:val="14"/>
                <w:szCs w:val="14"/>
                <w:lang w:bidi="th-TH"/>
              </w:rPr>
              <w:t xml:space="preserve">% of trained enforcement officials that report satisfaction with the training provided, including guidance on strategic cooperation, and its usefulness for their professional life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p w:rsidR="006E397A" w:rsidRPr="006A6EC1" w:rsidRDefault="006E397A" w:rsidP="003F6BF4">
            <w:pPr>
              <w:spacing w:before="120"/>
              <w:jc w:val="center"/>
              <w:rPr>
                <w:sz w:val="14"/>
                <w:szCs w:val="14"/>
                <w:highlight w:val="yellow"/>
                <w:lang w:bidi="th-TH"/>
              </w:rPr>
            </w:pPr>
            <w:r w:rsidRPr="006A6EC1">
              <w:rPr>
                <w:sz w:val="14"/>
                <w:szCs w:val="14"/>
                <w:lang w:bidi="th-TH"/>
              </w:rPr>
              <w:t>Program 17</w:t>
            </w:r>
          </w:p>
        </w:tc>
        <w:tc>
          <w:tcPr>
            <w:tcW w:w="0" w:type="auto"/>
          </w:tcPr>
          <w:p w:rsidR="00581E25" w:rsidRPr="006A6EC1" w:rsidRDefault="00581E25" w:rsidP="00581E25">
            <w:pPr>
              <w:jc w:val="center"/>
              <w:rPr>
                <w:rFonts w:cs="Arial"/>
                <w:color w:val="008000"/>
                <w:sz w:val="22"/>
                <w:szCs w:val="22"/>
                <w:highlight w:val="yellow"/>
              </w:rPr>
            </w:pPr>
            <w:r w:rsidRPr="006A6EC1">
              <w:rPr>
                <w:rFonts w:cs="Arial"/>
                <w:color w:val="008000"/>
                <w:sz w:val="22"/>
                <w:szCs w:val="22"/>
              </w:rPr>
              <w:sym w:font="Wingdings" w:char="F06C"/>
            </w:r>
          </w:p>
          <w:p w:rsidR="00076E2A" w:rsidRPr="006A6EC1" w:rsidRDefault="00581E25" w:rsidP="00DB489B">
            <w:pPr>
              <w:spacing w:before="60"/>
              <w:jc w:val="center"/>
              <w:rPr>
                <w:rFonts w:cs="Arial"/>
                <w:color w:val="008000"/>
                <w:sz w:val="22"/>
                <w:szCs w:val="22"/>
                <w:highlight w:val="yellow"/>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highlight w:val="yellow"/>
                <w:lang w:bidi="th-TH"/>
              </w:rPr>
            </w:pPr>
            <w:r w:rsidRPr="006A6EC1">
              <w:rPr>
                <w:sz w:val="14"/>
                <w:szCs w:val="14"/>
                <w:lang w:bidi="th-TH"/>
              </w:rPr>
              <w:t>% of participants satisfied with the quality of workshops and seminars on innovation and its commercialization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9</w:t>
            </w:r>
          </w:p>
          <w:p w:rsidR="006E397A" w:rsidRPr="006A6EC1" w:rsidRDefault="006E397A" w:rsidP="00DB489B">
            <w:pPr>
              <w:spacing w:before="160"/>
              <w:jc w:val="center"/>
              <w:rPr>
                <w:sz w:val="14"/>
                <w:szCs w:val="14"/>
                <w:lang w:bidi="th-TH"/>
              </w:rPr>
            </w:pPr>
            <w:r w:rsidRPr="006A6EC1">
              <w:rPr>
                <w:sz w:val="14"/>
                <w:szCs w:val="14"/>
                <w:lang w:bidi="th-TH"/>
              </w:rPr>
              <w:t>Program 10</w:t>
            </w:r>
          </w:p>
          <w:p w:rsidR="006E397A" w:rsidRPr="006A6EC1" w:rsidRDefault="004F4C48" w:rsidP="00DB489B">
            <w:pPr>
              <w:spacing w:before="160"/>
              <w:jc w:val="center"/>
              <w:rPr>
                <w:sz w:val="14"/>
                <w:szCs w:val="14"/>
                <w:highlight w:val="yellow"/>
                <w:lang w:bidi="th-TH"/>
              </w:rPr>
            </w:pPr>
            <w:r w:rsidRPr="006A6EC1">
              <w:rPr>
                <w:sz w:val="14"/>
                <w:szCs w:val="14"/>
                <w:lang w:bidi="th-TH"/>
              </w:rPr>
              <w:t xml:space="preserve">Program </w:t>
            </w:r>
            <w:r w:rsidR="00B82FBE" w:rsidRPr="006A6EC1">
              <w:rPr>
                <w:sz w:val="14"/>
                <w:szCs w:val="14"/>
                <w:lang w:bidi="th-TH"/>
              </w:rPr>
              <w:t>30</w:t>
            </w:r>
          </w:p>
        </w:tc>
        <w:tc>
          <w:tcPr>
            <w:tcW w:w="0" w:type="auto"/>
          </w:tcPr>
          <w:p w:rsidR="00076E2A" w:rsidRPr="006A6EC1" w:rsidRDefault="00581E25" w:rsidP="00DB489B">
            <w:pPr>
              <w:spacing w:before="60"/>
              <w:jc w:val="center"/>
              <w:rPr>
                <w:rFonts w:cs="Arial"/>
                <w:color w:val="008000"/>
                <w:sz w:val="22"/>
                <w:szCs w:val="22"/>
                <w:highlight w:val="yellow"/>
              </w:rPr>
            </w:pPr>
            <w:r w:rsidRPr="006A6EC1">
              <w:rPr>
                <w:rFonts w:cs="Arial"/>
                <w:color w:val="008000"/>
                <w:sz w:val="22"/>
                <w:szCs w:val="22"/>
              </w:rPr>
              <w:sym w:font="Wingdings" w:char="F06C"/>
            </w:r>
          </w:p>
          <w:p w:rsidR="00076E2A" w:rsidRPr="006A6EC1" w:rsidRDefault="00581E25" w:rsidP="00DB489B">
            <w:pPr>
              <w:spacing w:before="60"/>
              <w:jc w:val="center"/>
              <w:rPr>
                <w:rFonts w:cs="Arial"/>
                <w:color w:val="008000"/>
                <w:sz w:val="22"/>
                <w:szCs w:val="22"/>
              </w:rPr>
            </w:pPr>
            <w:r w:rsidRPr="006A6EC1">
              <w:rPr>
                <w:rFonts w:cs="Arial"/>
                <w:color w:val="008000"/>
                <w:sz w:val="22"/>
                <w:szCs w:val="22"/>
              </w:rPr>
              <w:sym w:font="Wingdings" w:char="F06C"/>
            </w:r>
          </w:p>
          <w:p w:rsidR="004F4C48" w:rsidRPr="006A6EC1" w:rsidRDefault="004F4C48" w:rsidP="00DB489B">
            <w:pPr>
              <w:spacing w:before="60"/>
              <w:jc w:val="center"/>
              <w:rPr>
                <w:color w:val="008000"/>
                <w:sz w:val="22"/>
                <w:szCs w:val="22"/>
                <w:highlight w:val="yellow"/>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945A40">
            <w:pPr>
              <w:spacing w:before="120"/>
              <w:rPr>
                <w:sz w:val="14"/>
                <w:szCs w:val="14"/>
                <w:lang w:bidi="th-TH"/>
              </w:rPr>
            </w:pPr>
            <w:r w:rsidRPr="006A6EC1">
              <w:rPr>
                <w:color w:val="000000"/>
                <w:sz w:val="14"/>
                <w:szCs w:val="14"/>
                <w:lang w:bidi="th-TH"/>
              </w:rPr>
              <w:t>% of participants’ positive rating of the usefulness of copyright related capacity building workshops</w:t>
            </w:r>
          </w:p>
        </w:tc>
        <w:tc>
          <w:tcPr>
            <w:tcW w:w="0" w:type="auto"/>
            <w:shd w:val="clear" w:color="auto" w:fill="auto"/>
          </w:tcPr>
          <w:p w:rsidR="006E397A" w:rsidRPr="006A6EC1" w:rsidRDefault="006E397A" w:rsidP="00945A40">
            <w:pPr>
              <w:spacing w:before="120"/>
              <w:jc w:val="center"/>
              <w:rPr>
                <w:sz w:val="14"/>
                <w:szCs w:val="14"/>
                <w:lang w:bidi="th-TH"/>
              </w:rPr>
            </w:pPr>
            <w:r w:rsidRPr="006A6EC1">
              <w:rPr>
                <w:sz w:val="14"/>
                <w:szCs w:val="14"/>
                <w:lang w:bidi="th-TH"/>
              </w:rPr>
              <w:t>Program 3</w:t>
            </w:r>
          </w:p>
        </w:tc>
        <w:tc>
          <w:tcPr>
            <w:tcW w:w="0" w:type="auto"/>
          </w:tcPr>
          <w:p w:rsidR="006E397A" w:rsidRPr="006A6EC1" w:rsidRDefault="006E397A" w:rsidP="00945A40">
            <w:pPr>
              <w:spacing w:before="6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color w:val="000000"/>
                <w:sz w:val="14"/>
                <w:szCs w:val="14"/>
                <w:lang w:bidi="th-TH"/>
              </w:rPr>
              <w:t>% of participants’ rating of usefulness of copyright related workshops and practical use of knowledge 6 months after the workshop</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color w:val="000000"/>
                <w:sz w:val="14"/>
                <w:szCs w:val="14"/>
                <w:lang w:bidi="th-TH"/>
              </w:rPr>
              <w:t>No. of national copyright and related rights initiatives started directly related to the themes of workshops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4F4C48" w:rsidRPr="007354C4" w:rsidTr="00945A40">
        <w:tc>
          <w:tcPr>
            <w:tcW w:w="0" w:type="auto"/>
            <w:vMerge w:val="restart"/>
            <w:shd w:val="clear" w:color="auto" w:fill="auto"/>
            <w:vAlign w:val="center"/>
          </w:tcPr>
          <w:p w:rsidR="00E74216" w:rsidRPr="006A6EC1" w:rsidRDefault="004F4C48" w:rsidP="00E74216">
            <w:pPr>
              <w:spacing w:before="80"/>
              <w:rPr>
                <w:sz w:val="14"/>
                <w:szCs w:val="14"/>
                <w:lang w:bidi="th-TH"/>
              </w:rPr>
            </w:pPr>
            <w:r w:rsidRPr="006A6EC1">
              <w:rPr>
                <w:sz w:val="14"/>
                <w:szCs w:val="14"/>
                <w:lang w:bidi="th-TH"/>
              </w:rPr>
              <w:t> </w:t>
            </w:r>
          </w:p>
          <w:p w:rsidR="00E74216" w:rsidRPr="006A6EC1" w:rsidRDefault="00E74216" w:rsidP="00E74216">
            <w:pPr>
              <w:spacing w:before="80"/>
              <w:rPr>
                <w:sz w:val="14"/>
                <w:szCs w:val="14"/>
                <w:lang w:bidi="th-TH"/>
              </w:rPr>
            </w:pPr>
          </w:p>
          <w:p w:rsidR="00E74216" w:rsidRPr="006A6EC1" w:rsidRDefault="00E74216" w:rsidP="00E74216">
            <w:pPr>
              <w:spacing w:before="80"/>
              <w:rPr>
                <w:sz w:val="14"/>
                <w:szCs w:val="14"/>
                <w:lang w:bidi="th-TH"/>
              </w:rPr>
            </w:pPr>
            <w:r w:rsidRPr="006A6EC1">
              <w:rPr>
                <w:sz w:val="14"/>
                <w:szCs w:val="14"/>
                <w:lang w:bidi="th-TH"/>
              </w:rPr>
              <w:t>New or strengthened cooperation mechanisms, programs and partnerships in LDCs</w:t>
            </w:r>
          </w:p>
          <w:p w:rsidR="004F4C48" w:rsidRPr="006A6EC1" w:rsidRDefault="004F4C48" w:rsidP="006A6EC1">
            <w:pPr>
              <w:spacing w:before="80"/>
              <w:ind w:firstLineChars="100" w:firstLine="140"/>
              <w:rPr>
                <w:sz w:val="14"/>
                <w:szCs w:val="14"/>
                <w:lang w:bidi="th-TH"/>
              </w:rPr>
            </w:pPr>
          </w:p>
        </w:tc>
        <w:tc>
          <w:tcPr>
            <w:tcW w:w="0" w:type="auto"/>
            <w:shd w:val="clear" w:color="auto" w:fill="auto"/>
          </w:tcPr>
          <w:p w:rsidR="004F4C48" w:rsidRPr="006A6EC1" w:rsidRDefault="004F4C48" w:rsidP="004F4C48">
            <w:pPr>
              <w:spacing w:before="80"/>
              <w:rPr>
                <w:sz w:val="14"/>
                <w:szCs w:val="14"/>
                <w:lang w:bidi="th-TH"/>
              </w:rPr>
            </w:pPr>
            <w:r w:rsidRPr="006A6EC1">
              <w:rPr>
                <w:rFonts w:cs="Arial"/>
                <w:sz w:val="14"/>
                <w:szCs w:val="14"/>
                <w:lang w:bidi="th-TH"/>
              </w:rPr>
              <w:t>No. of users from developing countries of WIPO-developed tools, models and materials on innovation and its commercialization</w:t>
            </w:r>
          </w:p>
        </w:tc>
        <w:tc>
          <w:tcPr>
            <w:tcW w:w="0" w:type="auto"/>
            <w:shd w:val="clear" w:color="auto" w:fill="auto"/>
          </w:tcPr>
          <w:p w:rsidR="004F4C48" w:rsidRPr="006A6EC1" w:rsidRDefault="004F4C48" w:rsidP="003F6BF4">
            <w:pPr>
              <w:spacing w:before="80"/>
              <w:jc w:val="center"/>
              <w:rPr>
                <w:sz w:val="14"/>
                <w:szCs w:val="14"/>
                <w:lang w:bidi="th-TH"/>
              </w:rPr>
            </w:pPr>
            <w:r w:rsidRPr="006A6EC1">
              <w:rPr>
                <w:sz w:val="14"/>
                <w:szCs w:val="14"/>
                <w:lang w:bidi="th-TH"/>
              </w:rPr>
              <w:t>Program 30</w:t>
            </w:r>
          </w:p>
        </w:tc>
        <w:tc>
          <w:tcPr>
            <w:tcW w:w="0" w:type="auto"/>
          </w:tcPr>
          <w:p w:rsidR="004F4C48" w:rsidRPr="006A6EC1" w:rsidRDefault="004F4C48" w:rsidP="004F4C48">
            <w:pPr>
              <w:spacing w:before="20"/>
              <w:jc w:val="center"/>
              <w:rPr>
                <w:rFonts w:cs="Arial"/>
                <w:color w:val="008000"/>
                <w:sz w:val="22"/>
                <w:szCs w:val="22"/>
              </w:rPr>
            </w:pPr>
            <w:r w:rsidRPr="006A6EC1">
              <w:rPr>
                <w:rFonts w:cs="Arial"/>
                <w:color w:val="008000"/>
                <w:sz w:val="22"/>
                <w:szCs w:val="22"/>
              </w:rPr>
              <w:sym w:font="Wingdings" w:char="F06C"/>
            </w:r>
          </w:p>
        </w:tc>
      </w:tr>
      <w:tr w:rsidR="004F4C48" w:rsidRPr="007354C4" w:rsidTr="00945A40">
        <w:tc>
          <w:tcPr>
            <w:tcW w:w="0" w:type="auto"/>
            <w:vMerge/>
            <w:shd w:val="clear" w:color="auto" w:fill="auto"/>
          </w:tcPr>
          <w:p w:rsidR="004F4C48" w:rsidRPr="006A6EC1" w:rsidRDefault="004F4C48" w:rsidP="006A6EC1">
            <w:pPr>
              <w:spacing w:before="80"/>
              <w:ind w:firstLineChars="100" w:firstLine="140"/>
              <w:rPr>
                <w:sz w:val="14"/>
                <w:szCs w:val="14"/>
                <w:lang w:bidi="th-TH"/>
              </w:rPr>
            </w:pPr>
          </w:p>
        </w:tc>
        <w:tc>
          <w:tcPr>
            <w:tcW w:w="0" w:type="auto"/>
            <w:shd w:val="clear" w:color="auto" w:fill="auto"/>
          </w:tcPr>
          <w:p w:rsidR="004F4C48" w:rsidRPr="006A6EC1" w:rsidRDefault="004F4C48" w:rsidP="006E397A">
            <w:pPr>
              <w:spacing w:before="80"/>
              <w:rPr>
                <w:sz w:val="14"/>
                <w:szCs w:val="14"/>
                <w:lang w:bidi="th-TH"/>
              </w:rPr>
            </w:pPr>
            <w:r w:rsidRPr="006A6EC1">
              <w:rPr>
                <w:sz w:val="14"/>
                <w:szCs w:val="14"/>
                <w:lang w:bidi="th-TH"/>
              </w:rPr>
              <w:t>No. of partnerships established in LDCs among governmental organizations, private sector, NGOs, and other development partners (LDCs)</w:t>
            </w:r>
          </w:p>
        </w:tc>
        <w:tc>
          <w:tcPr>
            <w:tcW w:w="0" w:type="auto"/>
            <w:shd w:val="clear" w:color="auto" w:fill="auto"/>
          </w:tcPr>
          <w:p w:rsidR="004F4C48" w:rsidRPr="006A6EC1" w:rsidRDefault="004F4C48" w:rsidP="003F6BF4">
            <w:pPr>
              <w:spacing w:before="80"/>
              <w:jc w:val="center"/>
              <w:rPr>
                <w:sz w:val="14"/>
                <w:szCs w:val="14"/>
                <w:lang w:bidi="th-TH"/>
              </w:rPr>
            </w:pPr>
            <w:r w:rsidRPr="006A6EC1">
              <w:rPr>
                <w:sz w:val="14"/>
                <w:szCs w:val="14"/>
                <w:lang w:bidi="th-TH"/>
              </w:rPr>
              <w:t>Program 9</w:t>
            </w:r>
          </w:p>
        </w:tc>
        <w:tc>
          <w:tcPr>
            <w:tcW w:w="0" w:type="auto"/>
          </w:tcPr>
          <w:p w:rsidR="004F4C48" w:rsidRPr="006A6EC1" w:rsidRDefault="004F4C48" w:rsidP="006E397A">
            <w:pPr>
              <w:spacing w:before="20"/>
              <w:jc w:val="center"/>
              <w:rPr>
                <w:color w:val="008000"/>
                <w:sz w:val="22"/>
                <w:szCs w:val="22"/>
              </w:rPr>
            </w:pPr>
            <w:r w:rsidRPr="006A6EC1">
              <w:rPr>
                <w:rFonts w:cs="Arial"/>
                <w:color w:val="008000"/>
                <w:sz w:val="22"/>
                <w:szCs w:val="22"/>
              </w:rPr>
              <w:sym w:font="Wingdings" w:char="F06C"/>
            </w:r>
          </w:p>
        </w:tc>
      </w:tr>
      <w:tr w:rsidR="004F4C48" w:rsidRPr="007354C4" w:rsidTr="00945A40">
        <w:tc>
          <w:tcPr>
            <w:tcW w:w="0" w:type="auto"/>
            <w:vMerge/>
            <w:shd w:val="clear" w:color="auto" w:fill="auto"/>
          </w:tcPr>
          <w:p w:rsidR="004F4C48" w:rsidRPr="006A6EC1" w:rsidRDefault="004F4C48" w:rsidP="006A6EC1">
            <w:pPr>
              <w:spacing w:before="80"/>
              <w:ind w:firstLineChars="100" w:firstLine="140"/>
              <w:rPr>
                <w:sz w:val="14"/>
                <w:szCs w:val="14"/>
                <w:lang w:bidi="th-TH"/>
              </w:rPr>
            </w:pPr>
          </w:p>
        </w:tc>
        <w:tc>
          <w:tcPr>
            <w:tcW w:w="0" w:type="auto"/>
            <w:shd w:val="clear" w:color="auto" w:fill="auto"/>
          </w:tcPr>
          <w:p w:rsidR="004F4C48" w:rsidRPr="006A6EC1" w:rsidRDefault="004F4C48" w:rsidP="006E397A">
            <w:pPr>
              <w:spacing w:before="80"/>
              <w:rPr>
                <w:sz w:val="14"/>
                <w:szCs w:val="14"/>
                <w:lang w:bidi="th-TH"/>
              </w:rPr>
            </w:pPr>
            <w:r w:rsidRPr="006A6EC1">
              <w:rPr>
                <w:sz w:val="14"/>
                <w:szCs w:val="14"/>
                <w:lang w:bidi="th-TH"/>
              </w:rPr>
              <w:t xml:space="preserve">No. of IP programs implemented jointly with other UN bodies and other IGOs (LDCs) </w:t>
            </w:r>
          </w:p>
        </w:tc>
        <w:tc>
          <w:tcPr>
            <w:tcW w:w="0" w:type="auto"/>
            <w:shd w:val="clear" w:color="auto" w:fill="auto"/>
          </w:tcPr>
          <w:p w:rsidR="004F4C48" w:rsidRPr="006A6EC1" w:rsidRDefault="004F4C48" w:rsidP="003F6BF4">
            <w:pPr>
              <w:spacing w:before="80"/>
              <w:jc w:val="center"/>
              <w:rPr>
                <w:sz w:val="14"/>
                <w:szCs w:val="14"/>
                <w:lang w:bidi="th-TH"/>
              </w:rPr>
            </w:pPr>
            <w:r w:rsidRPr="006A6EC1">
              <w:rPr>
                <w:sz w:val="14"/>
                <w:szCs w:val="14"/>
                <w:lang w:bidi="th-TH"/>
              </w:rPr>
              <w:t>Program 9</w:t>
            </w:r>
          </w:p>
        </w:tc>
        <w:tc>
          <w:tcPr>
            <w:tcW w:w="0" w:type="auto"/>
          </w:tcPr>
          <w:p w:rsidR="004F4C48" w:rsidRPr="006A6EC1" w:rsidRDefault="004F4C48" w:rsidP="006E397A">
            <w:pPr>
              <w:spacing w:before="20"/>
              <w:jc w:val="center"/>
              <w:rPr>
                <w:sz w:val="22"/>
                <w:szCs w:val="22"/>
              </w:rPr>
            </w:pPr>
            <w:r w:rsidRPr="006A6EC1">
              <w:rPr>
                <w:rFonts w:cs="Arial"/>
                <w:color w:val="E36C0A" w:themeColor="accent6" w:themeShade="BF"/>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IP office trainees that report satisfaction with the training provided</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trainees that report actual use of the acquired skills in their job</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Mar>
              <w:top w:w="113" w:type="dxa"/>
            </w:tcMar>
          </w:tcPr>
          <w:p w:rsidR="006E397A" w:rsidRPr="006A6EC1" w:rsidRDefault="006E397A" w:rsidP="006E397A">
            <w:pPr>
              <w:spacing w:before="80"/>
              <w:rPr>
                <w:sz w:val="14"/>
                <w:szCs w:val="14"/>
                <w:lang w:bidi="th-TH"/>
              </w:rPr>
            </w:pPr>
            <w:r w:rsidRPr="006A6EC1">
              <w:rPr>
                <w:sz w:val="14"/>
                <w:szCs w:val="14"/>
                <w:lang w:bidi="th-TH"/>
              </w:rPr>
              <w:t>% of supervisors attesting to satisfactory application of acquired skills after one year of training</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graduates from WIPO academy and partner academic institutions (joint offering)</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participants trained under the WIPO Summer Schools annually</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IP teachers trained by the Academy</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w:t>
            </w:r>
            <w:r w:rsidR="0070110C" w:rsidRPr="006A6EC1">
              <w:rPr>
                <w:sz w:val="14"/>
                <w:szCs w:val="14"/>
                <w:lang w:bidi="th-TH"/>
              </w:rPr>
              <w:t xml:space="preserve"> of start-</w:t>
            </w:r>
            <w:r w:rsidRPr="006A6EC1">
              <w:rPr>
                <w:sz w:val="14"/>
                <w:szCs w:val="14"/>
                <w:lang w:bidi="th-TH"/>
              </w:rPr>
              <w:t xml:space="preserve">up academies established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new inter-institutional cooperation agreements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Easier access to IP education</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online registrations to DL courses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Completion rate of DL courses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DL course participants having passed the exam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Academy courses incorporated in educational institutions curricula</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new online courses / at different levels of specialization</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sz w:val="22"/>
                <w:szCs w:val="22"/>
              </w:rPr>
            </w:pPr>
            <w:r w:rsidRPr="006A6EC1">
              <w:rPr>
                <w:rFonts w:cs="Arial"/>
                <w:color w:val="FF0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E74216">
            <w:pPr>
              <w:spacing w:before="80"/>
              <w:rPr>
                <w:sz w:val="14"/>
                <w:szCs w:val="14"/>
                <w:lang w:bidi="th-TH"/>
              </w:rPr>
            </w:pPr>
            <w:r w:rsidRPr="006A6EC1">
              <w:rPr>
                <w:sz w:val="14"/>
                <w:szCs w:val="14"/>
                <w:lang w:bidi="th-TH"/>
              </w:rPr>
              <w:t xml:space="preserve">No. of languages </w:t>
            </w:r>
            <w:r w:rsidR="00E74216" w:rsidRPr="006A6EC1">
              <w:rPr>
                <w:sz w:val="14"/>
                <w:szCs w:val="14"/>
                <w:lang w:bidi="th-TH"/>
              </w:rPr>
              <w:t>in which courses are offered</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keepNext/>
              <w:keepLines/>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8C0CEB">
            <w:pPr>
              <w:keepNext/>
              <w:keepLines/>
              <w:spacing w:before="80"/>
              <w:rPr>
                <w:sz w:val="14"/>
                <w:szCs w:val="14"/>
                <w:lang w:bidi="th-TH"/>
              </w:rPr>
            </w:pPr>
            <w:r w:rsidRPr="006A6EC1">
              <w:rPr>
                <w:sz w:val="14"/>
                <w:szCs w:val="14"/>
                <w:lang w:bidi="th-TH"/>
              </w:rPr>
              <w:t xml:space="preserve">No. of </w:t>
            </w:r>
            <w:r w:rsidR="008C0CEB" w:rsidRPr="006A6EC1">
              <w:rPr>
                <w:sz w:val="14"/>
                <w:szCs w:val="14"/>
                <w:lang w:bidi="th-TH"/>
              </w:rPr>
              <w:t>scholarships</w:t>
            </w:r>
            <w:r w:rsidRPr="006A6EC1">
              <w:rPr>
                <w:sz w:val="14"/>
                <w:szCs w:val="14"/>
                <w:lang w:bidi="th-TH"/>
              </w:rPr>
              <w:t xml:space="preserve"> </w:t>
            </w:r>
            <w:r w:rsidR="008C0CEB" w:rsidRPr="006A6EC1">
              <w:rPr>
                <w:sz w:val="14"/>
                <w:szCs w:val="14"/>
                <w:lang w:bidi="th-TH"/>
              </w:rPr>
              <w:t xml:space="preserve">for </w:t>
            </w:r>
            <w:r w:rsidRPr="006A6EC1">
              <w:rPr>
                <w:sz w:val="14"/>
                <w:szCs w:val="14"/>
                <w:lang w:bidi="th-TH"/>
              </w:rPr>
              <w:t>developing countries, LDCs and countries with economies in transition</w:t>
            </w:r>
          </w:p>
        </w:tc>
        <w:tc>
          <w:tcPr>
            <w:tcW w:w="0" w:type="auto"/>
            <w:shd w:val="clear" w:color="auto" w:fill="auto"/>
          </w:tcPr>
          <w:p w:rsidR="006E397A" w:rsidRPr="006A6EC1" w:rsidRDefault="006E397A" w:rsidP="003F6BF4">
            <w:pPr>
              <w:keepNext/>
              <w:keepLines/>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1017A3">
            <w:pPr>
              <w:keepNext/>
              <w:keepLines/>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Upgraded IP Management skills for business </w:t>
            </w:r>
          </w:p>
        </w:tc>
        <w:tc>
          <w:tcPr>
            <w:tcW w:w="0" w:type="auto"/>
            <w:shd w:val="clear" w:color="auto" w:fill="auto"/>
          </w:tcPr>
          <w:p w:rsidR="006E397A" w:rsidRPr="006A6EC1" w:rsidRDefault="00DB489B" w:rsidP="006E397A">
            <w:pPr>
              <w:spacing w:before="80"/>
              <w:rPr>
                <w:sz w:val="14"/>
                <w:szCs w:val="14"/>
                <w:lang w:bidi="th-TH"/>
              </w:rPr>
            </w:pPr>
            <w:r>
              <w:rPr>
                <w:sz w:val="14"/>
                <w:szCs w:val="14"/>
                <w:lang w:bidi="th-TH"/>
              </w:rPr>
              <w:t xml:space="preserve">% of </w:t>
            </w:r>
            <w:r w:rsidR="006E397A" w:rsidRPr="006A6EC1">
              <w:rPr>
                <w:sz w:val="14"/>
                <w:szCs w:val="14"/>
                <w:lang w:bidi="th-TH"/>
              </w:rPr>
              <w:t>participants that report satisfaction with the training provided</w:t>
            </w:r>
            <w:r>
              <w:rPr>
                <w:sz w:val="14"/>
                <w:szCs w:val="14"/>
                <w:lang w:bidi="th-TH"/>
              </w:rPr>
              <w:br/>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lastRenderedPageBreak/>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trainees that report actual use of the acquired skills in their job</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requests for courses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11</w:t>
            </w:r>
          </w:p>
        </w:tc>
        <w:tc>
          <w:tcPr>
            <w:tcW w:w="0" w:type="auto"/>
          </w:tcPr>
          <w:p w:rsidR="006E397A" w:rsidRPr="006A6EC1" w:rsidRDefault="006E397A" w:rsidP="006E397A">
            <w:pPr>
              <w:spacing w:before="20"/>
              <w:jc w:val="center"/>
              <w:rPr>
                <w:color w:val="00B050"/>
                <w:sz w:val="22"/>
                <w:szCs w:val="22"/>
              </w:rPr>
            </w:pPr>
            <w:r w:rsidRPr="006A6EC1">
              <w:rPr>
                <w:rFonts w:cs="Arial"/>
                <w:color w:val="FF0000"/>
                <w:sz w:val="22"/>
                <w:szCs w:val="22"/>
              </w:rPr>
              <w:sym w:font="Wingdings" w:char="F06C"/>
            </w:r>
          </w:p>
        </w:tc>
      </w:tr>
      <w:tr w:rsidR="006E397A" w:rsidRPr="007354C4" w:rsidTr="00945A40">
        <w:tc>
          <w:tcPr>
            <w:tcW w:w="0" w:type="auto"/>
            <w:vMerge w:val="restart"/>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Increased understanding/ capacity of SMEs and SMEs support institutions to successfully use IP to support innovation and commercialization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 of assisted support institutions who provide information, support and advisory/consulting services on IP asset management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30</w:t>
            </w:r>
          </w:p>
        </w:tc>
        <w:tc>
          <w:tcPr>
            <w:tcW w:w="0" w:type="auto"/>
          </w:tcPr>
          <w:p w:rsidR="006E397A" w:rsidRPr="006A6EC1" w:rsidRDefault="00D711AC"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rFonts w:cs="Arial"/>
                <w:sz w:val="14"/>
                <w:szCs w:val="14"/>
                <w:lang w:bidi="th-TH"/>
              </w:rPr>
              <w:t xml:space="preserve">No. of national/regional training programs on IP asset management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30</w:t>
            </w:r>
          </w:p>
        </w:tc>
        <w:tc>
          <w:tcPr>
            <w:tcW w:w="0" w:type="auto"/>
          </w:tcPr>
          <w:p w:rsidR="006E397A" w:rsidRPr="006A6EC1" w:rsidRDefault="00E36A85"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rFonts w:cs="Arial"/>
                <w:sz w:val="14"/>
                <w:szCs w:val="14"/>
                <w:lang w:bidi="th-TH"/>
              </w:rPr>
              <w:t xml:space="preserve">% of SMEs support institutions satisfied with the training provided on IP asset management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30</w:t>
            </w:r>
          </w:p>
        </w:tc>
        <w:tc>
          <w:tcPr>
            <w:tcW w:w="0" w:type="auto"/>
          </w:tcPr>
          <w:p w:rsidR="006E397A" w:rsidRPr="006A6EC1" w:rsidRDefault="00EA0BF1"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val="restart"/>
            <w:shd w:val="clear" w:color="auto" w:fill="auto"/>
          </w:tcPr>
          <w:p w:rsidR="006E397A" w:rsidRPr="006A6EC1" w:rsidRDefault="006E397A" w:rsidP="006E397A">
            <w:pPr>
              <w:spacing w:before="80"/>
              <w:rPr>
                <w:sz w:val="14"/>
                <w:szCs w:val="14"/>
                <w:lang w:bidi="th-TH"/>
              </w:rPr>
            </w:pPr>
            <w:r w:rsidRPr="006A6EC1">
              <w:rPr>
                <w:sz w:val="14"/>
                <w:szCs w:val="14"/>
                <w:lang w:bidi="th-TH"/>
              </w:rPr>
              <w:t>Development Agenda principles further mainstreamed into the Organization’s programs and activities</w:t>
            </w:r>
          </w:p>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DA recommendations linked to Expected Results in the 2010/11 P&amp;B</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DA recommendations that are linked to Performance Indicators in the 2010/11 P&amp;B</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Implementation of the  coordination mechanism as approved by Member States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val="restart"/>
            <w:shd w:val="clear" w:color="auto" w:fill="auto"/>
          </w:tcPr>
          <w:p w:rsidR="006E397A" w:rsidRPr="006A6EC1" w:rsidRDefault="006E397A" w:rsidP="006E397A">
            <w:pPr>
              <w:spacing w:before="80"/>
              <w:rPr>
                <w:sz w:val="14"/>
                <w:szCs w:val="14"/>
                <w:lang w:bidi="th-TH"/>
              </w:rPr>
            </w:pPr>
            <w:r w:rsidRPr="006A6EC1">
              <w:rPr>
                <w:sz w:val="14"/>
                <w:szCs w:val="14"/>
                <w:lang w:bidi="th-TH"/>
              </w:rPr>
              <w:t>Effective planning, implementation, monitoring, evaluation and reporting on the DA recommendations</w:t>
            </w:r>
          </w:p>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DA recommendations that have been addressed by the CDIP through projects, activities and studies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projects approved by the CDIP</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A6EC1">
            <w:pPr>
              <w:spacing w:before="80"/>
              <w:ind w:firstLineChars="100" w:firstLine="14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projects proposed by Member States that are tabled for consideration by the CDIP</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projects which are monitored on a systematic basis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of projects which have been evaluated during the biennium</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A6EC1">
            <w:pPr>
              <w:spacing w:before="80"/>
              <w:ind w:firstLineChars="100" w:firstLine="140"/>
              <w:rPr>
                <w:sz w:val="14"/>
                <w:szCs w:val="14"/>
                <w:lang w:bidi="th-TH"/>
              </w:rPr>
            </w:pPr>
            <w:r w:rsidRPr="006A6EC1">
              <w:rPr>
                <w:sz w:val="14"/>
                <w:szCs w:val="14"/>
                <w:lang w:bidi="th-TH"/>
              </w:rPr>
              <w:t> </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Feedback on the quality of the reports presented to the CDIP on the implementation of the DA recommendations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Enhanced understanding of the Development Agenda by Member States, IGOs, civil society and other stakeholders</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No. of countries requesting technical assistance through DA projects and expressing interest in DA related activities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8</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Recognition by Member States, communities, organizations and other stakeholders of the relevance and effectiveness of WIPO’s resources, programs and tools</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 xml:space="preserve">No. of requests received for WIPO’s assistance </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4</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val="restart"/>
            <w:shd w:val="clear" w:color="auto" w:fill="auto"/>
          </w:tcPr>
          <w:p w:rsidR="006E397A" w:rsidRPr="006A6EC1" w:rsidRDefault="006E397A" w:rsidP="006E397A">
            <w:pPr>
              <w:spacing w:before="80"/>
              <w:rPr>
                <w:sz w:val="14"/>
                <w:szCs w:val="14"/>
                <w:lang w:bidi="th-TH"/>
              </w:rPr>
            </w:pPr>
            <w:r w:rsidRPr="006A6EC1">
              <w:rPr>
                <w:sz w:val="14"/>
                <w:szCs w:val="14"/>
                <w:lang w:bidi="th-TH"/>
              </w:rPr>
              <w:t>Increased extrabudgetary resources available for IP for development, either through direct contributions to WIPO or access to other external funding mechanisms</w:t>
            </w: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An increase in fund available through Funds-in Trust arrangements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20</w:t>
            </w:r>
          </w:p>
        </w:tc>
        <w:tc>
          <w:tcPr>
            <w:tcW w:w="0" w:type="auto"/>
          </w:tcPr>
          <w:p w:rsidR="006E397A" w:rsidRPr="006A6EC1" w:rsidRDefault="006E397A" w:rsidP="006E397A">
            <w:pPr>
              <w:spacing w:before="20"/>
              <w:jc w:val="center"/>
              <w:rPr>
                <w:color w:val="008000"/>
                <w:sz w:val="22"/>
                <w:szCs w:val="22"/>
              </w:rPr>
            </w:pPr>
            <w:r w:rsidRPr="006A6EC1">
              <w:rPr>
                <w:rFonts w:cs="Arial"/>
                <w:color w:val="008000"/>
                <w:sz w:val="22"/>
                <w:szCs w:val="22"/>
              </w:rPr>
              <w:sym w:font="Wingdings" w:char="F06C"/>
            </w:r>
          </w:p>
        </w:tc>
      </w:tr>
      <w:tr w:rsidR="006E397A" w:rsidRPr="007354C4" w:rsidTr="00945A40">
        <w:tc>
          <w:tcPr>
            <w:tcW w:w="0" w:type="auto"/>
            <w:vMerge/>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Number and financial value of WIPO implemented projects funded by existing external donor funded mechanisms</w:t>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20</w:t>
            </w:r>
          </w:p>
        </w:tc>
        <w:tc>
          <w:tcPr>
            <w:tcW w:w="0" w:type="auto"/>
          </w:tcPr>
          <w:p w:rsidR="006E397A" w:rsidRPr="006A6EC1" w:rsidRDefault="003F6BF4" w:rsidP="003F6BF4">
            <w:pPr>
              <w:spacing w:before="20"/>
              <w:jc w:val="center"/>
              <w:rPr>
                <w:sz w:val="22"/>
                <w:szCs w:val="22"/>
              </w:rPr>
            </w:pPr>
            <w:r w:rsidRPr="006A6EC1">
              <w:rPr>
                <w:rFonts w:cs="Arial"/>
                <w:sz w:val="22"/>
                <w:szCs w:val="22"/>
              </w:rPr>
              <w:sym w:font="Wingdings" w:char="F06C"/>
            </w:r>
          </w:p>
        </w:tc>
      </w:tr>
      <w:tr w:rsidR="006E397A" w:rsidRPr="007354C4" w:rsidTr="00945A40">
        <w:tc>
          <w:tcPr>
            <w:tcW w:w="0" w:type="auto"/>
            <w:shd w:val="clear" w:color="auto" w:fill="auto"/>
          </w:tcPr>
          <w:p w:rsidR="006E397A" w:rsidRPr="006A6EC1" w:rsidRDefault="006E397A" w:rsidP="006E397A">
            <w:pPr>
              <w:spacing w:before="80"/>
              <w:rPr>
                <w:sz w:val="14"/>
                <w:szCs w:val="14"/>
                <w:lang w:bidi="th-TH"/>
              </w:rPr>
            </w:pPr>
          </w:p>
        </w:tc>
        <w:tc>
          <w:tcPr>
            <w:tcW w:w="0" w:type="auto"/>
            <w:shd w:val="clear" w:color="auto" w:fill="auto"/>
          </w:tcPr>
          <w:p w:rsidR="006E397A" w:rsidRPr="006A6EC1" w:rsidRDefault="006E397A" w:rsidP="006E397A">
            <w:pPr>
              <w:spacing w:before="80"/>
              <w:rPr>
                <w:sz w:val="14"/>
                <w:szCs w:val="14"/>
                <w:lang w:bidi="th-TH"/>
              </w:rPr>
            </w:pPr>
            <w:r w:rsidRPr="006A6EC1">
              <w:rPr>
                <w:sz w:val="14"/>
                <w:szCs w:val="14"/>
                <w:lang w:bidi="th-TH"/>
              </w:rPr>
              <w:t>Establishment of WIPO Guidelines for Partnership with the Private Sector</w:t>
            </w:r>
            <w:r w:rsidR="00DB489B">
              <w:rPr>
                <w:sz w:val="14"/>
                <w:szCs w:val="14"/>
                <w:lang w:bidi="th-TH"/>
              </w:rPr>
              <w:br/>
            </w:r>
          </w:p>
        </w:tc>
        <w:tc>
          <w:tcPr>
            <w:tcW w:w="0" w:type="auto"/>
            <w:shd w:val="clear" w:color="auto" w:fill="auto"/>
          </w:tcPr>
          <w:p w:rsidR="006E397A" w:rsidRPr="006A6EC1" w:rsidRDefault="006E397A" w:rsidP="003F6BF4">
            <w:pPr>
              <w:spacing w:before="80"/>
              <w:jc w:val="center"/>
              <w:rPr>
                <w:sz w:val="14"/>
                <w:szCs w:val="14"/>
                <w:lang w:bidi="th-TH"/>
              </w:rPr>
            </w:pPr>
            <w:r w:rsidRPr="006A6EC1">
              <w:rPr>
                <w:sz w:val="14"/>
                <w:szCs w:val="14"/>
                <w:lang w:bidi="th-TH"/>
              </w:rPr>
              <w:t>Program 20</w:t>
            </w:r>
          </w:p>
        </w:tc>
        <w:tc>
          <w:tcPr>
            <w:tcW w:w="0" w:type="auto"/>
          </w:tcPr>
          <w:p w:rsidR="006E397A" w:rsidRPr="006A6EC1" w:rsidRDefault="006E397A" w:rsidP="00581E25">
            <w:pPr>
              <w:spacing w:before="20"/>
              <w:ind w:left="62" w:hanging="14"/>
              <w:jc w:val="center"/>
              <w:rPr>
                <w:sz w:val="22"/>
                <w:szCs w:val="22"/>
                <w:lang w:bidi="th-TH"/>
              </w:rPr>
            </w:pPr>
            <w:r w:rsidRPr="006A6EC1">
              <w:rPr>
                <w:rFonts w:cs="Arial"/>
                <w:color w:val="FF0000"/>
                <w:sz w:val="22"/>
                <w:szCs w:val="22"/>
              </w:rPr>
              <w:sym w:font="Wingdings" w:char="F06C"/>
            </w:r>
          </w:p>
        </w:tc>
      </w:tr>
    </w:tbl>
    <w:p w:rsidR="00121D79" w:rsidRDefault="00121D79">
      <w:pPr>
        <w:rPr>
          <w:rFonts w:ascii="Arial Bold" w:eastAsiaTheme="majorEastAsia" w:hAnsi="Arial Bold" w:cstheme="majorBidi"/>
          <w:b/>
          <w:bCs/>
          <w:sz w:val="22"/>
        </w:rPr>
      </w:pPr>
      <w:r>
        <w:br w:type="page"/>
      </w:r>
    </w:p>
    <w:p w:rsidR="008B3E53" w:rsidRPr="00305272" w:rsidRDefault="00305272" w:rsidP="00305272">
      <w:pPr>
        <w:pStyle w:val="Heading3"/>
      </w:pPr>
      <w:bookmarkStart w:id="31" w:name="_Toc393956052"/>
      <w:r w:rsidRPr="00305272">
        <w:lastRenderedPageBreak/>
        <w:t>Program 8</w:t>
      </w:r>
      <w:r w:rsidRPr="00305272">
        <w:tab/>
        <w:t>Development Agenda Coordination</w:t>
      </w:r>
      <w:bookmarkEnd w:id="31"/>
    </w:p>
    <w:p w:rsidR="008B3E53" w:rsidRPr="00093233" w:rsidRDefault="008B3E53" w:rsidP="008B3E53">
      <w:pPr>
        <w:ind w:left="2268" w:hanging="2268"/>
        <w:rPr>
          <w:rFonts w:cs="Arial"/>
          <w:b/>
          <w:sz w:val="22"/>
          <w:szCs w:val="22"/>
        </w:rPr>
      </w:pPr>
    </w:p>
    <w:p w:rsidR="008B3E53" w:rsidRPr="00093233" w:rsidRDefault="008B3E53" w:rsidP="008B3E53">
      <w:pPr>
        <w:ind w:left="2268" w:hanging="2268"/>
        <w:rPr>
          <w:rFonts w:cs="Arial"/>
          <w:b/>
          <w:sz w:val="22"/>
          <w:szCs w:val="22"/>
        </w:rPr>
      </w:pPr>
      <w:r w:rsidRPr="00093233">
        <w:rPr>
          <w:rFonts w:cs="Arial"/>
          <w:b/>
          <w:sz w:val="22"/>
          <w:szCs w:val="22"/>
        </w:rPr>
        <w:t>Program Manager</w:t>
      </w:r>
      <w:r w:rsidRPr="00093233">
        <w:rPr>
          <w:rFonts w:cs="Arial"/>
          <w:b/>
          <w:sz w:val="22"/>
          <w:szCs w:val="22"/>
        </w:rPr>
        <w:tab/>
      </w:r>
      <w:r w:rsidRPr="00093233">
        <w:rPr>
          <w:rFonts w:cs="Arial"/>
          <w:b/>
          <w:sz w:val="22"/>
          <w:szCs w:val="22"/>
        </w:rPr>
        <w:tab/>
      </w:r>
      <w:r w:rsidRPr="00093233">
        <w:rPr>
          <w:rFonts w:cs="Arial"/>
          <w:b/>
          <w:bCs/>
          <w:sz w:val="22"/>
          <w:szCs w:val="22"/>
        </w:rPr>
        <w:t>Mr. G. Onyeama</w:t>
      </w:r>
    </w:p>
    <w:p w:rsidR="008B3E53" w:rsidRPr="00093233" w:rsidRDefault="008B3E53" w:rsidP="008B3E53">
      <w:pPr>
        <w:ind w:left="2268" w:hanging="2268"/>
        <w:rPr>
          <w:sz w:val="22"/>
          <w:szCs w:val="22"/>
        </w:rPr>
      </w:pPr>
    </w:p>
    <w:p w:rsidR="008B3E53" w:rsidRPr="00093233" w:rsidRDefault="008B3E53" w:rsidP="008B3E53">
      <w:pPr>
        <w:ind w:left="2268" w:hanging="2268"/>
        <w:rPr>
          <w:sz w:val="22"/>
          <w:szCs w:val="22"/>
        </w:rPr>
      </w:pPr>
    </w:p>
    <w:p w:rsidR="008B3E53" w:rsidRDefault="008B3E53" w:rsidP="008B3E53">
      <w:pPr>
        <w:ind w:left="2268" w:hanging="2268"/>
        <w:rPr>
          <w:rFonts w:cs="Arial"/>
          <w:sz w:val="22"/>
          <w:szCs w:val="22"/>
        </w:rPr>
      </w:pPr>
      <w:r>
        <w:rPr>
          <w:bCs/>
          <w:sz w:val="22"/>
          <w:szCs w:val="22"/>
        </w:rPr>
        <w:t>ACHIEVEMENTS IN THE 2012/13 BIENNIUM</w:t>
      </w:r>
    </w:p>
    <w:p w:rsidR="008B3E53" w:rsidRPr="00093233" w:rsidRDefault="008B3E53" w:rsidP="008B3E53">
      <w:pPr>
        <w:ind w:left="2268" w:hanging="2268"/>
        <w:jc w:val="both"/>
        <w:rPr>
          <w:sz w:val="22"/>
          <w:szCs w:val="22"/>
        </w:rPr>
      </w:pPr>
    </w:p>
    <w:p w:rsidR="008B3E53" w:rsidRPr="00520750" w:rsidRDefault="0068151C" w:rsidP="0068151C">
      <w:pPr>
        <w:tabs>
          <w:tab w:val="left" w:pos="709"/>
        </w:tabs>
        <w:jc w:val="both"/>
        <w:rPr>
          <w:bCs/>
          <w:color w:val="000000"/>
          <w:szCs w:val="20"/>
        </w:rPr>
      </w:pPr>
      <w:r>
        <w:rPr>
          <w:bCs/>
          <w:color w:val="000000"/>
          <w:szCs w:val="20"/>
        </w:rPr>
        <w:t>8.1.</w:t>
      </w:r>
      <w:r>
        <w:rPr>
          <w:bCs/>
          <w:color w:val="000000"/>
          <w:szCs w:val="20"/>
        </w:rPr>
        <w:tab/>
      </w:r>
      <w:r w:rsidR="008B3E53">
        <w:rPr>
          <w:bCs/>
          <w:color w:val="000000"/>
          <w:szCs w:val="20"/>
        </w:rPr>
        <w:t>T</w:t>
      </w:r>
      <w:r w:rsidR="008B3E53" w:rsidRPr="00520750">
        <w:rPr>
          <w:bCs/>
          <w:color w:val="000000"/>
          <w:szCs w:val="20"/>
        </w:rPr>
        <w:t>he Program continued to coordinate the WIPO Development Agenda implementation, notably through the project-based implementation of the DA recommendations and an effective mainstreaming of the DA principles into the work of the Organization.  In addition, the Program undertook a number of activities to support Member States in deriving benefits from the implementation of the DA.  As a principal activity, the Program facilitated the work of the Committee on Development and Intellectual Property (CDIP) at four session</w:t>
      </w:r>
      <w:r w:rsidR="008B3E53">
        <w:rPr>
          <w:bCs/>
          <w:color w:val="000000"/>
          <w:szCs w:val="20"/>
        </w:rPr>
        <w:t>s of the Committee held in 2012/</w:t>
      </w:r>
      <w:r w:rsidR="008B3E53" w:rsidRPr="00520750">
        <w:rPr>
          <w:bCs/>
          <w:color w:val="000000"/>
          <w:szCs w:val="20"/>
        </w:rPr>
        <w:t>13.</w:t>
      </w:r>
    </w:p>
    <w:p w:rsidR="008B3E53" w:rsidRPr="00520750" w:rsidRDefault="008B3E53" w:rsidP="0068151C">
      <w:pPr>
        <w:tabs>
          <w:tab w:val="left" w:pos="709"/>
        </w:tabs>
        <w:jc w:val="both"/>
        <w:rPr>
          <w:bCs/>
          <w:color w:val="000000"/>
          <w:szCs w:val="20"/>
        </w:rPr>
      </w:pPr>
    </w:p>
    <w:p w:rsidR="008B3E53" w:rsidRPr="00520750" w:rsidRDefault="008B3E53" w:rsidP="0068151C">
      <w:pPr>
        <w:tabs>
          <w:tab w:val="left" w:pos="709"/>
        </w:tabs>
        <w:jc w:val="both"/>
        <w:rPr>
          <w:bCs/>
          <w:color w:val="000000"/>
          <w:szCs w:val="20"/>
        </w:rPr>
      </w:pPr>
      <w:r w:rsidRPr="00520750">
        <w:rPr>
          <w:bCs/>
          <w:color w:val="000000"/>
          <w:szCs w:val="20"/>
        </w:rPr>
        <w:t>8.2</w:t>
      </w:r>
      <w:r w:rsidR="0068151C">
        <w:rPr>
          <w:bCs/>
          <w:color w:val="000000"/>
          <w:szCs w:val="20"/>
        </w:rPr>
        <w:t>.</w:t>
      </w:r>
      <w:r w:rsidRPr="00520750">
        <w:rPr>
          <w:bCs/>
          <w:color w:val="000000"/>
          <w:szCs w:val="20"/>
        </w:rPr>
        <w:tab/>
        <w:t>Significant progress in the implementation of the DA recommendation</w:t>
      </w:r>
      <w:r>
        <w:rPr>
          <w:bCs/>
          <w:color w:val="000000"/>
          <w:szCs w:val="20"/>
        </w:rPr>
        <w:t>s</w:t>
      </w:r>
      <w:r w:rsidRPr="00520750">
        <w:rPr>
          <w:bCs/>
          <w:color w:val="000000"/>
          <w:szCs w:val="20"/>
        </w:rPr>
        <w:t xml:space="preserve"> was achieved </w:t>
      </w:r>
      <w:r>
        <w:rPr>
          <w:bCs/>
          <w:color w:val="000000"/>
          <w:szCs w:val="20"/>
        </w:rPr>
        <w:t>in</w:t>
      </w:r>
      <w:r w:rsidRPr="00520750">
        <w:rPr>
          <w:bCs/>
          <w:color w:val="000000"/>
          <w:szCs w:val="20"/>
        </w:rPr>
        <w:t xml:space="preserve"> the 2012/13 biennium.  The CDIP approved two new projects proposed by Burkina Faso and the Republic of Korea, considered two annual Director General’s Reports on Implementation of the Development Agenda, two annual Progress Reports on the Implementation of Recommendations for </w:t>
      </w:r>
      <w:r>
        <w:rPr>
          <w:bCs/>
          <w:color w:val="000000"/>
          <w:szCs w:val="20"/>
        </w:rPr>
        <w:t>I</w:t>
      </w:r>
      <w:r w:rsidRPr="00520750">
        <w:rPr>
          <w:bCs/>
          <w:color w:val="000000"/>
          <w:szCs w:val="20"/>
        </w:rPr>
        <w:t xml:space="preserve">mmediate </w:t>
      </w:r>
      <w:r>
        <w:rPr>
          <w:bCs/>
          <w:color w:val="000000"/>
          <w:szCs w:val="20"/>
        </w:rPr>
        <w:t>I</w:t>
      </w:r>
      <w:r w:rsidRPr="00520750">
        <w:rPr>
          <w:bCs/>
          <w:color w:val="000000"/>
          <w:szCs w:val="20"/>
        </w:rPr>
        <w:t>mplementation and D</w:t>
      </w:r>
      <w:r>
        <w:rPr>
          <w:bCs/>
          <w:color w:val="000000"/>
          <w:szCs w:val="20"/>
        </w:rPr>
        <w:t xml:space="preserve">A </w:t>
      </w:r>
      <w:r w:rsidRPr="00520750">
        <w:rPr>
          <w:bCs/>
          <w:color w:val="000000"/>
          <w:szCs w:val="20"/>
        </w:rPr>
        <w:t xml:space="preserve">Projects and fourteen </w:t>
      </w:r>
      <w:r>
        <w:rPr>
          <w:bCs/>
          <w:color w:val="000000"/>
          <w:szCs w:val="20"/>
        </w:rPr>
        <w:t xml:space="preserve">independent </w:t>
      </w:r>
      <w:r w:rsidRPr="00520750">
        <w:rPr>
          <w:bCs/>
          <w:color w:val="000000"/>
          <w:szCs w:val="20"/>
        </w:rPr>
        <w:t xml:space="preserve">project evaluation reports.  In addition, the Committee approved </w:t>
      </w:r>
      <w:r>
        <w:rPr>
          <w:bCs/>
          <w:color w:val="000000"/>
          <w:szCs w:val="20"/>
        </w:rPr>
        <w:t xml:space="preserve">second </w:t>
      </w:r>
      <w:r w:rsidRPr="00520750">
        <w:rPr>
          <w:bCs/>
          <w:color w:val="000000"/>
          <w:szCs w:val="20"/>
        </w:rPr>
        <w:t>phase</w:t>
      </w:r>
      <w:r>
        <w:rPr>
          <w:bCs/>
          <w:color w:val="000000"/>
          <w:szCs w:val="20"/>
        </w:rPr>
        <w:t xml:space="preserve">s for </w:t>
      </w:r>
      <w:r w:rsidRPr="00520750">
        <w:rPr>
          <w:bCs/>
          <w:color w:val="000000"/>
          <w:szCs w:val="20"/>
        </w:rPr>
        <w:t xml:space="preserve">four completed and evaluated projects. </w:t>
      </w:r>
      <w:r>
        <w:rPr>
          <w:bCs/>
          <w:color w:val="000000"/>
          <w:szCs w:val="20"/>
        </w:rPr>
        <w:t xml:space="preserve"> </w:t>
      </w:r>
      <w:r w:rsidRPr="00520750">
        <w:rPr>
          <w:bCs/>
          <w:color w:val="000000"/>
          <w:szCs w:val="20"/>
        </w:rPr>
        <w:t xml:space="preserve">The Committee discussed two documents forwarded by the General Assembly, namely a Description of the </w:t>
      </w:r>
      <w:r>
        <w:rPr>
          <w:bCs/>
          <w:color w:val="000000"/>
          <w:szCs w:val="20"/>
        </w:rPr>
        <w:t>C</w:t>
      </w:r>
      <w:r w:rsidRPr="00520750">
        <w:rPr>
          <w:bCs/>
          <w:color w:val="000000"/>
          <w:szCs w:val="20"/>
        </w:rPr>
        <w:t xml:space="preserve">ontribution of the </w:t>
      </w:r>
      <w:r>
        <w:rPr>
          <w:bCs/>
          <w:color w:val="000000"/>
          <w:szCs w:val="20"/>
        </w:rPr>
        <w:t>R</w:t>
      </w:r>
      <w:r w:rsidRPr="00520750">
        <w:rPr>
          <w:bCs/>
          <w:color w:val="000000"/>
          <w:szCs w:val="20"/>
        </w:rPr>
        <w:t>elevant WIPO Bodies on the</w:t>
      </w:r>
      <w:r>
        <w:rPr>
          <w:bCs/>
          <w:color w:val="000000"/>
          <w:szCs w:val="20"/>
        </w:rPr>
        <w:t xml:space="preserve"> </w:t>
      </w:r>
      <w:r w:rsidRPr="00520750">
        <w:rPr>
          <w:bCs/>
          <w:color w:val="000000"/>
          <w:szCs w:val="20"/>
        </w:rPr>
        <w:t>implementation of respective Development Agenda Recommendations, and a decision on CDIP related matters.  The Committee also discussed a Report on Assessing WIPO’s Contribution to the Achievement of the United Nations Millennium Development Goals (MDGs), and took note of</w:t>
      </w:r>
      <w:r>
        <w:rPr>
          <w:bCs/>
          <w:color w:val="000000"/>
          <w:szCs w:val="20"/>
        </w:rPr>
        <w:t xml:space="preserve">: </w:t>
      </w:r>
      <w:r w:rsidR="00D16EC9">
        <w:rPr>
          <w:bCs/>
          <w:color w:val="000000"/>
          <w:szCs w:val="20"/>
        </w:rPr>
        <w:t xml:space="preserve"> </w:t>
      </w:r>
      <w:r>
        <w:rPr>
          <w:bCs/>
          <w:color w:val="000000"/>
          <w:szCs w:val="20"/>
        </w:rPr>
        <w:t>(i)</w:t>
      </w:r>
      <w:r w:rsidRPr="00520750">
        <w:rPr>
          <w:bCs/>
          <w:color w:val="000000"/>
          <w:szCs w:val="20"/>
        </w:rPr>
        <w:t xml:space="preserve"> a report on the Feasibility of Integration of the MDGs Related Needs/Outcomes into WIPO’s Biennial Results Framework</w:t>
      </w:r>
      <w:proofErr w:type="gramStart"/>
      <w:r w:rsidR="0007055D">
        <w:rPr>
          <w:bCs/>
          <w:color w:val="000000"/>
          <w:szCs w:val="20"/>
        </w:rPr>
        <w:t xml:space="preserve">; </w:t>
      </w:r>
      <w:r w:rsidR="00D16EC9">
        <w:rPr>
          <w:bCs/>
          <w:color w:val="000000"/>
          <w:szCs w:val="20"/>
        </w:rPr>
        <w:t xml:space="preserve"> </w:t>
      </w:r>
      <w:r>
        <w:rPr>
          <w:bCs/>
          <w:color w:val="000000"/>
          <w:szCs w:val="20"/>
        </w:rPr>
        <w:t>and</w:t>
      </w:r>
      <w:proofErr w:type="gramEnd"/>
      <w:r>
        <w:rPr>
          <w:bCs/>
          <w:color w:val="000000"/>
          <w:szCs w:val="20"/>
        </w:rPr>
        <w:t xml:space="preserve"> (ii) </w:t>
      </w:r>
      <w:r w:rsidRPr="00520750">
        <w:rPr>
          <w:bCs/>
          <w:color w:val="000000"/>
          <w:szCs w:val="20"/>
        </w:rPr>
        <w:t xml:space="preserve">a document on the </w:t>
      </w:r>
      <w:r>
        <w:rPr>
          <w:bCs/>
          <w:color w:val="000000"/>
          <w:szCs w:val="20"/>
        </w:rPr>
        <w:t>M</w:t>
      </w:r>
      <w:r w:rsidRPr="00520750">
        <w:rPr>
          <w:bCs/>
          <w:color w:val="000000"/>
          <w:szCs w:val="20"/>
        </w:rPr>
        <w:t xml:space="preserve">easurement of the MDGs in other United Nations </w:t>
      </w:r>
      <w:r>
        <w:rPr>
          <w:bCs/>
          <w:color w:val="000000"/>
          <w:szCs w:val="20"/>
        </w:rPr>
        <w:t>A</w:t>
      </w:r>
      <w:r w:rsidRPr="00520750">
        <w:rPr>
          <w:bCs/>
          <w:color w:val="000000"/>
          <w:szCs w:val="20"/>
        </w:rPr>
        <w:t xml:space="preserve">gencies and the </w:t>
      </w:r>
      <w:r>
        <w:rPr>
          <w:bCs/>
          <w:color w:val="000000"/>
          <w:szCs w:val="20"/>
        </w:rPr>
        <w:t>C</w:t>
      </w:r>
      <w:r w:rsidRPr="00520750">
        <w:rPr>
          <w:bCs/>
          <w:color w:val="000000"/>
          <w:szCs w:val="20"/>
        </w:rPr>
        <w:t xml:space="preserve">ontribution of WIPO to the MDGs.  Furthermore, the Committee discussed a Feasibility Assessment on Possible New WIPO Activities Related to Using Copyright to Promote Access to Information and Creative Content and considered an Implementation Proposal on those Possible New WIPO Activities. </w:t>
      </w:r>
      <w:r>
        <w:rPr>
          <w:bCs/>
          <w:color w:val="000000"/>
          <w:szCs w:val="20"/>
        </w:rPr>
        <w:t xml:space="preserve"> </w:t>
      </w:r>
      <w:r w:rsidRPr="00520750">
        <w:rPr>
          <w:bCs/>
          <w:color w:val="000000"/>
          <w:szCs w:val="20"/>
        </w:rPr>
        <w:t>The Committee continued to discuss documents on Patent-Related Flexibilities in the Multilateral Legal Framework and their Legislative Implementation at the National and Regional Levels and agreed on a Future Work Program on Flexibilities in the Intellectual Property System.  The Committee continued to consider the External Review of WIPO Technical Assistance in the Area of Cooperation for Development, as it discussed the Management Response to the Review and a Joint Proposal by the Development Agenda Group</w:t>
      </w:r>
      <w:r>
        <w:rPr>
          <w:bCs/>
          <w:color w:val="000000"/>
          <w:szCs w:val="20"/>
        </w:rPr>
        <w:t xml:space="preserve"> (DAG)</w:t>
      </w:r>
      <w:r w:rsidRPr="00520750">
        <w:rPr>
          <w:bCs/>
          <w:color w:val="000000"/>
          <w:szCs w:val="20"/>
        </w:rPr>
        <w:t xml:space="preserve"> and the Africa Group.  Further on this matter, it took note of a Manual on the Delivery of WIPO Technical Assistance and presentations on the restructuring of the WIPO Technical Assistance Database (TAD).  As requested under the Coordination Mechanism and Monitoring, Assessing and Reporting Modalities, the Committee started discussions on the Independent Review of the Implementation of the Development Agenda Recommendations.  Regarding outputs from DA projects, the Committee discussed and took note of fourteen studies undertaken in the context of the projects on IP and Public Domain, Patents and the Public Domain, IP and Competition Policy and IP, Information and Communication Technologies (ICTs), the Digital Divide and Access to Knowledge, IP and Socio-Economic Development, IP and Brain Drain and the Project on Strengthening and Development of the Audiovisual Sector in Burkina Faso and Certain African Countries.</w:t>
      </w:r>
      <w:r>
        <w:rPr>
          <w:bCs/>
          <w:color w:val="000000"/>
          <w:szCs w:val="20"/>
        </w:rPr>
        <w:t xml:space="preserve">  By the end of the biennium, 72</w:t>
      </w:r>
      <w:r>
        <w:t xml:space="preserve"> observers had participated in the work of the Committee.  </w:t>
      </w:r>
    </w:p>
    <w:p w:rsidR="008B3E53" w:rsidRPr="00520750" w:rsidRDefault="008B3E53" w:rsidP="0068151C">
      <w:pPr>
        <w:tabs>
          <w:tab w:val="left" w:pos="709"/>
        </w:tabs>
        <w:jc w:val="both"/>
        <w:rPr>
          <w:bCs/>
          <w:color w:val="000000"/>
          <w:szCs w:val="20"/>
        </w:rPr>
      </w:pPr>
    </w:p>
    <w:p w:rsidR="008B3E53" w:rsidRPr="00520750" w:rsidRDefault="008B3E53" w:rsidP="0068151C">
      <w:pPr>
        <w:tabs>
          <w:tab w:val="left" w:pos="709"/>
        </w:tabs>
        <w:jc w:val="both"/>
        <w:rPr>
          <w:bCs/>
          <w:color w:val="000000"/>
          <w:szCs w:val="20"/>
        </w:rPr>
      </w:pPr>
      <w:r w:rsidRPr="00520750">
        <w:rPr>
          <w:bCs/>
          <w:color w:val="000000"/>
          <w:szCs w:val="20"/>
        </w:rPr>
        <w:t>8.3.</w:t>
      </w:r>
      <w:r w:rsidRPr="00520750">
        <w:rPr>
          <w:bCs/>
          <w:color w:val="000000"/>
          <w:szCs w:val="20"/>
        </w:rPr>
        <w:tab/>
        <w:t xml:space="preserve">The Program continued to ensure that DA related activities and projects were properly implemented, monitored, evaluated and reported upon. </w:t>
      </w:r>
      <w:r>
        <w:rPr>
          <w:bCs/>
          <w:color w:val="000000"/>
          <w:szCs w:val="20"/>
        </w:rPr>
        <w:t xml:space="preserve"> This included </w:t>
      </w:r>
      <w:r w:rsidRPr="00520750">
        <w:rPr>
          <w:bCs/>
          <w:color w:val="000000"/>
          <w:szCs w:val="20"/>
        </w:rPr>
        <w:t xml:space="preserve">efforts to ensure an effective implementation of the 19 Recommendations for immediate implementation.  </w:t>
      </w:r>
    </w:p>
    <w:p w:rsidR="008B3E53" w:rsidRDefault="008B3E53" w:rsidP="0068151C">
      <w:pPr>
        <w:tabs>
          <w:tab w:val="left" w:pos="709"/>
        </w:tabs>
        <w:ind w:left="720" w:hanging="720"/>
        <w:jc w:val="both"/>
        <w:rPr>
          <w:bCs/>
          <w:color w:val="000000"/>
          <w:sz w:val="22"/>
          <w:szCs w:val="22"/>
        </w:rPr>
      </w:pPr>
    </w:p>
    <w:p w:rsidR="008B3E53" w:rsidRPr="002C4083" w:rsidRDefault="008B3E53" w:rsidP="0068151C">
      <w:pPr>
        <w:tabs>
          <w:tab w:val="left" w:pos="709"/>
        </w:tabs>
        <w:ind w:left="2268" w:hanging="2268"/>
        <w:jc w:val="both"/>
        <w:rPr>
          <w:rFonts w:cs="Arial"/>
          <w:bCs/>
          <w:sz w:val="22"/>
          <w:szCs w:val="22"/>
        </w:rPr>
      </w:pPr>
      <w:r w:rsidRPr="002C4083">
        <w:rPr>
          <w:rFonts w:cs="Arial"/>
          <w:bCs/>
          <w:sz w:val="22"/>
          <w:szCs w:val="22"/>
        </w:rPr>
        <w:t xml:space="preserve">IMPLEMENTATION OF THE DEVELOPMENT AGENDA </w:t>
      </w:r>
    </w:p>
    <w:p w:rsidR="008B3E53" w:rsidRDefault="008B3E53" w:rsidP="0068151C">
      <w:pPr>
        <w:tabs>
          <w:tab w:val="left" w:pos="709"/>
        </w:tabs>
        <w:ind w:left="2268" w:hanging="2268"/>
        <w:jc w:val="both"/>
        <w:rPr>
          <w:sz w:val="22"/>
          <w:szCs w:val="22"/>
        </w:rPr>
      </w:pPr>
    </w:p>
    <w:p w:rsidR="008B3E53" w:rsidRPr="00B56FE4" w:rsidRDefault="008B3E53" w:rsidP="0068151C">
      <w:pPr>
        <w:tabs>
          <w:tab w:val="left" w:pos="709"/>
        </w:tabs>
        <w:autoSpaceDE w:val="0"/>
        <w:autoSpaceDN w:val="0"/>
        <w:adjustRightInd w:val="0"/>
        <w:jc w:val="both"/>
        <w:rPr>
          <w:rFonts w:eastAsia="MS Mincho"/>
          <w:lang w:eastAsia="ja-JP" w:bidi="th-TH"/>
        </w:rPr>
      </w:pPr>
      <w:r>
        <w:rPr>
          <w:rFonts w:eastAsia="MS Mincho"/>
          <w:lang w:eastAsia="ja-JP" w:bidi="th-TH"/>
        </w:rPr>
        <w:t>8.4</w:t>
      </w:r>
      <w:r w:rsidR="0068151C">
        <w:rPr>
          <w:rFonts w:eastAsia="MS Mincho"/>
          <w:lang w:eastAsia="ja-JP" w:bidi="th-TH"/>
        </w:rPr>
        <w:t>.</w:t>
      </w:r>
      <w:r>
        <w:rPr>
          <w:rFonts w:eastAsia="MS Mincho"/>
          <w:lang w:eastAsia="ja-JP" w:bidi="th-TH"/>
        </w:rPr>
        <w:tab/>
      </w:r>
      <w:r w:rsidRPr="00B56FE4">
        <w:rPr>
          <w:rFonts w:eastAsia="MS Mincho"/>
          <w:lang w:eastAsia="ja-JP" w:bidi="th-TH"/>
        </w:rPr>
        <w:t>Program 8 is responsible for the coordination of the implementation of all 45 WIPO DA</w:t>
      </w:r>
      <w:r>
        <w:rPr>
          <w:rFonts w:eastAsia="MS Mincho"/>
          <w:lang w:eastAsia="ja-JP" w:bidi="th-TH"/>
        </w:rPr>
        <w:t> </w:t>
      </w:r>
      <w:r w:rsidRPr="00B56FE4">
        <w:rPr>
          <w:rFonts w:eastAsia="MS Mincho"/>
          <w:lang w:eastAsia="ja-JP" w:bidi="th-TH"/>
        </w:rPr>
        <w:t xml:space="preserve">Recommendations. </w:t>
      </w:r>
    </w:p>
    <w:p w:rsidR="008B3E53" w:rsidRPr="00093233" w:rsidRDefault="008B3E53" w:rsidP="008B3E53">
      <w:pPr>
        <w:ind w:left="2268" w:hanging="2268"/>
        <w:jc w:val="both"/>
        <w:rPr>
          <w:sz w:val="22"/>
          <w:szCs w:val="22"/>
        </w:rPr>
      </w:pPr>
    </w:p>
    <w:p w:rsidR="008B3E53" w:rsidRPr="00093233" w:rsidRDefault="008B3E53" w:rsidP="008B3E53">
      <w:pPr>
        <w:ind w:left="2268" w:hanging="2268"/>
        <w:rPr>
          <w:rFonts w:eastAsia="MS Mincho"/>
          <w:sz w:val="22"/>
          <w:szCs w:val="22"/>
          <w:lang w:eastAsia="ja-JP" w:bidi="th-TH"/>
        </w:rPr>
      </w:pPr>
    </w:p>
    <w:p w:rsidR="008B3E53" w:rsidRDefault="008B3E53" w:rsidP="008B3E53">
      <w:pPr>
        <w:rPr>
          <w:rFonts w:cs="Arial"/>
          <w:sz w:val="22"/>
          <w:szCs w:val="22"/>
        </w:rPr>
      </w:pPr>
      <w:r>
        <w:rPr>
          <w:rFonts w:cs="Arial"/>
          <w:sz w:val="22"/>
          <w:szCs w:val="22"/>
        </w:rPr>
        <w:br w:type="page"/>
      </w:r>
    </w:p>
    <w:p w:rsidR="008B3E53" w:rsidRPr="00704AC8" w:rsidRDefault="008B3E53" w:rsidP="008B3E53">
      <w:pPr>
        <w:autoSpaceDE w:val="0"/>
        <w:autoSpaceDN w:val="0"/>
        <w:adjustRightInd w:val="0"/>
        <w:jc w:val="both"/>
        <w:rPr>
          <w:rFonts w:cs="Arial"/>
          <w:sz w:val="22"/>
          <w:szCs w:val="22"/>
        </w:rPr>
      </w:pPr>
      <w:r w:rsidRPr="00704AC8">
        <w:rPr>
          <w:rFonts w:cs="Arial"/>
          <w:sz w:val="22"/>
          <w:szCs w:val="22"/>
        </w:rPr>
        <w:lastRenderedPageBreak/>
        <w:t>PERFORMANCE DATA</w:t>
      </w:r>
    </w:p>
    <w:p w:rsidR="008B3E53" w:rsidRPr="00093233" w:rsidRDefault="008B3E53" w:rsidP="008B3E53">
      <w:pPr>
        <w:ind w:left="2268" w:hanging="2268"/>
        <w:rPr>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8"/>
        <w:gridCol w:w="1705"/>
        <w:gridCol w:w="1705"/>
        <w:gridCol w:w="3011"/>
        <w:gridCol w:w="1308"/>
      </w:tblGrid>
      <w:tr w:rsidR="008B3E53" w:rsidRPr="001D2E83" w:rsidTr="00CD26D6">
        <w:trPr>
          <w:cantSplit/>
        </w:trPr>
        <w:tc>
          <w:tcPr>
            <w:tcW w:w="5000" w:type="pct"/>
            <w:gridSpan w:val="5"/>
            <w:tcBorders>
              <w:top w:val="single" w:sz="4" w:space="0" w:color="auto"/>
              <w:bottom w:val="single" w:sz="4" w:space="0" w:color="auto"/>
            </w:tcBorders>
            <w:shd w:val="clear" w:color="auto" w:fill="CCFFFF"/>
            <w:vAlign w:val="center"/>
          </w:tcPr>
          <w:p w:rsidR="008B3E53" w:rsidRPr="001D2E83" w:rsidRDefault="008B3E53" w:rsidP="008B3E53">
            <w:pPr>
              <w:keepNext/>
              <w:keepLines/>
              <w:tabs>
                <w:tab w:val="left" w:pos="1452"/>
              </w:tabs>
              <w:spacing w:before="120" w:after="120"/>
              <w:ind w:left="1452" w:hanging="1452"/>
              <w:rPr>
                <w:rFonts w:cs="Arial"/>
                <w:b/>
                <w:bCs/>
                <w:sz w:val="16"/>
                <w:szCs w:val="16"/>
              </w:rPr>
            </w:pPr>
            <w:r w:rsidRPr="001D2E83">
              <w:rPr>
                <w:rFonts w:cs="Arial"/>
                <w:b/>
                <w:bCs/>
                <w:sz w:val="16"/>
                <w:szCs w:val="16"/>
              </w:rPr>
              <w:t>Expected Result:</w:t>
            </w:r>
            <w:r w:rsidRPr="001D2E83">
              <w:rPr>
                <w:rFonts w:cs="Arial"/>
                <w:b/>
                <w:bCs/>
                <w:sz w:val="16"/>
                <w:szCs w:val="16"/>
              </w:rPr>
              <w:tab/>
            </w:r>
            <w:r w:rsidRPr="001D2E83">
              <w:rPr>
                <w:rFonts w:cs="Arial"/>
                <w:sz w:val="16"/>
                <w:szCs w:val="16"/>
                <w:lang w:bidi="th-TH"/>
              </w:rPr>
              <w:t>Development Agenda principles further mainstreamed into the Organization’s programs and activities</w:t>
            </w:r>
          </w:p>
        </w:tc>
      </w:tr>
      <w:tr w:rsidR="008B3E53" w:rsidRPr="001D2E83" w:rsidTr="00CD26D6">
        <w:trPr>
          <w:cantSplit/>
        </w:trPr>
        <w:tc>
          <w:tcPr>
            <w:tcW w:w="870" w:type="pct"/>
            <w:tcBorders>
              <w:top w:val="single" w:sz="4" w:space="0" w:color="auto"/>
            </w:tcBorders>
            <w:shd w:val="clear" w:color="auto" w:fill="auto"/>
            <w:vAlign w:val="center"/>
          </w:tcPr>
          <w:p w:rsidR="008B3E53" w:rsidRPr="001D2E83" w:rsidRDefault="008B3E53" w:rsidP="008B3E53">
            <w:pPr>
              <w:rPr>
                <w:rFonts w:cs="Arial"/>
                <w:sz w:val="16"/>
                <w:szCs w:val="16"/>
              </w:rPr>
            </w:pPr>
            <w:r w:rsidRPr="001D2E83">
              <w:rPr>
                <w:rFonts w:cs="Arial"/>
                <w:b/>
                <w:bCs/>
                <w:sz w:val="16"/>
                <w:szCs w:val="16"/>
              </w:rPr>
              <w:t>Performance Indicators</w:t>
            </w:r>
          </w:p>
        </w:tc>
        <w:tc>
          <w:tcPr>
            <w:tcW w:w="911" w:type="pct"/>
            <w:tcBorders>
              <w:top w:val="single" w:sz="4" w:space="0" w:color="auto"/>
            </w:tcBorders>
            <w:shd w:val="clear" w:color="auto" w:fill="auto"/>
            <w:vAlign w:val="center"/>
          </w:tcPr>
          <w:p w:rsidR="008B3E53" w:rsidRPr="001D2E83" w:rsidRDefault="008B3E53" w:rsidP="008B3E53">
            <w:pPr>
              <w:rPr>
                <w:rFonts w:cs="Arial"/>
                <w:b/>
                <w:bCs/>
                <w:sz w:val="16"/>
                <w:szCs w:val="16"/>
              </w:rPr>
            </w:pPr>
            <w:r w:rsidRPr="001D2E83">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8B3E53" w:rsidRPr="001D2E83" w:rsidRDefault="008B3E53" w:rsidP="008B3E53">
            <w:pPr>
              <w:rPr>
                <w:rFonts w:cs="Arial"/>
                <w:b/>
                <w:sz w:val="16"/>
                <w:szCs w:val="16"/>
              </w:rPr>
            </w:pPr>
            <w:r w:rsidRPr="001D2E83">
              <w:rPr>
                <w:rFonts w:cs="Arial"/>
                <w:b/>
                <w:sz w:val="16"/>
                <w:szCs w:val="16"/>
              </w:rPr>
              <w:t>Target</w:t>
            </w:r>
            <w:r w:rsidR="00582788" w:rsidRPr="001D2E83">
              <w:rPr>
                <w:rFonts w:cs="Arial"/>
                <w:b/>
                <w:sz w:val="16"/>
                <w:szCs w:val="16"/>
              </w:rPr>
              <w:t>s</w:t>
            </w:r>
          </w:p>
        </w:tc>
        <w:tc>
          <w:tcPr>
            <w:tcW w:w="1609" w:type="pct"/>
            <w:tcBorders>
              <w:top w:val="single" w:sz="4" w:space="0" w:color="auto"/>
            </w:tcBorders>
            <w:shd w:val="clear" w:color="auto" w:fill="FFFFFF"/>
            <w:tcMar>
              <w:top w:w="110" w:type="dxa"/>
            </w:tcMar>
            <w:vAlign w:val="center"/>
          </w:tcPr>
          <w:p w:rsidR="008B3E53" w:rsidRPr="001D2E83" w:rsidRDefault="008B3E53" w:rsidP="008B3E53">
            <w:pPr>
              <w:rPr>
                <w:rFonts w:cs="Arial"/>
                <w:sz w:val="16"/>
                <w:szCs w:val="16"/>
              </w:rPr>
            </w:pPr>
            <w:r w:rsidRPr="001D2E83">
              <w:rPr>
                <w:rFonts w:cs="Arial"/>
                <w:b/>
                <w:bCs/>
                <w:sz w:val="16"/>
                <w:szCs w:val="16"/>
              </w:rPr>
              <w:t>Performance Data</w:t>
            </w:r>
          </w:p>
        </w:tc>
        <w:tc>
          <w:tcPr>
            <w:tcW w:w="698" w:type="pct"/>
            <w:tcBorders>
              <w:top w:val="single" w:sz="4" w:space="0" w:color="auto"/>
            </w:tcBorders>
            <w:shd w:val="clear" w:color="auto" w:fill="auto"/>
            <w:tcMar>
              <w:top w:w="110" w:type="dxa"/>
            </w:tcMar>
            <w:vAlign w:val="center"/>
          </w:tcPr>
          <w:p w:rsidR="008B3E53" w:rsidRPr="001D2E83" w:rsidRDefault="008B3E53" w:rsidP="008B3E53">
            <w:pPr>
              <w:keepNext/>
              <w:keepLines/>
              <w:jc w:val="center"/>
              <w:rPr>
                <w:rFonts w:cs="Arial"/>
                <w:b/>
                <w:bCs/>
                <w:sz w:val="16"/>
                <w:szCs w:val="16"/>
              </w:rPr>
            </w:pPr>
            <w:r w:rsidRPr="001D2E83">
              <w:rPr>
                <w:rFonts w:cs="Arial"/>
                <w:b/>
                <w:bCs/>
                <w:sz w:val="16"/>
                <w:szCs w:val="16"/>
              </w:rPr>
              <w:t>TLS</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No. of DA recommendations linked to Expected Results in the 2010/11 Program and Budget (P&amp;B)</w:t>
            </w:r>
          </w:p>
        </w:tc>
        <w:tc>
          <w:tcPr>
            <w:tcW w:w="911" w:type="pct"/>
            <w:shd w:val="clear" w:color="auto" w:fill="auto"/>
          </w:tcPr>
          <w:p w:rsidR="008B3E53" w:rsidRPr="001D2E83" w:rsidRDefault="008B3E53" w:rsidP="008B3E53">
            <w:pPr>
              <w:rPr>
                <w:rFonts w:cs="Arial"/>
                <w:sz w:val="16"/>
                <w:szCs w:val="16"/>
              </w:rPr>
            </w:pPr>
            <w:r w:rsidRPr="001D2E83">
              <w:rPr>
                <w:rFonts w:cs="Arial"/>
                <w:sz w:val="16"/>
                <w:szCs w:val="16"/>
                <w:lang w:bidi="th-TH"/>
              </w:rPr>
              <w:t>26 DA recommendations are linked to at least one Expected Result</w:t>
            </w:r>
          </w:p>
        </w:tc>
        <w:tc>
          <w:tcPr>
            <w:tcW w:w="911" w:type="pct"/>
            <w:shd w:val="clear" w:color="auto" w:fill="auto"/>
            <w:tcMar>
              <w:top w:w="110" w:type="dxa"/>
            </w:tcMar>
          </w:tcPr>
          <w:p w:rsidR="008B3E53" w:rsidRPr="001D2E83" w:rsidRDefault="008B3E53" w:rsidP="008B3E53">
            <w:pPr>
              <w:autoSpaceDE w:val="0"/>
              <w:autoSpaceDN w:val="0"/>
              <w:adjustRightInd w:val="0"/>
              <w:rPr>
                <w:rFonts w:cs="Arial"/>
                <w:sz w:val="16"/>
                <w:szCs w:val="16"/>
              </w:rPr>
            </w:pPr>
            <w:r w:rsidRPr="001D2E83">
              <w:rPr>
                <w:rFonts w:cs="Arial"/>
                <w:sz w:val="16"/>
                <w:szCs w:val="16"/>
              </w:rPr>
              <w:t>45 DA</w:t>
            </w:r>
          </w:p>
          <w:p w:rsidR="008B3E53" w:rsidRPr="001D2E83" w:rsidRDefault="008B3E53" w:rsidP="008B3E53">
            <w:pPr>
              <w:rPr>
                <w:rFonts w:cs="Arial"/>
                <w:sz w:val="16"/>
                <w:szCs w:val="16"/>
                <w:lang w:bidi="th-TH"/>
              </w:rPr>
            </w:pPr>
            <w:r w:rsidRPr="001D2E83">
              <w:rPr>
                <w:rFonts w:cs="Arial"/>
                <w:sz w:val="16"/>
                <w:szCs w:val="16"/>
              </w:rPr>
              <w:t>recommendations to be linked to at least one expected results in the 2014/15 P&amp;B</w:t>
            </w:r>
            <w:r w:rsidRPr="001D2E83" w:rsidDel="00494CC7">
              <w:rPr>
                <w:rFonts w:cs="Arial"/>
                <w:sz w:val="16"/>
                <w:szCs w:val="16"/>
                <w:lang w:bidi="th-TH"/>
              </w:rPr>
              <w:t xml:space="preserve"> </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45 DA recommendations are linked to at least one Expected Result</w:t>
            </w:r>
            <w:r w:rsidR="00D16EC9">
              <w:rPr>
                <w:rFonts w:cs="Arial"/>
                <w:sz w:val="16"/>
                <w:szCs w:val="16"/>
                <w:lang w:bidi="th-TH"/>
              </w:rPr>
              <w:t>.</w:t>
            </w:r>
          </w:p>
        </w:tc>
        <w:tc>
          <w:tcPr>
            <w:tcW w:w="698" w:type="pct"/>
            <w:shd w:val="clear" w:color="auto" w:fill="auto"/>
            <w:tcMar>
              <w:top w:w="110" w:type="dxa"/>
            </w:tcMar>
          </w:tcPr>
          <w:p w:rsidR="008B3E53" w:rsidRPr="008C0CEB" w:rsidRDefault="008B3E53" w:rsidP="008B3E53">
            <w:pPr>
              <w:keepNext/>
              <w:keepLines/>
              <w:jc w:val="center"/>
              <w:rPr>
                <w:rFonts w:cs="Arial"/>
                <w:bCs/>
                <w:color w:val="10862C"/>
                <w:sz w:val="16"/>
                <w:szCs w:val="16"/>
              </w:rPr>
            </w:pPr>
            <w:r w:rsidRPr="008C0CEB">
              <w:rPr>
                <w:rStyle w:val="Style5"/>
                <w:rFonts w:ascii="Arial" w:hAnsi="Arial" w:cs="Arial"/>
                <w:color w:val="10862C"/>
                <w:sz w:val="16"/>
                <w:szCs w:val="16"/>
              </w:rPr>
              <w:t>Fully</w:t>
            </w:r>
            <w:r w:rsidRPr="008C0CEB">
              <w:rPr>
                <w:rStyle w:val="Style5"/>
                <w:rFonts w:ascii="Arial" w:hAnsi="Arial" w:cs="Arial"/>
                <w:color w:val="10862C"/>
                <w:sz w:val="16"/>
                <w:szCs w:val="16"/>
              </w:rPr>
              <w:br/>
              <w:t>Achieved</w:t>
            </w:r>
            <w:r w:rsidRPr="008C0CEB" w:rsidDel="004764E5">
              <w:rPr>
                <w:rStyle w:val="Style5"/>
                <w:rFonts w:ascii="Arial" w:hAnsi="Arial" w:cs="Arial"/>
                <w:b/>
                <w:color w:val="10862C"/>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No of DA recommendations that are linked to Performance Indicators in the 2010/11 P&amp;B</w:t>
            </w:r>
          </w:p>
        </w:tc>
        <w:tc>
          <w:tcPr>
            <w:tcW w:w="911"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16 DA recommendations</w:t>
            </w:r>
          </w:p>
        </w:tc>
        <w:tc>
          <w:tcPr>
            <w:tcW w:w="911" w:type="pct"/>
            <w:shd w:val="clear" w:color="auto" w:fill="auto"/>
            <w:tcMar>
              <w:top w:w="110" w:type="dxa"/>
            </w:tcMar>
          </w:tcPr>
          <w:p w:rsidR="008B3E53" w:rsidRPr="001D2E83" w:rsidRDefault="008B3E53" w:rsidP="00D16EC9">
            <w:pPr>
              <w:autoSpaceDE w:val="0"/>
              <w:autoSpaceDN w:val="0"/>
              <w:adjustRightInd w:val="0"/>
              <w:rPr>
                <w:rFonts w:cs="Arial"/>
                <w:sz w:val="16"/>
                <w:szCs w:val="16"/>
              </w:rPr>
            </w:pPr>
            <w:r w:rsidRPr="001D2E83">
              <w:rPr>
                <w:rFonts w:cs="Arial"/>
                <w:sz w:val="16"/>
                <w:szCs w:val="16"/>
              </w:rPr>
              <w:t>45 DA</w:t>
            </w:r>
            <w:r w:rsidR="001D2E83">
              <w:rPr>
                <w:rFonts w:cs="Arial"/>
                <w:sz w:val="16"/>
                <w:szCs w:val="16"/>
              </w:rPr>
              <w:t xml:space="preserve"> </w:t>
            </w:r>
            <w:r w:rsidRPr="001D2E83">
              <w:rPr>
                <w:rFonts w:cs="Arial"/>
                <w:sz w:val="16"/>
                <w:szCs w:val="16"/>
              </w:rPr>
              <w:t>recommendations linked</w:t>
            </w:r>
            <w:r w:rsidR="001D2E83">
              <w:rPr>
                <w:rFonts w:cs="Arial"/>
                <w:sz w:val="16"/>
                <w:szCs w:val="16"/>
              </w:rPr>
              <w:t xml:space="preserve"> </w:t>
            </w:r>
            <w:r w:rsidRPr="001D2E83">
              <w:rPr>
                <w:rFonts w:cs="Arial"/>
                <w:sz w:val="16"/>
                <w:szCs w:val="16"/>
              </w:rPr>
              <w:t>to Performance</w:t>
            </w:r>
            <w:r w:rsidR="00D16EC9">
              <w:rPr>
                <w:rFonts w:cs="Arial"/>
                <w:sz w:val="16"/>
                <w:szCs w:val="16"/>
              </w:rPr>
              <w:t xml:space="preserve"> </w:t>
            </w:r>
            <w:r w:rsidRPr="001D2E83">
              <w:rPr>
                <w:rFonts w:cs="Arial"/>
                <w:sz w:val="16"/>
                <w:szCs w:val="16"/>
              </w:rPr>
              <w:t>Indicators in the</w:t>
            </w:r>
            <w:r w:rsidR="00D16EC9">
              <w:rPr>
                <w:rFonts w:cs="Arial"/>
                <w:sz w:val="16"/>
                <w:szCs w:val="16"/>
              </w:rPr>
              <w:t xml:space="preserve"> </w:t>
            </w:r>
            <w:r w:rsidRPr="001D2E83">
              <w:rPr>
                <w:rFonts w:cs="Arial"/>
                <w:sz w:val="16"/>
                <w:szCs w:val="16"/>
              </w:rPr>
              <w:t>2014/15 P&amp;B</w:t>
            </w:r>
            <w:r w:rsidRPr="001D2E83" w:rsidDel="00494CC7">
              <w:rPr>
                <w:rFonts w:cs="Arial"/>
                <w:sz w:val="16"/>
                <w:szCs w:val="16"/>
                <w:lang w:bidi="th-TH"/>
              </w:rPr>
              <w:t xml:space="preserve"> </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45 DA recommendations</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tcBorders>
              <w:bottom w:val="single" w:sz="4" w:space="0" w:color="auto"/>
            </w:tcBorders>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 xml:space="preserve">Implementation of the coordination mechanism as approved by Member States </w:t>
            </w:r>
          </w:p>
        </w:tc>
        <w:tc>
          <w:tcPr>
            <w:tcW w:w="911" w:type="pct"/>
            <w:tcBorders>
              <w:bottom w:val="single" w:sz="4" w:space="0" w:color="auto"/>
            </w:tcBorders>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Coordination Mechanisms and Monitoring, Assessing and Reporting Modalities approved by the CDIP in April 2010</w:t>
            </w:r>
          </w:p>
          <w:p w:rsidR="008B3E53" w:rsidRPr="001D2E83" w:rsidRDefault="008B3E53" w:rsidP="008B3E53">
            <w:pPr>
              <w:rPr>
                <w:rFonts w:cs="Arial"/>
                <w:sz w:val="16"/>
                <w:szCs w:val="16"/>
                <w:lang w:bidi="th-TH"/>
              </w:rPr>
            </w:pPr>
          </w:p>
        </w:tc>
        <w:tc>
          <w:tcPr>
            <w:tcW w:w="911" w:type="pct"/>
            <w:tcBorders>
              <w:bottom w:val="single" w:sz="4" w:space="0" w:color="auto"/>
            </w:tcBorders>
            <w:shd w:val="clear" w:color="auto" w:fill="auto"/>
            <w:tcMar>
              <w:top w:w="110" w:type="dxa"/>
            </w:tcMar>
          </w:tcPr>
          <w:p w:rsidR="008B3E53" w:rsidRPr="001D2E83" w:rsidRDefault="008B3E53" w:rsidP="008B3E53">
            <w:pPr>
              <w:autoSpaceDE w:val="0"/>
              <w:autoSpaceDN w:val="0"/>
              <w:adjustRightInd w:val="0"/>
              <w:rPr>
                <w:rFonts w:cs="Arial"/>
                <w:sz w:val="16"/>
                <w:szCs w:val="16"/>
              </w:rPr>
            </w:pPr>
            <w:r w:rsidRPr="001D2E83">
              <w:rPr>
                <w:rFonts w:cs="Arial"/>
                <w:sz w:val="16"/>
                <w:szCs w:val="16"/>
              </w:rPr>
              <w:t>Coordination</w:t>
            </w:r>
            <w:r w:rsidR="00D16EC9">
              <w:rPr>
                <w:rFonts w:cs="Arial"/>
                <w:sz w:val="16"/>
                <w:szCs w:val="16"/>
              </w:rPr>
              <w:t xml:space="preserve"> </w:t>
            </w:r>
            <w:r w:rsidRPr="001D2E83">
              <w:rPr>
                <w:rFonts w:cs="Arial"/>
                <w:sz w:val="16"/>
                <w:szCs w:val="16"/>
              </w:rPr>
              <w:t>Mechanisms</w:t>
            </w:r>
            <w:r w:rsidR="00D16EC9">
              <w:rPr>
                <w:rFonts w:cs="Arial"/>
                <w:sz w:val="16"/>
                <w:szCs w:val="16"/>
              </w:rPr>
              <w:t xml:space="preserve"> </w:t>
            </w:r>
            <w:r w:rsidRPr="001D2E83">
              <w:rPr>
                <w:rFonts w:cs="Arial"/>
                <w:sz w:val="16"/>
                <w:szCs w:val="16"/>
              </w:rPr>
              <w:t>implemented in</w:t>
            </w:r>
            <w:r w:rsidR="00D16EC9">
              <w:rPr>
                <w:rFonts w:cs="Arial"/>
                <w:sz w:val="16"/>
                <w:szCs w:val="16"/>
              </w:rPr>
              <w:t xml:space="preserve"> </w:t>
            </w:r>
            <w:r w:rsidRPr="001D2E83">
              <w:rPr>
                <w:rFonts w:cs="Arial"/>
                <w:sz w:val="16"/>
                <w:szCs w:val="16"/>
              </w:rPr>
              <w:t>accordance with the decision of Member States</w:t>
            </w:r>
          </w:p>
        </w:tc>
        <w:tc>
          <w:tcPr>
            <w:tcW w:w="1609" w:type="pct"/>
            <w:tcBorders>
              <w:bottom w:val="single" w:sz="4" w:space="0" w:color="auto"/>
            </w:tcBorders>
            <w:shd w:val="clear" w:color="auto" w:fill="FFFFFF"/>
            <w:tcMar>
              <w:top w:w="110" w:type="dxa"/>
            </w:tcMar>
          </w:tcPr>
          <w:p w:rsidR="008B3E53" w:rsidRPr="001D2E83" w:rsidRDefault="008B3E53" w:rsidP="008B3E53">
            <w:pPr>
              <w:rPr>
                <w:rFonts w:cs="Arial"/>
                <w:sz w:val="16"/>
                <w:szCs w:val="16"/>
              </w:rPr>
            </w:pPr>
            <w:r w:rsidRPr="001D2E83">
              <w:rPr>
                <w:rFonts w:cs="Arial"/>
                <w:sz w:val="16"/>
                <w:szCs w:val="16"/>
              </w:rPr>
              <w:t>Two A</w:t>
            </w:r>
            <w:r w:rsidRPr="001D2E83">
              <w:rPr>
                <w:rFonts w:cs="Arial"/>
                <w:sz w:val="16"/>
                <w:szCs w:val="16"/>
                <w:lang w:bidi="th-TH"/>
              </w:rPr>
              <w:t>nnual reports to the Assemblies on the description of the contribution of WIPO Bodies to the implementation of the respective Development Agenda Recommendations discussed by the CDIP (</w:t>
            </w:r>
            <w:r w:rsidRPr="001D2E83">
              <w:rPr>
                <w:rFonts w:cs="Arial"/>
                <w:sz w:val="16"/>
                <w:szCs w:val="16"/>
              </w:rPr>
              <w:t>WO/GA/41/12 and WO/GA/43/10)</w:t>
            </w:r>
            <w:r w:rsidR="00D16EC9">
              <w:rPr>
                <w:rFonts w:cs="Arial"/>
                <w:sz w:val="16"/>
                <w:szCs w:val="16"/>
              </w:rPr>
              <w:t>.</w:t>
            </w:r>
            <w:r w:rsidRPr="001D2E83">
              <w:rPr>
                <w:rStyle w:val="FootnoteReference"/>
                <w:rFonts w:cs="Arial"/>
                <w:sz w:val="16"/>
                <w:szCs w:val="16"/>
                <w:lang w:bidi="th-TH"/>
              </w:rPr>
              <w:footnoteReference w:id="15"/>
            </w:r>
          </w:p>
        </w:tc>
        <w:tc>
          <w:tcPr>
            <w:tcW w:w="698" w:type="pct"/>
            <w:tcBorders>
              <w:bottom w:val="single" w:sz="4" w:space="0" w:color="auto"/>
            </w:tcBorders>
            <w:shd w:val="clear" w:color="auto" w:fill="auto"/>
            <w:tcMar>
              <w:top w:w="110" w:type="dxa"/>
            </w:tcMar>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5000" w:type="pct"/>
            <w:gridSpan w:val="5"/>
            <w:tcBorders>
              <w:top w:val="single" w:sz="4" w:space="0" w:color="auto"/>
              <w:bottom w:val="single" w:sz="4" w:space="0" w:color="auto"/>
            </w:tcBorders>
            <w:shd w:val="clear" w:color="auto" w:fill="CCFFFF"/>
            <w:vAlign w:val="center"/>
          </w:tcPr>
          <w:p w:rsidR="008B3E53" w:rsidRPr="001D2E83" w:rsidRDefault="008B3E53" w:rsidP="008B3E53">
            <w:pPr>
              <w:keepNext/>
              <w:keepLines/>
              <w:tabs>
                <w:tab w:val="left" w:pos="1452"/>
              </w:tabs>
              <w:spacing w:before="120" w:after="120"/>
              <w:ind w:left="1452" w:hanging="1452"/>
              <w:rPr>
                <w:rFonts w:cs="Arial"/>
                <w:b/>
                <w:bCs/>
                <w:sz w:val="16"/>
                <w:szCs w:val="16"/>
              </w:rPr>
            </w:pPr>
            <w:r w:rsidRPr="001D2E83">
              <w:rPr>
                <w:rFonts w:cs="Arial"/>
                <w:b/>
                <w:bCs/>
                <w:sz w:val="16"/>
                <w:szCs w:val="16"/>
              </w:rPr>
              <w:t>Expected Result:</w:t>
            </w:r>
            <w:r w:rsidRPr="001D2E83">
              <w:rPr>
                <w:rFonts w:cs="Arial"/>
                <w:b/>
                <w:bCs/>
                <w:sz w:val="16"/>
                <w:szCs w:val="16"/>
              </w:rPr>
              <w:tab/>
            </w:r>
            <w:r w:rsidRPr="001D2E83">
              <w:rPr>
                <w:rFonts w:cs="Arial"/>
                <w:sz w:val="16"/>
                <w:szCs w:val="16"/>
                <w:lang w:bidi="th-TH"/>
              </w:rPr>
              <w:t>Effective planning, implementation, monitoring, evaluation and reporting on the DA recommendations</w:t>
            </w:r>
          </w:p>
        </w:tc>
      </w:tr>
      <w:tr w:rsidR="008B3E53" w:rsidRPr="001D2E83" w:rsidTr="00CD26D6">
        <w:trPr>
          <w:cantSplit/>
        </w:trPr>
        <w:tc>
          <w:tcPr>
            <w:tcW w:w="870" w:type="pct"/>
            <w:tcBorders>
              <w:top w:val="single" w:sz="4" w:space="0" w:color="auto"/>
            </w:tcBorders>
            <w:shd w:val="clear" w:color="auto" w:fill="auto"/>
            <w:vAlign w:val="center"/>
          </w:tcPr>
          <w:p w:rsidR="008B3E53" w:rsidRPr="001D2E83" w:rsidRDefault="008B3E53" w:rsidP="008B3E53">
            <w:pPr>
              <w:spacing w:after="40"/>
              <w:rPr>
                <w:rFonts w:cs="Arial"/>
                <w:sz w:val="16"/>
                <w:szCs w:val="16"/>
              </w:rPr>
            </w:pPr>
            <w:r w:rsidRPr="001D2E83">
              <w:rPr>
                <w:rFonts w:cs="Arial"/>
                <w:b/>
                <w:bCs/>
                <w:sz w:val="16"/>
                <w:szCs w:val="16"/>
              </w:rPr>
              <w:t>Performance Indicators</w:t>
            </w:r>
          </w:p>
        </w:tc>
        <w:tc>
          <w:tcPr>
            <w:tcW w:w="911" w:type="pct"/>
            <w:tcBorders>
              <w:top w:val="single" w:sz="4" w:space="0" w:color="auto"/>
            </w:tcBorders>
            <w:shd w:val="clear" w:color="auto" w:fill="auto"/>
            <w:vAlign w:val="center"/>
          </w:tcPr>
          <w:p w:rsidR="008B3E53" w:rsidRPr="001D2E83" w:rsidRDefault="008B3E53" w:rsidP="008B3E53">
            <w:pPr>
              <w:spacing w:after="40"/>
              <w:rPr>
                <w:rFonts w:cs="Arial"/>
                <w:b/>
                <w:bCs/>
                <w:sz w:val="16"/>
                <w:szCs w:val="16"/>
              </w:rPr>
            </w:pPr>
            <w:r w:rsidRPr="001D2E83">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8B3E53" w:rsidRPr="001D2E83" w:rsidRDefault="008B3E53" w:rsidP="008B3E53">
            <w:pPr>
              <w:spacing w:after="40"/>
              <w:rPr>
                <w:rFonts w:cs="Arial"/>
                <w:b/>
                <w:sz w:val="16"/>
                <w:szCs w:val="16"/>
              </w:rPr>
            </w:pPr>
            <w:r w:rsidRPr="001D2E83">
              <w:rPr>
                <w:rFonts w:cs="Arial"/>
                <w:b/>
                <w:sz w:val="16"/>
                <w:szCs w:val="16"/>
              </w:rPr>
              <w:t>Target</w:t>
            </w:r>
            <w:r w:rsidR="00582788" w:rsidRPr="001D2E83">
              <w:rPr>
                <w:rFonts w:cs="Arial"/>
                <w:b/>
                <w:sz w:val="16"/>
                <w:szCs w:val="16"/>
              </w:rPr>
              <w:t>s</w:t>
            </w:r>
          </w:p>
        </w:tc>
        <w:tc>
          <w:tcPr>
            <w:tcW w:w="1609" w:type="pct"/>
            <w:tcBorders>
              <w:top w:val="single" w:sz="4" w:space="0" w:color="auto"/>
            </w:tcBorders>
            <w:shd w:val="clear" w:color="auto" w:fill="FFFFFF"/>
            <w:tcMar>
              <w:top w:w="110" w:type="dxa"/>
            </w:tcMar>
            <w:vAlign w:val="center"/>
          </w:tcPr>
          <w:p w:rsidR="008B3E53" w:rsidRPr="001D2E83" w:rsidRDefault="008B3E53" w:rsidP="008B3E53">
            <w:pPr>
              <w:spacing w:after="40"/>
              <w:rPr>
                <w:rFonts w:cs="Arial"/>
                <w:sz w:val="16"/>
                <w:szCs w:val="16"/>
              </w:rPr>
            </w:pPr>
            <w:r w:rsidRPr="001D2E83">
              <w:rPr>
                <w:rFonts w:cs="Arial"/>
                <w:b/>
                <w:bCs/>
                <w:sz w:val="16"/>
                <w:szCs w:val="16"/>
              </w:rPr>
              <w:t>Performance Data</w:t>
            </w:r>
          </w:p>
        </w:tc>
        <w:tc>
          <w:tcPr>
            <w:tcW w:w="698" w:type="pct"/>
            <w:tcBorders>
              <w:top w:val="single" w:sz="4" w:space="0" w:color="auto"/>
            </w:tcBorders>
            <w:shd w:val="clear" w:color="auto" w:fill="auto"/>
            <w:tcMar>
              <w:top w:w="110" w:type="dxa"/>
            </w:tcMar>
            <w:vAlign w:val="center"/>
          </w:tcPr>
          <w:p w:rsidR="008B3E53" w:rsidRPr="001D2E83" w:rsidRDefault="008B3E53" w:rsidP="008B3E53">
            <w:pPr>
              <w:keepNext/>
              <w:keepLines/>
              <w:spacing w:after="40"/>
              <w:jc w:val="center"/>
              <w:rPr>
                <w:rFonts w:cs="Arial"/>
                <w:b/>
                <w:bCs/>
                <w:sz w:val="16"/>
                <w:szCs w:val="16"/>
              </w:rPr>
            </w:pPr>
            <w:r w:rsidRPr="001D2E83">
              <w:rPr>
                <w:rFonts w:cs="Arial"/>
                <w:b/>
                <w:bCs/>
                <w:sz w:val="16"/>
                <w:szCs w:val="16"/>
              </w:rPr>
              <w:t>TLS</w:t>
            </w:r>
          </w:p>
        </w:tc>
      </w:tr>
      <w:tr w:rsidR="008B3E53" w:rsidRPr="001D2E83" w:rsidTr="00CD26D6">
        <w:trPr>
          <w:cantSplit/>
        </w:trPr>
        <w:tc>
          <w:tcPr>
            <w:tcW w:w="870" w:type="pct"/>
            <w:shd w:val="clear" w:color="auto" w:fill="FFFFFF"/>
          </w:tcPr>
          <w:p w:rsidR="008B3E53" w:rsidRPr="001D2E83" w:rsidRDefault="008B3E53" w:rsidP="008B3E53">
            <w:pPr>
              <w:rPr>
                <w:rFonts w:cs="Arial"/>
                <w:sz w:val="16"/>
                <w:szCs w:val="16"/>
                <w:lang w:bidi="th-TH"/>
              </w:rPr>
            </w:pPr>
            <w:r w:rsidRPr="001D2E83">
              <w:rPr>
                <w:rFonts w:cs="Arial"/>
                <w:sz w:val="16"/>
                <w:szCs w:val="16"/>
                <w:lang w:bidi="th-TH"/>
              </w:rPr>
              <w:t>No. of DA recommendations that have been addressed by the CDIP through projects, activities and studies</w:t>
            </w:r>
          </w:p>
        </w:tc>
        <w:tc>
          <w:tcPr>
            <w:tcW w:w="911" w:type="pct"/>
            <w:shd w:val="clear" w:color="auto" w:fill="auto"/>
          </w:tcPr>
          <w:p w:rsidR="008B3E53" w:rsidRPr="001D2E83" w:rsidRDefault="008B3E53" w:rsidP="008B3E53">
            <w:pPr>
              <w:rPr>
                <w:rFonts w:cs="Arial"/>
                <w:color w:val="002060"/>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 xml:space="preserve">42 recommendations </w:t>
            </w:r>
          </w:p>
          <w:p w:rsidR="008B3E53" w:rsidRPr="001D2E83" w:rsidRDefault="008B3E53" w:rsidP="008B3E53">
            <w:pPr>
              <w:rPr>
                <w:rFonts w:cs="Arial"/>
                <w:color w:val="002060"/>
                <w:sz w:val="16"/>
                <w:szCs w:val="16"/>
                <w:lang w:bidi="th-TH"/>
              </w:rPr>
            </w:pPr>
            <w:r w:rsidRPr="001D2E83">
              <w:rPr>
                <w:rFonts w:cs="Arial"/>
                <w:color w:val="002060"/>
                <w:sz w:val="16"/>
                <w:szCs w:val="16"/>
                <w:lang w:bidi="th-TH"/>
              </w:rPr>
              <w:t>(though not fully exhausted)</w:t>
            </w:r>
          </w:p>
          <w:p w:rsidR="008B3E53" w:rsidRPr="001D2E83" w:rsidRDefault="008B3E53" w:rsidP="008B3E53">
            <w:pPr>
              <w:rPr>
                <w:rFonts w:cs="Arial"/>
                <w:i/>
                <w:color w:val="002060"/>
                <w:sz w:val="16"/>
                <w:szCs w:val="16"/>
                <w:lang w:bidi="th-TH"/>
              </w:rPr>
            </w:pPr>
            <w:r w:rsidRPr="001D2E83">
              <w:rPr>
                <w:rFonts w:cs="Arial"/>
                <w:color w:val="002060"/>
                <w:sz w:val="16"/>
                <w:szCs w:val="16"/>
                <w:lang w:bidi="th-TH"/>
              </w:rPr>
              <w:t>(Dec 2011)</w:t>
            </w:r>
          </w:p>
          <w:p w:rsidR="008B3E53" w:rsidRPr="001D2E83" w:rsidRDefault="008B3E53" w:rsidP="008B3E53">
            <w:pPr>
              <w:rPr>
                <w:rFonts w:cs="Arial"/>
                <w:i/>
                <w:sz w:val="8"/>
                <w:szCs w:val="8"/>
                <w:lang w:bidi="th-TH"/>
              </w:rPr>
            </w:pPr>
          </w:p>
          <w:p w:rsidR="008B3E53" w:rsidRPr="001D2E83" w:rsidRDefault="008B3E53" w:rsidP="008B3E53">
            <w:pPr>
              <w:rPr>
                <w:rFonts w:cs="Arial"/>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rPr>
            </w:pPr>
            <w:r w:rsidRPr="001D2E83">
              <w:rPr>
                <w:rFonts w:cs="Arial"/>
                <w:i/>
                <w:sz w:val="16"/>
                <w:szCs w:val="16"/>
              </w:rPr>
              <w:t>P&amp;B 2012/13:</w:t>
            </w:r>
          </w:p>
          <w:p w:rsidR="008B3E53" w:rsidRPr="001D2E83" w:rsidRDefault="008B3E53" w:rsidP="008B3E53">
            <w:pPr>
              <w:rPr>
                <w:rFonts w:cs="Arial"/>
                <w:sz w:val="16"/>
                <w:szCs w:val="16"/>
                <w:lang w:bidi="th-TH"/>
              </w:rPr>
            </w:pPr>
            <w:r w:rsidRPr="001D2E83">
              <w:rPr>
                <w:rFonts w:cs="Arial"/>
                <w:sz w:val="16"/>
                <w:szCs w:val="16"/>
                <w:lang w:bidi="th-TH"/>
              </w:rPr>
              <w:t xml:space="preserve">42 recommendations </w:t>
            </w:r>
          </w:p>
          <w:p w:rsidR="008B3E53" w:rsidRPr="001D2E83" w:rsidRDefault="008B3E53" w:rsidP="008B3E53">
            <w:pPr>
              <w:rPr>
                <w:rFonts w:cs="Arial"/>
                <w:sz w:val="16"/>
                <w:szCs w:val="16"/>
                <w:lang w:bidi="th-TH"/>
              </w:rPr>
            </w:pPr>
            <w:r w:rsidRPr="001D2E83">
              <w:rPr>
                <w:rFonts w:cs="Arial"/>
                <w:sz w:val="16"/>
                <w:szCs w:val="16"/>
                <w:lang w:bidi="th-TH"/>
              </w:rPr>
              <w:t>(though not fully exhausted)</w:t>
            </w:r>
          </w:p>
          <w:p w:rsidR="008B3E53" w:rsidRPr="001D2E83" w:rsidRDefault="008B3E53" w:rsidP="008B3E53">
            <w:pPr>
              <w:rPr>
                <w:rFonts w:cs="Arial"/>
                <w:sz w:val="16"/>
                <w:szCs w:val="16"/>
                <w:lang w:bidi="th-TH"/>
              </w:rPr>
            </w:pPr>
            <w:r w:rsidRPr="001D2E83">
              <w:rPr>
                <w:rFonts w:cs="Arial"/>
                <w:sz w:val="16"/>
                <w:szCs w:val="16"/>
                <w:lang w:bidi="th-TH"/>
              </w:rPr>
              <w:t>(Dec 2010)</w:t>
            </w: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rPr>
              <w:t>45 recommendations</w:t>
            </w:r>
            <w:r w:rsidRPr="001D2E83" w:rsidDel="00494CC7">
              <w:rPr>
                <w:rFonts w:cs="Arial"/>
                <w:sz w:val="16"/>
                <w:szCs w:val="16"/>
                <w:lang w:bidi="th-TH"/>
              </w:rPr>
              <w:t xml:space="preserve"> </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45 DA recommendations</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No. of projects approved by the CDIP</w:t>
            </w:r>
          </w:p>
        </w:tc>
        <w:tc>
          <w:tcPr>
            <w:tcW w:w="911" w:type="pct"/>
            <w:shd w:val="clear" w:color="auto" w:fill="auto"/>
          </w:tcPr>
          <w:p w:rsidR="008B3E53" w:rsidRPr="001D2E83" w:rsidRDefault="008B3E53" w:rsidP="008B3E53">
            <w:pPr>
              <w:rPr>
                <w:rFonts w:cs="Arial"/>
                <w:color w:val="002060"/>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23 projects (end 2011)</w:t>
            </w:r>
          </w:p>
          <w:p w:rsidR="008B3E53" w:rsidRPr="001D2E83" w:rsidRDefault="008B3E53" w:rsidP="008B3E53">
            <w:pPr>
              <w:rPr>
                <w:rFonts w:cs="Arial"/>
                <w:i/>
                <w:sz w:val="8"/>
                <w:szCs w:val="8"/>
                <w:lang w:bidi="th-TH"/>
              </w:rPr>
            </w:pPr>
          </w:p>
          <w:p w:rsidR="008B3E53" w:rsidRPr="001D2E83" w:rsidRDefault="008B3E53" w:rsidP="008B3E53">
            <w:pPr>
              <w:rPr>
                <w:rFonts w:cs="Arial"/>
                <w:i/>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lang w:bidi="th-TH"/>
              </w:rPr>
            </w:pPr>
            <w:r w:rsidRPr="001D2E83">
              <w:rPr>
                <w:rFonts w:cs="Arial"/>
                <w:i/>
                <w:sz w:val="16"/>
                <w:szCs w:val="16"/>
                <w:lang w:bidi="th-TH"/>
              </w:rPr>
              <w:t>P&amp;B 2012/13:</w:t>
            </w:r>
          </w:p>
          <w:p w:rsidR="008B3E53" w:rsidRPr="001D2E83" w:rsidRDefault="008B3E53" w:rsidP="008B3E53">
            <w:pPr>
              <w:rPr>
                <w:rFonts w:cs="Arial"/>
                <w:sz w:val="16"/>
                <w:szCs w:val="16"/>
                <w:lang w:bidi="th-TH"/>
              </w:rPr>
            </w:pPr>
            <w:r w:rsidRPr="001D2E83">
              <w:rPr>
                <w:rFonts w:cs="Arial"/>
                <w:sz w:val="16"/>
                <w:szCs w:val="16"/>
                <w:lang w:bidi="th-TH"/>
              </w:rPr>
              <w:t>19 projects (end 2010)</w:t>
            </w: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lang w:bidi="th-TH"/>
              </w:rPr>
              <w:t>n/a</w:t>
            </w:r>
          </w:p>
        </w:tc>
        <w:tc>
          <w:tcPr>
            <w:tcW w:w="1609" w:type="pct"/>
            <w:shd w:val="clear" w:color="auto" w:fill="FFFFFF"/>
            <w:tcMar>
              <w:top w:w="110" w:type="dxa"/>
            </w:tcMar>
          </w:tcPr>
          <w:p w:rsidR="008B3E53" w:rsidRPr="001D2E83" w:rsidRDefault="008B3E53" w:rsidP="00D16EC9">
            <w:pPr>
              <w:rPr>
                <w:rFonts w:cs="Arial"/>
                <w:sz w:val="16"/>
                <w:szCs w:val="16"/>
                <w:lang w:bidi="th-TH"/>
              </w:rPr>
            </w:pPr>
            <w:r w:rsidRPr="001D2E83">
              <w:rPr>
                <w:rFonts w:cs="Arial"/>
                <w:sz w:val="16"/>
                <w:szCs w:val="16"/>
                <w:lang w:bidi="th-TH"/>
              </w:rPr>
              <w:t>6 additional projects (cumulative 29</w:t>
            </w:r>
            <w:r w:rsidR="00D16EC9">
              <w:rPr>
                <w:rFonts w:cs="Arial"/>
                <w:sz w:val="16"/>
                <w:szCs w:val="16"/>
                <w:lang w:bidi="th-TH"/>
              </w:rPr>
              <w:t> </w:t>
            </w:r>
            <w:r w:rsidRPr="001D2E83">
              <w:rPr>
                <w:rFonts w:cs="Arial"/>
                <w:sz w:val="16"/>
                <w:szCs w:val="16"/>
                <w:lang w:bidi="th-TH"/>
              </w:rPr>
              <w:t>projects, implementing 33 DA Recommendations approved by the CDIP)</w:t>
            </w:r>
            <w:r w:rsidR="00D16EC9">
              <w:rPr>
                <w:rFonts w:cs="Arial"/>
                <w:sz w:val="16"/>
                <w:szCs w:val="16"/>
                <w:lang w:bidi="th-TH"/>
              </w:rPr>
              <w:t>.</w:t>
            </w:r>
          </w:p>
        </w:tc>
        <w:tc>
          <w:tcPr>
            <w:tcW w:w="698" w:type="pct"/>
            <w:shd w:val="clear" w:color="auto" w:fill="auto"/>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No. of projects proposed, by Member States, that are tabled for consideration by the CDIP</w:t>
            </w:r>
          </w:p>
        </w:tc>
        <w:tc>
          <w:tcPr>
            <w:tcW w:w="911" w:type="pct"/>
            <w:shd w:val="clear" w:color="auto" w:fill="auto"/>
          </w:tcPr>
          <w:p w:rsidR="008B3E53" w:rsidRPr="001D2E83" w:rsidRDefault="008B3E53" w:rsidP="008B3E53">
            <w:pPr>
              <w:rPr>
                <w:rFonts w:cs="Arial"/>
                <w:color w:val="002060"/>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1 project (end 2011)</w:t>
            </w:r>
          </w:p>
          <w:p w:rsidR="008B3E53" w:rsidRPr="001D2E83" w:rsidRDefault="008B3E53" w:rsidP="008B3E53">
            <w:pPr>
              <w:rPr>
                <w:rFonts w:cs="Arial"/>
                <w:i/>
                <w:sz w:val="8"/>
                <w:szCs w:val="8"/>
                <w:lang w:bidi="th-TH"/>
              </w:rPr>
            </w:pPr>
          </w:p>
          <w:p w:rsidR="008B3E53" w:rsidRPr="001D2E83" w:rsidRDefault="008B3E53" w:rsidP="008B3E53">
            <w:pPr>
              <w:rPr>
                <w:rFonts w:cs="Arial"/>
                <w:i/>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lang w:bidi="th-TH"/>
              </w:rPr>
            </w:pPr>
            <w:r w:rsidRPr="001D2E83">
              <w:rPr>
                <w:rFonts w:cs="Arial"/>
                <w:i/>
                <w:sz w:val="16"/>
                <w:szCs w:val="16"/>
                <w:lang w:bidi="th-TH"/>
              </w:rPr>
              <w:t>P&amp;B 2012/13:</w:t>
            </w:r>
          </w:p>
          <w:p w:rsidR="001D2E83" w:rsidRPr="001D2E83" w:rsidRDefault="001D2E83" w:rsidP="008B3E53">
            <w:pPr>
              <w:rPr>
                <w:rFonts w:cs="Arial"/>
                <w:sz w:val="16"/>
                <w:szCs w:val="16"/>
                <w:lang w:bidi="th-TH"/>
              </w:rPr>
            </w:pPr>
            <w:r w:rsidRPr="001D2E83">
              <w:rPr>
                <w:rFonts w:cs="Arial"/>
                <w:sz w:val="16"/>
                <w:szCs w:val="16"/>
                <w:lang w:bidi="th-TH"/>
              </w:rPr>
              <w:t>T</w:t>
            </w:r>
            <w:r w:rsidR="008B3E53" w:rsidRPr="001D2E83">
              <w:rPr>
                <w:rFonts w:cs="Arial"/>
                <w:sz w:val="16"/>
                <w:szCs w:val="16"/>
                <w:lang w:bidi="th-TH"/>
              </w:rPr>
              <w:t>bd</w:t>
            </w: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lang w:bidi="th-TH"/>
              </w:rPr>
              <w:t>At least one</w:t>
            </w:r>
          </w:p>
          <w:p w:rsidR="008B3E53" w:rsidRPr="001D2E83" w:rsidRDefault="008B3E53" w:rsidP="008B3E53">
            <w:pPr>
              <w:rPr>
                <w:rFonts w:cs="Arial"/>
                <w:sz w:val="16"/>
                <w:szCs w:val="16"/>
                <w:lang w:bidi="th-TH"/>
              </w:rPr>
            </w:pPr>
            <w:r w:rsidRPr="001D2E83">
              <w:rPr>
                <w:rFonts w:cs="Arial"/>
                <w:sz w:val="16"/>
                <w:szCs w:val="16"/>
                <w:lang w:bidi="th-TH"/>
              </w:rPr>
              <w:t>project/region</w:t>
            </w:r>
          </w:p>
          <w:p w:rsidR="008B3E53" w:rsidRPr="001D2E83" w:rsidRDefault="008B3E53" w:rsidP="008B3E53">
            <w:pPr>
              <w:rPr>
                <w:rFonts w:cs="Arial"/>
                <w:sz w:val="16"/>
                <w:szCs w:val="16"/>
                <w:lang w:bidi="th-TH"/>
              </w:rPr>
            </w:pPr>
            <w:r w:rsidRPr="001D2E83">
              <w:rPr>
                <w:rFonts w:cs="Arial"/>
                <w:sz w:val="16"/>
                <w:szCs w:val="16"/>
                <w:lang w:bidi="th-TH"/>
              </w:rPr>
              <w:t>(in 2012/13)</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2 projects proposed by Burkina Faso and the Republic of Korea</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spacing w:after="120"/>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lastRenderedPageBreak/>
              <w:t>% of projects which are monitored on a systematic basis</w:t>
            </w:r>
          </w:p>
        </w:tc>
        <w:tc>
          <w:tcPr>
            <w:tcW w:w="911" w:type="pct"/>
            <w:shd w:val="clear" w:color="auto" w:fill="auto"/>
          </w:tcPr>
          <w:p w:rsidR="008B3E53" w:rsidRPr="001D2E83" w:rsidRDefault="008B3E53" w:rsidP="008B3E53">
            <w:pPr>
              <w:rPr>
                <w:rFonts w:cs="Arial"/>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001D2E83">
              <w:rPr>
                <w:rFonts w:cs="Arial"/>
                <w:sz w:val="16"/>
                <w:szCs w:val="16"/>
                <w:lang w:bidi="th-TH"/>
              </w:rPr>
              <w:t xml:space="preserve">100% (23 </w:t>
            </w:r>
            <w:r w:rsidRPr="001D2E83">
              <w:rPr>
                <w:rFonts w:cs="Arial"/>
                <w:sz w:val="16"/>
                <w:szCs w:val="16"/>
                <w:lang w:bidi="th-TH"/>
              </w:rPr>
              <w:t xml:space="preserve">projects) </w:t>
            </w:r>
          </w:p>
          <w:p w:rsidR="008B3E53" w:rsidRPr="001D2E83" w:rsidRDefault="008B3E53" w:rsidP="008B3E53">
            <w:pPr>
              <w:rPr>
                <w:rFonts w:cs="Arial"/>
                <w:i/>
                <w:sz w:val="8"/>
                <w:szCs w:val="8"/>
                <w:lang w:bidi="th-TH"/>
              </w:rPr>
            </w:pPr>
          </w:p>
          <w:p w:rsidR="008B3E53" w:rsidRPr="001D2E83" w:rsidRDefault="008B3E53" w:rsidP="008B3E53">
            <w:pPr>
              <w:rPr>
                <w:rFonts w:cs="Arial"/>
                <w:i/>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lang w:bidi="th-TH"/>
              </w:rPr>
            </w:pPr>
            <w:r w:rsidRPr="001D2E83">
              <w:rPr>
                <w:rFonts w:cs="Arial"/>
                <w:i/>
                <w:sz w:val="16"/>
                <w:szCs w:val="16"/>
                <w:lang w:bidi="th-TH"/>
              </w:rPr>
              <w:t>P&amp;B 2012/13:</w:t>
            </w:r>
          </w:p>
          <w:p w:rsidR="008B3E53" w:rsidRPr="001D2E83" w:rsidRDefault="008B3E53" w:rsidP="008B3E53">
            <w:pPr>
              <w:rPr>
                <w:rFonts w:cs="Arial"/>
                <w:sz w:val="16"/>
                <w:szCs w:val="16"/>
                <w:lang w:bidi="th-TH"/>
              </w:rPr>
            </w:pPr>
            <w:r w:rsidRPr="001D2E83">
              <w:rPr>
                <w:rFonts w:cs="Arial"/>
                <w:i/>
                <w:sz w:val="16"/>
                <w:szCs w:val="16"/>
                <w:lang w:bidi="th-TH"/>
              </w:rPr>
              <w:t>Baseline</w:t>
            </w:r>
            <w:r w:rsidRPr="001D2E83">
              <w:rPr>
                <w:rFonts w:cs="Arial"/>
                <w:sz w:val="16"/>
                <w:szCs w:val="16"/>
                <w:lang w:bidi="th-TH"/>
              </w:rPr>
              <w:t>:</w:t>
            </w:r>
          </w:p>
          <w:p w:rsidR="008B3E53" w:rsidRDefault="008B3E53" w:rsidP="008B3E53">
            <w:pPr>
              <w:rPr>
                <w:rFonts w:cs="Arial"/>
                <w:sz w:val="16"/>
                <w:szCs w:val="16"/>
                <w:lang w:bidi="th-TH"/>
              </w:rPr>
            </w:pPr>
            <w:r w:rsidRPr="001D2E83">
              <w:rPr>
                <w:rFonts w:cs="Arial"/>
                <w:sz w:val="16"/>
                <w:szCs w:val="16"/>
                <w:lang w:bidi="th-TH"/>
              </w:rPr>
              <w:t xml:space="preserve">100% (17 projects) </w:t>
            </w:r>
          </w:p>
          <w:p w:rsidR="00D16EC9" w:rsidRPr="001D2E83" w:rsidRDefault="00D16EC9" w:rsidP="008B3E53">
            <w:pPr>
              <w:rPr>
                <w:rFonts w:cs="Arial"/>
                <w:sz w:val="16"/>
                <w:szCs w:val="16"/>
                <w:lang w:bidi="th-TH"/>
              </w:rPr>
            </w:pP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rPr>
              <w:t>100%</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100% of the 29 projects are monitored. Progress reports prepared and submitted to the CDIP</w:t>
            </w:r>
            <w:r w:rsidR="00D16EC9">
              <w:rPr>
                <w:rFonts w:cs="Arial"/>
                <w:sz w:val="16"/>
                <w:szCs w:val="16"/>
                <w:lang w:bidi="th-TH"/>
              </w:rPr>
              <w:t>.</w:t>
            </w:r>
          </w:p>
        </w:tc>
        <w:tc>
          <w:tcPr>
            <w:tcW w:w="698" w:type="pct"/>
            <w:shd w:val="clear" w:color="auto" w:fill="auto"/>
          </w:tcPr>
          <w:p w:rsidR="008B3E53" w:rsidRPr="001D2E83" w:rsidRDefault="008B3E53" w:rsidP="008B3E53">
            <w:pPr>
              <w:keepNext/>
              <w:keepLines/>
              <w:jc w:val="center"/>
              <w:rPr>
                <w:rFonts w:cs="Arial"/>
                <w:bCs/>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 of projects which have been evaluated during the biennium</w:t>
            </w:r>
          </w:p>
        </w:tc>
        <w:tc>
          <w:tcPr>
            <w:tcW w:w="911" w:type="pct"/>
            <w:shd w:val="clear" w:color="auto" w:fill="auto"/>
          </w:tcPr>
          <w:p w:rsidR="008B3E53" w:rsidRPr="001D2E83" w:rsidRDefault="008B3E53" w:rsidP="008B3E53">
            <w:pPr>
              <w:rPr>
                <w:rFonts w:cs="Arial"/>
                <w:i/>
                <w:color w:val="002060"/>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100% (12 projects)</w:t>
            </w:r>
          </w:p>
          <w:p w:rsidR="008B3E53" w:rsidRPr="001D2E83" w:rsidRDefault="008B3E53" w:rsidP="008B3E53">
            <w:pPr>
              <w:rPr>
                <w:rFonts w:cs="Arial"/>
                <w:i/>
                <w:sz w:val="8"/>
                <w:szCs w:val="8"/>
                <w:lang w:bidi="th-TH"/>
              </w:rPr>
            </w:pPr>
          </w:p>
          <w:p w:rsidR="008B3E53" w:rsidRPr="001D2E83" w:rsidRDefault="008B3E53" w:rsidP="008B3E53">
            <w:pPr>
              <w:rPr>
                <w:rFonts w:cs="Arial"/>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rPr>
            </w:pPr>
            <w:r w:rsidRPr="001D2E83">
              <w:rPr>
                <w:rFonts w:cs="Arial"/>
                <w:i/>
                <w:sz w:val="16"/>
                <w:szCs w:val="16"/>
              </w:rPr>
              <w:t>P&amp;B 2012/13:</w:t>
            </w:r>
          </w:p>
          <w:p w:rsidR="008B3E53" w:rsidRPr="001D2E83" w:rsidRDefault="008B3E53" w:rsidP="008B3E53">
            <w:pPr>
              <w:rPr>
                <w:rFonts w:cs="Arial"/>
                <w:sz w:val="16"/>
                <w:szCs w:val="16"/>
                <w:lang w:bidi="th-TH"/>
              </w:rPr>
            </w:pPr>
            <w:r w:rsidRPr="001D2E83">
              <w:rPr>
                <w:rFonts w:cs="Arial"/>
                <w:sz w:val="16"/>
                <w:szCs w:val="16"/>
                <w:lang w:bidi="th-TH"/>
              </w:rPr>
              <w:t>100% (14 projects)</w:t>
            </w: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lang w:bidi="th-TH"/>
              </w:rPr>
              <w:t>100%</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100%</w:t>
            </w:r>
            <w:proofErr w:type="gramStart"/>
            <w:r w:rsidRPr="001D2E83">
              <w:rPr>
                <w:rFonts w:cs="Arial"/>
                <w:sz w:val="16"/>
                <w:szCs w:val="16"/>
                <w:lang w:bidi="th-TH"/>
              </w:rPr>
              <w:t xml:space="preserve">; </w:t>
            </w:r>
            <w:r w:rsidR="00D16EC9">
              <w:rPr>
                <w:rFonts w:cs="Arial"/>
                <w:sz w:val="16"/>
                <w:szCs w:val="16"/>
                <w:lang w:bidi="th-TH"/>
              </w:rPr>
              <w:t xml:space="preserve"> </w:t>
            </w:r>
            <w:r w:rsidRPr="001D2E83">
              <w:rPr>
                <w:rFonts w:cs="Arial"/>
                <w:sz w:val="16"/>
                <w:szCs w:val="16"/>
                <w:lang w:bidi="th-TH"/>
              </w:rPr>
              <w:t>14</w:t>
            </w:r>
            <w:proofErr w:type="gramEnd"/>
            <w:r w:rsidRPr="001D2E83">
              <w:rPr>
                <w:rFonts w:cs="Arial"/>
                <w:sz w:val="16"/>
                <w:szCs w:val="16"/>
                <w:lang w:bidi="th-TH"/>
              </w:rPr>
              <w:t xml:space="preserve"> evaluation reports discussed by the CDIP</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spacing w:after="120"/>
              <w:jc w:val="center"/>
              <w:rPr>
                <w:rFonts w:cs="Arial"/>
                <w:bCs/>
                <w:color w:val="008000"/>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870" w:type="pct"/>
            <w:shd w:val="clear" w:color="auto" w:fill="auto"/>
          </w:tcPr>
          <w:p w:rsidR="008B3E53" w:rsidRPr="001D2E83" w:rsidRDefault="008B3E53" w:rsidP="008B3E53">
            <w:pPr>
              <w:rPr>
                <w:rFonts w:cs="Arial"/>
                <w:sz w:val="16"/>
                <w:szCs w:val="16"/>
                <w:lang w:bidi="th-TH"/>
              </w:rPr>
            </w:pPr>
            <w:r w:rsidRPr="001D2E83">
              <w:rPr>
                <w:rFonts w:cs="Arial"/>
                <w:sz w:val="16"/>
                <w:szCs w:val="16"/>
                <w:lang w:bidi="th-TH"/>
              </w:rPr>
              <w:t>Feedback on the quality of the reports presented to the CDIP on the implementation of the DA recommendations</w:t>
            </w:r>
          </w:p>
        </w:tc>
        <w:tc>
          <w:tcPr>
            <w:tcW w:w="911" w:type="pct"/>
            <w:shd w:val="clear" w:color="auto" w:fill="auto"/>
          </w:tcPr>
          <w:p w:rsidR="008B3E53" w:rsidRPr="001D2E83" w:rsidRDefault="008B3E53" w:rsidP="008B3E53">
            <w:pPr>
              <w:rPr>
                <w:rFonts w:cs="Arial"/>
                <w:i/>
                <w:color w:val="002060"/>
                <w:sz w:val="16"/>
                <w:szCs w:val="16"/>
                <w:lang w:bidi="th-TH"/>
              </w:rPr>
            </w:pPr>
            <w:r w:rsidRPr="001D2E83">
              <w:rPr>
                <w:rFonts w:cs="Arial"/>
                <w:i/>
                <w:color w:val="002060"/>
                <w:sz w:val="16"/>
                <w:szCs w:val="16"/>
              </w:rPr>
              <w:t>Updated Baseline end 2011</w:t>
            </w:r>
            <w:proofErr w:type="gramStart"/>
            <w:r w:rsidRPr="001D2E83">
              <w:rPr>
                <w:rFonts w:cs="Arial"/>
                <w:i/>
                <w:color w:val="002060"/>
                <w:sz w:val="16"/>
                <w:szCs w:val="16"/>
              </w:rPr>
              <w:t>:</w:t>
            </w:r>
            <w:proofErr w:type="gramEnd"/>
            <w:r w:rsidRPr="001D2E83">
              <w:rPr>
                <w:rFonts w:cs="Arial"/>
                <w:color w:val="002060"/>
                <w:sz w:val="16"/>
                <w:szCs w:val="16"/>
              </w:rPr>
              <w:br/>
            </w:r>
            <w:r w:rsidRPr="001D2E83">
              <w:rPr>
                <w:rFonts w:cs="Arial"/>
                <w:color w:val="002060"/>
                <w:sz w:val="16"/>
                <w:szCs w:val="16"/>
                <w:lang w:bidi="th-TH"/>
              </w:rPr>
              <w:t>Positive feedback received from the CDIP.  Specific request for more analytical information in the reports</w:t>
            </w:r>
          </w:p>
          <w:p w:rsidR="008B3E53" w:rsidRPr="001D2E83" w:rsidRDefault="008B3E53" w:rsidP="008B3E53">
            <w:pPr>
              <w:rPr>
                <w:rFonts w:cs="Arial"/>
                <w:i/>
                <w:sz w:val="8"/>
                <w:szCs w:val="8"/>
                <w:lang w:bidi="th-TH"/>
              </w:rPr>
            </w:pPr>
          </w:p>
          <w:p w:rsidR="008B3E53" w:rsidRPr="001D2E83" w:rsidRDefault="008B3E53" w:rsidP="008B3E53">
            <w:pPr>
              <w:rPr>
                <w:rFonts w:cs="Arial"/>
                <w:sz w:val="16"/>
                <w:szCs w:val="16"/>
                <w:lang w:bidi="th-TH"/>
              </w:rPr>
            </w:pPr>
            <w:r w:rsidRPr="001D2E83">
              <w:rPr>
                <w:rFonts w:cs="Arial"/>
                <w:i/>
                <w:sz w:val="16"/>
                <w:szCs w:val="16"/>
                <w:lang w:bidi="th-TH"/>
              </w:rPr>
              <w:t>Original Baseline</w:t>
            </w:r>
          </w:p>
          <w:p w:rsidR="008B3E53" w:rsidRPr="001D2E83" w:rsidRDefault="008B3E53" w:rsidP="008B3E53">
            <w:pPr>
              <w:rPr>
                <w:rFonts w:cs="Arial"/>
                <w:sz w:val="16"/>
                <w:szCs w:val="16"/>
              </w:rPr>
            </w:pPr>
            <w:r w:rsidRPr="001D2E83">
              <w:rPr>
                <w:rFonts w:cs="Arial"/>
                <w:i/>
                <w:sz w:val="16"/>
                <w:szCs w:val="16"/>
              </w:rPr>
              <w:t>P&amp;B 2012/13:</w:t>
            </w:r>
          </w:p>
          <w:p w:rsidR="008B3E53" w:rsidRPr="001D2E83" w:rsidRDefault="008B3E53" w:rsidP="008B3E53">
            <w:pPr>
              <w:rPr>
                <w:rFonts w:cs="Arial"/>
                <w:sz w:val="16"/>
                <w:szCs w:val="16"/>
                <w:lang w:bidi="th-TH"/>
              </w:rPr>
            </w:pPr>
            <w:r w:rsidRPr="001D2E83">
              <w:rPr>
                <w:rFonts w:cs="Arial"/>
                <w:sz w:val="16"/>
                <w:szCs w:val="16"/>
                <w:lang w:bidi="th-TH"/>
              </w:rPr>
              <w:t>Not available</w:t>
            </w:r>
          </w:p>
          <w:p w:rsidR="008B3E53" w:rsidRPr="001D2E83" w:rsidRDefault="008B3E53" w:rsidP="008B3E53">
            <w:pPr>
              <w:autoSpaceDE w:val="0"/>
              <w:autoSpaceDN w:val="0"/>
              <w:adjustRightInd w:val="0"/>
              <w:rPr>
                <w:rFonts w:cs="Arial"/>
                <w:sz w:val="16"/>
                <w:szCs w:val="16"/>
              </w:rPr>
            </w:pPr>
          </w:p>
        </w:tc>
        <w:tc>
          <w:tcPr>
            <w:tcW w:w="911" w:type="pct"/>
            <w:shd w:val="clear" w:color="auto" w:fill="auto"/>
            <w:tcMar>
              <w:top w:w="110" w:type="dxa"/>
            </w:tcMar>
          </w:tcPr>
          <w:p w:rsidR="008B3E53" w:rsidRPr="001D2E83" w:rsidRDefault="008B3E53" w:rsidP="008B3E53">
            <w:pPr>
              <w:rPr>
                <w:rFonts w:cs="Arial"/>
                <w:sz w:val="16"/>
                <w:szCs w:val="16"/>
                <w:lang w:bidi="th-TH"/>
              </w:rPr>
            </w:pPr>
            <w:r w:rsidRPr="001D2E83">
              <w:rPr>
                <w:rFonts w:cs="Arial"/>
                <w:sz w:val="16"/>
                <w:szCs w:val="16"/>
              </w:rPr>
              <w:t>Positive feedback from the CDIP</w:t>
            </w:r>
            <w:r w:rsidRPr="001D2E83" w:rsidDel="0090793A">
              <w:rPr>
                <w:rFonts w:cs="Arial"/>
                <w:sz w:val="16"/>
                <w:szCs w:val="16"/>
                <w:lang w:bidi="th-TH"/>
              </w:rPr>
              <w:t xml:space="preserve"> </w:t>
            </w:r>
          </w:p>
        </w:tc>
        <w:tc>
          <w:tcPr>
            <w:tcW w:w="1609" w:type="pct"/>
            <w:shd w:val="clear" w:color="auto" w:fill="FFFFFF"/>
            <w:tcMar>
              <w:top w:w="110" w:type="dxa"/>
            </w:tcMar>
          </w:tcPr>
          <w:p w:rsidR="008B3E53" w:rsidRPr="001D2E83" w:rsidRDefault="008B3E53" w:rsidP="008B3E53">
            <w:pPr>
              <w:rPr>
                <w:rFonts w:cs="Arial"/>
                <w:sz w:val="16"/>
                <w:szCs w:val="16"/>
              </w:rPr>
            </w:pPr>
            <w:r w:rsidRPr="001D2E83">
              <w:rPr>
                <w:rFonts w:cs="Arial"/>
                <w:sz w:val="16"/>
                <w:szCs w:val="16"/>
                <w:lang w:bidi="th-TH"/>
              </w:rPr>
              <w:t>Positive feedback received from the CDIP.  Specific requests continued to be made for more analytical information in the reports</w:t>
            </w:r>
            <w:r w:rsidR="00D16EC9">
              <w:rPr>
                <w:rFonts w:cs="Arial"/>
                <w:sz w:val="16"/>
                <w:szCs w:val="16"/>
                <w:lang w:bidi="th-TH"/>
              </w:rPr>
              <w:t>.</w:t>
            </w:r>
            <w:r w:rsidRPr="001D2E83" w:rsidDel="005E6EDD">
              <w:rPr>
                <w:rFonts w:cs="Arial"/>
                <w:sz w:val="16"/>
                <w:szCs w:val="16"/>
                <w:lang w:bidi="th-TH"/>
              </w:rPr>
              <w:t xml:space="preserve"> </w:t>
            </w:r>
          </w:p>
        </w:tc>
        <w:tc>
          <w:tcPr>
            <w:tcW w:w="698" w:type="pct"/>
            <w:shd w:val="clear" w:color="auto" w:fill="auto"/>
          </w:tcPr>
          <w:p w:rsidR="008B3E53" w:rsidRPr="001D2E83" w:rsidRDefault="008B3E53" w:rsidP="008B3E53">
            <w:pPr>
              <w:keepNext/>
              <w:keepLines/>
              <w:jc w:val="center"/>
              <w:rPr>
                <w:rFonts w:cs="Arial"/>
                <w:bCs/>
                <w:color w:val="333333"/>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r w:rsidR="008B3E53" w:rsidRPr="001D2E83" w:rsidTr="00CD26D6">
        <w:trPr>
          <w:cantSplit/>
        </w:trPr>
        <w:tc>
          <w:tcPr>
            <w:tcW w:w="5000" w:type="pct"/>
            <w:gridSpan w:val="5"/>
            <w:tcBorders>
              <w:top w:val="single" w:sz="4" w:space="0" w:color="auto"/>
              <w:bottom w:val="single" w:sz="4" w:space="0" w:color="auto"/>
            </w:tcBorders>
            <w:shd w:val="clear" w:color="auto" w:fill="CCFFFF"/>
            <w:vAlign w:val="center"/>
          </w:tcPr>
          <w:p w:rsidR="008B3E53" w:rsidRPr="001D2E83" w:rsidRDefault="008B3E53" w:rsidP="008B3E53">
            <w:pPr>
              <w:keepNext/>
              <w:keepLines/>
              <w:tabs>
                <w:tab w:val="left" w:pos="1452"/>
              </w:tabs>
              <w:spacing w:before="120" w:after="120"/>
              <w:ind w:left="1452" w:hanging="1452"/>
              <w:rPr>
                <w:rFonts w:cs="Arial"/>
                <w:sz w:val="16"/>
                <w:szCs w:val="16"/>
                <w:lang w:bidi="th-TH"/>
              </w:rPr>
            </w:pPr>
            <w:r w:rsidRPr="001D2E83">
              <w:rPr>
                <w:rFonts w:cs="Arial"/>
                <w:b/>
                <w:bCs/>
                <w:sz w:val="16"/>
                <w:szCs w:val="16"/>
              </w:rPr>
              <w:t>Expected Result:</w:t>
            </w:r>
            <w:r w:rsidRPr="001D2E83">
              <w:rPr>
                <w:rFonts w:cs="Arial"/>
                <w:b/>
                <w:bCs/>
                <w:sz w:val="16"/>
                <w:szCs w:val="16"/>
              </w:rPr>
              <w:tab/>
            </w:r>
            <w:r w:rsidRPr="001D2E83">
              <w:rPr>
                <w:rFonts w:cs="Arial"/>
                <w:sz w:val="16"/>
                <w:szCs w:val="16"/>
                <w:lang w:bidi="th-TH"/>
              </w:rPr>
              <w:t xml:space="preserve">Enhanced understanding of the Development Agenda by Member States, IGOs, civil society and </w:t>
            </w:r>
            <w:r w:rsidRPr="001D2E83">
              <w:rPr>
                <w:rFonts w:cs="Arial"/>
                <w:sz w:val="16"/>
                <w:szCs w:val="16"/>
                <w:lang w:bidi="th-TH"/>
              </w:rPr>
              <w:br/>
              <w:t>other stakeholders</w:t>
            </w:r>
          </w:p>
        </w:tc>
      </w:tr>
      <w:tr w:rsidR="008B3E53" w:rsidRPr="001D2E83" w:rsidTr="00CD26D6">
        <w:trPr>
          <w:cantSplit/>
        </w:trPr>
        <w:tc>
          <w:tcPr>
            <w:tcW w:w="870" w:type="pct"/>
            <w:tcBorders>
              <w:top w:val="single" w:sz="4" w:space="0" w:color="auto"/>
            </w:tcBorders>
            <w:shd w:val="clear" w:color="auto" w:fill="auto"/>
            <w:vAlign w:val="center"/>
          </w:tcPr>
          <w:p w:rsidR="008B3E53" w:rsidRPr="001D2E83" w:rsidRDefault="008B3E53" w:rsidP="008B3E53">
            <w:pPr>
              <w:spacing w:after="40"/>
              <w:rPr>
                <w:rFonts w:cs="Arial"/>
                <w:sz w:val="16"/>
                <w:szCs w:val="16"/>
              </w:rPr>
            </w:pPr>
            <w:r w:rsidRPr="001D2E83">
              <w:rPr>
                <w:rFonts w:cs="Arial"/>
                <w:b/>
                <w:bCs/>
                <w:sz w:val="16"/>
                <w:szCs w:val="16"/>
              </w:rPr>
              <w:t>Performance Indicators</w:t>
            </w:r>
          </w:p>
        </w:tc>
        <w:tc>
          <w:tcPr>
            <w:tcW w:w="911" w:type="pct"/>
            <w:tcBorders>
              <w:top w:val="single" w:sz="4" w:space="0" w:color="auto"/>
            </w:tcBorders>
            <w:shd w:val="clear" w:color="auto" w:fill="auto"/>
            <w:vAlign w:val="center"/>
          </w:tcPr>
          <w:p w:rsidR="008B3E53" w:rsidRPr="001D2E83" w:rsidRDefault="008B3E53" w:rsidP="008B3E53">
            <w:pPr>
              <w:spacing w:after="40"/>
              <w:rPr>
                <w:rFonts w:cs="Arial"/>
                <w:b/>
                <w:bCs/>
                <w:sz w:val="16"/>
                <w:szCs w:val="16"/>
              </w:rPr>
            </w:pPr>
            <w:r w:rsidRPr="001D2E83">
              <w:rPr>
                <w:rFonts w:cs="Arial"/>
                <w:b/>
                <w:bCs/>
                <w:sz w:val="16"/>
                <w:szCs w:val="16"/>
              </w:rPr>
              <w:t>Baselines</w:t>
            </w:r>
          </w:p>
        </w:tc>
        <w:tc>
          <w:tcPr>
            <w:tcW w:w="911" w:type="pct"/>
            <w:tcBorders>
              <w:top w:val="single" w:sz="4" w:space="0" w:color="auto"/>
            </w:tcBorders>
            <w:shd w:val="clear" w:color="auto" w:fill="auto"/>
            <w:tcMar>
              <w:top w:w="110" w:type="dxa"/>
            </w:tcMar>
            <w:vAlign w:val="center"/>
          </w:tcPr>
          <w:p w:rsidR="008B3E53" w:rsidRPr="001D2E83" w:rsidRDefault="008B3E53" w:rsidP="008B3E53">
            <w:pPr>
              <w:spacing w:after="40"/>
              <w:rPr>
                <w:rFonts w:cs="Arial"/>
                <w:b/>
                <w:sz w:val="16"/>
                <w:szCs w:val="16"/>
              </w:rPr>
            </w:pPr>
            <w:r w:rsidRPr="001D2E83">
              <w:rPr>
                <w:rFonts w:cs="Arial"/>
                <w:b/>
                <w:sz w:val="16"/>
                <w:szCs w:val="16"/>
              </w:rPr>
              <w:t>Target</w:t>
            </w:r>
            <w:r w:rsidR="00582788" w:rsidRPr="001D2E83">
              <w:rPr>
                <w:rFonts w:cs="Arial"/>
                <w:b/>
                <w:sz w:val="16"/>
                <w:szCs w:val="16"/>
              </w:rPr>
              <w:t>s</w:t>
            </w:r>
          </w:p>
        </w:tc>
        <w:tc>
          <w:tcPr>
            <w:tcW w:w="1609" w:type="pct"/>
            <w:tcBorders>
              <w:top w:val="single" w:sz="4" w:space="0" w:color="auto"/>
            </w:tcBorders>
            <w:shd w:val="clear" w:color="auto" w:fill="FFFFFF"/>
            <w:tcMar>
              <w:top w:w="110" w:type="dxa"/>
            </w:tcMar>
            <w:vAlign w:val="center"/>
          </w:tcPr>
          <w:p w:rsidR="008B3E53" w:rsidRPr="001D2E83" w:rsidRDefault="008B3E53" w:rsidP="008B3E53">
            <w:pPr>
              <w:spacing w:after="40"/>
              <w:rPr>
                <w:rFonts w:cs="Arial"/>
                <w:sz w:val="16"/>
                <w:szCs w:val="16"/>
              </w:rPr>
            </w:pPr>
            <w:r w:rsidRPr="001D2E83">
              <w:rPr>
                <w:rFonts w:cs="Arial"/>
                <w:b/>
                <w:bCs/>
                <w:sz w:val="16"/>
                <w:szCs w:val="16"/>
              </w:rPr>
              <w:t>Performance Data</w:t>
            </w:r>
          </w:p>
        </w:tc>
        <w:tc>
          <w:tcPr>
            <w:tcW w:w="698" w:type="pct"/>
            <w:tcBorders>
              <w:top w:val="single" w:sz="4" w:space="0" w:color="auto"/>
            </w:tcBorders>
            <w:shd w:val="clear" w:color="auto" w:fill="auto"/>
            <w:tcMar>
              <w:top w:w="110" w:type="dxa"/>
            </w:tcMar>
            <w:vAlign w:val="center"/>
          </w:tcPr>
          <w:p w:rsidR="008B3E53" w:rsidRPr="001D2E83" w:rsidRDefault="008B3E53" w:rsidP="008B3E53">
            <w:pPr>
              <w:keepNext/>
              <w:keepLines/>
              <w:spacing w:after="40"/>
              <w:jc w:val="center"/>
              <w:rPr>
                <w:rFonts w:cs="Arial"/>
                <w:b/>
                <w:bCs/>
                <w:sz w:val="16"/>
                <w:szCs w:val="16"/>
              </w:rPr>
            </w:pPr>
            <w:r w:rsidRPr="001D2E83">
              <w:rPr>
                <w:rFonts w:cs="Arial"/>
                <w:b/>
                <w:bCs/>
                <w:sz w:val="16"/>
                <w:szCs w:val="16"/>
              </w:rPr>
              <w:t>TLS</w:t>
            </w:r>
          </w:p>
        </w:tc>
      </w:tr>
      <w:tr w:rsidR="008B3E53" w:rsidRPr="001D2E83" w:rsidTr="00CD26D6">
        <w:trPr>
          <w:cantSplit/>
        </w:trPr>
        <w:tc>
          <w:tcPr>
            <w:tcW w:w="870" w:type="pct"/>
            <w:shd w:val="clear" w:color="auto" w:fill="FFFFFF"/>
          </w:tcPr>
          <w:p w:rsidR="008B3E53" w:rsidRPr="001D2E83" w:rsidRDefault="008B3E53" w:rsidP="008B3E53">
            <w:pPr>
              <w:rPr>
                <w:rFonts w:cs="Arial"/>
                <w:sz w:val="16"/>
                <w:szCs w:val="16"/>
                <w:lang w:bidi="th-TH"/>
              </w:rPr>
            </w:pPr>
            <w:r w:rsidRPr="001D2E83">
              <w:rPr>
                <w:rFonts w:cs="Arial"/>
                <w:sz w:val="16"/>
                <w:szCs w:val="16"/>
                <w:lang w:bidi="th-TH"/>
              </w:rPr>
              <w:t>No. of countries requesting</w:t>
            </w:r>
          </w:p>
          <w:p w:rsidR="008B3E53" w:rsidRPr="001D2E83" w:rsidRDefault="008B3E53" w:rsidP="008B3E53">
            <w:pPr>
              <w:rPr>
                <w:rFonts w:cs="Arial"/>
                <w:sz w:val="16"/>
                <w:szCs w:val="16"/>
                <w:lang w:bidi="th-TH"/>
              </w:rPr>
            </w:pPr>
            <w:r w:rsidRPr="001D2E83">
              <w:rPr>
                <w:rFonts w:cs="Arial"/>
                <w:sz w:val="16"/>
                <w:szCs w:val="16"/>
                <w:lang w:bidi="th-TH"/>
              </w:rPr>
              <w:t>technical assistance through DA projects and expressing interest in DA related activities</w:t>
            </w:r>
          </w:p>
        </w:tc>
        <w:tc>
          <w:tcPr>
            <w:tcW w:w="911" w:type="pct"/>
            <w:shd w:val="clear" w:color="auto" w:fill="auto"/>
          </w:tcPr>
          <w:p w:rsidR="008B3E53" w:rsidRPr="001D2E83" w:rsidRDefault="008B3E53" w:rsidP="008B3E53">
            <w:pPr>
              <w:rPr>
                <w:rFonts w:cs="Arial"/>
                <w:i/>
                <w:sz w:val="16"/>
                <w:szCs w:val="16"/>
                <w:lang w:bidi="th-TH"/>
              </w:rPr>
            </w:pPr>
            <w:r w:rsidRPr="001D2E83">
              <w:rPr>
                <w:rFonts w:cs="Arial"/>
                <w:i/>
                <w:color w:val="002060"/>
                <w:sz w:val="16"/>
                <w:szCs w:val="16"/>
              </w:rPr>
              <w:t>Updated Baseline end 2011:</w:t>
            </w:r>
            <w:r w:rsidRPr="001D2E83">
              <w:rPr>
                <w:rFonts w:cs="Arial"/>
                <w:color w:val="002060"/>
                <w:sz w:val="16"/>
                <w:szCs w:val="16"/>
              </w:rPr>
              <w:br/>
            </w:r>
            <w:r w:rsidRPr="001D2E83">
              <w:rPr>
                <w:rFonts w:cs="Arial"/>
                <w:color w:val="002060"/>
                <w:sz w:val="16"/>
                <w:szCs w:val="16"/>
                <w:lang w:bidi="th-TH"/>
              </w:rPr>
              <w:t>Projects and DA related activities in 50 countries</w:t>
            </w:r>
          </w:p>
          <w:p w:rsidR="008B3E53" w:rsidRPr="001D2E83" w:rsidRDefault="008B3E53" w:rsidP="008B3E53">
            <w:pPr>
              <w:rPr>
                <w:rFonts w:cs="Arial"/>
                <w:i/>
                <w:sz w:val="16"/>
                <w:szCs w:val="16"/>
                <w:lang w:bidi="th-TH"/>
              </w:rPr>
            </w:pPr>
          </w:p>
          <w:p w:rsidR="008B3E53" w:rsidRPr="001D2E83" w:rsidRDefault="008B3E53" w:rsidP="008B3E53">
            <w:pPr>
              <w:rPr>
                <w:rFonts w:cs="Arial"/>
                <w:sz w:val="16"/>
                <w:szCs w:val="16"/>
                <w:lang w:bidi="th-TH"/>
              </w:rPr>
            </w:pPr>
            <w:r w:rsidRPr="001D2E83">
              <w:rPr>
                <w:rFonts w:cs="Arial"/>
                <w:i/>
                <w:sz w:val="16"/>
                <w:szCs w:val="16"/>
                <w:lang w:bidi="th-TH"/>
              </w:rPr>
              <w:t>Baseline</w:t>
            </w:r>
            <w:r w:rsidRPr="001D2E83">
              <w:rPr>
                <w:rFonts w:cs="Arial"/>
                <w:sz w:val="16"/>
                <w:szCs w:val="16"/>
                <w:lang w:bidi="th-TH"/>
              </w:rPr>
              <w:t>:</w:t>
            </w:r>
          </w:p>
          <w:p w:rsidR="008B3E53" w:rsidRPr="001D2E83" w:rsidRDefault="008B3E53" w:rsidP="008B3E53">
            <w:pPr>
              <w:rPr>
                <w:rFonts w:cs="Arial"/>
                <w:sz w:val="16"/>
                <w:szCs w:val="16"/>
                <w:lang w:bidi="th-TH"/>
              </w:rPr>
            </w:pPr>
            <w:r w:rsidRPr="001D2E83">
              <w:rPr>
                <w:rFonts w:cs="Arial"/>
                <w:sz w:val="16"/>
                <w:szCs w:val="16"/>
                <w:lang w:bidi="th-TH"/>
              </w:rPr>
              <w:t>Projects and DA related</w:t>
            </w:r>
          </w:p>
          <w:p w:rsidR="008B3E53" w:rsidRPr="001D2E83" w:rsidRDefault="008B3E53" w:rsidP="008B3E53">
            <w:pPr>
              <w:rPr>
                <w:rFonts w:cs="Arial"/>
                <w:sz w:val="16"/>
                <w:szCs w:val="16"/>
                <w:lang w:bidi="th-TH"/>
              </w:rPr>
            </w:pPr>
            <w:r w:rsidRPr="001D2E83">
              <w:rPr>
                <w:rFonts w:cs="Arial"/>
                <w:sz w:val="16"/>
                <w:szCs w:val="16"/>
                <w:lang w:bidi="th-TH"/>
              </w:rPr>
              <w:t>activities in 50 countries</w:t>
            </w:r>
          </w:p>
          <w:p w:rsidR="008B3E53" w:rsidRPr="001D2E83" w:rsidRDefault="008B3E53" w:rsidP="008B3E53">
            <w:pPr>
              <w:rPr>
                <w:rFonts w:cs="Arial"/>
                <w:sz w:val="16"/>
                <w:szCs w:val="16"/>
                <w:lang w:bidi="th-TH"/>
              </w:rPr>
            </w:pPr>
          </w:p>
        </w:tc>
        <w:tc>
          <w:tcPr>
            <w:tcW w:w="911" w:type="pct"/>
            <w:shd w:val="clear" w:color="auto" w:fill="auto"/>
            <w:tcMar>
              <w:top w:w="110" w:type="dxa"/>
            </w:tcMar>
          </w:tcPr>
          <w:p w:rsidR="008B3E53" w:rsidRPr="001D2E83" w:rsidRDefault="008B3E53" w:rsidP="008B3E53">
            <w:pPr>
              <w:rPr>
                <w:rFonts w:cs="Arial"/>
                <w:sz w:val="16"/>
                <w:szCs w:val="16"/>
              </w:rPr>
            </w:pPr>
            <w:r w:rsidRPr="001D2E83">
              <w:rPr>
                <w:rFonts w:cs="Arial"/>
                <w:sz w:val="16"/>
                <w:szCs w:val="16"/>
              </w:rPr>
              <w:t>Projects and DA related</w:t>
            </w:r>
            <w:r w:rsidR="00D16EC9">
              <w:rPr>
                <w:rFonts w:cs="Arial"/>
                <w:sz w:val="16"/>
                <w:szCs w:val="16"/>
              </w:rPr>
              <w:t xml:space="preserve"> </w:t>
            </w:r>
            <w:r w:rsidRPr="001D2E83">
              <w:rPr>
                <w:rFonts w:cs="Arial"/>
                <w:sz w:val="16"/>
                <w:szCs w:val="16"/>
              </w:rPr>
              <w:t>activities in 50 countries</w:t>
            </w:r>
          </w:p>
        </w:tc>
        <w:tc>
          <w:tcPr>
            <w:tcW w:w="1609" w:type="pct"/>
            <w:shd w:val="clear" w:color="auto" w:fill="FFFFFF"/>
            <w:tcMar>
              <w:top w:w="110" w:type="dxa"/>
            </w:tcMar>
          </w:tcPr>
          <w:p w:rsidR="008B3E53" w:rsidRPr="001D2E83" w:rsidRDefault="008B3E53" w:rsidP="008B3E53">
            <w:pPr>
              <w:rPr>
                <w:rFonts w:cs="Arial"/>
                <w:sz w:val="16"/>
                <w:szCs w:val="16"/>
                <w:lang w:bidi="th-TH"/>
              </w:rPr>
            </w:pPr>
            <w:r w:rsidRPr="001D2E83">
              <w:rPr>
                <w:rFonts w:cs="Arial"/>
                <w:sz w:val="16"/>
                <w:szCs w:val="16"/>
                <w:lang w:bidi="th-TH"/>
              </w:rPr>
              <w:t>Projects and DA related activities in 50 countries</w:t>
            </w:r>
            <w:r w:rsidR="00D16EC9">
              <w:rPr>
                <w:rFonts w:cs="Arial"/>
                <w:sz w:val="16"/>
                <w:szCs w:val="16"/>
                <w:lang w:bidi="th-TH"/>
              </w:rPr>
              <w:t>.</w:t>
            </w:r>
          </w:p>
        </w:tc>
        <w:tc>
          <w:tcPr>
            <w:tcW w:w="698" w:type="pct"/>
            <w:shd w:val="clear" w:color="auto" w:fill="auto"/>
            <w:tcMar>
              <w:top w:w="110" w:type="dxa"/>
            </w:tcMar>
          </w:tcPr>
          <w:p w:rsidR="008B3E53" w:rsidRPr="001D2E83" w:rsidRDefault="008B3E53" w:rsidP="008B3E53">
            <w:pPr>
              <w:keepNext/>
              <w:keepLines/>
              <w:jc w:val="center"/>
              <w:rPr>
                <w:rFonts w:cs="Arial"/>
                <w:bCs/>
                <w:color w:val="008000"/>
                <w:sz w:val="16"/>
                <w:szCs w:val="16"/>
              </w:rPr>
            </w:pPr>
            <w:r w:rsidRPr="001D2E83">
              <w:rPr>
                <w:rStyle w:val="Style5"/>
                <w:rFonts w:ascii="Arial" w:hAnsi="Arial" w:cs="Arial"/>
                <w:color w:val="10862C"/>
                <w:sz w:val="16"/>
                <w:szCs w:val="16"/>
              </w:rPr>
              <w:t>Fully</w:t>
            </w:r>
            <w:r w:rsidRPr="001D2E83">
              <w:rPr>
                <w:rStyle w:val="Style5"/>
                <w:rFonts w:ascii="Arial" w:hAnsi="Arial" w:cs="Arial"/>
                <w:color w:val="10862C"/>
                <w:sz w:val="16"/>
                <w:szCs w:val="16"/>
              </w:rPr>
              <w:br/>
              <w:t>Achieved</w:t>
            </w:r>
            <w:r w:rsidRPr="001D2E83" w:rsidDel="004764E5">
              <w:rPr>
                <w:rStyle w:val="Style5"/>
                <w:rFonts w:ascii="Arial" w:hAnsi="Arial" w:cs="Arial"/>
                <w:b/>
                <w:color w:val="00B050"/>
                <w:sz w:val="16"/>
                <w:szCs w:val="16"/>
              </w:rPr>
              <w:t xml:space="preserve"> </w:t>
            </w:r>
          </w:p>
        </w:tc>
      </w:tr>
    </w:tbl>
    <w:p w:rsidR="008B3E53" w:rsidRPr="002A56E1" w:rsidRDefault="008B3E53" w:rsidP="008B3E53"/>
    <w:p w:rsidR="008B3E53" w:rsidRPr="002A56E1" w:rsidRDefault="008B3E53" w:rsidP="008B3E53">
      <w:pPr>
        <w:rPr>
          <w:rFonts w:cs="Arial"/>
        </w:rPr>
      </w:pPr>
    </w:p>
    <w:p w:rsidR="008B3E53" w:rsidRDefault="008B3E53" w:rsidP="008B3E53">
      <w:pPr>
        <w:rPr>
          <w:rFonts w:cs="Arial"/>
          <w:sz w:val="22"/>
          <w:szCs w:val="22"/>
        </w:rPr>
      </w:pPr>
      <w:r w:rsidRPr="0098133B">
        <w:rPr>
          <w:rFonts w:cs="Arial"/>
          <w:sz w:val="22"/>
          <w:szCs w:val="22"/>
        </w:rPr>
        <w:t xml:space="preserve">BUDGET </w:t>
      </w:r>
      <w:r>
        <w:rPr>
          <w:rFonts w:cs="Arial"/>
          <w:sz w:val="22"/>
          <w:szCs w:val="22"/>
        </w:rPr>
        <w:t>AND ACTUAL EXPENDITURE</w:t>
      </w:r>
    </w:p>
    <w:p w:rsidR="008B3E53" w:rsidRDefault="008B3E53" w:rsidP="008B3E53">
      <w:pPr>
        <w:rPr>
          <w:rFonts w:cs="Arial"/>
          <w:sz w:val="22"/>
          <w:szCs w:val="22"/>
        </w:rPr>
      </w:pPr>
    </w:p>
    <w:p w:rsidR="008B3E53" w:rsidRPr="0027745B" w:rsidRDefault="008B3E53" w:rsidP="008B3E53">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8B3E53" w:rsidRPr="0027745B" w:rsidRDefault="008B3E53" w:rsidP="008B3E53">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8B3E53" w:rsidRDefault="008B3E53" w:rsidP="008B3E53">
      <w:pPr>
        <w:rPr>
          <w:rFonts w:cs="Arial"/>
          <w:sz w:val="22"/>
          <w:szCs w:val="22"/>
        </w:rPr>
      </w:pPr>
    </w:p>
    <w:tbl>
      <w:tblPr>
        <w:tblW w:w="0" w:type="auto"/>
        <w:tblInd w:w="108" w:type="dxa"/>
        <w:tblLayout w:type="fixed"/>
        <w:tblLook w:val="04A0" w:firstRow="1" w:lastRow="0" w:firstColumn="1" w:lastColumn="0" w:noHBand="0" w:noVBand="1"/>
      </w:tblPr>
      <w:tblGrid>
        <w:gridCol w:w="409"/>
        <w:gridCol w:w="300"/>
        <w:gridCol w:w="4253"/>
        <w:gridCol w:w="1464"/>
        <w:gridCol w:w="1465"/>
        <w:gridCol w:w="1465"/>
      </w:tblGrid>
      <w:tr w:rsidR="008B3E53" w:rsidRPr="001D2E83" w:rsidTr="00CD26D6">
        <w:tc>
          <w:tcPr>
            <w:tcW w:w="4962" w:type="dxa"/>
            <w:gridSpan w:val="3"/>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1D2E83" w:rsidRDefault="008B3E53" w:rsidP="0068151C">
            <w:pPr>
              <w:spacing w:before="120" w:after="120"/>
              <w:jc w:val="center"/>
              <w:rPr>
                <w:rFonts w:cs="Arial"/>
                <w:bCs/>
                <w:color w:val="000000"/>
                <w:sz w:val="16"/>
                <w:szCs w:val="16"/>
              </w:rPr>
            </w:pPr>
            <w:r w:rsidRPr="001D2E83">
              <w:rPr>
                <w:rFonts w:cs="Arial"/>
                <w:bCs/>
                <w:color w:val="000000"/>
                <w:sz w:val="16"/>
                <w:szCs w:val="16"/>
              </w:rPr>
              <w:t>Expected Result No. and Description</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8B3E53" w:rsidRPr="001D2E83" w:rsidRDefault="008B3E53" w:rsidP="0068151C">
            <w:pPr>
              <w:spacing w:before="120" w:after="120"/>
              <w:jc w:val="center"/>
              <w:rPr>
                <w:rFonts w:cs="Arial"/>
                <w:bCs/>
                <w:color w:val="000000"/>
                <w:sz w:val="16"/>
                <w:szCs w:val="16"/>
              </w:rPr>
            </w:pPr>
            <w:r w:rsidRPr="001D2E83">
              <w:rPr>
                <w:rFonts w:cs="Arial"/>
                <w:bCs/>
                <w:color w:val="000000"/>
                <w:sz w:val="16"/>
                <w:szCs w:val="16"/>
              </w:rPr>
              <w:t>2012/13 Approved Budget</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8B3E53" w:rsidRPr="001D2E83" w:rsidRDefault="008B3E53" w:rsidP="0068151C">
            <w:pPr>
              <w:spacing w:before="120" w:after="120"/>
              <w:jc w:val="center"/>
              <w:rPr>
                <w:rFonts w:cs="Arial"/>
                <w:bCs/>
                <w:color w:val="000000"/>
                <w:sz w:val="16"/>
                <w:szCs w:val="16"/>
              </w:rPr>
            </w:pPr>
            <w:r w:rsidRPr="001D2E83">
              <w:rPr>
                <w:rFonts w:cs="Arial"/>
                <w:bCs/>
                <w:color w:val="000000"/>
                <w:sz w:val="16"/>
                <w:szCs w:val="16"/>
              </w:rPr>
              <w:t xml:space="preserve">2012/13 Budget </w:t>
            </w:r>
            <w:r w:rsidRPr="001D2E83">
              <w:rPr>
                <w:rFonts w:cs="Arial"/>
                <w:bCs/>
                <w:color w:val="000000"/>
                <w:sz w:val="16"/>
                <w:szCs w:val="16"/>
              </w:rPr>
              <w:br/>
              <w:t>After Transfers</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8B3E53" w:rsidRPr="001D2E83" w:rsidRDefault="008B3E53" w:rsidP="0068151C">
            <w:pPr>
              <w:spacing w:before="120" w:after="120"/>
              <w:jc w:val="center"/>
              <w:rPr>
                <w:rFonts w:cs="Arial"/>
                <w:bCs/>
                <w:color w:val="000000"/>
                <w:sz w:val="16"/>
                <w:szCs w:val="16"/>
              </w:rPr>
            </w:pPr>
            <w:r w:rsidRPr="001D2E83">
              <w:rPr>
                <w:rFonts w:cs="Arial"/>
                <w:bCs/>
                <w:color w:val="000000"/>
                <w:sz w:val="16"/>
                <w:szCs w:val="16"/>
              </w:rPr>
              <w:t xml:space="preserve">2012/13 </w:t>
            </w:r>
            <w:r w:rsidRPr="001D2E83">
              <w:rPr>
                <w:rFonts w:cs="Arial"/>
                <w:bCs/>
                <w:color w:val="000000"/>
                <w:sz w:val="16"/>
                <w:szCs w:val="16"/>
              </w:rPr>
              <w:br/>
              <w:t>Expenditure</w:t>
            </w:r>
          </w:p>
        </w:tc>
      </w:tr>
      <w:tr w:rsidR="008B3E53" w:rsidRPr="008B3E53" w:rsidTr="00CD26D6">
        <w:tc>
          <w:tcPr>
            <w:tcW w:w="709" w:type="dxa"/>
            <w:gridSpan w:val="2"/>
            <w:tcBorders>
              <w:top w:val="nil"/>
              <w:left w:val="single" w:sz="4" w:space="0" w:color="auto"/>
              <w:bottom w:val="nil"/>
              <w:right w:val="nil"/>
            </w:tcBorders>
            <w:shd w:val="clear" w:color="000000" w:fill="FFFFFF"/>
            <w:noWrap/>
            <w:hideMark/>
          </w:tcPr>
          <w:p w:rsidR="008B3E53" w:rsidRPr="008B3E53" w:rsidRDefault="008B3E53" w:rsidP="001D2E83">
            <w:pPr>
              <w:spacing w:before="120"/>
              <w:jc w:val="center"/>
              <w:rPr>
                <w:rFonts w:cs="Arial"/>
                <w:color w:val="000000"/>
                <w:sz w:val="16"/>
                <w:szCs w:val="16"/>
              </w:rPr>
            </w:pPr>
            <w:r w:rsidRPr="008B3E53">
              <w:rPr>
                <w:rFonts w:cs="Arial"/>
                <w:color w:val="000000"/>
                <w:sz w:val="16"/>
                <w:szCs w:val="16"/>
              </w:rPr>
              <w:t>III.6</w:t>
            </w:r>
          </w:p>
        </w:tc>
        <w:tc>
          <w:tcPr>
            <w:tcW w:w="4253" w:type="dxa"/>
            <w:tcBorders>
              <w:top w:val="nil"/>
              <w:left w:val="nil"/>
              <w:bottom w:val="nil"/>
              <w:right w:val="nil"/>
            </w:tcBorders>
            <w:shd w:val="clear" w:color="000000" w:fill="FFFFFF"/>
            <w:hideMark/>
          </w:tcPr>
          <w:p w:rsidR="008B3E53" w:rsidRPr="008B3E53" w:rsidRDefault="008B3E53" w:rsidP="001D2E83">
            <w:pPr>
              <w:spacing w:before="120"/>
              <w:rPr>
                <w:rFonts w:cs="Arial"/>
                <w:color w:val="000000"/>
                <w:sz w:val="16"/>
                <w:szCs w:val="16"/>
              </w:rPr>
            </w:pPr>
            <w:r w:rsidRPr="008B3E53">
              <w:rPr>
                <w:rFonts w:cs="Arial"/>
                <w:color w:val="000000"/>
                <w:sz w:val="16"/>
                <w:szCs w:val="16"/>
              </w:rPr>
              <w:t>Development Agenda principles further mainstreamed into the Organization’s programs and activities</w:t>
            </w:r>
          </w:p>
        </w:tc>
        <w:tc>
          <w:tcPr>
            <w:tcW w:w="1464" w:type="dxa"/>
            <w:tcBorders>
              <w:top w:val="nil"/>
              <w:left w:val="nil"/>
              <w:bottom w:val="nil"/>
              <w:right w:val="nil"/>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2,505 </w:t>
            </w:r>
          </w:p>
        </w:tc>
        <w:tc>
          <w:tcPr>
            <w:tcW w:w="1465" w:type="dxa"/>
            <w:tcBorders>
              <w:top w:val="nil"/>
              <w:left w:val="nil"/>
              <w:bottom w:val="nil"/>
              <w:right w:val="nil"/>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2,341 </w:t>
            </w:r>
          </w:p>
        </w:tc>
        <w:tc>
          <w:tcPr>
            <w:tcW w:w="1465" w:type="dxa"/>
            <w:tcBorders>
              <w:top w:val="nil"/>
              <w:left w:val="nil"/>
              <w:bottom w:val="nil"/>
              <w:right w:val="single" w:sz="4" w:space="0" w:color="auto"/>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2,060 </w:t>
            </w:r>
          </w:p>
        </w:tc>
      </w:tr>
      <w:tr w:rsidR="008B3E53" w:rsidRPr="008B3E53" w:rsidTr="00CD26D6">
        <w:tc>
          <w:tcPr>
            <w:tcW w:w="709" w:type="dxa"/>
            <w:gridSpan w:val="2"/>
            <w:tcBorders>
              <w:top w:val="nil"/>
              <w:left w:val="single" w:sz="4" w:space="0" w:color="auto"/>
              <w:bottom w:val="nil"/>
              <w:right w:val="nil"/>
            </w:tcBorders>
            <w:shd w:val="clear" w:color="000000" w:fill="FFFFFF"/>
            <w:noWrap/>
            <w:hideMark/>
          </w:tcPr>
          <w:p w:rsidR="008B3E53" w:rsidRPr="008B3E53" w:rsidRDefault="008B3E53" w:rsidP="001D2E83">
            <w:pPr>
              <w:spacing w:before="120"/>
              <w:jc w:val="center"/>
              <w:rPr>
                <w:rFonts w:cs="Arial"/>
                <w:color w:val="000000"/>
                <w:sz w:val="16"/>
                <w:szCs w:val="16"/>
              </w:rPr>
            </w:pPr>
            <w:r w:rsidRPr="008B3E53">
              <w:rPr>
                <w:rFonts w:cs="Arial"/>
                <w:color w:val="000000"/>
                <w:sz w:val="16"/>
                <w:szCs w:val="16"/>
              </w:rPr>
              <w:t>III.7</w:t>
            </w:r>
          </w:p>
        </w:tc>
        <w:tc>
          <w:tcPr>
            <w:tcW w:w="4253" w:type="dxa"/>
            <w:tcBorders>
              <w:top w:val="nil"/>
              <w:left w:val="nil"/>
              <w:bottom w:val="nil"/>
              <w:right w:val="nil"/>
            </w:tcBorders>
            <w:shd w:val="clear" w:color="auto" w:fill="auto"/>
            <w:hideMark/>
          </w:tcPr>
          <w:p w:rsidR="008B3E53" w:rsidRPr="008B3E53" w:rsidRDefault="008B3E53" w:rsidP="001D2E83">
            <w:pPr>
              <w:spacing w:before="120"/>
              <w:rPr>
                <w:rFonts w:cs="Arial"/>
                <w:color w:val="000000"/>
                <w:sz w:val="16"/>
                <w:szCs w:val="16"/>
              </w:rPr>
            </w:pPr>
            <w:r w:rsidRPr="008B3E53">
              <w:rPr>
                <w:rFonts w:cs="Arial"/>
                <w:color w:val="000000"/>
                <w:sz w:val="16"/>
                <w:szCs w:val="16"/>
              </w:rPr>
              <w:t>Effective planning, implementation, monitoring, evaluation and reporting on the DA recommendations</w:t>
            </w:r>
          </w:p>
        </w:tc>
        <w:tc>
          <w:tcPr>
            <w:tcW w:w="1464" w:type="dxa"/>
            <w:tcBorders>
              <w:top w:val="nil"/>
              <w:left w:val="nil"/>
              <w:bottom w:val="nil"/>
              <w:right w:val="nil"/>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759 </w:t>
            </w:r>
          </w:p>
        </w:tc>
        <w:tc>
          <w:tcPr>
            <w:tcW w:w="1465" w:type="dxa"/>
            <w:tcBorders>
              <w:top w:val="nil"/>
              <w:left w:val="nil"/>
              <w:bottom w:val="nil"/>
              <w:right w:val="nil"/>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669 </w:t>
            </w:r>
          </w:p>
        </w:tc>
        <w:tc>
          <w:tcPr>
            <w:tcW w:w="1465" w:type="dxa"/>
            <w:tcBorders>
              <w:top w:val="nil"/>
              <w:left w:val="nil"/>
              <w:bottom w:val="nil"/>
              <w:right w:val="single" w:sz="4" w:space="0" w:color="auto"/>
            </w:tcBorders>
            <w:shd w:val="clear" w:color="000000" w:fill="FFFFFF"/>
            <w:vAlign w:val="center"/>
            <w:hideMark/>
          </w:tcPr>
          <w:p w:rsidR="008B3E53" w:rsidRPr="008B3E53" w:rsidRDefault="008B3E53" w:rsidP="001D2E83">
            <w:pPr>
              <w:spacing w:before="120"/>
              <w:jc w:val="right"/>
              <w:rPr>
                <w:rFonts w:cs="Arial"/>
                <w:color w:val="000000"/>
                <w:sz w:val="16"/>
                <w:szCs w:val="16"/>
              </w:rPr>
            </w:pPr>
            <w:r w:rsidRPr="008B3E53">
              <w:rPr>
                <w:rFonts w:cs="Arial"/>
                <w:color w:val="000000"/>
                <w:sz w:val="16"/>
                <w:szCs w:val="16"/>
              </w:rPr>
              <w:t xml:space="preserve">637 </w:t>
            </w:r>
          </w:p>
        </w:tc>
      </w:tr>
      <w:tr w:rsidR="008B3E53" w:rsidRPr="008B3E53" w:rsidTr="00CD26D6">
        <w:tc>
          <w:tcPr>
            <w:tcW w:w="709" w:type="dxa"/>
            <w:gridSpan w:val="2"/>
            <w:tcBorders>
              <w:top w:val="nil"/>
              <w:left w:val="single" w:sz="4" w:space="0" w:color="auto"/>
              <w:bottom w:val="single" w:sz="4" w:space="0" w:color="auto"/>
              <w:right w:val="nil"/>
            </w:tcBorders>
            <w:shd w:val="clear" w:color="000000" w:fill="FFFFFF"/>
            <w:noWrap/>
            <w:hideMark/>
          </w:tcPr>
          <w:p w:rsidR="008B3E53" w:rsidRPr="008B3E53" w:rsidRDefault="008B3E53" w:rsidP="0068151C">
            <w:pPr>
              <w:spacing w:before="120" w:after="120"/>
              <w:jc w:val="center"/>
              <w:rPr>
                <w:rFonts w:cs="Arial"/>
                <w:color w:val="000000"/>
                <w:sz w:val="16"/>
                <w:szCs w:val="16"/>
              </w:rPr>
            </w:pPr>
            <w:r w:rsidRPr="008B3E53">
              <w:rPr>
                <w:rFonts w:cs="Arial"/>
                <w:color w:val="000000"/>
                <w:sz w:val="16"/>
                <w:szCs w:val="16"/>
              </w:rPr>
              <w:t>III.8</w:t>
            </w:r>
          </w:p>
        </w:tc>
        <w:tc>
          <w:tcPr>
            <w:tcW w:w="4253" w:type="dxa"/>
            <w:tcBorders>
              <w:top w:val="nil"/>
              <w:left w:val="nil"/>
              <w:bottom w:val="single" w:sz="4" w:space="0" w:color="auto"/>
              <w:right w:val="nil"/>
            </w:tcBorders>
            <w:shd w:val="clear" w:color="000000" w:fill="FFFFFF"/>
            <w:hideMark/>
          </w:tcPr>
          <w:p w:rsidR="008B3E53" w:rsidRPr="008B3E53" w:rsidRDefault="008B3E53" w:rsidP="0068151C">
            <w:pPr>
              <w:spacing w:before="120" w:after="120"/>
              <w:rPr>
                <w:rFonts w:cs="Arial"/>
                <w:color w:val="000000"/>
                <w:sz w:val="16"/>
                <w:szCs w:val="16"/>
              </w:rPr>
            </w:pPr>
            <w:r w:rsidRPr="008B3E53">
              <w:rPr>
                <w:rFonts w:cs="Arial"/>
                <w:color w:val="000000"/>
                <w:sz w:val="16"/>
                <w:szCs w:val="16"/>
              </w:rPr>
              <w:t>Enhanced understanding of the Development Agenda by Member States, IGOs, civil society and other stakeholders</w:t>
            </w:r>
          </w:p>
        </w:tc>
        <w:tc>
          <w:tcPr>
            <w:tcW w:w="1464" w:type="dxa"/>
            <w:tcBorders>
              <w:top w:val="nil"/>
              <w:left w:val="nil"/>
              <w:bottom w:val="single" w:sz="4" w:space="0" w:color="auto"/>
              <w:right w:val="nil"/>
            </w:tcBorders>
            <w:shd w:val="clear" w:color="000000" w:fill="FFFFFF"/>
            <w:vAlign w:val="center"/>
            <w:hideMark/>
          </w:tcPr>
          <w:p w:rsidR="008B3E53" w:rsidRPr="008B3E53" w:rsidRDefault="008B3E53" w:rsidP="0068151C">
            <w:pPr>
              <w:spacing w:before="120" w:after="120"/>
              <w:jc w:val="right"/>
              <w:rPr>
                <w:rFonts w:cs="Arial"/>
                <w:color w:val="000000"/>
                <w:sz w:val="16"/>
                <w:szCs w:val="16"/>
              </w:rPr>
            </w:pPr>
            <w:r w:rsidRPr="008B3E53">
              <w:rPr>
                <w:rFonts w:cs="Arial"/>
                <w:color w:val="000000"/>
                <w:sz w:val="16"/>
                <w:szCs w:val="16"/>
              </w:rPr>
              <w:t xml:space="preserve">1,523 </w:t>
            </w:r>
          </w:p>
        </w:tc>
        <w:tc>
          <w:tcPr>
            <w:tcW w:w="1465" w:type="dxa"/>
            <w:tcBorders>
              <w:top w:val="nil"/>
              <w:left w:val="nil"/>
              <w:bottom w:val="single" w:sz="4" w:space="0" w:color="auto"/>
              <w:right w:val="nil"/>
            </w:tcBorders>
            <w:shd w:val="clear" w:color="000000" w:fill="FFFFFF"/>
            <w:vAlign w:val="center"/>
            <w:hideMark/>
          </w:tcPr>
          <w:p w:rsidR="008B3E53" w:rsidRPr="008B3E53" w:rsidRDefault="008B3E53" w:rsidP="0068151C">
            <w:pPr>
              <w:spacing w:before="120" w:after="120"/>
              <w:jc w:val="right"/>
              <w:rPr>
                <w:rFonts w:cs="Arial"/>
                <w:color w:val="000000"/>
                <w:sz w:val="16"/>
                <w:szCs w:val="16"/>
              </w:rPr>
            </w:pPr>
            <w:r w:rsidRPr="008B3E53">
              <w:rPr>
                <w:rFonts w:cs="Arial"/>
                <w:color w:val="000000"/>
                <w:sz w:val="16"/>
                <w:szCs w:val="16"/>
              </w:rPr>
              <w:t xml:space="preserve">924 </w:t>
            </w:r>
          </w:p>
        </w:tc>
        <w:tc>
          <w:tcPr>
            <w:tcW w:w="1465" w:type="dxa"/>
            <w:tcBorders>
              <w:top w:val="nil"/>
              <w:left w:val="nil"/>
              <w:bottom w:val="single" w:sz="4" w:space="0" w:color="auto"/>
              <w:right w:val="single" w:sz="4" w:space="0" w:color="auto"/>
            </w:tcBorders>
            <w:shd w:val="clear" w:color="000000" w:fill="FFFFFF"/>
            <w:vAlign w:val="center"/>
            <w:hideMark/>
          </w:tcPr>
          <w:p w:rsidR="008B3E53" w:rsidRPr="008B3E53" w:rsidRDefault="008B3E53" w:rsidP="0068151C">
            <w:pPr>
              <w:spacing w:before="120" w:after="120"/>
              <w:jc w:val="right"/>
              <w:rPr>
                <w:rFonts w:cs="Arial"/>
                <w:color w:val="000000"/>
                <w:sz w:val="16"/>
                <w:szCs w:val="16"/>
              </w:rPr>
            </w:pPr>
            <w:r w:rsidRPr="008B3E53">
              <w:rPr>
                <w:rFonts w:cs="Arial"/>
                <w:color w:val="000000"/>
                <w:sz w:val="16"/>
                <w:szCs w:val="16"/>
              </w:rPr>
              <w:t xml:space="preserve">644 </w:t>
            </w:r>
          </w:p>
        </w:tc>
      </w:tr>
      <w:tr w:rsidR="008B3E53" w:rsidRPr="008B3E53" w:rsidTr="00CD26D6">
        <w:tc>
          <w:tcPr>
            <w:tcW w:w="409" w:type="dxa"/>
            <w:tcBorders>
              <w:top w:val="nil"/>
              <w:left w:val="single" w:sz="4" w:space="0" w:color="auto"/>
              <w:bottom w:val="single" w:sz="4" w:space="0" w:color="auto"/>
              <w:right w:val="nil"/>
            </w:tcBorders>
            <w:shd w:val="clear" w:color="000000" w:fill="CCFFFF"/>
            <w:noWrap/>
            <w:vAlign w:val="bottom"/>
            <w:hideMark/>
          </w:tcPr>
          <w:p w:rsidR="008B3E53" w:rsidRPr="008B3E53" w:rsidRDefault="008B3E53" w:rsidP="0068151C">
            <w:pPr>
              <w:spacing w:before="120" w:after="120"/>
              <w:jc w:val="center"/>
              <w:rPr>
                <w:rFonts w:cs="Arial"/>
                <w:b/>
                <w:bCs/>
                <w:color w:val="000000"/>
                <w:sz w:val="16"/>
                <w:szCs w:val="16"/>
              </w:rPr>
            </w:pPr>
            <w:r w:rsidRPr="008B3E53">
              <w:rPr>
                <w:rFonts w:cs="Arial"/>
                <w:b/>
                <w:bCs/>
                <w:color w:val="000000"/>
                <w:sz w:val="16"/>
                <w:szCs w:val="16"/>
              </w:rPr>
              <w:t> </w:t>
            </w:r>
          </w:p>
        </w:tc>
        <w:tc>
          <w:tcPr>
            <w:tcW w:w="4553" w:type="dxa"/>
            <w:gridSpan w:val="2"/>
            <w:tcBorders>
              <w:top w:val="nil"/>
              <w:left w:val="nil"/>
              <w:bottom w:val="single" w:sz="4" w:space="0" w:color="auto"/>
              <w:right w:val="nil"/>
            </w:tcBorders>
            <w:shd w:val="clear" w:color="000000" w:fill="CCFFFF"/>
            <w:noWrap/>
            <w:vAlign w:val="center"/>
            <w:hideMark/>
          </w:tcPr>
          <w:p w:rsidR="008B3E53" w:rsidRPr="008B3E53" w:rsidRDefault="008B3E53" w:rsidP="0068151C">
            <w:pPr>
              <w:spacing w:before="120" w:after="120"/>
              <w:rPr>
                <w:rFonts w:cs="Arial"/>
                <w:b/>
                <w:bCs/>
                <w:color w:val="000000"/>
                <w:sz w:val="16"/>
                <w:szCs w:val="16"/>
              </w:rPr>
            </w:pPr>
            <w:r w:rsidRPr="008B3E53">
              <w:rPr>
                <w:rFonts w:cs="Arial"/>
                <w:b/>
                <w:bCs/>
                <w:color w:val="000000"/>
                <w:sz w:val="16"/>
                <w:szCs w:val="16"/>
              </w:rPr>
              <w:t>Total</w:t>
            </w:r>
          </w:p>
        </w:tc>
        <w:tc>
          <w:tcPr>
            <w:tcW w:w="1464" w:type="dxa"/>
            <w:tcBorders>
              <w:top w:val="nil"/>
              <w:left w:val="single" w:sz="4" w:space="0" w:color="auto"/>
              <w:bottom w:val="single" w:sz="4" w:space="0" w:color="auto"/>
              <w:right w:val="single" w:sz="4" w:space="0" w:color="auto"/>
            </w:tcBorders>
            <w:shd w:val="clear" w:color="000000" w:fill="CCFFFF"/>
            <w:vAlign w:val="center"/>
            <w:hideMark/>
          </w:tcPr>
          <w:p w:rsidR="008B3E53" w:rsidRPr="008B3E53" w:rsidRDefault="008B3E53" w:rsidP="0068151C">
            <w:pPr>
              <w:spacing w:before="120" w:after="120"/>
              <w:jc w:val="right"/>
              <w:rPr>
                <w:rFonts w:cs="Arial"/>
                <w:b/>
                <w:bCs/>
                <w:color w:val="000000"/>
                <w:sz w:val="16"/>
                <w:szCs w:val="16"/>
              </w:rPr>
            </w:pPr>
            <w:r w:rsidRPr="008B3E53">
              <w:rPr>
                <w:rFonts w:cs="Arial"/>
                <w:b/>
                <w:bCs/>
                <w:color w:val="000000"/>
                <w:sz w:val="16"/>
                <w:szCs w:val="16"/>
              </w:rPr>
              <w:t>4,788</w:t>
            </w:r>
          </w:p>
        </w:tc>
        <w:tc>
          <w:tcPr>
            <w:tcW w:w="1465" w:type="dxa"/>
            <w:tcBorders>
              <w:top w:val="nil"/>
              <w:left w:val="nil"/>
              <w:bottom w:val="single" w:sz="4" w:space="0" w:color="auto"/>
              <w:right w:val="single" w:sz="4" w:space="0" w:color="auto"/>
            </w:tcBorders>
            <w:shd w:val="clear" w:color="000000" w:fill="CCFFFF"/>
            <w:noWrap/>
            <w:vAlign w:val="center"/>
            <w:hideMark/>
          </w:tcPr>
          <w:p w:rsidR="008B3E53" w:rsidRPr="008B3E53" w:rsidRDefault="008B3E53" w:rsidP="0068151C">
            <w:pPr>
              <w:spacing w:before="120" w:after="120"/>
              <w:jc w:val="right"/>
              <w:rPr>
                <w:rFonts w:cs="Arial"/>
                <w:b/>
                <w:bCs/>
                <w:color w:val="000000"/>
                <w:sz w:val="16"/>
                <w:szCs w:val="16"/>
              </w:rPr>
            </w:pPr>
            <w:r w:rsidRPr="008B3E53">
              <w:rPr>
                <w:rFonts w:cs="Arial"/>
                <w:b/>
                <w:bCs/>
                <w:color w:val="000000"/>
                <w:sz w:val="16"/>
                <w:szCs w:val="16"/>
              </w:rPr>
              <w:t>3,934</w:t>
            </w:r>
          </w:p>
        </w:tc>
        <w:tc>
          <w:tcPr>
            <w:tcW w:w="1465" w:type="dxa"/>
            <w:tcBorders>
              <w:top w:val="nil"/>
              <w:left w:val="nil"/>
              <w:bottom w:val="single" w:sz="4" w:space="0" w:color="auto"/>
              <w:right w:val="single" w:sz="4" w:space="0" w:color="auto"/>
            </w:tcBorders>
            <w:shd w:val="clear" w:color="000000" w:fill="CCFFFF"/>
            <w:vAlign w:val="center"/>
            <w:hideMark/>
          </w:tcPr>
          <w:p w:rsidR="008B3E53" w:rsidRPr="008B3E53" w:rsidRDefault="008B3E53" w:rsidP="0068151C">
            <w:pPr>
              <w:spacing w:before="120" w:after="120"/>
              <w:jc w:val="right"/>
              <w:rPr>
                <w:rFonts w:cs="Arial"/>
                <w:b/>
                <w:bCs/>
                <w:color w:val="000000"/>
                <w:sz w:val="16"/>
                <w:szCs w:val="16"/>
              </w:rPr>
            </w:pPr>
            <w:r w:rsidRPr="008B3E53">
              <w:rPr>
                <w:rFonts w:cs="Arial"/>
                <w:b/>
                <w:bCs/>
                <w:color w:val="000000"/>
                <w:sz w:val="16"/>
                <w:szCs w:val="16"/>
              </w:rPr>
              <w:t>3,341</w:t>
            </w:r>
          </w:p>
        </w:tc>
      </w:tr>
    </w:tbl>
    <w:p w:rsidR="008B3E53" w:rsidRDefault="008B3E53" w:rsidP="008B3E53">
      <w:pPr>
        <w:rPr>
          <w:rFonts w:cs="Arial"/>
          <w:sz w:val="18"/>
          <w:szCs w:val="18"/>
        </w:rPr>
      </w:pPr>
      <w:r>
        <w:br w:type="page"/>
      </w:r>
    </w:p>
    <w:p w:rsidR="008B3E53" w:rsidRPr="0027745B" w:rsidRDefault="008B3E53" w:rsidP="008B3E53">
      <w:pPr>
        <w:pStyle w:val="NormalWeb"/>
        <w:spacing w:before="0" w:beforeAutospacing="0" w:after="0" w:afterAutospacing="0"/>
        <w:jc w:val="center"/>
        <w:rPr>
          <w:sz w:val="20"/>
          <w:szCs w:val="20"/>
        </w:rPr>
      </w:pPr>
      <w:r w:rsidRPr="0027745B">
        <w:rPr>
          <w:color w:val="000000"/>
          <w:sz w:val="20"/>
          <w:szCs w:val="20"/>
        </w:rPr>
        <w:lastRenderedPageBreak/>
        <w:t xml:space="preserve">Budget and Actual Expenditure (personnel and non-personnel) </w:t>
      </w:r>
    </w:p>
    <w:p w:rsidR="008B3E53" w:rsidRPr="0027745B" w:rsidRDefault="008B3E53" w:rsidP="008B3E53">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8B3E53" w:rsidRDefault="008B3E53" w:rsidP="008B3E53">
      <w:pPr>
        <w:rPr>
          <w:rFonts w:cs="Arial"/>
          <w:sz w:val="22"/>
          <w:szCs w:val="22"/>
        </w:rPr>
      </w:pPr>
    </w:p>
    <w:tbl>
      <w:tblPr>
        <w:tblW w:w="0" w:type="auto"/>
        <w:tblLook w:val="04A0" w:firstRow="1" w:lastRow="0" w:firstColumn="1" w:lastColumn="0" w:noHBand="0" w:noVBand="1"/>
      </w:tblPr>
      <w:tblGrid>
        <w:gridCol w:w="2376"/>
        <w:gridCol w:w="1772"/>
        <w:gridCol w:w="1772"/>
        <w:gridCol w:w="1772"/>
        <w:gridCol w:w="1772"/>
      </w:tblGrid>
      <w:tr w:rsidR="008B3E53" w:rsidRPr="001D2E83" w:rsidTr="00D16EC9">
        <w:tc>
          <w:tcPr>
            <w:tcW w:w="2376"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1D2E83" w:rsidRDefault="008B3E53" w:rsidP="001D2E83">
            <w:pPr>
              <w:spacing w:before="120" w:after="120"/>
              <w:rPr>
                <w:rFonts w:cs="Arial"/>
                <w:color w:val="000000"/>
                <w:sz w:val="16"/>
                <w:szCs w:val="16"/>
              </w:rPr>
            </w:pPr>
            <w:r w:rsidRPr="001D2E83">
              <w:rPr>
                <w:rFonts w:cs="Arial"/>
                <w:color w:val="000000"/>
                <w:sz w:val="16"/>
                <w:szCs w:val="16"/>
              </w:rPr>
              <w:t> </w:t>
            </w:r>
          </w:p>
        </w:tc>
        <w:tc>
          <w:tcPr>
            <w:tcW w:w="1772" w:type="dxa"/>
            <w:tcBorders>
              <w:top w:val="single" w:sz="4" w:space="0" w:color="auto"/>
              <w:left w:val="nil"/>
              <w:bottom w:val="nil"/>
              <w:right w:val="single" w:sz="4" w:space="0" w:color="auto"/>
            </w:tcBorders>
            <w:shd w:val="clear" w:color="000000" w:fill="CCFFFF"/>
            <w:vAlign w:val="center"/>
            <w:hideMark/>
          </w:tcPr>
          <w:p w:rsidR="008B3E53" w:rsidRPr="001D2E83" w:rsidRDefault="008B3E53" w:rsidP="001D2E83">
            <w:pPr>
              <w:spacing w:before="120" w:after="120"/>
              <w:jc w:val="center"/>
              <w:rPr>
                <w:rFonts w:cs="Arial"/>
                <w:bCs/>
                <w:color w:val="000000"/>
                <w:sz w:val="16"/>
                <w:szCs w:val="16"/>
              </w:rPr>
            </w:pPr>
            <w:r w:rsidRPr="001D2E83">
              <w:rPr>
                <w:rFonts w:cs="Arial"/>
                <w:bCs/>
                <w:color w:val="000000"/>
                <w:sz w:val="16"/>
                <w:szCs w:val="16"/>
              </w:rPr>
              <w:t>Approved Budget 2012/13</w:t>
            </w:r>
          </w:p>
        </w:tc>
        <w:tc>
          <w:tcPr>
            <w:tcW w:w="1772" w:type="dxa"/>
            <w:tcBorders>
              <w:top w:val="single" w:sz="4" w:space="0" w:color="auto"/>
              <w:left w:val="nil"/>
              <w:bottom w:val="nil"/>
              <w:right w:val="single" w:sz="4" w:space="0" w:color="auto"/>
            </w:tcBorders>
            <w:shd w:val="clear" w:color="000000" w:fill="CCFFFF"/>
            <w:vAlign w:val="center"/>
            <w:hideMark/>
          </w:tcPr>
          <w:p w:rsidR="008B3E53" w:rsidRPr="001D2E83" w:rsidRDefault="008B3E53" w:rsidP="001D2E83">
            <w:pPr>
              <w:spacing w:before="120" w:after="120"/>
              <w:jc w:val="center"/>
              <w:rPr>
                <w:rFonts w:cs="Arial"/>
                <w:bCs/>
                <w:color w:val="000000"/>
                <w:sz w:val="16"/>
                <w:szCs w:val="16"/>
              </w:rPr>
            </w:pPr>
            <w:r w:rsidRPr="001D2E83">
              <w:rPr>
                <w:rFonts w:cs="Arial"/>
                <w:bCs/>
                <w:color w:val="000000"/>
                <w:sz w:val="16"/>
                <w:szCs w:val="16"/>
              </w:rPr>
              <w:t>Budget after transfers 2012/13</w:t>
            </w:r>
          </w:p>
        </w:tc>
        <w:tc>
          <w:tcPr>
            <w:tcW w:w="1772" w:type="dxa"/>
            <w:tcBorders>
              <w:top w:val="single" w:sz="4" w:space="0" w:color="auto"/>
              <w:left w:val="nil"/>
              <w:bottom w:val="nil"/>
              <w:right w:val="single" w:sz="4" w:space="0" w:color="auto"/>
            </w:tcBorders>
            <w:shd w:val="clear" w:color="000000" w:fill="CCFFFF"/>
            <w:vAlign w:val="center"/>
            <w:hideMark/>
          </w:tcPr>
          <w:p w:rsidR="008B3E53" w:rsidRPr="001D2E83" w:rsidRDefault="008B3E53" w:rsidP="001D2E83">
            <w:pPr>
              <w:spacing w:before="120" w:after="120"/>
              <w:jc w:val="center"/>
              <w:rPr>
                <w:rFonts w:cs="Arial"/>
                <w:bCs/>
                <w:color w:val="000000"/>
                <w:sz w:val="16"/>
                <w:szCs w:val="16"/>
              </w:rPr>
            </w:pPr>
            <w:r w:rsidRPr="001D2E83">
              <w:rPr>
                <w:rFonts w:cs="Arial"/>
                <w:bCs/>
                <w:color w:val="000000"/>
                <w:sz w:val="16"/>
                <w:szCs w:val="16"/>
              </w:rPr>
              <w:t>Expenditures 2012/13</w:t>
            </w:r>
          </w:p>
        </w:tc>
        <w:tc>
          <w:tcPr>
            <w:tcW w:w="1772" w:type="dxa"/>
            <w:tcBorders>
              <w:top w:val="single" w:sz="4" w:space="0" w:color="auto"/>
              <w:left w:val="nil"/>
              <w:bottom w:val="nil"/>
              <w:right w:val="single" w:sz="4" w:space="0" w:color="auto"/>
            </w:tcBorders>
            <w:shd w:val="clear" w:color="000000" w:fill="CCFFFF"/>
            <w:vAlign w:val="center"/>
            <w:hideMark/>
          </w:tcPr>
          <w:p w:rsidR="008B3E53" w:rsidRPr="001D2E83" w:rsidRDefault="008B3E53" w:rsidP="001D2E83">
            <w:pPr>
              <w:spacing w:before="120" w:after="120"/>
              <w:jc w:val="center"/>
              <w:rPr>
                <w:rFonts w:cs="Arial"/>
                <w:bCs/>
                <w:color w:val="000000"/>
                <w:sz w:val="16"/>
                <w:szCs w:val="16"/>
              </w:rPr>
            </w:pPr>
            <w:r w:rsidRPr="001D2E83">
              <w:rPr>
                <w:rFonts w:cs="Arial"/>
                <w:bCs/>
                <w:color w:val="000000"/>
                <w:sz w:val="16"/>
                <w:szCs w:val="16"/>
              </w:rPr>
              <w:t>Utilization rate (%)</w:t>
            </w:r>
          </w:p>
        </w:tc>
      </w:tr>
      <w:tr w:rsidR="008B3E53" w:rsidRPr="008B3E53" w:rsidTr="00D16EC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8B3E53" w:rsidRPr="008B3E53" w:rsidRDefault="008B3E53" w:rsidP="001D2E83">
            <w:pPr>
              <w:spacing w:before="120" w:after="120"/>
              <w:rPr>
                <w:rFonts w:cs="Arial"/>
                <w:color w:val="000000"/>
                <w:sz w:val="16"/>
                <w:szCs w:val="16"/>
              </w:rPr>
            </w:pPr>
            <w:r w:rsidRPr="008B3E53">
              <w:rPr>
                <w:rFonts w:cs="Arial"/>
                <w:color w:val="000000"/>
                <w:sz w:val="16"/>
                <w:szCs w:val="16"/>
              </w:rPr>
              <w:t xml:space="preserve">Personnel Resources  </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2,813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2,273</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100%</w:t>
            </w:r>
          </w:p>
        </w:tc>
      </w:tr>
      <w:tr w:rsidR="008B3E53" w:rsidRPr="008B3E53" w:rsidTr="00D16EC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8B3E53" w:rsidRPr="008B3E53" w:rsidRDefault="008B3E53" w:rsidP="001D2E83">
            <w:pPr>
              <w:spacing w:before="120" w:after="120"/>
              <w:rPr>
                <w:rFonts w:cs="Arial"/>
                <w:color w:val="000000"/>
                <w:sz w:val="16"/>
                <w:szCs w:val="16"/>
              </w:rPr>
            </w:pPr>
            <w:r w:rsidRPr="008B3E53">
              <w:rPr>
                <w:rFonts w:cs="Arial"/>
                <w:color w:val="000000"/>
                <w:sz w:val="16"/>
                <w:szCs w:val="16"/>
              </w:rPr>
              <w:t xml:space="preserve">Non-personnel Resources </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1,975</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1,662</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1,068</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color w:val="000000"/>
                <w:sz w:val="16"/>
                <w:szCs w:val="16"/>
              </w:rPr>
            </w:pPr>
            <w:r w:rsidRPr="008B3E53">
              <w:rPr>
                <w:rFonts w:cs="Arial"/>
                <w:color w:val="000000"/>
                <w:sz w:val="16"/>
                <w:szCs w:val="16"/>
              </w:rPr>
              <w:t>64%</w:t>
            </w:r>
          </w:p>
        </w:tc>
      </w:tr>
      <w:tr w:rsidR="008B3E53" w:rsidRPr="008B3E53" w:rsidTr="00D16EC9">
        <w:tc>
          <w:tcPr>
            <w:tcW w:w="2376" w:type="dxa"/>
            <w:tcBorders>
              <w:top w:val="nil"/>
              <w:left w:val="single" w:sz="4" w:space="0" w:color="auto"/>
              <w:bottom w:val="single" w:sz="4" w:space="0" w:color="auto"/>
              <w:right w:val="single" w:sz="4" w:space="0" w:color="auto"/>
            </w:tcBorders>
            <w:shd w:val="clear" w:color="auto" w:fill="auto"/>
            <w:noWrap/>
            <w:vAlign w:val="center"/>
            <w:hideMark/>
          </w:tcPr>
          <w:p w:rsidR="008B3E53" w:rsidRPr="008B3E53" w:rsidRDefault="008B3E53" w:rsidP="001D2E83">
            <w:pPr>
              <w:spacing w:before="120" w:after="120"/>
              <w:jc w:val="right"/>
              <w:rPr>
                <w:rFonts w:cs="Arial"/>
                <w:b/>
                <w:bCs/>
                <w:color w:val="000000"/>
                <w:sz w:val="16"/>
                <w:szCs w:val="16"/>
              </w:rPr>
            </w:pPr>
            <w:r w:rsidRPr="008B3E53">
              <w:rPr>
                <w:rFonts w:cs="Arial"/>
                <w:b/>
                <w:bCs/>
                <w:color w:val="000000"/>
                <w:sz w:val="16"/>
                <w:szCs w:val="16"/>
              </w:rPr>
              <w:t xml:space="preserve">TOTAL </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b/>
                <w:bCs/>
                <w:color w:val="000000"/>
                <w:sz w:val="16"/>
                <w:szCs w:val="16"/>
              </w:rPr>
            </w:pPr>
            <w:r w:rsidRPr="008B3E53">
              <w:rPr>
                <w:rFonts w:cs="Arial"/>
                <w:b/>
                <w:bCs/>
                <w:color w:val="000000"/>
                <w:sz w:val="16"/>
                <w:szCs w:val="16"/>
              </w:rPr>
              <w:t>4,788</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b/>
                <w:bCs/>
                <w:color w:val="000000"/>
                <w:sz w:val="16"/>
                <w:szCs w:val="16"/>
              </w:rPr>
            </w:pPr>
            <w:r w:rsidRPr="008B3E53">
              <w:rPr>
                <w:rFonts w:cs="Arial"/>
                <w:b/>
                <w:bCs/>
                <w:color w:val="000000"/>
                <w:sz w:val="16"/>
                <w:szCs w:val="16"/>
              </w:rPr>
              <w:t>3,934</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b/>
                <w:bCs/>
                <w:color w:val="000000"/>
                <w:sz w:val="16"/>
                <w:szCs w:val="16"/>
              </w:rPr>
            </w:pPr>
            <w:r w:rsidRPr="008B3E53">
              <w:rPr>
                <w:rFonts w:cs="Arial"/>
                <w:b/>
                <w:bCs/>
                <w:color w:val="000000"/>
                <w:sz w:val="16"/>
                <w:szCs w:val="16"/>
              </w:rPr>
              <w:t>3,341</w:t>
            </w:r>
          </w:p>
        </w:tc>
        <w:tc>
          <w:tcPr>
            <w:tcW w:w="1772" w:type="dxa"/>
            <w:tcBorders>
              <w:top w:val="nil"/>
              <w:left w:val="nil"/>
              <w:bottom w:val="single" w:sz="4" w:space="0" w:color="auto"/>
              <w:right w:val="single" w:sz="4" w:space="0" w:color="auto"/>
            </w:tcBorders>
            <w:shd w:val="clear" w:color="auto" w:fill="auto"/>
            <w:vAlign w:val="center"/>
            <w:hideMark/>
          </w:tcPr>
          <w:p w:rsidR="008B3E53" w:rsidRPr="008B3E53" w:rsidRDefault="008B3E53" w:rsidP="001D2E83">
            <w:pPr>
              <w:spacing w:before="120" w:after="120"/>
              <w:jc w:val="center"/>
              <w:rPr>
                <w:rFonts w:cs="Arial"/>
                <w:b/>
                <w:bCs/>
                <w:color w:val="000000"/>
                <w:sz w:val="16"/>
                <w:szCs w:val="16"/>
              </w:rPr>
            </w:pPr>
            <w:r w:rsidRPr="008B3E53">
              <w:rPr>
                <w:rFonts w:cs="Arial"/>
                <w:b/>
                <w:bCs/>
                <w:color w:val="000000"/>
                <w:sz w:val="16"/>
                <w:szCs w:val="16"/>
              </w:rPr>
              <w:t>85%</w:t>
            </w:r>
          </w:p>
        </w:tc>
      </w:tr>
    </w:tbl>
    <w:p w:rsidR="008B3E53" w:rsidRPr="0098133B" w:rsidRDefault="008B3E53" w:rsidP="008B3E53">
      <w:pPr>
        <w:keepNext/>
        <w:keepLines/>
        <w:tabs>
          <w:tab w:val="left" w:pos="2910"/>
        </w:tabs>
        <w:rPr>
          <w:rFonts w:cs="Arial"/>
          <w:sz w:val="22"/>
          <w:szCs w:val="22"/>
        </w:rPr>
      </w:pPr>
    </w:p>
    <w:p w:rsidR="008B3E53" w:rsidRPr="00CD0DD3" w:rsidRDefault="008B3E53" w:rsidP="008B3E53">
      <w:pPr>
        <w:keepNext/>
        <w:keepLines/>
        <w:autoSpaceDE w:val="0"/>
        <w:autoSpaceDN w:val="0"/>
        <w:adjustRightInd w:val="0"/>
        <w:rPr>
          <w:sz w:val="16"/>
          <w:szCs w:val="16"/>
        </w:rPr>
      </w:pPr>
      <w:r w:rsidRPr="00CD0DD3">
        <w:rPr>
          <w:sz w:val="16"/>
          <w:szCs w:val="16"/>
        </w:rPr>
        <w:t>NOTES:</w:t>
      </w:r>
    </w:p>
    <w:p w:rsidR="008B3E53" w:rsidRDefault="008B3E53" w:rsidP="008B3E53">
      <w:pPr>
        <w:keepNext/>
        <w:keepLines/>
        <w:autoSpaceDE w:val="0"/>
        <w:autoSpaceDN w:val="0"/>
        <w:adjustRightInd w:val="0"/>
        <w:rPr>
          <w:sz w:val="16"/>
          <w:szCs w:val="16"/>
        </w:rPr>
      </w:pPr>
    </w:p>
    <w:p w:rsidR="008B3E53" w:rsidRDefault="008B3E53" w:rsidP="008B3E53">
      <w:pPr>
        <w:keepNext/>
        <w:keepLines/>
        <w:autoSpaceDE w:val="0"/>
        <w:autoSpaceDN w:val="0"/>
        <w:adjustRightInd w:val="0"/>
        <w:rPr>
          <w:sz w:val="16"/>
          <w:szCs w:val="16"/>
        </w:rPr>
      </w:pPr>
      <w:r w:rsidRPr="00CD0DD3">
        <w:rPr>
          <w:sz w:val="16"/>
          <w:szCs w:val="16"/>
        </w:rPr>
        <w:t>(1)  Budget after transfers reflects the adjusted budget of Programs, following transfers during 2012/13 in line with Financial Regulation 5.5.</w:t>
      </w:r>
    </w:p>
    <w:p w:rsidR="001D2E83" w:rsidRPr="00CD0DD3" w:rsidRDefault="001D2E83" w:rsidP="008B3E53">
      <w:pPr>
        <w:keepNext/>
        <w:keepLines/>
        <w:autoSpaceDE w:val="0"/>
        <w:autoSpaceDN w:val="0"/>
        <w:adjustRightInd w:val="0"/>
        <w:rPr>
          <w:sz w:val="16"/>
          <w:szCs w:val="16"/>
        </w:rPr>
      </w:pPr>
    </w:p>
    <w:p w:rsidR="008B3E53" w:rsidRPr="00CD0DD3" w:rsidRDefault="00DC2CFA" w:rsidP="008B3E53">
      <w:pPr>
        <w:keepNext/>
        <w:keepLines/>
        <w:autoSpaceDE w:val="0"/>
        <w:autoSpaceDN w:val="0"/>
        <w:adjustRightInd w:val="0"/>
        <w:rPr>
          <w:sz w:val="16"/>
          <w:szCs w:val="16"/>
        </w:rPr>
      </w:pPr>
      <w:r>
        <w:rPr>
          <w:sz w:val="16"/>
          <w:szCs w:val="16"/>
        </w:rPr>
        <w:t xml:space="preserve">(2)  The personnel allocation for the 2012/13 Budget after transfers represents actual expenditures incurred in the biennium. </w:t>
      </w:r>
      <w:r w:rsidR="008B3E53" w:rsidRPr="00CD0DD3">
        <w:rPr>
          <w:sz w:val="16"/>
          <w:szCs w:val="16"/>
        </w:rPr>
        <w:t xml:space="preserve"> </w:t>
      </w:r>
    </w:p>
    <w:p w:rsidR="008B3E53" w:rsidRDefault="008B3E53" w:rsidP="008B3E53"/>
    <w:p w:rsidR="008B3E53" w:rsidRDefault="008B3E53" w:rsidP="008B3E53"/>
    <w:p w:rsidR="008B3E53" w:rsidRPr="005967AA" w:rsidRDefault="008B3E53" w:rsidP="0068151C">
      <w:pPr>
        <w:tabs>
          <w:tab w:val="left" w:pos="709"/>
        </w:tabs>
        <w:rPr>
          <w:szCs w:val="20"/>
          <w:u w:val="single"/>
        </w:rPr>
      </w:pPr>
      <w:r w:rsidRPr="0027745B">
        <w:rPr>
          <w:szCs w:val="20"/>
        </w:rPr>
        <w:t>A.</w:t>
      </w:r>
      <w:r w:rsidRPr="0027745B">
        <w:rPr>
          <w:szCs w:val="20"/>
        </w:rPr>
        <w:tab/>
      </w:r>
      <w:r w:rsidRPr="005967AA">
        <w:rPr>
          <w:szCs w:val="20"/>
          <w:u w:val="single"/>
        </w:rPr>
        <w:t>Budget after Transfers 2012/13</w:t>
      </w:r>
    </w:p>
    <w:p w:rsidR="008B3E53" w:rsidRPr="005967AA" w:rsidRDefault="008B3E53" w:rsidP="0068151C">
      <w:pPr>
        <w:tabs>
          <w:tab w:val="left" w:pos="709"/>
        </w:tabs>
        <w:autoSpaceDE w:val="0"/>
        <w:autoSpaceDN w:val="0"/>
        <w:adjustRightInd w:val="0"/>
        <w:jc w:val="both"/>
        <w:rPr>
          <w:szCs w:val="20"/>
        </w:rPr>
      </w:pPr>
    </w:p>
    <w:p w:rsidR="008B3E53" w:rsidRPr="00690584" w:rsidRDefault="008B3E53" w:rsidP="0068151C">
      <w:pPr>
        <w:tabs>
          <w:tab w:val="left" w:pos="709"/>
        </w:tabs>
        <w:autoSpaceDE w:val="0"/>
        <w:autoSpaceDN w:val="0"/>
        <w:adjustRightInd w:val="0"/>
        <w:jc w:val="both"/>
        <w:rPr>
          <w:rFonts w:eastAsia="Batang"/>
          <w:szCs w:val="20"/>
          <w:lang w:eastAsia="ko-KR"/>
        </w:rPr>
      </w:pPr>
      <w:r>
        <w:rPr>
          <w:szCs w:val="20"/>
        </w:rPr>
        <w:t>8.5</w:t>
      </w:r>
      <w:r w:rsidR="0068151C">
        <w:rPr>
          <w:szCs w:val="20"/>
        </w:rPr>
        <w:t>.</w:t>
      </w:r>
      <w:r>
        <w:rPr>
          <w:szCs w:val="20"/>
        </w:rPr>
        <w:tab/>
      </w:r>
      <w:r w:rsidRPr="005967AA">
        <w:rPr>
          <w:szCs w:val="20"/>
        </w:rPr>
        <w:t xml:space="preserve">The non-personnel allocation for the 2012/13 Budget after Transfers reflects downward adjustments made for cost efficiency gains, in accordance with the Organization’s commitment to reduce expenditures by 10.2 million Swiss francs in the 2012/13 biennium.  In addition, </w:t>
      </w:r>
      <w:r>
        <w:rPr>
          <w:rFonts w:eastAsia="Batang"/>
          <w:szCs w:val="20"/>
          <w:lang w:eastAsia="ko-KR"/>
        </w:rPr>
        <w:t>t</w:t>
      </w:r>
      <w:r w:rsidRPr="00690584">
        <w:rPr>
          <w:rFonts w:eastAsia="Batang"/>
          <w:szCs w:val="20"/>
          <w:lang w:eastAsia="ko-KR"/>
        </w:rPr>
        <w:t xml:space="preserve">he Conference on IP and Development, scheduled to take place during the biennium, was postponed upon request of the Chair of the CDIP, due to a lack of agreement among Member States on the speakers for the Conference. </w:t>
      </w:r>
    </w:p>
    <w:p w:rsidR="008B3E53" w:rsidRDefault="008B3E53" w:rsidP="0068151C">
      <w:pPr>
        <w:keepNext/>
        <w:keepLines/>
        <w:tabs>
          <w:tab w:val="left" w:pos="709"/>
        </w:tabs>
        <w:autoSpaceDE w:val="0"/>
        <w:autoSpaceDN w:val="0"/>
        <w:adjustRightInd w:val="0"/>
        <w:rPr>
          <w:szCs w:val="20"/>
        </w:rPr>
      </w:pPr>
    </w:p>
    <w:p w:rsidR="008B3E53" w:rsidRDefault="008B3E53" w:rsidP="0068151C">
      <w:pPr>
        <w:keepNext/>
        <w:tabs>
          <w:tab w:val="left" w:pos="709"/>
        </w:tabs>
        <w:autoSpaceDE w:val="0"/>
        <w:autoSpaceDN w:val="0"/>
      </w:pPr>
      <w:r>
        <w:rPr>
          <w:szCs w:val="20"/>
        </w:rPr>
        <w:t>8.6</w:t>
      </w:r>
      <w:r w:rsidR="0068151C">
        <w:rPr>
          <w:szCs w:val="20"/>
        </w:rPr>
        <w:t>.</w:t>
      </w:r>
      <w:r>
        <w:rPr>
          <w:szCs w:val="20"/>
        </w:rPr>
        <w:tab/>
        <w:t>The decrease in the allocation of personnel resources was primarily due to the</w:t>
      </w:r>
      <w:r w:rsidRPr="00593FA9">
        <w:t xml:space="preserve"> </w:t>
      </w:r>
      <w:r>
        <w:t xml:space="preserve">delay in the recruitment on several vacant posts in the Program. </w:t>
      </w:r>
    </w:p>
    <w:p w:rsidR="008B3E53" w:rsidRDefault="008B3E53" w:rsidP="008B3E53">
      <w:pPr>
        <w:rPr>
          <w:rFonts w:eastAsia="Batang"/>
          <w:u w:val="single"/>
          <w:lang w:eastAsia="ko-KR"/>
        </w:rPr>
      </w:pPr>
    </w:p>
    <w:p w:rsidR="008B3E53" w:rsidRDefault="008B3E53" w:rsidP="0068151C">
      <w:pPr>
        <w:tabs>
          <w:tab w:val="left" w:pos="709"/>
        </w:tabs>
        <w:rPr>
          <w:rFonts w:eastAsia="Batang"/>
          <w:u w:val="single"/>
          <w:lang w:eastAsia="ko-KR"/>
        </w:rPr>
      </w:pPr>
      <w:r w:rsidRPr="0027745B">
        <w:rPr>
          <w:rFonts w:eastAsia="Batang"/>
          <w:lang w:eastAsia="ko-KR"/>
        </w:rPr>
        <w:t>B.</w:t>
      </w:r>
      <w:r w:rsidRPr="0027745B">
        <w:rPr>
          <w:rFonts w:eastAsia="Batang"/>
          <w:lang w:eastAsia="ko-KR"/>
        </w:rPr>
        <w:tab/>
      </w:r>
      <w:r w:rsidR="00D44A34">
        <w:rPr>
          <w:rFonts w:eastAsia="Batang"/>
          <w:u w:val="single"/>
          <w:lang w:eastAsia="ko-KR"/>
        </w:rPr>
        <w:t>Budget U</w:t>
      </w:r>
      <w:r w:rsidRPr="00B56FE4">
        <w:rPr>
          <w:rFonts w:eastAsia="Batang"/>
          <w:u w:val="single"/>
          <w:lang w:eastAsia="ko-KR"/>
        </w:rPr>
        <w:t>tilization 2012</w:t>
      </w:r>
      <w:r>
        <w:rPr>
          <w:rFonts w:eastAsia="Batang"/>
          <w:u w:val="single"/>
          <w:lang w:eastAsia="ko-KR"/>
        </w:rPr>
        <w:t>/13</w:t>
      </w:r>
    </w:p>
    <w:p w:rsidR="008B3E53" w:rsidRDefault="008B3E53" w:rsidP="008B3E53"/>
    <w:p w:rsidR="008B3E53" w:rsidRPr="00690584" w:rsidRDefault="008B3E53" w:rsidP="0068151C">
      <w:pPr>
        <w:tabs>
          <w:tab w:val="left" w:pos="709"/>
        </w:tabs>
        <w:autoSpaceDE w:val="0"/>
        <w:autoSpaceDN w:val="0"/>
        <w:adjustRightInd w:val="0"/>
        <w:jc w:val="both"/>
        <w:rPr>
          <w:rFonts w:eastAsia="Batang"/>
          <w:lang w:eastAsia="ko-KR"/>
        </w:rPr>
      </w:pPr>
      <w:r>
        <w:rPr>
          <w:rFonts w:eastAsia="Batang"/>
          <w:lang w:eastAsia="ko-KR"/>
        </w:rPr>
        <w:t>8.7</w:t>
      </w:r>
      <w:r w:rsidR="0068151C">
        <w:rPr>
          <w:rFonts w:eastAsia="Batang"/>
          <w:lang w:eastAsia="ko-KR"/>
        </w:rPr>
        <w:t>.</w:t>
      </w:r>
      <w:r>
        <w:rPr>
          <w:rFonts w:eastAsia="Batang"/>
          <w:lang w:eastAsia="ko-KR"/>
        </w:rPr>
        <w:tab/>
        <w:t xml:space="preserve">The budget utilization of 64 per cent was primarily due to lower than expected expenditure on: </w:t>
      </w:r>
      <w:r w:rsidR="00D16EC9">
        <w:rPr>
          <w:rFonts w:eastAsia="Batang"/>
          <w:lang w:eastAsia="ko-KR"/>
        </w:rPr>
        <w:t xml:space="preserve"> (</w:t>
      </w:r>
      <w:r w:rsidR="006C0510">
        <w:rPr>
          <w:rFonts w:eastAsia="Batang"/>
          <w:lang w:eastAsia="ko-KR"/>
        </w:rPr>
        <w:t>i</w:t>
      </w:r>
      <w:r>
        <w:rPr>
          <w:rFonts w:eastAsia="Batang"/>
          <w:lang w:eastAsia="ko-KR"/>
        </w:rPr>
        <w:t>)</w:t>
      </w:r>
      <w:r w:rsidR="006C0510">
        <w:rPr>
          <w:rFonts w:eastAsia="Batang"/>
          <w:lang w:eastAsia="ko-KR"/>
        </w:rPr>
        <w:t> </w:t>
      </w:r>
      <w:r>
        <w:rPr>
          <w:rFonts w:eastAsia="Batang"/>
          <w:lang w:eastAsia="ko-KR"/>
        </w:rPr>
        <w:t>CDIP sessions due to cost savings on third party travel (Result III.6)</w:t>
      </w:r>
      <w:proofErr w:type="gramStart"/>
      <w:r>
        <w:rPr>
          <w:rFonts w:eastAsia="Batang"/>
          <w:lang w:eastAsia="ko-KR"/>
        </w:rPr>
        <w:t xml:space="preserve">; </w:t>
      </w:r>
      <w:r w:rsidR="00D16EC9">
        <w:rPr>
          <w:rFonts w:eastAsia="Batang"/>
          <w:lang w:eastAsia="ko-KR"/>
        </w:rPr>
        <w:t xml:space="preserve"> (</w:t>
      </w:r>
      <w:proofErr w:type="gramEnd"/>
      <w:r w:rsidR="006C0510">
        <w:rPr>
          <w:rFonts w:eastAsia="Batang"/>
          <w:lang w:eastAsia="ko-KR"/>
        </w:rPr>
        <w:t>ii</w:t>
      </w:r>
      <w:r>
        <w:rPr>
          <w:rFonts w:eastAsia="Batang"/>
          <w:lang w:eastAsia="ko-KR"/>
        </w:rPr>
        <w:t xml:space="preserve">) Development Agenda promotion and communication due to the organization of fewer national and regional seminars than originally expected (Result III.8); </w:t>
      </w:r>
      <w:r w:rsidR="00D16EC9">
        <w:rPr>
          <w:rFonts w:eastAsia="Batang"/>
          <w:lang w:eastAsia="ko-KR"/>
        </w:rPr>
        <w:t xml:space="preserve"> </w:t>
      </w:r>
      <w:r>
        <w:rPr>
          <w:rFonts w:eastAsia="Batang"/>
          <w:lang w:eastAsia="ko-KR"/>
        </w:rPr>
        <w:t xml:space="preserve">and </w:t>
      </w:r>
      <w:r w:rsidR="00D16EC9">
        <w:rPr>
          <w:rFonts w:eastAsia="Batang"/>
          <w:lang w:eastAsia="ko-KR"/>
        </w:rPr>
        <w:t>(</w:t>
      </w:r>
      <w:r w:rsidR="006C0510">
        <w:rPr>
          <w:rFonts w:eastAsia="Batang"/>
          <w:lang w:eastAsia="ko-KR"/>
        </w:rPr>
        <w:t>iii</w:t>
      </w:r>
      <w:r>
        <w:rPr>
          <w:rFonts w:eastAsia="Batang"/>
          <w:lang w:eastAsia="ko-KR"/>
        </w:rPr>
        <w:t xml:space="preserve">) savings on contractual services for the evaluations of completed DA projects (Result III.7).  </w:t>
      </w:r>
    </w:p>
    <w:p w:rsidR="008B3E53" w:rsidRPr="00690584" w:rsidRDefault="008B3E53" w:rsidP="008B3E53">
      <w:pPr>
        <w:autoSpaceDE w:val="0"/>
        <w:autoSpaceDN w:val="0"/>
        <w:adjustRightInd w:val="0"/>
        <w:jc w:val="both"/>
        <w:rPr>
          <w:rFonts w:eastAsia="Batang"/>
          <w:lang w:eastAsia="ko-KR"/>
        </w:rPr>
      </w:pPr>
    </w:p>
    <w:p w:rsidR="008B3E53" w:rsidRPr="00690584" w:rsidRDefault="008B3E53" w:rsidP="008B3E53">
      <w:pPr>
        <w:autoSpaceDE w:val="0"/>
        <w:autoSpaceDN w:val="0"/>
        <w:adjustRightInd w:val="0"/>
        <w:ind w:left="567"/>
        <w:jc w:val="both"/>
        <w:rPr>
          <w:rFonts w:eastAsia="Batang"/>
          <w:lang w:eastAsia="ko-KR"/>
        </w:rPr>
      </w:pPr>
    </w:p>
    <w:p w:rsidR="008B3E53" w:rsidRDefault="008B3E53">
      <w:pPr>
        <w:rPr>
          <w:szCs w:val="20"/>
        </w:rPr>
      </w:pPr>
      <w:r>
        <w:br w:type="page"/>
      </w:r>
    </w:p>
    <w:p w:rsidR="008B3E53" w:rsidRPr="00305272" w:rsidRDefault="00305272" w:rsidP="00305272">
      <w:pPr>
        <w:pStyle w:val="Heading3"/>
      </w:pPr>
      <w:bookmarkStart w:id="32" w:name="_Toc393956053"/>
      <w:r w:rsidRPr="00305272">
        <w:lastRenderedPageBreak/>
        <w:t>Program 9</w:t>
      </w:r>
      <w:r w:rsidRPr="00305272">
        <w:tab/>
        <w:t>Africa, Arab, Asia And The Pacific, Latin America and the Caribbean Countries, Least Developed Countries</w:t>
      </w:r>
      <w:bookmarkEnd w:id="32"/>
    </w:p>
    <w:p w:rsidR="008B3E53" w:rsidRPr="0000707D" w:rsidRDefault="008B3E53" w:rsidP="008B3E53">
      <w:pPr>
        <w:rPr>
          <w:rFonts w:cs="Arial"/>
          <w:sz w:val="22"/>
          <w:szCs w:val="22"/>
        </w:rPr>
      </w:pPr>
    </w:p>
    <w:p w:rsidR="008B3E53" w:rsidRPr="0000707D" w:rsidRDefault="008B3E53" w:rsidP="008B3E53">
      <w:pPr>
        <w:tabs>
          <w:tab w:val="left" w:pos="2268"/>
        </w:tabs>
        <w:rPr>
          <w:rFonts w:cs="Arial"/>
          <w:b/>
          <w:sz w:val="22"/>
          <w:szCs w:val="22"/>
        </w:rPr>
      </w:pPr>
      <w:r w:rsidRPr="0000707D">
        <w:rPr>
          <w:rFonts w:cs="Arial"/>
          <w:b/>
          <w:sz w:val="22"/>
          <w:szCs w:val="22"/>
        </w:rPr>
        <w:t>Program Manager</w:t>
      </w:r>
      <w:r w:rsidRPr="0000707D">
        <w:rPr>
          <w:rFonts w:cs="Arial"/>
          <w:b/>
          <w:sz w:val="22"/>
          <w:szCs w:val="22"/>
        </w:rPr>
        <w:tab/>
        <w:t>Mr. G. Onyeama</w:t>
      </w:r>
    </w:p>
    <w:p w:rsidR="008B3E53" w:rsidRPr="0000707D" w:rsidRDefault="008B3E53" w:rsidP="008B3E53">
      <w:pPr>
        <w:rPr>
          <w:sz w:val="22"/>
          <w:szCs w:val="22"/>
        </w:rPr>
      </w:pPr>
    </w:p>
    <w:p w:rsidR="008B3E53" w:rsidRPr="0000707D" w:rsidRDefault="008B3E53" w:rsidP="008B3E53">
      <w:pPr>
        <w:rPr>
          <w:bCs/>
          <w:sz w:val="22"/>
          <w:szCs w:val="22"/>
        </w:rPr>
      </w:pPr>
    </w:p>
    <w:p w:rsidR="008B3E53" w:rsidRDefault="008B3E53" w:rsidP="008B3E53">
      <w:pPr>
        <w:jc w:val="both"/>
        <w:rPr>
          <w:rFonts w:cs="Arial"/>
          <w:sz w:val="22"/>
          <w:szCs w:val="22"/>
        </w:rPr>
      </w:pPr>
      <w:r w:rsidRPr="0000707D">
        <w:rPr>
          <w:bCs/>
          <w:sz w:val="22"/>
          <w:szCs w:val="22"/>
        </w:rPr>
        <w:t>ACHIEVEMENTS IN THE 2012/13 BIENNIUM</w:t>
      </w:r>
    </w:p>
    <w:p w:rsidR="008B3E53" w:rsidRDefault="008B3E53" w:rsidP="008B3E53">
      <w:pPr>
        <w:jc w:val="both"/>
        <w:rPr>
          <w:rFonts w:cs="Arial"/>
          <w:sz w:val="22"/>
          <w:szCs w:val="22"/>
        </w:rPr>
      </w:pPr>
    </w:p>
    <w:p w:rsidR="008B3E53" w:rsidRPr="0027745B" w:rsidRDefault="008B3E53" w:rsidP="005703CF">
      <w:pPr>
        <w:pStyle w:val="ListParagraph"/>
        <w:numPr>
          <w:ilvl w:val="0"/>
          <w:numId w:val="35"/>
        </w:numPr>
        <w:tabs>
          <w:tab w:val="left" w:pos="709"/>
        </w:tabs>
        <w:ind w:left="0" w:firstLine="0"/>
        <w:jc w:val="both"/>
        <w:rPr>
          <w:rFonts w:cs="Arial"/>
          <w:bCs/>
          <w:color w:val="000000"/>
        </w:rPr>
      </w:pPr>
      <w:r w:rsidRPr="0027745B">
        <w:rPr>
          <w:rFonts w:cs="Arial"/>
          <w:bCs/>
          <w:color w:val="000000"/>
        </w:rPr>
        <w:t xml:space="preserve">Facilitating the use of IP for development and empowering developing countries and LDCs to harness IP for enhancing national innovation potential and capacities continued to drive the work of the Program throughout the biennium.  Serving as the primary interface between these Member States, on the one hand, and the various Programs of WIPO, on the other hand, the Program was critical in ensuring country-specific, needs-based, coherent and well-coordinated delivery of technical assistance.  </w:t>
      </w:r>
    </w:p>
    <w:p w:rsidR="008B3E53" w:rsidRDefault="008B3E53" w:rsidP="00003F4D">
      <w:pPr>
        <w:tabs>
          <w:tab w:val="left" w:pos="709"/>
        </w:tabs>
        <w:jc w:val="both"/>
        <w:rPr>
          <w:rFonts w:cs="Arial"/>
          <w:bCs/>
          <w:color w:val="000000"/>
          <w:szCs w:val="20"/>
        </w:rPr>
      </w:pPr>
    </w:p>
    <w:p w:rsidR="008B3E53" w:rsidRPr="0027745B" w:rsidRDefault="008B3E53" w:rsidP="005703CF">
      <w:pPr>
        <w:pStyle w:val="ListParagraph"/>
        <w:numPr>
          <w:ilvl w:val="0"/>
          <w:numId w:val="35"/>
        </w:numPr>
        <w:tabs>
          <w:tab w:val="left" w:pos="709"/>
        </w:tabs>
        <w:ind w:left="0" w:firstLine="0"/>
        <w:jc w:val="both"/>
        <w:rPr>
          <w:rFonts w:cs="Arial"/>
          <w:bCs/>
          <w:color w:val="000000"/>
        </w:rPr>
      </w:pPr>
      <w:r w:rsidRPr="0027745B">
        <w:rPr>
          <w:rFonts w:cs="Arial"/>
          <w:bCs/>
          <w:color w:val="000000"/>
        </w:rPr>
        <w:t>During the biennium, the use of various tools such as needs assessments and programming missions to inform country plans has resulted in the strengthening of the program of technical cooperation and improvement of the delivery of development oriented activities to developing countries and LDCs, while taking into account the diversity of the growing needs of all beneficiary countries.  Overall, there has been an enhanced mainstreaming of development across various specialized Programs of the Organization in line with the DA Recommendations.</w:t>
      </w:r>
    </w:p>
    <w:p w:rsidR="008B3E53" w:rsidRDefault="008B3E53" w:rsidP="00003F4D">
      <w:pPr>
        <w:tabs>
          <w:tab w:val="left" w:pos="709"/>
        </w:tabs>
        <w:jc w:val="both"/>
        <w:rPr>
          <w:rFonts w:cs="Arial"/>
          <w:bCs/>
          <w:color w:val="000000"/>
          <w:szCs w:val="20"/>
        </w:rPr>
      </w:pPr>
    </w:p>
    <w:p w:rsidR="008B3E53" w:rsidRPr="0027745B" w:rsidRDefault="008B3E53" w:rsidP="005703CF">
      <w:pPr>
        <w:pStyle w:val="ListParagraph"/>
        <w:numPr>
          <w:ilvl w:val="0"/>
          <w:numId w:val="35"/>
        </w:numPr>
        <w:tabs>
          <w:tab w:val="left" w:pos="709"/>
        </w:tabs>
        <w:ind w:left="0" w:firstLine="0"/>
        <w:jc w:val="both"/>
        <w:rPr>
          <w:rFonts w:cs="Arial"/>
          <w:bCs/>
          <w:color w:val="000000"/>
        </w:rPr>
      </w:pPr>
      <w:r w:rsidRPr="0027745B">
        <w:rPr>
          <w:rFonts w:cs="Arial"/>
          <w:bCs/>
          <w:color w:val="000000"/>
        </w:rPr>
        <w:t xml:space="preserve">In addition to continuing to strengthen existing partnerships, new partnerships were established during the biennium with other regional economic communities and Intergovernmental Institutions, namely the </w:t>
      </w:r>
      <w:r w:rsidRPr="0027745B">
        <w:rPr>
          <w:rFonts w:cs="Arial"/>
          <w:bCs/>
          <w:color w:val="000000"/>
          <w:lang w:val="en"/>
        </w:rPr>
        <w:t>Cooperation Council for the Arab States of the Gulf (GCC)</w:t>
      </w:r>
      <w:r w:rsidRPr="0027745B">
        <w:rPr>
          <w:rFonts w:cs="Arial"/>
          <w:bCs/>
          <w:color w:val="000000"/>
        </w:rPr>
        <w:t xml:space="preserve">, the </w:t>
      </w:r>
      <w:r w:rsidRPr="0027745B">
        <w:rPr>
          <w:rFonts w:cs="Arial"/>
          <w:bCs/>
          <w:i/>
          <w:color w:val="000000"/>
        </w:rPr>
        <w:t>Union économique et monétaire ouest-africaine</w:t>
      </w:r>
      <w:r w:rsidRPr="0027745B">
        <w:rPr>
          <w:rFonts w:cs="Arial"/>
          <w:bCs/>
          <w:color w:val="000000"/>
        </w:rPr>
        <w:t xml:space="preserve"> (UEMOA), the </w:t>
      </w:r>
      <w:r w:rsidRPr="0027745B">
        <w:rPr>
          <w:rFonts w:cs="Arial"/>
          <w:bCs/>
          <w:i/>
          <w:color w:val="000000"/>
        </w:rPr>
        <w:t>Organisation internationale de la francophonie</w:t>
      </w:r>
      <w:r w:rsidRPr="0027745B">
        <w:rPr>
          <w:rFonts w:cs="Arial"/>
          <w:bCs/>
          <w:color w:val="000000"/>
        </w:rPr>
        <w:t xml:space="preserve"> (OIF), and the </w:t>
      </w:r>
      <w:r w:rsidRPr="0027745B">
        <w:rPr>
          <w:rFonts w:cs="Arial"/>
          <w:bCs/>
          <w:i/>
          <w:color w:val="000000"/>
        </w:rPr>
        <w:t>Agence universitaire de la Francophonie</w:t>
      </w:r>
      <w:r w:rsidRPr="0027745B">
        <w:rPr>
          <w:rFonts w:cs="Arial"/>
          <w:bCs/>
          <w:color w:val="000000"/>
        </w:rPr>
        <w:t xml:space="preserve"> (AUF), with the aim of creating and/or enhancing synergies for greater development results.  </w:t>
      </w:r>
    </w:p>
    <w:p w:rsidR="008B3E53" w:rsidRDefault="008B3E53" w:rsidP="00003F4D">
      <w:pPr>
        <w:tabs>
          <w:tab w:val="left" w:pos="709"/>
        </w:tabs>
        <w:jc w:val="both"/>
        <w:rPr>
          <w:rFonts w:cs="Arial"/>
          <w:bCs/>
          <w:color w:val="000000"/>
          <w:szCs w:val="20"/>
        </w:rPr>
      </w:pPr>
    </w:p>
    <w:p w:rsidR="008B3E53" w:rsidRPr="003E6994" w:rsidRDefault="008B3E53" w:rsidP="005703CF">
      <w:pPr>
        <w:pStyle w:val="ListParagraph"/>
        <w:numPr>
          <w:ilvl w:val="0"/>
          <w:numId w:val="35"/>
        </w:numPr>
        <w:tabs>
          <w:tab w:val="left" w:pos="709"/>
        </w:tabs>
        <w:ind w:left="0" w:firstLine="0"/>
        <w:jc w:val="both"/>
      </w:pPr>
      <w:r w:rsidRPr="00CD0DD3">
        <w:t xml:space="preserve">In addition, the Program continued its focus on the four pillars identified in the Medium Term Strategic Plan (MTSP) 2010-2015, being primary responsible for national IP strategies and policies and human resources capacity building, and coordinating activities related to institutional and technical infrastructure and legislative and regulatory frameworks. </w:t>
      </w:r>
    </w:p>
    <w:p w:rsidR="008B3E53" w:rsidRDefault="008B3E53" w:rsidP="00003F4D">
      <w:pPr>
        <w:tabs>
          <w:tab w:val="left" w:pos="709"/>
        </w:tabs>
        <w:jc w:val="both"/>
        <w:rPr>
          <w:rFonts w:cs="Arial"/>
          <w:bCs/>
          <w:color w:val="000000"/>
          <w:szCs w:val="20"/>
        </w:rPr>
      </w:pPr>
    </w:p>
    <w:p w:rsidR="008B3E53" w:rsidRPr="003E6994" w:rsidRDefault="008B3E53" w:rsidP="005703CF">
      <w:pPr>
        <w:pStyle w:val="ListParagraph"/>
        <w:numPr>
          <w:ilvl w:val="0"/>
          <w:numId w:val="35"/>
        </w:numPr>
        <w:tabs>
          <w:tab w:val="left" w:pos="709"/>
        </w:tabs>
        <w:ind w:left="0" w:firstLine="0"/>
        <w:jc w:val="both"/>
      </w:pPr>
      <w:r w:rsidRPr="0027745B">
        <w:rPr>
          <w:rFonts w:cs="Arial"/>
          <w:bCs/>
          <w:color w:val="000000"/>
        </w:rPr>
        <w:t xml:space="preserve">During the biennium, WIPO continued to assist developing countries and LDCs in the design, development and implementation of National IP Strategies that are both consistent with their overall development plans and able to foster innovation and creativity.  </w:t>
      </w:r>
      <w:r w:rsidRPr="00CD0DD3">
        <w:t xml:space="preserve">Through the project on </w:t>
      </w:r>
      <w:r w:rsidRPr="00883D6C">
        <w:rPr>
          <w:i/>
        </w:rPr>
        <w:t>Improvement of National, Sub-Regional and Regional IP Institutional and User Capacity</w:t>
      </w:r>
      <w:r w:rsidRPr="00CD0DD3">
        <w:t xml:space="preserve">, which was completed in </w:t>
      </w:r>
      <w:r w:rsidR="00C97414" w:rsidRPr="00CD0DD3">
        <w:t>May</w:t>
      </w:r>
      <w:r w:rsidR="00C97414">
        <w:t> </w:t>
      </w:r>
      <w:r w:rsidRPr="00CD0DD3">
        <w:t xml:space="preserve">2012, a standardized, though flexible, methodology and a set of practical tools for the formulation of national IP strategies and plans were developed.  The methodology and tools </w:t>
      </w:r>
      <w:r>
        <w:t>were</w:t>
      </w:r>
      <w:r w:rsidRPr="00CD0DD3">
        <w:t xml:space="preserve"> mainstreamed</w:t>
      </w:r>
      <w:r>
        <w:t xml:space="preserve"> in 2013</w:t>
      </w:r>
      <w:r w:rsidRPr="00CD0DD3">
        <w:t xml:space="preserve"> for use in national IP strategy formulation processes in developing countries and LDC’s.</w:t>
      </w:r>
      <w:r w:rsidRPr="00CD26D6">
        <w:t xml:space="preserve">  </w:t>
      </w:r>
      <w:r w:rsidRPr="003E6994">
        <w:t>During the biennium,</w:t>
      </w:r>
      <w:r w:rsidRPr="00CD26D6">
        <w:t xml:space="preserve"> </w:t>
      </w:r>
      <w:r>
        <w:t xml:space="preserve">IP </w:t>
      </w:r>
      <w:r w:rsidRPr="00745BC4">
        <w:t>strategy</w:t>
      </w:r>
      <w:r w:rsidRPr="0027745B">
        <w:rPr>
          <w:rFonts w:cs="Arial"/>
          <w:bCs/>
          <w:color w:val="000000"/>
        </w:rPr>
        <w:t xml:space="preserve">/plans were adopted in 11 countries (three in Africa, two in the Arab region, three in the Asia and the Pacific region, and three in the Latin America and Caribbean region). </w:t>
      </w:r>
      <w:r>
        <w:rPr>
          <w:rFonts w:cs="Arial"/>
          <w:bCs/>
          <w:color w:val="000000"/>
        </w:rPr>
        <w:t xml:space="preserve"> </w:t>
      </w:r>
      <w:r w:rsidRPr="0027745B">
        <w:rPr>
          <w:rFonts w:cs="Arial"/>
          <w:bCs/>
          <w:color w:val="000000"/>
        </w:rPr>
        <w:t xml:space="preserve">IP strategy formulation and implementation were initiated or progressed in 32 countries (13 in Africa, three in the Arab region, eight in the Asia and the Pacific region and eight in the Latin America and the Caribbean region).  </w:t>
      </w:r>
      <w:r>
        <w:t xml:space="preserve">Two LDCs (Bangladesh and </w:t>
      </w:r>
      <w:r w:rsidRPr="00E34ED3">
        <w:t>Ethiopia</w:t>
      </w:r>
      <w:r>
        <w:t xml:space="preserve">) have included </w:t>
      </w:r>
      <w:r w:rsidRPr="00E34ED3">
        <w:t>LDC-specific IP considerations in their national IP strategies and/or policies</w:t>
      </w:r>
      <w:r>
        <w:t xml:space="preserve"> during the biennium, bringing the total number of LDCs which have included such considerations to six, and two LDCs (Madagascar and </w:t>
      </w:r>
      <w:r w:rsidRPr="00E34ED3">
        <w:t xml:space="preserve">Nepal) are in the </w:t>
      </w:r>
      <w:r>
        <w:t>final stages</w:t>
      </w:r>
      <w:r w:rsidRPr="00E34ED3">
        <w:t xml:space="preserve">. </w:t>
      </w:r>
      <w:r w:rsidRPr="0027745B">
        <w:rPr>
          <w:rFonts w:cs="Arial"/>
          <w:bCs/>
          <w:color w:val="000000"/>
        </w:rPr>
        <w:t>Activities/projects that contribute to the implementation of IP strategies/policies have been carried out in 21 countries (five in Africa; four in the Arab region;</w:t>
      </w:r>
      <w:r w:rsidR="00C97414">
        <w:rPr>
          <w:rFonts w:cs="Arial"/>
          <w:bCs/>
          <w:color w:val="000000"/>
        </w:rPr>
        <w:t xml:space="preserve"> </w:t>
      </w:r>
      <w:r w:rsidRPr="0027745B">
        <w:rPr>
          <w:rFonts w:cs="Arial"/>
          <w:bCs/>
          <w:color w:val="000000"/>
        </w:rPr>
        <w:t xml:space="preserve">12 in the Latin America and Caribbean region). </w:t>
      </w:r>
    </w:p>
    <w:p w:rsidR="008B3E53" w:rsidRPr="00EC1008" w:rsidRDefault="008B3E53" w:rsidP="00003F4D">
      <w:pPr>
        <w:tabs>
          <w:tab w:val="left" w:pos="709"/>
        </w:tabs>
        <w:jc w:val="both"/>
        <w:rPr>
          <w:rFonts w:cs="Arial"/>
          <w:bCs/>
          <w:color w:val="000000"/>
          <w:szCs w:val="20"/>
        </w:rPr>
      </w:pPr>
    </w:p>
    <w:p w:rsidR="008B3E53" w:rsidRPr="00883D6C" w:rsidRDefault="008B3E53" w:rsidP="005703CF">
      <w:pPr>
        <w:pStyle w:val="ListParagraph"/>
        <w:numPr>
          <w:ilvl w:val="0"/>
          <w:numId w:val="35"/>
        </w:numPr>
        <w:tabs>
          <w:tab w:val="left" w:pos="709"/>
        </w:tabs>
        <w:ind w:left="0" w:firstLine="0"/>
        <w:jc w:val="both"/>
        <w:rPr>
          <w:rFonts w:cs="Arial"/>
          <w:bCs/>
          <w:color w:val="000000" w:themeColor="text1"/>
        </w:rPr>
      </w:pPr>
      <w:r w:rsidRPr="00CD0DD3">
        <w:t xml:space="preserve">The Program </w:t>
      </w:r>
      <w:r>
        <w:t>continued to focus</w:t>
      </w:r>
      <w:r w:rsidRPr="00CD0DD3">
        <w:t xml:space="preserve"> extensively on enhancing human resources capabilities to deal with the broad range of requirements for the effective use of IP for development and fostering innovation and creativity.  The implemented activities have led to an increase in the number of trainers at the national level and widened their diversity.  The scope and structure of training and capacity building activities in 2012</w:t>
      </w:r>
      <w:r>
        <w:t>/13</w:t>
      </w:r>
      <w:r w:rsidRPr="00CD0DD3">
        <w:t xml:space="preserve"> ranged from awareness-building to focused capacity building programs for specific targets groups such as policy-makers, IP professionals, researchers and academics, entrepreneurs and industrialists at the national, sub-regional and regional levels. </w:t>
      </w:r>
    </w:p>
    <w:p w:rsidR="008B3E53" w:rsidRDefault="008B3E53" w:rsidP="00003F4D">
      <w:pPr>
        <w:tabs>
          <w:tab w:val="left" w:pos="709"/>
        </w:tabs>
        <w:jc w:val="both"/>
        <w:rPr>
          <w:rFonts w:cs="Arial"/>
          <w:bCs/>
          <w:color w:val="000000" w:themeColor="text1"/>
          <w:szCs w:val="20"/>
        </w:rPr>
      </w:pPr>
    </w:p>
    <w:p w:rsidR="008B3E53" w:rsidRDefault="008B3E53" w:rsidP="005703CF">
      <w:pPr>
        <w:pStyle w:val="ListParagraph"/>
        <w:numPr>
          <w:ilvl w:val="0"/>
          <w:numId w:val="35"/>
        </w:numPr>
        <w:tabs>
          <w:tab w:val="left" w:pos="709"/>
        </w:tabs>
        <w:ind w:left="0" w:firstLine="0"/>
        <w:jc w:val="both"/>
        <w:rPr>
          <w:rFonts w:cs="Arial"/>
          <w:bCs/>
          <w:color w:val="000000" w:themeColor="text1"/>
        </w:rPr>
      </w:pPr>
      <w:r w:rsidRPr="0027745B">
        <w:rPr>
          <w:rFonts w:cs="Arial"/>
          <w:bCs/>
          <w:color w:val="000000" w:themeColor="text1"/>
        </w:rPr>
        <w:t xml:space="preserve">Facilitating access to global technology information databases remained a high priority throughout the biennium.  Technology Innovation Support Centers (TISCs) were established in </w:t>
      </w:r>
      <w:r w:rsidR="00C97414" w:rsidRPr="0027745B">
        <w:rPr>
          <w:rFonts w:cs="Arial"/>
          <w:bCs/>
          <w:color w:val="000000" w:themeColor="text1"/>
        </w:rPr>
        <w:t>19</w:t>
      </w:r>
      <w:r w:rsidR="00C97414">
        <w:rPr>
          <w:rFonts w:cs="Arial"/>
          <w:bCs/>
          <w:color w:val="000000" w:themeColor="text1"/>
        </w:rPr>
        <w:t> </w:t>
      </w:r>
      <w:r w:rsidRPr="0027745B">
        <w:rPr>
          <w:rFonts w:cs="Arial"/>
          <w:bCs/>
          <w:color w:val="000000" w:themeColor="text1"/>
        </w:rPr>
        <w:t xml:space="preserve">additional countries during 2012/13. </w:t>
      </w:r>
    </w:p>
    <w:p w:rsidR="008B3E53" w:rsidRPr="0027745B" w:rsidRDefault="008B3E53" w:rsidP="008B3E53">
      <w:pPr>
        <w:pStyle w:val="ListParagraph"/>
        <w:ind w:left="0"/>
        <w:jc w:val="both"/>
        <w:rPr>
          <w:rFonts w:cs="Arial"/>
          <w:bCs/>
          <w:color w:val="000000" w:themeColor="text1"/>
        </w:rPr>
      </w:pPr>
    </w:p>
    <w:p w:rsidR="008B3E53" w:rsidRDefault="008B3E53" w:rsidP="005703CF">
      <w:pPr>
        <w:pStyle w:val="ListParagraph"/>
        <w:numPr>
          <w:ilvl w:val="0"/>
          <w:numId w:val="35"/>
        </w:numPr>
        <w:tabs>
          <w:tab w:val="left" w:pos="709"/>
        </w:tabs>
        <w:ind w:left="0" w:firstLine="0"/>
        <w:jc w:val="both"/>
      </w:pPr>
      <w:r>
        <w:t xml:space="preserve">During the biennium, </w:t>
      </w:r>
      <w:r w:rsidRPr="00CD0DD3">
        <w:t xml:space="preserve">WIPO </w:t>
      </w:r>
      <w:r>
        <w:t>continued to strengthen</w:t>
      </w:r>
      <w:r w:rsidRPr="00CD0DD3">
        <w:t xml:space="preserve"> its assistance to IP Offices in developing countries and LDCs to enable them to provide more cost-effective and higher-quality services to their stakeholders.  The introduction of tools such as IP Automation System (IPAS) and WIPOScan </w:t>
      </w:r>
      <w:r>
        <w:t xml:space="preserve">along with enhancements to existing systems such as the WIPO Electronic Document Management System (EDMS) and the WIPO Digital Access Service (DAS) </w:t>
      </w:r>
      <w:r w:rsidRPr="00CD0DD3">
        <w:t>has produced significant results.</w:t>
      </w:r>
      <w:r>
        <w:t xml:space="preserve"> </w:t>
      </w:r>
      <w:r w:rsidR="00C97414">
        <w:t xml:space="preserve"> </w:t>
      </w:r>
      <w:r>
        <w:t>(See Program 15).</w:t>
      </w:r>
    </w:p>
    <w:p w:rsidR="008B3E53" w:rsidRDefault="008B3E53" w:rsidP="00003F4D">
      <w:pPr>
        <w:tabs>
          <w:tab w:val="left" w:pos="709"/>
        </w:tabs>
        <w:jc w:val="both"/>
        <w:rPr>
          <w:rFonts w:cs="Arial"/>
          <w:bCs/>
          <w:color w:val="000000" w:themeColor="text1"/>
          <w:szCs w:val="20"/>
        </w:rPr>
      </w:pPr>
    </w:p>
    <w:p w:rsidR="008B3E53" w:rsidRPr="0027745B" w:rsidRDefault="008B3E53" w:rsidP="005703CF">
      <w:pPr>
        <w:pStyle w:val="ListParagraph"/>
        <w:numPr>
          <w:ilvl w:val="0"/>
          <w:numId w:val="35"/>
        </w:numPr>
        <w:tabs>
          <w:tab w:val="left" w:pos="709"/>
        </w:tabs>
        <w:ind w:left="0" w:firstLine="0"/>
        <w:jc w:val="both"/>
        <w:rPr>
          <w:rFonts w:eastAsia="SimSun" w:cs="Arial"/>
          <w:lang w:eastAsia="zh-CN"/>
        </w:rPr>
      </w:pPr>
      <w:r w:rsidRPr="00883D6C">
        <w:rPr>
          <w:rFonts w:cs="Arial"/>
          <w:bCs/>
        </w:rPr>
        <w:t xml:space="preserve">During this biennium, the Program </w:t>
      </w:r>
      <w:r w:rsidRPr="0027745B">
        <w:rPr>
          <w:rFonts w:eastAsia="SimSun" w:cs="Arial"/>
          <w:lang w:eastAsia="zh-CN"/>
        </w:rPr>
        <w:t xml:space="preserve">facilitated and internally coordinated the accession of many countries to treaties and conventions administered by WIPO: </w:t>
      </w:r>
      <w:r w:rsidR="00C97414">
        <w:rPr>
          <w:rFonts w:eastAsia="SimSun" w:cs="Arial"/>
          <w:lang w:eastAsia="zh-CN"/>
        </w:rPr>
        <w:t xml:space="preserve"> </w:t>
      </w:r>
      <w:r w:rsidRPr="0027745B">
        <w:rPr>
          <w:rFonts w:eastAsia="SimSun" w:cs="Arial"/>
          <w:lang w:eastAsia="zh-CN"/>
        </w:rPr>
        <w:t xml:space="preserve">two countries in Africa (Botswana and Rwanda); </w:t>
      </w:r>
      <w:r>
        <w:rPr>
          <w:rFonts w:eastAsia="SimSun" w:cs="Arial"/>
          <w:lang w:eastAsia="zh-CN"/>
        </w:rPr>
        <w:t xml:space="preserve"> </w:t>
      </w:r>
      <w:r w:rsidRPr="00883D6C">
        <w:rPr>
          <w:rFonts w:eastAsia="SimSun" w:cs="Arial"/>
          <w:lang w:eastAsia="zh-CN"/>
        </w:rPr>
        <w:t>six countries in the</w:t>
      </w:r>
      <w:r w:rsidRPr="0027745B">
        <w:rPr>
          <w:rFonts w:eastAsia="SimSun" w:cs="Arial"/>
          <w:lang w:eastAsia="zh-CN"/>
        </w:rPr>
        <w:t xml:space="preserve"> Arab region (Algeria, Bahrain, Qatar, Saudi Arabia, Syria</w:t>
      </w:r>
      <w:r>
        <w:rPr>
          <w:rFonts w:eastAsia="SimSun" w:cs="Arial"/>
          <w:lang w:eastAsia="zh-CN"/>
        </w:rPr>
        <w:t>n Arab Republic</w:t>
      </w:r>
      <w:r w:rsidRPr="00883D6C">
        <w:rPr>
          <w:rFonts w:eastAsia="SimSun" w:cs="Arial"/>
          <w:lang w:eastAsia="zh-CN"/>
        </w:rPr>
        <w:t xml:space="preserve">, Tunisia); </w:t>
      </w:r>
      <w:r>
        <w:rPr>
          <w:rFonts w:eastAsia="SimSun" w:cs="Arial"/>
          <w:lang w:eastAsia="zh-CN"/>
        </w:rPr>
        <w:t xml:space="preserve"> </w:t>
      </w:r>
      <w:r w:rsidRPr="00883D6C">
        <w:rPr>
          <w:rFonts w:eastAsia="SimSun" w:cs="Arial"/>
          <w:lang w:eastAsia="zh-CN"/>
        </w:rPr>
        <w:t>three countries in the</w:t>
      </w:r>
      <w:r w:rsidRPr="0027745B">
        <w:rPr>
          <w:rFonts w:eastAsia="SimSun" w:cs="Arial"/>
          <w:lang w:eastAsia="zh-CN"/>
        </w:rPr>
        <w:t xml:space="preserve"> Asia and the Pacific region (Brunei Darussalam, India, Islamic Republic of Iran); and three countries in the Latin America and Caribbean region (Colombia, Mexico, Panama). </w:t>
      </w:r>
      <w:r>
        <w:rPr>
          <w:rFonts w:eastAsia="SimSun" w:cs="Arial"/>
          <w:lang w:eastAsia="zh-CN"/>
        </w:rPr>
        <w:t xml:space="preserve"> </w:t>
      </w:r>
      <w:r w:rsidRPr="00883D6C">
        <w:rPr>
          <w:rFonts w:eastAsia="SimSun" w:cs="Arial"/>
          <w:lang w:eastAsia="zh-CN"/>
        </w:rPr>
        <w:t xml:space="preserve">Two countries in the Arab region, </w:t>
      </w:r>
      <w:r w:rsidRPr="0027745B">
        <w:rPr>
          <w:rFonts w:eastAsia="SimSun" w:cs="Arial"/>
          <w:lang w:eastAsia="zh-CN"/>
        </w:rPr>
        <w:t>namely Egypt and Tunisia, have included IP provisions in their new Constitutions.</w:t>
      </w:r>
    </w:p>
    <w:p w:rsidR="008B3E53" w:rsidRDefault="008B3E53" w:rsidP="00003F4D">
      <w:pPr>
        <w:tabs>
          <w:tab w:val="left" w:pos="709"/>
        </w:tabs>
        <w:jc w:val="both"/>
        <w:rPr>
          <w:rFonts w:eastAsia="SimSun" w:cs="Arial"/>
          <w:szCs w:val="20"/>
          <w:lang w:eastAsia="zh-CN"/>
        </w:rPr>
      </w:pPr>
    </w:p>
    <w:p w:rsidR="008B3E53" w:rsidRPr="00883D6C" w:rsidRDefault="008B3E53" w:rsidP="005703CF">
      <w:pPr>
        <w:pStyle w:val="ListParagraph"/>
        <w:numPr>
          <w:ilvl w:val="0"/>
          <w:numId w:val="35"/>
        </w:numPr>
        <w:tabs>
          <w:tab w:val="left" w:pos="709"/>
        </w:tabs>
        <w:ind w:left="0" w:firstLine="0"/>
        <w:jc w:val="both"/>
        <w:rPr>
          <w:rFonts w:cs="Arial"/>
          <w:bCs/>
          <w:color w:val="000000"/>
        </w:rPr>
      </w:pPr>
      <w:r w:rsidRPr="00883D6C">
        <w:rPr>
          <w:rFonts w:cs="Arial"/>
        </w:rPr>
        <w:t xml:space="preserve">WIPO continued to provide technical assistance to developing countries and LDCs in formulating and modernizing legislation in the field of IP, taking into account specific national requirements and international </w:t>
      </w:r>
      <w:r w:rsidRPr="0027745B">
        <w:rPr>
          <w:rFonts w:cs="Arial"/>
        </w:rPr>
        <w:t>flexibilities.  To better articulate WIPO’s priority areas, the</w:t>
      </w:r>
      <w:r w:rsidRPr="0027745B">
        <w:rPr>
          <w:rFonts w:cs="Arial"/>
          <w:bCs/>
          <w:color w:val="000000"/>
        </w:rPr>
        <w:t xml:space="preserve"> Manual on the Delivery of WIPO Technical Assistance</w:t>
      </w:r>
      <w:r>
        <w:rPr>
          <w:rStyle w:val="FootnoteReference"/>
          <w:rFonts w:cs="Arial"/>
          <w:bCs/>
          <w:color w:val="000000"/>
        </w:rPr>
        <w:footnoteReference w:id="16"/>
      </w:r>
      <w:r w:rsidRPr="00883D6C">
        <w:rPr>
          <w:rFonts w:cs="Arial"/>
          <w:bCs/>
          <w:color w:val="000000"/>
        </w:rPr>
        <w:t xml:space="preserve"> was </w:t>
      </w:r>
      <w:r w:rsidRPr="0027745B">
        <w:rPr>
          <w:rFonts w:cs="Arial"/>
          <w:bCs/>
          <w:color w:val="000000"/>
        </w:rPr>
        <w:t xml:space="preserve">finalized in 2013, with an anticipated publication date in 2014. </w:t>
      </w:r>
      <w:r w:rsidRPr="009D4DFB">
        <w:t xml:space="preserve"> </w:t>
      </w:r>
      <w:r w:rsidRPr="00DA4E2D">
        <w:t xml:space="preserve">The Manual </w:t>
      </w:r>
      <w:r w:rsidRPr="00883D6C">
        <w:rPr>
          <w:rFonts w:cs="Arial"/>
          <w:bCs/>
          <w:color w:val="000000"/>
        </w:rPr>
        <w:t>seeks to serve as a portal to technical assistance activit</w:t>
      </w:r>
      <w:r w:rsidRPr="0027745B">
        <w:rPr>
          <w:rFonts w:cs="Arial"/>
          <w:bCs/>
          <w:color w:val="000000"/>
        </w:rPr>
        <w:t xml:space="preserve">ies and </w:t>
      </w:r>
      <w:proofErr w:type="gramStart"/>
      <w:r w:rsidRPr="0027745B">
        <w:rPr>
          <w:rFonts w:cs="Arial"/>
          <w:bCs/>
          <w:color w:val="000000"/>
        </w:rPr>
        <w:t>services offered by WIPO and is</w:t>
      </w:r>
      <w:proofErr w:type="gramEnd"/>
      <w:r w:rsidRPr="0027745B">
        <w:rPr>
          <w:rFonts w:cs="Arial"/>
          <w:bCs/>
          <w:color w:val="000000"/>
        </w:rPr>
        <w:t xml:space="preserve"> addressed to Member States, institutions and individuals interested in WIPO technical assistance programs in developing countries, LDCs and countries in transition.  In addition, t</w:t>
      </w:r>
      <w:r>
        <w:t xml:space="preserve">he special attention to LDCs also included targeted cooperation activities in the areas of innovation, creativity and development.  The WIPO Deliverables adopted in 2011 on the occasion of the Fourth United Nations Conference on the Least Developed Countries (UN - LDC IV) continued to instill greater cohesion and focus in the delivery of technical assistance to LDCs throughout the biennium. </w:t>
      </w:r>
    </w:p>
    <w:p w:rsidR="008B3E53" w:rsidRDefault="008B3E53" w:rsidP="00003F4D">
      <w:pPr>
        <w:tabs>
          <w:tab w:val="left" w:pos="709"/>
        </w:tabs>
        <w:jc w:val="both"/>
      </w:pPr>
    </w:p>
    <w:p w:rsidR="008B3E53" w:rsidRPr="0027745B" w:rsidRDefault="008B3E53" w:rsidP="005703CF">
      <w:pPr>
        <w:pStyle w:val="ListParagraph"/>
        <w:numPr>
          <w:ilvl w:val="0"/>
          <w:numId w:val="35"/>
        </w:numPr>
        <w:tabs>
          <w:tab w:val="left" w:pos="709"/>
        </w:tabs>
        <w:ind w:left="0" w:firstLine="0"/>
        <w:jc w:val="both"/>
        <w:rPr>
          <w:rFonts w:cs="Arial"/>
        </w:rPr>
      </w:pPr>
      <w:r w:rsidRPr="00883D6C">
        <w:rPr>
          <w:rFonts w:cs="Arial"/>
        </w:rPr>
        <w:t xml:space="preserve">The Special Projects Division, created in </w:t>
      </w:r>
      <w:r w:rsidRPr="0027745B">
        <w:rPr>
          <w:rFonts w:cs="Arial"/>
        </w:rPr>
        <w:t xml:space="preserve">May 2012 for the purpose of developing innovative IP and development projects in coordination with concerned specialized Sectors, Divisions and Regional Bureaus, focused on the implementation of methodologies to identify, protect and brand origin-based products in selected developing countries; </w:t>
      </w:r>
      <w:r w:rsidR="00C97414">
        <w:rPr>
          <w:rFonts w:cs="Arial"/>
        </w:rPr>
        <w:t xml:space="preserve"> </w:t>
      </w:r>
      <w:r w:rsidRPr="0027745B">
        <w:rPr>
          <w:rFonts w:cs="Arial"/>
        </w:rPr>
        <w:t xml:space="preserve">raising awareness of IP considerations in the African fashion design business; </w:t>
      </w:r>
      <w:r>
        <w:rPr>
          <w:rFonts w:cs="Arial"/>
        </w:rPr>
        <w:t xml:space="preserve"> </w:t>
      </w:r>
      <w:r w:rsidRPr="00883D6C">
        <w:rPr>
          <w:rFonts w:cs="Arial"/>
        </w:rPr>
        <w:t xml:space="preserve">protecting cultural heritage and cultural expressions in the Caribbean; </w:t>
      </w:r>
      <w:r>
        <w:rPr>
          <w:rFonts w:cs="Arial"/>
        </w:rPr>
        <w:t xml:space="preserve"> </w:t>
      </w:r>
      <w:r w:rsidRPr="00883D6C">
        <w:rPr>
          <w:rFonts w:cs="Arial"/>
        </w:rPr>
        <w:t>and the development of practical tools for IP valuation.</w:t>
      </w:r>
      <w:r w:rsidRPr="0027745B">
        <w:rPr>
          <w:rFonts w:cs="Arial"/>
        </w:rPr>
        <w:t xml:space="preserve">  In the context of such projects, and wherever possible, training materials were developed with a view to capture valuable content and lessons learned in recurring capacity-building programs carried out by the Development Sector.</w:t>
      </w:r>
    </w:p>
    <w:p w:rsidR="008B3E53" w:rsidRDefault="008B3E53" w:rsidP="00003F4D">
      <w:pPr>
        <w:tabs>
          <w:tab w:val="left" w:pos="709"/>
        </w:tabs>
        <w:jc w:val="both"/>
        <w:rPr>
          <w:rFonts w:cs="Arial"/>
          <w:szCs w:val="20"/>
        </w:rPr>
      </w:pPr>
    </w:p>
    <w:p w:rsidR="008B3E53" w:rsidRPr="0027745B" w:rsidRDefault="008B3E53" w:rsidP="005703CF">
      <w:pPr>
        <w:pStyle w:val="ListParagraph"/>
        <w:numPr>
          <w:ilvl w:val="0"/>
          <w:numId w:val="35"/>
        </w:numPr>
        <w:tabs>
          <w:tab w:val="left" w:pos="709"/>
        </w:tabs>
        <w:ind w:left="0" w:firstLine="0"/>
        <w:jc w:val="both"/>
        <w:rPr>
          <w:rFonts w:cs="Arial"/>
        </w:rPr>
      </w:pPr>
      <w:r w:rsidRPr="00883D6C">
        <w:rPr>
          <w:rFonts w:cs="Arial"/>
        </w:rPr>
        <w:t>Benefits continued to be garnered</w:t>
      </w:r>
      <w:r w:rsidRPr="0027745B">
        <w:rPr>
          <w:rFonts w:cs="Arial"/>
        </w:rPr>
        <w:t xml:space="preserve"> from the ongoing deployment and improvement of specialized databases. </w:t>
      </w:r>
      <w:r>
        <w:rPr>
          <w:rFonts w:cs="Arial"/>
        </w:rPr>
        <w:t xml:space="preserve"> </w:t>
      </w:r>
      <w:r w:rsidRPr="00883D6C">
        <w:rPr>
          <w:rFonts w:cs="Arial"/>
        </w:rPr>
        <w:t>In addition to the three existing a</w:t>
      </w:r>
      <w:r w:rsidRPr="0027745B">
        <w:rPr>
          <w:rFonts w:cs="Arial"/>
        </w:rPr>
        <w:t xml:space="preserve">nd expanded databases on </w:t>
      </w:r>
      <w:r w:rsidRPr="0027745B">
        <w:rPr>
          <w:rFonts w:cs="Arial"/>
          <w:color w:val="000000"/>
        </w:rPr>
        <w:t xml:space="preserve">IP Technical Assistance (IP-TAD), IP Development Matchmaking (IP-DMD) and the Roster of Consultants (IP-ROC), which were mainstreamed in 2012, </w:t>
      </w:r>
      <w:r w:rsidR="00953561">
        <w:rPr>
          <w:rFonts w:cs="Arial"/>
          <w:color w:val="000000"/>
        </w:rPr>
        <w:t>two</w:t>
      </w:r>
      <w:r w:rsidRPr="0027745B">
        <w:rPr>
          <w:rFonts w:cs="Arial"/>
          <w:color w:val="000000"/>
        </w:rPr>
        <w:t xml:space="preserve"> new tailor-made </w:t>
      </w:r>
      <w:r w:rsidRPr="0027745B">
        <w:rPr>
          <w:rFonts w:cs="Arial"/>
        </w:rPr>
        <w:t xml:space="preserve">databases were developed and implemented to support the mainstreaming of DA Recommendations in WIPO technical assistance and substantive work, i.e. a database to capture baseline data to be used in national processes for the formulation of national IP strategies (NIPS-D); </w:t>
      </w:r>
      <w:r>
        <w:rPr>
          <w:rFonts w:cs="Arial"/>
        </w:rPr>
        <w:t xml:space="preserve"> </w:t>
      </w:r>
      <w:r w:rsidR="00953561">
        <w:rPr>
          <w:rFonts w:cs="Arial"/>
        </w:rPr>
        <w:t xml:space="preserve">and </w:t>
      </w:r>
      <w:r w:rsidRPr="00883D6C">
        <w:rPr>
          <w:rFonts w:cs="Arial"/>
        </w:rPr>
        <w:t>an interface for the South-South DA Project enab</w:t>
      </w:r>
      <w:r w:rsidRPr="0027745B">
        <w:rPr>
          <w:rFonts w:cs="Arial"/>
        </w:rPr>
        <w:t>ling the sharing of information contained in the IP-TAD and IP-ROC with countries from the Southern hemisphere</w:t>
      </w:r>
      <w:r w:rsidR="00953561">
        <w:rPr>
          <w:rFonts w:cs="Arial"/>
        </w:rPr>
        <w:t>.</w:t>
      </w:r>
    </w:p>
    <w:p w:rsidR="008B3E53" w:rsidRDefault="008B3E53" w:rsidP="008B3E53">
      <w:pPr>
        <w:jc w:val="both"/>
        <w:rPr>
          <w:rFonts w:cs="Arial"/>
          <w:sz w:val="22"/>
          <w:szCs w:val="22"/>
        </w:rPr>
      </w:pPr>
    </w:p>
    <w:p w:rsidR="008B3E53" w:rsidRPr="0000707D" w:rsidRDefault="008B3E53" w:rsidP="008B3E53">
      <w:pPr>
        <w:jc w:val="both"/>
        <w:rPr>
          <w:rFonts w:cs="Arial"/>
          <w:bCs/>
          <w:sz w:val="22"/>
          <w:szCs w:val="22"/>
          <w:lang w:val="pt-BR"/>
        </w:rPr>
      </w:pPr>
      <w:r w:rsidRPr="0000707D">
        <w:rPr>
          <w:rFonts w:cs="Arial"/>
          <w:bCs/>
          <w:sz w:val="22"/>
          <w:szCs w:val="22"/>
          <w:lang w:val="pt-BR"/>
        </w:rPr>
        <w:t xml:space="preserve">IMPLEMENTATION OF THE DEVELOPMENT AGENDA </w:t>
      </w:r>
    </w:p>
    <w:p w:rsidR="008B3E53" w:rsidRDefault="008B3E53" w:rsidP="008B3E53">
      <w:pPr>
        <w:jc w:val="both"/>
        <w:rPr>
          <w:rFonts w:cs="Arial"/>
          <w:sz w:val="22"/>
          <w:szCs w:val="22"/>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Program 9 remained one of the major implementers of the WIPO DA.  The design, planning and implementation of activities by this Program were informed and guided by the relevant DA Recommendations, in particular Recommendations under Cluster A on WIPO’s tec</w:t>
      </w:r>
      <w:r w:rsidRPr="0027745B">
        <w:rPr>
          <w:rFonts w:cs="Arial"/>
          <w:bCs/>
        </w:rPr>
        <w:t xml:space="preserve">hnical assistance and capacity building. </w:t>
      </w:r>
    </w:p>
    <w:p w:rsidR="008B3E53" w:rsidRPr="00670826" w:rsidRDefault="008B3E53" w:rsidP="00003F4D">
      <w:pPr>
        <w:tabs>
          <w:tab w:val="left" w:pos="709"/>
        </w:tabs>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Under the DA Project DA_05_01 the Intellectual Property Technical Assistance Database (IP-TAD)</w:t>
      </w:r>
      <w:r w:rsidR="001926FB">
        <w:rPr>
          <w:rStyle w:val="FootnoteReference"/>
          <w:rFonts w:cs="Arial"/>
          <w:bCs/>
        </w:rPr>
        <w:footnoteReference w:id="17"/>
      </w:r>
      <w:r w:rsidRPr="00883D6C">
        <w:rPr>
          <w:rFonts w:cs="Arial"/>
          <w:bCs/>
        </w:rPr>
        <w:t xml:space="preserve"> was established </w:t>
      </w:r>
      <w:r w:rsidRPr="0027745B">
        <w:rPr>
          <w:rFonts w:cs="Arial"/>
          <w:bCs/>
        </w:rPr>
        <w:t>and fully integrated with the Roster of Consultants (ROC)</w:t>
      </w:r>
      <w:r w:rsidR="001926FB">
        <w:rPr>
          <w:rStyle w:val="FootnoteReference"/>
          <w:rFonts w:cs="Arial"/>
          <w:bCs/>
        </w:rPr>
        <w:footnoteReference w:id="18"/>
      </w:r>
      <w:r w:rsidRPr="0027745B">
        <w:rPr>
          <w:rFonts w:cs="Arial"/>
          <w:bCs/>
        </w:rPr>
        <w:t xml:space="preserve">.  The project was independently evaluated and an evaluation report presented to, and discussed in, the CDIP.  In addition, </w:t>
      </w:r>
      <w:r w:rsidRPr="0027745B">
        <w:rPr>
          <w:rFonts w:cs="Arial"/>
          <w:bCs/>
        </w:rPr>
        <w:lastRenderedPageBreak/>
        <w:t>the IP Development Matchmaking Database (IP-DMD)</w:t>
      </w:r>
      <w:r w:rsidR="001926FB">
        <w:rPr>
          <w:rStyle w:val="FootnoteReference"/>
          <w:rFonts w:cs="Arial"/>
          <w:bCs/>
        </w:rPr>
        <w:footnoteReference w:id="19"/>
      </w:r>
      <w:r w:rsidRPr="0027745B">
        <w:rPr>
          <w:rFonts w:cs="Arial"/>
          <w:bCs/>
        </w:rPr>
        <w:t xml:space="preserve"> was launched. </w:t>
      </w:r>
      <w:r>
        <w:rPr>
          <w:rFonts w:cs="Arial"/>
          <w:bCs/>
        </w:rPr>
        <w:t xml:space="preserve"> </w:t>
      </w:r>
      <w:r w:rsidRPr="00883D6C">
        <w:rPr>
          <w:rFonts w:cs="Arial"/>
          <w:bCs/>
        </w:rPr>
        <w:t xml:space="preserve">The project was evaluated and the evaluation discussed by the CDIP. </w:t>
      </w:r>
    </w:p>
    <w:p w:rsidR="008B3E53" w:rsidRPr="00670826" w:rsidRDefault="008B3E53" w:rsidP="008B3E53">
      <w:pPr>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The DA Project on Improvement of National, Sub-regi</w:t>
      </w:r>
      <w:r w:rsidRPr="0027745B">
        <w:rPr>
          <w:rFonts w:cs="Arial"/>
          <w:bCs/>
        </w:rPr>
        <w:t xml:space="preserve">onal and Regional IP Institutional and User Capacity was completed and independently evaluated. </w:t>
      </w:r>
      <w:r w:rsidR="00C97414">
        <w:rPr>
          <w:rFonts w:cs="Arial"/>
          <w:bCs/>
        </w:rPr>
        <w:t xml:space="preserve"> </w:t>
      </w:r>
      <w:r w:rsidRPr="0027745B">
        <w:rPr>
          <w:rFonts w:cs="Arial"/>
          <w:bCs/>
        </w:rPr>
        <w:t>Six pilot countries (Brazil, India, Jordan, Poland, South Africa and the United Republic of Tanzania) completed the formulation of draft national IP strategies and action plans using the proposed WIPO methodology and submitted the strategy documents to their respective Governments for approval.  In addition, a pool of experienced national and international experts was created, providing a valuable resource for assisting other potential interested countries in the IP strategy formulation process.</w:t>
      </w:r>
    </w:p>
    <w:p w:rsidR="008B3E53" w:rsidRPr="00670826" w:rsidRDefault="008B3E53" w:rsidP="00003F4D">
      <w:pPr>
        <w:tabs>
          <w:tab w:val="left" w:pos="709"/>
        </w:tabs>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rPr>
      </w:pPr>
      <w:r w:rsidRPr="00883D6C">
        <w:rPr>
          <w:rFonts w:cs="Arial"/>
          <w:bCs/>
        </w:rPr>
        <w:t>The DA project on IP and Product Branding for Business Development in Developing and Least Developed Countries continued to be implemented in the three selected pilot cou</w:t>
      </w:r>
      <w:r w:rsidRPr="0027745B">
        <w:rPr>
          <w:rFonts w:cs="Arial"/>
          <w:bCs/>
        </w:rPr>
        <w:t xml:space="preserve">ntries, namely Panama, Thailand and Uganda and was completed at the end of 2013.  Product-specific IP and branding strategies were developed with a view to adding value to the products’ unique characteristics and strong branding potential. </w:t>
      </w:r>
    </w:p>
    <w:p w:rsidR="008B3E53" w:rsidRPr="003545A0" w:rsidRDefault="008B3E53" w:rsidP="00003F4D">
      <w:pPr>
        <w:tabs>
          <w:tab w:val="left" w:pos="709"/>
        </w:tabs>
        <w:jc w:val="both"/>
        <w:rPr>
          <w:rFonts w:cs="Arial"/>
          <w:szCs w:val="20"/>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The DA Project</w:t>
      </w:r>
      <w:r w:rsidRPr="0027745B">
        <w:rPr>
          <w:rFonts w:cs="Arial"/>
          <w:bCs/>
        </w:rPr>
        <w:t xml:space="preserve"> on Capacity-Building in the Use of Appropriate Technology-specific Technical and Scientific Information as a Solution for Identified Development Challenges was completed and independently evaluated. </w:t>
      </w:r>
      <w:r w:rsidR="00C97414">
        <w:rPr>
          <w:rFonts w:cs="Arial"/>
          <w:bCs/>
        </w:rPr>
        <w:t xml:space="preserve"> </w:t>
      </w:r>
      <w:r w:rsidRPr="0027745B">
        <w:rPr>
          <w:rFonts w:cs="Arial"/>
          <w:bCs/>
        </w:rPr>
        <w:t xml:space="preserve">Its implementation was conducted in three pilot LDCs, namely Bangladesh, Nepal and Zambia. </w:t>
      </w:r>
      <w:r w:rsidR="00C97414">
        <w:rPr>
          <w:rFonts w:cs="Arial"/>
          <w:bCs/>
        </w:rPr>
        <w:t xml:space="preserve"> </w:t>
      </w:r>
      <w:r w:rsidRPr="0027745B">
        <w:rPr>
          <w:rFonts w:cs="Arial"/>
          <w:bCs/>
        </w:rPr>
        <w:t>National expert groups in each of these countries identified national priority needs.  Based on these needs, WIPO, in cooperation with the European Patent Office (EPO), United States Patent and Trademarks Office (USPTO), Japan Patent Office (JPO), Germany and India, identified the relevant technological solutions to the identified problem areas in order to prepare technical patent landscape reports.  Following the identification of the most appropriate technologies by the national experts, business plans were prepared for each of the need areas for the implementation of the projects.  This process was then subject to national consultations and multi-stakeholder fora to critically examine and endorse the approach.  The CDIP agreed that a Phase II of this project, extending its scope to additional LDCs, should be prepared and presented to the Committee in 2014.</w:t>
      </w:r>
    </w:p>
    <w:p w:rsidR="008B3E53" w:rsidRPr="00670826" w:rsidRDefault="008B3E53" w:rsidP="008B3E53">
      <w:pPr>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bCs/>
        </w:rPr>
      </w:pPr>
      <w:r w:rsidRPr="00883D6C">
        <w:rPr>
          <w:rFonts w:cs="Arial"/>
          <w:bCs/>
        </w:rPr>
        <w:t xml:space="preserve">The Project on Enhancing South-South Cooperation on IP and Development among Developing Countries and LDCs was </w:t>
      </w:r>
      <w:r w:rsidRPr="0027745B">
        <w:rPr>
          <w:rFonts w:cs="Arial"/>
          <w:bCs/>
        </w:rPr>
        <w:t xml:space="preserve">completed at the end of 2013. </w:t>
      </w:r>
      <w:r w:rsidR="00C97414">
        <w:rPr>
          <w:rFonts w:cs="Arial"/>
          <w:bCs/>
        </w:rPr>
        <w:t xml:space="preserve"> </w:t>
      </w:r>
      <w:r w:rsidRPr="0027745B">
        <w:rPr>
          <w:rFonts w:cs="Arial"/>
          <w:bCs/>
        </w:rPr>
        <w:t xml:space="preserve">Two WIPO Inter-Regional Meetings on South-South Cooperation were organized in Brasilia in August 2012 and Cairo in May 2013, and two Annual Conferences on Intellectual Property and Development were held in Geneva.  Moreover, significant progress was made on the implementation of the project’s web-based activities, namely the introduction of South-South functionalities in the WIPO IP Technical Assistance Database (IP-TAD), the IP Development Matchmaking Database (IP-DMD) and the WIPO Roster of Consultants (ROC), and the creation of a WIPO web page and virtual network on South-South cooperation.  A project-bound Focal Point on South-South Cooperation in the WIPO Secretariat was also appointed in 2013 to strengthen WIPO’s coordination with UN system-wide activities on South-South cooperation.  </w:t>
      </w:r>
    </w:p>
    <w:p w:rsidR="008B3E53" w:rsidRPr="00670826" w:rsidRDefault="008B3E53" w:rsidP="00003F4D">
      <w:pPr>
        <w:tabs>
          <w:tab w:val="left" w:pos="709"/>
        </w:tabs>
        <w:jc w:val="both"/>
        <w:rPr>
          <w:rFonts w:cs="Arial"/>
          <w:bCs/>
          <w:szCs w:val="20"/>
        </w:rPr>
      </w:pPr>
    </w:p>
    <w:p w:rsidR="008B3E53" w:rsidRPr="0027745B" w:rsidRDefault="008B3E53" w:rsidP="005703CF">
      <w:pPr>
        <w:pStyle w:val="ListParagraph"/>
        <w:numPr>
          <w:ilvl w:val="0"/>
          <w:numId w:val="35"/>
        </w:numPr>
        <w:tabs>
          <w:tab w:val="left" w:pos="709"/>
        </w:tabs>
        <w:ind w:left="0" w:firstLine="0"/>
        <w:jc w:val="both"/>
        <w:rPr>
          <w:rFonts w:cs="Arial"/>
        </w:rPr>
      </w:pPr>
      <w:r w:rsidRPr="00883D6C">
        <w:rPr>
          <w:rFonts w:cs="Arial"/>
          <w:bCs/>
        </w:rPr>
        <w:t>The Program was also a main partner in the DA Project on Enhancement of WIPO's Results Based Management (RBM) Framework to Support the Monitoring and Evaluation of Development Ac</w:t>
      </w:r>
      <w:r w:rsidRPr="0027745B">
        <w:rPr>
          <w:rFonts w:cs="Arial"/>
          <w:bCs/>
        </w:rPr>
        <w:t>tivities, which was completed and independently evaluated in 2013.</w:t>
      </w:r>
    </w:p>
    <w:p w:rsidR="008B3E53" w:rsidRDefault="008B3E53" w:rsidP="00003F4D">
      <w:pPr>
        <w:tabs>
          <w:tab w:val="left" w:pos="709"/>
        </w:tabs>
        <w:jc w:val="both"/>
        <w:rPr>
          <w:rFonts w:cs="Arial"/>
          <w:sz w:val="22"/>
          <w:szCs w:val="22"/>
        </w:rPr>
      </w:pPr>
    </w:p>
    <w:p w:rsidR="008B3E53" w:rsidRDefault="008B3E53" w:rsidP="008B3E53">
      <w:pPr>
        <w:jc w:val="both"/>
        <w:rPr>
          <w:rFonts w:cs="Arial"/>
          <w:sz w:val="22"/>
          <w:szCs w:val="22"/>
        </w:rPr>
      </w:pPr>
    </w:p>
    <w:p w:rsidR="00003F4D" w:rsidRDefault="00003F4D">
      <w:pPr>
        <w:rPr>
          <w:rFonts w:cs="Arial"/>
          <w:sz w:val="22"/>
          <w:szCs w:val="22"/>
        </w:rPr>
      </w:pPr>
      <w:r>
        <w:rPr>
          <w:rFonts w:cs="Arial"/>
          <w:sz w:val="22"/>
          <w:szCs w:val="22"/>
        </w:rPr>
        <w:br w:type="page"/>
      </w:r>
    </w:p>
    <w:p w:rsidR="008B3E53" w:rsidRPr="0000707D" w:rsidRDefault="008B3E53" w:rsidP="008B3E53">
      <w:pPr>
        <w:jc w:val="both"/>
        <w:rPr>
          <w:rFonts w:cs="Arial"/>
          <w:sz w:val="22"/>
          <w:szCs w:val="22"/>
        </w:rPr>
      </w:pPr>
      <w:r w:rsidRPr="0000707D">
        <w:rPr>
          <w:rFonts w:cs="Arial"/>
          <w:sz w:val="22"/>
          <w:szCs w:val="22"/>
        </w:rPr>
        <w:lastRenderedPageBreak/>
        <w:t>PERFORMANCE DATA</w:t>
      </w:r>
    </w:p>
    <w:p w:rsidR="008B3E53" w:rsidRDefault="008B3E53" w:rsidP="008B3E53">
      <w:pPr>
        <w:rPr>
          <w:sz w:val="16"/>
          <w:szCs w:val="1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01"/>
        <w:gridCol w:w="180"/>
        <w:gridCol w:w="1663"/>
        <w:gridCol w:w="332"/>
        <w:gridCol w:w="1227"/>
        <w:gridCol w:w="142"/>
        <w:gridCol w:w="132"/>
        <w:gridCol w:w="2845"/>
        <w:gridCol w:w="58"/>
        <w:gridCol w:w="84"/>
        <w:gridCol w:w="992"/>
      </w:tblGrid>
      <w:tr w:rsidR="00C215DD" w:rsidRPr="00C215DD" w:rsidTr="00112987">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C215DD">
            <w:pPr>
              <w:keepNext/>
              <w:keepLines/>
              <w:tabs>
                <w:tab w:val="left" w:pos="1452"/>
              </w:tabs>
              <w:spacing w:before="120" w:after="120"/>
              <w:ind w:left="1452" w:hanging="1452"/>
              <w:rPr>
                <w:rFonts w:cs="Arial"/>
                <w:b/>
                <w:bCs/>
                <w:sz w:val="16"/>
                <w:szCs w:val="16"/>
              </w:rPr>
            </w:pPr>
            <w:r w:rsidRPr="00C215DD">
              <w:rPr>
                <w:rFonts w:cs="Arial"/>
                <w:b/>
                <w:bCs/>
                <w:sz w:val="16"/>
                <w:szCs w:val="16"/>
              </w:rPr>
              <w:t>Expected Result:</w:t>
            </w:r>
            <w:r w:rsidRPr="00C215DD">
              <w:rPr>
                <w:rFonts w:cs="Arial"/>
                <w:b/>
                <w:bCs/>
                <w:sz w:val="16"/>
                <w:szCs w:val="16"/>
              </w:rPr>
              <w:tab/>
            </w:r>
            <w:r w:rsidRPr="00C215DD">
              <w:rPr>
                <w:rFonts w:cs="Arial"/>
                <w:sz w:val="16"/>
                <w:szCs w:val="16"/>
                <w:lang w:bidi="th-TH"/>
              </w:rPr>
              <w:t>Clearly defined and coherent national innovation and IP policies, strategies and development plans consistent with national development goals and objectives</w:t>
            </w:r>
          </w:p>
        </w:tc>
      </w:tr>
      <w:tr w:rsidR="00112987" w:rsidRPr="00C215DD" w:rsidTr="00112987">
        <w:tc>
          <w:tcPr>
            <w:tcW w:w="1881" w:type="dxa"/>
            <w:gridSpan w:val="2"/>
            <w:tcBorders>
              <w:top w:val="single" w:sz="4" w:space="0" w:color="auto"/>
            </w:tcBorders>
            <w:shd w:val="clear" w:color="auto" w:fill="auto"/>
            <w:vAlign w:val="center"/>
          </w:tcPr>
          <w:p w:rsidR="00C215DD" w:rsidRPr="00C215DD" w:rsidRDefault="00C215DD" w:rsidP="00C215DD">
            <w:pPr>
              <w:spacing w:before="40" w:after="40"/>
              <w:rPr>
                <w:rFonts w:cs="Arial"/>
                <w:sz w:val="16"/>
                <w:szCs w:val="16"/>
              </w:rPr>
            </w:pPr>
            <w:r w:rsidRPr="00C215DD">
              <w:rPr>
                <w:rFonts w:cs="Arial"/>
                <w:b/>
                <w:bCs/>
                <w:sz w:val="16"/>
                <w:szCs w:val="16"/>
              </w:rPr>
              <w:t>Performance Indicators</w:t>
            </w:r>
          </w:p>
        </w:tc>
        <w:tc>
          <w:tcPr>
            <w:tcW w:w="1663" w:type="dxa"/>
            <w:tcBorders>
              <w:top w:val="single" w:sz="4" w:space="0" w:color="auto"/>
            </w:tcBorders>
            <w:shd w:val="clear" w:color="auto" w:fill="auto"/>
            <w:vAlign w:val="center"/>
          </w:tcPr>
          <w:p w:rsidR="00C215DD" w:rsidRPr="00C215DD" w:rsidRDefault="00C215DD" w:rsidP="00C215DD">
            <w:pPr>
              <w:spacing w:before="40" w:after="40"/>
              <w:rPr>
                <w:rFonts w:cs="Arial"/>
                <w:b/>
                <w:bCs/>
                <w:sz w:val="16"/>
                <w:szCs w:val="16"/>
              </w:rPr>
            </w:pPr>
            <w:r w:rsidRPr="00C215DD">
              <w:rPr>
                <w:rFonts w:cs="Arial"/>
                <w:b/>
                <w:bCs/>
                <w:sz w:val="16"/>
                <w:szCs w:val="16"/>
              </w:rPr>
              <w:t>Baselines</w:t>
            </w:r>
          </w:p>
        </w:tc>
        <w:tc>
          <w:tcPr>
            <w:tcW w:w="1701" w:type="dxa"/>
            <w:gridSpan w:val="3"/>
            <w:tcBorders>
              <w:top w:val="single" w:sz="4" w:space="0" w:color="auto"/>
            </w:tcBorders>
            <w:shd w:val="clear" w:color="auto" w:fill="auto"/>
            <w:tcMar>
              <w:top w:w="110" w:type="dxa"/>
            </w:tcMar>
            <w:vAlign w:val="center"/>
          </w:tcPr>
          <w:p w:rsidR="00C215DD" w:rsidRPr="00C215DD" w:rsidRDefault="00C215DD" w:rsidP="00C215DD">
            <w:pPr>
              <w:spacing w:before="40" w:after="40"/>
              <w:rPr>
                <w:rFonts w:cs="Arial"/>
                <w:b/>
                <w:sz w:val="16"/>
                <w:szCs w:val="16"/>
              </w:rPr>
            </w:pPr>
            <w:r w:rsidRPr="00C215DD">
              <w:rPr>
                <w:rFonts w:cs="Arial"/>
                <w:b/>
                <w:sz w:val="16"/>
                <w:szCs w:val="16"/>
              </w:rPr>
              <w:t>Target</w:t>
            </w:r>
            <w:r w:rsidR="00E41397">
              <w:rPr>
                <w:rFonts w:cs="Arial"/>
                <w:b/>
                <w:sz w:val="16"/>
                <w:szCs w:val="16"/>
              </w:rPr>
              <w:t>s</w:t>
            </w:r>
          </w:p>
        </w:tc>
        <w:tc>
          <w:tcPr>
            <w:tcW w:w="3119" w:type="dxa"/>
            <w:gridSpan w:val="4"/>
            <w:tcBorders>
              <w:top w:val="single" w:sz="4" w:space="0" w:color="auto"/>
            </w:tcBorders>
            <w:shd w:val="clear" w:color="auto" w:fill="FFFFFF"/>
            <w:tcMar>
              <w:top w:w="110" w:type="dxa"/>
            </w:tcMar>
            <w:vAlign w:val="center"/>
          </w:tcPr>
          <w:p w:rsidR="00C215DD" w:rsidRPr="00C215DD" w:rsidRDefault="00C215DD" w:rsidP="00C215DD">
            <w:pPr>
              <w:spacing w:before="40" w:after="40"/>
              <w:rPr>
                <w:rFonts w:cs="Arial"/>
                <w:sz w:val="16"/>
                <w:szCs w:val="16"/>
              </w:rPr>
            </w:pPr>
            <w:r w:rsidRPr="00C215DD">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C215DD" w:rsidRDefault="00C215DD" w:rsidP="00C215DD">
            <w:pPr>
              <w:keepNext/>
              <w:keepLines/>
              <w:spacing w:before="40" w:after="40"/>
              <w:jc w:val="center"/>
              <w:rPr>
                <w:rFonts w:cs="Arial"/>
                <w:b/>
                <w:bCs/>
                <w:sz w:val="16"/>
                <w:szCs w:val="16"/>
              </w:rPr>
            </w:pPr>
            <w:r w:rsidRPr="00C215DD">
              <w:rPr>
                <w:rFonts w:cs="Arial"/>
                <w:b/>
                <w:bCs/>
                <w:sz w:val="16"/>
                <w:szCs w:val="16"/>
              </w:rPr>
              <w:t>TLS</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rPr>
            </w:pPr>
            <w:r w:rsidRPr="00C215DD">
              <w:rPr>
                <w:rFonts w:cs="Arial"/>
                <w:sz w:val="16"/>
                <w:szCs w:val="16"/>
                <w:lang w:bidi="th-TH"/>
              </w:rPr>
              <w:t>No. of countries that have formulated and/or are engaged in implementation of their IP Policies, Strategies and/or Plans each year (Africa)</w:t>
            </w:r>
          </w:p>
        </w:tc>
        <w:tc>
          <w:tcPr>
            <w:tcW w:w="1663" w:type="dxa"/>
            <w:shd w:val="clear" w:color="auto" w:fill="auto"/>
          </w:tcPr>
          <w:p w:rsidR="00C215DD" w:rsidRPr="0008215D" w:rsidRDefault="00C215DD" w:rsidP="00C215DD">
            <w:pPr>
              <w:rPr>
                <w:rFonts w:cs="Arial"/>
                <w:sz w:val="16"/>
                <w:szCs w:val="16"/>
                <w:lang w:bidi="th-TH"/>
              </w:rPr>
            </w:pPr>
            <w:r w:rsidRPr="0008215D">
              <w:rPr>
                <w:rFonts w:cs="Arial"/>
                <w:sz w:val="16"/>
                <w:szCs w:val="16"/>
                <w:lang w:bidi="th-TH"/>
              </w:rPr>
              <w:t>Two countries have adopted IP policies</w:t>
            </w:r>
          </w:p>
        </w:tc>
        <w:tc>
          <w:tcPr>
            <w:tcW w:w="1701" w:type="dxa"/>
            <w:gridSpan w:val="3"/>
            <w:shd w:val="clear" w:color="auto" w:fill="auto"/>
            <w:tcMar>
              <w:top w:w="110" w:type="dxa"/>
            </w:tcMar>
          </w:tcPr>
          <w:p w:rsidR="00C215DD" w:rsidRPr="0008215D" w:rsidRDefault="00C215DD" w:rsidP="00C215DD">
            <w:pPr>
              <w:rPr>
                <w:rFonts w:cs="Arial"/>
                <w:sz w:val="16"/>
                <w:szCs w:val="16"/>
                <w:lang w:bidi="th-TH"/>
              </w:rPr>
            </w:pPr>
            <w:r w:rsidRPr="0008215D">
              <w:rPr>
                <w:rFonts w:cs="Arial"/>
                <w:sz w:val="16"/>
                <w:szCs w:val="16"/>
                <w:lang w:bidi="th-TH"/>
              </w:rPr>
              <w:t>At least four countries</w:t>
            </w:r>
            <w:r w:rsidR="0008215D" w:rsidRPr="0008215D">
              <w:rPr>
                <w:rFonts w:cs="Arial"/>
                <w:sz w:val="16"/>
                <w:szCs w:val="16"/>
                <w:lang w:bidi="th-TH"/>
              </w:rPr>
              <w:t xml:space="preserve"> </w:t>
            </w:r>
            <w:r w:rsidRPr="0008215D">
              <w:rPr>
                <w:rFonts w:cs="Arial"/>
                <w:sz w:val="16"/>
                <w:szCs w:val="16"/>
                <w:lang w:bidi="th-TH"/>
              </w:rPr>
              <w:t>have adopted IP</w:t>
            </w:r>
            <w:r w:rsidR="0008215D" w:rsidRPr="0008215D">
              <w:rPr>
                <w:rFonts w:cs="Arial"/>
                <w:sz w:val="16"/>
                <w:szCs w:val="16"/>
                <w:lang w:bidi="th-TH"/>
              </w:rPr>
              <w:t xml:space="preserve"> </w:t>
            </w:r>
            <w:r w:rsidRPr="0008215D">
              <w:rPr>
                <w:rFonts w:cs="Arial"/>
                <w:sz w:val="16"/>
                <w:szCs w:val="16"/>
                <w:lang w:bidi="th-TH"/>
              </w:rPr>
              <w:t>policies</w:t>
            </w:r>
          </w:p>
        </w:tc>
        <w:tc>
          <w:tcPr>
            <w:tcW w:w="3119" w:type="dxa"/>
            <w:gridSpan w:val="4"/>
            <w:shd w:val="clear" w:color="auto" w:fill="FFFFFF"/>
            <w:tcMar>
              <w:top w:w="110" w:type="dxa"/>
            </w:tcMar>
          </w:tcPr>
          <w:p w:rsidR="00C215DD" w:rsidRPr="0008215D" w:rsidRDefault="00C215DD" w:rsidP="0008215D">
            <w:pPr>
              <w:pStyle w:val="ListParagraph"/>
              <w:numPr>
                <w:ilvl w:val="0"/>
                <w:numId w:val="31"/>
              </w:numPr>
              <w:ind w:left="336" w:hanging="336"/>
              <w:rPr>
                <w:rFonts w:cs="Arial"/>
                <w:sz w:val="16"/>
                <w:szCs w:val="16"/>
                <w:lang w:bidi="th-TH"/>
              </w:rPr>
            </w:pPr>
            <w:r w:rsidRPr="0008215D">
              <w:rPr>
                <w:rFonts w:cs="Arial"/>
                <w:sz w:val="16"/>
                <w:szCs w:val="16"/>
                <w:lang w:bidi="th-TH"/>
              </w:rPr>
              <w:t>Ethiopia (adopted)</w:t>
            </w:r>
          </w:p>
          <w:p w:rsidR="00C215DD" w:rsidRPr="0008215D" w:rsidRDefault="00C215DD" w:rsidP="0008215D">
            <w:pPr>
              <w:pStyle w:val="ListParagraph"/>
              <w:numPr>
                <w:ilvl w:val="0"/>
                <w:numId w:val="31"/>
              </w:numPr>
              <w:ind w:left="336" w:hanging="336"/>
              <w:rPr>
                <w:rFonts w:cs="Arial"/>
                <w:sz w:val="16"/>
                <w:szCs w:val="16"/>
                <w:lang w:bidi="th-TH"/>
              </w:rPr>
            </w:pPr>
            <w:r w:rsidRPr="0008215D">
              <w:rPr>
                <w:rFonts w:cs="Arial"/>
                <w:sz w:val="16"/>
                <w:szCs w:val="16"/>
                <w:lang w:bidi="th-TH"/>
              </w:rPr>
              <w:t>Ghana (adopted and endorsed by Parliament)</w:t>
            </w:r>
          </w:p>
          <w:p w:rsidR="00C215DD" w:rsidRPr="0008215D" w:rsidRDefault="00C215DD" w:rsidP="0008215D">
            <w:pPr>
              <w:pStyle w:val="ListParagraph"/>
              <w:numPr>
                <w:ilvl w:val="0"/>
                <w:numId w:val="31"/>
              </w:numPr>
              <w:ind w:left="336" w:hanging="336"/>
              <w:rPr>
                <w:rFonts w:cs="Arial"/>
                <w:sz w:val="16"/>
                <w:szCs w:val="16"/>
                <w:lang w:bidi="th-TH"/>
              </w:rPr>
            </w:pPr>
            <w:r w:rsidRPr="0008215D">
              <w:rPr>
                <w:rFonts w:cs="Arial"/>
                <w:sz w:val="16"/>
                <w:szCs w:val="16"/>
                <w:lang w:bidi="th-TH"/>
              </w:rPr>
              <w:t xml:space="preserve">Senegal (MoU signed in 2011; </w:t>
            </w:r>
            <w:r w:rsidR="0008215D" w:rsidRPr="0008215D">
              <w:rPr>
                <w:rFonts w:cs="Arial"/>
                <w:sz w:val="16"/>
                <w:szCs w:val="16"/>
                <w:lang w:bidi="th-TH"/>
              </w:rPr>
              <w:t xml:space="preserve"> </w:t>
            </w:r>
            <w:r w:rsidRPr="0008215D">
              <w:rPr>
                <w:rFonts w:cs="Arial"/>
                <w:sz w:val="16"/>
                <w:szCs w:val="16"/>
                <w:lang w:bidi="th-TH"/>
              </w:rPr>
              <w:t xml:space="preserve">under implementation ) </w:t>
            </w:r>
          </w:p>
          <w:p w:rsidR="00C215DD" w:rsidRPr="0008215D" w:rsidRDefault="00C215DD" w:rsidP="0008215D">
            <w:pPr>
              <w:pStyle w:val="ListParagraph"/>
              <w:numPr>
                <w:ilvl w:val="0"/>
                <w:numId w:val="31"/>
              </w:numPr>
              <w:ind w:left="336" w:hanging="336"/>
              <w:rPr>
                <w:rFonts w:cs="Arial"/>
                <w:sz w:val="16"/>
                <w:szCs w:val="16"/>
              </w:rPr>
            </w:pPr>
            <w:r w:rsidRPr="0008215D">
              <w:rPr>
                <w:rFonts w:cs="Arial"/>
                <w:sz w:val="16"/>
                <w:szCs w:val="16"/>
                <w:lang w:bidi="th-TH"/>
              </w:rPr>
              <w:t xml:space="preserve">Formulation completed and adoption pending in Chad, the Gambia, Kenya, Malawi, Mauritius, Seychelles, Sierra Leone  and the United Republic of Tanzania </w:t>
            </w:r>
          </w:p>
        </w:tc>
        <w:tc>
          <w:tcPr>
            <w:tcW w:w="992" w:type="dxa"/>
            <w:shd w:val="clear" w:color="auto" w:fill="auto"/>
            <w:tcMar>
              <w:top w:w="110" w:type="dxa"/>
            </w:tcMar>
          </w:tcPr>
          <w:p w:rsidR="00C215DD" w:rsidRPr="00C215DD" w:rsidRDefault="00C215DD" w:rsidP="00C215DD">
            <w:pPr>
              <w:keepNext/>
              <w:keepLines/>
              <w:jc w:val="center"/>
              <w:rPr>
                <w:rFonts w:cs="Arial"/>
                <w:bCs/>
                <w:color w:val="808080"/>
                <w:sz w:val="16"/>
                <w:szCs w:val="16"/>
              </w:rPr>
            </w:pPr>
            <w:r w:rsidRPr="00C215DD">
              <w:rPr>
                <w:rFonts w:cs="Arial"/>
                <w:bCs/>
                <w:color w:val="E36C0A" w:themeColor="accent6" w:themeShade="BF"/>
                <w:sz w:val="16"/>
                <w:szCs w:val="16"/>
              </w:rPr>
              <w:t>Partially</w:t>
            </w:r>
            <w:r w:rsidRPr="00C215DD">
              <w:rPr>
                <w:rFonts w:cs="Arial"/>
                <w:bCs/>
                <w:color w:val="E36C0A" w:themeColor="accent6" w:themeShade="BF"/>
                <w:sz w:val="16"/>
                <w:szCs w:val="16"/>
              </w:rPr>
              <w:br/>
              <w:t>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rPr>
            </w:pPr>
          </w:p>
        </w:tc>
        <w:tc>
          <w:tcPr>
            <w:tcW w:w="1663" w:type="dxa"/>
            <w:shd w:val="clear" w:color="auto" w:fill="auto"/>
          </w:tcPr>
          <w:p w:rsidR="00C215DD" w:rsidRPr="0008215D" w:rsidRDefault="00C215DD" w:rsidP="00C215DD">
            <w:pPr>
              <w:ind w:leftChars="-6" w:left="2" w:hangingChars="9" w:hanging="14"/>
              <w:rPr>
                <w:rFonts w:cs="Arial"/>
                <w:sz w:val="16"/>
                <w:szCs w:val="16"/>
                <w:lang w:bidi="th-TH"/>
              </w:rPr>
            </w:pPr>
            <w:r w:rsidRPr="0008215D">
              <w:rPr>
                <w:rFonts w:cs="Arial"/>
                <w:sz w:val="16"/>
                <w:szCs w:val="16"/>
                <w:lang w:bidi="th-TH"/>
              </w:rPr>
              <w:t>Four countries have adopted national IP development plans</w:t>
            </w:r>
          </w:p>
        </w:tc>
        <w:tc>
          <w:tcPr>
            <w:tcW w:w="1701" w:type="dxa"/>
            <w:gridSpan w:val="3"/>
            <w:shd w:val="clear" w:color="auto" w:fill="auto"/>
            <w:tcMar>
              <w:top w:w="110" w:type="dxa"/>
            </w:tcMar>
          </w:tcPr>
          <w:p w:rsidR="00C215DD" w:rsidRPr="0008215D" w:rsidRDefault="00C215DD" w:rsidP="0008215D">
            <w:pPr>
              <w:autoSpaceDE w:val="0"/>
              <w:autoSpaceDN w:val="0"/>
              <w:adjustRightInd w:val="0"/>
              <w:rPr>
                <w:rFonts w:cs="Arial"/>
                <w:sz w:val="16"/>
                <w:szCs w:val="16"/>
              </w:rPr>
            </w:pPr>
            <w:r w:rsidRPr="0008215D">
              <w:rPr>
                <w:rFonts w:cs="Arial"/>
                <w:sz w:val="16"/>
                <w:szCs w:val="16"/>
              </w:rPr>
              <w:t>At least eight countries</w:t>
            </w:r>
            <w:r w:rsidR="0008215D" w:rsidRPr="0008215D">
              <w:rPr>
                <w:rFonts w:cs="Arial"/>
                <w:sz w:val="16"/>
                <w:szCs w:val="16"/>
              </w:rPr>
              <w:t xml:space="preserve"> </w:t>
            </w:r>
            <w:r w:rsidRPr="0008215D">
              <w:rPr>
                <w:rFonts w:cs="Arial"/>
                <w:sz w:val="16"/>
                <w:szCs w:val="16"/>
              </w:rPr>
              <w:t>have adopted national</w:t>
            </w:r>
            <w:r w:rsidR="0008215D" w:rsidRPr="0008215D">
              <w:rPr>
                <w:rFonts w:cs="Arial"/>
                <w:sz w:val="16"/>
                <w:szCs w:val="16"/>
              </w:rPr>
              <w:t xml:space="preserve"> </w:t>
            </w:r>
            <w:r w:rsidRPr="0008215D">
              <w:rPr>
                <w:rFonts w:cs="Arial"/>
                <w:sz w:val="16"/>
                <w:szCs w:val="16"/>
              </w:rPr>
              <w:t>IP development plans</w:t>
            </w:r>
            <w:r w:rsidRPr="0008215D" w:rsidDel="00FD1D19">
              <w:rPr>
                <w:rFonts w:cs="Arial"/>
                <w:sz w:val="16"/>
                <w:szCs w:val="16"/>
              </w:rPr>
              <w:t xml:space="preserve"> </w:t>
            </w:r>
          </w:p>
        </w:tc>
        <w:tc>
          <w:tcPr>
            <w:tcW w:w="3119" w:type="dxa"/>
            <w:gridSpan w:val="4"/>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Comoros (IPDP validated)</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rPr>
            </w:pPr>
            <w:r w:rsidRPr="0008215D">
              <w:rPr>
                <w:rFonts w:cs="Arial"/>
                <w:sz w:val="16"/>
                <w:szCs w:val="16"/>
                <w:lang w:bidi="th-TH"/>
              </w:rPr>
              <w:t>Process stalled in the following countries:  Burundi, the Gambia, Lesotho, and Mauritius</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808080"/>
                <w:sz w:val="16"/>
                <w:szCs w:val="16"/>
              </w:rPr>
            </w:pPr>
            <w:r w:rsidRPr="00C215DD">
              <w:rPr>
                <w:rFonts w:cs="Arial"/>
                <w:bCs/>
                <w:color w:val="FF0000"/>
                <w:sz w:val="16"/>
                <w:szCs w:val="16"/>
              </w:rPr>
              <w:t>Not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rPr>
            </w:pPr>
          </w:p>
        </w:tc>
        <w:tc>
          <w:tcPr>
            <w:tcW w:w="1663" w:type="dxa"/>
            <w:shd w:val="clear" w:color="auto" w:fill="auto"/>
          </w:tcPr>
          <w:p w:rsidR="00C215DD" w:rsidRPr="0008215D" w:rsidRDefault="00C215DD" w:rsidP="00C215DD">
            <w:pPr>
              <w:ind w:left="1"/>
              <w:rPr>
                <w:rFonts w:cs="Arial"/>
                <w:sz w:val="16"/>
                <w:szCs w:val="16"/>
                <w:lang w:bidi="th-TH"/>
              </w:rPr>
            </w:pPr>
            <w:r w:rsidRPr="0008215D">
              <w:rPr>
                <w:rFonts w:cs="Arial"/>
                <w:sz w:val="16"/>
                <w:szCs w:val="16"/>
                <w:lang w:bidi="th-TH"/>
              </w:rPr>
              <w:t xml:space="preserve">Three countries have completed formulation of  national IP policies and strategies </w:t>
            </w:r>
          </w:p>
        </w:tc>
        <w:tc>
          <w:tcPr>
            <w:tcW w:w="1701" w:type="dxa"/>
            <w:gridSpan w:val="3"/>
            <w:shd w:val="clear" w:color="auto" w:fill="auto"/>
            <w:tcMar>
              <w:top w:w="110" w:type="dxa"/>
            </w:tcMar>
          </w:tcPr>
          <w:p w:rsidR="00C215DD" w:rsidRPr="0008215D" w:rsidRDefault="00C215DD" w:rsidP="0008215D">
            <w:pPr>
              <w:autoSpaceDE w:val="0"/>
              <w:autoSpaceDN w:val="0"/>
              <w:adjustRightInd w:val="0"/>
              <w:rPr>
                <w:rFonts w:cs="Arial"/>
                <w:sz w:val="16"/>
                <w:szCs w:val="16"/>
              </w:rPr>
            </w:pPr>
            <w:r w:rsidRPr="0008215D">
              <w:rPr>
                <w:rFonts w:cs="Arial"/>
                <w:sz w:val="16"/>
                <w:szCs w:val="16"/>
              </w:rPr>
              <w:t>At least six countries</w:t>
            </w:r>
            <w:r w:rsidR="0008215D" w:rsidRPr="0008215D">
              <w:rPr>
                <w:rFonts w:cs="Arial"/>
                <w:sz w:val="16"/>
                <w:szCs w:val="16"/>
              </w:rPr>
              <w:t xml:space="preserve"> </w:t>
            </w:r>
            <w:r w:rsidRPr="0008215D">
              <w:rPr>
                <w:rFonts w:cs="Arial"/>
                <w:sz w:val="16"/>
                <w:szCs w:val="16"/>
              </w:rPr>
              <w:t>have completed</w:t>
            </w:r>
            <w:r w:rsidR="0008215D" w:rsidRPr="0008215D">
              <w:rPr>
                <w:rFonts w:cs="Arial"/>
                <w:sz w:val="16"/>
                <w:szCs w:val="16"/>
              </w:rPr>
              <w:t xml:space="preserve"> </w:t>
            </w:r>
            <w:r w:rsidRPr="0008215D">
              <w:rPr>
                <w:rFonts w:cs="Arial"/>
                <w:sz w:val="16"/>
                <w:szCs w:val="16"/>
              </w:rPr>
              <w:t>formulation of national</w:t>
            </w:r>
            <w:r w:rsidR="0008215D" w:rsidRPr="0008215D">
              <w:rPr>
                <w:rFonts w:cs="Arial"/>
                <w:sz w:val="16"/>
                <w:szCs w:val="16"/>
              </w:rPr>
              <w:t xml:space="preserve"> </w:t>
            </w:r>
            <w:r w:rsidRPr="0008215D">
              <w:rPr>
                <w:rFonts w:cs="Arial"/>
                <w:sz w:val="16"/>
                <w:szCs w:val="16"/>
              </w:rPr>
              <w:t>IP policies and</w:t>
            </w:r>
            <w:r w:rsidR="0008215D" w:rsidRPr="0008215D">
              <w:rPr>
                <w:rFonts w:cs="Arial"/>
                <w:sz w:val="16"/>
                <w:szCs w:val="16"/>
              </w:rPr>
              <w:t xml:space="preserve"> </w:t>
            </w:r>
            <w:r w:rsidRPr="0008215D">
              <w:rPr>
                <w:rFonts w:cs="Arial"/>
                <w:sz w:val="16"/>
                <w:szCs w:val="16"/>
              </w:rPr>
              <w:t>strategies</w:t>
            </w:r>
            <w:r w:rsidRPr="0008215D" w:rsidDel="00FD1D19">
              <w:rPr>
                <w:rFonts w:cs="Arial"/>
                <w:sz w:val="16"/>
                <w:szCs w:val="16"/>
              </w:rPr>
              <w:t xml:space="preserve"> </w:t>
            </w:r>
          </w:p>
        </w:tc>
        <w:tc>
          <w:tcPr>
            <w:tcW w:w="3119" w:type="dxa"/>
            <w:gridSpan w:val="4"/>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Eight countries:</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Botswana (IP Strategy)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Chad (IP Policy)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 xml:space="preserve">the Congo (IP Strategy) </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the Gambia (IP Strategy and Policy)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Kenya (IP Policy)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Mauritius (IP Policy)</w:t>
            </w:r>
          </w:p>
          <w:p w:rsidR="00C215DD" w:rsidRPr="0008215D" w:rsidRDefault="00C215DD" w:rsidP="005703CF">
            <w:pPr>
              <w:pStyle w:val="ListParagraph"/>
              <w:numPr>
                <w:ilvl w:val="0"/>
                <w:numId w:val="30"/>
              </w:numPr>
              <w:rPr>
                <w:rFonts w:cs="Arial"/>
                <w:sz w:val="16"/>
                <w:szCs w:val="16"/>
                <w:lang w:bidi="th-TH"/>
              </w:rPr>
            </w:pPr>
            <w:r w:rsidRPr="0008215D">
              <w:rPr>
                <w:rFonts w:cs="Arial"/>
                <w:sz w:val="16"/>
                <w:szCs w:val="16"/>
                <w:lang w:bidi="th-TH"/>
              </w:rPr>
              <w:t>Seychelles (IP Strategy and Policy)</w:t>
            </w:r>
          </w:p>
          <w:p w:rsidR="00C215DD" w:rsidRPr="0008215D" w:rsidRDefault="00C215DD" w:rsidP="005703CF">
            <w:pPr>
              <w:pStyle w:val="ListParagraph"/>
              <w:numPr>
                <w:ilvl w:val="0"/>
                <w:numId w:val="30"/>
              </w:numPr>
              <w:rPr>
                <w:rFonts w:cs="Arial"/>
                <w:sz w:val="16"/>
                <w:szCs w:val="16"/>
              </w:rPr>
            </w:pPr>
            <w:r w:rsidRPr="0008215D">
              <w:rPr>
                <w:rStyle w:val="st"/>
                <w:rFonts w:cs="Arial"/>
                <w:sz w:val="16"/>
                <w:szCs w:val="16"/>
              </w:rPr>
              <w:t>the United Republic of Tanzania) (IP Strategy and Policy)</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rPr>
            </w:pPr>
            <w:r w:rsidRPr="00C215DD">
              <w:rPr>
                <w:rFonts w:cs="Arial"/>
                <w:sz w:val="16"/>
                <w:szCs w:val="16"/>
                <w:lang w:bidi="th-TH"/>
              </w:rPr>
              <w:t>No. of countries with appropriate mechanisms for the development and implementation of IP strategies (Arab region)</w:t>
            </w:r>
          </w:p>
        </w:tc>
        <w:tc>
          <w:tcPr>
            <w:tcW w:w="1663" w:type="dxa"/>
            <w:shd w:val="clear" w:color="auto" w:fill="auto"/>
          </w:tcPr>
          <w:p w:rsidR="00C215DD" w:rsidRPr="0008215D" w:rsidRDefault="00C215DD" w:rsidP="00C215DD">
            <w:pPr>
              <w:ind w:leftChars="-6" w:left="2" w:hangingChars="9" w:hanging="14"/>
              <w:rPr>
                <w:rFonts w:cs="Arial"/>
                <w:sz w:val="16"/>
                <w:szCs w:val="16"/>
                <w:lang w:bidi="th-TH"/>
              </w:rPr>
            </w:pPr>
            <w:r w:rsidRPr="0008215D">
              <w:rPr>
                <w:rFonts w:cs="Arial"/>
                <w:sz w:val="16"/>
                <w:szCs w:val="16"/>
                <w:lang w:bidi="th-TH"/>
              </w:rPr>
              <w:t>Five countries</w:t>
            </w:r>
          </w:p>
        </w:tc>
        <w:tc>
          <w:tcPr>
            <w:tcW w:w="1701" w:type="dxa"/>
            <w:gridSpan w:val="3"/>
            <w:shd w:val="clear" w:color="auto" w:fill="auto"/>
            <w:tcMar>
              <w:top w:w="110" w:type="dxa"/>
            </w:tcMar>
          </w:tcPr>
          <w:p w:rsidR="00C215DD" w:rsidRPr="0008215D" w:rsidRDefault="00C215DD" w:rsidP="00C215DD">
            <w:pPr>
              <w:autoSpaceDE w:val="0"/>
              <w:autoSpaceDN w:val="0"/>
              <w:adjustRightInd w:val="0"/>
              <w:rPr>
                <w:rFonts w:cs="Arial"/>
                <w:sz w:val="16"/>
                <w:szCs w:val="16"/>
              </w:rPr>
            </w:pPr>
            <w:r w:rsidRPr="0008215D">
              <w:rPr>
                <w:rFonts w:cs="Arial"/>
                <w:sz w:val="16"/>
                <w:szCs w:val="16"/>
              </w:rPr>
              <w:t>Five countries</w:t>
            </w:r>
          </w:p>
          <w:p w:rsidR="00C215DD" w:rsidRPr="0008215D" w:rsidRDefault="00C215DD" w:rsidP="00C215DD">
            <w:pPr>
              <w:rPr>
                <w:rFonts w:cs="Arial"/>
                <w:sz w:val="16"/>
                <w:szCs w:val="16"/>
              </w:rPr>
            </w:pPr>
            <w:r w:rsidRPr="0008215D">
              <w:rPr>
                <w:rFonts w:cs="Arial"/>
                <w:sz w:val="16"/>
                <w:szCs w:val="16"/>
              </w:rPr>
              <w:t>(in 2012/13)</w:t>
            </w:r>
          </w:p>
        </w:tc>
        <w:tc>
          <w:tcPr>
            <w:tcW w:w="3119" w:type="dxa"/>
            <w:gridSpan w:val="4"/>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National IP innovation strategy adopted in two countries:  Algeria and Oman</w:t>
            </w:r>
            <w:r w:rsidR="0008215D">
              <w:rPr>
                <w:rFonts w:cs="Arial"/>
                <w:sz w:val="16"/>
                <w:szCs w:val="16"/>
                <w:lang w:bidi="th-TH"/>
              </w:rPr>
              <w:t>.</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rPr>
            </w:pPr>
            <w:r w:rsidRPr="0008215D">
              <w:rPr>
                <w:rFonts w:cs="Arial"/>
                <w:sz w:val="16"/>
                <w:szCs w:val="16"/>
                <w:lang w:bidi="th-TH"/>
              </w:rPr>
              <w:t xml:space="preserve">National IP innovation strategy under development in three countries: </w:t>
            </w:r>
            <w:r w:rsidR="0008215D">
              <w:rPr>
                <w:rFonts w:cs="Arial"/>
                <w:sz w:val="16"/>
                <w:szCs w:val="16"/>
                <w:lang w:bidi="th-TH"/>
              </w:rPr>
              <w:t xml:space="preserve"> </w:t>
            </w:r>
            <w:r w:rsidRPr="0008215D">
              <w:rPr>
                <w:rFonts w:cs="Arial"/>
                <w:sz w:val="16"/>
                <w:szCs w:val="16"/>
                <w:lang w:bidi="th-TH"/>
              </w:rPr>
              <w:t>Qatar, Tunisia and the United Arab Emirates</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808080"/>
                <w:sz w:val="16"/>
                <w:szCs w:val="16"/>
              </w:rPr>
            </w:pPr>
            <w:r w:rsidRPr="00C215DD">
              <w:rPr>
                <w:rFonts w:cs="Arial"/>
                <w:bCs/>
                <w:color w:val="E36C0A" w:themeColor="accent6" w:themeShade="BF"/>
                <w:sz w:val="16"/>
                <w:szCs w:val="16"/>
              </w:rPr>
              <w:t>Partially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No. of countries with initiatives linked to the national IP plans </w:t>
            </w:r>
            <w:r w:rsidRPr="00C215DD">
              <w:rPr>
                <w:rFonts w:cs="Arial"/>
                <w:sz w:val="16"/>
                <w:szCs w:val="16"/>
                <w:lang w:bidi="th-TH"/>
              </w:rPr>
              <w:br/>
              <w:t>(Arab region)</w:t>
            </w:r>
          </w:p>
        </w:tc>
        <w:tc>
          <w:tcPr>
            <w:tcW w:w="1663" w:type="dxa"/>
            <w:shd w:val="clear" w:color="auto" w:fill="auto"/>
          </w:tcPr>
          <w:p w:rsidR="00C215DD" w:rsidRPr="00C215DD" w:rsidRDefault="00C215DD" w:rsidP="00C215DD">
            <w:pPr>
              <w:ind w:leftChars="-6" w:left="2" w:hangingChars="9" w:hanging="14"/>
              <w:rPr>
                <w:rFonts w:cs="Arial"/>
                <w:sz w:val="16"/>
                <w:szCs w:val="16"/>
                <w:lang w:bidi="th-TH"/>
              </w:rPr>
            </w:pPr>
            <w:r w:rsidRPr="00C215DD">
              <w:rPr>
                <w:rFonts w:cs="Arial"/>
                <w:sz w:val="16"/>
                <w:szCs w:val="16"/>
                <w:lang w:bidi="th-TH"/>
              </w:rPr>
              <w:t>Two countries</w:t>
            </w:r>
          </w:p>
        </w:tc>
        <w:tc>
          <w:tcPr>
            <w:tcW w:w="1701" w:type="dxa"/>
            <w:gridSpan w:val="3"/>
            <w:shd w:val="clear" w:color="auto" w:fill="auto"/>
            <w:tcMar>
              <w:top w:w="110" w:type="dxa"/>
            </w:tcMar>
          </w:tcPr>
          <w:p w:rsidR="00C215DD" w:rsidRPr="00C215DD" w:rsidRDefault="00C215DD" w:rsidP="00C215DD">
            <w:pPr>
              <w:ind w:leftChars="-6" w:left="2" w:hangingChars="9" w:hanging="14"/>
              <w:rPr>
                <w:rFonts w:cs="Arial"/>
                <w:sz w:val="16"/>
                <w:szCs w:val="16"/>
                <w:lang w:bidi="th-TH"/>
              </w:rPr>
            </w:pPr>
            <w:r w:rsidRPr="00C215DD">
              <w:rPr>
                <w:rFonts w:cs="Arial"/>
                <w:sz w:val="16"/>
                <w:szCs w:val="16"/>
                <w:lang w:bidi="th-TH"/>
              </w:rPr>
              <w:t>Four countries</w:t>
            </w:r>
          </w:p>
          <w:p w:rsidR="00C215DD" w:rsidRPr="00C215DD" w:rsidRDefault="00C215DD" w:rsidP="00C215DD">
            <w:pPr>
              <w:rPr>
                <w:rFonts w:cs="Arial"/>
                <w:sz w:val="16"/>
                <w:szCs w:val="16"/>
              </w:rPr>
            </w:pPr>
            <w:r w:rsidRPr="00C215DD">
              <w:rPr>
                <w:rFonts w:cs="Arial"/>
                <w:sz w:val="16"/>
                <w:szCs w:val="16"/>
                <w:lang w:bidi="th-TH"/>
              </w:rPr>
              <w:t>(in 2012/13)</w:t>
            </w:r>
          </w:p>
        </w:tc>
        <w:tc>
          <w:tcPr>
            <w:tcW w:w="3119" w:type="dxa"/>
            <w:gridSpan w:val="4"/>
            <w:shd w:val="clear" w:color="auto" w:fill="FFFFFF"/>
            <w:tcMar>
              <w:top w:w="110" w:type="dxa"/>
            </w:tcMar>
          </w:tcPr>
          <w:p w:rsidR="00C215DD" w:rsidRPr="00C215DD" w:rsidRDefault="00C215DD" w:rsidP="00C215DD">
            <w:pPr>
              <w:rPr>
                <w:rFonts w:cs="Arial"/>
                <w:sz w:val="16"/>
                <w:szCs w:val="16"/>
              </w:rPr>
            </w:pPr>
            <w:r w:rsidRPr="00C215DD">
              <w:rPr>
                <w:rFonts w:cs="Arial"/>
                <w:sz w:val="16"/>
                <w:szCs w:val="16"/>
                <w:lang w:bidi="th-TH"/>
              </w:rPr>
              <w:t>Four countries (Algeria, Egypt, Qatar, Yemen) and one union (GCC)</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80808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highlight w:val="yellow"/>
                <w:lang w:bidi="th-TH"/>
              </w:rPr>
            </w:pPr>
            <w:r w:rsidRPr="00C215DD">
              <w:rPr>
                <w:rFonts w:cs="Arial"/>
                <w:sz w:val="16"/>
                <w:szCs w:val="16"/>
                <w:lang w:bidi="th-TH"/>
              </w:rPr>
              <w:t xml:space="preserve">No. of countries with IP policies and strategies in their national approval processes </w:t>
            </w:r>
            <w:r w:rsidRPr="00C215DD">
              <w:rPr>
                <w:rFonts w:cs="Arial"/>
                <w:sz w:val="16"/>
                <w:szCs w:val="16"/>
                <w:lang w:bidi="th-TH"/>
              </w:rPr>
              <w:br/>
              <w:t>(Asia and the Pacific)</w:t>
            </w:r>
          </w:p>
        </w:tc>
        <w:tc>
          <w:tcPr>
            <w:tcW w:w="1663" w:type="dxa"/>
            <w:shd w:val="clear" w:color="auto" w:fill="auto"/>
          </w:tcPr>
          <w:p w:rsidR="00C215DD" w:rsidRPr="00C215DD" w:rsidRDefault="00C215DD" w:rsidP="00C215DD">
            <w:pPr>
              <w:rPr>
                <w:rFonts w:cs="Arial"/>
                <w:i/>
                <w:sz w:val="16"/>
                <w:szCs w:val="16"/>
                <w:lang w:bidi="th-TH"/>
              </w:rPr>
            </w:pPr>
            <w:r w:rsidRPr="00C215DD">
              <w:rPr>
                <w:rFonts w:cs="Arial"/>
                <w:i/>
                <w:color w:val="002060"/>
                <w:sz w:val="16"/>
                <w:szCs w:val="16"/>
              </w:rPr>
              <w:t xml:space="preserve">Updated Baseline </w:t>
            </w:r>
            <w:r w:rsidRPr="00C215DD">
              <w:rPr>
                <w:rFonts w:cs="Arial"/>
                <w:i/>
                <w:color w:val="002060"/>
                <w:sz w:val="16"/>
                <w:szCs w:val="16"/>
              </w:rPr>
              <w:br/>
              <w:t>end 2011:</w:t>
            </w:r>
            <w:r w:rsidRPr="00C215DD">
              <w:rPr>
                <w:rFonts w:cs="Arial"/>
                <w:color w:val="002060"/>
                <w:sz w:val="16"/>
                <w:szCs w:val="16"/>
              </w:rPr>
              <w:br/>
            </w:r>
            <w:r w:rsidRPr="00C215DD">
              <w:rPr>
                <w:rFonts w:cs="Arial"/>
                <w:color w:val="002060"/>
                <w:sz w:val="16"/>
                <w:szCs w:val="16"/>
                <w:lang w:bidi="th-TH"/>
              </w:rPr>
              <w:t>Four countries</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highlight w:val="yellow"/>
                <w:lang w:bidi="th-TH"/>
              </w:rPr>
            </w:pPr>
            <w:r w:rsidRPr="00C215DD">
              <w:rPr>
                <w:rFonts w:cs="Arial"/>
                <w:i/>
                <w:sz w:val="16"/>
                <w:szCs w:val="16"/>
                <w:lang w:bidi="th-TH"/>
              </w:rPr>
              <w:t>Original Baseline P&amp;B 2012/13:</w:t>
            </w:r>
            <w:r w:rsidRPr="00C215DD">
              <w:rPr>
                <w:rFonts w:cs="Arial"/>
                <w:sz w:val="16"/>
                <w:szCs w:val="16"/>
                <w:lang w:bidi="th-TH"/>
              </w:rPr>
              <w:t xml:space="preserve">  nil</w:t>
            </w:r>
          </w:p>
        </w:tc>
        <w:tc>
          <w:tcPr>
            <w:tcW w:w="1701" w:type="dxa"/>
            <w:gridSpan w:val="3"/>
            <w:shd w:val="clear" w:color="auto" w:fill="auto"/>
            <w:tcMar>
              <w:top w:w="110" w:type="dxa"/>
            </w:tcMar>
          </w:tcPr>
          <w:p w:rsidR="00C215DD" w:rsidRPr="0008215D" w:rsidRDefault="00C215DD" w:rsidP="00C215DD">
            <w:pPr>
              <w:rPr>
                <w:rFonts w:cs="Arial"/>
                <w:sz w:val="16"/>
                <w:szCs w:val="16"/>
                <w:lang w:bidi="th-TH"/>
              </w:rPr>
            </w:pPr>
            <w:r w:rsidRPr="0008215D">
              <w:rPr>
                <w:rFonts w:cs="Arial"/>
                <w:sz w:val="16"/>
                <w:szCs w:val="16"/>
                <w:lang w:bidi="th-TH"/>
              </w:rPr>
              <w:t>Six countries</w:t>
            </w:r>
            <w:r w:rsidRPr="0008215D" w:rsidDel="00F22548">
              <w:rPr>
                <w:rFonts w:cs="Arial"/>
                <w:sz w:val="16"/>
                <w:szCs w:val="16"/>
                <w:lang w:bidi="th-TH"/>
              </w:rPr>
              <w:t xml:space="preserve"> </w:t>
            </w:r>
          </w:p>
        </w:tc>
        <w:tc>
          <w:tcPr>
            <w:tcW w:w="3119" w:type="dxa"/>
            <w:gridSpan w:val="4"/>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Four countries (Cambodia, Sri Lanka, Tonga and Vanuatu) have IP policies and/or strategies in their national approval processes</w:t>
            </w:r>
            <w:r w:rsidR="0008215D">
              <w:rPr>
                <w:rFonts w:cs="Arial"/>
                <w:sz w:val="16"/>
                <w:szCs w:val="16"/>
                <w:lang w:bidi="th-TH"/>
              </w:rPr>
              <w:t>.</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A draft IP Policy is currently under review in one country (Viet Nam)</w:t>
            </w:r>
            <w:r w:rsidR="0008215D">
              <w:rPr>
                <w:rFonts w:cs="Arial"/>
                <w:sz w:val="16"/>
                <w:szCs w:val="16"/>
                <w:lang w:bidi="th-TH"/>
              </w:rPr>
              <w:t>.</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Work is in progress in two countries (Nepal and Solomon Islands)</w:t>
            </w:r>
            <w:r w:rsidR="0008215D">
              <w:rPr>
                <w:rFonts w:cs="Arial"/>
                <w:sz w:val="16"/>
                <w:szCs w:val="16"/>
                <w:lang w:bidi="th-TH"/>
              </w:rPr>
              <w:t>.</w:t>
            </w:r>
          </w:p>
          <w:p w:rsidR="00C215DD" w:rsidRPr="0008215D" w:rsidRDefault="00C215DD" w:rsidP="00C215DD">
            <w:pPr>
              <w:rPr>
                <w:rFonts w:cs="Arial"/>
                <w:sz w:val="16"/>
                <w:szCs w:val="16"/>
                <w:lang w:bidi="th-TH"/>
              </w:rPr>
            </w:pPr>
          </w:p>
          <w:p w:rsidR="00C215DD" w:rsidRPr="0008215D" w:rsidRDefault="00C215DD" w:rsidP="00C215DD">
            <w:pPr>
              <w:rPr>
                <w:rFonts w:cs="Arial"/>
                <w:sz w:val="16"/>
                <w:szCs w:val="16"/>
              </w:rPr>
            </w:pPr>
            <w:r w:rsidRPr="0008215D">
              <w:rPr>
                <w:rFonts w:cs="Arial"/>
                <w:sz w:val="16"/>
                <w:szCs w:val="16"/>
                <w:lang w:bidi="th-TH"/>
              </w:rPr>
              <w:t>One country (Cook Island) deferred its plan for developing an IP Strategy</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E36C0A" w:themeColor="accent6" w:themeShade="BF"/>
                <w:sz w:val="16"/>
                <w:szCs w:val="16"/>
              </w:rPr>
            </w:pPr>
            <w:r w:rsidRPr="00C215DD">
              <w:rPr>
                <w:rFonts w:cs="Arial"/>
                <w:bCs/>
                <w:color w:val="E36C0A" w:themeColor="accent6" w:themeShade="BF"/>
                <w:sz w:val="16"/>
                <w:szCs w:val="16"/>
              </w:rPr>
              <w:t>Partially</w:t>
            </w:r>
          </w:p>
          <w:p w:rsidR="00C215DD" w:rsidRPr="00C215DD" w:rsidRDefault="00C215DD" w:rsidP="00C215DD">
            <w:pPr>
              <w:keepNext/>
              <w:keepLines/>
              <w:jc w:val="center"/>
              <w:rPr>
                <w:rFonts w:cs="Arial"/>
                <w:bCs/>
                <w:color w:val="808080"/>
                <w:sz w:val="16"/>
                <w:szCs w:val="16"/>
              </w:rPr>
            </w:pPr>
            <w:r w:rsidRPr="00C215DD">
              <w:rPr>
                <w:rFonts w:cs="Arial"/>
                <w:bCs/>
                <w:color w:val="E36C0A" w:themeColor="accent6" w:themeShade="BF"/>
                <w:sz w:val="16"/>
                <w:szCs w:val="16"/>
              </w:rPr>
              <w:t>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No. of countries having adopted IP policies and strategies </w:t>
            </w:r>
            <w:r w:rsidRPr="00C215DD">
              <w:rPr>
                <w:rFonts w:cs="Arial"/>
                <w:sz w:val="16"/>
                <w:szCs w:val="16"/>
                <w:lang w:bidi="th-TH"/>
              </w:rPr>
              <w:br/>
              <w:t>(Asia and the Pacific)</w:t>
            </w:r>
          </w:p>
        </w:tc>
        <w:tc>
          <w:tcPr>
            <w:tcW w:w="1663" w:type="dxa"/>
            <w:shd w:val="clear" w:color="auto" w:fill="auto"/>
          </w:tcPr>
          <w:p w:rsidR="00C215DD" w:rsidRPr="00C215DD" w:rsidRDefault="00C215DD" w:rsidP="00C215DD">
            <w:pPr>
              <w:rPr>
                <w:rFonts w:cs="Arial"/>
                <w:color w:val="002060"/>
                <w:sz w:val="16"/>
                <w:szCs w:val="16"/>
                <w:lang w:bidi="th-TH"/>
              </w:rPr>
            </w:pPr>
            <w:r w:rsidRPr="00C215DD">
              <w:rPr>
                <w:rFonts w:cs="Arial"/>
                <w:i/>
                <w:color w:val="002060"/>
                <w:sz w:val="16"/>
                <w:szCs w:val="16"/>
              </w:rPr>
              <w:t xml:space="preserve">Updated Baseline </w:t>
            </w:r>
            <w:r w:rsidRPr="00C215DD">
              <w:rPr>
                <w:rFonts w:cs="Arial"/>
                <w:i/>
                <w:color w:val="002060"/>
                <w:sz w:val="16"/>
                <w:szCs w:val="16"/>
              </w:rPr>
              <w:br/>
              <w:t>end 2011:</w:t>
            </w:r>
            <w:r w:rsidRPr="00C215DD">
              <w:rPr>
                <w:rFonts w:cs="Arial"/>
                <w:color w:val="002060"/>
                <w:sz w:val="16"/>
                <w:szCs w:val="16"/>
              </w:rPr>
              <w:br/>
            </w:r>
            <w:r w:rsidRPr="00C215DD">
              <w:rPr>
                <w:rFonts w:cs="Arial"/>
                <w:color w:val="002060"/>
                <w:sz w:val="16"/>
                <w:szCs w:val="16"/>
                <w:lang w:bidi="th-TH"/>
              </w:rPr>
              <w:t>Two countries</w:t>
            </w:r>
          </w:p>
          <w:p w:rsidR="00C215DD" w:rsidRPr="00112987" w:rsidRDefault="00C215DD" w:rsidP="00C215DD">
            <w:pPr>
              <w:rPr>
                <w:rFonts w:cs="Arial"/>
                <w:i/>
                <w:sz w:val="8"/>
                <w:szCs w:val="8"/>
                <w:lang w:bidi="th-TH"/>
              </w:rPr>
            </w:pPr>
          </w:p>
          <w:p w:rsidR="00C215DD" w:rsidRPr="00C215DD" w:rsidRDefault="00C215DD" w:rsidP="00C215DD">
            <w:pPr>
              <w:rPr>
                <w:rFonts w:cs="Arial"/>
                <w:sz w:val="16"/>
                <w:szCs w:val="16"/>
                <w:highlight w:val="yellow"/>
                <w:lang w:bidi="th-TH"/>
              </w:rPr>
            </w:pPr>
            <w:r w:rsidRPr="00C215DD">
              <w:rPr>
                <w:rFonts w:cs="Arial"/>
                <w:i/>
                <w:sz w:val="16"/>
                <w:szCs w:val="16"/>
                <w:lang w:bidi="th-TH"/>
              </w:rPr>
              <w:t xml:space="preserve">Original Baseline </w:t>
            </w:r>
            <w:r w:rsidRPr="00C215DD">
              <w:rPr>
                <w:rFonts w:cs="Arial"/>
                <w:i/>
                <w:sz w:val="16"/>
                <w:szCs w:val="16"/>
                <w:lang w:bidi="th-TH"/>
              </w:rPr>
              <w:br/>
              <w:t>P&amp;B 2012/13:</w:t>
            </w:r>
            <w:r w:rsidRPr="00C215DD">
              <w:rPr>
                <w:rFonts w:cs="Arial"/>
                <w:sz w:val="16"/>
                <w:szCs w:val="16"/>
                <w:lang w:bidi="th-TH"/>
              </w:rPr>
              <w:t xml:space="preserve">  nil</w:t>
            </w:r>
          </w:p>
        </w:tc>
        <w:tc>
          <w:tcPr>
            <w:tcW w:w="1701" w:type="dxa"/>
            <w:gridSpan w:val="3"/>
            <w:shd w:val="clear" w:color="auto" w:fill="auto"/>
            <w:tcMar>
              <w:top w:w="110" w:type="dxa"/>
            </w:tcMar>
          </w:tcPr>
          <w:p w:rsidR="00C215DD" w:rsidRPr="0008215D" w:rsidRDefault="00C215DD" w:rsidP="00C215DD">
            <w:pPr>
              <w:rPr>
                <w:rFonts w:cs="Arial"/>
                <w:sz w:val="16"/>
                <w:szCs w:val="16"/>
                <w:lang w:bidi="th-TH"/>
              </w:rPr>
            </w:pPr>
            <w:r w:rsidRPr="0008215D">
              <w:rPr>
                <w:rFonts w:cs="Arial"/>
                <w:sz w:val="16"/>
                <w:szCs w:val="16"/>
                <w:lang w:bidi="th-TH"/>
              </w:rPr>
              <w:t>Three countries</w:t>
            </w:r>
            <w:r w:rsidRPr="0008215D" w:rsidDel="00F22548">
              <w:rPr>
                <w:rFonts w:cs="Arial"/>
                <w:sz w:val="16"/>
                <w:szCs w:val="16"/>
                <w:lang w:bidi="th-TH"/>
              </w:rPr>
              <w:t xml:space="preserve"> </w:t>
            </w:r>
          </w:p>
        </w:tc>
        <w:tc>
          <w:tcPr>
            <w:tcW w:w="3119" w:type="dxa"/>
            <w:gridSpan w:val="4"/>
            <w:shd w:val="clear" w:color="auto" w:fill="FFFFFF"/>
            <w:tcMar>
              <w:top w:w="110" w:type="dxa"/>
            </w:tcMar>
          </w:tcPr>
          <w:p w:rsidR="00C215DD" w:rsidRPr="0008215D" w:rsidRDefault="00C215DD" w:rsidP="00C215DD">
            <w:pPr>
              <w:rPr>
                <w:rFonts w:cs="Arial"/>
                <w:sz w:val="16"/>
                <w:szCs w:val="16"/>
              </w:rPr>
            </w:pPr>
            <w:r w:rsidRPr="0008215D">
              <w:rPr>
                <w:rFonts w:cs="Arial"/>
                <w:sz w:val="16"/>
                <w:szCs w:val="16"/>
                <w:lang w:bidi="th-TH"/>
              </w:rPr>
              <w:t>Three countries (Bangladesh, Cambodia and Samoa) have adopted an IP Policy and Strategy</w:t>
            </w:r>
            <w:proofErr w:type="gramStart"/>
            <w:r w:rsidRPr="0008215D">
              <w:rPr>
                <w:rFonts w:cs="Arial"/>
                <w:sz w:val="16"/>
                <w:szCs w:val="16"/>
                <w:lang w:bidi="th-TH"/>
              </w:rPr>
              <w:t>;  Two</w:t>
            </w:r>
            <w:proofErr w:type="gramEnd"/>
            <w:r w:rsidRPr="0008215D">
              <w:rPr>
                <w:rFonts w:cs="Arial"/>
                <w:sz w:val="16"/>
                <w:szCs w:val="16"/>
                <w:lang w:bidi="th-TH"/>
              </w:rPr>
              <w:t xml:space="preserve"> targeted countries (Bhutan and Mongolia) are in the final stage of the national approval process</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No. of countries in which activities/projects have been carried out that contribute to the formulation of IP strategies/ policies</w:t>
            </w:r>
            <w:r w:rsidRPr="00C215DD">
              <w:rPr>
                <w:rFonts w:cs="Arial"/>
                <w:color w:val="000000"/>
                <w:sz w:val="16"/>
                <w:szCs w:val="16"/>
                <w:lang w:bidi="th-TH"/>
              </w:rPr>
              <w:br/>
              <w:t xml:space="preserve">(Latin America and the Caribbean) </w:t>
            </w:r>
          </w:p>
        </w:tc>
        <w:tc>
          <w:tcPr>
            <w:tcW w:w="1663" w:type="dxa"/>
            <w:shd w:val="clear" w:color="auto" w:fill="auto"/>
          </w:tcPr>
          <w:p w:rsidR="00C215DD" w:rsidRPr="00C215DD" w:rsidRDefault="00C215DD" w:rsidP="00C215DD">
            <w:pPr>
              <w:ind w:leftChars="-6" w:left="2" w:hangingChars="9" w:hanging="14"/>
              <w:rPr>
                <w:rFonts w:cs="Arial"/>
                <w:color w:val="000000"/>
                <w:sz w:val="16"/>
                <w:szCs w:val="16"/>
                <w:lang w:bidi="th-TH"/>
              </w:rPr>
            </w:pPr>
            <w:r w:rsidRPr="00C215DD">
              <w:rPr>
                <w:rFonts w:cs="Arial"/>
                <w:sz w:val="16"/>
                <w:szCs w:val="16"/>
                <w:lang w:bidi="th-TH"/>
              </w:rPr>
              <w:t>Seven</w:t>
            </w:r>
            <w:r w:rsidRPr="00C215DD">
              <w:rPr>
                <w:rFonts w:cs="Arial"/>
                <w:color w:val="000000"/>
                <w:sz w:val="16"/>
                <w:szCs w:val="16"/>
                <w:lang w:bidi="th-TH"/>
              </w:rPr>
              <w:t xml:space="preserve"> countries</w:t>
            </w:r>
          </w:p>
        </w:tc>
        <w:tc>
          <w:tcPr>
            <w:tcW w:w="1701" w:type="dxa"/>
            <w:gridSpan w:val="3"/>
            <w:shd w:val="clear" w:color="auto" w:fill="auto"/>
            <w:tcMar>
              <w:top w:w="110" w:type="dxa"/>
            </w:tcMar>
          </w:tcPr>
          <w:p w:rsidR="00C215DD" w:rsidRPr="00C215DD" w:rsidRDefault="00C215DD" w:rsidP="00C215DD">
            <w:pPr>
              <w:autoSpaceDE w:val="0"/>
              <w:autoSpaceDN w:val="0"/>
              <w:adjustRightInd w:val="0"/>
              <w:rPr>
                <w:rFonts w:cs="Arial"/>
                <w:sz w:val="16"/>
                <w:szCs w:val="16"/>
              </w:rPr>
            </w:pPr>
            <w:r w:rsidRPr="00C215DD">
              <w:rPr>
                <w:rFonts w:cs="Arial"/>
                <w:sz w:val="16"/>
                <w:szCs w:val="16"/>
              </w:rPr>
              <w:t>Eight countries</w:t>
            </w:r>
          </w:p>
          <w:p w:rsidR="00C215DD" w:rsidRPr="00C215DD" w:rsidRDefault="00C215DD" w:rsidP="00C215DD">
            <w:pPr>
              <w:rPr>
                <w:rFonts w:cs="Arial"/>
                <w:sz w:val="16"/>
                <w:szCs w:val="16"/>
              </w:rPr>
            </w:pPr>
            <w:r w:rsidRPr="00C215DD">
              <w:rPr>
                <w:rFonts w:cs="Arial"/>
                <w:sz w:val="16"/>
                <w:szCs w:val="16"/>
              </w:rPr>
              <w:t>(in 2012/13)</w:t>
            </w:r>
          </w:p>
        </w:tc>
        <w:tc>
          <w:tcPr>
            <w:tcW w:w="3119" w:type="dxa"/>
            <w:gridSpan w:val="4"/>
            <w:shd w:val="clear" w:color="auto" w:fill="FFFFFF"/>
            <w:tcMar>
              <w:top w:w="110" w:type="dxa"/>
            </w:tcMar>
          </w:tcPr>
          <w:p w:rsidR="00C215DD" w:rsidRPr="002C4083" w:rsidRDefault="00C215DD" w:rsidP="00C215DD">
            <w:pPr>
              <w:rPr>
                <w:rFonts w:cs="Arial"/>
                <w:sz w:val="16"/>
                <w:szCs w:val="16"/>
              </w:rPr>
            </w:pPr>
            <w:r w:rsidRPr="002C4083">
              <w:rPr>
                <w:rFonts w:cs="Arial"/>
                <w:sz w:val="16"/>
                <w:szCs w:val="16"/>
                <w:lang w:bidi="th-TH"/>
              </w:rPr>
              <w:t xml:space="preserve">Ten countries (Costa Rica, </w:t>
            </w:r>
            <w:r w:rsidR="0008215D" w:rsidRPr="002C4083">
              <w:rPr>
                <w:rFonts w:cs="Arial"/>
                <w:sz w:val="16"/>
                <w:szCs w:val="16"/>
                <w:lang w:bidi="th-TH"/>
              </w:rPr>
              <w:t xml:space="preserve">the </w:t>
            </w:r>
            <w:r w:rsidRPr="002C4083">
              <w:rPr>
                <w:rFonts w:cs="Arial"/>
                <w:sz w:val="16"/>
                <w:szCs w:val="16"/>
                <w:lang w:bidi="th-TH"/>
              </w:rPr>
              <w:t>Dominican Republic, Ecuador, El Salvador, Guatemala, Honduras, Nicaragua, Panama, Saint Kitts and Nevis, Trinidad and Tobago)</w:t>
            </w:r>
            <w:r w:rsidR="0008215D" w:rsidRPr="002C4083">
              <w:rPr>
                <w:rFonts w:cs="Arial"/>
                <w:sz w:val="16"/>
                <w:szCs w:val="16"/>
                <w:lang w:bidi="th-TH"/>
              </w:rPr>
              <w:t>.</w:t>
            </w:r>
          </w:p>
        </w:tc>
        <w:tc>
          <w:tcPr>
            <w:tcW w:w="992" w:type="dxa"/>
            <w:shd w:val="clear" w:color="auto" w:fill="auto"/>
            <w:tcMar>
              <w:top w:w="110" w:type="dxa"/>
            </w:tcMar>
          </w:tcPr>
          <w:p w:rsidR="00C215DD" w:rsidRPr="00C215DD" w:rsidRDefault="00C215DD" w:rsidP="00C215DD">
            <w:pPr>
              <w:jc w:val="center"/>
              <w:rPr>
                <w:rFonts w:cs="Arial"/>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keepNext/>
              <w:keepLines/>
              <w:rPr>
                <w:rFonts w:cs="Arial"/>
                <w:color w:val="000000"/>
                <w:sz w:val="16"/>
                <w:szCs w:val="16"/>
                <w:lang w:bidi="th-TH"/>
              </w:rPr>
            </w:pPr>
            <w:r w:rsidRPr="00C215DD">
              <w:rPr>
                <w:rFonts w:cs="Arial"/>
                <w:color w:val="000000"/>
                <w:sz w:val="16"/>
                <w:szCs w:val="16"/>
                <w:lang w:bidi="th-TH"/>
              </w:rPr>
              <w:lastRenderedPageBreak/>
              <w:t>No. of countries in which activities/projects have been carried out that contribute to the implementation of  IP strategies/ policies</w:t>
            </w:r>
            <w:r w:rsidRPr="00C215DD">
              <w:rPr>
                <w:rFonts w:cs="Arial"/>
                <w:color w:val="000000"/>
                <w:sz w:val="16"/>
                <w:szCs w:val="16"/>
                <w:lang w:bidi="th-TH"/>
              </w:rPr>
              <w:br/>
              <w:t>(Latin America and the Caribbean)</w:t>
            </w:r>
          </w:p>
        </w:tc>
        <w:tc>
          <w:tcPr>
            <w:tcW w:w="1663" w:type="dxa"/>
            <w:shd w:val="clear" w:color="auto" w:fill="auto"/>
          </w:tcPr>
          <w:p w:rsidR="00C215DD" w:rsidRPr="00C215DD" w:rsidRDefault="00C215DD" w:rsidP="00C215DD">
            <w:pPr>
              <w:keepNext/>
              <w:keepLines/>
              <w:rPr>
                <w:rFonts w:cs="Arial"/>
                <w:color w:val="002060"/>
                <w:sz w:val="16"/>
                <w:szCs w:val="16"/>
                <w:lang w:bidi="th-TH"/>
              </w:rPr>
            </w:pPr>
            <w:r w:rsidRPr="00C215DD">
              <w:rPr>
                <w:rFonts w:cs="Arial"/>
                <w:i/>
                <w:color w:val="002060"/>
                <w:sz w:val="16"/>
                <w:szCs w:val="16"/>
              </w:rPr>
              <w:t xml:space="preserve">Updated Baseline </w:t>
            </w:r>
            <w:r w:rsidRPr="00C215DD">
              <w:rPr>
                <w:rFonts w:cs="Arial"/>
                <w:i/>
                <w:color w:val="002060"/>
                <w:sz w:val="16"/>
                <w:szCs w:val="16"/>
              </w:rPr>
              <w:br/>
              <w:t>end 2011:</w:t>
            </w:r>
            <w:r w:rsidRPr="00C215DD">
              <w:rPr>
                <w:rFonts w:cs="Arial"/>
                <w:color w:val="002060"/>
                <w:sz w:val="16"/>
                <w:szCs w:val="16"/>
              </w:rPr>
              <w:br/>
            </w:r>
            <w:r w:rsidRPr="00C215DD">
              <w:rPr>
                <w:rFonts w:cs="Arial"/>
                <w:color w:val="002060"/>
                <w:sz w:val="16"/>
                <w:szCs w:val="16"/>
                <w:lang w:bidi="th-TH"/>
              </w:rPr>
              <w:t>Four countries</w:t>
            </w:r>
          </w:p>
          <w:p w:rsidR="00C215DD" w:rsidRPr="00C215DD" w:rsidRDefault="00C215DD" w:rsidP="00C215DD">
            <w:pPr>
              <w:keepNext/>
              <w:keepLines/>
              <w:rPr>
                <w:rFonts w:cs="Arial"/>
                <w:i/>
                <w:sz w:val="8"/>
                <w:szCs w:val="8"/>
                <w:lang w:bidi="th-TH"/>
              </w:rPr>
            </w:pPr>
          </w:p>
          <w:p w:rsidR="00C215DD" w:rsidRPr="00C215DD" w:rsidRDefault="00C215DD" w:rsidP="00C215DD">
            <w:pPr>
              <w:keepNext/>
              <w:keepLines/>
              <w:rPr>
                <w:rFonts w:cs="Arial"/>
                <w:sz w:val="16"/>
                <w:szCs w:val="16"/>
                <w:lang w:bidi="th-TH"/>
              </w:rPr>
            </w:pPr>
            <w:r w:rsidRPr="00C215DD">
              <w:rPr>
                <w:rFonts w:cs="Arial"/>
                <w:i/>
                <w:sz w:val="16"/>
                <w:szCs w:val="16"/>
                <w:lang w:bidi="th-TH"/>
              </w:rPr>
              <w:t xml:space="preserve">Original Baseline </w:t>
            </w:r>
            <w:r w:rsidRPr="00C215DD">
              <w:rPr>
                <w:rFonts w:cs="Arial"/>
                <w:i/>
                <w:sz w:val="16"/>
                <w:szCs w:val="16"/>
                <w:lang w:bidi="th-TH"/>
              </w:rPr>
              <w:br/>
              <w:t>P&amp;B 2012/13:</w:t>
            </w:r>
          </w:p>
          <w:p w:rsidR="00C215DD" w:rsidRPr="00C215DD" w:rsidRDefault="00C215DD" w:rsidP="00C215DD">
            <w:pPr>
              <w:keepNext/>
              <w:keepLines/>
              <w:ind w:leftChars="-6" w:left="2" w:hangingChars="9" w:hanging="14"/>
              <w:rPr>
                <w:rFonts w:cs="Arial"/>
                <w:sz w:val="16"/>
                <w:szCs w:val="16"/>
                <w:lang w:bidi="th-TH"/>
              </w:rPr>
            </w:pPr>
            <w:r w:rsidRPr="00C215DD">
              <w:rPr>
                <w:rFonts w:cs="Arial"/>
                <w:sz w:val="16"/>
                <w:szCs w:val="16"/>
                <w:lang w:bidi="th-TH"/>
              </w:rPr>
              <w:t>Seven countries</w:t>
            </w:r>
          </w:p>
        </w:tc>
        <w:tc>
          <w:tcPr>
            <w:tcW w:w="1559" w:type="dxa"/>
            <w:gridSpan w:val="2"/>
            <w:shd w:val="clear" w:color="auto" w:fill="auto"/>
            <w:tcMar>
              <w:top w:w="110" w:type="dxa"/>
            </w:tcMar>
          </w:tcPr>
          <w:p w:rsidR="00C215DD" w:rsidRPr="00C215DD" w:rsidRDefault="00C215DD" w:rsidP="00C215DD">
            <w:pPr>
              <w:keepNext/>
              <w:keepLines/>
              <w:rPr>
                <w:rFonts w:cs="Arial"/>
                <w:sz w:val="16"/>
                <w:szCs w:val="16"/>
              </w:rPr>
            </w:pPr>
            <w:r w:rsidRPr="00C215DD">
              <w:rPr>
                <w:rFonts w:cs="Arial"/>
                <w:sz w:val="16"/>
                <w:szCs w:val="16"/>
                <w:lang w:bidi="th-TH"/>
              </w:rPr>
              <w:t>16 countries</w:t>
            </w:r>
            <w:r w:rsidRPr="00C215DD" w:rsidDel="00F22548">
              <w:rPr>
                <w:rFonts w:cs="Arial"/>
                <w:sz w:val="16"/>
                <w:szCs w:val="16"/>
                <w:lang w:bidi="th-TH"/>
              </w:rPr>
              <w:t xml:space="preserve"> </w:t>
            </w:r>
          </w:p>
        </w:tc>
        <w:tc>
          <w:tcPr>
            <w:tcW w:w="3261" w:type="dxa"/>
            <w:gridSpan w:val="5"/>
            <w:shd w:val="clear" w:color="auto" w:fill="FFFFFF"/>
            <w:tcMar>
              <w:top w:w="110" w:type="dxa"/>
            </w:tcMar>
          </w:tcPr>
          <w:p w:rsidR="00C215DD" w:rsidRPr="00CD26D6" w:rsidRDefault="00C215DD" w:rsidP="00C215DD">
            <w:pPr>
              <w:keepNext/>
              <w:keepLines/>
              <w:rPr>
                <w:rFonts w:cs="Arial"/>
                <w:sz w:val="16"/>
                <w:szCs w:val="16"/>
                <w:lang w:val="es-ES"/>
              </w:rPr>
            </w:pPr>
            <w:r w:rsidRPr="00CD26D6">
              <w:rPr>
                <w:rFonts w:cs="Arial"/>
                <w:sz w:val="16"/>
                <w:szCs w:val="16"/>
                <w:lang w:val="es-ES" w:bidi="th-TH"/>
              </w:rPr>
              <w:t>12 countries (Argentina, Barbados, Colombia, Costa Rica, the Dominican Republic, El Salvador, Honduras, M</w:t>
            </w:r>
            <w:r w:rsidR="0008215D" w:rsidRPr="0008215D">
              <w:rPr>
                <w:rFonts w:cs="Arial"/>
                <w:sz w:val="16"/>
                <w:szCs w:val="16"/>
                <w:lang w:val="es-ES" w:bidi="th-TH"/>
              </w:rPr>
              <w:t>e</w:t>
            </w:r>
            <w:r w:rsidRPr="00CD26D6">
              <w:rPr>
                <w:rFonts w:cs="Arial"/>
                <w:sz w:val="16"/>
                <w:szCs w:val="16"/>
                <w:lang w:val="es-ES" w:bidi="th-TH"/>
              </w:rPr>
              <w:t>xico, Nicaragua, Panama, Trinidad and Tobago, and Uruguay)</w:t>
            </w:r>
            <w:r w:rsidR="0008215D" w:rsidRPr="00CD26D6">
              <w:rPr>
                <w:rFonts w:cs="Arial"/>
                <w:sz w:val="16"/>
                <w:szCs w:val="16"/>
                <w:lang w:val="es-ES" w:bidi="th-TH"/>
              </w:rPr>
              <w:t>.</w:t>
            </w:r>
          </w:p>
        </w:tc>
        <w:tc>
          <w:tcPr>
            <w:tcW w:w="992" w:type="dxa"/>
            <w:shd w:val="clear" w:color="auto" w:fill="auto"/>
            <w:tcMar>
              <w:top w:w="110" w:type="dxa"/>
            </w:tcMar>
          </w:tcPr>
          <w:p w:rsidR="00C215DD" w:rsidRPr="00C215DD" w:rsidRDefault="00C215DD" w:rsidP="00C215DD">
            <w:pPr>
              <w:keepNext/>
              <w:keepLines/>
              <w:jc w:val="center"/>
              <w:rPr>
                <w:rFonts w:cs="Arial"/>
                <w:sz w:val="16"/>
                <w:szCs w:val="16"/>
              </w:rPr>
            </w:pPr>
            <w:r w:rsidRPr="00C215DD">
              <w:rPr>
                <w:rFonts w:cs="Arial"/>
                <w:bCs/>
                <w:color w:val="E36C0A" w:themeColor="accent6" w:themeShade="BF"/>
                <w:sz w:val="16"/>
                <w:szCs w:val="16"/>
              </w:rPr>
              <w:t>Partially</w:t>
            </w:r>
            <w:r w:rsidRPr="00C215DD">
              <w:rPr>
                <w:rFonts w:cs="Arial"/>
                <w:bCs/>
                <w:color w:val="E36C0A" w:themeColor="accent6" w:themeShade="BF"/>
                <w:sz w:val="16"/>
                <w:szCs w:val="16"/>
              </w:rPr>
              <w:br/>
              <w:t>Achieved</w:t>
            </w:r>
          </w:p>
        </w:tc>
      </w:tr>
      <w:tr w:rsidR="00112987" w:rsidRPr="00C215DD" w:rsidTr="00CD26D6">
        <w:tc>
          <w:tcPr>
            <w:tcW w:w="1881" w:type="dxa"/>
            <w:gridSpan w:val="2"/>
            <w:tcBorders>
              <w:bottom w:val="single" w:sz="4" w:space="0" w:color="auto"/>
            </w:tcBorders>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of LDCs that have included LDC-specific IP considerations in their national IP strategies and/or policies (LDCs)</w:t>
            </w:r>
          </w:p>
        </w:tc>
        <w:tc>
          <w:tcPr>
            <w:tcW w:w="1663" w:type="dxa"/>
            <w:tcBorders>
              <w:bottom w:val="single" w:sz="4" w:space="0" w:color="auto"/>
            </w:tcBorders>
            <w:shd w:val="clear" w:color="auto" w:fill="auto"/>
          </w:tcPr>
          <w:p w:rsidR="00C215DD" w:rsidRPr="00C215DD" w:rsidRDefault="00C215DD" w:rsidP="00C215DD">
            <w:pPr>
              <w:ind w:leftChars="-6" w:left="2" w:hangingChars="9" w:hanging="14"/>
              <w:rPr>
                <w:rFonts w:cs="Arial"/>
                <w:sz w:val="16"/>
                <w:szCs w:val="16"/>
                <w:lang w:bidi="th-TH"/>
              </w:rPr>
            </w:pPr>
            <w:r w:rsidRPr="00C215DD">
              <w:rPr>
                <w:rFonts w:cs="Arial"/>
                <w:sz w:val="16"/>
                <w:szCs w:val="16"/>
                <w:lang w:bidi="th-TH"/>
              </w:rPr>
              <w:t>Four LDCs</w:t>
            </w:r>
          </w:p>
        </w:tc>
        <w:tc>
          <w:tcPr>
            <w:tcW w:w="1559" w:type="dxa"/>
            <w:gridSpan w:val="2"/>
            <w:tcBorders>
              <w:bottom w:val="single" w:sz="4" w:space="0" w:color="auto"/>
            </w:tcBorders>
            <w:shd w:val="clear" w:color="auto" w:fill="auto"/>
            <w:tcMar>
              <w:top w:w="110" w:type="dxa"/>
            </w:tcMar>
          </w:tcPr>
          <w:p w:rsidR="00C215DD" w:rsidRPr="00C215DD" w:rsidRDefault="00C215DD" w:rsidP="00C215DD">
            <w:pPr>
              <w:ind w:leftChars="-6" w:left="2" w:hangingChars="9" w:hanging="14"/>
              <w:rPr>
                <w:rFonts w:cs="Arial"/>
                <w:sz w:val="16"/>
                <w:szCs w:val="16"/>
                <w:lang w:bidi="th-TH"/>
              </w:rPr>
            </w:pPr>
            <w:r w:rsidRPr="00C215DD">
              <w:rPr>
                <w:rFonts w:cs="Arial"/>
                <w:sz w:val="16"/>
                <w:szCs w:val="16"/>
                <w:lang w:bidi="th-TH"/>
              </w:rPr>
              <w:t>At least eight LDCs</w:t>
            </w:r>
          </w:p>
          <w:p w:rsidR="00C215DD" w:rsidRPr="00C215DD" w:rsidRDefault="00C215DD" w:rsidP="00C215DD">
            <w:pPr>
              <w:rPr>
                <w:rFonts w:cs="Arial"/>
                <w:sz w:val="16"/>
                <w:szCs w:val="16"/>
              </w:rPr>
            </w:pPr>
            <w:r w:rsidRPr="00C215DD">
              <w:rPr>
                <w:rFonts w:cs="Arial"/>
                <w:sz w:val="16"/>
                <w:szCs w:val="16"/>
                <w:lang w:bidi="th-TH"/>
              </w:rPr>
              <w:t>(cumulative)</w:t>
            </w:r>
          </w:p>
        </w:tc>
        <w:tc>
          <w:tcPr>
            <w:tcW w:w="3261" w:type="dxa"/>
            <w:gridSpan w:val="5"/>
            <w:tcBorders>
              <w:bottom w:val="single" w:sz="4" w:space="0" w:color="auto"/>
            </w:tcBorders>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Two additional LDCs (Bangladesh and Ethiopia) have adopted draft national innovation and IP policies and/or strategies that include LDC-specific considerations, bringing the cumulative number to six LDCs.</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Two LDCs (Madagascar and Nepal) are in the final stages of completing draft national IP policies that include LDC-specific considerations.</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In addition, WIPO continued to work with Mozambique, Rwanda, Senegal and Zambia to facilitate the implementation of relevant IP policy recommendations at the national level.</w:t>
            </w:r>
          </w:p>
          <w:p w:rsidR="00C215DD" w:rsidRPr="0008215D" w:rsidRDefault="00C215DD" w:rsidP="00C215DD">
            <w:pPr>
              <w:rPr>
                <w:rFonts w:cs="Arial"/>
                <w:sz w:val="8"/>
                <w:szCs w:val="8"/>
                <w:lang w:bidi="th-TH"/>
              </w:rPr>
            </w:pPr>
          </w:p>
          <w:p w:rsidR="00C215DD" w:rsidRPr="0008215D" w:rsidRDefault="00C215DD" w:rsidP="00C215DD">
            <w:pPr>
              <w:rPr>
                <w:rFonts w:cs="Arial"/>
                <w:sz w:val="16"/>
                <w:szCs w:val="16"/>
                <w:lang w:bidi="th-TH"/>
              </w:rPr>
            </w:pPr>
            <w:r w:rsidRPr="0008215D">
              <w:rPr>
                <w:rFonts w:cs="Arial"/>
                <w:sz w:val="16"/>
                <w:szCs w:val="16"/>
                <w:lang w:bidi="th-TH"/>
              </w:rPr>
              <w:t>Djibouti has deferred the process.</w:t>
            </w:r>
          </w:p>
          <w:p w:rsidR="00C215DD" w:rsidRPr="0008215D" w:rsidRDefault="00C215DD" w:rsidP="00C215DD">
            <w:pPr>
              <w:rPr>
                <w:rFonts w:cs="Arial"/>
                <w:sz w:val="16"/>
                <w:szCs w:val="16"/>
              </w:rPr>
            </w:pPr>
          </w:p>
        </w:tc>
        <w:tc>
          <w:tcPr>
            <w:tcW w:w="992" w:type="dxa"/>
            <w:tcBorders>
              <w:bottom w:val="single" w:sz="4" w:space="0" w:color="auto"/>
            </w:tcBorders>
            <w:shd w:val="clear" w:color="auto" w:fill="auto"/>
            <w:tcMar>
              <w:top w:w="110" w:type="dxa"/>
            </w:tcMar>
          </w:tcPr>
          <w:p w:rsidR="00C215DD" w:rsidRPr="00C215DD" w:rsidRDefault="00C215DD" w:rsidP="00C215DD">
            <w:pPr>
              <w:jc w:val="center"/>
              <w:rPr>
                <w:rFonts w:cs="Arial"/>
                <w:sz w:val="16"/>
                <w:szCs w:val="16"/>
              </w:rPr>
            </w:pPr>
            <w:r w:rsidRPr="00C215DD">
              <w:rPr>
                <w:rFonts w:cs="Arial"/>
                <w:color w:val="008000"/>
                <w:sz w:val="16"/>
                <w:szCs w:val="16"/>
              </w:rPr>
              <w:t>Fully Achieved</w:t>
            </w:r>
          </w:p>
        </w:tc>
      </w:tr>
      <w:tr w:rsidR="00C215DD" w:rsidRPr="00C215DD" w:rsidTr="00CD26D6">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C215DD">
            <w:pPr>
              <w:keepNext/>
              <w:keepLines/>
              <w:tabs>
                <w:tab w:val="left" w:pos="1452"/>
              </w:tabs>
              <w:spacing w:before="120" w:after="120"/>
              <w:ind w:left="1452" w:hanging="1452"/>
              <w:rPr>
                <w:rFonts w:cs="Arial"/>
                <w:b/>
                <w:bCs/>
                <w:sz w:val="16"/>
                <w:szCs w:val="16"/>
              </w:rPr>
            </w:pPr>
            <w:r w:rsidRPr="00C215DD">
              <w:rPr>
                <w:rFonts w:cs="Arial"/>
                <w:b/>
                <w:bCs/>
                <w:sz w:val="16"/>
                <w:szCs w:val="16"/>
              </w:rPr>
              <w:t>Expected Result:</w:t>
            </w:r>
            <w:r w:rsidRPr="00C215DD">
              <w:rPr>
                <w:rFonts w:cs="Arial"/>
                <w:b/>
                <w:bCs/>
                <w:sz w:val="16"/>
                <w:szCs w:val="16"/>
              </w:rPr>
              <w:tab/>
            </w:r>
            <w:r w:rsidRPr="00C215DD">
              <w:rPr>
                <w:rFonts w:cs="Arial"/>
                <w:sz w:val="16"/>
                <w:szCs w:val="16"/>
                <w:lang w:bidi="th-TH"/>
              </w:rPr>
              <w:t>Enhanced human resource capacities able to deal with the broad range of requirements for the effective use of IP for development in developing countries, LDCs and countries with economies in transition</w:t>
            </w:r>
          </w:p>
        </w:tc>
      </w:tr>
      <w:tr w:rsidR="00A55957" w:rsidRPr="00C215DD" w:rsidTr="00CD26D6">
        <w:tc>
          <w:tcPr>
            <w:tcW w:w="1881" w:type="dxa"/>
            <w:gridSpan w:val="2"/>
            <w:tcBorders>
              <w:top w:val="single" w:sz="4" w:space="0" w:color="auto"/>
            </w:tcBorders>
            <w:shd w:val="clear" w:color="auto" w:fill="auto"/>
            <w:vAlign w:val="center"/>
          </w:tcPr>
          <w:p w:rsidR="00C215DD" w:rsidRPr="00C215DD" w:rsidRDefault="00C215DD" w:rsidP="00C215DD">
            <w:pPr>
              <w:spacing w:after="40"/>
              <w:rPr>
                <w:rFonts w:cs="Arial"/>
                <w:sz w:val="16"/>
                <w:szCs w:val="16"/>
              </w:rPr>
            </w:pPr>
            <w:r w:rsidRPr="00C215DD">
              <w:rPr>
                <w:rFonts w:cs="Arial"/>
                <w:b/>
                <w:bCs/>
                <w:sz w:val="16"/>
                <w:szCs w:val="16"/>
              </w:rPr>
              <w:t>Performance Indicators</w:t>
            </w:r>
          </w:p>
        </w:tc>
        <w:tc>
          <w:tcPr>
            <w:tcW w:w="1995" w:type="dxa"/>
            <w:gridSpan w:val="2"/>
            <w:tcBorders>
              <w:top w:val="single" w:sz="4" w:space="0" w:color="auto"/>
            </w:tcBorders>
            <w:shd w:val="clear" w:color="auto" w:fill="auto"/>
            <w:vAlign w:val="center"/>
          </w:tcPr>
          <w:p w:rsidR="00C215DD" w:rsidRPr="00C215DD" w:rsidRDefault="00C215DD" w:rsidP="00C215DD">
            <w:pPr>
              <w:spacing w:after="40"/>
              <w:rPr>
                <w:rFonts w:cs="Arial"/>
                <w:b/>
                <w:bCs/>
                <w:sz w:val="16"/>
                <w:szCs w:val="16"/>
              </w:rPr>
            </w:pPr>
            <w:r w:rsidRPr="00C215DD">
              <w:rPr>
                <w:rFonts w:cs="Arial"/>
                <w:b/>
                <w:bCs/>
                <w:sz w:val="16"/>
                <w:szCs w:val="16"/>
              </w:rPr>
              <w:t>Baselines</w:t>
            </w:r>
          </w:p>
        </w:tc>
        <w:tc>
          <w:tcPr>
            <w:tcW w:w="1227" w:type="dxa"/>
            <w:tcBorders>
              <w:top w:val="single" w:sz="4" w:space="0" w:color="auto"/>
            </w:tcBorders>
            <w:shd w:val="clear" w:color="auto" w:fill="auto"/>
            <w:tcMar>
              <w:top w:w="110" w:type="dxa"/>
            </w:tcMar>
            <w:vAlign w:val="center"/>
          </w:tcPr>
          <w:p w:rsidR="00C215DD" w:rsidRPr="00C215DD" w:rsidRDefault="00C215DD" w:rsidP="00C215DD">
            <w:pPr>
              <w:spacing w:after="40"/>
              <w:rPr>
                <w:rFonts w:cs="Arial"/>
                <w:b/>
                <w:sz w:val="16"/>
                <w:szCs w:val="16"/>
              </w:rPr>
            </w:pPr>
            <w:r w:rsidRPr="00C215DD">
              <w:rPr>
                <w:rFonts w:cs="Arial"/>
                <w:b/>
                <w:sz w:val="16"/>
                <w:szCs w:val="16"/>
              </w:rPr>
              <w:t>Target</w:t>
            </w:r>
            <w:r w:rsidR="00E41397">
              <w:rPr>
                <w:rFonts w:cs="Arial"/>
                <w:b/>
                <w:sz w:val="16"/>
                <w:szCs w:val="16"/>
              </w:rPr>
              <w:t>s</w:t>
            </w:r>
          </w:p>
        </w:tc>
        <w:tc>
          <w:tcPr>
            <w:tcW w:w="3261" w:type="dxa"/>
            <w:gridSpan w:val="5"/>
            <w:tcBorders>
              <w:top w:val="single" w:sz="4" w:space="0" w:color="auto"/>
            </w:tcBorders>
            <w:shd w:val="clear" w:color="auto" w:fill="FFFFFF"/>
            <w:tcMar>
              <w:top w:w="110" w:type="dxa"/>
            </w:tcMar>
            <w:vAlign w:val="center"/>
          </w:tcPr>
          <w:p w:rsidR="00C215DD" w:rsidRPr="00C215DD" w:rsidRDefault="00C215DD" w:rsidP="00C215DD">
            <w:pPr>
              <w:spacing w:after="40"/>
              <w:rPr>
                <w:rFonts w:cs="Arial"/>
                <w:sz w:val="16"/>
                <w:szCs w:val="16"/>
              </w:rPr>
            </w:pPr>
            <w:r w:rsidRPr="00C215DD">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C215DD" w:rsidRDefault="00C215DD" w:rsidP="00C215DD">
            <w:pPr>
              <w:keepNext/>
              <w:keepLines/>
              <w:spacing w:after="40"/>
              <w:jc w:val="center"/>
              <w:rPr>
                <w:rFonts w:cs="Arial"/>
                <w:b/>
                <w:bCs/>
                <w:sz w:val="16"/>
                <w:szCs w:val="16"/>
              </w:rPr>
            </w:pPr>
            <w:r w:rsidRPr="00C215DD">
              <w:rPr>
                <w:rFonts w:cs="Arial"/>
                <w:b/>
                <w:bCs/>
                <w:sz w:val="16"/>
                <w:szCs w:val="16"/>
              </w:rPr>
              <w:t>TLS</w:t>
            </w:r>
          </w:p>
        </w:tc>
      </w:tr>
      <w:tr w:rsidR="00112987" w:rsidRPr="00C215DD" w:rsidTr="00112987">
        <w:tc>
          <w:tcPr>
            <w:tcW w:w="1881" w:type="dxa"/>
            <w:gridSpan w:val="2"/>
            <w:shd w:val="clear" w:color="auto" w:fill="FFFFFF"/>
          </w:tcPr>
          <w:p w:rsidR="00C215DD" w:rsidRPr="0008215D" w:rsidRDefault="00C215DD" w:rsidP="00C215DD">
            <w:pPr>
              <w:rPr>
                <w:rFonts w:cs="Arial"/>
                <w:sz w:val="16"/>
                <w:szCs w:val="16"/>
                <w:lang w:bidi="th-TH"/>
              </w:rPr>
            </w:pPr>
            <w:r w:rsidRPr="0008215D">
              <w:rPr>
                <w:rFonts w:cs="Arial"/>
                <w:sz w:val="16"/>
                <w:szCs w:val="16"/>
                <w:lang w:bidi="th-TH"/>
              </w:rPr>
              <w:t>% of policy makers, government officials, IP practitioners and examiners, enforcement agents and IP users with a better understanding of IP issues and its use for development (Africa)</w:t>
            </w:r>
          </w:p>
          <w:p w:rsidR="00C215DD" w:rsidRPr="0008215D" w:rsidRDefault="00C215DD" w:rsidP="00C215DD">
            <w:pPr>
              <w:rPr>
                <w:rFonts w:cs="Arial"/>
                <w:sz w:val="16"/>
                <w:szCs w:val="16"/>
                <w:lang w:bidi="th-TH"/>
              </w:rPr>
            </w:pPr>
          </w:p>
        </w:tc>
        <w:tc>
          <w:tcPr>
            <w:tcW w:w="1995" w:type="dxa"/>
            <w:gridSpan w:val="2"/>
            <w:shd w:val="clear" w:color="auto" w:fill="auto"/>
          </w:tcPr>
          <w:p w:rsidR="00C215DD" w:rsidRPr="0008215D" w:rsidRDefault="00C215DD" w:rsidP="00C215DD">
            <w:pPr>
              <w:rPr>
                <w:rFonts w:cs="Arial"/>
                <w:sz w:val="16"/>
                <w:szCs w:val="16"/>
                <w:lang w:bidi="th-TH"/>
              </w:rPr>
            </w:pPr>
            <w:r w:rsidRPr="0008215D">
              <w:rPr>
                <w:rFonts w:cs="Arial"/>
                <w:sz w:val="16"/>
                <w:szCs w:val="16"/>
                <w:lang w:bidi="th-TH"/>
              </w:rPr>
              <w:t>Data not available</w:t>
            </w:r>
          </w:p>
        </w:tc>
        <w:tc>
          <w:tcPr>
            <w:tcW w:w="1227" w:type="dxa"/>
            <w:shd w:val="clear" w:color="auto" w:fill="auto"/>
            <w:tcMar>
              <w:top w:w="110" w:type="dxa"/>
            </w:tcMar>
          </w:tcPr>
          <w:p w:rsidR="00C215DD" w:rsidRPr="0008215D" w:rsidRDefault="00C215DD" w:rsidP="00C215DD">
            <w:pPr>
              <w:rPr>
                <w:rFonts w:cs="Arial"/>
                <w:sz w:val="16"/>
                <w:szCs w:val="16"/>
                <w:lang w:bidi="th-TH"/>
              </w:rPr>
            </w:pPr>
            <w:r w:rsidRPr="0008215D">
              <w:rPr>
                <w:rFonts w:cs="Arial"/>
                <w:sz w:val="16"/>
                <w:szCs w:val="16"/>
              </w:rPr>
              <w:t>60%</w:t>
            </w:r>
          </w:p>
        </w:tc>
        <w:tc>
          <w:tcPr>
            <w:tcW w:w="3261" w:type="dxa"/>
            <w:gridSpan w:val="5"/>
            <w:shd w:val="clear" w:color="auto" w:fill="FFFFFF"/>
            <w:tcMar>
              <w:top w:w="110" w:type="dxa"/>
            </w:tcMar>
          </w:tcPr>
          <w:p w:rsidR="00C215DD" w:rsidRPr="0008215D" w:rsidRDefault="00C215DD" w:rsidP="00C215DD">
            <w:pPr>
              <w:rPr>
                <w:rFonts w:cs="Arial"/>
                <w:sz w:val="16"/>
                <w:szCs w:val="16"/>
                <w:lang w:bidi="th-TH"/>
              </w:rPr>
            </w:pPr>
            <w:r w:rsidRPr="0008215D">
              <w:rPr>
                <w:rFonts w:cs="Arial"/>
                <w:sz w:val="16"/>
                <w:szCs w:val="16"/>
                <w:lang w:bidi="th-TH"/>
              </w:rPr>
              <w:t>70% (920 out of 1,314) of IP professionals, Heads of IP and CR Offices, Examiners, Lawyers, Legal Draftsmen, Government Officials,  Artistic Creators, Inventors, Researchers,  members of the Judiciary and law enforcement, SMEs, Agriculture and Agro-foods industries and private sector, members of the Academia received training  from the following countries: Angola, Benin, Burkina Faso, Burundi, Botswana, Cameroon, Cape Verde, Central African Republic, Chad, Comoros, the Congo, Côte d’Ivoire, the Democratic Republic of the Congo, Equatorial Guinea, Eritrea, Ethiopia, Gabon, the Gambia, Ghana, Guinea, Guinea Bissau, Kenya, Lesotho, Liberia, Madagascar, Malawi, Mali, Mauritius, Mauritania, Mozambique, Namibia, Niger, Nigeria, Rwanda, Sao Tomé &amp; Principe, Senegal, Seychelles, Sierra Leone, South Africa, Swaziland, the United Republic of Tanzania, Togo, Uganda, Zambia, Zimbabwe</w:t>
            </w:r>
            <w:r w:rsidR="0008215D">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of countries with available IP training programs and IP related career opportunities (Arab region)</w:t>
            </w:r>
          </w:p>
        </w:tc>
        <w:tc>
          <w:tcPr>
            <w:tcW w:w="1995" w:type="dxa"/>
            <w:gridSpan w:val="2"/>
            <w:shd w:val="clear" w:color="auto" w:fill="auto"/>
          </w:tcPr>
          <w:p w:rsidR="00C215DD" w:rsidRPr="00112987" w:rsidRDefault="00C215DD" w:rsidP="00C215DD">
            <w:pPr>
              <w:rPr>
                <w:rFonts w:cs="Arial"/>
                <w:sz w:val="16"/>
                <w:szCs w:val="16"/>
                <w:lang w:bidi="th-TH"/>
              </w:rPr>
            </w:pPr>
            <w:r w:rsidRPr="00112987">
              <w:rPr>
                <w:rFonts w:cs="Arial"/>
                <w:sz w:val="16"/>
                <w:szCs w:val="16"/>
                <w:lang w:bidi="th-TH"/>
              </w:rPr>
              <w:t>Five countries</w:t>
            </w:r>
            <w:r w:rsidRPr="00112987">
              <w:rPr>
                <w:rFonts w:cs="Arial"/>
                <w:sz w:val="16"/>
                <w:szCs w:val="16"/>
                <w:lang w:bidi="th-TH"/>
              </w:rPr>
              <w:br w:type="page"/>
            </w:r>
            <w:r w:rsidRPr="00112987">
              <w:rPr>
                <w:rFonts w:cs="Arial"/>
                <w:sz w:val="16"/>
                <w:szCs w:val="16"/>
                <w:lang w:bidi="th-TH"/>
              </w:rPr>
              <w:br w:type="page"/>
            </w:r>
          </w:p>
        </w:tc>
        <w:tc>
          <w:tcPr>
            <w:tcW w:w="1227" w:type="dxa"/>
            <w:shd w:val="clear" w:color="auto" w:fill="auto"/>
            <w:tcMar>
              <w:top w:w="110" w:type="dxa"/>
            </w:tcMar>
          </w:tcPr>
          <w:p w:rsidR="00C215DD" w:rsidRPr="00112987" w:rsidRDefault="00C215DD" w:rsidP="00C215DD">
            <w:pPr>
              <w:rPr>
                <w:rFonts w:cs="Arial"/>
                <w:sz w:val="16"/>
                <w:szCs w:val="16"/>
                <w:lang w:bidi="th-TH"/>
              </w:rPr>
            </w:pPr>
            <w:r w:rsidRPr="00112987">
              <w:rPr>
                <w:rFonts w:cs="Arial"/>
                <w:sz w:val="16"/>
                <w:szCs w:val="16"/>
                <w:lang w:bidi="th-TH"/>
              </w:rPr>
              <w:t>Three countries</w:t>
            </w:r>
          </w:p>
          <w:p w:rsidR="00C215DD" w:rsidRPr="00112987" w:rsidRDefault="00C215DD" w:rsidP="00C215DD">
            <w:pPr>
              <w:rPr>
                <w:rFonts w:cs="Arial"/>
                <w:sz w:val="16"/>
                <w:szCs w:val="16"/>
                <w:lang w:bidi="th-TH"/>
              </w:rPr>
            </w:pPr>
            <w:r w:rsidRPr="00112987">
              <w:rPr>
                <w:rFonts w:cs="Arial"/>
                <w:sz w:val="16"/>
                <w:szCs w:val="16"/>
                <w:lang w:bidi="th-TH"/>
              </w:rPr>
              <w:t>(in 2012/13)</w:t>
            </w:r>
          </w:p>
        </w:tc>
        <w:tc>
          <w:tcPr>
            <w:tcW w:w="3261" w:type="dxa"/>
            <w:gridSpan w:val="5"/>
            <w:shd w:val="clear" w:color="auto" w:fill="FFFFFF"/>
            <w:tcMar>
              <w:top w:w="110" w:type="dxa"/>
            </w:tcMar>
          </w:tcPr>
          <w:p w:rsidR="00C215DD" w:rsidRPr="00112987" w:rsidRDefault="00C215DD" w:rsidP="00C215DD">
            <w:pPr>
              <w:rPr>
                <w:rFonts w:cs="Arial"/>
                <w:sz w:val="16"/>
                <w:szCs w:val="16"/>
                <w:lang w:bidi="th-TH"/>
              </w:rPr>
            </w:pPr>
            <w:r w:rsidRPr="00112987">
              <w:rPr>
                <w:rFonts w:cs="Arial"/>
                <w:sz w:val="16"/>
                <w:szCs w:val="16"/>
                <w:lang w:bidi="th-TH"/>
              </w:rPr>
              <w:t>One country has established a Start-up IP Academy (Tunisia) and one country (Egypt) has</w:t>
            </w:r>
            <w:r w:rsidR="0008215D" w:rsidRPr="00112987">
              <w:rPr>
                <w:rFonts w:cs="Arial"/>
                <w:sz w:val="16"/>
                <w:szCs w:val="16"/>
                <w:lang w:bidi="th-TH"/>
              </w:rPr>
              <w:t xml:space="preserve"> initiated a Start- up Academy.</w:t>
            </w:r>
          </w:p>
          <w:p w:rsidR="00C215DD" w:rsidRPr="00112987" w:rsidRDefault="00C215DD" w:rsidP="00C215DD">
            <w:pPr>
              <w:rPr>
                <w:rFonts w:cs="Arial"/>
                <w:sz w:val="8"/>
                <w:szCs w:val="8"/>
                <w:lang w:bidi="th-TH"/>
              </w:rPr>
            </w:pPr>
          </w:p>
          <w:p w:rsidR="00C215DD" w:rsidRPr="00112987" w:rsidRDefault="00C215DD" w:rsidP="00C215DD">
            <w:pPr>
              <w:rPr>
                <w:rFonts w:cs="Arial"/>
                <w:sz w:val="16"/>
                <w:szCs w:val="16"/>
                <w:lang w:bidi="th-TH"/>
              </w:rPr>
            </w:pPr>
            <w:r w:rsidRPr="00112987">
              <w:rPr>
                <w:rFonts w:cs="Arial"/>
                <w:i/>
                <w:sz w:val="16"/>
                <w:szCs w:val="16"/>
                <w:lang w:bidi="th-TH"/>
              </w:rPr>
              <w:t>Institut national algérien de la propriété industrielle</w:t>
            </w:r>
            <w:r w:rsidRPr="00112987">
              <w:rPr>
                <w:rFonts w:cs="Arial"/>
                <w:sz w:val="16"/>
                <w:szCs w:val="16"/>
                <w:lang w:bidi="th-TH"/>
              </w:rPr>
              <w:t xml:space="preserve"> (INAPI)</w:t>
            </w:r>
            <w:r w:rsidRPr="00112987" w:rsidDel="007F23D5">
              <w:rPr>
                <w:rFonts w:cs="Arial"/>
                <w:sz w:val="16"/>
                <w:szCs w:val="16"/>
                <w:lang w:bidi="th-TH"/>
              </w:rPr>
              <w:t xml:space="preserve"> </w:t>
            </w:r>
            <w:r w:rsidRPr="00112987">
              <w:rPr>
                <w:rFonts w:cs="Arial"/>
                <w:sz w:val="16"/>
                <w:szCs w:val="16"/>
                <w:lang w:bidi="th-TH"/>
              </w:rPr>
              <w:t>provides IP related training programs in the field of patent information and research</w:t>
            </w:r>
            <w:r w:rsidR="0008215D" w:rsidRPr="00112987">
              <w:rPr>
                <w:rFonts w:cs="Arial"/>
                <w:sz w:val="16"/>
                <w:szCs w:val="16"/>
                <w:lang w:bidi="th-TH"/>
              </w:rPr>
              <w:t>.</w:t>
            </w:r>
          </w:p>
        </w:tc>
        <w:tc>
          <w:tcPr>
            <w:tcW w:w="992" w:type="dxa"/>
            <w:shd w:val="clear" w:color="auto" w:fill="auto"/>
          </w:tcPr>
          <w:p w:rsidR="00C215DD" w:rsidRPr="00C215DD" w:rsidRDefault="00C215DD" w:rsidP="00C215DD">
            <w:pPr>
              <w:keepNext/>
              <w:keepLines/>
              <w:spacing w:after="120"/>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of trained examiners using upgraded skills in their professional work (Asia and the Pacific)</w:t>
            </w:r>
          </w:p>
        </w:tc>
        <w:tc>
          <w:tcPr>
            <w:tcW w:w="1995" w:type="dxa"/>
            <w:gridSpan w:val="2"/>
            <w:shd w:val="clear" w:color="auto" w:fill="auto"/>
          </w:tcPr>
          <w:p w:rsidR="00C215DD" w:rsidRPr="00112987" w:rsidRDefault="00C215DD" w:rsidP="00C215DD">
            <w:pPr>
              <w:jc w:val="both"/>
              <w:rPr>
                <w:rFonts w:cs="Arial"/>
                <w:sz w:val="16"/>
                <w:szCs w:val="16"/>
                <w:lang w:bidi="th-TH"/>
              </w:rPr>
            </w:pPr>
            <w:r w:rsidRPr="00112987">
              <w:rPr>
                <w:rFonts w:cs="Arial"/>
                <w:sz w:val="16"/>
                <w:szCs w:val="16"/>
                <w:lang w:bidi="th-TH"/>
              </w:rPr>
              <w:t>Data not available</w:t>
            </w:r>
          </w:p>
        </w:tc>
        <w:tc>
          <w:tcPr>
            <w:tcW w:w="1227" w:type="dxa"/>
            <w:shd w:val="clear" w:color="auto" w:fill="auto"/>
            <w:tcMar>
              <w:top w:w="110" w:type="dxa"/>
            </w:tcMar>
          </w:tcPr>
          <w:p w:rsidR="00C215DD" w:rsidRPr="00112987" w:rsidRDefault="00C215DD" w:rsidP="00C215DD">
            <w:pPr>
              <w:rPr>
                <w:rFonts w:cs="Arial"/>
                <w:sz w:val="16"/>
                <w:szCs w:val="16"/>
                <w:lang w:bidi="th-TH"/>
              </w:rPr>
            </w:pPr>
            <w:r w:rsidRPr="00112987">
              <w:rPr>
                <w:rFonts w:cs="Arial"/>
                <w:sz w:val="16"/>
                <w:szCs w:val="16"/>
                <w:lang w:bidi="th-TH"/>
              </w:rPr>
              <w:t>70%</w:t>
            </w:r>
          </w:p>
        </w:tc>
        <w:tc>
          <w:tcPr>
            <w:tcW w:w="3261" w:type="dxa"/>
            <w:gridSpan w:val="5"/>
            <w:shd w:val="clear" w:color="auto" w:fill="FFFFFF"/>
            <w:tcMar>
              <w:top w:w="110" w:type="dxa"/>
            </w:tcMar>
          </w:tcPr>
          <w:p w:rsidR="00C215DD" w:rsidRPr="00112987" w:rsidRDefault="00C215DD" w:rsidP="00C215DD">
            <w:pPr>
              <w:rPr>
                <w:rFonts w:cs="Arial"/>
                <w:sz w:val="16"/>
                <w:szCs w:val="16"/>
                <w:lang w:bidi="th-TH"/>
              </w:rPr>
            </w:pPr>
            <w:r w:rsidRPr="00112987">
              <w:rPr>
                <w:rFonts w:cs="Arial"/>
                <w:sz w:val="16"/>
                <w:szCs w:val="16"/>
                <w:lang w:bidi="th-TH"/>
              </w:rPr>
              <w:t>Around 90% of evaluated trained examiners use upgraded skills in their professional work</w:t>
            </w:r>
            <w:r w:rsidR="0008215D" w:rsidRPr="00112987">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spacing w:after="120"/>
              <w:jc w:val="center"/>
              <w:rPr>
                <w:rFonts w:cs="Arial"/>
                <w:bCs/>
                <w:color w:val="008000"/>
                <w:sz w:val="16"/>
                <w:szCs w:val="16"/>
              </w:rPr>
            </w:pPr>
            <w:r w:rsidRPr="00C215DD">
              <w:rPr>
                <w:rFonts w:cs="Arial"/>
                <w:bCs/>
                <w:color w:val="008000"/>
                <w:sz w:val="16"/>
                <w:szCs w:val="16"/>
              </w:rPr>
              <w:t>Fully Achieved</w:t>
            </w:r>
          </w:p>
        </w:tc>
      </w:tr>
      <w:tr w:rsidR="00112987"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 of policy makers, government officials, and IP practitioners with enhanced understanding of IP </w:t>
            </w:r>
            <w:r w:rsidRPr="00C215DD">
              <w:rPr>
                <w:rFonts w:cs="Arial"/>
                <w:sz w:val="16"/>
                <w:szCs w:val="16"/>
                <w:lang w:bidi="th-TH"/>
              </w:rPr>
              <w:lastRenderedPageBreak/>
              <w:t>issues, including how to effectively use IP for development (Asia and the Pacific)</w:t>
            </w:r>
          </w:p>
        </w:tc>
        <w:tc>
          <w:tcPr>
            <w:tcW w:w="1995" w:type="dxa"/>
            <w:gridSpan w:val="2"/>
            <w:shd w:val="clear" w:color="auto" w:fill="auto"/>
          </w:tcPr>
          <w:p w:rsidR="00C215DD" w:rsidRPr="00112987" w:rsidRDefault="00C215DD" w:rsidP="00C215DD">
            <w:pPr>
              <w:jc w:val="both"/>
              <w:rPr>
                <w:rFonts w:cs="Arial"/>
                <w:sz w:val="16"/>
                <w:szCs w:val="16"/>
                <w:lang w:bidi="th-TH"/>
              </w:rPr>
            </w:pPr>
            <w:r w:rsidRPr="00112987">
              <w:rPr>
                <w:rFonts w:cs="Arial"/>
                <w:sz w:val="16"/>
                <w:szCs w:val="16"/>
                <w:lang w:bidi="th-TH"/>
              </w:rPr>
              <w:lastRenderedPageBreak/>
              <w:t>Data not available</w:t>
            </w:r>
          </w:p>
        </w:tc>
        <w:tc>
          <w:tcPr>
            <w:tcW w:w="1227" w:type="dxa"/>
            <w:shd w:val="clear" w:color="auto" w:fill="auto"/>
            <w:tcMar>
              <w:top w:w="110" w:type="dxa"/>
            </w:tcMar>
          </w:tcPr>
          <w:p w:rsidR="00C215DD" w:rsidRPr="00112987" w:rsidRDefault="00C215DD" w:rsidP="00C215DD">
            <w:pPr>
              <w:rPr>
                <w:rFonts w:cs="Arial"/>
                <w:sz w:val="16"/>
                <w:szCs w:val="16"/>
                <w:lang w:bidi="th-TH"/>
              </w:rPr>
            </w:pPr>
            <w:r w:rsidRPr="00112987">
              <w:rPr>
                <w:rFonts w:cs="Arial"/>
                <w:sz w:val="16"/>
                <w:szCs w:val="16"/>
                <w:lang w:bidi="th-TH"/>
              </w:rPr>
              <w:t>60%</w:t>
            </w:r>
          </w:p>
        </w:tc>
        <w:tc>
          <w:tcPr>
            <w:tcW w:w="3261" w:type="dxa"/>
            <w:gridSpan w:val="5"/>
            <w:shd w:val="clear" w:color="auto" w:fill="FFFFFF"/>
            <w:tcMar>
              <w:top w:w="110" w:type="dxa"/>
            </w:tcMar>
          </w:tcPr>
          <w:p w:rsidR="00C215DD" w:rsidRPr="00112987" w:rsidRDefault="00C215DD" w:rsidP="00C215DD">
            <w:pPr>
              <w:rPr>
                <w:rFonts w:cs="Arial"/>
                <w:sz w:val="16"/>
                <w:szCs w:val="16"/>
              </w:rPr>
            </w:pPr>
            <w:r w:rsidRPr="00112987">
              <w:rPr>
                <w:rFonts w:cs="Arial"/>
                <w:sz w:val="16"/>
                <w:szCs w:val="16"/>
                <w:lang w:bidi="th-TH"/>
              </w:rPr>
              <w:t>Around 80% of evaluated participants indicated a better understanding of IP issues</w:t>
            </w:r>
            <w:r w:rsidR="0008215D" w:rsidRPr="00112987">
              <w:rPr>
                <w:rFonts w:cs="Arial"/>
                <w:sz w:val="16"/>
                <w:szCs w:val="16"/>
                <w:lang w:bidi="th-TH"/>
              </w:rPr>
              <w:t>.</w:t>
            </w:r>
          </w:p>
        </w:tc>
        <w:tc>
          <w:tcPr>
            <w:tcW w:w="992" w:type="dxa"/>
            <w:shd w:val="clear" w:color="auto" w:fill="auto"/>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FFFFFF"/>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lastRenderedPageBreak/>
              <w:t>No. of national  IP trainers/national experts (Latin America and the Caribbean)</w:t>
            </w:r>
          </w:p>
        </w:tc>
        <w:tc>
          <w:tcPr>
            <w:tcW w:w="1995" w:type="dxa"/>
            <w:gridSpan w:val="2"/>
            <w:shd w:val="clear" w:color="auto" w:fill="auto"/>
          </w:tcPr>
          <w:p w:rsidR="00C215DD" w:rsidRPr="00CD26D6" w:rsidRDefault="00C215DD" w:rsidP="00C215DD">
            <w:pPr>
              <w:rPr>
                <w:rFonts w:cs="Arial"/>
                <w:sz w:val="16"/>
                <w:szCs w:val="16"/>
                <w:lang w:bidi="th-TH"/>
              </w:rPr>
            </w:pPr>
            <w:r w:rsidRPr="00CD26D6">
              <w:rPr>
                <w:rFonts w:cs="Arial"/>
                <w:sz w:val="16"/>
                <w:szCs w:val="16"/>
                <w:lang w:bidi="th-TH"/>
              </w:rPr>
              <w:t>151 national experts/trainers</w:t>
            </w:r>
          </w:p>
        </w:tc>
        <w:tc>
          <w:tcPr>
            <w:tcW w:w="1501" w:type="dxa"/>
            <w:gridSpan w:val="3"/>
            <w:shd w:val="clear" w:color="auto" w:fill="auto"/>
            <w:tcMar>
              <w:top w:w="110" w:type="dxa"/>
            </w:tcMar>
          </w:tcPr>
          <w:p w:rsidR="00C215DD" w:rsidRPr="00CD26D6" w:rsidRDefault="00C215DD" w:rsidP="00C215DD">
            <w:pPr>
              <w:rPr>
                <w:rFonts w:cs="Arial"/>
                <w:sz w:val="16"/>
                <w:szCs w:val="16"/>
                <w:lang w:bidi="th-TH"/>
              </w:rPr>
            </w:pPr>
            <w:r w:rsidRPr="00CD26D6">
              <w:rPr>
                <w:rFonts w:cs="Arial"/>
                <w:sz w:val="16"/>
                <w:szCs w:val="16"/>
                <w:lang w:bidi="th-TH"/>
              </w:rPr>
              <w:t>230 national</w:t>
            </w:r>
          </w:p>
          <w:p w:rsidR="00C215DD" w:rsidRPr="00CD26D6" w:rsidRDefault="00C215DD" w:rsidP="00C215DD">
            <w:pPr>
              <w:rPr>
                <w:rFonts w:cs="Arial"/>
                <w:sz w:val="16"/>
                <w:szCs w:val="16"/>
                <w:lang w:bidi="th-TH"/>
              </w:rPr>
            </w:pPr>
            <w:r w:rsidRPr="00CD26D6">
              <w:rPr>
                <w:rFonts w:cs="Arial"/>
                <w:sz w:val="16"/>
                <w:szCs w:val="16"/>
                <w:lang w:bidi="th-TH"/>
              </w:rPr>
              <w:t>experts/trainers</w:t>
            </w:r>
          </w:p>
          <w:p w:rsidR="00C215DD" w:rsidRPr="00CD26D6" w:rsidRDefault="00C215DD" w:rsidP="00C215DD">
            <w:pPr>
              <w:rPr>
                <w:rFonts w:cs="Arial"/>
                <w:sz w:val="16"/>
                <w:szCs w:val="16"/>
                <w:lang w:bidi="th-TH"/>
              </w:rPr>
            </w:pPr>
            <w:r w:rsidRPr="00CD26D6">
              <w:rPr>
                <w:rFonts w:cs="Arial"/>
                <w:sz w:val="16"/>
                <w:szCs w:val="16"/>
                <w:lang w:bidi="th-TH"/>
              </w:rPr>
              <w:t>(cumulative)</w:t>
            </w:r>
          </w:p>
        </w:tc>
        <w:tc>
          <w:tcPr>
            <w:tcW w:w="2987" w:type="dxa"/>
            <w:gridSpan w:val="3"/>
            <w:shd w:val="clear" w:color="auto" w:fill="FFFFFF"/>
            <w:tcMar>
              <w:top w:w="110" w:type="dxa"/>
            </w:tcMar>
          </w:tcPr>
          <w:p w:rsidR="00C215DD" w:rsidRPr="00A06596" w:rsidRDefault="00C215DD" w:rsidP="00C215DD">
            <w:pPr>
              <w:rPr>
                <w:rFonts w:cs="Arial"/>
                <w:sz w:val="16"/>
                <w:szCs w:val="16"/>
                <w:lang w:bidi="th-TH"/>
              </w:rPr>
            </w:pPr>
            <w:r w:rsidRPr="00A06596">
              <w:rPr>
                <w:rFonts w:cs="Arial"/>
                <w:sz w:val="16"/>
                <w:szCs w:val="16"/>
                <w:lang w:bidi="th-TH"/>
              </w:rPr>
              <w:t xml:space="preserve">Total of national experts/trainers in the biennium: 250 </w:t>
            </w:r>
          </w:p>
          <w:p w:rsidR="00C215DD" w:rsidRPr="00A06596" w:rsidRDefault="00C215DD" w:rsidP="00A06596">
            <w:pPr>
              <w:pStyle w:val="ListParagraph"/>
              <w:numPr>
                <w:ilvl w:val="0"/>
                <w:numId w:val="29"/>
              </w:numPr>
              <w:ind w:left="336" w:hanging="283"/>
              <w:rPr>
                <w:rFonts w:cs="Arial"/>
                <w:sz w:val="16"/>
                <w:szCs w:val="16"/>
                <w:lang w:bidi="th-TH"/>
              </w:rPr>
            </w:pPr>
            <w:r w:rsidRPr="00A06596">
              <w:rPr>
                <w:rFonts w:cs="Arial"/>
                <w:sz w:val="16"/>
                <w:szCs w:val="16"/>
                <w:lang w:bidi="th-TH"/>
              </w:rPr>
              <w:t>80 (2012)</w:t>
            </w:r>
          </w:p>
          <w:p w:rsidR="00C215DD" w:rsidRPr="00A06596" w:rsidRDefault="00C215DD" w:rsidP="00A06596">
            <w:pPr>
              <w:pStyle w:val="ListParagraph"/>
              <w:numPr>
                <w:ilvl w:val="0"/>
                <w:numId w:val="29"/>
              </w:numPr>
              <w:ind w:left="336" w:hanging="283"/>
              <w:rPr>
                <w:rFonts w:cs="Arial"/>
                <w:sz w:val="16"/>
                <w:szCs w:val="16"/>
                <w:lang w:bidi="th-TH"/>
              </w:rPr>
            </w:pPr>
            <w:r w:rsidRPr="00A06596">
              <w:rPr>
                <w:rFonts w:cs="Arial"/>
                <w:sz w:val="16"/>
                <w:szCs w:val="16"/>
                <w:lang w:bidi="th-TH"/>
              </w:rPr>
              <w:t>170 (2013)</w:t>
            </w:r>
          </w:p>
        </w:tc>
        <w:tc>
          <w:tcPr>
            <w:tcW w:w="992" w:type="dxa"/>
            <w:shd w:val="clear" w:color="auto" w:fill="auto"/>
            <w:tcMar>
              <w:top w:w="110" w:type="dxa"/>
            </w:tcMar>
          </w:tcPr>
          <w:p w:rsidR="00C215DD" w:rsidRPr="00C215DD" w:rsidRDefault="00C215DD" w:rsidP="00C215DD">
            <w:pPr>
              <w:tabs>
                <w:tab w:val="left" w:pos="615"/>
              </w:tabs>
              <w:jc w:val="center"/>
              <w:rPr>
                <w:rFonts w:cs="Arial"/>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No. of structured national training programs (Latin America and the Caribbean)</w:t>
            </w:r>
          </w:p>
        </w:tc>
        <w:tc>
          <w:tcPr>
            <w:tcW w:w="1995" w:type="dxa"/>
            <w:gridSpan w:val="2"/>
            <w:shd w:val="clear" w:color="auto" w:fill="auto"/>
          </w:tcPr>
          <w:p w:rsidR="00C215DD" w:rsidRPr="00C215DD" w:rsidRDefault="00C215DD" w:rsidP="00C215DD">
            <w:pPr>
              <w:rPr>
                <w:rFonts w:cs="Arial"/>
                <w:color w:val="002060"/>
                <w:sz w:val="16"/>
                <w:szCs w:val="16"/>
                <w:lang w:bidi="th-TH"/>
              </w:rPr>
            </w:pPr>
            <w:r w:rsidRPr="00C215DD">
              <w:rPr>
                <w:rFonts w:cs="Arial"/>
                <w:i/>
                <w:color w:val="002060"/>
                <w:sz w:val="16"/>
                <w:szCs w:val="16"/>
              </w:rPr>
              <w:t xml:space="preserve">Updated Baseline </w:t>
            </w:r>
            <w:r w:rsidRPr="00C215DD">
              <w:rPr>
                <w:rFonts w:cs="Arial"/>
                <w:i/>
                <w:color w:val="002060"/>
                <w:sz w:val="16"/>
                <w:szCs w:val="16"/>
              </w:rPr>
              <w:br/>
              <w:t>end 2011:</w:t>
            </w:r>
            <w:r w:rsidRPr="00C215DD">
              <w:rPr>
                <w:rFonts w:cs="Arial"/>
                <w:color w:val="002060"/>
                <w:sz w:val="16"/>
                <w:szCs w:val="16"/>
              </w:rPr>
              <w:br/>
            </w:r>
            <w:r w:rsidRPr="00C215DD">
              <w:rPr>
                <w:rFonts w:cs="Arial"/>
                <w:color w:val="002060"/>
                <w:sz w:val="16"/>
                <w:szCs w:val="16"/>
                <w:lang w:bidi="th-TH"/>
              </w:rPr>
              <w:t>31 activities (no national programs)</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rPr>
            </w:pPr>
            <w:r w:rsidRPr="00C215DD">
              <w:rPr>
                <w:rFonts w:cs="Arial"/>
                <w:i/>
                <w:sz w:val="16"/>
                <w:szCs w:val="16"/>
              </w:rPr>
              <w:t>Original Baseline P&amp;B 2012/13:</w:t>
            </w:r>
          </w:p>
          <w:p w:rsidR="00C215DD" w:rsidRPr="00C215DD" w:rsidRDefault="00C215DD" w:rsidP="00C215DD">
            <w:pPr>
              <w:rPr>
                <w:rFonts w:cs="Arial"/>
                <w:color w:val="000000"/>
                <w:sz w:val="16"/>
                <w:szCs w:val="16"/>
                <w:lang w:bidi="th-TH"/>
              </w:rPr>
            </w:pPr>
            <w:r w:rsidRPr="00C215DD">
              <w:rPr>
                <w:rFonts w:cs="Arial"/>
                <w:color w:val="000000"/>
                <w:sz w:val="16"/>
                <w:szCs w:val="16"/>
                <w:lang w:bidi="th-TH"/>
              </w:rPr>
              <w:t>31 national programs</w:t>
            </w:r>
          </w:p>
        </w:tc>
        <w:tc>
          <w:tcPr>
            <w:tcW w:w="1501" w:type="dxa"/>
            <w:gridSpan w:val="3"/>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59 national programs</w:t>
            </w:r>
            <w:r w:rsidRPr="00C215DD" w:rsidDel="00331FD2">
              <w:rPr>
                <w:rFonts w:cs="Arial"/>
                <w:sz w:val="16"/>
                <w:szCs w:val="16"/>
                <w:lang w:bidi="th-TH"/>
              </w:rPr>
              <w:t xml:space="preserve"> </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 xml:space="preserve">Total activities - 75 </w:t>
            </w:r>
          </w:p>
          <w:p w:rsidR="00C215DD" w:rsidRPr="00C215DD" w:rsidRDefault="00C215DD" w:rsidP="00C215DD">
            <w:pPr>
              <w:rPr>
                <w:rFonts w:cs="Arial"/>
                <w:sz w:val="16"/>
                <w:szCs w:val="16"/>
                <w:lang w:bidi="th-TH"/>
              </w:rPr>
            </w:pPr>
            <w:r w:rsidRPr="00C215DD">
              <w:rPr>
                <w:rFonts w:cs="Arial"/>
                <w:sz w:val="16"/>
                <w:szCs w:val="16"/>
                <w:lang w:bidi="th-TH"/>
              </w:rPr>
              <w:t xml:space="preserve">National activities: </w:t>
            </w:r>
            <w:r w:rsidR="00A06596">
              <w:rPr>
                <w:rFonts w:cs="Arial"/>
                <w:sz w:val="16"/>
                <w:szCs w:val="16"/>
                <w:lang w:bidi="th-TH"/>
              </w:rPr>
              <w:t xml:space="preserve"> </w:t>
            </w:r>
            <w:r w:rsidRPr="00C215DD">
              <w:rPr>
                <w:rFonts w:cs="Arial"/>
                <w:sz w:val="16"/>
                <w:szCs w:val="16"/>
                <w:lang w:bidi="th-TH"/>
              </w:rPr>
              <w:t>31 (2012) and 13</w:t>
            </w:r>
            <w:r w:rsidR="00A06596">
              <w:rPr>
                <w:rFonts w:cs="Arial"/>
                <w:sz w:val="16"/>
                <w:szCs w:val="16"/>
                <w:lang w:bidi="th-TH"/>
              </w:rPr>
              <w:t> </w:t>
            </w:r>
            <w:r w:rsidRPr="00C215DD">
              <w:rPr>
                <w:rFonts w:cs="Arial"/>
                <w:sz w:val="16"/>
                <w:szCs w:val="16"/>
                <w:lang w:bidi="th-TH"/>
              </w:rPr>
              <w:t>(2013)</w:t>
            </w:r>
          </w:p>
          <w:p w:rsidR="00C215DD" w:rsidRPr="00C215DD" w:rsidRDefault="00C215DD" w:rsidP="00A06596">
            <w:pPr>
              <w:rPr>
                <w:rFonts w:cs="Arial"/>
                <w:sz w:val="16"/>
                <w:szCs w:val="16"/>
                <w:lang w:bidi="th-TH"/>
              </w:rPr>
            </w:pPr>
            <w:r w:rsidRPr="00C215DD">
              <w:rPr>
                <w:rFonts w:cs="Arial"/>
                <w:sz w:val="16"/>
                <w:szCs w:val="16"/>
                <w:lang w:bidi="th-TH"/>
              </w:rPr>
              <w:t>Sub-regional activities: 14 (2012) and 17</w:t>
            </w:r>
            <w:r w:rsidR="00A06596">
              <w:rPr>
                <w:rFonts w:cs="Arial"/>
                <w:sz w:val="16"/>
                <w:szCs w:val="16"/>
                <w:lang w:bidi="th-TH"/>
              </w:rPr>
              <w:t> </w:t>
            </w:r>
            <w:r w:rsidRPr="00C215DD">
              <w:rPr>
                <w:rFonts w:cs="Arial"/>
                <w:sz w:val="16"/>
                <w:szCs w:val="16"/>
                <w:lang w:bidi="th-TH"/>
              </w:rPr>
              <w:t>(2013)</w:t>
            </w:r>
          </w:p>
        </w:tc>
        <w:tc>
          <w:tcPr>
            <w:tcW w:w="992" w:type="dxa"/>
            <w:shd w:val="clear" w:color="auto" w:fill="auto"/>
          </w:tcPr>
          <w:p w:rsidR="00C215DD" w:rsidRPr="00C215DD" w:rsidRDefault="00C215DD" w:rsidP="00C215DD">
            <w:pPr>
              <w:jc w:val="center"/>
              <w:rPr>
                <w:rFonts w:cs="Arial"/>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of countries in which the needs for technical assistance and capacity building have been assessed (LDCs)</w:t>
            </w:r>
          </w:p>
        </w:tc>
        <w:tc>
          <w:tcPr>
            <w:tcW w:w="1995" w:type="dxa"/>
            <w:gridSpan w:val="2"/>
            <w:shd w:val="clear" w:color="auto" w:fill="auto"/>
          </w:tcPr>
          <w:p w:rsidR="00C215DD" w:rsidRPr="00C215DD" w:rsidRDefault="00C215DD">
            <w:pPr>
              <w:rPr>
                <w:rFonts w:cs="Arial"/>
                <w:sz w:val="16"/>
                <w:szCs w:val="16"/>
                <w:lang w:bidi="th-TH"/>
              </w:rPr>
            </w:pPr>
            <w:r w:rsidRPr="00C215DD">
              <w:rPr>
                <w:rFonts w:cs="Arial"/>
                <w:sz w:val="16"/>
                <w:szCs w:val="16"/>
                <w:lang w:bidi="th-TH"/>
              </w:rPr>
              <w:t xml:space="preserve">Needs assessment of </w:t>
            </w:r>
            <w:r w:rsidR="00C97414" w:rsidRPr="00C215DD">
              <w:rPr>
                <w:rFonts w:cs="Arial"/>
                <w:sz w:val="16"/>
                <w:szCs w:val="16"/>
                <w:lang w:bidi="th-TH"/>
              </w:rPr>
              <w:t>5</w:t>
            </w:r>
            <w:r w:rsidR="00C97414">
              <w:rPr>
                <w:rFonts w:cs="Arial"/>
                <w:sz w:val="16"/>
                <w:szCs w:val="16"/>
                <w:lang w:bidi="th-TH"/>
              </w:rPr>
              <w:t> </w:t>
            </w:r>
            <w:r w:rsidRPr="00C215DD">
              <w:rPr>
                <w:rFonts w:cs="Arial"/>
                <w:sz w:val="16"/>
                <w:szCs w:val="16"/>
                <w:lang w:bidi="th-TH"/>
              </w:rPr>
              <w:t>LDCs</w:t>
            </w:r>
          </w:p>
        </w:tc>
        <w:tc>
          <w:tcPr>
            <w:tcW w:w="1501" w:type="dxa"/>
            <w:gridSpan w:val="3"/>
            <w:shd w:val="clear" w:color="auto" w:fill="auto"/>
            <w:tcMar>
              <w:top w:w="110" w:type="dxa"/>
            </w:tcMar>
          </w:tcPr>
          <w:p w:rsidR="00C215DD" w:rsidRPr="00C97414" w:rsidRDefault="00C215DD" w:rsidP="00C215DD">
            <w:pPr>
              <w:rPr>
                <w:rFonts w:cs="Arial"/>
                <w:sz w:val="16"/>
                <w:szCs w:val="16"/>
                <w:lang w:bidi="th-TH"/>
              </w:rPr>
            </w:pPr>
            <w:r w:rsidRPr="00C97414">
              <w:rPr>
                <w:rFonts w:cs="Arial"/>
                <w:sz w:val="16"/>
                <w:szCs w:val="16"/>
                <w:lang w:bidi="th-TH"/>
              </w:rPr>
              <w:t>Needs assessment for at least 15 LDCs</w:t>
            </w:r>
          </w:p>
          <w:p w:rsidR="00C215DD" w:rsidRPr="00C97414" w:rsidRDefault="00C215DD" w:rsidP="00C215DD">
            <w:pPr>
              <w:rPr>
                <w:rFonts w:cs="Arial"/>
                <w:sz w:val="16"/>
                <w:szCs w:val="16"/>
                <w:lang w:bidi="th-TH"/>
              </w:rPr>
            </w:pPr>
            <w:r w:rsidRPr="00C97414">
              <w:rPr>
                <w:rFonts w:cs="Arial"/>
                <w:sz w:val="16"/>
                <w:szCs w:val="16"/>
                <w:lang w:bidi="th-TH"/>
              </w:rPr>
              <w:t>(cumulative)</w:t>
            </w:r>
          </w:p>
        </w:tc>
        <w:tc>
          <w:tcPr>
            <w:tcW w:w="2987" w:type="dxa"/>
            <w:gridSpan w:val="3"/>
            <w:shd w:val="clear" w:color="auto" w:fill="FFFFFF"/>
            <w:tcMar>
              <w:top w:w="110" w:type="dxa"/>
            </w:tcMar>
          </w:tcPr>
          <w:p w:rsidR="00C215DD" w:rsidRPr="00C97414" w:rsidRDefault="00C215DD" w:rsidP="00C215DD">
            <w:pPr>
              <w:rPr>
                <w:rFonts w:cs="Arial"/>
                <w:sz w:val="16"/>
                <w:szCs w:val="16"/>
                <w:lang w:bidi="th-TH"/>
              </w:rPr>
            </w:pPr>
            <w:r w:rsidRPr="00C97414">
              <w:rPr>
                <w:rFonts w:cs="Arial"/>
                <w:sz w:val="16"/>
                <w:szCs w:val="16"/>
                <w:lang w:bidi="th-TH"/>
              </w:rPr>
              <w:t>26 LDCs</w:t>
            </w:r>
          </w:p>
          <w:p w:rsidR="00C215DD" w:rsidRPr="00C97414" w:rsidRDefault="00C215DD" w:rsidP="00C215DD">
            <w:pPr>
              <w:rPr>
                <w:rFonts w:cs="Arial"/>
                <w:b/>
                <w:sz w:val="8"/>
                <w:szCs w:val="8"/>
                <w:lang w:bidi="th-TH"/>
              </w:rPr>
            </w:pPr>
          </w:p>
          <w:p w:rsidR="00C215DD" w:rsidRPr="00C97414" w:rsidRDefault="00C215DD" w:rsidP="00C215DD">
            <w:pPr>
              <w:rPr>
                <w:rFonts w:cs="Arial"/>
                <w:sz w:val="16"/>
                <w:szCs w:val="16"/>
                <w:lang w:bidi="th-TH"/>
              </w:rPr>
            </w:pPr>
            <w:r w:rsidRPr="00C97414">
              <w:rPr>
                <w:rFonts w:cs="Arial"/>
                <w:b/>
                <w:sz w:val="16"/>
                <w:szCs w:val="16"/>
                <w:lang w:bidi="th-TH"/>
              </w:rPr>
              <w:t>Africa</w:t>
            </w:r>
            <w:r w:rsidRPr="00C97414">
              <w:rPr>
                <w:rFonts w:cs="Arial"/>
                <w:sz w:val="16"/>
                <w:szCs w:val="16"/>
                <w:lang w:bidi="th-TH"/>
              </w:rPr>
              <w:t>:</w:t>
            </w:r>
          </w:p>
          <w:p w:rsidR="00C215DD" w:rsidRPr="00C97414" w:rsidRDefault="00C215DD" w:rsidP="005703CF">
            <w:pPr>
              <w:pStyle w:val="ListParagraph"/>
              <w:numPr>
                <w:ilvl w:val="0"/>
                <w:numId w:val="28"/>
              </w:numPr>
              <w:rPr>
                <w:rFonts w:cs="Arial"/>
                <w:sz w:val="16"/>
                <w:szCs w:val="16"/>
                <w:lang w:bidi="th-TH"/>
              </w:rPr>
            </w:pPr>
            <w:r w:rsidRPr="00C97414">
              <w:rPr>
                <w:rFonts w:cs="Arial"/>
                <w:sz w:val="16"/>
                <w:szCs w:val="16"/>
                <w:lang w:bidi="th-TH"/>
              </w:rPr>
              <w:t xml:space="preserve">ARIPO Member States: </w:t>
            </w:r>
            <w:r w:rsidR="00A06596">
              <w:rPr>
                <w:rFonts w:cs="Arial"/>
                <w:sz w:val="16"/>
                <w:szCs w:val="16"/>
                <w:lang w:bidi="th-TH"/>
              </w:rPr>
              <w:t xml:space="preserve"> </w:t>
            </w:r>
            <w:r w:rsidRPr="00C97414">
              <w:rPr>
                <w:rFonts w:cs="Arial"/>
                <w:sz w:val="16"/>
                <w:szCs w:val="16"/>
                <w:lang w:bidi="th-TH"/>
              </w:rPr>
              <w:t>the Gambia, Lesotho, Malawi; Mozambique, Rwanda, Sierra Leone, Sudan, Uganda, the United Republic of Tanzania and Zambia, plus Ethiopia (Observer);</w:t>
            </w:r>
          </w:p>
          <w:p w:rsidR="00C215DD" w:rsidRPr="00C97414" w:rsidRDefault="00C215DD" w:rsidP="005703CF">
            <w:pPr>
              <w:pStyle w:val="ListParagraph"/>
              <w:numPr>
                <w:ilvl w:val="0"/>
                <w:numId w:val="28"/>
              </w:numPr>
              <w:rPr>
                <w:rFonts w:cs="Arial"/>
                <w:sz w:val="16"/>
                <w:szCs w:val="16"/>
                <w:lang w:bidi="th-TH"/>
              </w:rPr>
            </w:pPr>
            <w:r w:rsidRPr="00C97414">
              <w:rPr>
                <w:rFonts w:cs="Arial"/>
                <w:sz w:val="16"/>
                <w:szCs w:val="16"/>
                <w:lang w:bidi="th-TH"/>
              </w:rPr>
              <w:t xml:space="preserve">OAPI Member States: </w:t>
            </w:r>
            <w:r w:rsidR="00A06596">
              <w:rPr>
                <w:rFonts w:cs="Arial"/>
                <w:sz w:val="16"/>
                <w:szCs w:val="16"/>
                <w:lang w:bidi="th-TH"/>
              </w:rPr>
              <w:t xml:space="preserve"> </w:t>
            </w:r>
            <w:r w:rsidRPr="00C97414">
              <w:rPr>
                <w:rFonts w:cs="Arial"/>
                <w:sz w:val="16"/>
                <w:szCs w:val="16"/>
                <w:lang w:bidi="th-TH"/>
              </w:rPr>
              <w:t>Benin, Burkina Faso, Burundi, Chad, Guinea, Madagascar, Mali, Mauritania, Niger, Central African Republic, Senegal and Togo</w:t>
            </w:r>
          </w:p>
          <w:p w:rsidR="00C215DD" w:rsidRPr="00C97414" w:rsidRDefault="00C215DD" w:rsidP="00C215DD">
            <w:pPr>
              <w:rPr>
                <w:rFonts w:cs="Arial"/>
                <w:b/>
                <w:sz w:val="8"/>
                <w:szCs w:val="8"/>
                <w:lang w:bidi="th-TH"/>
              </w:rPr>
            </w:pPr>
          </w:p>
          <w:p w:rsidR="00C215DD" w:rsidRPr="00C97414" w:rsidRDefault="00C215DD" w:rsidP="00C215DD">
            <w:pPr>
              <w:rPr>
                <w:rFonts w:cs="Arial"/>
                <w:sz w:val="16"/>
                <w:szCs w:val="16"/>
                <w:lang w:bidi="th-TH"/>
              </w:rPr>
            </w:pPr>
            <w:r w:rsidRPr="00C97414">
              <w:rPr>
                <w:rFonts w:cs="Arial"/>
                <w:b/>
                <w:sz w:val="16"/>
                <w:szCs w:val="16"/>
                <w:lang w:bidi="th-TH"/>
              </w:rPr>
              <w:t>Asia and the Pacific</w:t>
            </w:r>
            <w:r w:rsidRPr="00C97414">
              <w:rPr>
                <w:rFonts w:cs="Arial"/>
                <w:sz w:val="16"/>
                <w:szCs w:val="16"/>
                <w:lang w:bidi="th-TH"/>
              </w:rPr>
              <w:t>: Bangladesh, the Lao P</w:t>
            </w:r>
            <w:r w:rsidR="00A06596">
              <w:rPr>
                <w:rFonts w:cs="Arial"/>
                <w:sz w:val="16"/>
                <w:szCs w:val="16"/>
                <w:lang w:bidi="th-TH"/>
              </w:rPr>
              <w:t xml:space="preserve">eople’s </w:t>
            </w:r>
            <w:r w:rsidRPr="00C97414">
              <w:rPr>
                <w:rFonts w:cs="Arial"/>
                <w:sz w:val="16"/>
                <w:szCs w:val="16"/>
                <w:lang w:bidi="th-TH"/>
              </w:rPr>
              <w:t>D</w:t>
            </w:r>
            <w:r w:rsidR="00A06596">
              <w:rPr>
                <w:rFonts w:cs="Arial"/>
                <w:sz w:val="16"/>
                <w:szCs w:val="16"/>
                <w:lang w:bidi="th-TH"/>
              </w:rPr>
              <w:t xml:space="preserve">emocratic </w:t>
            </w:r>
            <w:r w:rsidRPr="00C97414">
              <w:rPr>
                <w:rFonts w:cs="Arial"/>
                <w:sz w:val="16"/>
                <w:szCs w:val="16"/>
                <w:lang w:bidi="th-TH"/>
              </w:rPr>
              <w:t>R</w:t>
            </w:r>
            <w:r w:rsidR="00A06596">
              <w:rPr>
                <w:rFonts w:cs="Arial"/>
                <w:sz w:val="16"/>
                <w:szCs w:val="16"/>
                <w:lang w:bidi="th-TH"/>
              </w:rPr>
              <w:t>epublic</w:t>
            </w:r>
            <w:r w:rsidRPr="00C97414">
              <w:rPr>
                <w:rFonts w:cs="Arial"/>
                <w:sz w:val="16"/>
                <w:szCs w:val="16"/>
                <w:lang w:bidi="th-TH"/>
              </w:rPr>
              <w:t xml:space="preserve"> and Nepal</w:t>
            </w:r>
            <w:r w:rsidR="00A06596">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spacing w:after="120"/>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of trainees/</w:t>
            </w:r>
            <w:r w:rsidR="00C97414">
              <w:rPr>
                <w:rFonts w:cs="Arial"/>
                <w:sz w:val="16"/>
                <w:szCs w:val="16"/>
                <w:lang w:bidi="th-TH"/>
              </w:rPr>
              <w:t xml:space="preserve"> </w:t>
            </w:r>
            <w:r w:rsidRPr="00C215DD">
              <w:rPr>
                <w:rFonts w:cs="Arial"/>
                <w:sz w:val="16"/>
                <w:szCs w:val="16"/>
                <w:lang w:bidi="th-TH"/>
              </w:rPr>
              <w:t>participants per year and geographical distribution (LDCs)</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Total of 502 trainees/participants across all regions </w:t>
            </w:r>
          </w:p>
        </w:tc>
        <w:tc>
          <w:tcPr>
            <w:tcW w:w="1501" w:type="dxa"/>
            <w:gridSpan w:val="3"/>
            <w:shd w:val="clear" w:color="auto" w:fill="auto"/>
            <w:tcMar>
              <w:top w:w="110" w:type="dxa"/>
            </w:tcMar>
          </w:tcPr>
          <w:p w:rsidR="00C215DD" w:rsidRPr="00C215DD" w:rsidRDefault="00C215DD" w:rsidP="00C215DD">
            <w:pPr>
              <w:autoSpaceDE w:val="0"/>
              <w:autoSpaceDN w:val="0"/>
              <w:adjustRightInd w:val="0"/>
              <w:rPr>
                <w:rFonts w:cs="Arial"/>
                <w:sz w:val="16"/>
                <w:szCs w:val="16"/>
              </w:rPr>
            </w:pPr>
            <w:r w:rsidRPr="00C215DD">
              <w:rPr>
                <w:rFonts w:cs="Arial"/>
                <w:sz w:val="16"/>
                <w:szCs w:val="16"/>
              </w:rPr>
              <w:t>Increase in numbers</w:t>
            </w:r>
          </w:p>
          <w:p w:rsidR="00C215DD" w:rsidRPr="00C215DD" w:rsidRDefault="00C215DD" w:rsidP="00C215DD">
            <w:pPr>
              <w:autoSpaceDE w:val="0"/>
              <w:autoSpaceDN w:val="0"/>
              <w:adjustRightInd w:val="0"/>
              <w:rPr>
                <w:rFonts w:cs="Arial"/>
                <w:sz w:val="16"/>
                <w:szCs w:val="16"/>
              </w:rPr>
            </w:pPr>
            <w:r w:rsidRPr="00C215DD">
              <w:rPr>
                <w:rFonts w:cs="Arial"/>
                <w:sz w:val="16"/>
                <w:szCs w:val="16"/>
              </w:rPr>
              <w:t>of trainees/</w:t>
            </w:r>
          </w:p>
          <w:p w:rsidR="00C215DD" w:rsidRPr="00C215DD" w:rsidRDefault="00C215DD" w:rsidP="00C215DD">
            <w:pPr>
              <w:ind w:leftChars="-6" w:left="2" w:hangingChars="9" w:hanging="14"/>
              <w:rPr>
                <w:rFonts w:cs="Arial"/>
                <w:sz w:val="16"/>
                <w:szCs w:val="16"/>
                <w:lang w:bidi="th-TH"/>
              </w:rPr>
            </w:pPr>
            <w:r w:rsidRPr="00C215DD">
              <w:rPr>
                <w:rFonts w:cs="Arial"/>
                <w:sz w:val="16"/>
                <w:szCs w:val="16"/>
              </w:rPr>
              <w:t>participants</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A total of 1,907 trainees/participants from across all regions benefitted from WIPO skills development, training and capacity building programs. (biennium)</w:t>
            </w:r>
          </w:p>
          <w:p w:rsidR="00C215DD" w:rsidRPr="00C215DD" w:rsidRDefault="00C215DD" w:rsidP="005703CF">
            <w:pPr>
              <w:pStyle w:val="ListParagraph"/>
              <w:numPr>
                <w:ilvl w:val="0"/>
                <w:numId w:val="32"/>
              </w:numPr>
              <w:rPr>
                <w:rFonts w:cs="Arial"/>
                <w:sz w:val="16"/>
                <w:szCs w:val="16"/>
                <w:lang w:bidi="th-TH"/>
              </w:rPr>
            </w:pPr>
            <w:r w:rsidRPr="00C215DD">
              <w:rPr>
                <w:rFonts w:cs="Arial"/>
                <w:sz w:val="16"/>
                <w:szCs w:val="16"/>
                <w:lang w:bidi="th-TH"/>
              </w:rPr>
              <w:t>1,065 (2012) (23 LDCs from Africa and 5 LDCs from Asia)</w:t>
            </w:r>
          </w:p>
          <w:p w:rsidR="00C215DD" w:rsidRPr="00C215DD" w:rsidRDefault="00C215DD" w:rsidP="005703CF">
            <w:pPr>
              <w:pStyle w:val="ListParagraph"/>
              <w:numPr>
                <w:ilvl w:val="0"/>
                <w:numId w:val="32"/>
              </w:numPr>
              <w:rPr>
                <w:rFonts w:cs="Arial"/>
                <w:sz w:val="16"/>
                <w:szCs w:val="16"/>
              </w:rPr>
            </w:pPr>
            <w:r w:rsidRPr="00C215DD">
              <w:rPr>
                <w:rFonts w:cs="Arial"/>
                <w:sz w:val="16"/>
                <w:szCs w:val="16"/>
                <w:lang w:bidi="th-TH"/>
              </w:rPr>
              <w:t>842 (2013) (28 LDCs from Africa and 6 LDCs from Asia)</w:t>
            </w:r>
          </w:p>
        </w:tc>
        <w:tc>
          <w:tcPr>
            <w:tcW w:w="992" w:type="dxa"/>
            <w:shd w:val="clear" w:color="auto" w:fill="auto"/>
          </w:tcPr>
          <w:p w:rsidR="00C215DD" w:rsidRPr="00C215DD" w:rsidRDefault="00C215DD" w:rsidP="00C215DD">
            <w:pPr>
              <w:jc w:val="center"/>
              <w:rPr>
                <w:rFonts w:cs="Arial"/>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xml:space="preserve">% of participants in WIPO capacity-building activities which report enhanced capacity to understand and use IP principles, systems and tools or the protection of TK and TCEs, and for management of the relationship between IP and GRs </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First time this Performance Indicator has been used in this Program</w:t>
            </w:r>
          </w:p>
        </w:tc>
        <w:tc>
          <w:tcPr>
            <w:tcW w:w="1501" w:type="dxa"/>
            <w:gridSpan w:val="3"/>
            <w:shd w:val="clear" w:color="auto" w:fill="auto"/>
            <w:tcMar>
              <w:top w:w="110" w:type="dxa"/>
            </w:tcMar>
          </w:tcPr>
          <w:p w:rsidR="00C215DD" w:rsidRPr="00A06596" w:rsidRDefault="00C215DD" w:rsidP="00C215DD">
            <w:pPr>
              <w:rPr>
                <w:rFonts w:cs="Arial"/>
                <w:sz w:val="16"/>
                <w:szCs w:val="16"/>
                <w:lang w:bidi="th-TH"/>
              </w:rPr>
            </w:pPr>
            <w:r w:rsidRPr="00A06596">
              <w:rPr>
                <w:rFonts w:cs="Arial"/>
                <w:sz w:val="16"/>
                <w:szCs w:val="16"/>
              </w:rPr>
              <w:t>75%</w:t>
            </w:r>
          </w:p>
        </w:tc>
        <w:tc>
          <w:tcPr>
            <w:tcW w:w="2987" w:type="dxa"/>
            <w:gridSpan w:val="3"/>
            <w:shd w:val="clear" w:color="auto" w:fill="FFFFFF"/>
            <w:tcMar>
              <w:top w:w="110" w:type="dxa"/>
            </w:tcMar>
          </w:tcPr>
          <w:p w:rsidR="00C215DD" w:rsidRPr="00A06596" w:rsidRDefault="00C215DD" w:rsidP="00C215DD">
            <w:pPr>
              <w:rPr>
                <w:rFonts w:cs="Arial"/>
                <w:sz w:val="16"/>
                <w:szCs w:val="16"/>
                <w:lang w:bidi="th-TH"/>
              </w:rPr>
            </w:pPr>
            <w:r w:rsidRPr="00A06596">
              <w:rPr>
                <w:rFonts w:cs="Arial"/>
                <w:sz w:val="16"/>
                <w:szCs w:val="16"/>
                <w:lang w:bidi="th-TH"/>
              </w:rPr>
              <w:t>95% (feedback questionnaire used in five activities organized by the TK Division)</w:t>
            </w:r>
            <w:r w:rsidR="00A06596">
              <w:rPr>
                <w:rFonts w:cs="Arial"/>
                <w:sz w:val="16"/>
                <w:szCs w:val="16"/>
                <w:lang w:bidi="th-TH"/>
              </w:rPr>
              <w:t>.</w:t>
            </w:r>
          </w:p>
        </w:tc>
        <w:tc>
          <w:tcPr>
            <w:tcW w:w="992" w:type="dxa"/>
            <w:shd w:val="clear" w:color="auto" w:fill="auto"/>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 of trained enforcement officials that report satisfaction with the training provided, including guidance on strategic cooperation, and its usefulness for their professional life</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 current data available</w:t>
            </w:r>
          </w:p>
        </w:tc>
        <w:tc>
          <w:tcPr>
            <w:tcW w:w="1501" w:type="dxa"/>
            <w:gridSpan w:val="3"/>
            <w:shd w:val="clear" w:color="auto" w:fill="auto"/>
            <w:tcMar>
              <w:top w:w="110" w:type="dxa"/>
            </w:tcMar>
          </w:tcPr>
          <w:p w:rsidR="00C215DD" w:rsidRPr="00A06596" w:rsidRDefault="00C215DD" w:rsidP="00C215DD">
            <w:pPr>
              <w:rPr>
                <w:rFonts w:cs="Arial"/>
                <w:sz w:val="16"/>
                <w:szCs w:val="16"/>
                <w:lang w:bidi="th-TH"/>
              </w:rPr>
            </w:pPr>
            <w:r w:rsidRPr="00A06596">
              <w:rPr>
                <w:rFonts w:cs="Arial"/>
                <w:sz w:val="16"/>
                <w:szCs w:val="16"/>
              </w:rPr>
              <w:t>75%</w:t>
            </w:r>
          </w:p>
        </w:tc>
        <w:tc>
          <w:tcPr>
            <w:tcW w:w="2987" w:type="dxa"/>
            <w:gridSpan w:val="3"/>
            <w:shd w:val="clear" w:color="auto" w:fill="FFFFFF"/>
            <w:tcMar>
              <w:top w:w="110" w:type="dxa"/>
            </w:tcMar>
          </w:tcPr>
          <w:p w:rsidR="00C215DD" w:rsidRPr="00A06596" w:rsidRDefault="00C215DD" w:rsidP="00A06596">
            <w:pPr>
              <w:rPr>
                <w:rFonts w:cs="Arial"/>
                <w:sz w:val="16"/>
                <w:szCs w:val="16"/>
                <w:lang w:bidi="th-TH"/>
              </w:rPr>
            </w:pPr>
            <w:r w:rsidRPr="00A06596">
              <w:rPr>
                <w:rFonts w:cs="Arial"/>
                <w:sz w:val="16"/>
                <w:szCs w:val="16"/>
              </w:rPr>
              <w:t xml:space="preserve">The average rate of satisfaction expressed by the participants to the capacity-building activities in terms of the topics, interest of the participants in the subject matter and quality of presentations was over 85%. </w:t>
            </w:r>
            <w:r w:rsidR="00A06596">
              <w:rPr>
                <w:rFonts w:cs="Arial"/>
                <w:sz w:val="16"/>
                <w:szCs w:val="16"/>
              </w:rPr>
              <w:t xml:space="preserve"> </w:t>
            </w:r>
            <w:r w:rsidRPr="00A06596">
              <w:rPr>
                <w:rFonts w:cs="Arial"/>
                <w:sz w:val="16"/>
                <w:szCs w:val="16"/>
              </w:rPr>
              <w:t>(Program</w:t>
            </w:r>
            <w:r w:rsidR="00A06596">
              <w:rPr>
                <w:rFonts w:cs="Arial"/>
                <w:sz w:val="16"/>
                <w:szCs w:val="16"/>
              </w:rPr>
              <w:t> </w:t>
            </w:r>
            <w:r w:rsidRPr="00A06596">
              <w:rPr>
                <w:rFonts w:cs="Arial"/>
                <w:sz w:val="16"/>
                <w:szCs w:val="16"/>
              </w:rPr>
              <w:t>17)</w:t>
            </w:r>
          </w:p>
        </w:tc>
        <w:tc>
          <w:tcPr>
            <w:tcW w:w="992" w:type="dxa"/>
            <w:shd w:val="clear" w:color="auto" w:fill="auto"/>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1881" w:type="dxa"/>
            <w:gridSpan w:val="2"/>
            <w:tcBorders>
              <w:bottom w:val="single" w:sz="4" w:space="0" w:color="auto"/>
            </w:tcBorders>
            <w:shd w:val="clear" w:color="auto" w:fill="auto"/>
          </w:tcPr>
          <w:p w:rsidR="00C215DD" w:rsidRPr="00C215DD" w:rsidRDefault="00C215DD" w:rsidP="00C215DD">
            <w:pPr>
              <w:rPr>
                <w:rFonts w:cs="Arial"/>
                <w:sz w:val="16"/>
                <w:szCs w:val="16"/>
              </w:rPr>
            </w:pPr>
            <w:r w:rsidRPr="00C215DD">
              <w:rPr>
                <w:rFonts w:cs="Arial"/>
                <w:sz w:val="16"/>
                <w:szCs w:val="16"/>
              </w:rPr>
              <w:t>% of participants satisfied with the quality of workshops and seminars on innovation and its commercialization</w:t>
            </w:r>
          </w:p>
        </w:tc>
        <w:tc>
          <w:tcPr>
            <w:tcW w:w="1995" w:type="dxa"/>
            <w:gridSpan w:val="2"/>
            <w:tcBorders>
              <w:bottom w:val="single" w:sz="4" w:space="0" w:color="auto"/>
            </w:tcBorders>
            <w:shd w:val="clear" w:color="auto" w:fill="auto"/>
          </w:tcPr>
          <w:p w:rsidR="00C215DD" w:rsidRPr="00C215DD" w:rsidRDefault="00C215DD" w:rsidP="00C215DD">
            <w:pPr>
              <w:rPr>
                <w:rFonts w:cs="Arial"/>
                <w:sz w:val="16"/>
                <w:szCs w:val="16"/>
              </w:rPr>
            </w:pPr>
            <w:r w:rsidRPr="00C215DD">
              <w:rPr>
                <w:rFonts w:cs="Arial"/>
                <w:sz w:val="16"/>
                <w:szCs w:val="16"/>
              </w:rPr>
              <w:t>General feedback available, but no specific data</w:t>
            </w:r>
          </w:p>
        </w:tc>
        <w:tc>
          <w:tcPr>
            <w:tcW w:w="1501" w:type="dxa"/>
            <w:gridSpan w:val="3"/>
            <w:tcBorders>
              <w:bottom w:val="single" w:sz="4" w:space="0" w:color="auto"/>
            </w:tcBorders>
            <w:shd w:val="clear" w:color="auto" w:fill="auto"/>
            <w:tcMar>
              <w:top w:w="110" w:type="dxa"/>
            </w:tcMar>
          </w:tcPr>
          <w:p w:rsidR="00C215DD" w:rsidRPr="00A06596" w:rsidRDefault="00C215DD" w:rsidP="00C215DD">
            <w:pPr>
              <w:rPr>
                <w:rFonts w:cs="Arial"/>
                <w:sz w:val="16"/>
                <w:szCs w:val="16"/>
              </w:rPr>
            </w:pPr>
            <w:r w:rsidRPr="00A06596">
              <w:rPr>
                <w:rFonts w:cs="Arial"/>
                <w:sz w:val="16"/>
                <w:szCs w:val="16"/>
              </w:rPr>
              <w:t>90%</w:t>
            </w:r>
          </w:p>
        </w:tc>
        <w:tc>
          <w:tcPr>
            <w:tcW w:w="2987" w:type="dxa"/>
            <w:gridSpan w:val="3"/>
            <w:tcBorders>
              <w:bottom w:val="single" w:sz="4" w:space="0" w:color="auto"/>
            </w:tcBorders>
            <w:shd w:val="clear" w:color="auto" w:fill="FFFFFF"/>
            <w:tcMar>
              <w:top w:w="110" w:type="dxa"/>
            </w:tcMar>
          </w:tcPr>
          <w:p w:rsidR="00C215DD" w:rsidRPr="00A06596" w:rsidRDefault="00C215DD" w:rsidP="00A06596">
            <w:pPr>
              <w:rPr>
                <w:rFonts w:cs="Arial"/>
                <w:sz w:val="16"/>
                <w:szCs w:val="16"/>
                <w:lang w:bidi="th-TH"/>
              </w:rPr>
            </w:pPr>
            <w:r w:rsidRPr="00A06596">
              <w:rPr>
                <w:rFonts w:cs="Arial"/>
                <w:sz w:val="16"/>
                <w:szCs w:val="16"/>
                <w:lang w:bidi="th-TH"/>
              </w:rPr>
              <w:t>Based on 2013 evaluations for four additional training events (using a newly developed survey), 100% of participants were satisfied with the quality of the workshops (93.8 % considered very high and high quality), and 100% estimated very high and high quality of presentations and speakers.</w:t>
            </w:r>
          </w:p>
          <w:p w:rsidR="00C215DD" w:rsidRPr="00A06596" w:rsidRDefault="00C215DD" w:rsidP="00C215DD">
            <w:pPr>
              <w:rPr>
                <w:rFonts w:cs="Arial"/>
                <w:sz w:val="16"/>
                <w:szCs w:val="16"/>
                <w:lang w:bidi="th-TH"/>
              </w:rPr>
            </w:pPr>
          </w:p>
        </w:tc>
        <w:tc>
          <w:tcPr>
            <w:tcW w:w="992" w:type="dxa"/>
            <w:tcBorders>
              <w:bottom w:val="single" w:sz="4" w:space="0" w:color="auto"/>
            </w:tcBorders>
            <w:shd w:val="clear" w:color="auto" w:fill="auto"/>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12987">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1428E9">
            <w:pPr>
              <w:keepNext/>
              <w:keepLines/>
              <w:tabs>
                <w:tab w:val="left" w:pos="1452"/>
              </w:tabs>
              <w:spacing w:before="60" w:after="60"/>
              <w:ind w:left="1452" w:hanging="1452"/>
              <w:rPr>
                <w:rFonts w:cs="Arial"/>
                <w:b/>
                <w:bCs/>
                <w:sz w:val="16"/>
                <w:szCs w:val="16"/>
              </w:rPr>
            </w:pPr>
            <w:r w:rsidRPr="00C215DD">
              <w:rPr>
                <w:rFonts w:cs="Arial"/>
                <w:b/>
                <w:bCs/>
                <w:sz w:val="16"/>
                <w:szCs w:val="16"/>
              </w:rPr>
              <w:lastRenderedPageBreak/>
              <w:t xml:space="preserve"> Expected Result:</w:t>
            </w:r>
            <w:r w:rsidRPr="00C215DD">
              <w:rPr>
                <w:rFonts w:cs="Arial"/>
                <w:b/>
                <w:bCs/>
                <w:sz w:val="16"/>
                <w:szCs w:val="16"/>
              </w:rPr>
              <w:tab/>
            </w:r>
            <w:r w:rsidRPr="00C215DD">
              <w:rPr>
                <w:rFonts w:cs="Arial"/>
                <w:sz w:val="16"/>
                <w:szCs w:val="16"/>
                <w:lang w:bidi="th-TH"/>
              </w:rPr>
              <w:t>Enhanced access to, and use of, IP information and knowledge by IP institutions and the public to promote innovation and increased access to protected creative works and creative works in the public domain</w:t>
            </w:r>
          </w:p>
        </w:tc>
      </w:tr>
      <w:tr w:rsidR="00A06596" w:rsidRPr="00A06596" w:rsidTr="00DB489B">
        <w:tc>
          <w:tcPr>
            <w:tcW w:w="1881" w:type="dxa"/>
            <w:gridSpan w:val="2"/>
            <w:tcBorders>
              <w:top w:val="single" w:sz="4" w:space="0" w:color="auto"/>
            </w:tcBorders>
            <w:shd w:val="clear" w:color="auto" w:fill="auto"/>
            <w:vAlign w:val="center"/>
          </w:tcPr>
          <w:p w:rsidR="00C215DD" w:rsidRPr="00A06596" w:rsidRDefault="00C215DD" w:rsidP="00112987">
            <w:pPr>
              <w:keepNext/>
              <w:keepLines/>
              <w:rPr>
                <w:rFonts w:cs="Arial"/>
                <w:sz w:val="16"/>
                <w:szCs w:val="16"/>
              </w:rPr>
            </w:pPr>
            <w:r w:rsidRPr="00A06596">
              <w:rPr>
                <w:rFonts w:cs="Arial"/>
                <w:b/>
                <w:bCs/>
                <w:sz w:val="16"/>
                <w:szCs w:val="16"/>
              </w:rPr>
              <w:t>Performance Indicators</w:t>
            </w:r>
          </w:p>
        </w:tc>
        <w:tc>
          <w:tcPr>
            <w:tcW w:w="1995" w:type="dxa"/>
            <w:gridSpan w:val="2"/>
            <w:tcBorders>
              <w:top w:val="single" w:sz="4" w:space="0" w:color="auto"/>
            </w:tcBorders>
            <w:shd w:val="clear" w:color="auto" w:fill="auto"/>
            <w:vAlign w:val="center"/>
          </w:tcPr>
          <w:p w:rsidR="00C215DD" w:rsidRPr="00A06596" w:rsidRDefault="00C215DD" w:rsidP="00112987">
            <w:pPr>
              <w:keepNext/>
              <w:keepLines/>
              <w:rPr>
                <w:rFonts w:cs="Arial"/>
                <w:b/>
                <w:bCs/>
                <w:sz w:val="16"/>
                <w:szCs w:val="16"/>
              </w:rPr>
            </w:pPr>
            <w:r w:rsidRPr="00A06596">
              <w:rPr>
                <w:rFonts w:cs="Arial"/>
                <w:b/>
                <w:bCs/>
                <w:sz w:val="16"/>
                <w:szCs w:val="16"/>
              </w:rPr>
              <w:t>Baselines</w:t>
            </w:r>
          </w:p>
        </w:tc>
        <w:tc>
          <w:tcPr>
            <w:tcW w:w="1501" w:type="dxa"/>
            <w:gridSpan w:val="3"/>
            <w:tcBorders>
              <w:top w:val="single" w:sz="4" w:space="0" w:color="auto"/>
            </w:tcBorders>
            <w:shd w:val="clear" w:color="auto" w:fill="auto"/>
            <w:tcMar>
              <w:top w:w="110" w:type="dxa"/>
            </w:tcMar>
            <w:vAlign w:val="center"/>
          </w:tcPr>
          <w:p w:rsidR="00C215DD" w:rsidRPr="00A06596" w:rsidRDefault="00C215DD" w:rsidP="00112987">
            <w:pPr>
              <w:keepNext/>
              <w:keepLines/>
              <w:rPr>
                <w:rFonts w:cs="Arial"/>
                <w:b/>
                <w:sz w:val="16"/>
                <w:szCs w:val="16"/>
              </w:rPr>
            </w:pPr>
            <w:r w:rsidRPr="00A06596">
              <w:rPr>
                <w:rFonts w:cs="Arial"/>
                <w:b/>
                <w:sz w:val="16"/>
                <w:szCs w:val="16"/>
              </w:rPr>
              <w:t>Target</w:t>
            </w:r>
            <w:r w:rsidR="00E41397" w:rsidRPr="00A06596">
              <w:rPr>
                <w:rFonts w:cs="Arial"/>
                <w:b/>
                <w:sz w:val="16"/>
                <w:szCs w:val="16"/>
              </w:rPr>
              <w:t>s</w:t>
            </w:r>
          </w:p>
        </w:tc>
        <w:tc>
          <w:tcPr>
            <w:tcW w:w="2845" w:type="dxa"/>
            <w:tcBorders>
              <w:top w:val="single" w:sz="4" w:space="0" w:color="auto"/>
            </w:tcBorders>
            <w:shd w:val="clear" w:color="auto" w:fill="FFFFFF"/>
            <w:tcMar>
              <w:top w:w="110" w:type="dxa"/>
            </w:tcMar>
            <w:vAlign w:val="center"/>
          </w:tcPr>
          <w:p w:rsidR="00C215DD" w:rsidRPr="00A06596" w:rsidRDefault="00C215DD" w:rsidP="00112987">
            <w:pPr>
              <w:keepNext/>
              <w:keepLines/>
              <w:rPr>
                <w:rFonts w:cs="Arial"/>
                <w:sz w:val="16"/>
                <w:szCs w:val="16"/>
              </w:rPr>
            </w:pPr>
            <w:r w:rsidRPr="00A06596">
              <w:rPr>
                <w:rFonts w:cs="Arial"/>
                <w:b/>
                <w:bCs/>
                <w:sz w:val="16"/>
                <w:szCs w:val="16"/>
              </w:rPr>
              <w:t>Performance Data</w:t>
            </w:r>
          </w:p>
        </w:tc>
        <w:tc>
          <w:tcPr>
            <w:tcW w:w="1134" w:type="dxa"/>
            <w:gridSpan w:val="3"/>
            <w:tcBorders>
              <w:top w:val="single" w:sz="4" w:space="0" w:color="auto"/>
            </w:tcBorders>
            <w:shd w:val="clear" w:color="auto" w:fill="auto"/>
            <w:tcMar>
              <w:top w:w="110" w:type="dxa"/>
            </w:tcMar>
            <w:vAlign w:val="center"/>
          </w:tcPr>
          <w:p w:rsidR="00C215DD" w:rsidRPr="00A06596" w:rsidRDefault="00C215DD" w:rsidP="00112987">
            <w:pPr>
              <w:keepNext/>
              <w:keepLines/>
              <w:jc w:val="center"/>
              <w:rPr>
                <w:rFonts w:cs="Arial"/>
                <w:b/>
                <w:bCs/>
                <w:sz w:val="16"/>
                <w:szCs w:val="16"/>
              </w:rPr>
            </w:pPr>
            <w:r w:rsidRPr="00A06596">
              <w:rPr>
                <w:rFonts w:cs="Arial"/>
                <w:b/>
                <w:bCs/>
                <w:sz w:val="16"/>
                <w:szCs w:val="16"/>
              </w:rPr>
              <w:t>TLS</w:t>
            </w:r>
          </w:p>
        </w:tc>
      </w:tr>
      <w:tr w:rsidR="00C215DD" w:rsidRPr="00C215DD" w:rsidTr="000445B7">
        <w:tc>
          <w:tcPr>
            <w:tcW w:w="1881" w:type="dxa"/>
            <w:gridSpan w:val="2"/>
            <w:shd w:val="clear" w:color="auto" w:fill="FFFFFF"/>
          </w:tcPr>
          <w:p w:rsidR="00C215DD" w:rsidRPr="00C215DD" w:rsidRDefault="00C215DD" w:rsidP="00C215DD">
            <w:pPr>
              <w:keepNext/>
              <w:keepLines/>
              <w:rPr>
                <w:rFonts w:cs="Arial"/>
                <w:sz w:val="16"/>
                <w:szCs w:val="16"/>
                <w:lang w:bidi="th-TH"/>
              </w:rPr>
            </w:pPr>
            <w:r w:rsidRPr="00C215DD">
              <w:rPr>
                <w:rFonts w:cs="Arial"/>
                <w:sz w:val="16"/>
                <w:szCs w:val="16"/>
                <w:lang w:bidi="th-TH"/>
              </w:rPr>
              <w:t>No. of national TISC networks launched</w:t>
            </w:r>
          </w:p>
        </w:tc>
        <w:tc>
          <w:tcPr>
            <w:tcW w:w="1995" w:type="dxa"/>
            <w:gridSpan w:val="2"/>
            <w:shd w:val="clear" w:color="auto" w:fill="auto"/>
          </w:tcPr>
          <w:p w:rsidR="00A06596" w:rsidRDefault="00C215DD" w:rsidP="00C215DD">
            <w:pPr>
              <w:keepNext/>
              <w:keepLines/>
              <w:rPr>
                <w:rFonts w:cs="Arial"/>
                <w:color w:val="002060"/>
                <w:sz w:val="16"/>
                <w:szCs w:val="16"/>
                <w:lang w:bidi="th-TH"/>
              </w:rPr>
            </w:pPr>
            <w:r w:rsidRPr="00C215DD">
              <w:rPr>
                <w:rFonts w:cs="Arial"/>
                <w:i/>
                <w:color w:val="002060"/>
                <w:sz w:val="16"/>
                <w:szCs w:val="16"/>
              </w:rPr>
              <w:t>Updated Baseline end 2011:</w:t>
            </w:r>
            <w:r w:rsidRPr="00C215DD">
              <w:rPr>
                <w:rFonts w:cs="Arial"/>
                <w:color w:val="002060"/>
                <w:sz w:val="16"/>
                <w:szCs w:val="16"/>
              </w:rPr>
              <w:br/>
            </w:r>
            <w:r w:rsidRPr="00C215DD">
              <w:rPr>
                <w:rFonts w:cs="Arial"/>
                <w:color w:val="002060"/>
                <w:sz w:val="16"/>
                <w:szCs w:val="16"/>
                <w:lang w:bidi="th-TH"/>
              </w:rPr>
              <w:t>18 TISC networks</w:t>
            </w:r>
            <w:r w:rsidRPr="00C215DD">
              <w:rPr>
                <w:rStyle w:val="FootnoteReference"/>
                <w:rFonts w:cs="Arial"/>
                <w:color w:val="002060"/>
                <w:sz w:val="16"/>
                <w:szCs w:val="16"/>
                <w:lang w:bidi="th-TH"/>
              </w:rPr>
              <w:footnoteReference w:id="20"/>
            </w:r>
            <w:r w:rsidRPr="00C215DD">
              <w:rPr>
                <w:rFonts w:cs="Arial"/>
                <w:color w:val="002060"/>
                <w:sz w:val="16"/>
                <w:szCs w:val="16"/>
                <w:lang w:bidi="th-TH"/>
              </w:rPr>
              <w:t xml:space="preserve"> Africa (7), </w:t>
            </w:r>
          </w:p>
          <w:p w:rsidR="00C215DD" w:rsidRPr="00C215DD" w:rsidRDefault="00C215DD" w:rsidP="00C215DD">
            <w:pPr>
              <w:keepNext/>
              <w:keepLines/>
              <w:rPr>
                <w:rFonts w:cs="Arial"/>
                <w:color w:val="002060"/>
                <w:sz w:val="16"/>
                <w:szCs w:val="16"/>
                <w:lang w:bidi="th-TH"/>
              </w:rPr>
            </w:pPr>
            <w:r w:rsidRPr="00C215DD">
              <w:rPr>
                <w:rFonts w:cs="Arial"/>
                <w:color w:val="002060"/>
                <w:sz w:val="16"/>
                <w:szCs w:val="16"/>
                <w:lang w:bidi="th-TH"/>
              </w:rPr>
              <w:t>Arab region (4)</w:t>
            </w:r>
          </w:p>
          <w:p w:rsidR="00C215DD" w:rsidRPr="00C215DD" w:rsidRDefault="00C215DD" w:rsidP="00C215DD">
            <w:pPr>
              <w:keepNext/>
              <w:keepLines/>
              <w:rPr>
                <w:rFonts w:cs="Arial"/>
                <w:color w:val="002060"/>
                <w:sz w:val="16"/>
                <w:szCs w:val="16"/>
                <w:lang w:bidi="th-TH"/>
              </w:rPr>
            </w:pPr>
            <w:r w:rsidRPr="00C215DD">
              <w:rPr>
                <w:rFonts w:cs="Arial"/>
                <w:color w:val="002060"/>
                <w:sz w:val="16"/>
                <w:szCs w:val="16"/>
                <w:lang w:bidi="th-TH"/>
              </w:rPr>
              <w:t>Asia and the Pacific (2) Latin America and the Caribbean (5)</w:t>
            </w:r>
          </w:p>
          <w:p w:rsidR="00C215DD" w:rsidRPr="00A06596" w:rsidRDefault="00C215DD" w:rsidP="00C215DD">
            <w:pPr>
              <w:keepNext/>
              <w:keepLines/>
              <w:rPr>
                <w:rFonts w:cs="Arial"/>
                <w:i/>
                <w:sz w:val="8"/>
                <w:szCs w:val="8"/>
                <w:lang w:bidi="th-TH"/>
              </w:rPr>
            </w:pPr>
          </w:p>
          <w:p w:rsidR="00C215DD" w:rsidRPr="00C215DD" w:rsidRDefault="00C215DD" w:rsidP="00C215DD">
            <w:pPr>
              <w:keepNext/>
              <w:keepLines/>
              <w:rPr>
                <w:rFonts w:cs="Arial"/>
                <w:sz w:val="16"/>
                <w:szCs w:val="16"/>
                <w:lang w:bidi="th-TH"/>
              </w:rPr>
            </w:pPr>
            <w:r w:rsidRPr="00C215DD">
              <w:rPr>
                <w:rFonts w:cs="Arial"/>
                <w:i/>
                <w:sz w:val="16"/>
                <w:szCs w:val="16"/>
                <w:lang w:bidi="th-TH"/>
              </w:rPr>
              <w:t>Original Baseline P&amp;B 2012/13:</w:t>
            </w:r>
          </w:p>
          <w:p w:rsidR="00C215DD" w:rsidRPr="00C215DD" w:rsidRDefault="00C215DD" w:rsidP="00C215DD">
            <w:pPr>
              <w:keepNext/>
              <w:keepLines/>
              <w:rPr>
                <w:rFonts w:cs="Arial"/>
                <w:sz w:val="16"/>
                <w:szCs w:val="16"/>
                <w:lang w:bidi="th-TH"/>
              </w:rPr>
            </w:pPr>
            <w:r w:rsidRPr="00C215DD">
              <w:rPr>
                <w:rFonts w:cs="Arial"/>
                <w:sz w:val="16"/>
                <w:szCs w:val="16"/>
                <w:lang w:bidi="th-TH"/>
              </w:rPr>
              <w:t xml:space="preserve">Nine national TISC networks launched </w:t>
            </w:r>
            <w:r w:rsidRPr="00C215DD">
              <w:rPr>
                <w:rFonts w:cs="Arial"/>
                <w:sz w:val="16"/>
                <w:szCs w:val="16"/>
                <w:lang w:bidi="th-TH"/>
              </w:rPr>
              <w:br/>
              <w:t>(1 quarter 2011):</w:t>
            </w:r>
            <w:r w:rsidRPr="00C215DD">
              <w:rPr>
                <w:rFonts w:cs="Arial"/>
                <w:sz w:val="16"/>
                <w:szCs w:val="16"/>
                <w:lang w:bidi="th-TH"/>
              </w:rPr>
              <w:br/>
              <w:t xml:space="preserve">Africa (3) </w:t>
            </w:r>
            <w:r w:rsidRPr="00C215DD">
              <w:rPr>
                <w:rFonts w:cs="Arial"/>
                <w:sz w:val="16"/>
                <w:szCs w:val="16"/>
                <w:lang w:bidi="th-TH"/>
              </w:rPr>
              <w:br/>
              <w:t xml:space="preserve">Arab region (3) </w:t>
            </w:r>
            <w:r w:rsidRPr="00C215DD">
              <w:rPr>
                <w:rFonts w:cs="Arial"/>
                <w:sz w:val="16"/>
                <w:szCs w:val="16"/>
                <w:lang w:bidi="th-TH"/>
              </w:rPr>
              <w:br/>
              <w:t xml:space="preserve">Asia and the Pacific (1) </w:t>
            </w:r>
            <w:r w:rsidRPr="00C215DD">
              <w:rPr>
                <w:rFonts w:cs="Arial"/>
                <w:sz w:val="16"/>
                <w:szCs w:val="16"/>
                <w:lang w:bidi="th-TH"/>
              </w:rPr>
              <w:br/>
              <w:t>Latin America and the Caribbean (2)</w:t>
            </w:r>
          </w:p>
        </w:tc>
        <w:tc>
          <w:tcPr>
            <w:tcW w:w="1501" w:type="dxa"/>
            <w:gridSpan w:val="3"/>
            <w:shd w:val="clear" w:color="auto" w:fill="auto"/>
            <w:tcMar>
              <w:top w:w="110" w:type="dxa"/>
            </w:tcMar>
          </w:tcPr>
          <w:p w:rsidR="00C215DD" w:rsidRPr="00C215DD" w:rsidRDefault="00C215DD" w:rsidP="00C215DD">
            <w:pPr>
              <w:keepNext/>
              <w:keepLines/>
              <w:rPr>
                <w:rFonts w:cs="Arial"/>
                <w:sz w:val="16"/>
                <w:szCs w:val="16"/>
                <w:lang w:bidi="th-TH"/>
              </w:rPr>
            </w:pPr>
            <w:r w:rsidRPr="00C215DD">
              <w:rPr>
                <w:rFonts w:cs="Arial"/>
                <w:sz w:val="16"/>
                <w:szCs w:val="16"/>
                <w:lang w:bidi="th-TH"/>
              </w:rPr>
              <w:t>18 additional national TISC networks</w:t>
            </w:r>
            <w:r w:rsidR="00A06596">
              <w:rPr>
                <w:rFonts w:cs="Arial"/>
                <w:sz w:val="16"/>
                <w:szCs w:val="16"/>
                <w:lang w:bidi="th-TH"/>
              </w:rPr>
              <w:t xml:space="preserve"> </w:t>
            </w:r>
            <w:r w:rsidRPr="00C215DD">
              <w:rPr>
                <w:rFonts w:cs="Arial"/>
                <w:sz w:val="16"/>
                <w:szCs w:val="16"/>
                <w:lang w:bidi="th-TH"/>
              </w:rPr>
              <w:t xml:space="preserve">launched: </w:t>
            </w:r>
            <w:r w:rsidR="00A06596">
              <w:rPr>
                <w:rFonts w:cs="Arial"/>
                <w:sz w:val="16"/>
                <w:szCs w:val="16"/>
                <w:lang w:bidi="th-TH"/>
              </w:rPr>
              <w:t xml:space="preserve"> </w:t>
            </w:r>
            <w:r w:rsidRPr="00C215DD">
              <w:rPr>
                <w:rFonts w:cs="Arial"/>
                <w:sz w:val="16"/>
                <w:szCs w:val="16"/>
                <w:lang w:bidi="th-TH"/>
              </w:rPr>
              <w:t>Africa</w:t>
            </w:r>
            <w:r w:rsidR="00A06596">
              <w:rPr>
                <w:rFonts w:cs="Arial"/>
                <w:sz w:val="16"/>
                <w:szCs w:val="16"/>
                <w:lang w:bidi="th-TH"/>
              </w:rPr>
              <w:t> </w:t>
            </w:r>
            <w:r w:rsidRPr="00C215DD">
              <w:rPr>
                <w:rFonts w:cs="Arial"/>
                <w:sz w:val="16"/>
                <w:szCs w:val="16"/>
                <w:lang w:bidi="th-TH"/>
              </w:rPr>
              <w:t>(</w:t>
            </w:r>
            <w:r w:rsidR="00A06596">
              <w:rPr>
                <w:rFonts w:cs="Arial"/>
                <w:sz w:val="16"/>
                <w:szCs w:val="16"/>
                <w:lang w:bidi="th-TH"/>
              </w:rPr>
              <w:t xml:space="preserve">9), all in LDCs Arab </w:t>
            </w:r>
            <w:r w:rsidRPr="00C215DD">
              <w:rPr>
                <w:rFonts w:cs="Arial"/>
                <w:sz w:val="16"/>
                <w:szCs w:val="16"/>
                <w:lang w:bidi="th-TH"/>
              </w:rPr>
              <w:t>region (2)</w:t>
            </w:r>
          </w:p>
          <w:p w:rsidR="00C215DD" w:rsidRPr="00C215DD" w:rsidRDefault="00C215DD" w:rsidP="00C215DD">
            <w:pPr>
              <w:keepNext/>
              <w:keepLines/>
              <w:rPr>
                <w:rFonts w:cs="Arial"/>
                <w:sz w:val="16"/>
                <w:szCs w:val="16"/>
                <w:lang w:bidi="th-TH"/>
              </w:rPr>
            </w:pPr>
            <w:r w:rsidRPr="00C215DD">
              <w:rPr>
                <w:rFonts w:cs="Arial"/>
                <w:sz w:val="16"/>
                <w:szCs w:val="16"/>
                <w:lang w:bidi="th-TH"/>
              </w:rPr>
              <w:t>Asia and the Pacific (3),</w:t>
            </w:r>
            <w:r w:rsidR="00A06596">
              <w:rPr>
                <w:rFonts w:cs="Arial"/>
                <w:sz w:val="16"/>
                <w:szCs w:val="16"/>
                <w:lang w:bidi="th-TH"/>
              </w:rPr>
              <w:t xml:space="preserve"> </w:t>
            </w:r>
            <w:r w:rsidRPr="00C215DD">
              <w:rPr>
                <w:rFonts w:cs="Arial"/>
                <w:sz w:val="16"/>
                <w:szCs w:val="16"/>
                <w:lang w:bidi="th-TH"/>
              </w:rPr>
              <w:t>all in LDCs</w:t>
            </w:r>
            <w:r w:rsidR="00A06596">
              <w:rPr>
                <w:rFonts w:cs="Arial"/>
                <w:sz w:val="16"/>
                <w:szCs w:val="16"/>
                <w:lang w:bidi="th-TH"/>
              </w:rPr>
              <w:t xml:space="preserve"> </w:t>
            </w:r>
            <w:r w:rsidRPr="00C215DD">
              <w:rPr>
                <w:rFonts w:cs="Arial"/>
                <w:sz w:val="16"/>
                <w:szCs w:val="16"/>
                <w:lang w:bidi="th-TH"/>
              </w:rPr>
              <w:t>Latin America and the Caribbean (4)</w:t>
            </w:r>
          </w:p>
        </w:tc>
        <w:tc>
          <w:tcPr>
            <w:tcW w:w="2903" w:type="dxa"/>
            <w:gridSpan w:val="2"/>
            <w:shd w:val="clear" w:color="auto" w:fill="FFFFFF"/>
            <w:tcMar>
              <w:top w:w="110" w:type="dxa"/>
            </w:tcMar>
          </w:tcPr>
          <w:p w:rsidR="00C215DD" w:rsidRPr="00C215DD" w:rsidRDefault="00C215DD" w:rsidP="00C215DD">
            <w:pPr>
              <w:keepNext/>
              <w:keepLines/>
              <w:rPr>
                <w:rFonts w:cs="Arial"/>
                <w:sz w:val="16"/>
                <w:szCs w:val="16"/>
              </w:rPr>
            </w:pPr>
            <w:r w:rsidRPr="00C215DD">
              <w:rPr>
                <w:rFonts w:cs="Arial"/>
                <w:sz w:val="16"/>
                <w:szCs w:val="16"/>
              </w:rPr>
              <w:t xml:space="preserve">18 Additional TISC networks launched in 2012/13: </w:t>
            </w:r>
            <w:r w:rsidR="00A06596">
              <w:rPr>
                <w:rFonts w:cs="Arial"/>
                <w:sz w:val="16"/>
                <w:szCs w:val="16"/>
              </w:rPr>
              <w:t xml:space="preserve"> </w:t>
            </w:r>
            <w:r w:rsidRPr="00C215DD">
              <w:rPr>
                <w:rFonts w:cs="Arial"/>
                <w:sz w:val="16"/>
                <w:szCs w:val="16"/>
              </w:rPr>
              <w:t>Africa (12), Arab region (2), Latin</w:t>
            </w:r>
            <w:r w:rsidR="00A06596">
              <w:rPr>
                <w:rFonts w:cs="Arial"/>
                <w:sz w:val="16"/>
                <w:szCs w:val="16"/>
              </w:rPr>
              <w:t> </w:t>
            </w:r>
            <w:r w:rsidRPr="00C215DD">
              <w:rPr>
                <w:rFonts w:cs="Arial"/>
                <w:sz w:val="16"/>
                <w:szCs w:val="16"/>
              </w:rPr>
              <w:t>America and the Caribbean (4)</w:t>
            </w:r>
            <w:r w:rsidR="00A06596">
              <w:rPr>
                <w:rFonts w:cs="Arial"/>
                <w:sz w:val="16"/>
                <w:szCs w:val="16"/>
              </w:rPr>
              <w:t>.</w:t>
            </w:r>
            <w:r w:rsidRPr="00C215DD">
              <w:rPr>
                <w:rFonts w:cs="Arial"/>
                <w:sz w:val="16"/>
                <w:szCs w:val="16"/>
              </w:rPr>
              <w:t xml:space="preserve"> </w:t>
            </w:r>
          </w:p>
          <w:p w:rsidR="00C215DD" w:rsidRPr="00C215DD" w:rsidRDefault="00C215DD" w:rsidP="00C215DD">
            <w:pPr>
              <w:keepNext/>
              <w:keepLines/>
              <w:rPr>
                <w:rFonts w:cs="Arial"/>
                <w:sz w:val="16"/>
                <w:szCs w:val="16"/>
              </w:rPr>
            </w:pPr>
          </w:p>
          <w:p w:rsidR="00C215DD" w:rsidRPr="00C215DD" w:rsidRDefault="00C215DD" w:rsidP="00A06596">
            <w:pPr>
              <w:keepNext/>
              <w:keepLines/>
              <w:rPr>
                <w:rFonts w:cs="Arial"/>
                <w:sz w:val="16"/>
                <w:szCs w:val="16"/>
                <w:lang w:bidi="th-TH"/>
              </w:rPr>
            </w:pPr>
            <w:r w:rsidRPr="00C215DD">
              <w:rPr>
                <w:rFonts w:cs="Arial"/>
                <w:sz w:val="16"/>
                <w:szCs w:val="16"/>
              </w:rPr>
              <w:t xml:space="preserve">36 TISC networks established: </w:t>
            </w:r>
            <w:r w:rsidR="00A06596">
              <w:rPr>
                <w:rFonts w:cs="Arial"/>
                <w:sz w:val="16"/>
                <w:szCs w:val="16"/>
              </w:rPr>
              <w:t xml:space="preserve"> </w:t>
            </w:r>
            <w:r w:rsidRPr="00C215DD">
              <w:rPr>
                <w:rFonts w:cs="Arial"/>
                <w:sz w:val="16"/>
                <w:szCs w:val="16"/>
              </w:rPr>
              <w:t>Africa</w:t>
            </w:r>
            <w:r w:rsidR="00A06596">
              <w:rPr>
                <w:rFonts w:cs="Arial"/>
                <w:sz w:val="16"/>
                <w:szCs w:val="16"/>
              </w:rPr>
              <w:t> </w:t>
            </w:r>
            <w:r w:rsidRPr="00C215DD">
              <w:rPr>
                <w:rFonts w:cs="Arial"/>
                <w:sz w:val="16"/>
                <w:szCs w:val="16"/>
              </w:rPr>
              <w:t>(19), Arab region (6), Asia and the Pacific (2), Latin America and the Caribbean (9) (cumulative)</w:t>
            </w:r>
            <w:r w:rsidR="00A06596">
              <w:rPr>
                <w:rFonts w:cs="Arial"/>
                <w:sz w:val="16"/>
                <w:szCs w:val="16"/>
              </w:rPr>
              <w:t>.</w:t>
            </w:r>
          </w:p>
        </w:tc>
        <w:tc>
          <w:tcPr>
            <w:tcW w:w="1076" w:type="dxa"/>
            <w:gridSpan w:val="2"/>
            <w:shd w:val="clear" w:color="auto" w:fill="auto"/>
            <w:tcMar>
              <w:top w:w="110" w:type="dxa"/>
            </w:tcMar>
          </w:tcPr>
          <w:p w:rsidR="00C215DD" w:rsidRPr="00C215DD" w:rsidRDefault="00C215DD" w:rsidP="00C215DD">
            <w:pPr>
              <w:keepNext/>
              <w:keepLines/>
              <w:jc w:val="center"/>
              <w:rPr>
                <w:rFonts w:cs="Arial"/>
                <w:color w:val="008000"/>
                <w:sz w:val="16"/>
                <w:szCs w:val="16"/>
              </w:rPr>
            </w:pPr>
            <w:r w:rsidRPr="00C215DD">
              <w:rPr>
                <w:rFonts w:cs="Arial"/>
                <w:bCs/>
                <w:color w:val="008000"/>
                <w:sz w:val="16"/>
                <w:szCs w:val="16"/>
              </w:rPr>
              <w:t>Fully Achieved</w:t>
            </w:r>
          </w:p>
        </w:tc>
      </w:tr>
      <w:tr w:rsidR="00C215DD" w:rsidRPr="00C215DD" w:rsidTr="000445B7">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users serviced by TISCs per quarter and country</w:t>
            </w:r>
          </w:p>
        </w:tc>
        <w:tc>
          <w:tcPr>
            <w:tcW w:w="1995" w:type="dxa"/>
            <w:gridSpan w:val="2"/>
            <w:shd w:val="clear" w:color="auto" w:fill="auto"/>
          </w:tcPr>
          <w:p w:rsidR="00C215DD" w:rsidRPr="00C215DD" w:rsidRDefault="00C215DD" w:rsidP="00C215DD">
            <w:pPr>
              <w:rPr>
                <w:rFonts w:cs="Arial"/>
                <w:i/>
                <w:sz w:val="16"/>
                <w:szCs w:val="16"/>
                <w:lang w:bidi="th-TH"/>
              </w:rPr>
            </w:pPr>
            <w:r w:rsidRPr="00C215DD">
              <w:rPr>
                <w:rFonts w:cs="Arial"/>
                <w:i/>
                <w:color w:val="002060"/>
                <w:sz w:val="16"/>
                <w:szCs w:val="16"/>
              </w:rPr>
              <w:t>Updated Baseline end 2011:</w:t>
            </w:r>
            <w:r w:rsidR="00A06596">
              <w:rPr>
                <w:rFonts w:cs="Arial"/>
                <w:color w:val="002060"/>
                <w:sz w:val="16"/>
                <w:szCs w:val="16"/>
              </w:rPr>
              <w:t xml:space="preserve">  </w:t>
            </w:r>
            <w:r w:rsidRPr="00C215DD">
              <w:rPr>
                <w:rFonts w:cs="Arial"/>
                <w:color w:val="002060"/>
                <w:sz w:val="16"/>
                <w:szCs w:val="16"/>
                <w:lang w:bidi="th-TH"/>
              </w:rPr>
              <w:t>200 (min.) – 630 (max.) average no. of users serviced by TISCs per day</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lang w:bidi="th-TH"/>
              </w:rPr>
            </w:pPr>
            <w:r w:rsidRPr="00C215DD">
              <w:rPr>
                <w:rFonts w:cs="Arial"/>
                <w:i/>
                <w:sz w:val="16"/>
                <w:szCs w:val="16"/>
                <w:lang w:bidi="th-TH"/>
              </w:rPr>
              <w:t>Original Baseline P&amp;B 2012/13:</w:t>
            </w:r>
            <w:r w:rsidR="00A06596">
              <w:rPr>
                <w:rFonts w:cs="Arial"/>
                <w:sz w:val="16"/>
                <w:szCs w:val="16"/>
                <w:lang w:bidi="th-TH"/>
              </w:rPr>
              <w:t xml:space="preserve"> </w:t>
            </w:r>
            <w:r w:rsidRPr="00C215DD">
              <w:rPr>
                <w:rFonts w:cs="Arial"/>
                <w:sz w:val="16"/>
                <w:szCs w:val="16"/>
                <w:lang w:bidi="th-TH"/>
              </w:rPr>
              <w:t>tbd by end 2011</w:t>
            </w:r>
          </w:p>
        </w:tc>
        <w:tc>
          <w:tcPr>
            <w:tcW w:w="1501" w:type="dxa"/>
            <w:gridSpan w:val="3"/>
            <w:shd w:val="clear" w:color="auto" w:fill="auto"/>
            <w:tcMar>
              <w:top w:w="110" w:type="dxa"/>
            </w:tcMar>
          </w:tcPr>
          <w:p w:rsidR="00C215DD" w:rsidRPr="00A06596" w:rsidRDefault="00C215DD" w:rsidP="00C215DD">
            <w:pPr>
              <w:rPr>
                <w:rFonts w:cs="Arial"/>
                <w:sz w:val="16"/>
                <w:szCs w:val="16"/>
                <w:lang w:bidi="th-TH"/>
              </w:rPr>
            </w:pPr>
            <w:r w:rsidRPr="00A06596">
              <w:rPr>
                <w:rFonts w:cs="Arial"/>
                <w:sz w:val="16"/>
                <w:szCs w:val="16"/>
                <w:lang w:bidi="th-TH"/>
              </w:rPr>
              <w:t>tbd by end 2011</w:t>
            </w:r>
          </w:p>
        </w:tc>
        <w:tc>
          <w:tcPr>
            <w:tcW w:w="2903" w:type="dxa"/>
            <w:gridSpan w:val="2"/>
            <w:shd w:val="clear" w:color="auto" w:fill="FFFFFF"/>
            <w:tcMar>
              <w:top w:w="110" w:type="dxa"/>
            </w:tcMar>
          </w:tcPr>
          <w:p w:rsidR="00C215DD" w:rsidRPr="00A06596" w:rsidRDefault="00C215DD" w:rsidP="00C215DD">
            <w:pPr>
              <w:rPr>
                <w:rFonts w:cs="Arial"/>
                <w:sz w:val="16"/>
                <w:szCs w:val="16"/>
                <w:lang w:bidi="th-TH"/>
              </w:rPr>
            </w:pPr>
            <w:r w:rsidRPr="00A06596">
              <w:rPr>
                <w:rFonts w:cs="Arial"/>
                <w:sz w:val="16"/>
                <w:szCs w:val="16"/>
                <w:lang w:bidi="th-TH"/>
              </w:rPr>
              <w:t>532 (min.) to 1370 (max.) average no. of users serviced by TISCs per day during 2013</w:t>
            </w:r>
            <w:r w:rsidR="00A06596">
              <w:rPr>
                <w:rFonts w:cs="Arial"/>
                <w:sz w:val="16"/>
                <w:szCs w:val="16"/>
                <w:lang w:bidi="th-TH"/>
              </w:rPr>
              <w:t>.</w:t>
            </w:r>
          </w:p>
        </w:tc>
        <w:tc>
          <w:tcPr>
            <w:tcW w:w="1076" w:type="dxa"/>
            <w:gridSpan w:val="2"/>
            <w:shd w:val="clear" w:color="auto" w:fill="auto"/>
            <w:tcMar>
              <w:top w:w="110" w:type="dxa"/>
            </w:tcMar>
          </w:tcPr>
          <w:p w:rsidR="00C215DD" w:rsidRPr="000445B7" w:rsidRDefault="000445B7" w:rsidP="00C215DD">
            <w:pPr>
              <w:keepNext/>
              <w:keepLines/>
              <w:jc w:val="center"/>
              <w:rPr>
                <w:rFonts w:cs="Arial"/>
                <w:bCs/>
                <w:color w:val="404040" w:themeColor="text1" w:themeTint="BF"/>
                <w:sz w:val="16"/>
                <w:szCs w:val="16"/>
              </w:rPr>
            </w:pPr>
            <w:r w:rsidRPr="000445B7">
              <w:rPr>
                <w:rFonts w:cs="Arial"/>
                <w:bCs/>
                <w:color w:val="404040" w:themeColor="text1" w:themeTint="BF"/>
                <w:sz w:val="16"/>
                <w:szCs w:val="16"/>
              </w:rPr>
              <w:t>Not Assessable</w:t>
            </w:r>
          </w:p>
        </w:tc>
      </w:tr>
      <w:tr w:rsidR="00C215DD" w:rsidRPr="00C215DD" w:rsidTr="000445B7">
        <w:tc>
          <w:tcPr>
            <w:tcW w:w="1881" w:type="dxa"/>
            <w:gridSpan w:val="2"/>
            <w:tcBorders>
              <w:bottom w:val="single" w:sz="4" w:space="0" w:color="auto"/>
            </w:tcBorders>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 xml:space="preserve">No. of Member States that have developed their IP framework and established TTOs </w:t>
            </w:r>
          </w:p>
        </w:tc>
        <w:tc>
          <w:tcPr>
            <w:tcW w:w="1995" w:type="dxa"/>
            <w:gridSpan w:val="2"/>
            <w:tcBorders>
              <w:bottom w:val="single" w:sz="4" w:space="0" w:color="auto"/>
            </w:tcBorders>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Framework pilot project adopted and funding committed</w:t>
            </w:r>
          </w:p>
        </w:tc>
        <w:tc>
          <w:tcPr>
            <w:tcW w:w="1501" w:type="dxa"/>
            <w:gridSpan w:val="3"/>
            <w:tcBorders>
              <w:bottom w:val="single" w:sz="4" w:space="0" w:color="auto"/>
            </w:tcBorders>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Regional targets tbd</w:t>
            </w:r>
          </w:p>
        </w:tc>
        <w:tc>
          <w:tcPr>
            <w:tcW w:w="2903" w:type="dxa"/>
            <w:gridSpan w:val="2"/>
            <w:tcBorders>
              <w:bottom w:val="single" w:sz="4" w:space="0" w:color="auto"/>
            </w:tcBorders>
            <w:shd w:val="clear" w:color="auto" w:fill="FFFFFF"/>
            <w:tcMar>
              <w:top w:w="110" w:type="dxa"/>
            </w:tcMar>
          </w:tcPr>
          <w:p w:rsidR="009C3DAD" w:rsidRPr="003C5DE4" w:rsidRDefault="009C3DAD" w:rsidP="009C3DAD">
            <w:pPr>
              <w:rPr>
                <w:rFonts w:cs="Arial"/>
                <w:sz w:val="16"/>
                <w:szCs w:val="16"/>
                <w:lang w:bidi="th-TH"/>
              </w:rPr>
            </w:pPr>
            <w:r w:rsidRPr="003C5DE4">
              <w:rPr>
                <w:rFonts w:cs="Arial"/>
                <w:sz w:val="16"/>
                <w:szCs w:val="16"/>
                <w:lang w:bidi="th-TH"/>
              </w:rPr>
              <w:t xml:space="preserve">The following Universities/Institutions were directly assisted in developing their knowledge transfer ecosystem, policy and infrastructure:  </w:t>
            </w:r>
            <w:r>
              <w:rPr>
                <w:rFonts w:cs="Arial"/>
                <w:sz w:val="16"/>
                <w:szCs w:val="16"/>
                <w:lang w:bidi="th-TH"/>
              </w:rPr>
              <w:t>(</w:t>
            </w:r>
            <w:r w:rsidRPr="003C5DE4">
              <w:rPr>
                <w:rFonts w:cs="Arial"/>
                <w:sz w:val="16"/>
                <w:szCs w:val="16"/>
                <w:lang w:bidi="th-TH"/>
              </w:rPr>
              <w:t>i) five in Chile:  National Institute o</w:t>
            </w:r>
            <w:r>
              <w:rPr>
                <w:rFonts w:cs="Arial"/>
                <w:sz w:val="16"/>
                <w:szCs w:val="16"/>
                <w:lang w:bidi="th-TH"/>
              </w:rPr>
              <w:t xml:space="preserve">f Agricultural Research (INA); </w:t>
            </w:r>
            <w:r w:rsidRPr="003C5DE4">
              <w:rPr>
                <w:rFonts w:cs="Arial"/>
                <w:sz w:val="16"/>
                <w:szCs w:val="16"/>
                <w:lang w:bidi="th-TH"/>
              </w:rPr>
              <w:t>Pontific Catholic University of Chile (Santiago)</w:t>
            </w:r>
            <w:proofErr w:type="gramStart"/>
            <w:r w:rsidRPr="003C5DE4">
              <w:rPr>
                <w:rFonts w:cs="Arial"/>
                <w:sz w:val="16"/>
                <w:szCs w:val="16"/>
                <w:lang w:bidi="th-TH"/>
              </w:rPr>
              <w:t xml:space="preserve">; </w:t>
            </w:r>
            <w:r w:rsidR="00A06596">
              <w:rPr>
                <w:rFonts w:cs="Arial"/>
                <w:sz w:val="16"/>
                <w:szCs w:val="16"/>
                <w:lang w:bidi="th-TH"/>
              </w:rPr>
              <w:t xml:space="preserve"> </w:t>
            </w:r>
            <w:r w:rsidRPr="003C5DE4">
              <w:rPr>
                <w:rFonts w:cs="Arial"/>
                <w:sz w:val="16"/>
                <w:szCs w:val="16"/>
                <w:lang w:bidi="th-TH"/>
              </w:rPr>
              <w:t>University</w:t>
            </w:r>
            <w:proofErr w:type="gramEnd"/>
            <w:r w:rsidRPr="003C5DE4">
              <w:rPr>
                <w:rFonts w:cs="Arial"/>
                <w:sz w:val="16"/>
                <w:szCs w:val="16"/>
                <w:lang w:bidi="th-TH"/>
              </w:rPr>
              <w:t xml:space="preserve"> of Concepción; Pontific Catholic University of Valparaiso and University of La Frontera</w:t>
            </w:r>
            <w:r>
              <w:rPr>
                <w:rFonts w:cs="Arial"/>
                <w:sz w:val="16"/>
                <w:szCs w:val="16"/>
                <w:lang w:bidi="th-TH"/>
              </w:rPr>
              <w:t>;</w:t>
            </w:r>
            <w:r w:rsidRPr="003C5DE4">
              <w:rPr>
                <w:rFonts w:cs="Arial"/>
                <w:sz w:val="16"/>
                <w:szCs w:val="16"/>
                <w:lang w:bidi="th-TH"/>
              </w:rPr>
              <w:t xml:space="preserve"> </w:t>
            </w:r>
            <w:r w:rsidR="00A06596">
              <w:rPr>
                <w:rFonts w:cs="Arial"/>
                <w:sz w:val="16"/>
                <w:szCs w:val="16"/>
                <w:lang w:bidi="th-TH"/>
              </w:rPr>
              <w:t xml:space="preserve"> </w:t>
            </w:r>
            <w:r>
              <w:rPr>
                <w:rFonts w:cs="Arial"/>
                <w:sz w:val="16"/>
                <w:szCs w:val="16"/>
                <w:lang w:bidi="th-TH"/>
              </w:rPr>
              <w:t>(</w:t>
            </w:r>
            <w:r w:rsidRPr="003C5DE4">
              <w:rPr>
                <w:rFonts w:cs="Arial"/>
                <w:sz w:val="16"/>
                <w:szCs w:val="16"/>
                <w:lang w:bidi="th-TH"/>
              </w:rPr>
              <w:t xml:space="preserve">ii) five UNESCWA; </w:t>
            </w:r>
            <w:r w:rsidR="00A06596">
              <w:rPr>
                <w:rFonts w:cs="Arial"/>
                <w:sz w:val="16"/>
                <w:szCs w:val="16"/>
                <w:lang w:bidi="th-TH"/>
              </w:rPr>
              <w:t xml:space="preserve"> </w:t>
            </w:r>
            <w:r>
              <w:rPr>
                <w:rFonts w:cs="Arial"/>
                <w:sz w:val="16"/>
                <w:szCs w:val="16"/>
                <w:lang w:bidi="th-TH"/>
              </w:rPr>
              <w:t>(</w:t>
            </w:r>
            <w:r w:rsidRPr="003C5DE4">
              <w:rPr>
                <w:rFonts w:cs="Arial"/>
                <w:sz w:val="16"/>
                <w:szCs w:val="16"/>
                <w:lang w:bidi="th-TH"/>
              </w:rPr>
              <w:t>i</w:t>
            </w:r>
            <w:r>
              <w:rPr>
                <w:rFonts w:cs="Arial"/>
                <w:sz w:val="16"/>
                <w:szCs w:val="16"/>
                <w:lang w:bidi="th-TH"/>
              </w:rPr>
              <w:t>ii</w:t>
            </w:r>
            <w:r w:rsidRPr="003C5DE4">
              <w:rPr>
                <w:rFonts w:cs="Arial"/>
                <w:sz w:val="16"/>
                <w:szCs w:val="16"/>
                <w:lang w:bidi="th-TH"/>
              </w:rPr>
              <w:t xml:space="preserve">) six in Morocco; </w:t>
            </w:r>
            <w:r w:rsidR="00A06596">
              <w:rPr>
                <w:rFonts w:cs="Arial"/>
                <w:sz w:val="16"/>
                <w:szCs w:val="16"/>
                <w:lang w:bidi="th-TH"/>
              </w:rPr>
              <w:t xml:space="preserve"> </w:t>
            </w:r>
            <w:r>
              <w:rPr>
                <w:rFonts w:cs="Arial"/>
                <w:sz w:val="16"/>
                <w:szCs w:val="16"/>
                <w:lang w:bidi="th-TH"/>
              </w:rPr>
              <w:t>(i</w:t>
            </w:r>
            <w:r w:rsidRPr="003C5DE4">
              <w:rPr>
                <w:rFonts w:cs="Arial"/>
                <w:sz w:val="16"/>
                <w:szCs w:val="16"/>
                <w:lang w:bidi="th-TH"/>
              </w:rPr>
              <w:t>v)</w:t>
            </w:r>
            <w:r w:rsidR="00112987">
              <w:rPr>
                <w:rFonts w:cs="Arial"/>
                <w:sz w:val="16"/>
                <w:szCs w:val="16"/>
                <w:lang w:bidi="th-TH"/>
              </w:rPr>
              <w:t> </w:t>
            </w:r>
            <w:r w:rsidRPr="003C5DE4">
              <w:rPr>
                <w:rFonts w:cs="Arial"/>
                <w:sz w:val="16"/>
                <w:szCs w:val="16"/>
                <w:lang w:bidi="th-TH"/>
              </w:rPr>
              <w:t xml:space="preserve">five in the Philippines; </w:t>
            </w:r>
            <w:r w:rsidR="00A06596">
              <w:rPr>
                <w:rFonts w:cs="Arial"/>
                <w:sz w:val="16"/>
                <w:szCs w:val="16"/>
                <w:lang w:bidi="th-TH"/>
              </w:rPr>
              <w:t xml:space="preserve"> </w:t>
            </w:r>
            <w:r w:rsidRPr="003C5DE4">
              <w:rPr>
                <w:rFonts w:cs="Arial"/>
                <w:sz w:val="16"/>
                <w:szCs w:val="16"/>
                <w:lang w:bidi="th-TH"/>
              </w:rPr>
              <w:t xml:space="preserve">and </w:t>
            </w:r>
            <w:r>
              <w:rPr>
                <w:rFonts w:cs="Arial"/>
                <w:sz w:val="16"/>
                <w:szCs w:val="16"/>
                <w:lang w:bidi="th-TH"/>
              </w:rPr>
              <w:t>(v</w:t>
            </w:r>
            <w:r w:rsidRPr="003C5DE4">
              <w:rPr>
                <w:rFonts w:cs="Arial"/>
                <w:sz w:val="16"/>
                <w:szCs w:val="16"/>
                <w:lang w:bidi="th-TH"/>
              </w:rPr>
              <w:t>) one in Ghana.</w:t>
            </w:r>
          </w:p>
          <w:p w:rsidR="009C3DAD" w:rsidRPr="00112987" w:rsidRDefault="009C3DAD" w:rsidP="009C3DAD">
            <w:pPr>
              <w:rPr>
                <w:rFonts w:cs="Arial"/>
                <w:sz w:val="8"/>
                <w:szCs w:val="8"/>
                <w:lang w:bidi="th-TH"/>
              </w:rPr>
            </w:pPr>
          </w:p>
          <w:p w:rsidR="009C3DAD" w:rsidRPr="003C5DE4" w:rsidRDefault="009C3DAD" w:rsidP="009C3DAD">
            <w:pPr>
              <w:rPr>
                <w:rFonts w:cs="Arial"/>
                <w:sz w:val="16"/>
                <w:szCs w:val="16"/>
                <w:lang w:bidi="th-TH"/>
              </w:rPr>
            </w:pPr>
            <w:r w:rsidRPr="003C5DE4">
              <w:rPr>
                <w:rFonts w:cs="Arial"/>
                <w:sz w:val="16"/>
                <w:szCs w:val="16"/>
                <w:lang w:bidi="th-TH"/>
              </w:rPr>
              <w:t xml:space="preserve">In addition, </w:t>
            </w:r>
            <w:r>
              <w:rPr>
                <w:rFonts w:cs="Arial"/>
                <w:sz w:val="16"/>
                <w:szCs w:val="16"/>
                <w:lang w:bidi="th-TH"/>
              </w:rPr>
              <w:t>a Needs Assessment</w:t>
            </w:r>
            <w:r w:rsidRPr="003C5DE4">
              <w:rPr>
                <w:rFonts w:cs="Arial"/>
                <w:sz w:val="16"/>
                <w:szCs w:val="16"/>
                <w:lang w:bidi="th-TH"/>
              </w:rPr>
              <w:t xml:space="preserve"> was </w:t>
            </w:r>
            <w:r>
              <w:rPr>
                <w:rFonts w:cs="Arial"/>
                <w:sz w:val="16"/>
                <w:szCs w:val="16"/>
                <w:lang w:bidi="th-TH"/>
              </w:rPr>
              <w:t>completed</w:t>
            </w:r>
            <w:r w:rsidRPr="003C5DE4">
              <w:rPr>
                <w:rFonts w:cs="Arial"/>
                <w:sz w:val="16"/>
                <w:szCs w:val="16"/>
                <w:lang w:bidi="th-TH"/>
              </w:rPr>
              <w:t xml:space="preserve"> for </w:t>
            </w:r>
            <w:r>
              <w:rPr>
                <w:rFonts w:cs="Arial"/>
                <w:sz w:val="16"/>
                <w:szCs w:val="16"/>
                <w:lang w:bidi="th-TH"/>
              </w:rPr>
              <w:t xml:space="preserve">the </w:t>
            </w:r>
            <w:r w:rsidRPr="003C5DE4">
              <w:rPr>
                <w:rFonts w:cs="Arial"/>
                <w:sz w:val="16"/>
                <w:szCs w:val="16"/>
                <w:lang w:bidi="th-TH"/>
              </w:rPr>
              <w:t xml:space="preserve">implementation of </w:t>
            </w:r>
            <w:r>
              <w:rPr>
                <w:rFonts w:cs="Arial"/>
                <w:sz w:val="16"/>
                <w:szCs w:val="16"/>
                <w:lang w:bidi="th-TH"/>
              </w:rPr>
              <w:t xml:space="preserve">a </w:t>
            </w:r>
            <w:r w:rsidRPr="003C5DE4">
              <w:rPr>
                <w:rFonts w:cs="Arial"/>
                <w:sz w:val="16"/>
                <w:szCs w:val="16"/>
                <w:lang w:bidi="th-TH"/>
              </w:rPr>
              <w:t xml:space="preserve">TTO project in Tunisia, addressing technology needs of </w:t>
            </w:r>
            <w:r>
              <w:rPr>
                <w:rFonts w:cs="Arial"/>
                <w:sz w:val="16"/>
                <w:szCs w:val="16"/>
                <w:lang w:bidi="th-TH"/>
              </w:rPr>
              <w:t xml:space="preserve">the </w:t>
            </w:r>
            <w:r w:rsidRPr="003C5DE4">
              <w:rPr>
                <w:rFonts w:cs="Arial"/>
                <w:sz w:val="16"/>
                <w:szCs w:val="16"/>
                <w:lang w:bidi="th-TH"/>
              </w:rPr>
              <w:t xml:space="preserve">following </w:t>
            </w:r>
            <w:r>
              <w:rPr>
                <w:rFonts w:cs="Arial"/>
                <w:sz w:val="16"/>
                <w:szCs w:val="16"/>
                <w:lang w:bidi="th-TH"/>
              </w:rPr>
              <w:t>institutions:  Institut Pasteur</w:t>
            </w:r>
            <w:r w:rsidR="0070110C">
              <w:rPr>
                <w:rFonts w:cs="Arial"/>
                <w:sz w:val="16"/>
                <w:szCs w:val="16"/>
                <w:lang w:bidi="th-TH"/>
              </w:rPr>
              <w:t xml:space="preserve">, University of Monastir, </w:t>
            </w:r>
            <w:proofErr w:type="gramStart"/>
            <w:r w:rsidRPr="003C5DE4">
              <w:rPr>
                <w:rFonts w:cs="Arial"/>
                <w:sz w:val="16"/>
                <w:szCs w:val="16"/>
                <w:lang w:bidi="th-TH"/>
              </w:rPr>
              <w:t>Centre</w:t>
            </w:r>
            <w:proofErr w:type="gramEnd"/>
            <w:r w:rsidRPr="003C5DE4">
              <w:rPr>
                <w:rFonts w:cs="Arial"/>
                <w:sz w:val="16"/>
                <w:szCs w:val="16"/>
                <w:lang w:bidi="th-TH"/>
              </w:rPr>
              <w:t xml:space="preserve"> of Biotechnology of Sfax, National Center for Leather and Shoes and Techno-Park El Ghazala.</w:t>
            </w:r>
            <w:r w:rsidR="00A06596">
              <w:rPr>
                <w:rFonts w:cs="Arial"/>
                <w:sz w:val="16"/>
                <w:szCs w:val="16"/>
                <w:lang w:bidi="th-TH"/>
              </w:rPr>
              <w:t xml:space="preserve"> </w:t>
            </w:r>
            <w:r w:rsidRPr="003C5DE4">
              <w:rPr>
                <w:rFonts w:cs="Arial"/>
                <w:sz w:val="16"/>
                <w:szCs w:val="16"/>
                <w:lang w:bidi="th-TH"/>
              </w:rPr>
              <w:t xml:space="preserve"> </w:t>
            </w:r>
            <w:r w:rsidRPr="003C5DE4">
              <w:rPr>
                <w:rFonts w:cs="Arial"/>
                <w:sz w:val="16"/>
                <w:szCs w:val="16"/>
              </w:rPr>
              <w:t>An action plan for Tunisia was also adopted.</w:t>
            </w:r>
          </w:p>
          <w:p w:rsidR="00C215DD" w:rsidRPr="00112987" w:rsidRDefault="00C215DD" w:rsidP="0070110C">
            <w:pPr>
              <w:rPr>
                <w:rFonts w:cs="Arial"/>
                <w:sz w:val="8"/>
                <w:szCs w:val="8"/>
                <w:lang w:bidi="th-TH"/>
              </w:rPr>
            </w:pPr>
          </w:p>
        </w:tc>
        <w:tc>
          <w:tcPr>
            <w:tcW w:w="1076" w:type="dxa"/>
            <w:gridSpan w:val="2"/>
            <w:tcBorders>
              <w:bottom w:val="single" w:sz="4" w:space="0" w:color="auto"/>
            </w:tcBorders>
            <w:shd w:val="clear" w:color="auto" w:fill="auto"/>
            <w:tcMar>
              <w:top w:w="110" w:type="dxa"/>
            </w:tcMar>
          </w:tcPr>
          <w:p w:rsidR="00C215DD" w:rsidRPr="000445B7" w:rsidRDefault="000445B7" w:rsidP="00C215DD">
            <w:pPr>
              <w:keepNext/>
              <w:keepLines/>
              <w:jc w:val="center"/>
              <w:rPr>
                <w:rFonts w:cs="Arial"/>
                <w:bCs/>
                <w:color w:val="404040" w:themeColor="text1" w:themeTint="BF"/>
                <w:sz w:val="16"/>
                <w:szCs w:val="16"/>
              </w:rPr>
            </w:pPr>
            <w:r w:rsidRPr="000445B7">
              <w:rPr>
                <w:rFonts w:cs="Arial"/>
                <w:bCs/>
                <w:color w:val="404040" w:themeColor="text1" w:themeTint="BF"/>
                <w:sz w:val="16"/>
                <w:szCs w:val="16"/>
              </w:rPr>
              <w:t>Not Assessable</w:t>
            </w:r>
          </w:p>
        </w:tc>
      </w:tr>
      <w:tr w:rsidR="00C215DD" w:rsidRPr="00C215DD" w:rsidTr="00112987">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1428E9">
            <w:pPr>
              <w:keepNext/>
              <w:keepLines/>
              <w:tabs>
                <w:tab w:val="left" w:pos="1452"/>
              </w:tabs>
              <w:spacing w:before="60" w:after="60"/>
              <w:ind w:left="1452" w:hanging="1452"/>
              <w:rPr>
                <w:rFonts w:cs="Arial"/>
                <w:b/>
                <w:bCs/>
                <w:sz w:val="16"/>
                <w:szCs w:val="16"/>
              </w:rPr>
            </w:pPr>
            <w:r w:rsidRPr="00C215DD">
              <w:rPr>
                <w:rFonts w:cs="Arial"/>
                <w:b/>
                <w:bCs/>
                <w:sz w:val="16"/>
                <w:szCs w:val="16"/>
              </w:rPr>
              <w:t>Expected Result:</w:t>
            </w:r>
            <w:r w:rsidRPr="00C215DD">
              <w:rPr>
                <w:rFonts w:cs="Arial"/>
                <w:b/>
                <w:bCs/>
                <w:sz w:val="16"/>
                <w:szCs w:val="16"/>
              </w:rPr>
              <w:tab/>
            </w:r>
            <w:r w:rsidRPr="00C215DD">
              <w:rPr>
                <w:rFonts w:cs="Arial"/>
                <w:color w:val="000000"/>
                <w:sz w:val="16"/>
                <w:szCs w:val="16"/>
                <w:lang w:bidi="th-TH"/>
              </w:rPr>
              <w:t>Enhanced  technical and knowledge infrastructure for IP Offices and other IP institutions leading to better services (cheaper, faster, higher quality) to their stakeholders</w:t>
            </w:r>
          </w:p>
        </w:tc>
      </w:tr>
      <w:tr w:rsidR="001428E9" w:rsidRPr="00C215DD" w:rsidTr="001428E9">
        <w:tc>
          <w:tcPr>
            <w:tcW w:w="1701" w:type="dxa"/>
            <w:tcBorders>
              <w:top w:val="single" w:sz="4" w:space="0" w:color="auto"/>
            </w:tcBorders>
            <w:shd w:val="clear" w:color="auto" w:fill="auto"/>
            <w:vAlign w:val="center"/>
          </w:tcPr>
          <w:p w:rsidR="00C215DD" w:rsidRPr="00C215DD" w:rsidRDefault="00C215DD" w:rsidP="00A06596">
            <w:pPr>
              <w:keepNext/>
              <w:keepLines/>
              <w:rPr>
                <w:rFonts w:cs="Arial"/>
                <w:sz w:val="16"/>
                <w:szCs w:val="16"/>
              </w:rPr>
            </w:pPr>
            <w:r w:rsidRPr="00C215DD">
              <w:rPr>
                <w:rFonts w:cs="Arial"/>
                <w:b/>
                <w:bCs/>
                <w:sz w:val="16"/>
                <w:szCs w:val="16"/>
              </w:rPr>
              <w:t>Performance Indicators</w:t>
            </w:r>
          </w:p>
        </w:tc>
        <w:tc>
          <w:tcPr>
            <w:tcW w:w="1843" w:type="dxa"/>
            <w:gridSpan w:val="2"/>
            <w:tcBorders>
              <w:top w:val="single" w:sz="4" w:space="0" w:color="auto"/>
            </w:tcBorders>
            <w:shd w:val="clear" w:color="auto" w:fill="auto"/>
            <w:vAlign w:val="center"/>
          </w:tcPr>
          <w:p w:rsidR="00C215DD" w:rsidRPr="00C215DD" w:rsidRDefault="00C215DD" w:rsidP="00A06596">
            <w:pPr>
              <w:keepNext/>
              <w:keepLines/>
              <w:rPr>
                <w:rFonts w:cs="Arial"/>
                <w:b/>
                <w:bCs/>
                <w:sz w:val="16"/>
                <w:szCs w:val="16"/>
              </w:rPr>
            </w:pPr>
            <w:r w:rsidRPr="00C215DD">
              <w:rPr>
                <w:rFonts w:cs="Arial"/>
                <w:b/>
                <w:bCs/>
                <w:sz w:val="16"/>
                <w:szCs w:val="16"/>
              </w:rPr>
              <w:t>Baselines</w:t>
            </w:r>
          </w:p>
        </w:tc>
        <w:tc>
          <w:tcPr>
            <w:tcW w:w="1559" w:type="dxa"/>
            <w:gridSpan w:val="2"/>
            <w:tcBorders>
              <w:top w:val="single" w:sz="4" w:space="0" w:color="auto"/>
            </w:tcBorders>
            <w:shd w:val="clear" w:color="auto" w:fill="auto"/>
            <w:tcMar>
              <w:top w:w="110" w:type="dxa"/>
            </w:tcMar>
            <w:vAlign w:val="center"/>
          </w:tcPr>
          <w:p w:rsidR="00C215DD" w:rsidRPr="00C215DD" w:rsidRDefault="00C215DD" w:rsidP="00A06596">
            <w:pPr>
              <w:keepNext/>
              <w:keepLines/>
              <w:rPr>
                <w:rFonts w:cs="Arial"/>
                <w:b/>
                <w:sz w:val="16"/>
                <w:szCs w:val="16"/>
              </w:rPr>
            </w:pPr>
            <w:r w:rsidRPr="00C215DD">
              <w:rPr>
                <w:rFonts w:cs="Arial"/>
                <w:b/>
                <w:sz w:val="16"/>
                <w:szCs w:val="16"/>
              </w:rPr>
              <w:t>Target</w:t>
            </w:r>
            <w:r w:rsidR="00E41397">
              <w:rPr>
                <w:rFonts w:cs="Arial"/>
                <w:b/>
                <w:sz w:val="16"/>
                <w:szCs w:val="16"/>
              </w:rPr>
              <w:t>s</w:t>
            </w:r>
          </w:p>
        </w:tc>
        <w:tc>
          <w:tcPr>
            <w:tcW w:w="3261" w:type="dxa"/>
            <w:gridSpan w:val="5"/>
            <w:tcBorders>
              <w:top w:val="single" w:sz="4" w:space="0" w:color="auto"/>
            </w:tcBorders>
            <w:shd w:val="clear" w:color="auto" w:fill="FFFFFF"/>
            <w:tcMar>
              <w:top w:w="110" w:type="dxa"/>
            </w:tcMar>
            <w:vAlign w:val="center"/>
          </w:tcPr>
          <w:p w:rsidR="00C215DD" w:rsidRPr="00C215DD" w:rsidRDefault="00C215DD" w:rsidP="00A06596">
            <w:pPr>
              <w:keepNext/>
              <w:keepLines/>
              <w:rPr>
                <w:rFonts w:cs="Arial"/>
                <w:sz w:val="16"/>
                <w:szCs w:val="16"/>
              </w:rPr>
            </w:pPr>
            <w:r w:rsidRPr="00C215DD">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C215DD" w:rsidRDefault="00C215DD" w:rsidP="00A06596">
            <w:pPr>
              <w:keepNext/>
              <w:keepLines/>
              <w:jc w:val="center"/>
              <w:rPr>
                <w:rFonts w:cs="Arial"/>
                <w:b/>
                <w:bCs/>
                <w:sz w:val="16"/>
                <w:szCs w:val="16"/>
              </w:rPr>
            </w:pPr>
            <w:r w:rsidRPr="00C215DD">
              <w:rPr>
                <w:rFonts w:cs="Arial"/>
                <w:b/>
                <w:bCs/>
                <w:sz w:val="16"/>
                <w:szCs w:val="16"/>
              </w:rPr>
              <w:t>TLS</w:t>
            </w:r>
          </w:p>
        </w:tc>
      </w:tr>
      <w:tr w:rsidR="001428E9" w:rsidRPr="00C215DD" w:rsidTr="001428E9">
        <w:tc>
          <w:tcPr>
            <w:tcW w:w="1701" w:type="dxa"/>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 xml:space="preserve">No. of Offices with fully automated vs partially automated IP administration systems provided by WIPO </w:t>
            </w:r>
          </w:p>
        </w:tc>
        <w:tc>
          <w:tcPr>
            <w:tcW w:w="1843"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Africa (14)</w:t>
            </w:r>
            <w:r w:rsidRPr="00C215DD">
              <w:rPr>
                <w:rFonts w:cs="Arial"/>
                <w:sz w:val="16"/>
                <w:szCs w:val="16"/>
                <w:lang w:bidi="th-TH"/>
              </w:rPr>
              <w:br/>
              <w:t>Arab (13)</w:t>
            </w:r>
            <w:r w:rsidRPr="00C215DD">
              <w:rPr>
                <w:rFonts w:cs="Arial"/>
                <w:sz w:val="16"/>
                <w:szCs w:val="16"/>
                <w:lang w:bidi="th-TH"/>
              </w:rPr>
              <w:br/>
              <w:t>Asian and Pacific (7)</w:t>
            </w:r>
            <w:r w:rsidRPr="00C215DD">
              <w:rPr>
                <w:rFonts w:cs="Arial"/>
                <w:sz w:val="16"/>
                <w:szCs w:val="16"/>
                <w:lang w:bidi="th-TH"/>
              </w:rPr>
              <w:br/>
              <w:t>Latin America and the Caribbean (12)</w:t>
            </w:r>
          </w:p>
        </w:tc>
        <w:tc>
          <w:tcPr>
            <w:tcW w:w="1559" w:type="dxa"/>
            <w:gridSpan w:val="2"/>
            <w:shd w:val="clear" w:color="auto" w:fill="auto"/>
            <w:tcMar>
              <w:top w:w="110" w:type="dxa"/>
            </w:tcMar>
          </w:tcPr>
          <w:p w:rsidR="00C215DD" w:rsidRPr="00A06596" w:rsidRDefault="00C215DD" w:rsidP="00C215DD">
            <w:pPr>
              <w:rPr>
                <w:rFonts w:cs="Arial"/>
                <w:sz w:val="16"/>
                <w:szCs w:val="16"/>
                <w:lang w:bidi="th-TH"/>
              </w:rPr>
            </w:pPr>
            <w:r w:rsidRPr="00A06596">
              <w:rPr>
                <w:rFonts w:cs="Arial"/>
                <w:sz w:val="16"/>
                <w:szCs w:val="16"/>
                <w:lang w:bidi="th-TH"/>
              </w:rPr>
              <w:t>Africa (4</w:t>
            </w:r>
            <w:r w:rsidR="00A06596" w:rsidRPr="00A06596">
              <w:rPr>
                <w:rFonts w:cs="Arial"/>
                <w:sz w:val="16"/>
                <w:szCs w:val="16"/>
                <w:lang w:bidi="th-TH"/>
              </w:rPr>
              <w:t> </w:t>
            </w:r>
            <w:r w:rsidRPr="00A06596">
              <w:rPr>
                <w:rFonts w:cs="Arial"/>
                <w:sz w:val="16"/>
                <w:szCs w:val="16"/>
                <w:lang w:bidi="th-TH"/>
              </w:rPr>
              <w:t>additional)</w:t>
            </w:r>
          </w:p>
          <w:p w:rsidR="00C215DD" w:rsidRPr="00A06596" w:rsidRDefault="00C215DD" w:rsidP="00C215DD">
            <w:pPr>
              <w:rPr>
                <w:rFonts w:cs="Arial"/>
                <w:sz w:val="16"/>
                <w:szCs w:val="16"/>
                <w:lang w:bidi="th-TH"/>
              </w:rPr>
            </w:pPr>
            <w:r w:rsidRPr="00A06596">
              <w:rPr>
                <w:rFonts w:cs="Arial"/>
                <w:sz w:val="16"/>
                <w:szCs w:val="16"/>
                <w:lang w:bidi="th-TH"/>
              </w:rPr>
              <w:t>Arab (4</w:t>
            </w:r>
            <w:r w:rsidR="00A06596" w:rsidRPr="00A06596">
              <w:rPr>
                <w:rFonts w:cs="Arial"/>
                <w:sz w:val="16"/>
                <w:szCs w:val="16"/>
                <w:lang w:bidi="th-TH"/>
              </w:rPr>
              <w:t> </w:t>
            </w:r>
            <w:r w:rsidRPr="00A06596">
              <w:rPr>
                <w:rFonts w:cs="Arial"/>
                <w:sz w:val="16"/>
                <w:szCs w:val="16"/>
                <w:lang w:bidi="th-TH"/>
              </w:rPr>
              <w:t>additional)</w:t>
            </w:r>
          </w:p>
          <w:p w:rsidR="00C215DD" w:rsidRPr="00A06596" w:rsidRDefault="00C215DD" w:rsidP="00C215DD">
            <w:pPr>
              <w:rPr>
                <w:rFonts w:cs="Arial"/>
                <w:sz w:val="16"/>
                <w:szCs w:val="16"/>
                <w:lang w:bidi="th-TH"/>
              </w:rPr>
            </w:pPr>
            <w:r w:rsidRPr="00A06596">
              <w:rPr>
                <w:rFonts w:cs="Arial"/>
                <w:sz w:val="16"/>
                <w:szCs w:val="16"/>
                <w:lang w:bidi="th-TH"/>
              </w:rPr>
              <w:t>Asian and Pacific</w:t>
            </w:r>
          </w:p>
          <w:p w:rsidR="00C215DD" w:rsidRPr="00A06596" w:rsidRDefault="00C215DD" w:rsidP="00C215DD">
            <w:pPr>
              <w:rPr>
                <w:rFonts w:cs="Arial"/>
                <w:sz w:val="16"/>
                <w:szCs w:val="16"/>
                <w:lang w:bidi="th-TH"/>
              </w:rPr>
            </w:pPr>
            <w:r w:rsidRPr="00A06596">
              <w:rPr>
                <w:rFonts w:cs="Arial"/>
                <w:sz w:val="16"/>
                <w:szCs w:val="16"/>
                <w:lang w:bidi="th-TH"/>
              </w:rPr>
              <w:t>(4 additional)</w:t>
            </w:r>
          </w:p>
          <w:p w:rsidR="00C215DD" w:rsidRPr="00A06596" w:rsidRDefault="00C215DD" w:rsidP="00C215DD">
            <w:pPr>
              <w:rPr>
                <w:rFonts w:cs="Arial"/>
                <w:sz w:val="16"/>
                <w:szCs w:val="16"/>
                <w:lang w:bidi="th-TH"/>
              </w:rPr>
            </w:pPr>
            <w:r w:rsidRPr="00A06596">
              <w:rPr>
                <w:rFonts w:cs="Arial"/>
                <w:sz w:val="16"/>
                <w:szCs w:val="16"/>
                <w:lang w:bidi="th-TH"/>
              </w:rPr>
              <w:t>Latin America and the</w:t>
            </w:r>
          </w:p>
          <w:p w:rsidR="00C215DD" w:rsidRPr="00A06596" w:rsidRDefault="00C215DD" w:rsidP="00C215DD">
            <w:pPr>
              <w:rPr>
                <w:rFonts w:cs="Arial"/>
                <w:sz w:val="16"/>
                <w:szCs w:val="16"/>
                <w:lang w:bidi="th-TH"/>
              </w:rPr>
            </w:pPr>
            <w:r w:rsidRPr="00A06596">
              <w:rPr>
                <w:rFonts w:cs="Arial"/>
                <w:sz w:val="16"/>
                <w:szCs w:val="16"/>
                <w:lang w:bidi="th-TH"/>
              </w:rPr>
              <w:t>Caribbean</w:t>
            </w:r>
          </w:p>
          <w:p w:rsidR="00C215DD" w:rsidRPr="00A06596" w:rsidRDefault="00C215DD" w:rsidP="00C215DD">
            <w:pPr>
              <w:rPr>
                <w:rFonts w:cs="Arial"/>
                <w:sz w:val="16"/>
                <w:szCs w:val="16"/>
                <w:lang w:bidi="th-TH"/>
              </w:rPr>
            </w:pPr>
            <w:r w:rsidRPr="00A06596">
              <w:rPr>
                <w:rFonts w:cs="Arial"/>
                <w:sz w:val="16"/>
                <w:szCs w:val="16"/>
                <w:lang w:bidi="th-TH"/>
              </w:rPr>
              <w:t>(7 additional)</w:t>
            </w:r>
          </w:p>
        </w:tc>
        <w:tc>
          <w:tcPr>
            <w:tcW w:w="3261" w:type="dxa"/>
            <w:gridSpan w:val="5"/>
            <w:shd w:val="clear" w:color="auto" w:fill="FFFFFF"/>
            <w:tcMar>
              <w:top w:w="110" w:type="dxa"/>
            </w:tcMar>
          </w:tcPr>
          <w:p w:rsidR="00C215DD" w:rsidRPr="00CD26D6" w:rsidRDefault="00C215DD" w:rsidP="00C215DD">
            <w:pPr>
              <w:rPr>
                <w:rFonts w:cs="Arial"/>
                <w:sz w:val="8"/>
                <w:szCs w:val="8"/>
                <w:lang w:bidi="th-TH"/>
              </w:rPr>
            </w:pPr>
            <w:r w:rsidRPr="00A06596">
              <w:rPr>
                <w:rFonts w:cs="Arial"/>
                <w:sz w:val="16"/>
                <w:szCs w:val="16"/>
                <w:lang w:bidi="th-TH"/>
              </w:rPr>
              <w:t xml:space="preserve">No. of fully automated Offices end 2012/13 biennium: </w:t>
            </w:r>
            <w:r w:rsidR="00A06596">
              <w:rPr>
                <w:rFonts w:cs="Arial"/>
                <w:sz w:val="16"/>
                <w:szCs w:val="16"/>
                <w:lang w:bidi="th-TH"/>
              </w:rPr>
              <w:t xml:space="preserve"> </w:t>
            </w:r>
            <w:r w:rsidRPr="00A06596">
              <w:rPr>
                <w:rFonts w:cs="Arial"/>
                <w:sz w:val="16"/>
                <w:szCs w:val="16"/>
                <w:lang w:bidi="th-TH"/>
              </w:rPr>
              <w:t>38</w:t>
            </w:r>
            <w:r w:rsidR="00A06596">
              <w:rPr>
                <w:rFonts w:cs="Arial"/>
                <w:sz w:val="16"/>
                <w:szCs w:val="16"/>
                <w:lang w:bidi="th-TH"/>
              </w:rPr>
              <w:br/>
            </w:r>
          </w:p>
          <w:p w:rsidR="00C215DD" w:rsidRPr="00A06596" w:rsidRDefault="00C215DD" w:rsidP="001428E9">
            <w:pPr>
              <w:numPr>
                <w:ilvl w:val="0"/>
                <w:numId w:val="20"/>
              </w:numPr>
              <w:tabs>
                <w:tab w:val="clear" w:pos="794"/>
                <w:tab w:val="num" w:pos="572"/>
              </w:tabs>
              <w:spacing w:after="40"/>
              <w:ind w:left="193"/>
              <w:rPr>
                <w:rFonts w:cs="Arial"/>
                <w:sz w:val="16"/>
                <w:szCs w:val="16"/>
              </w:rPr>
            </w:pPr>
            <w:r w:rsidRPr="00A06596">
              <w:rPr>
                <w:rFonts w:cs="Arial"/>
                <w:sz w:val="16"/>
                <w:szCs w:val="16"/>
              </w:rPr>
              <w:t>Africa (10) (Botswana, Kenya, Madagascar, Malawi, Mozambique, Namibia, Seychelles, United Republic of Tanzania, Zambia, Zimbabwe)</w:t>
            </w:r>
          </w:p>
          <w:p w:rsidR="00C215DD" w:rsidRDefault="00C215DD" w:rsidP="007E1C6F">
            <w:pPr>
              <w:numPr>
                <w:ilvl w:val="0"/>
                <w:numId w:val="20"/>
              </w:numPr>
              <w:tabs>
                <w:tab w:val="clear" w:pos="794"/>
                <w:tab w:val="num" w:pos="572"/>
              </w:tabs>
              <w:spacing w:after="80"/>
              <w:ind w:left="194"/>
              <w:rPr>
                <w:rFonts w:cs="Arial"/>
                <w:sz w:val="16"/>
                <w:szCs w:val="16"/>
              </w:rPr>
            </w:pPr>
            <w:r w:rsidRPr="00A06596">
              <w:rPr>
                <w:rFonts w:cs="Arial"/>
                <w:sz w:val="16"/>
                <w:szCs w:val="16"/>
              </w:rPr>
              <w:t>Arab (10) (Algeria, Bahrain, Egypt, Kuwait, Libya, Oman, Palestine, Qatar, Syria Tunisia)</w:t>
            </w:r>
          </w:p>
          <w:p w:rsidR="00C215DD" w:rsidRPr="00A06596" w:rsidRDefault="00C215DD" w:rsidP="007E1C6F">
            <w:pPr>
              <w:numPr>
                <w:ilvl w:val="0"/>
                <w:numId w:val="20"/>
              </w:numPr>
              <w:tabs>
                <w:tab w:val="clear" w:pos="794"/>
                <w:tab w:val="num" w:pos="336"/>
              </w:tabs>
              <w:spacing w:after="80"/>
              <w:ind w:left="336" w:hanging="283"/>
              <w:rPr>
                <w:rFonts w:cs="Arial"/>
                <w:sz w:val="16"/>
                <w:szCs w:val="16"/>
              </w:rPr>
            </w:pPr>
            <w:r w:rsidRPr="00A06596">
              <w:rPr>
                <w:rFonts w:cs="Arial"/>
                <w:sz w:val="16"/>
                <w:szCs w:val="16"/>
              </w:rPr>
              <w:lastRenderedPageBreak/>
              <w:t>Asia and the Pacific (9) (Bangladesh, Bhutan, Brunei</w:t>
            </w:r>
            <w:r w:rsidR="00A06596">
              <w:rPr>
                <w:rFonts w:cs="Arial"/>
                <w:sz w:val="16"/>
                <w:szCs w:val="16"/>
              </w:rPr>
              <w:t> </w:t>
            </w:r>
            <w:r w:rsidRPr="00A06596">
              <w:rPr>
                <w:rFonts w:cs="Arial"/>
                <w:sz w:val="16"/>
                <w:szCs w:val="16"/>
              </w:rPr>
              <w:t xml:space="preserve">Darussalam, Indonesia, Nepal, Pakistan, Papua New Guinea, </w:t>
            </w:r>
            <w:r w:rsidR="00A06596">
              <w:rPr>
                <w:rFonts w:cs="Arial"/>
                <w:sz w:val="16"/>
                <w:szCs w:val="16"/>
              </w:rPr>
              <w:t xml:space="preserve">the </w:t>
            </w:r>
            <w:r w:rsidRPr="00A06596">
              <w:rPr>
                <w:rFonts w:cs="Arial"/>
                <w:sz w:val="16"/>
                <w:szCs w:val="16"/>
              </w:rPr>
              <w:t>Philippines, Sri Lanka)</w:t>
            </w:r>
          </w:p>
          <w:p w:rsidR="00C215DD" w:rsidRPr="00A06596" w:rsidRDefault="00C215DD" w:rsidP="007E1C6F">
            <w:pPr>
              <w:numPr>
                <w:ilvl w:val="0"/>
                <w:numId w:val="20"/>
              </w:numPr>
              <w:tabs>
                <w:tab w:val="clear" w:pos="794"/>
                <w:tab w:val="num" w:pos="336"/>
              </w:tabs>
              <w:spacing w:after="80"/>
              <w:ind w:left="336" w:hanging="283"/>
              <w:rPr>
                <w:rFonts w:cs="Arial"/>
                <w:sz w:val="16"/>
                <w:szCs w:val="16"/>
                <w:lang w:bidi="th-TH"/>
              </w:rPr>
            </w:pPr>
            <w:r w:rsidRPr="00A06596">
              <w:rPr>
                <w:rFonts w:cs="Arial"/>
                <w:sz w:val="16"/>
                <w:szCs w:val="16"/>
              </w:rPr>
              <w:t>Latin America and the Caribbean (9) (Barbados, Belize, Chile, Cuba, the Dominican Republic, Jamaica, Saint Lucia, Trinidad and Tobago, Uruguay)</w:t>
            </w:r>
          </w:p>
          <w:p w:rsidR="00C215DD" w:rsidRDefault="00C215DD" w:rsidP="00C215DD">
            <w:pPr>
              <w:keepNext/>
              <w:keepLines/>
              <w:rPr>
                <w:rFonts w:cs="Arial"/>
                <w:sz w:val="16"/>
                <w:szCs w:val="16"/>
                <w:lang w:bidi="th-TH"/>
              </w:rPr>
            </w:pPr>
            <w:r w:rsidRPr="00A06596">
              <w:rPr>
                <w:rFonts w:cs="Arial"/>
                <w:sz w:val="16"/>
                <w:szCs w:val="16"/>
                <w:lang w:bidi="th-TH"/>
              </w:rPr>
              <w:t xml:space="preserve">No. of partially automated Offices end 2012/13 biennium: </w:t>
            </w:r>
            <w:r w:rsidR="00A06596">
              <w:rPr>
                <w:rFonts w:cs="Arial"/>
                <w:sz w:val="16"/>
                <w:szCs w:val="16"/>
                <w:lang w:bidi="th-TH"/>
              </w:rPr>
              <w:t xml:space="preserve"> </w:t>
            </w:r>
            <w:r w:rsidRPr="00A06596">
              <w:rPr>
                <w:rFonts w:cs="Arial"/>
                <w:sz w:val="16"/>
                <w:szCs w:val="16"/>
                <w:lang w:bidi="th-TH"/>
              </w:rPr>
              <w:t>20</w:t>
            </w:r>
          </w:p>
          <w:p w:rsidR="00A06596" w:rsidRPr="007E1C6F" w:rsidRDefault="00A06596" w:rsidP="00C215DD">
            <w:pPr>
              <w:keepNext/>
              <w:keepLines/>
              <w:rPr>
                <w:rFonts w:cs="Arial"/>
                <w:sz w:val="8"/>
                <w:szCs w:val="8"/>
                <w:lang w:bidi="th-TH"/>
              </w:rPr>
            </w:pPr>
          </w:p>
          <w:p w:rsidR="00C215DD" w:rsidRPr="00A06596" w:rsidRDefault="00C215DD" w:rsidP="007E1C6F">
            <w:pPr>
              <w:keepNext/>
              <w:keepLines/>
              <w:numPr>
                <w:ilvl w:val="0"/>
                <w:numId w:val="20"/>
              </w:numPr>
              <w:tabs>
                <w:tab w:val="clear" w:pos="794"/>
                <w:tab w:val="num" w:pos="336"/>
              </w:tabs>
              <w:spacing w:after="80"/>
              <w:ind w:left="336" w:hanging="283"/>
              <w:rPr>
                <w:rFonts w:cs="Arial"/>
                <w:sz w:val="16"/>
                <w:szCs w:val="16"/>
              </w:rPr>
            </w:pPr>
            <w:r w:rsidRPr="00A06596">
              <w:rPr>
                <w:rFonts w:cs="Arial"/>
                <w:sz w:val="16"/>
                <w:szCs w:val="16"/>
              </w:rPr>
              <w:t>Africa (9) (ARIPO, the Gambia, Ghana, Mauritius, Rwanda, South</w:t>
            </w:r>
            <w:r w:rsidR="00A06596">
              <w:rPr>
                <w:rFonts w:cs="Arial"/>
                <w:sz w:val="16"/>
                <w:szCs w:val="16"/>
              </w:rPr>
              <w:t> </w:t>
            </w:r>
            <w:r w:rsidRPr="00A06596">
              <w:rPr>
                <w:rFonts w:cs="Arial"/>
                <w:sz w:val="16"/>
                <w:szCs w:val="16"/>
              </w:rPr>
              <w:t xml:space="preserve">Africa, Uganda, </w:t>
            </w:r>
            <w:r w:rsidR="00A06596">
              <w:rPr>
                <w:rFonts w:cs="Arial"/>
                <w:sz w:val="16"/>
                <w:szCs w:val="16"/>
              </w:rPr>
              <w:t xml:space="preserve">the </w:t>
            </w:r>
            <w:r w:rsidRPr="00A06596">
              <w:rPr>
                <w:rFonts w:cs="Arial"/>
                <w:sz w:val="16"/>
                <w:szCs w:val="16"/>
              </w:rPr>
              <w:t>United Republic of Tanzania, Zimbabwe)</w:t>
            </w:r>
          </w:p>
          <w:p w:rsidR="00C215DD" w:rsidRPr="00A06596" w:rsidRDefault="00C215DD" w:rsidP="007E1C6F">
            <w:pPr>
              <w:numPr>
                <w:ilvl w:val="0"/>
                <w:numId w:val="20"/>
              </w:numPr>
              <w:tabs>
                <w:tab w:val="clear" w:pos="794"/>
                <w:tab w:val="num" w:pos="336"/>
              </w:tabs>
              <w:spacing w:after="80"/>
              <w:ind w:left="336" w:hanging="283"/>
              <w:rPr>
                <w:rFonts w:cs="Arial"/>
                <w:sz w:val="16"/>
                <w:szCs w:val="16"/>
              </w:rPr>
            </w:pPr>
            <w:r w:rsidRPr="00A06596">
              <w:rPr>
                <w:rFonts w:cs="Arial"/>
                <w:sz w:val="16"/>
                <w:szCs w:val="16"/>
              </w:rPr>
              <w:t>Arab (4) Djibouti, Jordan, Lebanon, Morocco, Oman, United Arab Emirates)</w:t>
            </w:r>
          </w:p>
          <w:p w:rsidR="00C215DD" w:rsidRPr="00A06596" w:rsidRDefault="00C215DD" w:rsidP="007E1C6F">
            <w:pPr>
              <w:numPr>
                <w:ilvl w:val="0"/>
                <w:numId w:val="20"/>
              </w:numPr>
              <w:tabs>
                <w:tab w:val="clear" w:pos="794"/>
                <w:tab w:val="num" w:pos="336"/>
              </w:tabs>
              <w:spacing w:after="80"/>
              <w:ind w:left="336" w:hanging="283"/>
              <w:rPr>
                <w:rFonts w:cs="Arial"/>
                <w:sz w:val="16"/>
                <w:szCs w:val="16"/>
              </w:rPr>
            </w:pPr>
            <w:r w:rsidRPr="00A06596">
              <w:rPr>
                <w:rFonts w:cs="Arial"/>
                <w:sz w:val="16"/>
                <w:szCs w:val="16"/>
              </w:rPr>
              <w:t>Asia and the Pacific (2) (Cambodia, the Lao People’s Democratic Republic)</w:t>
            </w:r>
          </w:p>
          <w:p w:rsidR="00C215DD" w:rsidRPr="00620FD0" w:rsidRDefault="00C215DD" w:rsidP="007E1C6F">
            <w:pPr>
              <w:numPr>
                <w:ilvl w:val="0"/>
                <w:numId w:val="20"/>
              </w:numPr>
              <w:tabs>
                <w:tab w:val="clear" w:pos="794"/>
                <w:tab w:val="num" w:pos="336"/>
              </w:tabs>
              <w:spacing w:after="120"/>
              <w:ind w:left="336" w:hanging="283"/>
              <w:rPr>
                <w:rFonts w:cs="Arial"/>
                <w:sz w:val="16"/>
                <w:szCs w:val="16"/>
                <w:lang w:val="es-ES"/>
              </w:rPr>
            </w:pPr>
            <w:r w:rsidRPr="00620FD0">
              <w:rPr>
                <w:rFonts w:cs="Arial"/>
                <w:sz w:val="16"/>
                <w:szCs w:val="16"/>
                <w:lang w:val="es-ES"/>
              </w:rPr>
              <w:t>Latin America and the Caribbean (5) (Argentina, Bahamas, Brazil, Costa Rica, Panama)</w:t>
            </w:r>
          </w:p>
          <w:p w:rsidR="00C215DD" w:rsidRPr="00A06596" w:rsidRDefault="00C215DD" w:rsidP="00C215DD">
            <w:pPr>
              <w:rPr>
                <w:rFonts w:cs="Arial"/>
                <w:sz w:val="16"/>
                <w:szCs w:val="16"/>
                <w:lang w:bidi="th-TH"/>
              </w:rPr>
            </w:pPr>
            <w:r w:rsidRPr="00A06596">
              <w:rPr>
                <w:rFonts w:cs="Arial"/>
                <w:sz w:val="16"/>
                <w:szCs w:val="16"/>
                <w:lang w:bidi="th-TH"/>
              </w:rPr>
              <w:t xml:space="preserve">Total: 58 Offices using WIPO IP administration systems end 2012/13 biennium </w:t>
            </w:r>
          </w:p>
          <w:p w:rsidR="00C215DD" w:rsidRPr="00A06596" w:rsidRDefault="00C215DD" w:rsidP="007E1C6F">
            <w:pPr>
              <w:pStyle w:val="ListParagraph"/>
              <w:numPr>
                <w:ilvl w:val="0"/>
                <w:numId w:val="21"/>
              </w:numPr>
              <w:tabs>
                <w:tab w:val="left" w:pos="336"/>
              </w:tabs>
              <w:ind w:left="336" w:hanging="283"/>
              <w:rPr>
                <w:rFonts w:cs="Arial"/>
                <w:sz w:val="16"/>
                <w:szCs w:val="16"/>
                <w:lang w:bidi="th-TH"/>
              </w:rPr>
            </w:pPr>
            <w:r w:rsidRPr="00A06596">
              <w:rPr>
                <w:rFonts w:cs="Arial"/>
                <w:sz w:val="16"/>
                <w:szCs w:val="16"/>
                <w:lang w:bidi="th-TH"/>
              </w:rPr>
              <w:t>Africa (19)</w:t>
            </w:r>
          </w:p>
          <w:p w:rsidR="00C215DD" w:rsidRPr="00A06596" w:rsidRDefault="00C215DD" w:rsidP="007E1C6F">
            <w:pPr>
              <w:pStyle w:val="ListParagraph"/>
              <w:numPr>
                <w:ilvl w:val="0"/>
                <w:numId w:val="21"/>
              </w:numPr>
              <w:tabs>
                <w:tab w:val="left" w:pos="336"/>
              </w:tabs>
              <w:ind w:left="336" w:hanging="283"/>
              <w:rPr>
                <w:rFonts w:cs="Arial"/>
                <w:sz w:val="16"/>
                <w:szCs w:val="16"/>
                <w:lang w:bidi="th-TH"/>
              </w:rPr>
            </w:pPr>
            <w:r w:rsidRPr="00A06596">
              <w:rPr>
                <w:rFonts w:cs="Arial"/>
                <w:sz w:val="16"/>
                <w:szCs w:val="16"/>
                <w:lang w:bidi="th-TH"/>
              </w:rPr>
              <w:t>Arab (14)</w:t>
            </w:r>
          </w:p>
          <w:p w:rsidR="00C215DD" w:rsidRPr="00A06596" w:rsidRDefault="00C215DD" w:rsidP="007E1C6F">
            <w:pPr>
              <w:pStyle w:val="ListParagraph"/>
              <w:numPr>
                <w:ilvl w:val="0"/>
                <w:numId w:val="21"/>
              </w:numPr>
              <w:tabs>
                <w:tab w:val="left" w:pos="336"/>
              </w:tabs>
              <w:ind w:left="336" w:hanging="283"/>
              <w:rPr>
                <w:rFonts w:cs="Arial"/>
                <w:sz w:val="16"/>
                <w:szCs w:val="16"/>
                <w:lang w:bidi="th-TH"/>
              </w:rPr>
            </w:pPr>
            <w:r w:rsidRPr="00A06596">
              <w:rPr>
                <w:rFonts w:cs="Arial"/>
                <w:sz w:val="16"/>
                <w:szCs w:val="16"/>
                <w:lang w:bidi="th-TH"/>
              </w:rPr>
              <w:t>Asia and the Pacific region (11)</w:t>
            </w:r>
          </w:p>
          <w:p w:rsidR="00C215DD" w:rsidRPr="007E1C6F" w:rsidRDefault="00C215DD" w:rsidP="007E1C6F">
            <w:pPr>
              <w:pStyle w:val="ListParagraph"/>
              <w:numPr>
                <w:ilvl w:val="0"/>
                <w:numId w:val="21"/>
              </w:numPr>
              <w:tabs>
                <w:tab w:val="left" w:pos="336"/>
              </w:tabs>
              <w:ind w:left="336" w:hanging="283"/>
              <w:rPr>
                <w:rFonts w:cs="Arial"/>
                <w:spacing w:val="-2"/>
                <w:sz w:val="16"/>
                <w:szCs w:val="16"/>
                <w:lang w:bidi="th-TH"/>
              </w:rPr>
            </w:pPr>
            <w:r w:rsidRPr="007E1C6F">
              <w:rPr>
                <w:rFonts w:cs="Arial"/>
                <w:spacing w:val="-2"/>
                <w:sz w:val="16"/>
                <w:szCs w:val="16"/>
                <w:lang w:bidi="th-TH"/>
              </w:rPr>
              <w:t>Latin America and the Caribbean (14)</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lastRenderedPageBreak/>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lastRenderedPageBreak/>
              <w:t>No. of Offices with IP data online in WIPO databases</w:t>
            </w:r>
          </w:p>
        </w:tc>
        <w:tc>
          <w:tcPr>
            <w:tcW w:w="1995" w:type="dxa"/>
            <w:gridSpan w:val="2"/>
            <w:shd w:val="clear" w:color="auto" w:fill="auto"/>
          </w:tcPr>
          <w:p w:rsidR="00C215DD" w:rsidRPr="00C215DD" w:rsidRDefault="00C215DD" w:rsidP="00C215DD">
            <w:pPr>
              <w:rPr>
                <w:rFonts w:cs="Arial"/>
                <w:sz w:val="16"/>
                <w:szCs w:val="16"/>
              </w:rPr>
            </w:pPr>
            <w:r w:rsidRPr="00C215DD">
              <w:rPr>
                <w:rFonts w:cs="Arial"/>
                <w:sz w:val="16"/>
                <w:szCs w:val="16"/>
                <w:lang w:bidi="th-TH"/>
              </w:rPr>
              <w:t>Total 20</w:t>
            </w:r>
            <w:r w:rsidRPr="00C215DD">
              <w:rPr>
                <w:rFonts w:cs="Arial"/>
                <w:sz w:val="16"/>
                <w:szCs w:val="16"/>
                <w:lang w:bidi="th-TH"/>
              </w:rPr>
              <w:br/>
              <w:t>(Regional breakdown tbd)</w:t>
            </w:r>
          </w:p>
        </w:tc>
        <w:tc>
          <w:tcPr>
            <w:tcW w:w="1501" w:type="dxa"/>
            <w:gridSpan w:val="3"/>
            <w:shd w:val="clear" w:color="auto" w:fill="auto"/>
            <w:tcMar>
              <w:top w:w="110" w:type="dxa"/>
            </w:tcMar>
          </w:tcPr>
          <w:p w:rsidR="00C215DD" w:rsidRPr="00C215DD" w:rsidRDefault="00C215DD" w:rsidP="00C215DD">
            <w:pPr>
              <w:autoSpaceDE w:val="0"/>
              <w:autoSpaceDN w:val="0"/>
              <w:adjustRightInd w:val="0"/>
              <w:rPr>
                <w:rFonts w:cs="Arial"/>
                <w:sz w:val="16"/>
                <w:szCs w:val="16"/>
              </w:rPr>
            </w:pPr>
            <w:r w:rsidRPr="00C215DD">
              <w:rPr>
                <w:rFonts w:cs="Arial"/>
                <w:sz w:val="16"/>
                <w:szCs w:val="16"/>
              </w:rPr>
              <w:t>Total 40</w:t>
            </w:r>
          </w:p>
          <w:p w:rsidR="00C215DD" w:rsidRPr="00C215DD" w:rsidRDefault="00C215DD" w:rsidP="00C215DD">
            <w:pPr>
              <w:rPr>
                <w:rFonts w:cs="Arial"/>
                <w:color w:val="993300"/>
                <w:sz w:val="16"/>
                <w:szCs w:val="16"/>
                <w:lang w:bidi="th-TH"/>
              </w:rPr>
            </w:pPr>
            <w:r w:rsidRPr="00C215DD">
              <w:rPr>
                <w:rFonts w:cs="Arial"/>
                <w:sz w:val="16"/>
                <w:szCs w:val="16"/>
              </w:rPr>
              <w:t>(Regional breakdown tbd)</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35 (28 in PATENTSCOPE and six in Global Brand Database) Offices with IP data online in WIPO databases (cumulative)</w:t>
            </w:r>
          </w:p>
          <w:p w:rsidR="00C215DD" w:rsidRPr="007E1C6F" w:rsidRDefault="00C215DD" w:rsidP="00C215DD">
            <w:pPr>
              <w:rPr>
                <w:rFonts w:cs="Arial"/>
                <w:sz w:val="16"/>
                <w:szCs w:val="16"/>
                <w:lang w:bidi="th-TH"/>
              </w:rPr>
            </w:pPr>
          </w:p>
          <w:p w:rsidR="00C215DD" w:rsidRPr="00C215DD" w:rsidRDefault="00C215DD" w:rsidP="00C215DD">
            <w:pPr>
              <w:rPr>
                <w:rFonts w:cs="Arial"/>
                <w:sz w:val="16"/>
                <w:szCs w:val="16"/>
                <w:lang w:bidi="th-TH"/>
              </w:rPr>
            </w:pPr>
            <w:r w:rsidRPr="00C215DD">
              <w:rPr>
                <w:rFonts w:cs="Arial"/>
                <w:sz w:val="16"/>
                <w:szCs w:val="16"/>
                <w:lang w:bidi="th-TH"/>
              </w:rPr>
              <w:t>PATENTSCOPE:</w:t>
            </w:r>
          </w:p>
          <w:p w:rsidR="00C215DD" w:rsidRPr="00C215DD" w:rsidRDefault="00C215DD" w:rsidP="007E1C6F">
            <w:pPr>
              <w:pStyle w:val="ListParagraph"/>
              <w:numPr>
                <w:ilvl w:val="0"/>
                <w:numId w:val="22"/>
              </w:numPr>
              <w:ind w:left="336" w:hanging="283"/>
              <w:rPr>
                <w:rFonts w:cs="Arial"/>
                <w:sz w:val="16"/>
                <w:szCs w:val="16"/>
                <w:lang w:bidi="th-TH"/>
              </w:rPr>
            </w:pPr>
            <w:r w:rsidRPr="00C215DD">
              <w:rPr>
                <w:rFonts w:cs="Arial"/>
                <w:sz w:val="16"/>
                <w:szCs w:val="16"/>
                <w:lang w:bidi="th-TH"/>
              </w:rPr>
              <w:t>Africa (3) (ARIPO, Kenya, South</w:t>
            </w:r>
            <w:r w:rsidR="007E1C6F">
              <w:rPr>
                <w:rFonts w:cs="Arial"/>
                <w:sz w:val="16"/>
                <w:szCs w:val="16"/>
                <w:lang w:bidi="th-TH"/>
              </w:rPr>
              <w:t> </w:t>
            </w:r>
            <w:r w:rsidRPr="00C215DD">
              <w:rPr>
                <w:rFonts w:cs="Arial"/>
                <w:sz w:val="16"/>
                <w:szCs w:val="16"/>
                <w:lang w:bidi="th-TH"/>
              </w:rPr>
              <w:t>Africa)</w:t>
            </w:r>
          </w:p>
          <w:p w:rsidR="00C215DD" w:rsidRPr="00C215DD" w:rsidRDefault="00C215DD" w:rsidP="007E1C6F">
            <w:pPr>
              <w:pStyle w:val="ListParagraph"/>
              <w:numPr>
                <w:ilvl w:val="0"/>
                <w:numId w:val="22"/>
              </w:numPr>
              <w:ind w:left="336" w:hanging="283"/>
              <w:rPr>
                <w:rFonts w:cs="Arial"/>
                <w:sz w:val="16"/>
                <w:szCs w:val="16"/>
                <w:lang w:bidi="th-TH"/>
              </w:rPr>
            </w:pPr>
            <w:r w:rsidRPr="00C215DD">
              <w:rPr>
                <w:rFonts w:cs="Arial"/>
                <w:sz w:val="16"/>
                <w:szCs w:val="16"/>
                <w:lang w:bidi="th-TH"/>
              </w:rPr>
              <w:t>Arab (5) (Bahrain, Egypt, Jordan, Morocco, United Arab Emirates)</w:t>
            </w:r>
          </w:p>
          <w:p w:rsidR="00C215DD" w:rsidRPr="00C215DD" w:rsidRDefault="00C215DD" w:rsidP="007E1C6F">
            <w:pPr>
              <w:pStyle w:val="ListParagraph"/>
              <w:numPr>
                <w:ilvl w:val="0"/>
                <w:numId w:val="22"/>
              </w:numPr>
              <w:ind w:left="336" w:hanging="283"/>
              <w:rPr>
                <w:rFonts w:cs="Arial"/>
                <w:sz w:val="16"/>
                <w:szCs w:val="16"/>
                <w:lang w:bidi="th-TH"/>
              </w:rPr>
            </w:pPr>
            <w:r w:rsidRPr="00C215DD">
              <w:rPr>
                <w:rFonts w:cs="Arial"/>
                <w:sz w:val="16"/>
                <w:szCs w:val="16"/>
                <w:lang w:bidi="th-TH"/>
              </w:rPr>
              <w:t>Asia and the Pacific (4) (China, the</w:t>
            </w:r>
            <w:r w:rsidR="007E1C6F">
              <w:rPr>
                <w:rFonts w:cs="Arial"/>
                <w:sz w:val="16"/>
                <w:szCs w:val="16"/>
                <w:lang w:bidi="th-TH"/>
              </w:rPr>
              <w:t> </w:t>
            </w:r>
            <w:r w:rsidRPr="00C215DD">
              <w:rPr>
                <w:rFonts w:cs="Arial"/>
                <w:sz w:val="16"/>
                <w:szCs w:val="16"/>
                <w:lang w:bidi="th-TH"/>
              </w:rPr>
              <w:t>Republic of Korea, Singapore, Viet Nam)</w:t>
            </w:r>
          </w:p>
          <w:p w:rsidR="00C215DD" w:rsidRPr="00620FD0" w:rsidRDefault="00C215DD" w:rsidP="007E1C6F">
            <w:pPr>
              <w:pStyle w:val="ListParagraph"/>
              <w:numPr>
                <w:ilvl w:val="0"/>
                <w:numId w:val="22"/>
              </w:numPr>
              <w:ind w:left="336" w:hanging="283"/>
              <w:rPr>
                <w:rFonts w:cs="Arial"/>
                <w:sz w:val="16"/>
                <w:szCs w:val="16"/>
                <w:lang w:val="es-ES" w:bidi="th-TH"/>
              </w:rPr>
            </w:pPr>
            <w:r w:rsidRPr="00620FD0">
              <w:rPr>
                <w:rFonts w:cs="Arial"/>
                <w:sz w:val="16"/>
                <w:szCs w:val="16"/>
                <w:lang w:val="es-ES" w:bidi="th-TH"/>
              </w:rPr>
              <w:t>Latin America and the Caribbean (16) (Argentina, Brazil, Chile, Colombia, Costa Rica, Cuba, the Dominican Republic, Ecuador, El</w:t>
            </w:r>
            <w:r w:rsidR="007E1C6F" w:rsidRPr="00620FD0">
              <w:rPr>
                <w:rFonts w:cs="Arial"/>
                <w:sz w:val="16"/>
                <w:szCs w:val="16"/>
                <w:lang w:val="es-ES" w:bidi="th-TH"/>
              </w:rPr>
              <w:t> </w:t>
            </w:r>
            <w:r w:rsidRPr="00620FD0">
              <w:rPr>
                <w:rFonts w:cs="Arial"/>
                <w:sz w:val="16"/>
                <w:szCs w:val="16"/>
                <w:lang w:val="es-ES" w:bidi="th-TH"/>
              </w:rPr>
              <w:t>Salvador, Guatemala, Honduras, Mexico, Nicaragua, Panama, Peru, Uruguay)</w:t>
            </w:r>
          </w:p>
          <w:p w:rsidR="00C215DD" w:rsidRPr="007E1C6F" w:rsidRDefault="00C215DD" w:rsidP="00C215DD">
            <w:pPr>
              <w:rPr>
                <w:rFonts w:cs="Arial"/>
                <w:sz w:val="16"/>
                <w:szCs w:val="16"/>
                <w:lang w:val="es-ES" w:bidi="th-TH"/>
              </w:rPr>
            </w:pPr>
          </w:p>
          <w:p w:rsidR="00C215DD" w:rsidRPr="00C215DD" w:rsidRDefault="00C215DD" w:rsidP="00C215DD">
            <w:pPr>
              <w:rPr>
                <w:rFonts w:cs="Arial"/>
                <w:sz w:val="16"/>
                <w:szCs w:val="16"/>
                <w:lang w:bidi="th-TH"/>
              </w:rPr>
            </w:pPr>
            <w:r w:rsidRPr="00C215DD">
              <w:rPr>
                <w:rFonts w:cs="Arial"/>
                <w:sz w:val="16"/>
                <w:szCs w:val="16"/>
                <w:lang w:bidi="th-TH"/>
              </w:rPr>
              <w:t>Global Brand Database:</w:t>
            </w:r>
          </w:p>
          <w:p w:rsidR="00C215DD" w:rsidRPr="00C215DD" w:rsidRDefault="00C215DD" w:rsidP="005703CF">
            <w:pPr>
              <w:pStyle w:val="ListParagraph"/>
              <w:numPr>
                <w:ilvl w:val="0"/>
                <w:numId w:val="23"/>
              </w:numPr>
              <w:ind w:left="430" w:hanging="284"/>
              <w:rPr>
                <w:rFonts w:cs="Arial"/>
                <w:sz w:val="16"/>
                <w:szCs w:val="16"/>
                <w:lang w:bidi="th-TH"/>
              </w:rPr>
            </w:pPr>
            <w:r w:rsidRPr="00C215DD">
              <w:rPr>
                <w:rFonts w:cs="Arial"/>
                <w:sz w:val="16"/>
                <w:szCs w:val="16"/>
                <w:lang w:bidi="th-TH"/>
              </w:rPr>
              <w:t xml:space="preserve">Arab (4) (Algeria, Egypt, Morocco, </w:t>
            </w:r>
            <w:r w:rsidR="007E1C6F">
              <w:rPr>
                <w:rFonts w:cs="Arial"/>
                <w:sz w:val="16"/>
                <w:szCs w:val="16"/>
                <w:lang w:bidi="th-TH"/>
              </w:rPr>
              <w:t xml:space="preserve">the </w:t>
            </w:r>
            <w:r w:rsidRPr="00C215DD">
              <w:rPr>
                <w:rFonts w:cs="Arial"/>
                <w:sz w:val="16"/>
                <w:szCs w:val="16"/>
                <w:lang w:bidi="th-TH"/>
              </w:rPr>
              <w:t>United Arab Emirates)</w:t>
            </w:r>
          </w:p>
          <w:p w:rsidR="00C215DD" w:rsidRPr="00C215DD" w:rsidRDefault="00C215DD" w:rsidP="005703CF">
            <w:pPr>
              <w:pStyle w:val="ListParagraph"/>
              <w:numPr>
                <w:ilvl w:val="0"/>
                <w:numId w:val="23"/>
              </w:numPr>
              <w:ind w:left="430" w:hanging="284"/>
              <w:rPr>
                <w:rFonts w:cs="Arial"/>
                <w:sz w:val="16"/>
                <w:szCs w:val="16"/>
                <w:lang w:bidi="th-TH"/>
              </w:rPr>
            </w:pPr>
            <w:r w:rsidRPr="00C215DD">
              <w:rPr>
                <w:rFonts w:cs="Arial"/>
                <w:sz w:val="16"/>
                <w:szCs w:val="16"/>
                <w:lang w:bidi="th-TH"/>
              </w:rPr>
              <w:t>Asia and the Pacific (2) (</w:t>
            </w:r>
            <w:r w:rsidR="007E1C6F">
              <w:rPr>
                <w:rFonts w:cs="Arial"/>
                <w:sz w:val="16"/>
                <w:szCs w:val="16"/>
                <w:lang w:bidi="th-TH"/>
              </w:rPr>
              <w:t xml:space="preserve">the </w:t>
            </w:r>
            <w:r w:rsidRPr="00C215DD">
              <w:rPr>
                <w:rFonts w:cs="Arial"/>
                <w:sz w:val="16"/>
                <w:szCs w:val="16"/>
                <w:lang w:bidi="th-TH"/>
              </w:rPr>
              <w:t>Philippines, Singapore)</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Groups of Offices participating in a common platform</w:t>
            </w:r>
          </w:p>
        </w:tc>
        <w:tc>
          <w:tcPr>
            <w:tcW w:w="1995" w:type="dxa"/>
            <w:gridSpan w:val="2"/>
            <w:shd w:val="clear" w:color="auto" w:fill="auto"/>
          </w:tcPr>
          <w:p w:rsidR="00C215DD" w:rsidRPr="00C215DD" w:rsidRDefault="00C215DD" w:rsidP="00C215DD">
            <w:pPr>
              <w:rPr>
                <w:rFonts w:cs="Arial"/>
                <w:sz w:val="16"/>
                <w:szCs w:val="16"/>
              </w:rPr>
            </w:pPr>
            <w:r w:rsidRPr="00C215DD">
              <w:rPr>
                <w:rFonts w:cs="Arial"/>
                <w:sz w:val="16"/>
                <w:szCs w:val="16"/>
                <w:lang w:bidi="th-TH"/>
              </w:rPr>
              <w:t>One</w:t>
            </w:r>
          </w:p>
        </w:tc>
        <w:tc>
          <w:tcPr>
            <w:tcW w:w="1501" w:type="dxa"/>
            <w:gridSpan w:val="3"/>
            <w:shd w:val="clear" w:color="auto" w:fill="auto"/>
            <w:tcMar>
              <w:top w:w="110" w:type="dxa"/>
            </w:tcMar>
          </w:tcPr>
          <w:p w:rsidR="00C215DD" w:rsidRPr="00C215DD" w:rsidRDefault="00C215DD" w:rsidP="00C215DD">
            <w:pPr>
              <w:rPr>
                <w:rFonts w:cs="Arial"/>
                <w:color w:val="993300"/>
                <w:sz w:val="16"/>
                <w:szCs w:val="16"/>
                <w:lang w:bidi="th-TH"/>
              </w:rPr>
            </w:pPr>
            <w:r w:rsidRPr="00C215DD">
              <w:rPr>
                <w:rFonts w:cs="Arial"/>
                <w:sz w:val="16"/>
                <w:szCs w:val="16"/>
              </w:rPr>
              <w:t>Three (cumulative)</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 xml:space="preserve">Seven participating Offices from different regions. </w:t>
            </w:r>
            <w:r w:rsidR="007E1C6F">
              <w:rPr>
                <w:rFonts w:cs="Arial"/>
                <w:sz w:val="16"/>
                <w:szCs w:val="16"/>
                <w:lang w:bidi="th-TH"/>
              </w:rPr>
              <w:t xml:space="preserve"> </w:t>
            </w:r>
            <w:r w:rsidRPr="00C215DD">
              <w:rPr>
                <w:rFonts w:cs="Arial"/>
                <w:sz w:val="16"/>
                <w:szCs w:val="16"/>
                <w:lang w:bidi="th-TH"/>
              </w:rPr>
              <w:t>The question of having different groups of offices is no longer relevant. Offices adhere to the common platform from all over the world and not in regional groups.</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w:t>
            </w:r>
            <w:r w:rsidRPr="00C215DD">
              <w:rPr>
                <w:rFonts w:cs="Arial"/>
                <w:bCs/>
                <w:color w:val="008000"/>
                <w:sz w:val="16"/>
                <w:szCs w:val="16"/>
              </w:rPr>
              <w:br/>
              <w:t>Achieved</w:t>
            </w:r>
          </w:p>
        </w:tc>
      </w:tr>
      <w:tr w:rsidR="00C215DD" w:rsidRPr="00C215DD" w:rsidTr="00CD26D6">
        <w:tc>
          <w:tcPr>
            <w:tcW w:w="1881" w:type="dxa"/>
            <w:gridSpan w:val="2"/>
            <w:tcBorders>
              <w:bottom w:val="single" w:sz="4" w:space="0" w:color="auto"/>
            </w:tcBorders>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Offices processing PCT and Madrid data with the support of WIPO supplied systems</w:t>
            </w:r>
          </w:p>
        </w:tc>
        <w:tc>
          <w:tcPr>
            <w:tcW w:w="1995" w:type="dxa"/>
            <w:gridSpan w:val="2"/>
            <w:tcBorders>
              <w:bottom w:val="single" w:sz="4" w:space="0" w:color="auto"/>
            </w:tcBorders>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Total 5</w:t>
            </w:r>
            <w:r w:rsidRPr="00C215DD">
              <w:rPr>
                <w:rFonts w:cs="Arial"/>
                <w:sz w:val="16"/>
                <w:szCs w:val="16"/>
                <w:lang w:bidi="th-TH"/>
              </w:rPr>
              <w:br/>
              <w:t>(regional breakdown tbd)</w:t>
            </w:r>
          </w:p>
        </w:tc>
        <w:tc>
          <w:tcPr>
            <w:tcW w:w="1501" w:type="dxa"/>
            <w:gridSpan w:val="3"/>
            <w:tcBorders>
              <w:bottom w:val="single" w:sz="4" w:space="0" w:color="auto"/>
            </w:tcBorders>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Total 20 (cumulative)</w:t>
            </w:r>
          </w:p>
          <w:p w:rsidR="00C215DD" w:rsidRPr="00C215DD" w:rsidRDefault="00C215DD" w:rsidP="00C215DD">
            <w:pPr>
              <w:rPr>
                <w:rFonts w:cs="Arial"/>
                <w:sz w:val="16"/>
                <w:szCs w:val="16"/>
                <w:lang w:bidi="th-TH"/>
              </w:rPr>
            </w:pPr>
            <w:r w:rsidRPr="00C215DD">
              <w:rPr>
                <w:rFonts w:cs="Arial"/>
                <w:sz w:val="16"/>
                <w:szCs w:val="16"/>
                <w:lang w:bidi="th-TH"/>
              </w:rPr>
              <w:t>(regional breakdown tbd)</w:t>
            </w:r>
          </w:p>
        </w:tc>
        <w:tc>
          <w:tcPr>
            <w:tcW w:w="2987" w:type="dxa"/>
            <w:gridSpan w:val="3"/>
            <w:tcBorders>
              <w:bottom w:val="single" w:sz="4" w:space="0" w:color="auto"/>
            </w:tcBorders>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32 Offices processing PCT and Madrid data with the support of WIPO supplied systems</w:t>
            </w:r>
          </w:p>
          <w:p w:rsidR="00C215DD" w:rsidRDefault="00C215DD" w:rsidP="00C215DD">
            <w:pPr>
              <w:rPr>
                <w:rFonts w:cs="Arial"/>
                <w:sz w:val="16"/>
                <w:szCs w:val="16"/>
                <w:lang w:bidi="th-TH"/>
              </w:rPr>
            </w:pPr>
          </w:p>
          <w:p w:rsidR="007E1C6F" w:rsidRDefault="007E1C6F" w:rsidP="00C215DD">
            <w:pPr>
              <w:rPr>
                <w:rFonts w:cs="Arial"/>
                <w:sz w:val="16"/>
                <w:szCs w:val="16"/>
                <w:lang w:bidi="th-TH"/>
              </w:rPr>
            </w:pPr>
          </w:p>
          <w:p w:rsidR="007E1C6F" w:rsidRDefault="007E1C6F" w:rsidP="00C215DD">
            <w:pPr>
              <w:rPr>
                <w:rFonts w:cs="Arial"/>
                <w:sz w:val="16"/>
                <w:szCs w:val="16"/>
                <w:lang w:bidi="th-TH"/>
              </w:rPr>
            </w:pPr>
          </w:p>
          <w:p w:rsidR="007E1C6F" w:rsidRPr="00C215DD" w:rsidRDefault="007E1C6F" w:rsidP="00C215DD">
            <w:pPr>
              <w:rPr>
                <w:rFonts w:cs="Arial"/>
                <w:sz w:val="16"/>
                <w:szCs w:val="16"/>
                <w:lang w:bidi="th-TH"/>
              </w:rPr>
            </w:pPr>
          </w:p>
          <w:p w:rsidR="00C215DD" w:rsidRPr="00C215DD" w:rsidRDefault="00C215DD" w:rsidP="007E1C6F">
            <w:pPr>
              <w:keepNext/>
              <w:keepLines/>
              <w:rPr>
                <w:rFonts w:cs="Arial"/>
                <w:sz w:val="16"/>
                <w:szCs w:val="16"/>
                <w:lang w:bidi="th-TH"/>
              </w:rPr>
            </w:pPr>
            <w:r w:rsidRPr="00C215DD">
              <w:rPr>
                <w:rFonts w:cs="Arial"/>
                <w:sz w:val="16"/>
                <w:szCs w:val="16"/>
                <w:lang w:bidi="th-TH"/>
              </w:rPr>
              <w:lastRenderedPageBreak/>
              <w:t>PCT data:</w:t>
            </w:r>
          </w:p>
          <w:p w:rsidR="00C215DD" w:rsidRPr="00C215DD" w:rsidRDefault="00C215DD" w:rsidP="007E1C6F">
            <w:pPr>
              <w:pStyle w:val="ListParagraph"/>
              <w:keepNext/>
              <w:keepLines/>
              <w:numPr>
                <w:ilvl w:val="0"/>
                <w:numId w:val="24"/>
              </w:numPr>
              <w:ind w:left="432"/>
              <w:rPr>
                <w:rFonts w:cs="Arial"/>
                <w:sz w:val="16"/>
                <w:szCs w:val="16"/>
                <w:lang w:bidi="th-TH"/>
              </w:rPr>
            </w:pPr>
            <w:r w:rsidRPr="00C215DD">
              <w:rPr>
                <w:rFonts w:cs="Arial"/>
                <w:sz w:val="16"/>
                <w:szCs w:val="16"/>
                <w:lang w:bidi="th-TH"/>
              </w:rPr>
              <w:t>Africa (6) (Botswana, Kenya, Madagascar, Mozambique, United Republic of Tanzania, Zambia)</w:t>
            </w:r>
          </w:p>
          <w:p w:rsidR="00C215DD" w:rsidRPr="00C215DD" w:rsidRDefault="00C215DD" w:rsidP="007E1C6F">
            <w:pPr>
              <w:pStyle w:val="ListParagraph"/>
              <w:keepNext/>
              <w:keepLines/>
              <w:numPr>
                <w:ilvl w:val="0"/>
                <w:numId w:val="24"/>
              </w:numPr>
              <w:ind w:left="432"/>
              <w:rPr>
                <w:rFonts w:cs="Arial"/>
                <w:sz w:val="16"/>
                <w:szCs w:val="16"/>
                <w:lang w:bidi="th-TH"/>
              </w:rPr>
            </w:pPr>
            <w:r w:rsidRPr="00C215DD">
              <w:rPr>
                <w:rFonts w:cs="Arial"/>
                <w:sz w:val="16"/>
                <w:szCs w:val="16"/>
                <w:lang w:bidi="th-TH"/>
              </w:rPr>
              <w:t>Arab (5) (Algeria, Bahrain, Egypt, Morocco, Tunisia)</w:t>
            </w:r>
          </w:p>
          <w:p w:rsidR="00C215DD" w:rsidRPr="00C215DD" w:rsidRDefault="00C215DD" w:rsidP="007E1C6F">
            <w:pPr>
              <w:pStyle w:val="ListParagraph"/>
              <w:keepNext/>
              <w:keepLines/>
              <w:numPr>
                <w:ilvl w:val="0"/>
                <w:numId w:val="24"/>
              </w:numPr>
              <w:ind w:left="432"/>
              <w:rPr>
                <w:rFonts w:cs="Arial"/>
                <w:sz w:val="16"/>
                <w:szCs w:val="16"/>
                <w:lang w:bidi="th-TH"/>
              </w:rPr>
            </w:pPr>
            <w:r w:rsidRPr="00C215DD">
              <w:rPr>
                <w:rFonts w:cs="Arial"/>
                <w:sz w:val="16"/>
                <w:szCs w:val="16"/>
                <w:lang w:bidi="th-TH"/>
              </w:rPr>
              <w:t>Asia and the Pacific (4) (Indonesia, Papua New Guinea, the Philippines, Sri Lanka)</w:t>
            </w:r>
          </w:p>
          <w:p w:rsidR="00C215DD" w:rsidRDefault="00C215DD" w:rsidP="007E1C6F">
            <w:pPr>
              <w:pStyle w:val="ListParagraph"/>
              <w:keepNext/>
              <w:keepLines/>
              <w:numPr>
                <w:ilvl w:val="0"/>
                <w:numId w:val="24"/>
              </w:numPr>
              <w:ind w:left="432"/>
              <w:rPr>
                <w:rFonts w:cs="Arial"/>
                <w:sz w:val="16"/>
                <w:szCs w:val="16"/>
                <w:lang w:bidi="th-TH"/>
              </w:rPr>
            </w:pPr>
            <w:r w:rsidRPr="00C215DD">
              <w:rPr>
                <w:rFonts w:cs="Arial"/>
                <w:sz w:val="16"/>
                <w:szCs w:val="16"/>
                <w:lang w:bidi="th-TH"/>
              </w:rPr>
              <w:t>Latin America and the Caribbean (7) (Barbados, Belize, Chile, Cuba, the Dominican Republic, Saint Lucia, Trinidad and Tobago)</w:t>
            </w:r>
          </w:p>
          <w:p w:rsidR="00C215DD" w:rsidRPr="00C215DD" w:rsidRDefault="00C215DD" w:rsidP="00C215DD">
            <w:pPr>
              <w:pStyle w:val="ListParagraph"/>
              <w:ind w:left="432"/>
              <w:rPr>
                <w:rFonts w:cs="Arial"/>
                <w:sz w:val="16"/>
                <w:szCs w:val="16"/>
                <w:lang w:bidi="th-TH"/>
              </w:rPr>
            </w:pPr>
          </w:p>
          <w:p w:rsidR="00C215DD" w:rsidRPr="00C215DD" w:rsidRDefault="00C215DD" w:rsidP="00C215DD">
            <w:pPr>
              <w:rPr>
                <w:rFonts w:cs="Arial"/>
                <w:sz w:val="16"/>
                <w:szCs w:val="16"/>
                <w:lang w:bidi="th-TH"/>
              </w:rPr>
            </w:pPr>
            <w:r w:rsidRPr="00C215DD">
              <w:rPr>
                <w:rFonts w:cs="Arial"/>
                <w:sz w:val="16"/>
                <w:szCs w:val="16"/>
                <w:lang w:bidi="th-TH"/>
              </w:rPr>
              <w:t>TOTAL: 22</w:t>
            </w:r>
          </w:p>
          <w:p w:rsidR="00320E32" w:rsidRPr="00C215DD" w:rsidRDefault="00320E32" w:rsidP="00C215DD">
            <w:pPr>
              <w:rPr>
                <w:rFonts w:cs="Arial"/>
                <w:sz w:val="16"/>
                <w:szCs w:val="16"/>
                <w:lang w:bidi="th-TH"/>
              </w:rPr>
            </w:pPr>
          </w:p>
          <w:p w:rsidR="00C215DD" w:rsidRPr="00C215DD" w:rsidRDefault="00C215DD" w:rsidP="00C215DD">
            <w:pPr>
              <w:rPr>
                <w:rFonts w:cs="Arial"/>
                <w:sz w:val="16"/>
                <w:szCs w:val="16"/>
                <w:lang w:bidi="th-TH"/>
              </w:rPr>
            </w:pPr>
            <w:r w:rsidRPr="00C215DD">
              <w:rPr>
                <w:rFonts w:cs="Arial"/>
                <w:sz w:val="16"/>
                <w:szCs w:val="16"/>
                <w:lang w:bidi="th-TH"/>
              </w:rPr>
              <w:t>Madrid data:</w:t>
            </w:r>
          </w:p>
          <w:p w:rsidR="00C215DD" w:rsidRPr="00C215DD" w:rsidRDefault="00C215DD" w:rsidP="005703CF">
            <w:pPr>
              <w:pStyle w:val="ListParagraph"/>
              <w:numPr>
                <w:ilvl w:val="0"/>
                <w:numId w:val="25"/>
              </w:numPr>
              <w:ind w:left="432"/>
              <w:rPr>
                <w:rFonts w:cs="Arial"/>
                <w:sz w:val="16"/>
                <w:szCs w:val="16"/>
                <w:lang w:val="es-ES" w:bidi="th-TH"/>
              </w:rPr>
            </w:pPr>
            <w:r w:rsidRPr="00C215DD">
              <w:rPr>
                <w:rFonts w:cs="Arial"/>
                <w:sz w:val="16"/>
                <w:szCs w:val="16"/>
                <w:lang w:val="es-ES" w:bidi="th-TH"/>
              </w:rPr>
              <w:t>Africa  (7) (Botswana, Ghana, Kenya, Madagascar, Mozambique, Namibia, Zambia)</w:t>
            </w:r>
          </w:p>
          <w:p w:rsidR="00C215DD" w:rsidRPr="00C215DD" w:rsidRDefault="00C215DD" w:rsidP="005703CF">
            <w:pPr>
              <w:pStyle w:val="ListParagraph"/>
              <w:numPr>
                <w:ilvl w:val="0"/>
                <w:numId w:val="25"/>
              </w:numPr>
              <w:ind w:left="432"/>
              <w:rPr>
                <w:rFonts w:cs="Arial"/>
                <w:sz w:val="16"/>
                <w:szCs w:val="16"/>
                <w:lang w:bidi="th-TH"/>
              </w:rPr>
            </w:pPr>
            <w:r w:rsidRPr="00C215DD">
              <w:rPr>
                <w:rFonts w:cs="Arial"/>
                <w:sz w:val="16"/>
                <w:szCs w:val="16"/>
                <w:lang w:bidi="th-TH"/>
              </w:rPr>
              <w:t>Arab (1) (Algeria)</w:t>
            </w:r>
          </w:p>
          <w:p w:rsidR="00C215DD" w:rsidRPr="00C215DD" w:rsidRDefault="00C215DD" w:rsidP="005703CF">
            <w:pPr>
              <w:pStyle w:val="ListParagraph"/>
              <w:numPr>
                <w:ilvl w:val="0"/>
                <w:numId w:val="25"/>
              </w:numPr>
              <w:ind w:left="432"/>
              <w:rPr>
                <w:rFonts w:cs="Arial"/>
                <w:sz w:val="16"/>
                <w:szCs w:val="16"/>
                <w:lang w:bidi="th-TH"/>
              </w:rPr>
            </w:pPr>
            <w:r w:rsidRPr="00C215DD">
              <w:rPr>
                <w:rFonts w:cs="Arial"/>
                <w:sz w:val="16"/>
                <w:szCs w:val="16"/>
                <w:lang w:bidi="th-TH"/>
              </w:rPr>
              <w:t>Asia and the Pacific (1) (Bhutan)</w:t>
            </w:r>
          </w:p>
          <w:p w:rsidR="00C215DD" w:rsidRPr="00C215DD" w:rsidRDefault="00C215DD" w:rsidP="005703CF">
            <w:pPr>
              <w:pStyle w:val="ListParagraph"/>
              <w:numPr>
                <w:ilvl w:val="0"/>
                <w:numId w:val="25"/>
              </w:numPr>
              <w:ind w:left="432"/>
              <w:rPr>
                <w:rFonts w:cs="Arial"/>
                <w:sz w:val="16"/>
                <w:szCs w:val="16"/>
                <w:lang w:bidi="th-TH"/>
              </w:rPr>
            </w:pPr>
            <w:r w:rsidRPr="00C215DD">
              <w:rPr>
                <w:rFonts w:cs="Arial"/>
                <w:sz w:val="16"/>
                <w:szCs w:val="16"/>
                <w:lang w:bidi="th-TH"/>
              </w:rPr>
              <w:t>Latin America and the Caribbean</w:t>
            </w:r>
            <w:r w:rsidR="007E1C6F">
              <w:rPr>
                <w:rFonts w:cs="Arial"/>
                <w:sz w:val="16"/>
                <w:szCs w:val="16"/>
                <w:lang w:bidi="th-TH"/>
              </w:rPr>
              <w:t> </w:t>
            </w:r>
            <w:r w:rsidRPr="00C215DD">
              <w:rPr>
                <w:rFonts w:cs="Arial"/>
                <w:sz w:val="16"/>
                <w:szCs w:val="16"/>
                <w:lang w:bidi="th-TH"/>
              </w:rPr>
              <w:t>(1) (Cuba)</w:t>
            </w:r>
          </w:p>
          <w:p w:rsidR="00C215DD" w:rsidRPr="00C215DD" w:rsidRDefault="00C215DD" w:rsidP="00C215DD">
            <w:pPr>
              <w:pStyle w:val="ListParagraph"/>
              <w:ind w:left="432"/>
              <w:rPr>
                <w:rFonts w:cs="Arial"/>
                <w:sz w:val="16"/>
                <w:szCs w:val="16"/>
                <w:lang w:bidi="th-TH"/>
              </w:rPr>
            </w:pPr>
          </w:p>
          <w:p w:rsidR="00C215DD" w:rsidRPr="00C215DD" w:rsidRDefault="00C215DD" w:rsidP="00C215DD">
            <w:pPr>
              <w:rPr>
                <w:rFonts w:cs="Arial"/>
                <w:sz w:val="16"/>
                <w:szCs w:val="16"/>
                <w:lang w:bidi="th-TH"/>
              </w:rPr>
            </w:pPr>
            <w:r w:rsidRPr="00C215DD">
              <w:rPr>
                <w:rFonts w:cs="Arial"/>
                <w:sz w:val="16"/>
                <w:szCs w:val="16"/>
                <w:lang w:bidi="th-TH"/>
              </w:rPr>
              <w:t>TOTAL: 10</w:t>
            </w:r>
          </w:p>
          <w:p w:rsidR="00C215DD" w:rsidRPr="00C215DD" w:rsidRDefault="00C215DD" w:rsidP="00C215DD">
            <w:pPr>
              <w:rPr>
                <w:rFonts w:cs="Arial"/>
                <w:sz w:val="16"/>
                <w:szCs w:val="16"/>
                <w:lang w:bidi="th-TH"/>
              </w:rPr>
            </w:pPr>
          </w:p>
        </w:tc>
        <w:tc>
          <w:tcPr>
            <w:tcW w:w="992" w:type="dxa"/>
            <w:tcBorders>
              <w:bottom w:val="single" w:sz="4" w:space="0" w:color="auto"/>
            </w:tcBorders>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lastRenderedPageBreak/>
              <w:t>Fully Achieved</w:t>
            </w:r>
          </w:p>
        </w:tc>
      </w:tr>
      <w:tr w:rsidR="00C215DD" w:rsidRPr="00C215DD" w:rsidTr="00CD26D6">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C215DD">
            <w:pPr>
              <w:keepNext/>
              <w:keepLines/>
              <w:tabs>
                <w:tab w:val="left" w:pos="1452"/>
              </w:tabs>
              <w:spacing w:before="120" w:after="120"/>
              <w:ind w:left="1452" w:hanging="1452"/>
              <w:rPr>
                <w:rFonts w:cs="Arial"/>
                <w:b/>
                <w:bCs/>
                <w:sz w:val="16"/>
                <w:szCs w:val="16"/>
              </w:rPr>
            </w:pPr>
            <w:r w:rsidRPr="00C215DD">
              <w:rPr>
                <w:rFonts w:cs="Arial"/>
                <w:b/>
                <w:bCs/>
                <w:sz w:val="16"/>
                <w:szCs w:val="16"/>
              </w:rPr>
              <w:lastRenderedPageBreak/>
              <w:t>Expected Result:</w:t>
            </w:r>
            <w:r w:rsidRPr="00C215DD">
              <w:rPr>
                <w:rFonts w:cs="Arial"/>
                <w:b/>
                <w:bCs/>
                <w:sz w:val="16"/>
                <w:szCs w:val="16"/>
              </w:rPr>
              <w:tab/>
            </w:r>
            <w:r w:rsidRPr="00C215DD">
              <w:rPr>
                <w:rFonts w:cs="Arial"/>
                <w:sz w:val="16"/>
                <w:szCs w:val="16"/>
                <w:lang w:bidi="th-TH"/>
              </w:rPr>
              <w:t xml:space="preserve">Tailored and balanced IP legislative, regulatory and policy frameworks  </w:t>
            </w:r>
          </w:p>
        </w:tc>
      </w:tr>
      <w:tr w:rsidR="00A55957" w:rsidRPr="00C215DD" w:rsidTr="00CD26D6">
        <w:tc>
          <w:tcPr>
            <w:tcW w:w="1881" w:type="dxa"/>
            <w:gridSpan w:val="2"/>
            <w:tcBorders>
              <w:top w:val="single" w:sz="4" w:space="0" w:color="auto"/>
            </w:tcBorders>
            <w:shd w:val="clear" w:color="auto" w:fill="auto"/>
            <w:vAlign w:val="center"/>
          </w:tcPr>
          <w:p w:rsidR="00C215DD" w:rsidRPr="00C215DD" w:rsidRDefault="00C215DD" w:rsidP="00C215DD">
            <w:pPr>
              <w:spacing w:after="40"/>
              <w:rPr>
                <w:rFonts w:cs="Arial"/>
                <w:sz w:val="16"/>
                <w:szCs w:val="16"/>
              </w:rPr>
            </w:pPr>
            <w:r w:rsidRPr="00C215DD">
              <w:rPr>
                <w:rFonts w:cs="Arial"/>
                <w:b/>
                <w:bCs/>
                <w:sz w:val="16"/>
                <w:szCs w:val="16"/>
              </w:rPr>
              <w:t>Performance Indicators</w:t>
            </w:r>
          </w:p>
        </w:tc>
        <w:tc>
          <w:tcPr>
            <w:tcW w:w="1995" w:type="dxa"/>
            <w:gridSpan w:val="2"/>
            <w:tcBorders>
              <w:top w:val="single" w:sz="4" w:space="0" w:color="auto"/>
            </w:tcBorders>
            <w:shd w:val="clear" w:color="auto" w:fill="auto"/>
            <w:vAlign w:val="center"/>
          </w:tcPr>
          <w:p w:rsidR="00C215DD" w:rsidRPr="00C215DD" w:rsidRDefault="00C215DD" w:rsidP="00C215DD">
            <w:pPr>
              <w:spacing w:after="40"/>
              <w:rPr>
                <w:rFonts w:cs="Arial"/>
                <w:b/>
                <w:bCs/>
                <w:sz w:val="16"/>
                <w:szCs w:val="16"/>
              </w:rPr>
            </w:pPr>
            <w:r w:rsidRPr="00C215DD">
              <w:rPr>
                <w:rFonts w:cs="Arial"/>
                <w:b/>
                <w:bCs/>
                <w:sz w:val="16"/>
                <w:szCs w:val="16"/>
              </w:rPr>
              <w:t>Baselines</w:t>
            </w:r>
          </w:p>
        </w:tc>
        <w:tc>
          <w:tcPr>
            <w:tcW w:w="1501" w:type="dxa"/>
            <w:gridSpan w:val="3"/>
            <w:tcBorders>
              <w:top w:val="single" w:sz="4" w:space="0" w:color="auto"/>
            </w:tcBorders>
            <w:shd w:val="clear" w:color="auto" w:fill="auto"/>
            <w:tcMar>
              <w:top w:w="110" w:type="dxa"/>
            </w:tcMar>
            <w:vAlign w:val="center"/>
          </w:tcPr>
          <w:p w:rsidR="00C215DD" w:rsidRPr="00C215DD" w:rsidRDefault="00C215DD" w:rsidP="00C215DD">
            <w:pPr>
              <w:spacing w:after="40"/>
              <w:rPr>
                <w:rFonts w:cs="Arial"/>
                <w:b/>
                <w:sz w:val="16"/>
                <w:szCs w:val="16"/>
              </w:rPr>
            </w:pPr>
            <w:r w:rsidRPr="00C215DD">
              <w:rPr>
                <w:rFonts w:cs="Arial"/>
                <w:b/>
                <w:sz w:val="16"/>
                <w:szCs w:val="16"/>
              </w:rPr>
              <w:t>Target</w:t>
            </w:r>
            <w:r w:rsidR="00E41397">
              <w:rPr>
                <w:rFonts w:cs="Arial"/>
                <w:b/>
                <w:sz w:val="16"/>
                <w:szCs w:val="16"/>
              </w:rPr>
              <w:t>s</w:t>
            </w:r>
          </w:p>
        </w:tc>
        <w:tc>
          <w:tcPr>
            <w:tcW w:w="2987" w:type="dxa"/>
            <w:gridSpan w:val="3"/>
            <w:tcBorders>
              <w:top w:val="single" w:sz="4" w:space="0" w:color="auto"/>
            </w:tcBorders>
            <w:shd w:val="clear" w:color="auto" w:fill="FFFFFF"/>
            <w:tcMar>
              <w:top w:w="110" w:type="dxa"/>
            </w:tcMar>
            <w:vAlign w:val="center"/>
          </w:tcPr>
          <w:p w:rsidR="00C215DD" w:rsidRPr="00C215DD" w:rsidRDefault="00C215DD" w:rsidP="00C215DD">
            <w:pPr>
              <w:spacing w:after="40"/>
              <w:rPr>
                <w:rFonts w:cs="Arial"/>
                <w:sz w:val="16"/>
                <w:szCs w:val="16"/>
              </w:rPr>
            </w:pPr>
            <w:r w:rsidRPr="00C215DD">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C215DD" w:rsidRDefault="00C215DD" w:rsidP="00C215DD">
            <w:pPr>
              <w:keepNext/>
              <w:keepLines/>
              <w:spacing w:after="40"/>
              <w:jc w:val="center"/>
              <w:rPr>
                <w:rFonts w:cs="Arial"/>
                <w:b/>
                <w:bCs/>
                <w:sz w:val="16"/>
                <w:szCs w:val="16"/>
              </w:rPr>
            </w:pPr>
            <w:r w:rsidRPr="00C215DD">
              <w:rPr>
                <w:rFonts w:cs="Arial"/>
                <w:b/>
                <w:bCs/>
                <w:sz w:val="16"/>
                <w:szCs w:val="16"/>
              </w:rPr>
              <w:t>TLS</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requests for and types of legislative advice related to patents, utility models, trade secrets and integrated circuits, including relevant IP flexibilities</w:t>
            </w:r>
          </w:p>
        </w:tc>
        <w:tc>
          <w:tcPr>
            <w:tcW w:w="1995" w:type="dxa"/>
            <w:gridSpan w:val="2"/>
            <w:shd w:val="clear" w:color="auto" w:fill="auto"/>
          </w:tcPr>
          <w:p w:rsidR="00C215DD" w:rsidRPr="00C215DD" w:rsidRDefault="00C215DD" w:rsidP="00C215DD">
            <w:pPr>
              <w:rPr>
                <w:rFonts w:cs="Arial"/>
                <w:i/>
                <w:sz w:val="16"/>
                <w:szCs w:val="16"/>
                <w:lang w:bidi="th-TH"/>
              </w:rPr>
            </w:pPr>
            <w:r w:rsidRPr="00C215DD">
              <w:rPr>
                <w:rFonts w:cs="Arial"/>
                <w:i/>
                <w:color w:val="002060"/>
                <w:sz w:val="16"/>
                <w:szCs w:val="16"/>
              </w:rPr>
              <w:t>Updated Baseline end 2011:</w:t>
            </w:r>
            <w:r w:rsidR="007E1C6F">
              <w:rPr>
                <w:rFonts w:cs="Arial"/>
                <w:color w:val="002060"/>
                <w:sz w:val="16"/>
                <w:szCs w:val="16"/>
              </w:rPr>
              <w:t xml:space="preserve">  </w:t>
            </w:r>
            <w:r w:rsidRPr="00C215DD">
              <w:rPr>
                <w:rFonts w:cs="Arial"/>
                <w:color w:val="002060"/>
                <w:sz w:val="16"/>
                <w:szCs w:val="16"/>
                <w:lang w:bidi="th-TH"/>
              </w:rPr>
              <w:t>In 2011, 10</w:t>
            </w:r>
            <w:r w:rsidR="007E1C6F">
              <w:rPr>
                <w:rFonts w:cs="Arial"/>
                <w:color w:val="002060"/>
                <w:sz w:val="16"/>
                <w:szCs w:val="16"/>
                <w:lang w:bidi="th-TH"/>
              </w:rPr>
              <w:t> </w:t>
            </w:r>
            <w:r w:rsidRPr="00C215DD">
              <w:rPr>
                <w:rFonts w:cs="Arial"/>
                <w:color w:val="002060"/>
                <w:sz w:val="16"/>
                <w:szCs w:val="16"/>
                <w:lang w:bidi="th-TH"/>
              </w:rPr>
              <w:t>written comments were provided to Member States. In addition, 8 events were organized, to discuss, revise and draft legal texts or to analyze policy options</w:t>
            </w:r>
          </w:p>
          <w:p w:rsidR="00C215DD" w:rsidRPr="00C215DD" w:rsidRDefault="00C215DD" w:rsidP="00C215DD">
            <w:pPr>
              <w:rPr>
                <w:rFonts w:cs="Arial"/>
                <w:i/>
                <w:sz w:val="16"/>
                <w:szCs w:val="16"/>
                <w:lang w:bidi="th-TH"/>
              </w:rPr>
            </w:pPr>
          </w:p>
          <w:p w:rsidR="00C215DD" w:rsidRPr="00C215DD" w:rsidRDefault="00C215DD" w:rsidP="00C215DD">
            <w:pPr>
              <w:rPr>
                <w:rFonts w:cs="Arial"/>
                <w:sz w:val="16"/>
                <w:szCs w:val="16"/>
                <w:lang w:bidi="th-TH"/>
              </w:rPr>
            </w:pPr>
            <w:r w:rsidRPr="00C215DD">
              <w:rPr>
                <w:rFonts w:cs="Arial"/>
                <w:i/>
                <w:sz w:val="16"/>
                <w:szCs w:val="16"/>
                <w:lang w:bidi="th-TH"/>
              </w:rPr>
              <w:t>Original Baseline P&amp;B 2012/13:</w:t>
            </w:r>
            <w:r w:rsidR="007E1C6F">
              <w:rPr>
                <w:rFonts w:cs="Arial"/>
                <w:sz w:val="16"/>
                <w:szCs w:val="16"/>
                <w:lang w:bidi="th-TH"/>
              </w:rPr>
              <w:t xml:space="preserve">  </w:t>
            </w:r>
            <w:r w:rsidRPr="00C215DD">
              <w:rPr>
                <w:rFonts w:cs="Arial"/>
                <w:sz w:val="16"/>
                <w:szCs w:val="16"/>
                <w:lang w:bidi="th-TH"/>
              </w:rPr>
              <w:t>In 2010, 12 comments were provided to Member States</w:t>
            </w:r>
          </w:p>
        </w:tc>
        <w:tc>
          <w:tcPr>
            <w:tcW w:w="1501" w:type="dxa"/>
            <w:gridSpan w:val="3"/>
            <w:shd w:val="clear" w:color="auto" w:fill="auto"/>
            <w:tcMar>
              <w:top w:w="110" w:type="dxa"/>
            </w:tcMar>
          </w:tcPr>
          <w:p w:rsidR="00C215DD" w:rsidRPr="007E1C6F" w:rsidRDefault="00C215DD" w:rsidP="00C215DD">
            <w:pPr>
              <w:rPr>
                <w:rFonts w:cs="Arial"/>
                <w:sz w:val="16"/>
                <w:szCs w:val="16"/>
                <w:lang w:bidi="th-TH"/>
              </w:rPr>
            </w:pPr>
            <w:r w:rsidRPr="007E1C6F">
              <w:rPr>
                <w:rFonts w:cs="Arial"/>
                <w:sz w:val="16"/>
                <w:szCs w:val="16"/>
                <w:lang w:bidi="th-TH"/>
              </w:rPr>
              <w:t>25 comments on</w:t>
            </w:r>
          </w:p>
          <w:p w:rsidR="00C215DD" w:rsidRPr="007E1C6F" w:rsidRDefault="00C215DD" w:rsidP="00C215DD">
            <w:pPr>
              <w:rPr>
                <w:rFonts w:cs="Arial"/>
                <w:sz w:val="16"/>
                <w:szCs w:val="16"/>
                <w:lang w:bidi="th-TH"/>
              </w:rPr>
            </w:pPr>
            <w:r w:rsidRPr="007E1C6F">
              <w:rPr>
                <w:rFonts w:cs="Arial"/>
                <w:sz w:val="16"/>
                <w:szCs w:val="16"/>
                <w:lang w:bidi="th-TH"/>
              </w:rPr>
              <w:t>drafts prepared by</w:t>
            </w:r>
            <w:r w:rsidR="007E1C6F">
              <w:rPr>
                <w:rFonts w:cs="Arial"/>
                <w:sz w:val="16"/>
                <w:szCs w:val="16"/>
                <w:lang w:bidi="th-TH"/>
              </w:rPr>
              <w:t xml:space="preserve"> </w:t>
            </w:r>
            <w:r w:rsidRPr="007E1C6F">
              <w:rPr>
                <w:rFonts w:cs="Arial"/>
                <w:sz w:val="16"/>
                <w:szCs w:val="16"/>
                <w:lang w:bidi="th-TH"/>
              </w:rPr>
              <w:t>Member States and 10</w:t>
            </w:r>
            <w:r w:rsidR="007E1C6F">
              <w:rPr>
                <w:rFonts w:cs="Arial"/>
                <w:sz w:val="16"/>
                <w:szCs w:val="16"/>
                <w:lang w:bidi="th-TH"/>
              </w:rPr>
              <w:t> </w:t>
            </w:r>
            <w:r w:rsidRPr="007E1C6F">
              <w:rPr>
                <w:rFonts w:cs="Arial"/>
                <w:sz w:val="16"/>
                <w:szCs w:val="16"/>
                <w:lang w:bidi="th-TH"/>
              </w:rPr>
              <w:t>draft laws prepared by</w:t>
            </w:r>
            <w:r w:rsidR="007E1C6F">
              <w:rPr>
                <w:rFonts w:cs="Arial"/>
                <w:sz w:val="16"/>
                <w:szCs w:val="16"/>
                <w:lang w:bidi="th-TH"/>
              </w:rPr>
              <w:t xml:space="preserve"> </w:t>
            </w:r>
            <w:r w:rsidRPr="007E1C6F">
              <w:rPr>
                <w:rFonts w:cs="Arial"/>
                <w:sz w:val="16"/>
                <w:szCs w:val="16"/>
                <w:lang w:bidi="th-TH"/>
              </w:rPr>
              <w:t>the Secretariat</w:t>
            </w:r>
            <w:r w:rsidR="007E1C6F">
              <w:rPr>
                <w:rFonts w:cs="Arial"/>
                <w:sz w:val="16"/>
                <w:szCs w:val="16"/>
                <w:lang w:bidi="th-TH"/>
              </w:rPr>
              <w:t xml:space="preserve"> </w:t>
            </w:r>
            <w:r w:rsidRPr="007E1C6F">
              <w:rPr>
                <w:rFonts w:cs="Arial"/>
                <w:sz w:val="16"/>
                <w:szCs w:val="16"/>
                <w:lang w:bidi="th-TH"/>
              </w:rPr>
              <w:t>(in 2012/13)</w:t>
            </w:r>
            <w:r w:rsidR="007E1C6F">
              <w:rPr>
                <w:rFonts w:cs="Arial"/>
                <w:sz w:val="16"/>
                <w:szCs w:val="16"/>
                <w:lang w:bidi="th-TH"/>
              </w:rPr>
              <w:t xml:space="preserve"> </w:t>
            </w:r>
            <w:r w:rsidRPr="007E1C6F">
              <w:rPr>
                <w:rFonts w:cs="Arial"/>
                <w:sz w:val="16"/>
                <w:szCs w:val="16"/>
                <w:lang w:bidi="th-TH"/>
              </w:rPr>
              <w:t>(regional breakdown</w:t>
            </w:r>
            <w:r w:rsidR="007E1C6F">
              <w:rPr>
                <w:rFonts w:cs="Arial"/>
                <w:sz w:val="16"/>
                <w:szCs w:val="16"/>
                <w:lang w:bidi="th-TH"/>
              </w:rPr>
              <w:t xml:space="preserve"> </w:t>
            </w:r>
            <w:r w:rsidRPr="007E1C6F">
              <w:rPr>
                <w:rFonts w:cs="Arial"/>
                <w:sz w:val="16"/>
                <w:szCs w:val="16"/>
                <w:lang w:bidi="th-TH"/>
              </w:rPr>
              <w:t>tbd)</w:t>
            </w:r>
          </w:p>
        </w:tc>
        <w:tc>
          <w:tcPr>
            <w:tcW w:w="2987" w:type="dxa"/>
            <w:gridSpan w:val="3"/>
            <w:shd w:val="clear" w:color="auto" w:fill="FFFFFF"/>
            <w:tcMar>
              <w:top w:w="110" w:type="dxa"/>
            </w:tcMar>
          </w:tcPr>
          <w:p w:rsidR="00C215DD" w:rsidRPr="007E1C6F" w:rsidRDefault="00C215DD" w:rsidP="00C215DD">
            <w:pPr>
              <w:jc w:val="both"/>
              <w:rPr>
                <w:rFonts w:cs="Arial"/>
                <w:sz w:val="16"/>
                <w:szCs w:val="16"/>
                <w:lang w:bidi="th-TH"/>
              </w:rPr>
            </w:pPr>
            <w:r w:rsidRPr="007E1C6F">
              <w:rPr>
                <w:rFonts w:cs="Arial"/>
                <w:sz w:val="16"/>
                <w:szCs w:val="16"/>
                <w:lang w:bidi="th-TH"/>
              </w:rPr>
              <w:t>18 written comments/drafts of patent laws were provided to Member States</w:t>
            </w:r>
          </w:p>
          <w:p w:rsidR="00C215DD" w:rsidRPr="007E1C6F" w:rsidRDefault="00C215DD" w:rsidP="007E1C6F">
            <w:pPr>
              <w:pStyle w:val="ListParagraph"/>
              <w:numPr>
                <w:ilvl w:val="0"/>
                <w:numId w:val="26"/>
              </w:numPr>
              <w:ind w:left="336" w:hanging="284"/>
              <w:jc w:val="both"/>
              <w:rPr>
                <w:rFonts w:cs="Arial"/>
                <w:sz w:val="16"/>
                <w:szCs w:val="16"/>
                <w:lang w:bidi="th-TH"/>
              </w:rPr>
            </w:pPr>
            <w:r w:rsidRPr="007E1C6F">
              <w:rPr>
                <w:rFonts w:cs="Arial"/>
                <w:sz w:val="16"/>
                <w:szCs w:val="16"/>
                <w:lang w:bidi="th-TH"/>
              </w:rPr>
              <w:t xml:space="preserve">Africa (3) </w:t>
            </w:r>
          </w:p>
          <w:p w:rsidR="00C215DD" w:rsidRPr="007E1C6F" w:rsidRDefault="00C215DD" w:rsidP="007E1C6F">
            <w:pPr>
              <w:pStyle w:val="ListParagraph"/>
              <w:numPr>
                <w:ilvl w:val="0"/>
                <w:numId w:val="26"/>
              </w:numPr>
              <w:ind w:left="336" w:hanging="284"/>
              <w:jc w:val="both"/>
              <w:rPr>
                <w:rFonts w:cs="Arial"/>
                <w:sz w:val="16"/>
                <w:szCs w:val="16"/>
                <w:lang w:bidi="th-TH"/>
              </w:rPr>
            </w:pPr>
            <w:r w:rsidRPr="007E1C6F">
              <w:rPr>
                <w:rFonts w:cs="Arial"/>
                <w:sz w:val="16"/>
                <w:szCs w:val="16"/>
                <w:lang w:bidi="th-TH"/>
              </w:rPr>
              <w:t>Asia and the Pacific (9)</w:t>
            </w:r>
          </w:p>
          <w:p w:rsidR="00C215DD" w:rsidRPr="007E1C6F" w:rsidRDefault="00C215DD" w:rsidP="007E1C6F">
            <w:pPr>
              <w:pStyle w:val="ListParagraph"/>
              <w:numPr>
                <w:ilvl w:val="0"/>
                <w:numId w:val="26"/>
              </w:numPr>
              <w:ind w:left="336" w:hanging="284"/>
              <w:rPr>
                <w:rFonts w:cs="Arial"/>
                <w:sz w:val="16"/>
                <w:szCs w:val="16"/>
                <w:lang w:bidi="th-TH"/>
              </w:rPr>
            </w:pPr>
            <w:r w:rsidRPr="007E1C6F">
              <w:rPr>
                <w:rFonts w:cs="Arial"/>
                <w:sz w:val="16"/>
                <w:szCs w:val="16"/>
                <w:lang w:bidi="th-TH"/>
              </w:rPr>
              <w:t>Latin America and the Caribbean (6)</w:t>
            </w:r>
          </w:p>
          <w:p w:rsidR="007E1C6F" w:rsidRPr="007E1C6F" w:rsidRDefault="007E1C6F" w:rsidP="007E1C6F">
            <w:pPr>
              <w:pStyle w:val="ListParagraph"/>
              <w:ind w:left="336"/>
              <w:rPr>
                <w:rFonts w:cs="Arial"/>
                <w:sz w:val="8"/>
                <w:szCs w:val="8"/>
                <w:lang w:bidi="th-TH"/>
              </w:rPr>
            </w:pPr>
          </w:p>
          <w:p w:rsidR="00C215DD" w:rsidRPr="007E1C6F" w:rsidRDefault="00C215DD" w:rsidP="00C215DD">
            <w:pPr>
              <w:rPr>
                <w:rFonts w:cs="Arial"/>
                <w:sz w:val="16"/>
                <w:szCs w:val="16"/>
                <w:lang w:bidi="th-TH"/>
              </w:rPr>
            </w:pPr>
            <w:r w:rsidRPr="007E1C6F">
              <w:rPr>
                <w:rFonts w:cs="Arial"/>
                <w:sz w:val="16"/>
                <w:szCs w:val="16"/>
                <w:lang w:bidi="th-TH"/>
              </w:rPr>
              <w:t xml:space="preserve">Additionally, with the aim to discuss, revise and draft legal texts or to analyze policy options, an increasing number of consultations with authorities and other stakeholders were organized </w:t>
            </w:r>
          </w:p>
          <w:p w:rsidR="00C215DD" w:rsidRPr="007E1C6F" w:rsidRDefault="00C215DD" w:rsidP="007E1C6F">
            <w:pPr>
              <w:pStyle w:val="ListParagraph"/>
              <w:numPr>
                <w:ilvl w:val="0"/>
                <w:numId w:val="27"/>
              </w:numPr>
              <w:ind w:left="336" w:hanging="283"/>
              <w:jc w:val="both"/>
              <w:rPr>
                <w:rFonts w:cs="Arial"/>
                <w:sz w:val="16"/>
                <w:szCs w:val="16"/>
                <w:lang w:bidi="th-TH"/>
              </w:rPr>
            </w:pPr>
            <w:r w:rsidRPr="007E1C6F">
              <w:rPr>
                <w:rFonts w:cs="Arial"/>
                <w:sz w:val="16"/>
                <w:szCs w:val="16"/>
                <w:lang w:bidi="th-TH"/>
              </w:rPr>
              <w:t>Africa (4)</w:t>
            </w:r>
          </w:p>
          <w:p w:rsidR="007E1C6F" w:rsidRPr="007E1C6F" w:rsidRDefault="00C215DD" w:rsidP="007E1C6F">
            <w:pPr>
              <w:pStyle w:val="ListParagraph"/>
              <w:numPr>
                <w:ilvl w:val="0"/>
                <w:numId w:val="27"/>
              </w:numPr>
              <w:ind w:left="336" w:hanging="283"/>
              <w:jc w:val="both"/>
              <w:rPr>
                <w:rFonts w:cs="Arial"/>
                <w:sz w:val="16"/>
                <w:szCs w:val="16"/>
                <w:lang w:bidi="th-TH"/>
              </w:rPr>
            </w:pPr>
            <w:r w:rsidRPr="007E1C6F">
              <w:rPr>
                <w:rFonts w:cs="Arial"/>
                <w:sz w:val="16"/>
                <w:szCs w:val="16"/>
                <w:lang w:bidi="th-TH"/>
              </w:rPr>
              <w:t>Asia and the Pacific (9)</w:t>
            </w:r>
          </w:p>
          <w:p w:rsidR="00C215DD" w:rsidRPr="007E1C6F" w:rsidRDefault="00C215DD" w:rsidP="007E1C6F">
            <w:pPr>
              <w:pStyle w:val="ListParagraph"/>
              <w:numPr>
                <w:ilvl w:val="0"/>
                <w:numId w:val="27"/>
              </w:numPr>
              <w:ind w:left="336" w:hanging="283"/>
              <w:jc w:val="both"/>
              <w:rPr>
                <w:rFonts w:cs="Arial"/>
                <w:sz w:val="16"/>
                <w:szCs w:val="16"/>
                <w:lang w:bidi="th-TH"/>
              </w:rPr>
            </w:pPr>
            <w:r w:rsidRPr="007E1C6F">
              <w:rPr>
                <w:rFonts w:cs="Arial"/>
                <w:sz w:val="16"/>
                <w:szCs w:val="16"/>
                <w:lang w:bidi="th-TH"/>
              </w:rPr>
              <w:t>Latin America and the Caribbean (7)</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countries which found WIPO's legislative advice related to patents, utility models, trade secrets and integrated circuits useful</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Not available</w:t>
            </w:r>
          </w:p>
        </w:tc>
        <w:tc>
          <w:tcPr>
            <w:tcW w:w="1501" w:type="dxa"/>
            <w:gridSpan w:val="3"/>
            <w:shd w:val="clear" w:color="auto" w:fill="auto"/>
            <w:tcMar>
              <w:top w:w="110" w:type="dxa"/>
            </w:tcMar>
          </w:tcPr>
          <w:p w:rsidR="00C215DD" w:rsidRPr="007E1C6F" w:rsidRDefault="00C215DD" w:rsidP="00C215DD">
            <w:pPr>
              <w:rPr>
                <w:rFonts w:cs="Arial"/>
                <w:sz w:val="16"/>
                <w:szCs w:val="16"/>
                <w:lang w:bidi="th-TH"/>
              </w:rPr>
            </w:pPr>
            <w:r w:rsidRPr="007E1C6F">
              <w:rPr>
                <w:rFonts w:cs="Arial"/>
                <w:sz w:val="16"/>
                <w:szCs w:val="16"/>
              </w:rPr>
              <w:t>90%</w:t>
            </w:r>
          </w:p>
        </w:tc>
        <w:tc>
          <w:tcPr>
            <w:tcW w:w="2987" w:type="dxa"/>
            <w:gridSpan w:val="3"/>
            <w:shd w:val="clear" w:color="auto" w:fill="FFFFFF"/>
            <w:tcMar>
              <w:top w:w="110" w:type="dxa"/>
            </w:tcMar>
          </w:tcPr>
          <w:p w:rsidR="00C215DD" w:rsidRPr="007E1C6F" w:rsidRDefault="00C215DD" w:rsidP="00C215DD">
            <w:pPr>
              <w:rPr>
                <w:rFonts w:cs="Arial"/>
                <w:sz w:val="16"/>
                <w:szCs w:val="16"/>
                <w:lang w:bidi="th-TH"/>
              </w:rPr>
            </w:pPr>
            <w:r w:rsidRPr="007E1C6F">
              <w:rPr>
                <w:rFonts w:cs="Arial"/>
                <w:sz w:val="16"/>
                <w:szCs w:val="16"/>
                <w:lang w:bidi="th-TH"/>
              </w:rPr>
              <w:t>A survey conducted by IAOD covering a representative number of Member States which were recipients of legislative advice provided by WIPO, as well as evaluation questionnaires received by the Secretariat showed a level of satisfaction above 90% concerning the quality of the assistance provided.  A mechanism for systematic evaluation has been put in place for the biennium 2014/15</w:t>
            </w:r>
            <w:r w:rsidR="007E1C6F">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 of countries which found the provided information concerning the legal principles and practices of the patent system, including the flexibilities existing in the system and the challenges it faces, useful</w:t>
            </w:r>
            <w:r w:rsidR="00DB489B">
              <w:rPr>
                <w:rFonts w:cs="Arial"/>
                <w:sz w:val="16"/>
                <w:szCs w:val="16"/>
                <w:lang w:bidi="th-TH"/>
              </w:rPr>
              <w:br/>
            </w:r>
          </w:p>
        </w:tc>
        <w:tc>
          <w:tcPr>
            <w:tcW w:w="1995" w:type="dxa"/>
            <w:gridSpan w:val="2"/>
            <w:shd w:val="clear" w:color="auto" w:fill="auto"/>
          </w:tcPr>
          <w:p w:rsidR="00C215DD" w:rsidRPr="00C215DD" w:rsidRDefault="00C215DD" w:rsidP="00C215DD">
            <w:pPr>
              <w:rPr>
                <w:rFonts w:cs="Arial"/>
                <w:color w:val="002060"/>
                <w:sz w:val="16"/>
                <w:szCs w:val="16"/>
                <w:lang w:bidi="th-TH"/>
              </w:rPr>
            </w:pPr>
            <w:r w:rsidRPr="00C215DD">
              <w:rPr>
                <w:rFonts w:cs="Arial"/>
                <w:i/>
                <w:color w:val="002060"/>
                <w:sz w:val="16"/>
                <w:szCs w:val="16"/>
              </w:rPr>
              <w:t>Updated Baseline end 2011:</w:t>
            </w:r>
            <w:r w:rsidR="007E1C6F">
              <w:rPr>
                <w:rFonts w:cs="Arial"/>
                <w:color w:val="002060"/>
                <w:sz w:val="16"/>
                <w:szCs w:val="16"/>
              </w:rPr>
              <w:t xml:space="preserve">  </w:t>
            </w:r>
            <w:r w:rsidRPr="00C215DD">
              <w:rPr>
                <w:rFonts w:cs="Arial"/>
                <w:color w:val="002060"/>
                <w:sz w:val="16"/>
                <w:szCs w:val="16"/>
                <w:lang w:bidi="th-TH"/>
              </w:rPr>
              <w:t>SCP and CDIP reports provide feedback from Member States (no statistics available)</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lang w:bidi="th-TH"/>
              </w:rPr>
            </w:pPr>
            <w:r w:rsidRPr="00C215DD">
              <w:rPr>
                <w:rFonts w:cs="Arial"/>
                <w:i/>
                <w:sz w:val="16"/>
                <w:szCs w:val="16"/>
                <w:lang w:bidi="th-TH"/>
              </w:rPr>
              <w:t>Original Baseline P&amp;B 2012/13:</w:t>
            </w:r>
            <w:r w:rsidR="007E1C6F">
              <w:rPr>
                <w:rFonts w:cs="Arial"/>
                <w:sz w:val="16"/>
                <w:szCs w:val="16"/>
                <w:lang w:bidi="th-TH"/>
              </w:rPr>
              <w:t xml:space="preserve">  </w:t>
            </w:r>
            <w:r w:rsidRPr="00C215DD">
              <w:rPr>
                <w:rFonts w:cs="Arial"/>
                <w:sz w:val="16"/>
                <w:szCs w:val="16"/>
                <w:lang w:bidi="th-TH"/>
              </w:rPr>
              <w:t>Not available</w:t>
            </w:r>
          </w:p>
        </w:tc>
        <w:tc>
          <w:tcPr>
            <w:tcW w:w="1501" w:type="dxa"/>
            <w:gridSpan w:val="3"/>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rPr>
              <w:t>90%</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All feedback received indicated that the provided information was useful.  According to a survey conducted in conjunction with the IAOD evaluation of Program 1, more than 90% of respondents rated the quality of substantive documents prepared by the Secretariat “excellent” or “good”</w:t>
            </w:r>
            <w:r w:rsidR="007E1C6F">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DB489B">
            <w:pPr>
              <w:keepNext/>
              <w:keepLines/>
              <w:rPr>
                <w:rFonts w:cs="Arial"/>
                <w:sz w:val="16"/>
                <w:szCs w:val="16"/>
                <w:lang w:bidi="th-TH"/>
              </w:rPr>
            </w:pPr>
            <w:r w:rsidRPr="00C215DD">
              <w:rPr>
                <w:rFonts w:cs="Arial"/>
                <w:sz w:val="16"/>
                <w:szCs w:val="16"/>
                <w:lang w:bidi="th-TH"/>
              </w:rPr>
              <w:lastRenderedPageBreak/>
              <w:t xml:space="preserve">% of satisfied participants in targeted workshops/ seminars held on specific patent-related questions </w:t>
            </w:r>
          </w:p>
        </w:tc>
        <w:tc>
          <w:tcPr>
            <w:tcW w:w="1995" w:type="dxa"/>
            <w:gridSpan w:val="2"/>
            <w:shd w:val="clear" w:color="auto" w:fill="auto"/>
          </w:tcPr>
          <w:p w:rsidR="00C215DD" w:rsidRPr="00C215DD" w:rsidRDefault="00C215DD" w:rsidP="00DB489B">
            <w:pPr>
              <w:keepNext/>
              <w:keepLines/>
              <w:rPr>
                <w:rFonts w:cs="Arial"/>
                <w:sz w:val="16"/>
                <w:szCs w:val="16"/>
                <w:lang w:bidi="th-TH"/>
              </w:rPr>
            </w:pPr>
            <w:r w:rsidRPr="00C215DD">
              <w:rPr>
                <w:rFonts w:cs="Arial"/>
                <w:sz w:val="16"/>
                <w:szCs w:val="16"/>
                <w:lang w:bidi="th-TH"/>
              </w:rPr>
              <w:t>Not available</w:t>
            </w:r>
          </w:p>
        </w:tc>
        <w:tc>
          <w:tcPr>
            <w:tcW w:w="1501" w:type="dxa"/>
            <w:gridSpan w:val="3"/>
            <w:shd w:val="clear" w:color="auto" w:fill="auto"/>
            <w:tcMar>
              <w:top w:w="110" w:type="dxa"/>
            </w:tcMar>
          </w:tcPr>
          <w:p w:rsidR="00C215DD" w:rsidRPr="007E1C6F" w:rsidRDefault="00C215DD" w:rsidP="00DB489B">
            <w:pPr>
              <w:keepNext/>
              <w:keepLines/>
              <w:rPr>
                <w:rFonts w:cs="Arial"/>
                <w:sz w:val="16"/>
                <w:szCs w:val="16"/>
                <w:lang w:bidi="th-TH"/>
              </w:rPr>
            </w:pPr>
            <w:r w:rsidRPr="007E1C6F">
              <w:rPr>
                <w:rFonts w:cs="Arial"/>
                <w:sz w:val="16"/>
                <w:szCs w:val="16"/>
              </w:rPr>
              <w:t>90%</w:t>
            </w:r>
          </w:p>
        </w:tc>
        <w:tc>
          <w:tcPr>
            <w:tcW w:w="2987" w:type="dxa"/>
            <w:gridSpan w:val="3"/>
            <w:shd w:val="clear" w:color="auto" w:fill="FFFFFF"/>
            <w:tcMar>
              <w:top w:w="110" w:type="dxa"/>
            </w:tcMar>
          </w:tcPr>
          <w:p w:rsidR="00C215DD" w:rsidRPr="007E1C6F" w:rsidRDefault="00C215DD" w:rsidP="00DB489B">
            <w:pPr>
              <w:keepNext/>
              <w:keepLines/>
              <w:rPr>
                <w:rFonts w:cs="Arial"/>
                <w:sz w:val="16"/>
                <w:szCs w:val="16"/>
                <w:lang w:bidi="th-TH"/>
              </w:rPr>
            </w:pPr>
            <w:r w:rsidRPr="007E1C6F">
              <w:rPr>
                <w:rFonts w:cs="Arial"/>
                <w:sz w:val="16"/>
                <w:szCs w:val="16"/>
              </w:rPr>
              <w:t>92.5%</w:t>
            </w:r>
            <w:r w:rsidRPr="007E1C6F" w:rsidDel="00935016">
              <w:rPr>
                <w:rFonts w:cs="Arial"/>
                <w:sz w:val="16"/>
                <w:szCs w:val="16"/>
              </w:rPr>
              <w:t xml:space="preserve"> </w:t>
            </w:r>
            <w:r w:rsidRPr="007E1C6F">
              <w:rPr>
                <w:rFonts w:cs="Arial"/>
                <w:sz w:val="16"/>
                <w:szCs w:val="16"/>
              </w:rPr>
              <w:t xml:space="preserve">of participants in </w:t>
            </w:r>
            <w:r w:rsidRPr="007E1C6F">
              <w:rPr>
                <w:rFonts w:cs="Arial"/>
                <w:sz w:val="16"/>
                <w:szCs w:val="16"/>
                <w:lang w:bidi="th-TH"/>
              </w:rPr>
              <w:t>workshops/seminars organized by the Program</w:t>
            </w:r>
            <w:r w:rsidRPr="007E1C6F">
              <w:rPr>
                <w:rFonts w:cs="Arial"/>
                <w:sz w:val="16"/>
                <w:szCs w:val="16"/>
              </w:rPr>
              <w:t xml:space="preserve"> were satisfied with the organized events. </w:t>
            </w:r>
          </w:p>
        </w:tc>
        <w:tc>
          <w:tcPr>
            <w:tcW w:w="992" w:type="dxa"/>
            <w:shd w:val="clear" w:color="auto" w:fill="auto"/>
            <w:tcMar>
              <w:top w:w="110" w:type="dxa"/>
            </w:tcMar>
          </w:tcPr>
          <w:p w:rsidR="00C215DD" w:rsidRPr="00C215DD" w:rsidRDefault="00C215DD" w:rsidP="00DB489B">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 xml:space="preserve">No. of Member States having received legislative advice in the area of trademarks, industrial designs and geographical indications </w:t>
            </w:r>
          </w:p>
        </w:tc>
        <w:tc>
          <w:tcPr>
            <w:tcW w:w="1995" w:type="dxa"/>
            <w:gridSpan w:val="2"/>
            <w:shd w:val="clear" w:color="auto" w:fill="auto"/>
          </w:tcPr>
          <w:p w:rsidR="00C215DD" w:rsidRPr="00C215DD" w:rsidRDefault="00C215DD" w:rsidP="00C215DD">
            <w:pPr>
              <w:rPr>
                <w:rFonts w:cs="Arial"/>
                <w:color w:val="002060"/>
                <w:sz w:val="16"/>
                <w:szCs w:val="16"/>
                <w:lang w:bidi="th-TH"/>
              </w:rPr>
            </w:pPr>
            <w:r w:rsidRPr="00C215DD">
              <w:rPr>
                <w:rFonts w:cs="Arial"/>
                <w:i/>
                <w:color w:val="002060"/>
                <w:sz w:val="16"/>
                <w:szCs w:val="16"/>
              </w:rPr>
              <w:t>Updated Baseline end 2011:</w:t>
            </w:r>
            <w:r w:rsidRPr="00C215DD">
              <w:rPr>
                <w:rFonts w:cs="Arial"/>
                <w:color w:val="002060"/>
                <w:sz w:val="16"/>
                <w:szCs w:val="16"/>
              </w:rPr>
              <w:br/>
            </w:r>
            <w:r w:rsidRPr="00C215DD">
              <w:rPr>
                <w:rFonts w:cs="Arial"/>
                <w:color w:val="002060"/>
                <w:sz w:val="16"/>
                <w:szCs w:val="16"/>
                <w:lang w:bidi="th-TH"/>
              </w:rPr>
              <w:t>19 (2010)</w:t>
            </w:r>
          </w:p>
          <w:p w:rsidR="00C215DD" w:rsidRPr="00C215DD" w:rsidRDefault="00C215DD" w:rsidP="00C215DD">
            <w:pPr>
              <w:rPr>
                <w:rFonts w:cs="Arial"/>
                <w:color w:val="002060"/>
                <w:sz w:val="16"/>
                <w:szCs w:val="16"/>
                <w:lang w:bidi="th-TH"/>
              </w:rPr>
            </w:pPr>
            <w:r w:rsidRPr="00C215DD">
              <w:rPr>
                <w:rFonts w:cs="Arial"/>
                <w:color w:val="002060"/>
                <w:sz w:val="16"/>
                <w:szCs w:val="16"/>
                <w:lang w:bidi="th-TH"/>
              </w:rPr>
              <w:t>20 (2011)</w:t>
            </w:r>
          </w:p>
          <w:p w:rsidR="00C215DD" w:rsidRPr="007E1C6F" w:rsidRDefault="00C215DD" w:rsidP="00C215DD">
            <w:pPr>
              <w:rPr>
                <w:rFonts w:cs="Arial"/>
                <w:i/>
                <w:sz w:val="8"/>
                <w:szCs w:val="8"/>
                <w:lang w:bidi="th-TH"/>
              </w:rPr>
            </w:pPr>
          </w:p>
          <w:p w:rsidR="00C215DD" w:rsidRPr="00C215DD" w:rsidRDefault="00C215DD" w:rsidP="00C215DD">
            <w:pPr>
              <w:rPr>
                <w:rFonts w:cs="Arial"/>
                <w:i/>
                <w:sz w:val="16"/>
                <w:szCs w:val="16"/>
                <w:lang w:bidi="th-TH"/>
              </w:rPr>
            </w:pPr>
            <w:r w:rsidRPr="00C215DD">
              <w:rPr>
                <w:rFonts w:cs="Arial"/>
                <w:i/>
                <w:sz w:val="16"/>
                <w:szCs w:val="16"/>
                <w:lang w:bidi="th-TH"/>
              </w:rPr>
              <w:t>Original Baseline P&amp;B 2012/13:</w:t>
            </w:r>
          </w:p>
          <w:p w:rsidR="00C215DD" w:rsidRPr="00C215DD" w:rsidRDefault="00C215DD" w:rsidP="00C215DD">
            <w:pPr>
              <w:rPr>
                <w:rFonts w:cs="Arial"/>
                <w:sz w:val="16"/>
                <w:szCs w:val="16"/>
                <w:lang w:bidi="th-TH"/>
              </w:rPr>
            </w:pPr>
            <w:r w:rsidRPr="00C215DD">
              <w:rPr>
                <w:rFonts w:cs="Arial"/>
                <w:sz w:val="16"/>
                <w:szCs w:val="16"/>
                <w:lang w:bidi="th-TH"/>
              </w:rPr>
              <w:t>18 (2010)</w:t>
            </w:r>
          </w:p>
          <w:p w:rsidR="00C215DD" w:rsidRPr="00C215DD" w:rsidRDefault="00C215DD" w:rsidP="00C215DD">
            <w:pPr>
              <w:rPr>
                <w:rFonts w:cs="Arial"/>
                <w:sz w:val="16"/>
                <w:szCs w:val="16"/>
                <w:lang w:bidi="th-TH"/>
              </w:rPr>
            </w:pPr>
            <w:r w:rsidRPr="00C215DD">
              <w:rPr>
                <w:rFonts w:cs="Arial"/>
                <w:sz w:val="16"/>
                <w:szCs w:val="16"/>
                <w:lang w:bidi="th-TH"/>
              </w:rPr>
              <w:t>19 (2011)</w:t>
            </w:r>
          </w:p>
        </w:tc>
        <w:tc>
          <w:tcPr>
            <w:tcW w:w="1501" w:type="dxa"/>
            <w:gridSpan w:val="3"/>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Legislative advice</w:t>
            </w:r>
          </w:p>
          <w:p w:rsidR="00C215DD" w:rsidRPr="00C215DD" w:rsidRDefault="00C215DD" w:rsidP="00C215DD">
            <w:pPr>
              <w:rPr>
                <w:rFonts w:cs="Arial"/>
                <w:sz w:val="16"/>
                <w:szCs w:val="16"/>
                <w:lang w:bidi="th-TH"/>
              </w:rPr>
            </w:pPr>
            <w:r w:rsidRPr="00C215DD">
              <w:rPr>
                <w:rFonts w:cs="Arial"/>
                <w:sz w:val="16"/>
                <w:szCs w:val="16"/>
                <w:lang w:bidi="th-TH"/>
              </w:rPr>
              <w:t>provided to 38</w:t>
            </w:r>
            <w:r w:rsidR="007E1C6F">
              <w:rPr>
                <w:rFonts w:cs="Arial"/>
                <w:sz w:val="16"/>
                <w:szCs w:val="16"/>
                <w:lang w:bidi="th-TH"/>
              </w:rPr>
              <w:t xml:space="preserve"> </w:t>
            </w:r>
            <w:r w:rsidRPr="00C215DD">
              <w:rPr>
                <w:rFonts w:cs="Arial"/>
                <w:sz w:val="16"/>
                <w:szCs w:val="16"/>
                <w:lang w:bidi="th-TH"/>
              </w:rPr>
              <w:t>Member States and/or Regional Groups of</w:t>
            </w:r>
            <w:r w:rsidR="007E1C6F">
              <w:rPr>
                <w:rFonts w:cs="Arial"/>
                <w:sz w:val="16"/>
                <w:szCs w:val="16"/>
                <w:lang w:bidi="th-TH"/>
              </w:rPr>
              <w:t xml:space="preserve"> </w:t>
            </w:r>
            <w:r w:rsidRPr="00C215DD">
              <w:rPr>
                <w:rFonts w:cs="Arial"/>
                <w:sz w:val="16"/>
                <w:szCs w:val="16"/>
                <w:lang w:bidi="th-TH"/>
              </w:rPr>
              <w:t>Member States (in</w:t>
            </w:r>
            <w:r>
              <w:rPr>
                <w:rFonts w:cs="Arial"/>
                <w:sz w:val="16"/>
                <w:szCs w:val="16"/>
                <w:lang w:bidi="th-TH"/>
              </w:rPr>
              <w:t xml:space="preserve"> </w:t>
            </w:r>
            <w:r w:rsidRPr="00C215DD">
              <w:rPr>
                <w:rFonts w:cs="Arial"/>
                <w:sz w:val="16"/>
                <w:szCs w:val="16"/>
                <w:lang w:bidi="th-TH"/>
              </w:rPr>
              <w:t>2012/13) (regional breakdown tbd)</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 xml:space="preserve">2012: </w:t>
            </w:r>
            <w:r w:rsidR="007E1C6F">
              <w:rPr>
                <w:rFonts w:cs="Arial"/>
                <w:sz w:val="16"/>
                <w:szCs w:val="16"/>
                <w:lang w:bidi="th-TH"/>
              </w:rPr>
              <w:t xml:space="preserve"> </w:t>
            </w:r>
            <w:r w:rsidRPr="00C215DD">
              <w:rPr>
                <w:rFonts w:cs="Arial"/>
                <w:sz w:val="16"/>
                <w:szCs w:val="16"/>
                <w:lang w:bidi="th-TH"/>
              </w:rPr>
              <w:t>Advice was provided to 11 Member States on 18 individual pieces of draft legislation (Africa 2</w:t>
            </w:r>
            <w:proofErr w:type="gramStart"/>
            <w:r w:rsidRPr="00C215DD">
              <w:rPr>
                <w:rFonts w:cs="Arial"/>
                <w:sz w:val="16"/>
                <w:szCs w:val="16"/>
                <w:lang w:bidi="th-TH"/>
              </w:rPr>
              <w:t xml:space="preserve">; </w:t>
            </w:r>
            <w:r w:rsidR="007E1C6F">
              <w:rPr>
                <w:rFonts w:cs="Arial"/>
                <w:sz w:val="16"/>
                <w:szCs w:val="16"/>
                <w:lang w:bidi="th-TH"/>
              </w:rPr>
              <w:t xml:space="preserve"> </w:t>
            </w:r>
            <w:r w:rsidRPr="00C215DD">
              <w:rPr>
                <w:rFonts w:cs="Arial"/>
                <w:sz w:val="16"/>
                <w:szCs w:val="16"/>
                <w:lang w:bidi="th-TH"/>
              </w:rPr>
              <w:t>Arab</w:t>
            </w:r>
            <w:proofErr w:type="gramEnd"/>
            <w:r w:rsidRPr="00C215DD">
              <w:rPr>
                <w:rFonts w:cs="Arial"/>
                <w:sz w:val="16"/>
                <w:szCs w:val="16"/>
                <w:lang w:bidi="th-TH"/>
              </w:rPr>
              <w:t xml:space="preserve"> 1;</w:t>
            </w:r>
            <w:r w:rsidR="007E1C6F">
              <w:rPr>
                <w:rFonts w:cs="Arial"/>
                <w:sz w:val="16"/>
                <w:szCs w:val="16"/>
                <w:lang w:bidi="th-TH"/>
              </w:rPr>
              <w:t xml:space="preserve"> </w:t>
            </w:r>
            <w:r w:rsidRPr="00C215DD">
              <w:rPr>
                <w:rFonts w:cs="Arial"/>
                <w:sz w:val="16"/>
                <w:szCs w:val="16"/>
                <w:lang w:bidi="th-TH"/>
              </w:rPr>
              <w:t xml:space="preserve"> Asia and the Pacific 1; </w:t>
            </w:r>
            <w:r w:rsidR="007E1C6F">
              <w:rPr>
                <w:rFonts w:cs="Arial"/>
                <w:sz w:val="16"/>
                <w:szCs w:val="16"/>
                <w:lang w:bidi="th-TH"/>
              </w:rPr>
              <w:t xml:space="preserve"> </w:t>
            </w:r>
            <w:r w:rsidRPr="00C215DD">
              <w:rPr>
                <w:rFonts w:cs="Arial"/>
                <w:sz w:val="16"/>
                <w:szCs w:val="16"/>
                <w:lang w:bidi="th-TH"/>
              </w:rPr>
              <w:t>Latin America and the Caribbean 7)</w:t>
            </w:r>
            <w:r w:rsidR="007E1C6F">
              <w:rPr>
                <w:rFonts w:cs="Arial"/>
                <w:sz w:val="16"/>
                <w:szCs w:val="16"/>
                <w:lang w:bidi="th-TH"/>
              </w:rPr>
              <w:t>.</w:t>
            </w:r>
          </w:p>
          <w:p w:rsidR="00C215DD" w:rsidRPr="007E1C6F"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2013: Advice was provided to 13 Member States on 18 individual pieces of draft legislation (Africa 2, Latin America and Caribbean 3 and Asia and the Pacific 8) in 2013</w:t>
            </w:r>
            <w:r w:rsidR="007E1C6F">
              <w:rPr>
                <w:rFonts w:cs="Arial"/>
                <w:sz w:val="16"/>
                <w:szCs w:val="16"/>
                <w:lang w:bidi="th-TH"/>
              </w:rPr>
              <w:t>.</w:t>
            </w:r>
          </w:p>
        </w:tc>
        <w:tc>
          <w:tcPr>
            <w:tcW w:w="992" w:type="dxa"/>
            <w:shd w:val="clear" w:color="auto" w:fill="auto"/>
            <w:tcMar>
              <w:top w:w="110" w:type="dxa"/>
            </w:tcMar>
          </w:tcPr>
          <w:p w:rsidR="00C215DD" w:rsidRPr="00C215DD" w:rsidRDefault="003912D5" w:rsidP="00C215DD">
            <w:pPr>
              <w:keepNext/>
              <w:keepLines/>
              <w:jc w:val="center"/>
              <w:rPr>
                <w:rFonts w:cs="Arial"/>
                <w:bCs/>
                <w:color w:val="008000"/>
                <w:sz w:val="16"/>
                <w:szCs w:val="16"/>
              </w:rPr>
            </w:pPr>
            <w:r w:rsidRPr="00C215DD">
              <w:rPr>
                <w:rFonts w:cs="Arial"/>
                <w:bCs/>
                <w:color w:val="E36C0A" w:themeColor="accent6" w:themeShade="BF"/>
                <w:sz w:val="16"/>
                <w:szCs w:val="16"/>
              </w:rPr>
              <w:t xml:space="preserve">Partially  </w:t>
            </w:r>
            <w:r>
              <w:rPr>
                <w:rFonts w:cs="Arial"/>
                <w:bCs/>
                <w:color w:val="E36C0A" w:themeColor="accent6" w:themeShade="BF"/>
                <w:sz w:val="16"/>
                <w:szCs w:val="16"/>
              </w:rPr>
              <w:t>A</w:t>
            </w:r>
            <w:r w:rsidRPr="00C215DD">
              <w:rPr>
                <w:rFonts w:cs="Arial"/>
                <w:bCs/>
                <w:color w:val="E36C0A" w:themeColor="accent6" w:themeShade="BF"/>
                <w:sz w:val="16"/>
                <w:szCs w:val="16"/>
              </w:rPr>
              <w:t>chieved</w:t>
            </w:r>
          </w:p>
        </w:tc>
      </w:tr>
      <w:tr w:rsidR="00C215DD" w:rsidRPr="00C215DD" w:rsidTr="001428E9">
        <w:tc>
          <w:tcPr>
            <w:tcW w:w="1881" w:type="dxa"/>
            <w:gridSpan w:val="2"/>
            <w:shd w:val="clear" w:color="auto" w:fill="FFFFFF"/>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 xml:space="preserve">No. of countries providing positive feedback on the usefulness of the provided legislative advice in the area of trademarks, industrial designs and geographical indications </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Data not available</w:t>
            </w:r>
          </w:p>
        </w:tc>
        <w:tc>
          <w:tcPr>
            <w:tcW w:w="1501" w:type="dxa"/>
            <w:gridSpan w:val="3"/>
            <w:shd w:val="clear" w:color="auto" w:fill="auto"/>
            <w:tcMar>
              <w:top w:w="110" w:type="dxa"/>
            </w:tcMar>
          </w:tcPr>
          <w:p w:rsidR="00C215DD" w:rsidRPr="007E1C6F" w:rsidRDefault="00C215DD" w:rsidP="00C215DD">
            <w:pPr>
              <w:rPr>
                <w:rFonts w:cs="Arial"/>
                <w:sz w:val="16"/>
                <w:szCs w:val="16"/>
                <w:lang w:bidi="th-TH"/>
              </w:rPr>
            </w:pPr>
            <w:r w:rsidRPr="007E1C6F">
              <w:rPr>
                <w:rFonts w:cs="Arial"/>
                <w:sz w:val="16"/>
                <w:szCs w:val="16"/>
              </w:rPr>
              <w:t>70%</w:t>
            </w:r>
          </w:p>
        </w:tc>
        <w:tc>
          <w:tcPr>
            <w:tcW w:w="2987" w:type="dxa"/>
            <w:gridSpan w:val="3"/>
            <w:shd w:val="clear" w:color="auto" w:fill="FFFFFF"/>
            <w:tcMar>
              <w:top w:w="110" w:type="dxa"/>
            </w:tcMar>
          </w:tcPr>
          <w:p w:rsidR="00C215DD" w:rsidRPr="007E1C6F" w:rsidRDefault="00C215DD" w:rsidP="00C215DD">
            <w:pPr>
              <w:rPr>
                <w:rFonts w:cs="Arial"/>
                <w:sz w:val="16"/>
                <w:szCs w:val="16"/>
                <w:lang w:bidi="th-TH"/>
              </w:rPr>
            </w:pPr>
            <w:r w:rsidRPr="007E1C6F">
              <w:rPr>
                <w:rFonts w:cs="Arial"/>
                <w:sz w:val="16"/>
                <w:szCs w:val="16"/>
                <w:lang w:bidi="th-TH"/>
              </w:rPr>
              <w:t>Positive feedback received from nine out of 13 countries.  Four countries did not reply</w:t>
            </w:r>
            <w:r w:rsidR="007E1C6F" w:rsidRPr="007E1C6F">
              <w:rPr>
                <w:rFonts w:cs="Arial"/>
                <w:sz w:val="16"/>
                <w:szCs w:val="16"/>
                <w:lang w:bidi="th-TH"/>
              </w:rPr>
              <w:t>.</w:t>
            </w: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CD26D6">
        <w:tc>
          <w:tcPr>
            <w:tcW w:w="1881" w:type="dxa"/>
            <w:gridSpan w:val="2"/>
            <w:tcBorders>
              <w:bottom w:val="single" w:sz="4" w:space="0" w:color="auto"/>
            </w:tcBorders>
            <w:shd w:val="clear" w:color="auto" w:fill="FFFFFF"/>
          </w:tcPr>
          <w:p w:rsidR="00C215DD" w:rsidRPr="00C215DD" w:rsidRDefault="00C215DD" w:rsidP="00C215DD">
            <w:pPr>
              <w:rPr>
                <w:rFonts w:cs="Arial"/>
                <w:color w:val="000000"/>
                <w:sz w:val="16"/>
                <w:szCs w:val="16"/>
                <w:lang w:bidi="th-TH"/>
              </w:rPr>
            </w:pPr>
            <w:r w:rsidRPr="00C215DD">
              <w:rPr>
                <w:rFonts w:cs="Arial"/>
                <w:color w:val="000000"/>
                <w:sz w:val="16"/>
                <w:szCs w:val="16"/>
                <w:lang w:bidi="th-TH"/>
              </w:rPr>
              <w:t>No. of countries provided with technical assistance on new or updated legislative frameworks for effective enforcement, taking into account flexibilities in Part III of TRIPS</w:t>
            </w:r>
          </w:p>
        </w:tc>
        <w:tc>
          <w:tcPr>
            <w:tcW w:w="1995" w:type="dxa"/>
            <w:gridSpan w:val="2"/>
            <w:tcBorders>
              <w:bottom w:val="single" w:sz="4" w:space="0" w:color="auto"/>
            </w:tcBorders>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One regional group (Africa)</w:t>
            </w:r>
            <w:r w:rsidRPr="00C215DD">
              <w:rPr>
                <w:rFonts w:cs="Arial"/>
                <w:sz w:val="16"/>
                <w:szCs w:val="16"/>
                <w:lang w:bidi="th-TH"/>
              </w:rPr>
              <w:br/>
              <w:t>One country (Asia)</w:t>
            </w:r>
          </w:p>
        </w:tc>
        <w:tc>
          <w:tcPr>
            <w:tcW w:w="1501" w:type="dxa"/>
            <w:gridSpan w:val="3"/>
            <w:tcBorders>
              <w:bottom w:val="single" w:sz="4" w:space="0" w:color="auto"/>
            </w:tcBorders>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Four countries</w:t>
            </w:r>
          </w:p>
          <w:p w:rsidR="00C215DD" w:rsidRPr="00C215DD" w:rsidRDefault="00C215DD" w:rsidP="00C215DD">
            <w:pPr>
              <w:rPr>
                <w:rFonts w:cs="Arial"/>
                <w:sz w:val="16"/>
                <w:szCs w:val="16"/>
                <w:lang w:bidi="th-TH"/>
              </w:rPr>
            </w:pPr>
            <w:r w:rsidRPr="00C215DD">
              <w:rPr>
                <w:rFonts w:cs="Arial"/>
                <w:sz w:val="16"/>
                <w:szCs w:val="16"/>
                <w:lang w:bidi="th-TH"/>
              </w:rPr>
              <w:t>(in 2012/13)</w:t>
            </w:r>
          </w:p>
        </w:tc>
        <w:tc>
          <w:tcPr>
            <w:tcW w:w="2987" w:type="dxa"/>
            <w:gridSpan w:val="3"/>
            <w:tcBorders>
              <w:bottom w:val="single" w:sz="4" w:space="0" w:color="auto"/>
            </w:tcBorders>
            <w:shd w:val="clear" w:color="auto" w:fill="FFFFFF"/>
            <w:tcMar>
              <w:top w:w="110" w:type="dxa"/>
            </w:tcMar>
          </w:tcPr>
          <w:p w:rsidR="00C215DD" w:rsidRPr="00C215DD" w:rsidRDefault="00C215DD" w:rsidP="005703CF">
            <w:pPr>
              <w:pStyle w:val="ListParagraph"/>
              <w:numPr>
                <w:ilvl w:val="0"/>
                <w:numId w:val="19"/>
              </w:numPr>
              <w:ind w:left="315" w:hanging="315"/>
              <w:rPr>
                <w:rFonts w:cs="Arial"/>
                <w:sz w:val="16"/>
                <w:szCs w:val="16"/>
                <w:lang w:bidi="th-TH"/>
              </w:rPr>
            </w:pPr>
            <w:r w:rsidRPr="00C215DD">
              <w:rPr>
                <w:rFonts w:cs="Arial"/>
                <w:sz w:val="16"/>
                <w:szCs w:val="16"/>
                <w:lang w:bidi="th-TH"/>
              </w:rPr>
              <w:t>One regional group (Africa) and nine countries</w:t>
            </w:r>
            <w:r w:rsidR="007E1C6F">
              <w:rPr>
                <w:rFonts w:cs="Arial"/>
                <w:sz w:val="16"/>
                <w:szCs w:val="16"/>
                <w:lang w:bidi="th-TH"/>
              </w:rPr>
              <w:t xml:space="preserve"> </w:t>
            </w:r>
            <w:r w:rsidRPr="00C215DD">
              <w:rPr>
                <w:rFonts w:cs="Arial"/>
                <w:sz w:val="16"/>
                <w:szCs w:val="16"/>
                <w:lang w:bidi="th-TH"/>
              </w:rPr>
              <w:t>- Africa (3), Asia and the Pacific (5), Latin America and the Caribbean (1)</w:t>
            </w:r>
            <w:r w:rsidR="00112987">
              <w:rPr>
                <w:rFonts w:cs="Arial"/>
                <w:sz w:val="16"/>
                <w:szCs w:val="16"/>
                <w:lang w:bidi="th-TH"/>
              </w:rPr>
              <w:t xml:space="preserve"> </w:t>
            </w:r>
            <w:r w:rsidRPr="00C215DD">
              <w:rPr>
                <w:rFonts w:cs="Arial"/>
                <w:sz w:val="16"/>
                <w:szCs w:val="16"/>
                <w:lang w:bidi="th-TH"/>
              </w:rPr>
              <w:t>- were provided with legislative comments;</w:t>
            </w:r>
          </w:p>
          <w:p w:rsidR="00C215DD" w:rsidRPr="00C215DD" w:rsidRDefault="00C215DD" w:rsidP="005703CF">
            <w:pPr>
              <w:pStyle w:val="ListParagraph"/>
              <w:numPr>
                <w:ilvl w:val="0"/>
                <w:numId w:val="19"/>
              </w:numPr>
              <w:ind w:left="315" w:hanging="315"/>
              <w:rPr>
                <w:rFonts w:cs="Arial"/>
                <w:sz w:val="16"/>
                <w:szCs w:val="16"/>
                <w:lang w:bidi="th-TH"/>
              </w:rPr>
            </w:pPr>
            <w:r w:rsidRPr="00C215DD">
              <w:rPr>
                <w:rFonts w:cs="Arial"/>
                <w:sz w:val="16"/>
                <w:szCs w:val="16"/>
                <w:lang w:bidi="th-TH"/>
              </w:rPr>
              <w:t>Diagnostic missions were undertaken in two countries</w:t>
            </w:r>
            <w:r w:rsidR="00112987">
              <w:rPr>
                <w:rFonts w:cs="Arial"/>
                <w:sz w:val="16"/>
                <w:szCs w:val="16"/>
                <w:lang w:bidi="th-TH"/>
              </w:rPr>
              <w:t xml:space="preserve"> </w:t>
            </w:r>
            <w:r w:rsidRPr="00C215DD">
              <w:rPr>
                <w:rFonts w:cs="Arial"/>
                <w:sz w:val="16"/>
                <w:szCs w:val="16"/>
                <w:lang w:bidi="th-TH"/>
              </w:rPr>
              <w:t>- Africa (1) and Asia and the Pacific (1); Legal drafters of four Member States</w:t>
            </w:r>
            <w:r w:rsidR="00112987">
              <w:rPr>
                <w:rFonts w:cs="Arial"/>
                <w:sz w:val="16"/>
                <w:szCs w:val="16"/>
                <w:lang w:bidi="th-TH"/>
              </w:rPr>
              <w:t xml:space="preserve"> </w:t>
            </w:r>
            <w:r w:rsidRPr="00C215DD">
              <w:rPr>
                <w:rFonts w:cs="Arial"/>
                <w:sz w:val="16"/>
                <w:szCs w:val="16"/>
                <w:lang w:bidi="th-TH"/>
              </w:rPr>
              <w:t>- Africa (2) and Asia and the Pacific (2)</w:t>
            </w:r>
            <w:r w:rsidR="00112987">
              <w:rPr>
                <w:rFonts w:cs="Arial"/>
                <w:sz w:val="16"/>
                <w:szCs w:val="16"/>
                <w:lang w:bidi="th-TH"/>
              </w:rPr>
              <w:t xml:space="preserve"> </w:t>
            </w:r>
            <w:r w:rsidRPr="00C215DD">
              <w:rPr>
                <w:rFonts w:cs="Arial"/>
                <w:sz w:val="16"/>
                <w:szCs w:val="16"/>
                <w:lang w:bidi="th-TH"/>
              </w:rPr>
              <w:t>- were invited to Geneva</w:t>
            </w:r>
            <w:r w:rsidR="00112987">
              <w:rPr>
                <w:rFonts w:cs="Arial"/>
                <w:sz w:val="16"/>
                <w:szCs w:val="16"/>
                <w:lang w:bidi="th-TH"/>
              </w:rPr>
              <w:t>.</w:t>
            </w:r>
          </w:p>
          <w:p w:rsidR="00C215DD" w:rsidRPr="00DB489B" w:rsidRDefault="00C215DD" w:rsidP="00C215DD">
            <w:pPr>
              <w:rPr>
                <w:rFonts w:cs="Arial"/>
                <w:sz w:val="8"/>
                <w:szCs w:val="8"/>
                <w:lang w:bidi="th-TH"/>
              </w:rPr>
            </w:pPr>
          </w:p>
        </w:tc>
        <w:tc>
          <w:tcPr>
            <w:tcW w:w="992" w:type="dxa"/>
            <w:tcBorders>
              <w:bottom w:val="single" w:sz="4" w:space="0" w:color="auto"/>
            </w:tcBorders>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008000"/>
                <w:sz w:val="16"/>
                <w:szCs w:val="16"/>
              </w:rPr>
              <w:t>Fully Achieved</w:t>
            </w:r>
          </w:p>
        </w:tc>
      </w:tr>
      <w:tr w:rsidR="00C215DD" w:rsidRPr="00C215DD" w:rsidTr="00CD26D6">
        <w:tc>
          <w:tcPr>
            <w:tcW w:w="9356" w:type="dxa"/>
            <w:gridSpan w:val="11"/>
            <w:tcBorders>
              <w:top w:val="single" w:sz="4" w:space="0" w:color="auto"/>
              <w:bottom w:val="single" w:sz="4" w:space="0" w:color="auto"/>
            </w:tcBorders>
            <w:shd w:val="clear" w:color="auto" w:fill="CCFFFF"/>
            <w:vAlign w:val="center"/>
          </w:tcPr>
          <w:p w:rsidR="00C215DD" w:rsidRPr="00C215DD" w:rsidRDefault="00C215DD" w:rsidP="00C215DD">
            <w:pPr>
              <w:keepNext/>
              <w:keepLines/>
              <w:tabs>
                <w:tab w:val="left" w:pos="1452"/>
              </w:tabs>
              <w:spacing w:before="120" w:after="120"/>
              <w:ind w:left="1452" w:hanging="1452"/>
              <w:rPr>
                <w:rFonts w:cs="Arial"/>
                <w:b/>
                <w:bCs/>
                <w:sz w:val="16"/>
                <w:szCs w:val="16"/>
              </w:rPr>
            </w:pPr>
            <w:r w:rsidRPr="00C215DD">
              <w:rPr>
                <w:rFonts w:cs="Arial"/>
                <w:b/>
                <w:bCs/>
                <w:sz w:val="16"/>
                <w:szCs w:val="16"/>
              </w:rPr>
              <w:t>Expected Result:</w:t>
            </w:r>
            <w:r w:rsidRPr="00C215DD">
              <w:rPr>
                <w:rFonts w:cs="Arial"/>
                <w:b/>
                <w:bCs/>
                <w:sz w:val="16"/>
                <w:szCs w:val="16"/>
              </w:rPr>
              <w:tab/>
            </w:r>
            <w:r w:rsidRPr="00C215DD">
              <w:rPr>
                <w:rFonts w:cs="Arial"/>
                <w:sz w:val="16"/>
                <w:szCs w:val="16"/>
                <w:lang w:bidi="th-TH"/>
              </w:rPr>
              <w:t>New or strengthened cooperation mechanisms, programs and partnerships in LDCs</w:t>
            </w:r>
          </w:p>
        </w:tc>
      </w:tr>
      <w:tr w:rsidR="00112987" w:rsidRPr="00112987" w:rsidTr="00CD26D6">
        <w:tc>
          <w:tcPr>
            <w:tcW w:w="1881" w:type="dxa"/>
            <w:gridSpan w:val="2"/>
            <w:tcBorders>
              <w:top w:val="single" w:sz="4" w:space="0" w:color="auto"/>
            </w:tcBorders>
            <w:shd w:val="clear" w:color="auto" w:fill="auto"/>
            <w:vAlign w:val="center"/>
          </w:tcPr>
          <w:p w:rsidR="00C215DD" w:rsidRPr="00112987" w:rsidRDefault="00C215DD" w:rsidP="00112987">
            <w:pPr>
              <w:rPr>
                <w:rFonts w:cs="Arial"/>
                <w:sz w:val="16"/>
                <w:szCs w:val="16"/>
              </w:rPr>
            </w:pPr>
            <w:r w:rsidRPr="00112987">
              <w:rPr>
                <w:rFonts w:cs="Arial"/>
                <w:b/>
                <w:bCs/>
                <w:sz w:val="16"/>
                <w:szCs w:val="16"/>
              </w:rPr>
              <w:t>Performance Indicators</w:t>
            </w:r>
          </w:p>
        </w:tc>
        <w:tc>
          <w:tcPr>
            <w:tcW w:w="1995" w:type="dxa"/>
            <w:gridSpan w:val="2"/>
            <w:tcBorders>
              <w:top w:val="single" w:sz="4" w:space="0" w:color="auto"/>
            </w:tcBorders>
            <w:shd w:val="clear" w:color="auto" w:fill="auto"/>
            <w:vAlign w:val="center"/>
          </w:tcPr>
          <w:p w:rsidR="00C215DD" w:rsidRPr="00112987" w:rsidRDefault="00C215DD" w:rsidP="00112987">
            <w:pPr>
              <w:rPr>
                <w:rFonts w:cs="Arial"/>
                <w:b/>
                <w:bCs/>
                <w:sz w:val="16"/>
                <w:szCs w:val="16"/>
              </w:rPr>
            </w:pPr>
            <w:r w:rsidRPr="00112987">
              <w:rPr>
                <w:rFonts w:cs="Arial"/>
                <w:b/>
                <w:bCs/>
                <w:sz w:val="16"/>
                <w:szCs w:val="16"/>
              </w:rPr>
              <w:t>Baselines</w:t>
            </w:r>
          </w:p>
        </w:tc>
        <w:tc>
          <w:tcPr>
            <w:tcW w:w="1501" w:type="dxa"/>
            <w:gridSpan w:val="3"/>
            <w:tcBorders>
              <w:top w:val="single" w:sz="4" w:space="0" w:color="auto"/>
            </w:tcBorders>
            <w:shd w:val="clear" w:color="auto" w:fill="auto"/>
            <w:tcMar>
              <w:top w:w="110" w:type="dxa"/>
            </w:tcMar>
            <w:vAlign w:val="center"/>
          </w:tcPr>
          <w:p w:rsidR="00C215DD" w:rsidRPr="00112987" w:rsidRDefault="00C215DD" w:rsidP="00112987">
            <w:pPr>
              <w:rPr>
                <w:rFonts w:cs="Arial"/>
                <w:b/>
                <w:sz w:val="16"/>
                <w:szCs w:val="16"/>
              </w:rPr>
            </w:pPr>
            <w:r w:rsidRPr="00112987">
              <w:rPr>
                <w:rFonts w:cs="Arial"/>
                <w:b/>
                <w:sz w:val="16"/>
                <w:szCs w:val="16"/>
              </w:rPr>
              <w:t>Target</w:t>
            </w:r>
            <w:r w:rsidR="00E41397" w:rsidRPr="00112987">
              <w:rPr>
                <w:rFonts w:cs="Arial"/>
                <w:b/>
                <w:sz w:val="16"/>
                <w:szCs w:val="16"/>
              </w:rPr>
              <w:t>s</w:t>
            </w:r>
          </w:p>
        </w:tc>
        <w:tc>
          <w:tcPr>
            <w:tcW w:w="2987" w:type="dxa"/>
            <w:gridSpan w:val="3"/>
            <w:tcBorders>
              <w:top w:val="single" w:sz="4" w:space="0" w:color="auto"/>
            </w:tcBorders>
            <w:shd w:val="clear" w:color="auto" w:fill="FFFFFF"/>
            <w:tcMar>
              <w:top w:w="110" w:type="dxa"/>
            </w:tcMar>
            <w:vAlign w:val="center"/>
          </w:tcPr>
          <w:p w:rsidR="00C215DD" w:rsidRPr="00112987" w:rsidRDefault="00C215DD" w:rsidP="00112987">
            <w:pPr>
              <w:rPr>
                <w:rFonts w:cs="Arial"/>
                <w:sz w:val="16"/>
                <w:szCs w:val="16"/>
              </w:rPr>
            </w:pPr>
            <w:r w:rsidRPr="00112987">
              <w:rPr>
                <w:rFonts w:cs="Arial"/>
                <w:b/>
                <w:bCs/>
                <w:sz w:val="16"/>
                <w:szCs w:val="16"/>
              </w:rPr>
              <w:t>Performance Data</w:t>
            </w:r>
          </w:p>
        </w:tc>
        <w:tc>
          <w:tcPr>
            <w:tcW w:w="992" w:type="dxa"/>
            <w:tcBorders>
              <w:top w:val="single" w:sz="4" w:space="0" w:color="auto"/>
            </w:tcBorders>
            <w:shd w:val="clear" w:color="auto" w:fill="auto"/>
            <w:tcMar>
              <w:top w:w="110" w:type="dxa"/>
            </w:tcMar>
            <w:vAlign w:val="center"/>
          </w:tcPr>
          <w:p w:rsidR="00C215DD" w:rsidRPr="00112987" w:rsidRDefault="00C215DD" w:rsidP="00112987">
            <w:pPr>
              <w:keepNext/>
              <w:keepLines/>
              <w:jc w:val="center"/>
              <w:rPr>
                <w:rFonts w:cs="Arial"/>
                <w:b/>
                <w:bCs/>
                <w:sz w:val="16"/>
                <w:szCs w:val="16"/>
              </w:rPr>
            </w:pPr>
            <w:r w:rsidRPr="00112987">
              <w:rPr>
                <w:rFonts w:cs="Arial"/>
                <w:b/>
                <w:bCs/>
                <w:sz w:val="16"/>
                <w:szCs w:val="16"/>
              </w:rPr>
              <w:t>TLS</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No. of partnerships established in LDCs among governmental organizations, private sector, NGOs, and other development partners (LDCs)</w:t>
            </w:r>
          </w:p>
        </w:tc>
        <w:tc>
          <w:tcPr>
            <w:tcW w:w="1995" w:type="dxa"/>
            <w:gridSpan w:val="2"/>
            <w:shd w:val="clear" w:color="auto" w:fill="auto"/>
          </w:tcPr>
          <w:p w:rsidR="00C215DD" w:rsidRPr="00C215DD" w:rsidRDefault="00C215DD" w:rsidP="00C215DD">
            <w:pPr>
              <w:rPr>
                <w:rFonts w:cs="Arial"/>
                <w:i/>
                <w:sz w:val="16"/>
                <w:szCs w:val="16"/>
                <w:lang w:bidi="th-TH"/>
              </w:rPr>
            </w:pPr>
            <w:r w:rsidRPr="00C215DD">
              <w:rPr>
                <w:rFonts w:cs="Arial"/>
                <w:i/>
                <w:color w:val="002060"/>
                <w:sz w:val="16"/>
                <w:szCs w:val="16"/>
              </w:rPr>
              <w:t>Updated Baseline end 2011:</w:t>
            </w:r>
            <w:r w:rsidRPr="00C215DD">
              <w:rPr>
                <w:rFonts w:cs="Arial"/>
                <w:color w:val="002060"/>
                <w:sz w:val="16"/>
                <w:szCs w:val="16"/>
              </w:rPr>
              <w:br/>
            </w:r>
            <w:r w:rsidRPr="00C215DD">
              <w:rPr>
                <w:rFonts w:cs="Arial"/>
                <w:color w:val="002060"/>
                <w:sz w:val="16"/>
                <w:szCs w:val="16"/>
                <w:lang w:bidi="th-TH"/>
              </w:rPr>
              <w:t>Within the context of the DA Project on Appropriate Technology 3 expert groups, 3 multi stakeholders groups have been established (Total of 6) in Bangladesh, Nepal and Zambia composed of public and private sector</w:t>
            </w:r>
          </w:p>
          <w:p w:rsidR="00C215DD" w:rsidRPr="00C215DD" w:rsidRDefault="00C215DD" w:rsidP="00C215DD">
            <w:pPr>
              <w:rPr>
                <w:rFonts w:cs="Arial"/>
                <w:i/>
                <w:sz w:val="8"/>
                <w:szCs w:val="8"/>
                <w:lang w:bidi="th-TH"/>
              </w:rPr>
            </w:pPr>
          </w:p>
          <w:p w:rsidR="00C215DD" w:rsidRPr="00C215DD" w:rsidRDefault="00C215DD" w:rsidP="00C215DD">
            <w:pPr>
              <w:rPr>
                <w:rFonts w:cs="Arial"/>
                <w:sz w:val="16"/>
                <w:szCs w:val="16"/>
              </w:rPr>
            </w:pPr>
            <w:r w:rsidRPr="00C215DD">
              <w:rPr>
                <w:rFonts w:cs="Arial"/>
                <w:i/>
                <w:sz w:val="16"/>
                <w:szCs w:val="16"/>
                <w:lang w:bidi="th-TH"/>
              </w:rPr>
              <w:t>Original Baseline P&amp;B 2012/13:</w:t>
            </w:r>
            <w:r w:rsidRPr="00C215DD">
              <w:rPr>
                <w:rFonts w:cs="Arial"/>
                <w:sz w:val="16"/>
                <w:szCs w:val="16"/>
                <w:lang w:bidi="th-TH"/>
              </w:rPr>
              <w:t xml:space="preserve">  Nil</w:t>
            </w:r>
          </w:p>
        </w:tc>
        <w:tc>
          <w:tcPr>
            <w:tcW w:w="1501" w:type="dxa"/>
            <w:gridSpan w:val="3"/>
            <w:shd w:val="clear" w:color="auto" w:fill="auto"/>
            <w:tcMar>
              <w:top w:w="110" w:type="dxa"/>
            </w:tcMar>
          </w:tcPr>
          <w:p w:rsidR="00C215DD" w:rsidRPr="00C215DD" w:rsidRDefault="00C215DD" w:rsidP="00C215DD">
            <w:pPr>
              <w:autoSpaceDE w:val="0"/>
              <w:autoSpaceDN w:val="0"/>
              <w:adjustRightInd w:val="0"/>
              <w:rPr>
                <w:rFonts w:cs="Arial"/>
                <w:sz w:val="16"/>
                <w:szCs w:val="16"/>
              </w:rPr>
            </w:pPr>
            <w:r w:rsidRPr="00C215DD">
              <w:rPr>
                <w:rFonts w:cs="Arial"/>
                <w:sz w:val="16"/>
                <w:szCs w:val="16"/>
              </w:rPr>
              <w:t>Establishment of</w:t>
            </w:r>
            <w:r>
              <w:rPr>
                <w:rFonts w:cs="Arial"/>
                <w:sz w:val="16"/>
                <w:szCs w:val="16"/>
              </w:rPr>
              <w:t xml:space="preserve"> </w:t>
            </w:r>
            <w:r w:rsidRPr="00C215DD">
              <w:rPr>
                <w:rFonts w:cs="Arial"/>
                <w:sz w:val="16"/>
                <w:szCs w:val="16"/>
              </w:rPr>
              <w:t>partnerships in at least five LDCs</w:t>
            </w:r>
            <w:r w:rsidRPr="00C215DD" w:rsidDel="00C325DA">
              <w:rPr>
                <w:rFonts w:cs="Arial"/>
                <w:sz w:val="16"/>
                <w:szCs w:val="16"/>
                <w:lang w:bidi="th-TH"/>
              </w:rPr>
              <w:t xml:space="preserve"> </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Two new partnerships on appropriate technologies in Ethiopia and Uganda were initiated in 2013.</w:t>
            </w:r>
          </w:p>
          <w:p w:rsidR="00C215DD" w:rsidRPr="00320E32"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 xml:space="preserve">The partnerships initiated in Bangladesh, Nepal, and Zambia in 2011 </w:t>
            </w:r>
            <w:proofErr w:type="gramStart"/>
            <w:r w:rsidRPr="00C215DD">
              <w:rPr>
                <w:rFonts w:cs="Arial"/>
                <w:sz w:val="16"/>
                <w:szCs w:val="16"/>
                <w:lang w:bidi="th-TH"/>
              </w:rPr>
              <w:t>were</w:t>
            </w:r>
            <w:proofErr w:type="gramEnd"/>
            <w:r w:rsidRPr="00C215DD">
              <w:rPr>
                <w:rFonts w:cs="Arial"/>
                <w:sz w:val="16"/>
                <w:szCs w:val="16"/>
                <w:lang w:bidi="th-TH"/>
              </w:rPr>
              <w:t xml:space="preserve"> further strengthened in 2012/13 through the establishment of expert and multi-stakeholder groups on appropriate technologies.</w:t>
            </w:r>
          </w:p>
        </w:tc>
        <w:tc>
          <w:tcPr>
            <w:tcW w:w="992" w:type="dxa"/>
            <w:shd w:val="clear" w:color="auto" w:fill="auto"/>
            <w:tcMar>
              <w:top w:w="110" w:type="dxa"/>
            </w:tcMar>
          </w:tcPr>
          <w:p w:rsidR="00C215DD" w:rsidRPr="00C215DD" w:rsidRDefault="00C215DD" w:rsidP="00C215DD">
            <w:pPr>
              <w:jc w:val="center"/>
              <w:rPr>
                <w:rFonts w:cs="Arial"/>
                <w:sz w:val="16"/>
                <w:szCs w:val="16"/>
              </w:rPr>
            </w:pPr>
            <w:r w:rsidRPr="00C215DD">
              <w:rPr>
                <w:rFonts w:cs="Arial"/>
                <w:bCs/>
                <w:color w:val="008000"/>
                <w:sz w:val="16"/>
                <w:szCs w:val="16"/>
              </w:rPr>
              <w:t>Fully Achieved</w:t>
            </w:r>
          </w:p>
        </w:tc>
      </w:tr>
      <w:tr w:rsidR="00C215DD" w:rsidRPr="00C215DD" w:rsidTr="001428E9">
        <w:tc>
          <w:tcPr>
            <w:tcW w:w="1881" w:type="dxa"/>
            <w:gridSpan w:val="2"/>
            <w:shd w:val="clear" w:color="auto" w:fill="FFFFFF"/>
          </w:tcPr>
          <w:p w:rsidR="00C215DD" w:rsidRPr="00C215DD" w:rsidRDefault="00C215DD" w:rsidP="00C215DD">
            <w:pPr>
              <w:rPr>
                <w:rFonts w:cs="Arial"/>
                <w:sz w:val="16"/>
                <w:szCs w:val="16"/>
                <w:lang w:bidi="th-TH"/>
              </w:rPr>
            </w:pPr>
            <w:r w:rsidRPr="00C215DD">
              <w:rPr>
                <w:rFonts w:cs="Arial"/>
                <w:sz w:val="16"/>
                <w:szCs w:val="16"/>
                <w:lang w:bidi="th-TH"/>
              </w:rPr>
              <w:t xml:space="preserve">No. of IP programs implemented jointly with other UN bodies and other IGOs (LDCs) </w:t>
            </w:r>
          </w:p>
        </w:tc>
        <w:tc>
          <w:tcPr>
            <w:tcW w:w="1995" w:type="dxa"/>
            <w:gridSpan w:val="2"/>
            <w:shd w:val="clear" w:color="auto" w:fill="auto"/>
          </w:tcPr>
          <w:p w:rsidR="00C215DD" w:rsidRPr="00C215DD" w:rsidRDefault="00C215DD" w:rsidP="00C215DD">
            <w:pPr>
              <w:rPr>
                <w:rFonts w:cs="Arial"/>
                <w:sz w:val="16"/>
                <w:szCs w:val="16"/>
                <w:lang w:bidi="th-TH"/>
              </w:rPr>
            </w:pPr>
            <w:r w:rsidRPr="00C215DD">
              <w:rPr>
                <w:rFonts w:cs="Arial"/>
                <w:sz w:val="16"/>
                <w:szCs w:val="16"/>
                <w:lang w:bidi="th-TH"/>
              </w:rPr>
              <w:t>Cooperation with the UN and other Organizations:</w:t>
            </w:r>
          </w:p>
          <w:p w:rsidR="00C215DD" w:rsidRPr="00112987"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w:t>
            </w:r>
            <w:r w:rsidRPr="00C215DD">
              <w:rPr>
                <w:rFonts w:cs="Arial"/>
                <w:sz w:val="16"/>
                <w:szCs w:val="16"/>
                <w:lang w:bidi="th-TH"/>
              </w:rPr>
              <w:br w:type="page"/>
            </w:r>
            <w:r w:rsidRPr="00C215DD">
              <w:rPr>
                <w:rFonts w:cs="Arial"/>
                <w:sz w:val="16"/>
                <w:szCs w:val="16"/>
                <w:lang w:bidi="th-TH"/>
              </w:rPr>
              <w:br w:type="page"/>
              <w:t>i) UN LDC IV Conference, Istanbul, Turkey</w:t>
            </w:r>
          </w:p>
          <w:p w:rsidR="00C215DD" w:rsidRPr="00C215DD" w:rsidRDefault="00C215DD" w:rsidP="00C215DD">
            <w:pPr>
              <w:rPr>
                <w:rFonts w:cs="Arial"/>
                <w:sz w:val="16"/>
                <w:szCs w:val="16"/>
                <w:lang w:bidi="th-TH"/>
              </w:rPr>
            </w:pPr>
            <w:r w:rsidRPr="00C215DD">
              <w:rPr>
                <w:rFonts w:cs="Arial"/>
                <w:sz w:val="16"/>
                <w:szCs w:val="16"/>
                <w:lang w:bidi="th-TH"/>
              </w:rPr>
              <w:t>(</w:t>
            </w:r>
            <w:r w:rsidRPr="00C215DD">
              <w:rPr>
                <w:rFonts w:cs="Arial"/>
                <w:sz w:val="16"/>
                <w:szCs w:val="16"/>
                <w:lang w:bidi="th-TH"/>
              </w:rPr>
              <w:br w:type="page"/>
            </w:r>
            <w:r w:rsidRPr="00C215DD">
              <w:rPr>
                <w:rFonts w:cs="Arial"/>
                <w:sz w:val="16"/>
                <w:szCs w:val="16"/>
                <w:lang w:bidi="th-TH"/>
              </w:rPr>
              <w:br w:type="page"/>
              <w:t>ii) WTO organized TRIPS meetings in Senegal, Uganda and Bangladesh</w:t>
            </w:r>
          </w:p>
        </w:tc>
        <w:tc>
          <w:tcPr>
            <w:tcW w:w="1501" w:type="dxa"/>
            <w:gridSpan w:val="3"/>
            <w:shd w:val="clear" w:color="auto" w:fill="auto"/>
            <w:tcMar>
              <w:top w:w="110" w:type="dxa"/>
            </w:tcMar>
          </w:tcPr>
          <w:p w:rsidR="00C215DD" w:rsidRPr="00C215DD" w:rsidRDefault="00C215DD" w:rsidP="00C215DD">
            <w:pPr>
              <w:rPr>
                <w:rFonts w:cs="Arial"/>
                <w:sz w:val="16"/>
                <w:szCs w:val="16"/>
                <w:lang w:bidi="th-TH"/>
              </w:rPr>
            </w:pPr>
            <w:r w:rsidRPr="00C215DD">
              <w:rPr>
                <w:rFonts w:cs="Arial"/>
                <w:sz w:val="16"/>
                <w:szCs w:val="16"/>
                <w:lang w:bidi="th-TH"/>
              </w:rPr>
              <w:t>Two regional fora in</w:t>
            </w:r>
            <w:r w:rsidR="00112987">
              <w:rPr>
                <w:rFonts w:cs="Arial"/>
                <w:sz w:val="16"/>
                <w:szCs w:val="16"/>
                <w:lang w:bidi="th-TH"/>
              </w:rPr>
              <w:t xml:space="preserve"> </w:t>
            </w:r>
            <w:r w:rsidRPr="00C215DD">
              <w:rPr>
                <w:rFonts w:cs="Arial"/>
                <w:sz w:val="16"/>
                <w:szCs w:val="16"/>
                <w:lang w:bidi="th-TH"/>
              </w:rPr>
              <w:t>cooperation with the UN and two regional fora in cooperation</w:t>
            </w:r>
          </w:p>
          <w:p w:rsidR="00C215DD" w:rsidRPr="00C215DD" w:rsidRDefault="00C215DD" w:rsidP="00C215DD">
            <w:pPr>
              <w:rPr>
                <w:rFonts w:cs="Arial"/>
                <w:sz w:val="16"/>
                <w:szCs w:val="16"/>
                <w:lang w:bidi="th-TH"/>
              </w:rPr>
            </w:pPr>
            <w:r w:rsidRPr="00C215DD">
              <w:rPr>
                <w:rFonts w:cs="Arial"/>
                <w:sz w:val="16"/>
                <w:szCs w:val="16"/>
                <w:lang w:bidi="th-TH"/>
              </w:rPr>
              <w:t>with WTO</w:t>
            </w:r>
          </w:p>
        </w:tc>
        <w:tc>
          <w:tcPr>
            <w:tcW w:w="2987" w:type="dxa"/>
            <w:gridSpan w:val="3"/>
            <w:shd w:val="clear" w:color="auto" w:fill="FFFFFF"/>
            <w:tcMar>
              <w:top w:w="110" w:type="dxa"/>
            </w:tcMar>
          </w:tcPr>
          <w:p w:rsidR="00C215DD" w:rsidRPr="00C215DD" w:rsidRDefault="00C215DD" w:rsidP="00C215DD">
            <w:pPr>
              <w:rPr>
                <w:rFonts w:cs="Arial"/>
                <w:sz w:val="16"/>
                <w:szCs w:val="16"/>
                <w:lang w:bidi="th-TH"/>
              </w:rPr>
            </w:pPr>
            <w:r w:rsidRPr="00C215DD">
              <w:rPr>
                <w:rFonts w:cs="Arial"/>
                <w:sz w:val="16"/>
                <w:szCs w:val="16"/>
                <w:lang w:bidi="th-TH"/>
              </w:rPr>
              <w:t xml:space="preserve">WIPO cooperated with other organizations in the implementation of activities for the benefit of LDCs. </w:t>
            </w:r>
          </w:p>
          <w:p w:rsidR="00C215DD" w:rsidRPr="00C215DD"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Workshop on Intellectual Property and Priority Needs Assessment, Arusha, the United Republic of Tanzania, June 3-4, 2013 (WIPO, WTO and the Government of Tanzania)</w:t>
            </w:r>
            <w:r w:rsidR="00112987">
              <w:rPr>
                <w:rFonts w:cs="Arial"/>
                <w:sz w:val="16"/>
                <w:szCs w:val="16"/>
                <w:lang w:bidi="th-TH"/>
              </w:rPr>
              <w:t>.</w:t>
            </w:r>
          </w:p>
          <w:p w:rsidR="00C215DD" w:rsidRPr="00C215DD"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 xml:space="preserve">Round table on public-private partnership in the development and commercialization of appropriate technology, </w:t>
            </w:r>
            <w:proofErr w:type="gramStart"/>
            <w:r w:rsidRPr="00C215DD">
              <w:rPr>
                <w:rFonts w:cs="Arial"/>
                <w:sz w:val="16"/>
                <w:szCs w:val="16"/>
                <w:lang w:bidi="th-TH"/>
              </w:rPr>
              <w:t>Addis  Abba</w:t>
            </w:r>
            <w:proofErr w:type="gramEnd"/>
            <w:r w:rsidRPr="00C215DD">
              <w:rPr>
                <w:rFonts w:cs="Arial"/>
                <w:sz w:val="16"/>
                <w:szCs w:val="16"/>
                <w:lang w:bidi="th-TH"/>
              </w:rPr>
              <w:t>, Ethiopia (WIPO, Republic of Korea and the Government of Ethiopia)</w:t>
            </w:r>
            <w:r w:rsidR="00112987">
              <w:rPr>
                <w:rFonts w:cs="Arial"/>
                <w:sz w:val="16"/>
                <w:szCs w:val="16"/>
                <w:lang w:bidi="th-TH"/>
              </w:rPr>
              <w:t>.</w:t>
            </w:r>
          </w:p>
          <w:p w:rsidR="00C215DD" w:rsidRPr="00C215DD" w:rsidRDefault="00C215DD" w:rsidP="00C215DD">
            <w:pPr>
              <w:rPr>
                <w:rFonts w:cs="Arial"/>
                <w:sz w:val="16"/>
                <w:szCs w:val="16"/>
                <w:lang w:bidi="th-TH"/>
              </w:rPr>
            </w:pPr>
            <w:r w:rsidRPr="00C215DD">
              <w:rPr>
                <w:rFonts w:cs="Arial"/>
                <w:sz w:val="16"/>
                <w:szCs w:val="16"/>
                <w:lang w:bidi="th-TH"/>
              </w:rPr>
              <w:lastRenderedPageBreak/>
              <w:t>Economic Community of West African States and WIPO with the Government of Côte d'Ivoire– Ministerial Meeting, December 4-6, 2013.</w:t>
            </w:r>
          </w:p>
          <w:p w:rsidR="00C215DD" w:rsidRPr="00C215DD" w:rsidRDefault="00C215DD" w:rsidP="00C215DD">
            <w:pPr>
              <w:rPr>
                <w:rFonts w:cs="Arial"/>
                <w:sz w:val="8"/>
                <w:szCs w:val="8"/>
                <w:lang w:bidi="th-TH"/>
              </w:rPr>
            </w:pPr>
          </w:p>
          <w:p w:rsidR="00C215DD" w:rsidRDefault="00C215DD" w:rsidP="00C215DD">
            <w:pPr>
              <w:rPr>
                <w:rFonts w:cs="Arial"/>
                <w:sz w:val="16"/>
                <w:szCs w:val="16"/>
                <w:lang w:bidi="th-TH"/>
              </w:rPr>
            </w:pPr>
            <w:r w:rsidRPr="00C215DD">
              <w:rPr>
                <w:rFonts w:cs="Arial"/>
                <w:sz w:val="16"/>
                <w:szCs w:val="16"/>
                <w:lang w:bidi="th-TH"/>
              </w:rPr>
              <w:t>WIPO participated in Inter-Agency Consultative Group Meetings organized by the United Nations Office of the High Representative for the Least Developed Countries, Landlocked Developing Countries and Small Island Developing States (UN-OHRLLS) - a UN system consultative process on UN’s cooperation with LDCs</w:t>
            </w:r>
            <w:r w:rsidR="00112987">
              <w:rPr>
                <w:rFonts w:cs="Arial"/>
                <w:sz w:val="16"/>
                <w:szCs w:val="16"/>
                <w:lang w:bidi="th-TH"/>
              </w:rPr>
              <w:t>.</w:t>
            </w:r>
            <w:r w:rsidRPr="00C215DD">
              <w:rPr>
                <w:rFonts w:cs="Arial"/>
                <w:sz w:val="16"/>
                <w:szCs w:val="16"/>
                <w:lang w:bidi="th-TH"/>
              </w:rPr>
              <w:t xml:space="preserve"> </w:t>
            </w:r>
          </w:p>
          <w:p w:rsidR="00C215DD" w:rsidRPr="00C215DD" w:rsidRDefault="00C215DD" w:rsidP="00C215DD">
            <w:pPr>
              <w:rPr>
                <w:rFonts w:cs="Arial"/>
                <w:sz w:val="8"/>
                <w:szCs w:val="8"/>
                <w:lang w:bidi="th-TH"/>
              </w:rPr>
            </w:pPr>
          </w:p>
          <w:p w:rsidR="00C215DD" w:rsidRPr="00C215DD" w:rsidRDefault="00C215DD" w:rsidP="00C215DD">
            <w:pPr>
              <w:rPr>
                <w:rFonts w:cs="Arial"/>
                <w:sz w:val="16"/>
                <w:szCs w:val="16"/>
                <w:lang w:bidi="th-TH"/>
              </w:rPr>
            </w:pPr>
            <w:r w:rsidRPr="00C215DD">
              <w:rPr>
                <w:rFonts w:cs="Arial"/>
                <w:sz w:val="16"/>
                <w:szCs w:val="16"/>
                <w:lang w:bidi="th-TH"/>
              </w:rPr>
              <w:t xml:space="preserve">WIPO provided technical and advisory assistance to the LDCs under WTO’s needs assessment process addressing LDCs needs and priorities for implementation of the TRIPS agreement during their grace period. </w:t>
            </w:r>
            <w:r w:rsidR="00112987">
              <w:rPr>
                <w:rFonts w:cs="Arial"/>
                <w:sz w:val="16"/>
                <w:szCs w:val="16"/>
                <w:lang w:bidi="th-TH"/>
              </w:rPr>
              <w:t xml:space="preserve"> </w:t>
            </w:r>
            <w:r w:rsidRPr="00C215DD">
              <w:rPr>
                <w:rFonts w:cs="Arial"/>
                <w:sz w:val="16"/>
                <w:szCs w:val="16"/>
                <w:lang w:bidi="th-TH"/>
              </w:rPr>
              <w:t>WIPO participated actively in regional, sub-regional and national programs organized by WTO for the benefit of LDCs.</w:t>
            </w:r>
          </w:p>
          <w:p w:rsidR="00C215DD" w:rsidRPr="00C215DD" w:rsidRDefault="00C215DD" w:rsidP="00C215DD">
            <w:pPr>
              <w:rPr>
                <w:rFonts w:cs="Arial"/>
                <w:sz w:val="16"/>
                <w:szCs w:val="16"/>
                <w:lang w:bidi="th-TH"/>
              </w:rPr>
            </w:pPr>
          </w:p>
        </w:tc>
        <w:tc>
          <w:tcPr>
            <w:tcW w:w="992" w:type="dxa"/>
            <w:shd w:val="clear" w:color="auto" w:fill="auto"/>
            <w:tcMar>
              <w:top w:w="110" w:type="dxa"/>
            </w:tcMar>
          </w:tcPr>
          <w:p w:rsidR="00C215DD" w:rsidRPr="00C215DD" w:rsidRDefault="00C215DD" w:rsidP="00C215DD">
            <w:pPr>
              <w:keepNext/>
              <w:keepLines/>
              <w:jc w:val="center"/>
              <w:rPr>
                <w:rFonts w:cs="Arial"/>
                <w:bCs/>
                <w:color w:val="008000"/>
                <w:sz w:val="16"/>
                <w:szCs w:val="16"/>
              </w:rPr>
            </w:pPr>
            <w:r w:rsidRPr="00C215DD">
              <w:rPr>
                <w:rFonts w:cs="Arial"/>
                <w:bCs/>
                <w:color w:val="E36C0A" w:themeColor="accent6" w:themeShade="BF"/>
                <w:sz w:val="16"/>
                <w:szCs w:val="16"/>
              </w:rPr>
              <w:lastRenderedPageBreak/>
              <w:t xml:space="preserve">Partially  </w:t>
            </w:r>
            <w:r>
              <w:rPr>
                <w:rFonts w:cs="Arial"/>
                <w:bCs/>
                <w:color w:val="E36C0A" w:themeColor="accent6" w:themeShade="BF"/>
                <w:sz w:val="16"/>
                <w:szCs w:val="16"/>
              </w:rPr>
              <w:t>A</w:t>
            </w:r>
            <w:r w:rsidRPr="00C215DD">
              <w:rPr>
                <w:rFonts w:cs="Arial"/>
                <w:bCs/>
                <w:color w:val="E36C0A" w:themeColor="accent6" w:themeShade="BF"/>
                <w:sz w:val="16"/>
                <w:szCs w:val="16"/>
              </w:rPr>
              <w:t>chieved</w:t>
            </w:r>
          </w:p>
        </w:tc>
      </w:tr>
    </w:tbl>
    <w:p w:rsidR="00112987" w:rsidRDefault="00112987" w:rsidP="008B3E53">
      <w:pPr>
        <w:rPr>
          <w:sz w:val="22"/>
          <w:szCs w:val="22"/>
        </w:rPr>
      </w:pPr>
    </w:p>
    <w:p w:rsidR="00112987" w:rsidRPr="00112987" w:rsidRDefault="00112987" w:rsidP="008B3E53">
      <w:pPr>
        <w:rPr>
          <w:sz w:val="22"/>
          <w:szCs w:val="22"/>
        </w:rPr>
      </w:pPr>
    </w:p>
    <w:p w:rsidR="008B3E53" w:rsidRPr="0098133B" w:rsidRDefault="008B3E53" w:rsidP="008B3E53">
      <w:pPr>
        <w:keepNext/>
        <w:keepLines/>
        <w:rPr>
          <w:rFonts w:cs="Arial"/>
          <w:sz w:val="22"/>
          <w:szCs w:val="22"/>
        </w:rPr>
      </w:pPr>
      <w:r w:rsidRPr="0098133B">
        <w:rPr>
          <w:rFonts w:cs="Arial"/>
          <w:sz w:val="22"/>
          <w:szCs w:val="22"/>
        </w:rPr>
        <w:t xml:space="preserve">BUDGET </w:t>
      </w:r>
      <w:r>
        <w:rPr>
          <w:rFonts w:cs="Arial"/>
          <w:sz w:val="22"/>
          <w:szCs w:val="22"/>
        </w:rPr>
        <w:t>AND ACTUAL EXPENDITURE</w:t>
      </w:r>
    </w:p>
    <w:p w:rsidR="008B3E53" w:rsidRPr="001428E9" w:rsidRDefault="008B3E53" w:rsidP="008B3E53">
      <w:pPr>
        <w:keepNext/>
        <w:keepLines/>
        <w:rPr>
          <w:rFonts w:cs="Arial"/>
          <w:sz w:val="16"/>
          <w:szCs w:val="16"/>
        </w:rPr>
      </w:pPr>
    </w:p>
    <w:p w:rsidR="008B3E53" w:rsidRPr="008D5367" w:rsidRDefault="008B3E53" w:rsidP="008B3E53">
      <w:pPr>
        <w:pStyle w:val="NormalWeb"/>
        <w:keepNext/>
        <w:keepLines/>
        <w:spacing w:before="0" w:beforeAutospacing="0" w:after="0" w:afterAutospacing="0"/>
        <w:jc w:val="center"/>
        <w:rPr>
          <w:sz w:val="20"/>
          <w:szCs w:val="20"/>
        </w:rPr>
      </w:pPr>
      <w:r w:rsidRPr="008D5367">
        <w:rPr>
          <w:color w:val="000000"/>
          <w:sz w:val="20"/>
          <w:szCs w:val="20"/>
        </w:rPr>
        <w:t xml:space="preserve">Budget and Actual Expenditure (by result) </w:t>
      </w:r>
    </w:p>
    <w:p w:rsidR="008B3E53" w:rsidRPr="008D5367" w:rsidRDefault="008B3E53" w:rsidP="008B3E53">
      <w:pPr>
        <w:pStyle w:val="NormalWeb"/>
        <w:keepNext/>
        <w:keepLines/>
        <w:spacing w:before="0" w:beforeAutospacing="0" w:after="0" w:afterAutospacing="0"/>
        <w:jc w:val="center"/>
        <w:rPr>
          <w:sz w:val="20"/>
          <w:szCs w:val="20"/>
        </w:rPr>
      </w:pPr>
      <w:r w:rsidRPr="008D5367">
        <w:rPr>
          <w:i/>
          <w:iCs/>
          <w:color w:val="000000"/>
          <w:sz w:val="20"/>
          <w:szCs w:val="20"/>
        </w:rPr>
        <w:t>(</w:t>
      </w:r>
      <w:proofErr w:type="gramStart"/>
      <w:r w:rsidRPr="008D5367">
        <w:rPr>
          <w:i/>
          <w:iCs/>
          <w:color w:val="000000"/>
          <w:sz w:val="20"/>
          <w:szCs w:val="20"/>
        </w:rPr>
        <w:t>in</w:t>
      </w:r>
      <w:proofErr w:type="gramEnd"/>
      <w:r w:rsidRPr="008D5367">
        <w:rPr>
          <w:i/>
          <w:iCs/>
          <w:color w:val="000000"/>
          <w:sz w:val="20"/>
          <w:szCs w:val="20"/>
        </w:rPr>
        <w:t xml:space="preserve"> thousands of Swiss francs)</w:t>
      </w:r>
    </w:p>
    <w:p w:rsidR="008B3E53" w:rsidRPr="001428E9" w:rsidRDefault="008B3E53" w:rsidP="008B3E53">
      <w:pPr>
        <w:rPr>
          <w:sz w:val="16"/>
          <w:szCs w:val="16"/>
        </w:rPr>
      </w:pPr>
    </w:p>
    <w:tbl>
      <w:tblPr>
        <w:tblW w:w="0" w:type="auto"/>
        <w:tblInd w:w="108" w:type="dxa"/>
        <w:tblLayout w:type="fixed"/>
        <w:tblLook w:val="04A0" w:firstRow="1" w:lastRow="0" w:firstColumn="1" w:lastColumn="0" w:noHBand="0" w:noVBand="1"/>
      </w:tblPr>
      <w:tblGrid>
        <w:gridCol w:w="670"/>
        <w:gridCol w:w="4008"/>
        <w:gridCol w:w="1559"/>
        <w:gridCol w:w="1559"/>
        <w:gridCol w:w="1560"/>
      </w:tblGrid>
      <w:tr w:rsidR="008B3E53" w:rsidRPr="00546097" w:rsidTr="001428E9">
        <w:tc>
          <w:tcPr>
            <w:tcW w:w="467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546097" w:rsidRDefault="008B3E53" w:rsidP="001428E9">
            <w:pPr>
              <w:spacing w:before="120" w:after="120"/>
              <w:jc w:val="center"/>
              <w:rPr>
                <w:rFonts w:cs="Arial"/>
                <w:bCs/>
                <w:color w:val="000000"/>
                <w:sz w:val="16"/>
                <w:szCs w:val="16"/>
              </w:rPr>
            </w:pPr>
            <w:r w:rsidRPr="00546097">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B3E53" w:rsidRPr="00546097" w:rsidRDefault="008B3E53" w:rsidP="001428E9">
            <w:pPr>
              <w:spacing w:before="120" w:after="120"/>
              <w:jc w:val="center"/>
              <w:rPr>
                <w:rFonts w:cs="Arial"/>
                <w:bCs/>
                <w:color w:val="000000"/>
                <w:sz w:val="16"/>
                <w:szCs w:val="16"/>
              </w:rPr>
            </w:pPr>
            <w:r w:rsidRPr="00546097">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8B3E53" w:rsidRPr="00546097" w:rsidRDefault="008B3E53" w:rsidP="001428E9">
            <w:pPr>
              <w:spacing w:before="120" w:after="120"/>
              <w:jc w:val="center"/>
              <w:rPr>
                <w:rFonts w:cs="Arial"/>
                <w:bCs/>
                <w:color w:val="000000"/>
                <w:sz w:val="16"/>
                <w:szCs w:val="16"/>
              </w:rPr>
            </w:pPr>
            <w:r w:rsidRPr="00546097">
              <w:rPr>
                <w:rFonts w:cs="Arial"/>
                <w:bCs/>
                <w:color w:val="000000"/>
                <w:sz w:val="16"/>
                <w:szCs w:val="16"/>
              </w:rPr>
              <w:t xml:space="preserve">2012/13 Budget </w:t>
            </w:r>
            <w:r w:rsidRPr="00546097">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8B3E53" w:rsidRPr="00546097" w:rsidRDefault="008B3E53" w:rsidP="001428E9">
            <w:pPr>
              <w:spacing w:before="120" w:after="120"/>
              <w:jc w:val="center"/>
              <w:rPr>
                <w:rFonts w:cs="Arial"/>
                <w:bCs/>
                <w:color w:val="000000"/>
                <w:sz w:val="16"/>
                <w:szCs w:val="16"/>
              </w:rPr>
            </w:pPr>
            <w:r w:rsidRPr="00546097">
              <w:rPr>
                <w:rFonts w:cs="Arial"/>
                <w:bCs/>
                <w:color w:val="000000"/>
                <w:sz w:val="16"/>
                <w:szCs w:val="16"/>
              </w:rPr>
              <w:t xml:space="preserve">2012/13 </w:t>
            </w:r>
            <w:r w:rsidRPr="00546097">
              <w:rPr>
                <w:rFonts w:cs="Arial"/>
                <w:bCs/>
                <w:color w:val="000000"/>
                <w:sz w:val="16"/>
                <w:szCs w:val="16"/>
              </w:rPr>
              <w:br/>
              <w:t>Expenditure</w:t>
            </w:r>
          </w:p>
        </w:tc>
      </w:tr>
      <w:tr w:rsidR="008B3E53" w:rsidRPr="00EC148C" w:rsidTr="001428E9">
        <w:tc>
          <w:tcPr>
            <w:tcW w:w="670" w:type="dxa"/>
            <w:tcBorders>
              <w:top w:val="single" w:sz="4" w:space="0" w:color="auto"/>
              <w:left w:val="single" w:sz="4" w:space="0" w:color="auto"/>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I.4</w:t>
            </w:r>
          </w:p>
        </w:tc>
        <w:tc>
          <w:tcPr>
            <w:tcW w:w="4008" w:type="dxa"/>
            <w:tcBorders>
              <w:top w:val="single" w:sz="4" w:space="0" w:color="auto"/>
            </w:tcBorders>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Tailored and balanced IP legislative, regulatory and policy frameworks</w:t>
            </w:r>
          </w:p>
        </w:tc>
        <w:tc>
          <w:tcPr>
            <w:tcW w:w="1559" w:type="dxa"/>
            <w:tcBorders>
              <w:top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3,433 </w:t>
            </w:r>
          </w:p>
        </w:tc>
        <w:tc>
          <w:tcPr>
            <w:tcW w:w="1559" w:type="dxa"/>
            <w:tcBorders>
              <w:top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3,583 </w:t>
            </w:r>
          </w:p>
        </w:tc>
        <w:tc>
          <w:tcPr>
            <w:tcW w:w="1560" w:type="dxa"/>
            <w:tcBorders>
              <w:top w:val="single" w:sz="4" w:space="0" w:color="auto"/>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3,158</w:t>
            </w:r>
          </w:p>
        </w:tc>
      </w:tr>
      <w:tr w:rsidR="008B3E53" w:rsidRPr="00EC148C" w:rsidTr="001428E9">
        <w:tc>
          <w:tcPr>
            <w:tcW w:w="670" w:type="dxa"/>
            <w:tcBorders>
              <w:left w:val="single" w:sz="4" w:space="0" w:color="auto"/>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III.1</w:t>
            </w:r>
          </w:p>
        </w:tc>
        <w:tc>
          <w:tcPr>
            <w:tcW w:w="4008" w:type="dxa"/>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Clearly defined and coherent national innovation and IP policies, strategies and development plans consistent with national development goals and objectives</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8,363 </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10,235 </w:t>
            </w:r>
          </w:p>
        </w:tc>
        <w:tc>
          <w:tcPr>
            <w:tcW w:w="1560" w:type="dxa"/>
            <w:tcBorders>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9,356</w:t>
            </w:r>
          </w:p>
        </w:tc>
      </w:tr>
      <w:tr w:rsidR="008B3E53" w:rsidRPr="00EC148C" w:rsidTr="001428E9">
        <w:tc>
          <w:tcPr>
            <w:tcW w:w="670" w:type="dxa"/>
            <w:tcBorders>
              <w:left w:val="single" w:sz="4" w:space="0" w:color="auto"/>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III.2</w:t>
            </w:r>
          </w:p>
        </w:tc>
        <w:tc>
          <w:tcPr>
            <w:tcW w:w="4008" w:type="dxa"/>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15,420 </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14,839 </w:t>
            </w:r>
          </w:p>
        </w:tc>
        <w:tc>
          <w:tcPr>
            <w:tcW w:w="1560" w:type="dxa"/>
            <w:tcBorders>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14,923 </w:t>
            </w:r>
          </w:p>
        </w:tc>
      </w:tr>
      <w:tr w:rsidR="008B3E53" w:rsidRPr="00EC148C" w:rsidTr="001428E9">
        <w:tc>
          <w:tcPr>
            <w:tcW w:w="670" w:type="dxa"/>
            <w:tcBorders>
              <w:left w:val="single" w:sz="4" w:space="0" w:color="auto"/>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III.3</w:t>
            </w:r>
          </w:p>
        </w:tc>
        <w:tc>
          <w:tcPr>
            <w:tcW w:w="4008" w:type="dxa"/>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New or strengthened cooperation mechanisms, programs and partnerships in LDCs</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1,517 </w:t>
            </w:r>
          </w:p>
        </w:tc>
        <w:tc>
          <w:tcPr>
            <w:tcW w:w="1559" w:type="dxa"/>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1,057 </w:t>
            </w:r>
          </w:p>
        </w:tc>
        <w:tc>
          <w:tcPr>
            <w:tcW w:w="1560" w:type="dxa"/>
            <w:tcBorders>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941 </w:t>
            </w:r>
          </w:p>
        </w:tc>
      </w:tr>
      <w:tr w:rsidR="008B3E53" w:rsidRPr="00EC148C" w:rsidTr="001428E9">
        <w:tc>
          <w:tcPr>
            <w:tcW w:w="670" w:type="dxa"/>
            <w:tcBorders>
              <w:left w:val="single" w:sz="4" w:space="0" w:color="auto"/>
              <w:bottom w:val="nil"/>
              <w:right w:val="nil"/>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III.5</w:t>
            </w:r>
          </w:p>
        </w:tc>
        <w:tc>
          <w:tcPr>
            <w:tcW w:w="4008" w:type="dxa"/>
            <w:tcBorders>
              <w:left w:val="nil"/>
              <w:bottom w:val="nil"/>
              <w:right w:val="nil"/>
            </w:tcBorders>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Upgraded IP Management skills for business </w:t>
            </w:r>
          </w:p>
        </w:tc>
        <w:tc>
          <w:tcPr>
            <w:tcW w:w="1559" w:type="dxa"/>
            <w:tcBorders>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120 </w:t>
            </w:r>
          </w:p>
        </w:tc>
        <w:tc>
          <w:tcPr>
            <w:tcW w:w="1559" w:type="dxa"/>
            <w:tcBorders>
              <w:left w:val="nil"/>
              <w:bottom w:val="nil"/>
              <w:right w:val="nil"/>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1,366 </w:t>
            </w:r>
          </w:p>
        </w:tc>
        <w:tc>
          <w:tcPr>
            <w:tcW w:w="1560" w:type="dxa"/>
            <w:tcBorders>
              <w:left w:val="nil"/>
              <w:bottom w:val="nil"/>
              <w:right w:val="single" w:sz="4" w:space="0" w:color="auto"/>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1,305 </w:t>
            </w:r>
          </w:p>
        </w:tc>
      </w:tr>
      <w:tr w:rsidR="008B3E53" w:rsidRPr="00EC148C" w:rsidTr="001428E9">
        <w:tc>
          <w:tcPr>
            <w:tcW w:w="670" w:type="dxa"/>
            <w:tcBorders>
              <w:top w:val="nil"/>
              <w:left w:val="single" w:sz="4" w:space="0" w:color="auto"/>
              <w:bottom w:val="nil"/>
              <w:right w:val="nil"/>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III.6</w:t>
            </w:r>
          </w:p>
        </w:tc>
        <w:tc>
          <w:tcPr>
            <w:tcW w:w="4008" w:type="dxa"/>
            <w:tcBorders>
              <w:top w:val="nil"/>
              <w:left w:val="nil"/>
              <w:bottom w:val="nil"/>
              <w:right w:val="nil"/>
            </w:tcBorders>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Development Agenda principles further mainstreamed into the Organization’s programs and activities</w:t>
            </w:r>
          </w:p>
        </w:tc>
        <w:tc>
          <w:tcPr>
            <w:tcW w:w="1559" w:type="dxa"/>
            <w:tcBorders>
              <w:top w:val="nil"/>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1,418 </w:t>
            </w:r>
          </w:p>
        </w:tc>
        <w:tc>
          <w:tcPr>
            <w:tcW w:w="1559" w:type="dxa"/>
            <w:tcBorders>
              <w:top w:val="nil"/>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0 </w:t>
            </w:r>
          </w:p>
        </w:tc>
        <w:tc>
          <w:tcPr>
            <w:tcW w:w="1560" w:type="dxa"/>
            <w:tcBorders>
              <w:top w:val="nil"/>
              <w:left w:val="nil"/>
              <w:bottom w:val="nil"/>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0 </w:t>
            </w:r>
          </w:p>
        </w:tc>
      </w:tr>
      <w:tr w:rsidR="008B3E53" w:rsidRPr="00EC148C" w:rsidTr="001428E9">
        <w:tc>
          <w:tcPr>
            <w:tcW w:w="670" w:type="dxa"/>
            <w:tcBorders>
              <w:top w:val="nil"/>
              <w:left w:val="single" w:sz="4" w:space="0" w:color="auto"/>
              <w:right w:val="nil"/>
            </w:tcBorders>
            <w:shd w:val="clear" w:color="auto" w:fill="auto"/>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III.7</w:t>
            </w:r>
          </w:p>
        </w:tc>
        <w:tc>
          <w:tcPr>
            <w:tcW w:w="4008" w:type="dxa"/>
            <w:tcBorders>
              <w:top w:val="nil"/>
              <w:left w:val="nil"/>
              <w:right w:val="nil"/>
            </w:tcBorders>
            <w:shd w:val="clear" w:color="auto" w:fill="auto"/>
            <w:hideMark/>
          </w:tcPr>
          <w:p w:rsidR="008B3E53" w:rsidRPr="0027745B" w:rsidRDefault="008B3E53" w:rsidP="00546097">
            <w:pPr>
              <w:spacing w:before="120"/>
              <w:rPr>
                <w:rFonts w:cs="Arial"/>
                <w:color w:val="000000"/>
                <w:sz w:val="16"/>
                <w:szCs w:val="16"/>
              </w:rPr>
            </w:pPr>
            <w:r w:rsidRPr="0027745B">
              <w:rPr>
                <w:rFonts w:cs="Arial"/>
                <w:color w:val="000000"/>
                <w:sz w:val="16"/>
                <w:szCs w:val="16"/>
              </w:rPr>
              <w:t>Effective planning, implementation, monitoring, evaluation and reporting on the DA recommendations</w:t>
            </w:r>
          </w:p>
        </w:tc>
        <w:tc>
          <w:tcPr>
            <w:tcW w:w="1559" w:type="dxa"/>
            <w:tcBorders>
              <w:top w:val="nil"/>
              <w:left w:val="nil"/>
              <w:right w:val="nil"/>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461 </w:t>
            </w:r>
          </w:p>
        </w:tc>
        <w:tc>
          <w:tcPr>
            <w:tcW w:w="1559" w:type="dxa"/>
            <w:tcBorders>
              <w:top w:val="nil"/>
              <w:left w:val="nil"/>
              <w:right w:val="nil"/>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0</w:t>
            </w:r>
          </w:p>
        </w:tc>
        <w:tc>
          <w:tcPr>
            <w:tcW w:w="1560" w:type="dxa"/>
            <w:tcBorders>
              <w:top w:val="nil"/>
              <w:left w:val="nil"/>
              <w:right w:val="single" w:sz="4" w:space="0" w:color="auto"/>
            </w:tcBorders>
            <w:shd w:val="clear" w:color="auto" w:fill="auto"/>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0 </w:t>
            </w:r>
          </w:p>
        </w:tc>
      </w:tr>
      <w:tr w:rsidR="008B3E53" w:rsidRPr="00EC148C" w:rsidTr="001428E9">
        <w:tc>
          <w:tcPr>
            <w:tcW w:w="670" w:type="dxa"/>
            <w:tcBorders>
              <w:left w:val="single" w:sz="4" w:space="0" w:color="auto"/>
              <w:bottom w:val="nil"/>
              <w:right w:val="nil"/>
            </w:tcBorders>
            <w:shd w:val="clear" w:color="000000" w:fill="FFFFFF"/>
            <w:noWrap/>
            <w:hideMark/>
          </w:tcPr>
          <w:p w:rsidR="008B3E53" w:rsidRPr="0027745B" w:rsidRDefault="008B3E53" w:rsidP="00546097">
            <w:pPr>
              <w:spacing w:before="120"/>
              <w:jc w:val="center"/>
              <w:rPr>
                <w:rFonts w:cs="Arial"/>
                <w:color w:val="000000"/>
                <w:sz w:val="16"/>
                <w:szCs w:val="16"/>
              </w:rPr>
            </w:pPr>
            <w:r w:rsidRPr="0027745B">
              <w:rPr>
                <w:rFonts w:cs="Arial"/>
                <w:color w:val="000000"/>
                <w:sz w:val="16"/>
                <w:szCs w:val="16"/>
              </w:rPr>
              <w:t>IV.2</w:t>
            </w:r>
          </w:p>
        </w:tc>
        <w:tc>
          <w:tcPr>
            <w:tcW w:w="4008" w:type="dxa"/>
            <w:tcBorders>
              <w:left w:val="nil"/>
              <w:bottom w:val="nil"/>
              <w:right w:val="nil"/>
            </w:tcBorders>
            <w:shd w:val="clear" w:color="000000" w:fill="FFFFFF"/>
            <w:hideMark/>
          </w:tcPr>
          <w:p w:rsidR="008B3E53" w:rsidRPr="0027745B" w:rsidRDefault="008B3E53" w:rsidP="00546097">
            <w:pPr>
              <w:spacing w:before="120"/>
              <w:rPr>
                <w:rFonts w:cs="Arial"/>
                <w:color w:val="000000"/>
                <w:sz w:val="16"/>
                <w:szCs w:val="16"/>
              </w:rPr>
            </w:pPr>
            <w:r w:rsidRPr="0027745B">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559" w:type="dxa"/>
            <w:tcBorders>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w:t>
            </w:r>
          </w:p>
        </w:tc>
        <w:tc>
          <w:tcPr>
            <w:tcW w:w="1559" w:type="dxa"/>
            <w:tcBorders>
              <w:left w:val="nil"/>
              <w:bottom w:val="nil"/>
              <w:right w:val="nil"/>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 xml:space="preserve">1,055 </w:t>
            </w:r>
          </w:p>
        </w:tc>
        <w:tc>
          <w:tcPr>
            <w:tcW w:w="1560" w:type="dxa"/>
            <w:tcBorders>
              <w:left w:val="nil"/>
              <w:bottom w:val="nil"/>
              <w:right w:val="single" w:sz="4" w:space="0" w:color="auto"/>
            </w:tcBorders>
            <w:shd w:val="clear" w:color="000000" w:fill="FFFFFF"/>
            <w:vAlign w:val="center"/>
            <w:hideMark/>
          </w:tcPr>
          <w:p w:rsidR="008B3E53" w:rsidRPr="0027745B" w:rsidRDefault="008B3E53" w:rsidP="00546097">
            <w:pPr>
              <w:spacing w:before="120"/>
              <w:jc w:val="right"/>
              <w:rPr>
                <w:rFonts w:cs="Arial"/>
                <w:color w:val="000000"/>
                <w:sz w:val="16"/>
                <w:szCs w:val="16"/>
              </w:rPr>
            </w:pPr>
            <w:r w:rsidRPr="0027745B">
              <w:rPr>
                <w:rFonts w:cs="Arial"/>
                <w:color w:val="000000"/>
                <w:sz w:val="16"/>
                <w:szCs w:val="16"/>
              </w:rPr>
              <w:t>955</w:t>
            </w:r>
          </w:p>
        </w:tc>
      </w:tr>
      <w:tr w:rsidR="008B3E53" w:rsidRPr="00EC148C" w:rsidTr="001428E9">
        <w:tc>
          <w:tcPr>
            <w:tcW w:w="670" w:type="dxa"/>
            <w:tcBorders>
              <w:top w:val="nil"/>
              <w:left w:val="single" w:sz="4" w:space="0" w:color="auto"/>
              <w:bottom w:val="single" w:sz="4" w:space="0" w:color="auto"/>
              <w:right w:val="nil"/>
            </w:tcBorders>
            <w:shd w:val="clear" w:color="000000" w:fill="FFFFFF"/>
            <w:noWrap/>
            <w:hideMark/>
          </w:tcPr>
          <w:p w:rsidR="008B3E53" w:rsidRPr="0027745B" w:rsidRDefault="008B3E53" w:rsidP="00546097">
            <w:pPr>
              <w:spacing w:before="120" w:after="120"/>
              <w:jc w:val="center"/>
              <w:rPr>
                <w:rFonts w:cs="Arial"/>
                <w:color w:val="000000"/>
                <w:sz w:val="16"/>
                <w:szCs w:val="16"/>
              </w:rPr>
            </w:pPr>
            <w:r w:rsidRPr="0027745B">
              <w:rPr>
                <w:rFonts w:cs="Arial"/>
                <w:color w:val="000000"/>
                <w:sz w:val="16"/>
                <w:szCs w:val="16"/>
              </w:rPr>
              <w:t>IV.5</w:t>
            </w:r>
          </w:p>
        </w:tc>
        <w:tc>
          <w:tcPr>
            <w:tcW w:w="4008" w:type="dxa"/>
            <w:tcBorders>
              <w:top w:val="nil"/>
              <w:left w:val="nil"/>
              <w:bottom w:val="single" w:sz="4" w:space="0" w:color="auto"/>
              <w:right w:val="nil"/>
            </w:tcBorders>
            <w:shd w:val="clear" w:color="000000" w:fill="FFFFFF"/>
            <w:hideMark/>
          </w:tcPr>
          <w:p w:rsidR="008B3E53" w:rsidRPr="0027745B" w:rsidRDefault="008B3E53" w:rsidP="00546097">
            <w:pPr>
              <w:spacing w:before="120" w:after="120"/>
              <w:rPr>
                <w:rFonts w:cs="Arial"/>
                <w:color w:val="000000"/>
                <w:sz w:val="16"/>
                <w:szCs w:val="16"/>
              </w:rPr>
            </w:pPr>
            <w:r w:rsidRPr="0027745B">
              <w:rPr>
                <w:rFonts w:cs="Arial"/>
                <w:color w:val="000000"/>
                <w:sz w:val="16"/>
                <w:szCs w:val="16"/>
              </w:rPr>
              <w:t>Enhanced  technical and knowledge infrastructure for IP Offices and other IP institutions leading to better services (cheaper, faster, higher quality) to their stakeholders</w:t>
            </w:r>
          </w:p>
        </w:tc>
        <w:tc>
          <w:tcPr>
            <w:tcW w:w="1559" w:type="dxa"/>
            <w:tcBorders>
              <w:top w:val="nil"/>
              <w:left w:val="nil"/>
              <w:bottom w:val="single" w:sz="4" w:space="0" w:color="auto"/>
              <w:right w:val="nil"/>
            </w:tcBorders>
            <w:shd w:val="clear" w:color="000000" w:fill="FFFFFF"/>
            <w:vAlign w:val="center"/>
            <w:hideMark/>
          </w:tcPr>
          <w:p w:rsidR="008B3E53" w:rsidRPr="0027745B" w:rsidRDefault="008B3E53" w:rsidP="00546097">
            <w:pPr>
              <w:spacing w:before="120" w:after="120"/>
              <w:jc w:val="right"/>
              <w:rPr>
                <w:rFonts w:cs="Arial"/>
                <w:color w:val="000000"/>
                <w:sz w:val="16"/>
                <w:szCs w:val="16"/>
              </w:rPr>
            </w:pPr>
            <w:r w:rsidRPr="0027745B">
              <w:rPr>
                <w:rFonts w:cs="Arial"/>
                <w:color w:val="000000"/>
                <w:sz w:val="16"/>
                <w:szCs w:val="16"/>
              </w:rPr>
              <w:t xml:space="preserve">3,690 </w:t>
            </w:r>
          </w:p>
        </w:tc>
        <w:tc>
          <w:tcPr>
            <w:tcW w:w="1559" w:type="dxa"/>
            <w:tcBorders>
              <w:top w:val="nil"/>
              <w:left w:val="nil"/>
              <w:bottom w:val="single" w:sz="4" w:space="0" w:color="auto"/>
              <w:right w:val="nil"/>
            </w:tcBorders>
            <w:shd w:val="clear" w:color="000000" w:fill="FFFFFF"/>
            <w:vAlign w:val="center"/>
            <w:hideMark/>
          </w:tcPr>
          <w:p w:rsidR="008B3E53" w:rsidRPr="0027745B" w:rsidRDefault="008B3E53" w:rsidP="00546097">
            <w:pPr>
              <w:spacing w:before="120" w:after="120"/>
              <w:jc w:val="right"/>
              <w:rPr>
                <w:rFonts w:cs="Arial"/>
                <w:color w:val="000000"/>
                <w:sz w:val="16"/>
                <w:szCs w:val="16"/>
              </w:rPr>
            </w:pPr>
            <w:r w:rsidRPr="0027745B">
              <w:rPr>
                <w:rFonts w:cs="Arial"/>
                <w:color w:val="000000"/>
                <w:sz w:val="16"/>
                <w:szCs w:val="16"/>
              </w:rPr>
              <w:t xml:space="preserve">2,429 </w:t>
            </w:r>
          </w:p>
        </w:tc>
        <w:tc>
          <w:tcPr>
            <w:tcW w:w="1560" w:type="dxa"/>
            <w:tcBorders>
              <w:top w:val="nil"/>
              <w:left w:val="nil"/>
              <w:bottom w:val="single" w:sz="4" w:space="0" w:color="auto"/>
              <w:right w:val="single" w:sz="4" w:space="0" w:color="auto"/>
            </w:tcBorders>
            <w:shd w:val="clear" w:color="000000" w:fill="FFFFFF"/>
            <w:vAlign w:val="center"/>
            <w:hideMark/>
          </w:tcPr>
          <w:p w:rsidR="008B3E53" w:rsidRPr="0027745B" w:rsidRDefault="008B3E53" w:rsidP="00546097">
            <w:pPr>
              <w:spacing w:before="120" w:after="120"/>
              <w:jc w:val="right"/>
              <w:rPr>
                <w:rFonts w:cs="Arial"/>
                <w:color w:val="000000"/>
                <w:sz w:val="16"/>
                <w:szCs w:val="16"/>
              </w:rPr>
            </w:pPr>
            <w:r w:rsidRPr="0027745B">
              <w:rPr>
                <w:rFonts w:cs="Arial"/>
                <w:color w:val="000000"/>
                <w:sz w:val="16"/>
                <w:szCs w:val="16"/>
              </w:rPr>
              <w:t>1,834</w:t>
            </w:r>
          </w:p>
        </w:tc>
      </w:tr>
      <w:tr w:rsidR="008B3E53" w:rsidRPr="00EC148C" w:rsidTr="001428E9">
        <w:tc>
          <w:tcPr>
            <w:tcW w:w="670" w:type="dxa"/>
            <w:tcBorders>
              <w:top w:val="nil"/>
              <w:left w:val="single" w:sz="4" w:space="0" w:color="auto"/>
              <w:bottom w:val="single" w:sz="4" w:space="0" w:color="auto"/>
              <w:right w:val="nil"/>
            </w:tcBorders>
            <w:shd w:val="clear" w:color="000000" w:fill="CCFFFF"/>
            <w:noWrap/>
            <w:vAlign w:val="bottom"/>
            <w:hideMark/>
          </w:tcPr>
          <w:p w:rsidR="008B3E53" w:rsidRPr="0027745B" w:rsidRDefault="008B3E53" w:rsidP="001428E9">
            <w:pPr>
              <w:spacing w:before="120" w:after="120"/>
              <w:rPr>
                <w:rFonts w:cs="Arial"/>
                <w:b/>
                <w:bCs/>
                <w:color w:val="000000"/>
                <w:sz w:val="16"/>
                <w:szCs w:val="16"/>
              </w:rPr>
            </w:pPr>
          </w:p>
        </w:tc>
        <w:tc>
          <w:tcPr>
            <w:tcW w:w="4008" w:type="dxa"/>
            <w:tcBorders>
              <w:top w:val="nil"/>
              <w:left w:val="nil"/>
              <w:bottom w:val="single" w:sz="4" w:space="0" w:color="auto"/>
              <w:right w:val="nil"/>
            </w:tcBorders>
            <w:shd w:val="clear" w:color="000000" w:fill="CCFFFF"/>
            <w:noWrap/>
            <w:vAlign w:val="center"/>
            <w:hideMark/>
          </w:tcPr>
          <w:p w:rsidR="008B3E53" w:rsidRPr="0027745B" w:rsidRDefault="008B3E53" w:rsidP="001428E9">
            <w:pPr>
              <w:spacing w:before="120" w:after="120"/>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8B3E53" w:rsidRPr="0027745B" w:rsidRDefault="008B3E53" w:rsidP="001428E9">
            <w:pPr>
              <w:spacing w:before="120" w:after="120"/>
              <w:jc w:val="right"/>
              <w:rPr>
                <w:rFonts w:cs="Arial"/>
                <w:b/>
                <w:bCs/>
                <w:color w:val="000000"/>
                <w:sz w:val="16"/>
                <w:szCs w:val="16"/>
              </w:rPr>
            </w:pPr>
            <w:r w:rsidRPr="0027745B">
              <w:rPr>
                <w:rFonts w:cs="Arial"/>
                <w:b/>
                <w:bCs/>
                <w:color w:val="000000"/>
                <w:sz w:val="16"/>
                <w:szCs w:val="16"/>
              </w:rPr>
              <w:t>35,102</w:t>
            </w:r>
          </w:p>
        </w:tc>
        <w:tc>
          <w:tcPr>
            <w:tcW w:w="1559" w:type="dxa"/>
            <w:tcBorders>
              <w:top w:val="nil"/>
              <w:left w:val="nil"/>
              <w:bottom w:val="single" w:sz="4" w:space="0" w:color="auto"/>
              <w:right w:val="single" w:sz="4" w:space="0" w:color="auto"/>
            </w:tcBorders>
            <w:shd w:val="clear" w:color="000000" w:fill="CCFFFF"/>
            <w:noWrap/>
            <w:vAlign w:val="center"/>
            <w:hideMark/>
          </w:tcPr>
          <w:p w:rsidR="008B3E53" w:rsidRPr="0027745B" w:rsidRDefault="008B3E53" w:rsidP="001428E9">
            <w:pPr>
              <w:spacing w:before="120" w:after="120"/>
              <w:jc w:val="right"/>
              <w:rPr>
                <w:rFonts w:cs="Arial"/>
                <w:b/>
                <w:bCs/>
                <w:color w:val="000000"/>
                <w:sz w:val="16"/>
                <w:szCs w:val="16"/>
              </w:rPr>
            </w:pPr>
            <w:r w:rsidRPr="0027745B">
              <w:rPr>
                <w:rFonts w:cs="Arial"/>
                <w:b/>
                <w:bCs/>
                <w:color w:val="000000"/>
                <w:sz w:val="16"/>
                <w:szCs w:val="16"/>
              </w:rPr>
              <w:t>34,562</w:t>
            </w:r>
          </w:p>
        </w:tc>
        <w:tc>
          <w:tcPr>
            <w:tcW w:w="1560" w:type="dxa"/>
            <w:tcBorders>
              <w:top w:val="nil"/>
              <w:left w:val="nil"/>
              <w:bottom w:val="single" w:sz="4" w:space="0" w:color="auto"/>
              <w:right w:val="single" w:sz="4" w:space="0" w:color="auto"/>
            </w:tcBorders>
            <w:shd w:val="clear" w:color="000000" w:fill="CCFFFF"/>
            <w:vAlign w:val="center"/>
            <w:hideMark/>
          </w:tcPr>
          <w:p w:rsidR="008B3E53" w:rsidRPr="0027745B" w:rsidRDefault="008B3E53" w:rsidP="001428E9">
            <w:pPr>
              <w:spacing w:before="120" w:after="120"/>
              <w:jc w:val="right"/>
              <w:rPr>
                <w:rFonts w:cs="Arial"/>
                <w:b/>
                <w:bCs/>
                <w:color w:val="000000"/>
                <w:sz w:val="16"/>
                <w:szCs w:val="16"/>
              </w:rPr>
            </w:pPr>
            <w:r w:rsidRPr="0027745B">
              <w:rPr>
                <w:rFonts w:cs="Arial"/>
                <w:b/>
                <w:bCs/>
                <w:color w:val="000000"/>
                <w:sz w:val="16"/>
                <w:szCs w:val="16"/>
              </w:rPr>
              <w:t>34,472</w:t>
            </w:r>
          </w:p>
        </w:tc>
      </w:tr>
    </w:tbl>
    <w:p w:rsidR="008B3E53" w:rsidRDefault="008B3E53" w:rsidP="008B3E53"/>
    <w:p w:rsidR="001428E9" w:rsidRDefault="001428E9">
      <w:r>
        <w:br w:type="page"/>
      </w:r>
    </w:p>
    <w:p w:rsidR="008B3E53" w:rsidRDefault="008B3E53" w:rsidP="008B3E53">
      <w:pPr>
        <w:jc w:val="center"/>
      </w:pPr>
      <w:r>
        <w:lastRenderedPageBreak/>
        <w:t>Budget and Actual Expenditure (personnel and non-personnel)</w:t>
      </w:r>
    </w:p>
    <w:p w:rsidR="008B3E53" w:rsidRDefault="008B3E53" w:rsidP="008B3E53">
      <w:pPr>
        <w:jc w:val="center"/>
      </w:pPr>
      <w:r>
        <w:t>(</w:t>
      </w:r>
      <w:proofErr w:type="gramStart"/>
      <w:r>
        <w:t>in</w:t>
      </w:r>
      <w:proofErr w:type="gramEnd"/>
      <w:r>
        <w:t xml:space="preserve"> thousands of Swiss francs)</w:t>
      </w:r>
    </w:p>
    <w:p w:rsidR="008B3E53" w:rsidRDefault="008B3E53" w:rsidP="008B3E53"/>
    <w:tbl>
      <w:tblPr>
        <w:tblW w:w="0" w:type="auto"/>
        <w:tblInd w:w="108" w:type="dxa"/>
        <w:tblLook w:val="04A0" w:firstRow="1" w:lastRow="0" w:firstColumn="1" w:lastColumn="0" w:noHBand="0" w:noVBand="1"/>
      </w:tblPr>
      <w:tblGrid>
        <w:gridCol w:w="2410"/>
        <w:gridCol w:w="1736"/>
        <w:gridCol w:w="1737"/>
        <w:gridCol w:w="1736"/>
        <w:gridCol w:w="1737"/>
      </w:tblGrid>
      <w:tr w:rsidR="008B3E53" w:rsidRPr="00546097" w:rsidTr="001428E9">
        <w:tc>
          <w:tcPr>
            <w:tcW w:w="2410"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8B3E53" w:rsidRPr="00546097" w:rsidRDefault="008B3E53" w:rsidP="00305272">
            <w:pPr>
              <w:spacing w:before="120" w:after="120"/>
              <w:jc w:val="center"/>
              <w:rPr>
                <w:rFonts w:cs="Arial"/>
                <w:color w:val="000000"/>
                <w:sz w:val="16"/>
                <w:szCs w:val="16"/>
              </w:rPr>
            </w:pPr>
          </w:p>
        </w:tc>
        <w:tc>
          <w:tcPr>
            <w:tcW w:w="1736" w:type="dxa"/>
            <w:tcBorders>
              <w:top w:val="single" w:sz="4" w:space="0" w:color="auto"/>
              <w:left w:val="nil"/>
              <w:bottom w:val="nil"/>
              <w:right w:val="single" w:sz="4" w:space="0" w:color="auto"/>
            </w:tcBorders>
            <w:shd w:val="clear" w:color="000000" w:fill="CCFFFF"/>
            <w:vAlign w:val="center"/>
            <w:hideMark/>
          </w:tcPr>
          <w:p w:rsidR="008B3E53" w:rsidRPr="00546097" w:rsidRDefault="008B3E53" w:rsidP="00305272">
            <w:pPr>
              <w:spacing w:before="120" w:after="120"/>
              <w:jc w:val="center"/>
              <w:rPr>
                <w:rFonts w:cs="Arial"/>
                <w:bCs/>
                <w:color w:val="000000"/>
                <w:sz w:val="16"/>
                <w:szCs w:val="16"/>
              </w:rPr>
            </w:pPr>
            <w:r w:rsidRPr="00546097">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8B3E53" w:rsidRPr="00546097" w:rsidRDefault="008B3E53" w:rsidP="00305272">
            <w:pPr>
              <w:spacing w:before="120" w:after="120"/>
              <w:jc w:val="center"/>
              <w:rPr>
                <w:rFonts w:cs="Arial"/>
                <w:bCs/>
                <w:color w:val="000000"/>
                <w:sz w:val="16"/>
                <w:szCs w:val="16"/>
              </w:rPr>
            </w:pPr>
            <w:r w:rsidRPr="00546097">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8B3E53" w:rsidRPr="00546097" w:rsidRDefault="008B3E53" w:rsidP="00305272">
            <w:pPr>
              <w:spacing w:before="120" w:after="120"/>
              <w:jc w:val="center"/>
              <w:rPr>
                <w:rFonts w:cs="Arial"/>
                <w:bCs/>
                <w:color w:val="000000"/>
                <w:sz w:val="16"/>
                <w:szCs w:val="16"/>
              </w:rPr>
            </w:pPr>
            <w:r w:rsidRPr="00546097">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8B3E53" w:rsidRPr="00546097" w:rsidRDefault="008B3E53" w:rsidP="00305272">
            <w:pPr>
              <w:spacing w:before="120" w:after="120"/>
              <w:jc w:val="center"/>
              <w:rPr>
                <w:rFonts w:cs="Arial"/>
                <w:bCs/>
                <w:color w:val="000000"/>
                <w:sz w:val="16"/>
                <w:szCs w:val="16"/>
              </w:rPr>
            </w:pPr>
            <w:r w:rsidRPr="00546097">
              <w:rPr>
                <w:rFonts w:cs="Arial"/>
                <w:bCs/>
                <w:color w:val="000000"/>
                <w:sz w:val="16"/>
                <w:szCs w:val="16"/>
              </w:rPr>
              <w:t>Utilization rate (%)</w:t>
            </w:r>
          </w:p>
        </w:tc>
      </w:tr>
      <w:tr w:rsidR="008B3E53" w:rsidRPr="00EC148C" w:rsidTr="001428E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305272">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22,512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23,670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23,670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100%</w:t>
            </w:r>
          </w:p>
        </w:tc>
      </w:tr>
      <w:tr w:rsidR="008B3E53" w:rsidRPr="00EC148C" w:rsidTr="001428E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305272">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12,590</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10,892</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8,801</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color w:val="000000"/>
                <w:sz w:val="16"/>
                <w:szCs w:val="16"/>
              </w:rPr>
            </w:pPr>
            <w:r w:rsidRPr="0027745B">
              <w:rPr>
                <w:rFonts w:cs="Arial"/>
                <w:color w:val="000000"/>
                <w:sz w:val="16"/>
                <w:szCs w:val="16"/>
              </w:rPr>
              <w:t>81%</w:t>
            </w:r>
          </w:p>
        </w:tc>
      </w:tr>
      <w:tr w:rsidR="008B3E53" w:rsidRPr="00EC148C" w:rsidTr="001428E9">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8B3E53" w:rsidRPr="0027745B" w:rsidRDefault="008B3E53" w:rsidP="00305272">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b/>
                <w:bCs/>
                <w:color w:val="000000"/>
                <w:sz w:val="16"/>
                <w:szCs w:val="16"/>
              </w:rPr>
            </w:pPr>
            <w:r w:rsidRPr="0027745B">
              <w:rPr>
                <w:rFonts w:cs="Arial"/>
                <w:b/>
                <w:bCs/>
                <w:color w:val="000000"/>
                <w:sz w:val="16"/>
                <w:szCs w:val="16"/>
              </w:rPr>
              <w:t>35,102</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b/>
                <w:bCs/>
                <w:color w:val="000000"/>
                <w:sz w:val="16"/>
                <w:szCs w:val="16"/>
              </w:rPr>
            </w:pPr>
            <w:r w:rsidRPr="0027745B">
              <w:rPr>
                <w:rFonts w:cs="Arial"/>
                <w:b/>
                <w:bCs/>
                <w:color w:val="000000"/>
                <w:sz w:val="16"/>
                <w:szCs w:val="16"/>
              </w:rPr>
              <w:t>34,562</w:t>
            </w:r>
          </w:p>
        </w:tc>
        <w:tc>
          <w:tcPr>
            <w:tcW w:w="1736"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b/>
                <w:bCs/>
                <w:color w:val="000000"/>
                <w:sz w:val="16"/>
                <w:szCs w:val="16"/>
              </w:rPr>
            </w:pPr>
            <w:r w:rsidRPr="0027745B">
              <w:rPr>
                <w:rFonts w:cs="Arial"/>
                <w:b/>
                <w:bCs/>
                <w:color w:val="000000"/>
                <w:sz w:val="16"/>
                <w:szCs w:val="16"/>
              </w:rPr>
              <w:t>32,472</w:t>
            </w:r>
          </w:p>
        </w:tc>
        <w:tc>
          <w:tcPr>
            <w:tcW w:w="1737" w:type="dxa"/>
            <w:tcBorders>
              <w:top w:val="nil"/>
              <w:left w:val="nil"/>
              <w:bottom w:val="single" w:sz="4" w:space="0" w:color="auto"/>
              <w:right w:val="single" w:sz="4" w:space="0" w:color="auto"/>
            </w:tcBorders>
            <w:shd w:val="clear" w:color="auto" w:fill="auto"/>
            <w:vAlign w:val="center"/>
            <w:hideMark/>
          </w:tcPr>
          <w:p w:rsidR="008B3E53" w:rsidRPr="0027745B" w:rsidRDefault="008B3E53" w:rsidP="00305272">
            <w:pPr>
              <w:spacing w:before="120" w:after="120"/>
              <w:jc w:val="center"/>
              <w:rPr>
                <w:rFonts w:cs="Arial"/>
                <w:b/>
                <w:bCs/>
                <w:color w:val="000000"/>
                <w:sz w:val="16"/>
                <w:szCs w:val="16"/>
              </w:rPr>
            </w:pPr>
            <w:r w:rsidRPr="0027745B">
              <w:rPr>
                <w:rFonts w:cs="Arial"/>
                <w:b/>
                <w:bCs/>
                <w:color w:val="000000"/>
                <w:sz w:val="16"/>
                <w:szCs w:val="16"/>
              </w:rPr>
              <w:t>94%</w:t>
            </w:r>
          </w:p>
        </w:tc>
      </w:tr>
    </w:tbl>
    <w:p w:rsidR="008B3E53" w:rsidRDefault="008B3E53" w:rsidP="008B3E53">
      <w:pPr>
        <w:rPr>
          <w:rFonts w:cs="Arial"/>
        </w:rPr>
      </w:pPr>
    </w:p>
    <w:p w:rsidR="008B3E53" w:rsidRPr="00CD0DD3" w:rsidRDefault="008B3E53" w:rsidP="008B3E53">
      <w:pPr>
        <w:keepNext/>
        <w:keepLines/>
        <w:autoSpaceDE w:val="0"/>
        <w:autoSpaceDN w:val="0"/>
        <w:adjustRightInd w:val="0"/>
        <w:rPr>
          <w:sz w:val="16"/>
          <w:szCs w:val="16"/>
        </w:rPr>
      </w:pPr>
      <w:r w:rsidRPr="00CD0DD3">
        <w:rPr>
          <w:sz w:val="16"/>
          <w:szCs w:val="16"/>
        </w:rPr>
        <w:t>NOTES:</w:t>
      </w:r>
    </w:p>
    <w:p w:rsidR="008B3E53" w:rsidRPr="00CD0DD3" w:rsidRDefault="008B3E53" w:rsidP="008B3E53">
      <w:pPr>
        <w:keepNext/>
        <w:keepLines/>
        <w:autoSpaceDE w:val="0"/>
        <w:autoSpaceDN w:val="0"/>
        <w:adjustRightInd w:val="0"/>
        <w:rPr>
          <w:sz w:val="16"/>
          <w:szCs w:val="16"/>
        </w:rPr>
      </w:pPr>
    </w:p>
    <w:p w:rsidR="008B3E53" w:rsidRPr="00CD0DD3" w:rsidRDefault="008B3E53" w:rsidP="008B3E53">
      <w:pPr>
        <w:keepNext/>
        <w:keepLines/>
        <w:autoSpaceDE w:val="0"/>
        <w:autoSpaceDN w:val="0"/>
        <w:adjustRightInd w:val="0"/>
        <w:rPr>
          <w:sz w:val="16"/>
          <w:szCs w:val="16"/>
        </w:rPr>
      </w:pPr>
      <w:r w:rsidRPr="00CD0DD3">
        <w:rPr>
          <w:sz w:val="16"/>
          <w:szCs w:val="16"/>
        </w:rPr>
        <w:t>(1)  Budget after transfers reflects the adjusted budget of Programs, following transfers during 2012/13 in line with Financial Regulation 5.5.</w:t>
      </w:r>
    </w:p>
    <w:p w:rsidR="008B3E53" w:rsidRPr="00CD0DD3" w:rsidRDefault="008B3E53" w:rsidP="008B3E53">
      <w:pPr>
        <w:keepNext/>
        <w:keepLines/>
        <w:autoSpaceDE w:val="0"/>
        <w:autoSpaceDN w:val="0"/>
        <w:adjustRightInd w:val="0"/>
        <w:rPr>
          <w:sz w:val="16"/>
          <w:szCs w:val="16"/>
        </w:rPr>
      </w:pPr>
    </w:p>
    <w:p w:rsidR="008B3E53" w:rsidRPr="00CD0DD3" w:rsidRDefault="00DC2CFA" w:rsidP="008B3E53">
      <w:pPr>
        <w:keepNext/>
        <w:keepLines/>
        <w:autoSpaceDE w:val="0"/>
        <w:autoSpaceDN w:val="0"/>
        <w:adjustRightInd w:val="0"/>
        <w:rPr>
          <w:sz w:val="16"/>
          <w:szCs w:val="16"/>
        </w:rPr>
      </w:pPr>
      <w:r>
        <w:rPr>
          <w:sz w:val="16"/>
          <w:szCs w:val="16"/>
        </w:rPr>
        <w:t xml:space="preserve">(2)  The personnel allocation for the 2012/13 Budget after transfers represents actual expenditures incurred in the biennium. </w:t>
      </w:r>
      <w:r w:rsidR="008B3E53" w:rsidRPr="00CD0DD3">
        <w:rPr>
          <w:sz w:val="16"/>
          <w:szCs w:val="16"/>
        </w:rPr>
        <w:t xml:space="preserve"> </w:t>
      </w:r>
    </w:p>
    <w:p w:rsidR="008B3E53" w:rsidRPr="00CD0DD3" w:rsidRDefault="008B3E53" w:rsidP="008B3E53">
      <w:pPr>
        <w:keepNext/>
        <w:keepLines/>
        <w:autoSpaceDE w:val="0"/>
        <w:autoSpaceDN w:val="0"/>
        <w:adjustRightInd w:val="0"/>
        <w:rPr>
          <w:sz w:val="16"/>
          <w:szCs w:val="16"/>
        </w:rPr>
      </w:pPr>
    </w:p>
    <w:p w:rsidR="008B3E53" w:rsidRDefault="008B3E53" w:rsidP="00B44D3B">
      <w:pPr>
        <w:jc w:val="both"/>
        <w:rPr>
          <w:rFonts w:cs="Arial"/>
        </w:rPr>
      </w:pPr>
    </w:p>
    <w:p w:rsidR="008B3E53" w:rsidRPr="00CD0DD3" w:rsidRDefault="008B3E53" w:rsidP="00B44D3B">
      <w:pPr>
        <w:keepNext/>
        <w:keepLines/>
        <w:jc w:val="both"/>
        <w:rPr>
          <w:u w:val="single"/>
        </w:rPr>
      </w:pPr>
      <w:r w:rsidRPr="00CD0DD3">
        <w:t>A.</w:t>
      </w:r>
      <w:r w:rsidRPr="00CD0DD3">
        <w:tab/>
      </w:r>
      <w:r w:rsidRPr="00CD0DD3">
        <w:rPr>
          <w:u w:val="single"/>
        </w:rPr>
        <w:t>Budget after Transfers 2012/13</w:t>
      </w:r>
    </w:p>
    <w:p w:rsidR="008B3E53" w:rsidRPr="00CD0DD3" w:rsidRDefault="008B3E53" w:rsidP="00B44D3B">
      <w:pPr>
        <w:keepNext/>
        <w:keepLines/>
        <w:jc w:val="both"/>
        <w:rPr>
          <w:u w:val="single"/>
        </w:rPr>
      </w:pPr>
    </w:p>
    <w:p w:rsidR="008B3E53" w:rsidRPr="003E6994" w:rsidRDefault="00305272" w:rsidP="00B44D3B">
      <w:pPr>
        <w:keepNext/>
        <w:keepLines/>
        <w:tabs>
          <w:tab w:val="left" w:pos="709"/>
        </w:tabs>
        <w:autoSpaceDE w:val="0"/>
        <w:autoSpaceDN w:val="0"/>
        <w:adjustRightInd w:val="0"/>
        <w:jc w:val="both"/>
        <w:rPr>
          <w:szCs w:val="20"/>
        </w:rPr>
      </w:pPr>
      <w:r>
        <w:rPr>
          <w:rFonts w:cs="Arial"/>
          <w:szCs w:val="20"/>
        </w:rPr>
        <w:t>9.20.</w:t>
      </w:r>
      <w:r>
        <w:rPr>
          <w:rFonts w:cs="Arial"/>
          <w:szCs w:val="20"/>
        </w:rPr>
        <w:tab/>
      </w:r>
      <w:r w:rsidR="008B3E53" w:rsidRPr="00025DE2">
        <w:rPr>
          <w:rFonts w:cs="Arial"/>
          <w:szCs w:val="20"/>
        </w:rPr>
        <w:t xml:space="preserve">The </w:t>
      </w:r>
      <w:r w:rsidR="008B3E53">
        <w:rPr>
          <w:rFonts w:cs="Arial"/>
          <w:szCs w:val="20"/>
        </w:rPr>
        <w:t xml:space="preserve">total 2012/13 </w:t>
      </w:r>
      <w:r w:rsidR="008B3E53" w:rsidRPr="00025DE2">
        <w:rPr>
          <w:rFonts w:cs="Arial"/>
          <w:szCs w:val="20"/>
        </w:rPr>
        <w:t>non-personnel Budget after Transfers reflects downward adjustments made for cost efficiency gains, in accordance with the Organization’s commitment to reduce expenditures by 10.2</w:t>
      </w:r>
      <w:r w:rsidR="008B3E53">
        <w:rPr>
          <w:rFonts w:cs="Arial"/>
          <w:szCs w:val="20"/>
        </w:rPr>
        <w:t> </w:t>
      </w:r>
      <w:r w:rsidR="008B3E53" w:rsidRPr="00025DE2">
        <w:rPr>
          <w:rFonts w:cs="Arial"/>
          <w:szCs w:val="20"/>
        </w:rPr>
        <w:t>million Swiss francs in the 2012/13 biennium.</w:t>
      </w:r>
      <w:r w:rsidR="008B3E53">
        <w:rPr>
          <w:rFonts w:cs="Arial"/>
          <w:szCs w:val="20"/>
        </w:rPr>
        <w:t xml:space="preserve">  </w:t>
      </w:r>
    </w:p>
    <w:p w:rsidR="008B3E53" w:rsidRDefault="008B3E53" w:rsidP="00B44D3B">
      <w:pPr>
        <w:jc w:val="both"/>
      </w:pPr>
    </w:p>
    <w:p w:rsidR="008B3E53" w:rsidRDefault="00305272" w:rsidP="00B44D3B">
      <w:pPr>
        <w:tabs>
          <w:tab w:val="left" w:pos="709"/>
        </w:tabs>
        <w:jc w:val="both"/>
      </w:pPr>
      <w:r>
        <w:t>9.21.</w:t>
      </w:r>
      <w:r>
        <w:tab/>
      </w:r>
      <w:r w:rsidR="008B3E53">
        <w:t>As regards the Budget after Transfer per result, the following adjustments were made in the biennium:</w:t>
      </w:r>
    </w:p>
    <w:p w:rsidR="008B3E53" w:rsidRPr="001428E9" w:rsidRDefault="008B3E53" w:rsidP="00B44D3B">
      <w:pPr>
        <w:jc w:val="both"/>
        <w:rPr>
          <w:sz w:val="16"/>
          <w:szCs w:val="16"/>
        </w:rPr>
      </w:pPr>
    </w:p>
    <w:p w:rsidR="008B3E53" w:rsidRPr="00546097" w:rsidRDefault="008B3E53" w:rsidP="00B44D3B">
      <w:pPr>
        <w:pStyle w:val="ListParagraph"/>
        <w:numPr>
          <w:ilvl w:val="0"/>
          <w:numId w:val="34"/>
        </w:numPr>
        <w:ind w:left="1134"/>
        <w:jc w:val="both"/>
      </w:pPr>
      <w:r w:rsidRPr="00546097">
        <w:t xml:space="preserve">a transfer of resources in respect of the DA project South-South Cooperation on IP and Development among Developing Countries and LDCs under Result III.6 (Mainstreaming of DA) to the Reserve Funds; </w:t>
      </w:r>
    </w:p>
    <w:p w:rsidR="008B3E53" w:rsidRPr="001428E9" w:rsidRDefault="008B3E53" w:rsidP="00B44D3B">
      <w:pPr>
        <w:ind w:left="1134"/>
        <w:jc w:val="both"/>
        <w:rPr>
          <w:sz w:val="14"/>
          <w:szCs w:val="20"/>
        </w:rPr>
      </w:pPr>
    </w:p>
    <w:p w:rsidR="008B3E53" w:rsidRPr="00546097" w:rsidRDefault="008B3E53" w:rsidP="00B44D3B">
      <w:pPr>
        <w:pStyle w:val="ListParagraph"/>
        <w:numPr>
          <w:ilvl w:val="0"/>
          <w:numId w:val="34"/>
        </w:numPr>
        <w:ind w:left="1134"/>
        <w:jc w:val="both"/>
      </w:pPr>
      <w:r w:rsidRPr="00546097">
        <w:t xml:space="preserve">the allocation of additional resources for the development of national IP strategies under Result III.1 (National IP Strategies) due to the enhanced focus on these activities, including the implementation of the DA Project on National IP Strategies; </w:t>
      </w:r>
    </w:p>
    <w:p w:rsidR="008B3E53" w:rsidRPr="001428E9" w:rsidRDefault="008B3E53" w:rsidP="00B44D3B">
      <w:pPr>
        <w:pStyle w:val="ListParagraph"/>
        <w:ind w:left="1134"/>
        <w:jc w:val="both"/>
        <w:rPr>
          <w:sz w:val="14"/>
        </w:rPr>
      </w:pPr>
    </w:p>
    <w:p w:rsidR="008B3E53" w:rsidRPr="00546097" w:rsidRDefault="008B3E53" w:rsidP="00B44D3B">
      <w:pPr>
        <w:pStyle w:val="ListParagraph"/>
        <w:numPr>
          <w:ilvl w:val="0"/>
          <w:numId w:val="34"/>
        </w:numPr>
        <w:ind w:left="1134"/>
        <w:jc w:val="both"/>
      </w:pPr>
      <w:r w:rsidRPr="00546097">
        <w:t>a shift in resources from Result III.3 (</w:t>
      </w:r>
      <w:r w:rsidRPr="00546097">
        <w:rPr>
          <w:rFonts w:cs="Arial"/>
          <w:color w:val="000000"/>
        </w:rPr>
        <w:t>New or strengthened cooperation mechanisms, programs and partnerships in LDCs</w:t>
      </w:r>
      <w:r w:rsidRPr="00546097">
        <w:t>) to Result IV.2 (</w:t>
      </w:r>
      <w:r w:rsidRPr="00546097">
        <w:rPr>
          <w:rFonts w:cs="Arial"/>
          <w:color w:val="000000"/>
        </w:rPr>
        <w:t xml:space="preserve">Enhanced access to, and use of, IP information and knowledge) reflecting an enhanced focus on establishing TISCs in LDCs and the implementation of the DA Project on Appropriate Technologies in LDCs; </w:t>
      </w:r>
    </w:p>
    <w:p w:rsidR="008B3E53" w:rsidRPr="001428E9" w:rsidRDefault="008B3E53" w:rsidP="00B44D3B">
      <w:pPr>
        <w:pStyle w:val="ListParagraph"/>
        <w:ind w:left="1134"/>
        <w:jc w:val="both"/>
        <w:rPr>
          <w:sz w:val="14"/>
        </w:rPr>
      </w:pPr>
    </w:p>
    <w:p w:rsidR="008B3E53" w:rsidRPr="00546097" w:rsidRDefault="008B3E53" w:rsidP="00B44D3B">
      <w:pPr>
        <w:pStyle w:val="ListParagraph"/>
        <w:numPr>
          <w:ilvl w:val="0"/>
          <w:numId w:val="34"/>
        </w:numPr>
        <w:ind w:left="1134"/>
        <w:jc w:val="both"/>
      </w:pPr>
      <w:r w:rsidRPr="00546097">
        <w:t xml:space="preserve">a shift in resources from Result III.7 (Effective monitoring of DA recommendations) to Result III.5 (Upgraded IP Management skills for business) reflecting the implementation of the DA Project on Product Branding; </w:t>
      </w:r>
      <w:r w:rsidR="00B677AC">
        <w:t xml:space="preserve"> </w:t>
      </w:r>
      <w:r w:rsidRPr="00546097">
        <w:t>and</w:t>
      </w:r>
    </w:p>
    <w:p w:rsidR="008B3E53" w:rsidRPr="001428E9" w:rsidRDefault="008B3E53" w:rsidP="00B44D3B">
      <w:pPr>
        <w:pStyle w:val="ListParagraph"/>
        <w:ind w:left="1134"/>
        <w:jc w:val="both"/>
        <w:rPr>
          <w:sz w:val="14"/>
        </w:rPr>
      </w:pPr>
    </w:p>
    <w:p w:rsidR="008B3E53" w:rsidRPr="00546097" w:rsidRDefault="008B3E53" w:rsidP="00B44D3B">
      <w:pPr>
        <w:pStyle w:val="ListParagraph"/>
        <w:numPr>
          <w:ilvl w:val="0"/>
          <w:numId w:val="34"/>
        </w:numPr>
        <w:ind w:left="1134"/>
        <w:jc w:val="both"/>
      </w:pPr>
      <w:proofErr w:type="gramStart"/>
      <w:r w:rsidRPr="00546097">
        <w:t>a</w:t>
      </w:r>
      <w:proofErr w:type="gramEnd"/>
      <w:r w:rsidRPr="00546097">
        <w:t xml:space="preserve"> decrease in resources under Result IV.5 (Enhanced technical and knowledge infrastructure) due to the continued implementation of the mainstreaming of IP Offices infrastructure related activities into Program 15. </w:t>
      </w:r>
    </w:p>
    <w:p w:rsidR="008B3E53" w:rsidRDefault="008B3E53" w:rsidP="001428E9">
      <w:pPr>
        <w:jc w:val="both"/>
      </w:pPr>
    </w:p>
    <w:p w:rsidR="008B3E53" w:rsidRPr="00CD0DD3" w:rsidRDefault="008B3E53" w:rsidP="001428E9">
      <w:pPr>
        <w:keepNext/>
        <w:keepLines/>
        <w:tabs>
          <w:tab w:val="left" w:pos="709"/>
        </w:tabs>
        <w:jc w:val="both"/>
        <w:rPr>
          <w:rFonts w:eastAsia="Batang"/>
          <w:u w:val="single"/>
          <w:lang w:eastAsia="ko-KR"/>
        </w:rPr>
      </w:pPr>
      <w:r w:rsidRPr="00CD0DD3">
        <w:rPr>
          <w:rFonts w:eastAsia="Batang"/>
          <w:lang w:eastAsia="ko-KR"/>
        </w:rPr>
        <w:t>B.</w:t>
      </w:r>
      <w:r w:rsidRPr="00CD0DD3">
        <w:rPr>
          <w:rFonts w:eastAsia="Batang"/>
          <w:lang w:eastAsia="ko-KR"/>
        </w:rPr>
        <w:tab/>
      </w:r>
      <w:r w:rsidR="00D44A34">
        <w:rPr>
          <w:rFonts w:eastAsia="Batang"/>
          <w:u w:val="single"/>
          <w:lang w:eastAsia="ko-KR"/>
        </w:rPr>
        <w:t>Budget U</w:t>
      </w:r>
      <w:r w:rsidRPr="00CD0DD3">
        <w:rPr>
          <w:rFonts w:eastAsia="Batang"/>
          <w:u w:val="single"/>
          <w:lang w:eastAsia="ko-KR"/>
        </w:rPr>
        <w:t>tilization 2012</w:t>
      </w:r>
      <w:r>
        <w:rPr>
          <w:rFonts w:eastAsia="Batang"/>
          <w:u w:val="single"/>
          <w:lang w:eastAsia="ko-KR"/>
        </w:rPr>
        <w:t>/13</w:t>
      </w:r>
    </w:p>
    <w:p w:rsidR="008B3E53" w:rsidRPr="00CD0DD3" w:rsidRDefault="008B3E53" w:rsidP="001428E9">
      <w:pPr>
        <w:keepNext/>
        <w:keepLines/>
        <w:jc w:val="both"/>
        <w:rPr>
          <w:b/>
          <w:bCs/>
        </w:rPr>
      </w:pPr>
    </w:p>
    <w:p w:rsidR="008B3E53" w:rsidRDefault="00305272" w:rsidP="00B44D3B">
      <w:pPr>
        <w:tabs>
          <w:tab w:val="left" w:pos="709"/>
        </w:tabs>
        <w:jc w:val="both"/>
        <w:rPr>
          <w:rFonts w:eastAsia="Batang" w:cs="Arial"/>
          <w:szCs w:val="20"/>
          <w:lang w:eastAsia="ko-KR"/>
        </w:rPr>
      </w:pPr>
      <w:r>
        <w:rPr>
          <w:rFonts w:eastAsia="Batang" w:cs="Arial"/>
          <w:szCs w:val="20"/>
          <w:lang w:eastAsia="ko-KR"/>
        </w:rPr>
        <w:t>9.22.</w:t>
      </w:r>
      <w:r>
        <w:rPr>
          <w:rFonts w:eastAsia="Batang" w:cs="Arial"/>
          <w:szCs w:val="20"/>
          <w:lang w:eastAsia="ko-KR"/>
        </w:rPr>
        <w:tab/>
      </w:r>
      <w:r w:rsidR="008B3E53">
        <w:rPr>
          <w:rFonts w:eastAsia="Batang" w:cs="Arial"/>
          <w:szCs w:val="20"/>
          <w:lang w:eastAsia="ko-KR"/>
        </w:rPr>
        <w:t>The non-personnel budget utilization rate for the Program amounted to 81 per cent of the Budget after Transfers.  The under-utilization of non-personnel resources resulted primarily from:</w:t>
      </w:r>
    </w:p>
    <w:p w:rsidR="008B3E53" w:rsidRPr="001428E9" w:rsidRDefault="008B3E53" w:rsidP="00B44D3B">
      <w:pPr>
        <w:jc w:val="both"/>
        <w:rPr>
          <w:rFonts w:cs="Arial"/>
          <w:sz w:val="14"/>
        </w:rPr>
      </w:pPr>
    </w:p>
    <w:p w:rsidR="008B3E53" w:rsidRPr="003E6994" w:rsidRDefault="008B3E53" w:rsidP="00B44D3B">
      <w:pPr>
        <w:pStyle w:val="ListParagraph"/>
        <w:numPr>
          <w:ilvl w:val="0"/>
          <w:numId w:val="33"/>
        </w:numPr>
        <w:ind w:left="1134"/>
        <w:jc w:val="both"/>
        <w:rPr>
          <w:rFonts w:cs="Arial"/>
        </w:rPr>
      </w:pPr>
      <w:r w:rsidRPr="009B44A7">
        <w:rPr>
          <w:rFonts w:cs="Arial"/>
        </w:rPr>
        <w:t>the deferment of certain planned activities</w:t>
      </w:r>
      <w:r>
        <w:rPr>
          <w:rFonts w:cs="Arial"/>
        </w:rPr>
        <w:t xml:space="preserve"> </w:t>
      </w:r>
      <w:r>
        <w:rPr>
          <w:rFonts w:cs="Arial"/>
          <w:bCs/>
        </w:rPr>
        <w:t xml:space="preserve">related to accession, treaties and conventions administrated by WIPO, legislative assistance and  global IP infrastructure </w:t>
      </w:r>
      <w:r w:rsidRPr="003E6994">
        <w:rPr>
          <w:rFonts w:cs="Arial"/>
        </w:rPr>
        <w:t xml:space="preserve">due to </w:t>
      </w:r>
      <w:r>
        <w:rPr>
          <w:rFonts w:cs="Arial"/>
        </w:rPr>
        <w:t xml:space="preserve">a longer than expected duration of </w:t>
      </w:r>
      <w:r w:rsidRPr="003E6994">
        <w:rPr>
          <w:rFonts w:cs="Arial"/>
        </w:rPr>
        <w:t xml:space="preserve">preparatory work </w:t>
      </w:r>
      <w:r>
        <w:rPr>
          <w:rFonts w:cs="Arial"/>
        </w:rPr>
        <w:t>required for the implementation of certain events</w:t>
      </w:r>
      <w:r w:rsidRPr="003E6994">
        <w:rPr>
          <w:rFonts w:cs="Arial"/>
        </w:rPr>
        <w:t>;</w:t>
      </w:r>
    </w:p>
    <w:p w:rsidR="008B3E53" w:rsidRPr="001428E9" w:rsidRDefault="008B3E53" w:rsidP="00B44D3B">
      <w:pPr>
        <w:ind w:left="1134"/>
        <w:jc w:val="both"/>
        <w:rPr>
          <w:rFonts w:cs="Arial"/>
          <w:sz w:val="14"/>
        </w:rPr>
      </w:pPr>
    </w:p>
    <w:p w:rsidR="008B3E53" w:rsidRPr="008274DF" w:rsidRDefault="008B3E53" w:rsidP="00B44D3B">
      <w:pPr>
        <w:pStyle w:val="ListParagraph"/>
        <w:numPr>
          <w:ilvl w:val="0"/>
          <w:numId w:val="33"/>
        </w:numPr>
        <w:ind w:left="1134"/>
        <w:jc w:val="both"/>
        <w:rPr>
          <w:rFonts w:cs="Arial"/>
        </w:rPr>
      </w:pPr>
      <w:r w:rsidRPr="008274DF">
        <w:rPr>
          <w:rFonts w:cs="Arial"/>
        </w:rPr>
        <w:t>cancellation or postponement of certain activities</w:t>
      </w:r>
      <w:r w:rsidRPr="008274DF" w:rsidDel="008274DF">
        <w:rPr>
          <w:rFonts w:cs="Arial"/>
        </w:rPr>
        <w:t xml:space="preserve"> </w:t>
      </w:r>
      <w:r>
        <w:rPr>
          <w:rFonts w:cs="Arial"/>
          <w:bCs/>
        </w:rPr>
        <w:t xml:space="preserve">related to development and implementation of IP strategies/policies, legislative assistance and building respect for IP </w:t>
      </w:r>
      <w:r>
        <w:rPr>
          <w:rFonts w:cs="Arial"/>
        </w:rPr>
        <w:t>due to c</w:t>
      </w:r>
      <w:r w:rsidRPr="008274DF">
        <w:rPr>
          <w:rFonts w:cs="Arial"/>
        </w:rPr>
        <w:t xml:space="preserve">ontinued security concerns and/or political situations </w:t>
      </w:r>
      <w:r>
        <w:rPr>
          <w:rFonts w:cs="Arial"/>
        </w:rPr>
        <w:t>in certain countries</w:t>
      </w:r>
      <w:r w:rsidRPr="008274DF">
        <w:rPr>
          <w:rFonts w:cs="Arial"/>
        </w:rPr>
        <w:t>;</w:t>
      </w:r>
      <w:r>
        <w:rPr>
          <w:rFonts w:cs="Arial"/>
        </w:rPr>
        <w:t xml:space="preserve"> and</w:t>
      </w:r>
    </w:p>
    <w:p w:rsidR="008B3E53" w:rsidRPr="001428E9" w:rsidRDefault="008B3E53" w:rsidP="00B44D3B">
      <w:pPr>
        <w:ind w:left="1134"/>
        <w:jc w:val="both"/>
        <w:rPr>
          <w:rFonts w:cs="Arial"/>
          <w:sz w:val="14"/>
        </w:rPr>
      </w:pPr>
    </w:p>
    <w:p w:rsidR="005660B2" w:rsidRPr="009C3DAD" w:rsidRDefault="008B3E53" w:rsidP="00B44D3B">
      <w:pPr>
        <w:pStyle w:val="ListParagraph"/>
        <w:numPr>
          <w:ilvl w:val="0"/>
          <w:numId w:val="33"/>
        </w:numPr>
        <w:ind w:left="1134"/>
        <w:jc w:val="both"/>
        <w:rPr>
          <w:rFonts w:cs="Arial"/>
        </w:rPr>
      </w:pPr>
      <w:proofErr w:type="gramStart"/>
      <w:r>
        <w:rPr>
          <w:rFonts w:cs="Arial"/>
        </w:rPr>
        <w:t>cost</w:t>
      </w:r>
      <w:proofErr w:type="gramEnd"/>
      <w:r>
        <w:rPr>
          <w:rFonts w:cs="Arial"/>
        </w:rPr>
        <w:t xml:space="preserve"> savings due to the c</w:t>
      </w:r>
      <w:r w:rsidRPr="008274DF">
        <w:rPr>
          <w:rFonts w:cs="Arial"/>
        </w:rPr>
        <w:t xml:space="preserve">hanges in </w:t>
      </w:r>
      <w:r>
        <w:rPr>
          <w:rFonts w:cs="Arial"/>
        </w:rPr>
        <w:t xml:space="preserve">the </w:t>
      </w:r>
      <w:r w:rsidRPr="008274DF">
        <w:rPr>
          <w:rFonts w:cs="Arial"/>
        </w:rPr>
        <w:t xml:space="preserve">delivery </w:t>
      </w:r>
      <w:r>
        <w:rPr>
          <w:rFonts w:cs="Arial"/>
        </w:rPr>
        <w:t xml:space="preserve">model </w:t>
      </w:r>
      <w:r w:rsidRPr="008274DF">
        <w:rPr>
          <w:rFonts w:cs="Arial"/>
        </w:rPr>
        <w:t>of certain activities</w:t>
      </w:r>
      <w:r>
        <w:rPr>
          <w:rFonts w:cs="Arial"/>
        </w:rPr>
        <w:t xml:space="preserve"> </w:t>
      </w:r>
      <w:r>
        <w:rPr>
          <w:rFonts w:cs="Arial"/>
          <w:bCs/>
        </w:rPr>
        <w:t>related to development of IP strategies/policies</w:t>
      </w:r>
      <w:r w:rsidRPr="008274DF">
        <w:rPr>
          <w:rFonts w:cs="Arial"/>
        </w:rPr>
        <w:t xml:space="preserve">. </w:t>
      </w:r>
      <w:r w:rsidR="005660B2" w:rsidRPr="009C3DAD">
        <w:rPr>
          <w:rFonts w:cs="Arial"/>
        </w:rPr>
        <w:br w:type="page"/>
      </w:r>
    </w:p>
    <w:p w:rsidR="007D4FC2" w:rsidRPr="00305272" w:rsidRDefault="00305272" w:rsidP="00305272">
      <w:pPr>
        <w:pStyle w:val="Heading3"/>
      </w:pPr>
      <w:bookmarkStart w:id="33" w:name="_Toc393956054"/>
      <w:r w:rsidRPr="00305272">
        <w:lastRenderedPageBreak/>
        <w:t>Program 10</w:t>
      </w:r>
      <w:r w:rsidRPr="00305272">
        <w:tab/>
        <w:t>Cooperation With Certain Countries Europe</w:t>
      </w:r>
      <w:r w:rsidRPr="00305272">
        <w:rPr>
          <w:rFonts w:hint="eastAsia"/>
        </w:rPr>
        <w:t> </w:t>
      </w:r>
      <w:r w:rsidRPr="00305272">
        <w:t>and</w:t>
      </w:r>
      <w:r w:rsidRPr="00305272">
        <w:rPr>
          <w:rFonts w:hint="eastAsia"/>
        </w:rPr>
        <w:t> </w:t>
      </w:r>
      <w:r w:rsidRPr="00305272">
        <w:t>Asia</w:t>
      </w:r>
      <w:bookmarkEnd w:id="33"/>
    </w:p>
    <w:p w:rsidR="007D4FC2" w:rsidRPr="00492AAB" w:rsidRDefault="007D4FC2" w:rsidP="007D4FC2">
      <w:pPr>
        <w:ind w:left="2268" w:hanging="2268"/>
        <w:rPr>
          <w:rFonts w:cs="Arial"/>
          <w:b/>
          <w:sz w:val="22"/>
          <w:szCs w:val="22"/>
        </w:rPr>
      </w:pPr>
    </w:p>
    <w:p w:rsidR="007D4FC2" w:rsidRPr="00492AAB" w:rsidRDefault="007D4FC2" w:rsidP="007D4FC2">
      <w:pPr>
        <w:ind w:left="2268" w:hanging="2268"/>
        <w:rPr>
          <w:rFonts w:cs="Arial"/>
          <w:b/>
          <w:sz w:val="22"/>
          <w:szCs w:val="22"/>
        </w:rPr>
      </w:pPr>
      <w:r w:rsidRPr="00492AAB">
        <w:rPr>
          <w:rFonts w:cs="Arial"/>
          <w:b/>
          <w:sz w:val="22"/>
          <w:szCs w:val="22"/>
        </w:rPr>
        <w:t>Program Manager</w:t>
      </w:r>
      <w:r w:rsidRPr="00492AAB">
        <w:rPr>
          <w:rFonts w:cs="Arial"/>
          <w:b/>
          <w:sz w:val="22"/>
          <w:szCs w:val="22"/>
        </w:rPr>
        <w:tab/>
        <w:t>Director General</w:t>
      </w:r>
    </w:p>
    <w:p w:rsidR="007D4FC2" w:rsidRPr="00492AAB" w:rsidRDefault="007D4FC2" w:rsidP="007D4FC2">
      <w:pPr>
        <w:ind w:left="2268" w:hanging="2268"/>
        <w:rPr>
          <w:rFonts w:cs="Arial"/>
          <w:b/>
          <w:sz w:val="22"/>
          <w:szCs w:val="22"/>
        </w:rPr>
      </w:pPr>
    </w:p>
    <w:p w:rsidR="007D4FC2" w:rsidRPr="00492AAB" w:rsidRDefault="007D4FC2" w:rsidP="007D4FC2">
      <w:pPr>
        <w:ind w:left="2268" w:hanging="2268"/>
        <w:rPr>
          <w:rFonts w:cs="Arial"/>
          <w:b/>
          <w:bCs/>
          <w:sz w:val="22"/>
          <w:szCs w:val="22"/>
        </w:rPr>
      </w:pPr>
    </w:p>
    <w:p w:rsidR="007D4FC2" w:rsidRPr="0027745B" w:rsidRDefault="007D4FC2" w:rsidP="007D4FC2">
      <w:pPr>
        <w:ind w:left="2268" w:hanging="2268"/>
        <w:rPr>
          <w:rFonts w:cs="Arial"/>
          <w:sz w:val="22"/>
          <w:szCs w:val="22"/>
        </w:rPr>
      </w:pPr>
      <w:r w:rsidRPr="0027745B">
        <w:rPr>
          <w:rFonts w:cs="Arial"/>
          <w:bCs/>
          <w:sz w:val="22"/>
          <w:szCs w:val="22"/>
        </w:rPr>
        <w:t>ACHIEVEMENTS IN THE 2012/13 BIENNIUM</w:t>
      </w:r>
    </w:p>
    <w:p w:rsidR="007D4FC2" w:rsidRPr="00492AAB" w:rsidRDefault="007D4FC2" w:rsidP="007D4FC2">
      <w:pPr>
        <w:ind w:left="2268" w:hanging="2268"/>
        <w:rPr>
          <w:rFonts w:cs="Arial"/>
          <w:b/>
          <w:sz w:val="22"/>
          <w:szCs w:val="22"/>
        </w:rPr>
      </w:pPr>
    </w:p>
    <w:p w:rsidR="007D4FC2" w:rsidRPr="0027745B" w:rsidRDefault="007D4FC2" w:rsidP="007D4FC2">
      <w:pPr>
        <w:tabs>
          <w:tab w:val="left" w:pos="709"/>
        </w:tabs>
        <w:jc w:val="both"/>
        <w:rPr>
          <w:rFonts w:cs="Arial"/>
          <w:color w:val="000000"/>
          <w:szCs w:val="20"/>
        </w:rPr>
      </w:pPr>
      <w:r w:rsidRPr="0027745B">
        <w:rPr>
          <w:rFonts w:cs="Arial"/>
          <w:color w:val="000000"/>
          <w:szCs w:val="20"/>
        </w:rPr>
        <w:t>10.1.</w:t>
      </w:r>
      <w:r w:rsidRPr="0027745B">
        <w:rPr>
          <w:rFonts w:cs="Arial"/>
          <w:color w:val="000000"/>
          <w:szCs w:val="20"/>
        </w:rPr>
        <w:tab/>
        <w:t xml:space="preserve">Program 10 continued to develop and, in cooperation with all relevant Sectors, coordinate the implementation of country cooperation activities in Central European and Baltic States, Central Asian, Eastern European and Caucasian countries, as well as some Mediterranean countries. </w:t>
      </w:r>
    </w:p>
    <w:p w:rsidR="007D4FC2" w:rsidRPr="0027745B" w:rsidRDefault="007D4FC2" w:rsidP="007D4FC2">
      <w:pPr>
        <w:tabs>
          <w:tab w:val="left" w:pos="709"/>
        </w:tabs>
        <w:jc w:val="both"/>
        <w:rPr>
          <w:rFonts w:cs="Arial"/>
          <w:color w:val="000000"/>
          <w:szCs w:val="20"/>
        </w:rPr>
      </w:pPr>
    </w:p>
    <w:p w:rsidR="007D4FC2" w:rsidRPr="0027745B" w:rsidRDefault="007D4FC2" w:rsidP="007D4FC2">
      <w:pPr>
        <w:tabs>
          <w:tab w:val="left" w:pos="709"/>
        </w:tabs>
        <w:jc w:val="both"/>
        <w:rPr>
          <w:rFonts w:cs="Arial"/>
          <w:color w:val="000000"/>
          <w:szCs w:val="20"/>
        </w:rPr>
      </w:pPr>
      <w:r w:rsidRPr="0027745B">
        <w:rPr>
          <w:rFonts w:cs="Arial"/>
          <w:color w:val="000000"/>
          <w:szCs w:val="20"/>
        </w:rPr>
        <w:t>10.2.</w:t>
      </w:r>
      <w:r w:rsidRPr="0027745B">
        <w:rPr>
          <w:rFonts w:cs="Arial"/>
          <w:color w:val="000000"/>
          <w:szCs w:val="20"/>
        </w:rPr>
        <w:tab/>
        <w:t xml:space="preserve">The Program further enhanced its long term planning and adopted a strategic approach to IP in the countries concerned, in order to focus on the real needs of Member States rather than short-term goals. </w:t>
      </w:r>
    </w:p>
    <w:p w:rsidR="007D4FC2" w:rsidRPr="0027745B" w:rsidRDefault="007D4FC2" w:rsidP="007D4FC2">
      <w:pPr>
        <w:tabs>
          <w:tab w:val="left" w:pos="709"/>
        </w:tabs>
        <w:jc w:val="both"/>
        <w:rPr>
          <w:rFonts w:cs="Arial"/>
          <w:color w:val="000000"/>
          <w:szCs w:val="20"/>
        </w:rPr>
      </w:pPr>
    </w:p>
    <w:p w:rsidR="007D4FC2" w:rsidRPr="0027745B" w:rsidRDefault="007D4FC2" w:rsidP="007D4FC2">
      <w:pPr>
        <w:tabs>
          <w:tab w:val="left" w:pos="709"/>
        </w:tabs>
        <w:autoSpaceDE w:val="0"/>
        <w:autoSpaceDN w:val="0"/>
        <w:adjustRightInd w:val="0"/>
        <w:jc w:val="both"/>
        <w:rPr>
          <w:rFonts w:cs="Arial"/>
          <w:bCs/>
          <w:szCs w:val="20"/>
        </w:rPr>
      </w:pPr>
      <w:r>
        <w:rPr>
          <w:rFonts w:cs="Arial"/>
          <w:color w:val="000000"/>
          <w:szCs w:val="20"/>
        </w:rPr>
        <w:t>10.3.</w:t>
      </w:r>
      <w:r>
        <w:rPr>
          <w:rFonts w:cs="Arial"/>
          <w:color w:val="000000"/>
          <w:szCs w:val="20"/>
        </w:rPr>
        <w:tab/>
      </w:r>
      <w:r w:rsidRPr="0027745B">
        <w:rPr>
          <w:rFonts w:cs="Arial"/>
          <w:color w:val="000000"/>
          <w:szCs w:val="20"/>
        </w:rPr>
        <w:t xml:space="preserve">As a priority for cooperation with countries in transition, WIPO continued to promote the importance of, and/or assist in, the development and implementation of national IP strategies in the region.  As a result, the following countries adopted a national IP strategy in the biennium: </w:t>
      </w:r>
      <w:r w:rsidR="00A55957">
        <w:rPr>
          <w:rFonts w:cs="Arial"/>
          <w:color w:val="000000"/>
          <w:szCs w:val="20"/>
        </w:rPr>
        <w:t xml:space="preserve"> </w:t>
      </w:r>
      <w:r w:rsidRPr="0027745B">
        <w:rPr>
          <w:rFonts w:cs="Arial"/>
          <w:color w:val="000000"/>
          <w:szCs w:val="20"/>
        </w:rPr>
        <w:t xml:space="preserve">Belarus, Kyrgyzstan, Montenegro, Moldova, Romania, Slovenia and the </w:t>
      </w:r>
      <w:proofErr w:type="gramStart"/>
      <w:r w:rsidRPr="0027745B">
        <w:rPr>
          <w:rFonts w:cs="Arial"/>
          <w:color w:val="000000"/>
          <w:szCs w:val="20"/>
        </w:rPr>
        <w:t>former</w:t>
      </w:r>
      <w:proofErr w:type="gramEnd"/>
      <w:r w:rsidRPr="0027745B">
        <w:rPr>
          <w:rFonts w:cs="Arial"/>
          <w:color w:val="000000"/>
          <w:szCs w:val="20"/>
        </w:rPr>
        <w:t xml:space="preserve"> Yugoslav Republic of Macedonia. Tajikistan initiated the development of a new IP strategy. </w:t>
      </w:r>
      <w:r w:rsidR="00A55957">
        <w:rPr>
          <w:rFonts w:cs="Arial"/>
          <w:color w:val="000000"/>
          <w:szCs w:val="20"/>
        </w:rPr>
        <w:t xml:space="preserve"> </w:t>
      </w:r>
      <w:r w:rsidRPr="0027745B">
        <w:rPr>
          <w:rFonts w:cs="Arial"/>
          <w:color w:val="000000"/>
          <w:szCs w:val="20"/>
        </w:rPr>
        <w:t xml:space="preserve">In addition, MoUs between WIPO and several national partners outlining multi-year cooperation were signed. </w:t>
      </w:r>
    </w:p>
    <w:p w:rsidR="007D4FC2" w:rsidRPr="0027745B" w:rsidRDefault="007D4FC2" w:rsidP="007D4FC2">
      <w:pPr>
        <w:tabs>
          <w:tab w:val="left" w:pos="709"/>
        </w:tabs>
        <w:autoSpaceDE w:val="0"/>
        <w:autoSpaceDN w:val="0"/>
        <w:adjustRightInd w:val="0"/>
        <w:jc w:val="both"/>
        <w:rPr>
          <w:rFonts w:cs="Arial"/>
          <w:bCs/>
          <w:szCs w:val="20"/>
        </w:rPr>
      </w:pPr>
    </w:p>
    <w:p w:rsidR="007D4FC2" w:rsidRPr="0027745B" w:rsidRDefault="007D4FC2" w:rsidP="007D4FC2">
      <w:pPr>
        <w:pStyle w:val="ListParagraph"/>
        <w:tabs>
          <w:tab w:val="left" w:pos="709"/>
        </w:tabs>
        <w:autoSpaceDE w:val="0"/>
        <w:autoSpaceDN w:val="0"/>
        <w:adjustRightInd w:val="0"/>
        <w:ind w:left="0"/>
        <w:jc w:val="both"/>
        <w:rPr>
          <w:rFonts w:cs="Arial"/>
        </w:rPr>
      </w:pPr>
      <w:r>
        <w:rPr>
          <w:rFonts w:cs="Arial"/>
        </w:rPr>
        <w:t>10.4.</w:t>
      </w:r>
      <w:r>
        <w:rPr>
          <w:rFonts w:cs="Arial"/>
        </w:rPr>
        <w:tab/>
      </w:r>
      <w:r w:rsidRPr="0027745B">
        <w:rPr>
          <w:rFonts w:cs="Arial"/>
        </w:rPr>
        <w:t xml:space="preserve">In order to improve the coordination, promotion and delivery of WIPO services and programs in developed countries, the new Section for Coordination of Developed Countries was established in 2013. The Section is focused on strengthening institutional relations in these countries in order to broaden WIPO’s outreach and to create synergies amongst companies, academia, research institutions, lawyers, public administrations, creators and innovators.  A series of Roving Seminars on WIPO Services and Initiatives were conducted in five countries (Australia, Denmark, Iceland, Norway and Spain) during the latter half of 2013.  Feedback on the </w:t>
      </w:r>
      <w:r w:rsidR="001926FB">
        <w:rPr>
          <w:rFonts w:cs="Arial"/>
        </w:rPr>
        <w:t>s</w:t>
      </w:r>
      <w:r w:rsidRPr="0027745B">
        <w:rPr>
          <w:rFonts w:cs="Arial"/>
        </w:rPr>
        <w:t>eminars was positive, with 94.9 per cent of the respondents indicating that the seminars were useful and relevant in their professional work.</w:t>
      </w:r>
    </w:p>
    <w:p w:rsidR="007D4FC2" w:rsidRPr="0027745B" w:rsidRDefault="007D4FC2" w:rsidP="007D4FC2">
      <w:pPr>
        <w:tabs>
          <w:tab w:val="left" w:pos="709"/>
        </w:tabs>
        <w:autoSpaceDE w:val="0"/>
        <w:autoSpaceDN w:val="0"/>
        <w:adjustRightInd w:val="0"/>
        <w:jc w:val="both"/>
        <w:rPr>
          <w:rFonts w:cs="Arial"/>
          <w:bCs/>
          <w:szCs w:val="20"/>
        </w:rPr>
      </w:pPr>
    </w:p>
    <w:p w:rsidR="007D4FC2" w:rsidRPr="0027745B" w:rsidRDefault="007D4FC2" w:rsidP="007D4FC2">
      <w:pPr>
        <w:tabs>
          <w:tab w:val="left" w:pos="709"/>
        </w:tabs>
        <w:autoSpaceDE w:val="0"/>
        <w:autoSpaceDN w:val="0"/>
        <w:adjustRightInd w:val="0"/>
        <w:jc w:val="both"/>
        <w:rPr>
          <w:rFonts w:cs="Arial"/>
          <w:bCs/>
          <w:szCs w:val="20"/>
          <w:lang w:bidi="th-TH"/>
        </w:rPr>
      </w:pPr>
      <w:r>
        <w:rPr>
          <w:rFonts w:cs="Arial"/>
          <w:bCs/>
          <w:szCs w:val="20"/>
        </w:rPr>
        <w:t>10.5.</w:t>
      </w:r>
      <w:r>
        <w:rPr>
          <w:rFonts w:cs="Arial"/>
          <w:bCs/>
          <w:szCs w:val="20"/>
        </w:rPr>
        <w:tab/>
      </w:r>
      <w:r w:rsidRPr="0027745B">
        <w:rPr>
          <w:rFonts w:cs="Arial"/>
          <w:bCs/>
          <w:szCs w:val="20"/>
        </w:rPr>
        <w:t xml:space="preserve">In line with the national IP strategies and with WIPO’s assistance, the following countries amended their national IP legislation: </w:t>
      </w:r>
      <w:r w:rsidR="00A55957">
        <w:rPr>
          <w:rFonts w:cs="Arial"/>
          <w:bCs/>
          <w:szCs w:val="20"/>
        </w:rPr>
        <w:t xml:space="preserve"> </w:t>
      </w:r>
      <w:r w:rsidRPr="0027745B">
        <w:rPr>
          <w:rFonts w:cs="Arial"/>
          <w:bCs/>
          <w:szCs w:val="20"/>
        </w:rPr>
        <w:t xml:space="preserve">Albania, Armenia, Belarus, Bosnia and Herzegovina, Poland, Romania, Slovenia and Tajikistan.  Kazakhstan and the Russian Federation have initiated amendments to their legislation. </w:t>
      </w:r>
    </w:p>
    <w:p w:rsidR="007D4FC2" w:rsidRPr="0027745B" w:rsidRDefault="007D4FC2" w:rsidP="007D4FC2">
      <w:pPr>
        <w:tabs>
          <w:tab w:val="left" w:pos="709"/>
        </w:tabs>
        <w:autoSpaceDE w:val="0"/>
        <w:autoSpaceDN w:val="0"/>
        <w:adjustRightInd w:val="0"/>
        <w:jc w:val="both"/>
        <w:rPr>
          <w:rFonts w:cs="Arial"/>
          <w:szCs w:val="20"/>
        </w:rPr>
      </w:pPr>
    </w:p>
    <w:p w:rsidR="007D4FC2" w:rsidRPr="0027745B" w:rsidRDefault="007D4FC2" w:rsidP="007D4FC2">
      <w:pPr>
        <w:tabs>
          <w:tab w:val="left" w:pos="709"/>
        </w:tabs>
        <w:autoSpaceDE w:val="0"/>
        <w:autoSpaceDN w:val="0"/>
        <w:adjustRightInd w:val="0"/>
        <w:jc w:val="both"/>
        <w:rPr>
          <w:rFonts w:cs="Arial"/>
          <w:szCs w:val="20"/>
        </w:rPr>
      </w:pPr>
      <w:r>
        <w:rPr>
          <w:rFonts w:cs="Arial"/>
          <w:szCs w:val="20"/>
        </w:rPr>
        <w:t>10.6.</w:t>
      </w:r>
      <w:r>
        <w:rPr>
          <w:rFonts w:cs="Arial"/>
          <w:szCs w:val="20"/>
        </w:rPr>
        <w:tab/>
      </w:r>
      <w:r w:rsidRPr="0027745B">
        <w:rPr>
          <w:rFonts w:cs="Arial"/>
          <w:szCs w:val="20"/>
        </w:rPr>
        <w:t xml:space="preserve">The Program also continued to support countries in the region in building their national human resource capacities and enhancing awareness and the knowledge base for an effective use of IP for economic, social and cultural development.  During the biennium, more than 5,000 specialists and experts were trained in tailored IP programs, including on technology transfer, SMEs, enforcement, copyright, IP teaching and WIPO services. </w:t>
      </w:r>
      <w:r w:rsidR="00A55957">
        <w:rPr>
          <w:rFonts w:cs="Arial"/>
          <w:szCs w:val="20"/>
        </w:rPr>
        <w:t xml:space="preserve"> </w:t>
      </w:r>
      <w:r w:rsidRPr="0027745B">
        <w:rPr>
          <w:rFonts w:cs="Arial"/>
          <w:szCs w:val="20"/>
        </w:rPr>
        <w:t xml:space="preserve">Participants in these events provided positive feedback, and the received comments will assist in further improving the quality of similar future activities.   </w:t>
      </w:r>
    </w:p>
    <w:p w:rsidR="007D4FC2" w:rsidRPr="0027745B" w:rsidRDefault="007D4FC2" w:rsidP="007D4FC2">
      <w:pPr>
        <w:pStyle w:val="ListParagraph"/>
        <w:tabs>
          <w:tab w:val="left" w:pos="709"/>
        </w:tabs>
        <w:ind w:left="0"/>
        <w:rPr>
          <w:rFonts w:cs="Arial"/>
        </w:rPr>
      </w:pPr>
    </w:p>
    <w:p w:rsidR="007D4FC2" w:rsidRPr="0027745B" w:rsidRDefault="007D4FC2" w:rsidP="007D4FC2">
      <w:pPr>
        <w:pStyle w:val="ListParagraph"/>
        <w:tabs>
          <w:tab w:val="left" w:pos="709"/>
        </w:tabs>
        <w:autoSpaceDE w:val="0"/>
        <w:autoSpaceDN w:val="0"/>
        <w:adjustRightInd w:val="0"/>
        <w:ind w:left="0"/>
        <w:jc w:val="both"/>
        <w:rPr>
          <w:rFonts w:cs="Arial"/>
        </w:rPr>
      </w:pPr>
      <w:r>
        <w:rPr>
          <w:rFonts w:cs="Arial"/>
        </w:rPr>
        <w:t>10.7.</w:t>
      </w:r>
      <w:r>
        <w:rPr>
          <w:rFonts w:cs="Arial"/>
        </w:rPr>
        <w:tab/>
      </w:r>
      <w:r w:rsidRPr="0027745B">
        <w:rPr>
          <w:rFonts w:cs="Arial"/>
        </w:rPr>
        <w:t xml:space="preserve">In cooperation with the relevant Sectors, an initiative to integrate IP into innovation policies was launched in 2013.  As a first step, a baseline analysis to identify efforts already undertaken towards establishing an innovation policy was performed in one pilot country (Serbia).  Following the positive feedback received, further steps will be continued during the 2014/15 biennium, and the initiative will be scaled up to include additional countries.  </w:t>
      </w:r>
    </w:p>
    <w:p w:rsidR="007D4FC2" w:rsidRPr="0027745B" w:rsidRDefault="007D4FC2" w:rsidP="007D4FC2">
      <w:pPr>
        <w:pStyle w:val="ListParagraph"/>
        <w:tabs>
          <w:tab w:val="left" w:pos="709"/>
        </w:tabs>
        <w:ind w:left="0"/>
        <w:rPr>
          <w:rFonts w:cs="Arial"/>
        </w:rPr>
      </w:pPr>
    </w:p>
    <w:p w:rsidR="007D4FC2" w:rsidRPr="0027745B" w:rsidRDefault="007D4FC2" w:rsidP="007D4FC2">
      <w:pPr>
        <w:tabs>
          <w:tab w:val="left" w:pos="709"/>
        </w:tabs>
        <w:autoSpaceDE w:val="0"/>
        <w:autoSpaceDN w:val="0"/>
        <w:adjustRightInd w:val="0"/>
        <w:jc w:val="both"/>
        <w:rPr>
          <w:rFonts w:cs="Arial"/>
          <w:szCs w:val="20"/>
        </w:rPr>
      </w:pPr>
      <w:r>
        <w:rPr>
          <w:rFonts w:cs="Arial"/>
          <w:szCs w:val="20"/>
        </w:rPr>
        <w:t>10.8.</w:t>
      </w:r>
      <w:r>
        <w:rPr>
          <w:rFonts w:cs="Arial"/>
          <w:szCs w:val="20"/>
        </w:rPr>
        <w:tab/>
      </w:r>
      <w:r w:rsidRPr="0027745B">
        <w:rPr>
          <w:rFonts w:cs="Arial"/>
          <w:szCs w:val="20"/>
        </w:rPr>
        <w:t xml:space="preserve">WIPO Summer Schools were organized in Croatia, the Russian Federation and Ukraine. Excellent cooperation was established between WIPO and the World Women Inventors and Entrepreneurs Association (WWIEA), which resulted in the co-organization of an annual training program for women in Central Asia.  Another event that raised particular interest was a study visit on IP management best practices in Singapore for officials from Central Asia countries. </w:t>
      </w:r>
    </w:p>
    <w:p w:rsidR="007D4FC2" w:rsidRPr="002C4083" w:rsidRDefault="007D4FC2" w:rsidP="007D4FC2">
      <w:pPr>
        <w:tabs>
          <w:tab w:val="left" w:pos="709"/>
        </w:tabs>
        <w:rPr>
          <w:rFonts w:cs="Arial"/>
          <w:b/>
          <w:bCs/>
          <w:szCs w:val="20"/>
        </w:rPr>
      </w:pPr>
    </w:p>
    <w:p w:rsidR="007D4FC2" w:rsidRPr="002C4083" w:rsidRDefault="007D4FC2">
      <w:pPr>
        <w:rPr>
          <w:rFonts w:cs="Arial"/>
          <w:bCs/>
          <w:szCs w:val="20"/>
        </w:rPr>
      </w:pPr>
      <w:r w:rsidRPr="002C4083">
        <w:rPr>
          <w:rFonts w:cs="Arial"/>
          <w:bCs/>
          <w:szCs w:val="20"/>
        </w:rPr>
        <w:br w:type="page"/>
      </w:r>
    </w:p>
    <w:p w:rsidR="007D4FC2" w:rsidRPr="002C4083" w:rsidRDefault="007D4FC2" w:rsidP="007D4FC2">
      <w:pPr>
        <w:tabs>
          <w:tab w:val="left" w:pos="709"/>
        </w:tabs>
        <w:rPr>
          <w:rFonts w:cs="Arial"/>
          <w:bCs/>
          <w:sz w:val="22"/>
          <w:szCs w:val="22"/>
        </w:rPr>
      </w:pPr>
      <w:r w:rsidRPr="002C4083">
        <w:rPr>
          <w:rFonts w:cs="Arial"/>
          <w:bCs/>
          <w:sz w:val="22"/>
          <w:szCs w:val="22"/>
        </w:rPr>
        <w:lastRenderedPageBreak/>
        <w:t xml:space="preserve">IMPLEMENTATION OF THE DEVELOPMENT AGENDA </w:t>
      </w:r>
    </w:p>
    <w:p w:rsidR="007D4FC2" w:rsidRPr="002C4083" w:rsidRDefault="007D4FC2" w:rsidP="007D4FC2">
      <w:pPr>
        <w:tabs>
          <w:tab w:val="left" w:pos="709"/>
        </w:tabs>
        <w:autoSpaceDE w:val="0"/>
        <w:autoSpaceDN w:val="0"/>
        <w:adjustRightInd w:val="0"/>
        <w:jc w:val="both"/>
        <w:rPr>
          <w:rFonts w:cs="Arial"/>
          <w:b/>
          <w:bCs/>
          <w:color w:val="000000"/>
          <w:szCs w:val="20"/>
        </w:rPr>
      </w:pPr>
    </w:p>
    <w:p w:rsidR="007D4FC2" w:rsidRPr="0027745B" w:rsidRDefault="007D4FC2" w:rsidP="007D4FC2">
      <w:pPr>
        <w:tabs>
          <w:tab w:val="left" w:pos="709"/>
        </w:tabs>
        <w:autoSpaceDE w:val="0"/>
        <w:autoSpaceDN w:val="0"/>
        <w:adjustRightInd w:val="0"/>
        <w:jc w:val="both"/>
        <w:rPr>
          <w:rFonts w:cs="Arial"/>
          <w:szCs w:val="20"/>
        </w:rPr>
      </w:pPr>
      <w:r>
        <w:rPr>
          <w:rFonts w:cs="Arial"/>
          <w:szCs w:val="20"/>
        </w:rPr>
        <w:t>10.9.</w:t>
      </w:r>
      <w:r>
        <w:rPr>
          <w:rFonts w:cs="Arial"/>
          <w:szCs w:val="20"/>
        </w:rPr>
        <w:tab/>
      </w:r>
      <w:r w:rsidRPr="0027745B">
        <w:rPr>
          <w:rFonts w:cs="Arial"/>
          <w:szCs w:val="20"/>
        </w:rPr>
        <w:t>Program 10 continued to play a key role in the implementation of the WIPO DA in its cooperation with certain countries in Europe and Asia.  This was particularly the case for DA Recommendations relating to WIPO’s technical assistance and capacity building activities, the Recommendations under Cluster A, which continued to shape the design and implementation of activities under Program 10.</w:t>
      </w:r>
    </w:p>
    <w:p w:rsidR="00E47E44" w:rsidRDefault="00E47E44" w:rsidP="007D4FC2">
      <w:pPr>
        <w:ind w:left="2268" w:hanging="2268"/>
        <w:rPr>
          <w:rFonts w:cs="Arial"/>
          <w:sz w:val="22"/>
          <w:szCs w:val="22"/>
        </w:rPr>
      </w:pPr>
    </w:p>
    <w:p w:rsidR="00E47E44" w:rsidRDefault="00E47E44" w:rsidP="007D4FC2">
      <w:pPr>
        <w:ind w:left="2268" w:hanging="2268"/>
        <w:rPr>
          <w:rFonts w:cs="Arial"/>
          <w:sz w:val="22"/>
          <w:szCs w:val="22"/>
        </w:rPr>
      </w:pPr>
    </w:p>
    <w:p w:rsidR="007D4FC2" w:rsidRPr="0027745B" w:rsidRDefault="007D4FC2" w:rsidP="007D4FC2">
      <w:pPr>
        <w:ind w:left="2268" w:hanging="2268"/>
        <w:rPr>
          <w:rFonts w:cs="Arial"/>
          <w:sz w:val="22"/>
          <w:szCs w:val="22"/>
        </w:rPr>
      </w:pPr>
      <w:r w:rsidRPr="0027745B">
        <w:rPr>
          <w:rFonts w:cs="Arial"/>
          <w:sz w:val="22"/>
          <w:szCs w:val="22"/>
        </w:rPr>
        <w:t>PERFORMANCE DATA</w:t>
      </w:r>
    </w:p>
    <w:p w:rsidR="007D4FC2" w:rsidRPr="00CF6A87" w:rsidRDefault="007D4FC2" w:rsidP="007D4FC2">
      <w:pPr>
        <w:ind w:left="2268" w:hanging="2268"/>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813"/>
        <w:gridCol w:w="1666"/>
        <w:gridCol w:w="1508"/>
        <w:gridCol w:w="3093"/>
        <w:gridCol w:w="180"/>
        <w:gridCol w:w="1097"/>
      </w:tblGrid>
      <w:tr w:rsidR="008D3FF3" w:rsidRPr="001656CD" w:rsidTr="008D3FF3">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2249F8">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sz w:val="16"/>
                <w:szCs w:val="16"/>
                <w:lang w:bidi="th-TH"/>
              </w:rPr>
              <w:t>Clearly defined and coherent national innovation and IP policies, strategies and development plans consistent with national development goals and objectives</w:t>
            </w:r>
          </w:p>
        </w:tc>
      </w:tr>
      <w:tr w:rsidR="008D3FF3" w:rsidRPr="001656CD" w:rsidTr="008D3FF3">
        <w:trPr>
          <w:cantSplit/>
        </w:trPr>
        <w:tc>
          <w:tcPr>
            <w:tcW w:w="969" w:type="pct"/>
            <w:tcBorders>
              <w:top w:val="single" w:sz="4" w:space="0" w:color="auto"/>
            </w:tcBorders>
            <w:shd w:val="clear" w:color="auto" w:fill="auto"/>
            <w:vAlign w:val="center"/>
          </w:tcPr>
          <w:p w:rsidR="008D3FF3" w:rsidRPr="001656CD" w:rsidRDefault="008D3FF3" w:rsidP="002249F8">
            <w:pPr>
              <w:rPr>
                <w:rFonts w:cs="Arial"/>
                <w:sz w:val="16"/>
                <w:szCs w:val="16"/>
              </w:rPr>
            </w:pPr>
            <w:r w:rsidRPr="001656CD">
              <w:rPr>
                <w:rFonts w:cs="Arial"/>
                <w:b/>
                <w:bCs/>
                <w:sz w:val="16"/>
                <w:szCs w:val="16"/>
              </w:rPr>
              <w:t>Performance Indicators</w:t>
            </w:r>
          </w:p>
        </w:tc>
        <w:tc>
          <w:tcPr>
            <w:tcW w:w="890" w:type="pct"/>
            <w:tcBorders>
              <w:top w:val="single" w:sz="4" w:space="0" w:color="auto"/>
            </w:tcBorders>
            <w:shd w:val="clear" w:color="auto" w:fill="auto"/>
            <w:vAlign w:val="center"/>
          </w:tcPr>
          <w:p w:rsidR="008D3FF3" w:rsidRPr="001656CD" w:rsidRDefault="008D3FF3" w:rsidP="002249F8">
            <w:pPr>
              <w:rPr>
                <w:rFonts w:cs="Arial"/>
                <w:b/>
                <w:bCs/>
                <w:sz w:val="16"/>
                <w:szCs w:val="16"/>
              </w:rPr>
            </w:pPr>
            <w:r w:rsidRPr="00083772">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083772" w:rsidRDefault="008D3FF3" w:rsidP="002249F8">
            <w:pPr>
              <w:rPr>
                <w:rFonts w:cs="Arial"/>
                <w:b/>
                <w:sz w:val="16"/>
                <w:szCs w:val="16"/>
              </w:rPr>
            </w:pPr>
            <w:r w:rsidRPr="00083772">
              <w:rPr>
                <w:rFonts w:cs="Arial"/>
                <w:b/>
                <w:sz w:val="16"/>
                <w:szCs w:val="16"/>
              </w:rPr>
              <w:t>Target</w:t>
            </w:r>
            <w:r w:rsidR="00E41397">
              <w:rPr>
                <w:rFonts w:cs="Arial"/>
                <w:b/>
                <w:sz w:val="16"/>
                <w:szCs w:val="16"/>
              </w:rPr>
              <w:t>s</w:t>
            </w:r>
          </w:p>
        </w:tc>
        <w:tc>
          <w:tcPr>
            <w:tcW w:w="1653" w:type="pct"/>
            <w:tcBorders>
              <w:top w:val="single" w:sz="4" w:space="0" w:color="auto"/>
            </w:tcBorders>
            <w:shd w:val="clear" w:color="auto" w:fill="FFFFFF"/>
            <w:tcMar>
              <w:top w:w="110" w:type="dxa"/>
            </w:tcMar>
            <w:vAlign w:val="center"/>
          </w:tcPr>
          <w:p w:rsidR="008D3FF3" w:rsidRPr="001656CD" w:rsidRDefault="008D3FF3" w:rsidP="002249F8">
            <w:pPr>
              <w:rPr>
                <w:rFonts w:cs="Arial"/>
                <w:sz w:val="16"/>
                <w:szCs w:val="16"/>
              </w:rPr>
            </w:pPr>
            <w:r w:rsidRPr="001656CD">
              <w:rPr>
                <w:rFonts w:cs="Arial"/>
                <w:b/>
                <w:bCs/>
                <w:sz w:val="16"/>
                <w:szCs w:val="16"/>
              </w:rPr>
              <w:t>Performance Data</w:t>
            </w:r>
          </w:p>
        </w:tc>
        <w:tc>
          <w:tcPr>
            <w:tcW w:w="682" w:type="pct"/>
            <w:gridSpan w:val="2"/>
            <w:tcBorders>
              <w:top w:val="single" w:sz="4" w:space="0" w:color="auto"/>
            </w:tcBorders>
            <w:shd w:val="clear" w:color="auto" w:fill="auto"/>
            <w:tcMar>
              <w:top w:w="110" w:type="dxa"/>
            </w:tcMar>
            <w:vAlign w:val="center"/>
          </w:tcPr>
          <w:p w:rsidR="008D3FF3" w:rsidRPr="00083772" w:rsidRDefault="008D3FF3" w:rsidP="002249F8">
            <w:pPr>
              <w:keepNext/>
              <w:keepLines/>
              <w:jc w:val="center"/>
              <w:rPr>
                <w:rFonts w:cs="Arial"/>
                <w:b/>
                <w:bCs/>
                <w:sz w:val="16"/>
                <w:szCs w:val="16"/>
              </w:rPr>
            </w:pPr>
            <w:r w:rsidRPr="001656CD">
              <w:rPr>
                <w:rFonts w:cs="Arial"/>
                <w:b/>
                <w:bCs/>
                <w:sz w:val="16"/>
                <w:szCs w:val="16"/>
              </w:rPr>
              <w:t>TLS</w:t>
            </w:r>
          </w:p>
        </w:tc>
      </w:tr>
      <w:tr w:rsidR="008D3FF3" w:rsidRPr="001656CD" w:rsidTr="008D3FF3">
        <w:trPr>
          <w:cantSplit/>
        </w:trPr>
        <w:tc>
          <w:tcPr>
            <w:tcW w:w="969" w:type="pct"/>
            <w:tcBorders>
              <w:bottom w:val="single" w:sz="4" w:space="0" w:color="auto"/>
            </w:tcBorders>
            <w:shd w:val="clear" w:color="auto" w:fill="auto"/>
          </w:tcPr>
          <w:p w:rsidR="008D3FF3" w:rsidRPr="001656CD" w:rsidRDefault="008D3FF3" w:rsidP="002249F8">
            <w:pPr>
              <w:rPr>
                <w:rFonts w:cs="Arial"/>
                <w:sz w:val="16"/>
                <w:szCs w:val="16"/>
                <w:lang w:bidi="th-TH"/>
              </w:rPr>
            </w:pPr>
            <w:r w:rsidRPr="009D6119">
              <w:rPr>
                <w:rFonts w:cs="Arial"/>
                <w:sz w:val="16"/>
                <w:szCs w:val="16"/>
                <w:lang w:bidi="th-TH"/>
              </w:rPr>
              <w:t xml:space="preserve">No of countries having developed national IP </w:t>
            </w:r>
            <w:r w:rsidRPr="00083772">
              <w:rPr>
                <w:rFonts w:cs="Arial"/>
                <w:sz w:val="16"/>
                <w:szCs w:val="16"/>
                <w:lang w:bidi="th-TH"/>
              </w:rPr>
              <w:t>strategies or plans, dovetailed with national development goals</w:t>
            </w:r>
          </w:p>
        </w:tc>
        <w:tc>
          <w:tcPr>
            <w:tcW w:w="890" w:type="pct"/>
            <w:tcBorders>
              <w:bottom w:val="single" w:sz="4" w:space="0" w:color="auto"/>
            </w:tcBorders>
            <w:shd w:val="clear" w:color="auto" w:fill="auto"/>
          </w:tcPr>
          <w:p w:rsidR="008D3FF3" w:rsidRPr="00083772" w:rsidRDefault="008D3FF3" w:rsidP="002249F8">
            <w:pPr>
              <w:rPr>
                <w:rFonts w:cs="Arial"/>
                <w:i/>
                <w:color w:val="002060"/>
                <w:sz w:val="16"/>
                <w:szCs w:val="16"/>
              </w:rPr>
            </w:pPr>
            <w:r w:rsidRPr="00083772">
              <w:rPr>
                <w:rFonts w:cs="Arial"/>
                <w:i/>
                <w:color w:val="002060"/>
                <w:sz w:val="16"/>
                <w:szCs w:val="16"/>
              </w:rPr>
              <w:t xml:space="preserve">Updated Baseline end 2011:  </w:t>
            </w:r>
            <w:r w:rsidRPr="00083772">
              <w:rPr>
                <w:rFonts w:cs="Arial"/>
                <w:color w:val="002060"/>
                <w:sz w:val="16"/>
                <w:szCs w:val="16"/>
                <w:lang w:bidi="th-TH"/>
              </w:rPr>
              <w:t>Eleven countries</w:t>
            </w:r>
          </w:p>
          <w:p w:rsidR="008D3FF3" w:rsidRPr="008D3FF3" w:rsidRDefault="008D3FF3" w:rsidP="002249F8">
            <w:pPr>
              <w:rPr>
                <w:rFonts w:cs="Arial"/>
                <w:i/>
                <w:sz w:val="8"/>
                <w:szCs w:val="8"/>
              </w:rPr>
            </w:pPr>
          </w:p>
          <w:p w:rsidR="008D3FF3" w:rsidRPr="00083772" w:rsidRDefault="008D3FF3" w:rsidP="002249F8">
            <w:pPr>
              <w:rPr>
                <w:rFonts w:cs="Arial"/>
                <w:sz w:val="16"/>
                <w:szCs w:val="16"/>
                <w:lang w:bidi="th-TH"/>
              </w:rPr>
            </w:pPr>
            <w:r w:rsidRPr="00083772">
              <w:rPr>
                <w:rFonts w:cs="Arial"/>
                <w:i/>
                <w:sz w:val="16"/>
                <w:szCs w:val="16"/>
              </w:rPr>
              <w:t>Original Baseline P&amp;B 2012/13:</w:t>
            </w:r>
            <w:r w:rsidRPr="00083772">
              <w:rPr>
                <w:rFonts w:cs="Arial"/>
                <w:sz w:val="16"/>
                <w:szCs w:val="16"/>
              </w:rPr>
              <w:br/>
            </w:r>
            <w:r w:rsidRPr="009D6119">
              <w:rPr>
                <w:rFonts w:cs="Arial"/>
                <w:sz w:val="16"/>
                <w:szCs w:val="16"/>
                <w:lang w:bidi="th-TH"/>
              </w:rPr>
              <w:t>Six countries (2008/09)</w:t>
            </w:r>
          </w:p>
          <w:p w:rsidR="008D3FF3" w:rsidRPr="001656CD" w:rsidRDefault="008D3FF3" w:rsidP="002249F8">
            <w:pPr>
              <w:rPr>
                <w:rFonts w:cs="Arial"/>
                <w:sz w:val="16"/>
                <w:szCs w:val="16"/>
              </w:rPr>
            </w:pPr>
          </w:p>
        </w:tc>
        <w:tc>
          <w:tcPr>
            <w:tcW w:w="806" w:type="pct"/>
            <w:tcBorders>
              <w:bottom w:val="single" w:sz="4" w:space="0" w:color="auto"/>
            </w:tcBorders>
            <w:shd w:val="clear" w:color="auto" w:fill="auto"/>
            <w:tcMar>
              <w:top w:w="110" w:type="dxa"/>
            </w:tcMar>
          </w:tcPr>
          <w:p w:rsidR="008D3FF3" w:rsidRPr="001656CD" w:rsidRDefault="008D3FF3" w:rsidP="002249F8">
            <w:pPr>
              <w:rPr>
                <w:rFonts w:cs="Arial"/>
                <w:sz w:val="16"/>
                <w:szCs w:val="16"/>
              </w:rPr>
            </w:pPr>
            <w:r w:rsidRPr="001656CD">
              <w:rPr>
                <w:rFonts w:cs="Arial"/>
                <w:sz w:val="16"/>
                <w:szCs w:val="16"/>
              </w:rPr>
              <w:t>Eight additional</w:t>
            </w:r>
          </w:p>
          <w:p w:rsidR="008D3FF3" w:rsidRPr="00083772" w:rsidRDefault="008D3FF3" w:rsidP="002249F8">
            <w:pPr>
              <w:rPr>
                <w:rFonts w:cs="Arial"/>
                <w:sz w:val="16"/>
                <w:szCs w:val="16"/>
              </w:rPr>
            </w:pPr>
            <w:r w:rsidRPr="001656CD">
              <w:rPr>
                <w:rFonts w:cs="Arial"/>
                <w:sz w:val="16"/>
                <w:szCs w:val="16"/>
              </w:rPr>
              <w:t>Countries</w:t>
            </w:r>
          </w:p>
        </w:tc>
        <w:tc>
          <w:tcPr>
            <w:tcW w:w="1653" w:type="pct"/>
            <w:tcBorders>
              <w:bottom w:val="single" w:sz="4" w:space="0" w:color="auto"/>
            </w:tcBorders>
            <w:shd w:val="clear" w:color="auto" w:fill="FFFFFF"/>
            <w:tcMar>
              <w:top w:w="110" w:type="dxa"/>
            </w:tcMar>
          </w:tcPr>
          <w:p w:rsidR="008D3FF3" w:rsidRPr="001656CD" w:rsidRDefault="008D3FF3" w:rsidP="002249F8">
            <w:pPr>
              <w:rPr>
                <w:rFonts w:cs="Arial"/>
                <w:sz w:val="16"/>
                <w:szCs w:val="16"/>
              </w:rPr>
            </w:pPr>
            <w:r w:rsidRPr="001656CD">
              <w:rPr>
                <w:rFonts w:cs="Arial"/>
                <w:sz w:val="16"/>
                <w:szCs w:val="16"/>
                <w:lang w:bidi="th-TH"/>
              </w:rPr>
              <w:t>Seven countries (Belarus, Kyrgyzstan, Montenegro, Moldova, Romania, Slovenia and the former Yugoslav Republic of Macedonia) adopted a national IP strategy. Development of a strategy was initiated in Tajikistan.</w:t>
            </w:r>
          </w:p>
        </w:tc>
        <w:tc>
          <w:tcPr>
            <w:tcW w:w="682" w:type="pct"/>
            <w:gridSpan w:val="2"/>
            <w:tcBorders>
              <w:bottom w:val="single" w:sz="4" w:space="0" w:color="auto"/>
            </w:tcBorders>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083772">
              <w:rPr>
                <w:rFonts w:cs="Arial"/>
                <w:bCs/>
                <w:color w:val="008000"/>
                <w:sz w:val="16"/>
                <w:szCs w:val="16"/>
              </w:rPr>
              <w:t>Fully</w:t>
            </w:r>
            <w:r w:rsidRPr="00083772">
              <w:rPr>
                <w:rFonts w:cs="Arial"/>
                <w:bCs/>
                <w:color w:val="008000"/>
                <w:sz w:val="16"/>
                <w:szCs w:val="16"/>
              </w:rPr>
              <w:br/>
              <w:t>Achieved</w:t>
            </w:r>
          </w:p>
        </w:tc>
      </w:tr>
      <w:tr w:rsidR="008D3FF3" w:rsidRPr="001656CD" w:rsidTr="008D3FF3">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2249F8">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sz w:val="16"/>
                <w:szCs w:val="16"/>
                <w:lang w:bidi="th-TH"/>
              </w:rPr>
              <w:t>Enhanced human resource capacities able to deal with the broad range of requirements for the effective use of IP for development in developing countries, LDCs and countries with economies in transition</w:t>
            </w:r>
          </w:p>
        </w:tc>
      </w:tr>
      <w:tr w:rsidR="008D3FF3" w:rsidRPr="001656CD" w:rsidTr="008D3FF3">
        <w:trPr>
          <w:cantSplit/>
        </w:trPr>
        <w:tc>
          <w:tcPr>
            <w:tcW w:w="969" w:type="pct"/>
            <w:tcBorders>
              <w:top w:val="single" w:sz="4" w:space="0" w:color="auto"/>
            </w:tcBorders>
            <w:shd w:val="clear" w:color="auto" w:fill="auto"/>
            <w:vAlign w:val="center"/>
          </w:tcPr>
          <w:p w:rsidR="008D3FF3" w:rsidRPr="001656CD" w:rsidRDefault="008D3FF3" w:rsidP="002249F8">
            <w:pPr>
              <w:rPr>
                <w:rFonts w:cs="Arial"/>
                <w:sz w:val="16"/>
                <w:szCs w:val="16"/>
              </w:rPr>
            </w:pPr>
            <w:r w:rsidRPr="001656CD">
              <w:rPr>
                <w:rFonts w:cs="Arial"/>
                <w:b/>
                <w:bCs/>
                <w:sz w:val="16"/>
                <w:szCs w:val="16"/>
              </w:rPr>
              <w:t>Performance Indicators</w:t>
            </w:r>
          </w:p>
        </w:tc>
        <w:tc>
          <w:tcPr>
            <w:tcW w:w="890" w:type="pct"/>
            <w:tcBorders>
              <w:top w:val="single" w:sz="4" w:space="0" w:color="auto"/>
            </w:tcBorders>
            <w:shd w:val="clear" w:color="auto" w:fill="auto"/>
            <w:vAlign w:val="center"/>
          </w:tcPr>
          <w:p w:rsidR="008D3FF3" w:rsidRPr="001656CD" w:rsidRDefault="008D3FF3" w:rsidP="002249F8">
            <w:pPr>
              <w:rPr>
                <w:rFonts w:cs="Arial"/>
                <w:b/>
                <w:bCs/>
                <w:sz w:val="16"/>
                <w:szCs w:val="16"/>
              </w:rPr>
            </w:pPr>
            <w:r w:rsidRPr="001656CD">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083772" w:rsidRDefault="008D3FF3" w:rsidP="002249F8">
            <w:pPr>
              <w:rPr>
                <w:rFonts w:cs="Arial"/>
                <w:b/>
                <w:sz w:val="16"/>
                <w:szCs w:val="16"/>
              </w:rPr>
            </w:pPr>
            <w:r w:rsidRPr="001656CD">
              <w:rPr>
                <w:rFonts w:cs="Arial"/>
                <w:b/>
                <w:sz w:val="16"/>
                <w:szCs w:val="16"/>
              </w:rPr>
              <w:t>Target</w:t>
            </w:r>
            <w:r w:rsidR="00E41397">
              <w:rPr>
                <w:rFonts w:cs="Arial"/>
                <w:b/>
                <w:sz w:val="16"/>
                <w:szCs w:val="16"/>
              </w:rPr>
              <w:t>s</w:t>
            </w:r>
          </w:p>
        </w:tc>
        <w:tc>
          <w:tcPr>
            <w:tcW w:w="1749" w:type="pct"/>
            <w:gridSpan w:val="2"/>
            <w:tcBorders>
              <w:top w:val="single" w:sz="4" w:space="0" w:color="auto"/>
            </w:tcBorders>
            <w:shd w:val="clear" w:color="auto" w:fill="FFFFFF"/>
            <w:tcMar>
              <w:top w:w="110" w:type="dxa"/>
            </w:tcMar>
            <w:vAlign w:val="center"/>
          </w:tcPr>
          <w:p w:rsidR="008D3FF3" w:rsidRPr="001656CD" w:rsidRDefault="008D3FF3" w:rsidP="002249F8">
            <w:pPr>
              <w:rPr>
                <w:rFonts w:cs="Arial"/>
                <w:sz w:val="16"/>
                <w:szCs w:val="16"/>
              </w:rPr>
            </w:pPr>
            <w:r w:rsidRPr="001656CD">
              <w:rPr>
                <w:rFonts w:cs="Arial"/>
                <w:b/>
                <w:bCs/>
                <w:sz w:val="16"/>
                <w:szCs w:val="16"/>
              </w:rPr>
              <w:t>Performance Data</w:t>
            </w:r>
          </w:p>
        </w:tc>
        <w:tc>
          <w:tcPr>
            <w:tcW w:w="586" w:type="pct"/>
            <w:tcBorders>
              <w:top w:val="single" w:sz="4" w:space="0" w:color="auto"/>
            </w:tcBorders>
            <w:shd w:val="clear" w:color="auto" w:fill="auto"/>
            <w:tcMar>
              <w:top w:w="110" w:type="dxa"/>
            </w:tcMar>
            <w:vAlign w:val="center"/>
          </w:tcPr>
          <w:p w:rsidR="008D3FF3" w:rsidRPr="00083772" w:rsidRDefault="008D3FF3" w:rsidP="002249F8">
            <w:pPr>
              <w:keepNext/>
              <w:keepLines/>
              <w:jc w:val="center"/>
              <w:rPr>
                <w:rFonts w:cs="Arial"/>
                <w:b/>
                <w:bCs/>
                <w:sz w:val="16"/>
                <w:szCs w:val="16"/>
              </w:rPr>
            </w:pPr>
            <w:r w:rsidRPr="001656CD">
              <w:rPr>
                <w:rFonts w:cs="Arial"/>
                <w:b/>
                <w:bCs/>
                <w:sz w:val="16"/>
                <w:szCs w:val="16"/>
              </w:rPr>
              <w:t>TLS</w:t>
            </w:r>
          </w:p>
        </w:tc>
      </w:tr>
      <w:tr w:rsidR="008D3FF3" w:rsidRPr="001656CD" w:rsidTr="008D3FF3">
        <w:trPr>
          <w:cantSplit/>
        </w:trPr>
        <w:tc>
          <w:tcPr>
            <w:tcW w:w="969" w:type="pct"/>
            <w:shd w:val="clear" w:color="auto" w:fill="auto"/>
          </w:tcPr>
          <w:p w:rsidR="008D3FF3" w:rsidRPr="001656CD" w:rsidRDefault="008D3FF3" w:rsidP="002249F8">
            <w:pPr>
              <w:rPr>
                <w:rFonts w:cs="Arial"/>
                <w:sz w:val="16"/>
                <w:szCs w:val="16"/>
              </w:rPr>
            </w:pPr>
            <w:r w:rsidRPr="009D6119">
              <w:rPr>
                <w:rFonts w:cs="Arial"/>
                <w:sz w:val="16"/>
                <w:szCs w:val="16"/>
                <w:lang w:bidi="th-TH"/>
              </w:rPr>
              <w:t>% of trained IP office officials using upgraded skills in their work</w:t>
            </w:r>
          </w:p>
        </w:tc>
        <w:tc>
          <w:tcPr>
            <w:tcW w:w="890" w:type="pct"/>
            <w:shd w:val="clear" w:color="auto" w:fill="auto"/>
          </w:tcPr>
          <w:p w:rsidR="008D3FF3" w:rsidRPr="001656CD" w:rsidRDefault="008D3FF3" w:rsidP="002249F8">
            <w:pPr>
              <w:rPr>
                <w:rFonts w:cs="Arial"/>
                <w:sz w:val="16"/>
                <w:szCs w:val="16"/>
                <w:lang w:bidi="th-TH"/>
              </w:rPr>
            </w:pPr>
            <w:r w:rsidRPr="009D6119">
              <w:rPr>
                <w:rFonts w:cs="Arial"/>
                <w:sz w:val="16"/>
                <w:szCs w:val="16"/>
                <w:lang w:bidi="th-TH"/>
              </w:rPr>
              <w:t>Data not available</w:t>
            </w:r>
          </w:p>
        </w:tc>
        <w:tc>
          <w:tcPr>
            <w:tcW w:w="806" w:type="pct"/>
            <w:shd w:val="clear" w:color="auto" w:fill="auto"/>
            <w:tcMar>
              <w:top w:w="110" w:type="dxa"/>
            </w:tcMar>
          </w:tcPr>
          <w:p w:rsidR="008D3FF3" w:rsidRPr="00083772" w:rsidRDefault="008D3FF3" w:rsidP="002249F8">
            <w:pPr>
              <w:rPr>
                <w:rFonts w:cs="Arial"/>
                <w:sz w:val="16"/>
                <w:szCs w:val="16"/>
              </w:rPr>
            </w:pPr>
            <w:r w:rsidRPr="00083772">
              <w:rPr>
                <w:rFonts w:cs="Arial"/>
                <w:sz w:val="16"/>
                <w:szCs w:val="16"/>
              </w:rPr>
              <w:t>40%</w:t>
            </w:r>
          </w:p>
        </w:tc>
        <w:tc>
          <w:tcPr>
            <w:tcW w:w="1653" w:type="pct"/>
            <w:shd w:val="clear" w:color="auto" w:fill="FFFFFF"/>
            <w:tcMar>
              <w:top w:w="110" w:type="dxa"/>
            </w:tcMar>
          </w:tcPr>
          <w:p w:rsidR="008D3FF3" w:rsidRPr="001656CD" w:rsidRDefault="008D3FF3" w:rsidP="001926FB">
            <w:pPr>
              <w:rPr>
                <w:rFonts w:cs="Arial"/>
                <w:sz w:val="16"/>
                <w:szCs w:val="16"/>
              </w:rPr>
            </w:pPr>
            <w:r w:rsidRPr="001656CD">
              <w:rPr>
                <w:rFonts w:cs="Arial"/>
                <w:sz w:val="16"/>
                <w:szCs w:val="16"/>
                <w:lang w:bidi="th-TH"/>
              </w:rPr>
              <w:t xml:space="preserve">69% (data available from </w:t>
            </w:r>
            <w:r w:rsidR="001926FB" w:rsidRPr="001656CD">
              <w:rPr>
                <w:rFonts w:cs="Arial"/>
                <w:sz w:val="16"/>
                <w:szCs w:val="16"/>
                <w:lang w:bidi="th-TH"/>
              </w:rPr>
              <w:t>end of event survey questionnaires</w:t>
            </w:r>
            <w:r w:rsidR="001926FB">
              <w:rPr>
                <w:rFonts w:cs="Arial"/>
                <w:sz w:val="16"/>
                <w:szCs w:val="16"/>
                <w:lang w:bidi="th-TH"/>
              </w:rPr>
              <w:t>,</w:t>
            </w:r>
            <w:r w:rsidR="001926FB" w:rsidRPr="001656CD">
              <w:rPr>
                <w:rFonts w:cs="Arial"/>
                <w:sz w:val="16"/>
                <w:szCs w:val="16"/>
                <w:lang w:bidi="th-TH"/>
              </w:rPr>
              <w:t xml:space="preserve"> </w:t>
            </w:r>
            <w:r w:rsidRPr="001656CD">
              <w:rPr>
                <w:rFonts w:cs="Arial"/>
                <w:sz w:val="16"/>
                <w:szCs w:val="16"/>
                <w:lang w:bidi="th-TH"/>
              </w:rPr>
              <w:t>post event e</w:t>
            </w:r>
            <w:r w:rsidR="001926FB">
              <w:rPr>
                <w:rFonts w:cs="Arial"/>
                <w:sz w:val="16"/>
                <w:szCs w:val="16"/>
                <w:lang w:bidi="th-TH"/>
              </w:rPr>
              <w:t>valuation survey questionnaires</w:t>
            </w:r>
            <w:r w:rsidRPr="001656CD">
              <w:rPr>
                <w:rFonts w:cs="Arial"/>
                <w:sz w:val="16"/>
                <w:szCs w:val="16"/>
                <w:lang w:bidi="th-TH"/>
              </w:rPr>
              <w:t xml:space="preserve"> and direct feedback from participants)</w:t>
            </w:r>
          </w:p>
        </w:tc>
        <w:tc>
          <w:tcPr>
            <w:tcW w:w="682" w:type="pct"/>
            <w:gridSpan w:val="2"/>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IP professionals attesting to an enhanced understanding of IP issues</w:t>
            </w:r>
          </w:p>
        </w:tc>
        <w:tc>
          <w:tcPr>
            <w:tcW w:w="890" w:type="pct"/>
            <w:shd w:val="clear" w:color="auto" w:fill="auto"/>
          </w:tcPr>
          <w:p w:rsidR="008D3FF3" w:rsidRPr="009D6119" w:rsidRDefault="008D3FF3" w:rsidP="002249F8">
            <w:pPr>
              <w:rPr>
                <w:rFonts w:cs="Arial"/>
                <w:sz w:val="16"/>
                <w:szCs w:val="16"/>
                <w:lang w:bidi="th-TH"/>
              </w:rPr>
            </w:pPr>
            <w:r w:rsidRPr="009D6119">
              <w:rPr>
                <w:rFonts w:cs="Arial"/>
                <w:sz w:val="16"/>
                <w:szCs w:val="16"/>
                <w:lang w:bidi="th-TH"/>
              </w:rPr>
              <w:t>Data not available</w:t>
            </w:r>
          </w:p>
        </w:tc>
        <w:tc>
          <w:tcPr>
            <w:tcW w:w="806" w:type="pct"/>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rPr>
              <w:t>30%</w:t>
            </w:r>
          </w:p>
        </w:tc>
        <w:tc>
          <w:tcPr>
            <w:tcW w:w="1653" w:type="pct"/>
            <w:shd w:val="clear" w:color="auto" w:fill="FFFFFF"/>
            <w:tcMar>
              <w:top w:w="110" w:type="dxa"/>
            </w:tcMar>
          </w:tcPr>
          <w:p w:rsidR="008D3FF3" w:rsidRPr="001656CD" w:rsidRDefault="008D3FF3" w:rsidP="002249F8">
            <w:pPr>
              <w:rPr>
                <w:rFonts w:cs="Arial"/>
                <w:sz w:val="16"/>
                <w:szCs w:val="16"/>
              </w:rPr>
            </w:pPr>
            <w:r w:rsidRPr="001656CD">
              <w:rPr>
                <w:rFonts w:cs="Arial"/>
                <w:sz w:val="16"/>
                <w:szCs w:val="16"/>
                <w:lang w:bidi="th-TH"/>
              </w:rPr>
              <w:t>66%</w:t>
            </w:r>
            <w:r w:rsidRPr="00083772">
              <w:rPr>
                <w:rFonts w:cs="Arial"/>
                <w:sz w:val="16"/>
                <w:szCs w:val="16"/>
              </w:rPr>
              <w:t xml:space="preserve"> </w:t>
            </w:r>
            <w:r w:rsidR="001926FB" w:rsidRPr="001656CD">
              <w:rPr>
                <w:rFonts w:cs="Arial"/>
                <w:sz w:val="16"/>
                <w:szCs w:val="16"/>
                <w:lang w:bidi="th-TH"/>
              </w:rPr>
              <w:t>(data available from end of event survey questionnaires</w:t>
            </w:r>
            <w:r w:rsidR="001926FB">
              <w:rPr>
                <w:rFonts w:cs="Arial"/>
                <w:sz w:val="16"/>
                <w:szCs w:val="16"/>
                <w:lang w:bidi="th-TH"/>
              </w:rPr>
              <w:t>,</w:t>
            </w:r>
            <w:r w:rsidR="001926FB" w:rsidRPr="001656CD">
              <w:rPr>
                <w:rFonts w:cs="Arial"/>
                <w:sz w:val="16"/>
                <w:szCs w:val="16"/>
                <w:lang w:bidi="th-TH"/>
              </w:rPr>
              <w:t xml:space="preserve"> post event e</w:t>
            </w:r>
            <w:r w:rsidR="001926FB">
              <w:rPr>
                <w:rFonts w:cs="Arial"/>
                <w:sz w:val="16"/>
                <w:szCs w:val="16"/>
                <w:lang w:bidi="th-TH"/>
              </w:rPr>
              <w:t>valuation survey questionnaires</w:t>
            </w:r>
            <w:r w:rsidR="001926FB" w:rsidRPr="001656CD">
              <w:rPr>
                <w:rFonts w:cs="Arial"/>
                <w:sz w:val="16"/>
                <w:szCs w:val="16"/>
                <w:lang w:bidi="th-TH"/>
              </w:rPr>
              <w:t xml:space="preserve"> and direct feedback from participants)</w:t>
            </w:r>
          </w:p>
        </w:tc>
        <w:tc>
          <w:tcPr>
            <w:tcW w:w="682" w:type="pct"/>
            <w:gridSpan w:val="2"/>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969" w:type="pct"/>
            <w:tcBorders>
              <w:bottom w:val="single" w:sz="4" w:space="0" w:color="auto"/>
            </w:tcBorders>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of participants satisfied with the quality of workshops and seminars on innovation and its commercialization</w:t>
            </w:r>
          </w:p>
        </w:tc>
        <w:tc>
          <w:tcPr>
            <w:tcW w:w="890" w:type="pct"/>
            <w:tcBorders>
              <w:bottom w:val="single" w:sz="4" w:space="0" w:color="auto"/>
            </w:tcBorders>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General feedback available, but no specific data</w:t>
            </w:r>
          </w:p>
          <w:p w:rsidR="008D3FF3" w:rsidRPr="008D3FF3" w:rsidRDefault="008D3FF3" w:rsidP="002249F8">
            <w:pPr>
              <w:rPr>
                <w:rFonts w:cs="Arial"/>
                <w:i/>
                <w:color w:val="002060"/>
                <w:sz w:val="8"/>
                <w:szCs w:val="8"/>
              </w:rPr>
            </w:pPr>
          </w:p>
          <w:p w:rsidR="008D3FF3" w:rsidRPr="00083772" w:rsidRDefault="008D3FF3" w:rsidP="002249F8">
            <w:pPr>
              <w:rPr>
                <w:rFonts w:cs="Arial"/>
                <w:sz w:val="16"/>
                <w:szCs w:val="16"/>
                <w:lang w:bidi="th-TH"/>
              </w:rPr>
            </w:pPr>
            <w:r w:rsidRPr="001656CD">
              <w:rPr>
                <w:rFonts w:cs="Arial"/>
                <w:i/>
                <w:sz w:val="16"/>
                <w:szCs w:val="16"/>
              </w:rPr>
              <w:t>Original Baseline P&amp;B 2012/13:</w:t>
            </w:r>
            <w:r w:rsidRPr="001656CD">
              <w:rPr>
                <w:rFonts w:cs="Arial"/>
                <w:sz w:val="16"/>
                <w:szCs w:val="16"/>
              </w:rPr>
              <w:br/>
            </w:r>
            <w:r w:rsidRPr="009D6119">
              <w:rPr>
                <w:rFonts w:cs="Arial"/>
                <w:sz w:val="16"/>
                <w:szCs w:val="16"/>
                <w:lang w:bidi="th-TH"/>
              </w:rPr>
              <w:t>General feedback available, but</w:t>
            </w:r>
            <w:r w:rsidRPr="00083772">
              <w:rPr>
                <w:rFonts w:cs="Arial"/>
                <w:sz w:val="16"/>
                <w:szCs w:val="16"/>
                <w:lang w:bidi="th-TH"/>
              </w:rPr>
              <w:t xml:space="preserve"> no specific data</w:t>
            </w:r>
          </w:p>
          <w:p w:rsidR="008D3FF3" w:rsidRPr="009D6119" w:rsidRDefault="008D3FF3" w:rsidP="002249F8">
            <w:pPr>
              <w:rPr>
                <w:rFonts w:cs="Arial"/>
                <w:sz w:val="16"/>
                <w:szCs w:val="16"/>
                <w:lang w:bidi="th-TH"/>
              </w:rPr>
            </w:pPr>
          </w:p>
        </w:tc>
        <w:tc>
          <w:tcPr>
            <w:tcW w:w="806" w:type="pct"/>
            <w:tcBorders>
              <w:bottom w:val="single" w:sz="4" w:space="0" w:color="auto"/>
            </w:tcBorders>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rPr>
              <w:t>90%</w:t>
            </w:r>
          </w:p>
        </w:tc>
        <w:tc>
          <w:tcPr>
            <w:tcW w:w="1653" w:type="pct"/>
            <w:tcBorders>
              <w:bottom w:val="single" w:sz="4" w:space="0" w:color="auto"/>
            </w:tcBorders>
            <w:shd w:val="clear" w:color="auto" w:fill="FFFFFF"/>
            <w:tcMar>
              <w:top w:w="110" w:type="dxa"/>
            </w:tcMar>
          </w:tcPr>
          <w:p w:rsidR="008D3FF3" w:rsidRPr="001656CD" w:rsidRDefault="008D3FF3" w:rsidP="002249F8">
            <w:pPr>
              <w:rPr>
                <w:rFonts w:cs="Arial"/>
                <w:sz w:val="16"/>
                <w:szCs w:val="16"/>
                <w:highlight w:val="red"/>
              </w:rPr>
            </w:pPr>
            <w:r w:rsidRPr="001656CD">
              <w:rPr>
                <w:rFonts w:cs="Arial"/>
                <w:sz w:val="16"/>
                <w:szCs w:val="16"/>
                <w:lang w:bidi="th-TH"/>
              </w:rPr>
              <w:t xml:space="preserve">95% </w:t>
            </w:r>
            <w:r w:rsidR="001926FB" w:rsidRPr="001656CD">
              <w:rPr>
                <w:rFonts w:cs="Arial"/>
                <w:sz w:val="16"/>
                <w:szCs w:val="16"/>
                <w:lang w:bidi="th-TH"/>
              </w:rPr>
              <w:t>(data available from end of event survey questionnaires</w:t>
            </w:r>
            <w:r w:rsidR="001926FB">
              <w:rPr>
                <w:rFonts w:cs="Arial"/>
                <w:sz w:val="16"/>
                <w:szCs w:val="16"/>
                <w:lang w:bidi="th-TH"/>
              </w:rPr>
              <w:t>,</w:t>
            </w:r>
            <w:r w:rsidR="001926FB" w:rsidRPr="001656CD">
              <w:rPr>
                <w:rFonts w:cs="Arial"/>
                <w:sz w:val="16"/>
                <w:szCs w:val="16"/>
                <w:lang w:bidi="th-TH"/>
              </w:rPr>
              <w:t xml:space="preserve"> post event e</w:t>
            </w:r>
            <w:r w:rsidR="001926FB">
              <w:rPr>
                <w:rFonts w:cs="Arial"/>
                <w:sz w:val="16"/>
                <w:szCs w:val="16"/>
                <w:lang w:bidi="th-TH"/>
              </w:rPr>
              <w:t>valuation survey questionnaires</w:t>
            </w:r>
            <w:r w:rsidR="001926FB" w:rsidRPr="001656CD">
              <w:rPr>
                <w:rFonts w:cs="Arial"/>
                <w:sz w:val="16"/>
                <w:szCs w:val="16"/>
                <w:lang w:bidi="th-TH"/>
              </w:rPr>
              <w:t xml:space="preserve"> and direct feedback from participants)</w:t>
            </w:r>
          </w:p>
        </w:tc>
        <w:tc>
          <w:tcPr>
            <w:tcW w:w="682" w:type="pct"/>
            <w:gridSpan w:val="2"/>
            <w:tcBorders>
              <w:bottom w:val="single" w:sz="4" w:space="0" w:color="auto"/>
            </w:tcBorders>
            <w:shd w:val="clear" w:color="auto" w:fill="auto"/>
            <w:tcMar>
              <w:top w:w="110" w:type="dxa"/>
            </w:tcMar>
          </w:tcPr>
          <w:p w:rsidR="008D3FF3" w:rsidRPr="001656CD" w:rsidRDefault="008D3FF3" w:rsidP="002249F8">
            <w:pPr>
              <w:keepNext/>
              <w:keepLines/>
              <w:jc w:val="center"/>
              <w:rPr>
                <w:rFonts w:cs="Arial"/>
                <w:b/>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8D3FF3">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sz w:val="16"/>
                <w:szCs w:val="16"/>
                <w:lang w:bidi="th-TH"/>
              </w:rPr>
              <w:t>Enhanced access to, and use of, IP information and knowledge by IP institutions and the public to promote innovation and increased access to protected creative works and creative works in the public domain</w:t>
            </w:r>
          </w:p>
        </w:tc>
      </w:tr>
      <w:tr w:rsidR="008D3FF3" w:rsidRPr="00BC6547" w:rsidTr="008D3FF3">
        <w:trPr>
          <w:cantSplit/>
        </w:trPr>
        <w:tc>
          <w:tcPr>
            <w:tcW w:w="969" w:type="pct"/>
            <w:tcBorders>
              <w:top w:val="single" w:sz="4" w:space="0" w:color="auto"/>
            </w:tcBorders>
            <w:shd w:val="clear" w:color="auto" w:fill="auto"/>
            <w:vAlign w:val="center"/>
          </w:tcPr>
          <w:p w:rsidR="008D3FF3" w:rsidRPr="00BC6547" w:rsidRDefault="008D3FF3" w:rsidP="008D3FF3">
            <w:pPr>
              <w:keepNext/>
              <w:keepLines/>
              <w:rPr>
                <w:rFonts w:cs="Arial"/>
                <w:sz w:val="16"/>
                <w:szCs w:val="16"/>
              </w:rPr>
            </w:pPr>
            <w:r w:rsidRPr="00BC6547">
              <w:rPr>
                <w:rFonts w:cs="Arial"/>
                <w:b/>
                <w:bCs/>
                <w:sz w:val="16"/>
                <w:szCs w:val="16"/>
              </w:rPr>
              <w:t>Performance Indicators</w:t>
            </w:r>
          </w:p>
        </w:tc>
        <w:tc>
          <w:tcPr>
            <w:tcW w:w="890" w:type="pct"/>
            <w:tcBorders>
              <w:top w:val="single" w:sz="4" w:space="0" w:color="auto"/>
            </w:tcBorders>
            <w:shd w:val="clear" w:color="auto" w:fill="auto"/>
            <w:vAlign w:val="center"/>
          </w:tcPr>
          <w:p w:rsidR="008D3FF3" w:rsidRPr="00BC6547" w:rsidRDefault="008D3FF3" w:rsidP="008D3FF3">
            <w:pPr>
              <w:keepNext/>
              <w:keepLines/>
              <w:rPr>
                <w:rFonts w:cs="Arial"/>
                <w:b/>
                <w:bCs/>
                <w:sz w:val="16"/>
                <w:szCs w:val="16"/>
              </w:rPr>
            </w:pPr>
            <w:r w:rsidRPr="00BC6547">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BC6547" w:rsidRDefault="008D3FF3" w:rsidP="008D3FF3">
            <w:pPr>
              <w:keepNext/>
              <w:keepLines/>
              <w:rPr>
                <w:rFonts w:cs="Arial"/>
                <w:b/>
                <w:sz w:val="16"/>
                <w:szCs w:val="16"/>
              </w:rPr>
            </w:pPr>
            <w:r w:rsidRPr="00BC6547">
              <w:rPr>
                <w:rFonts w:cs="Arial"/>
                <w:b/>
                <w:sz w:val="16"/>
                <w:szCs w:val="16"/>
              </w:rPr>
              <w:t>Target</w:t>
            </w:r>
            <w:r w:rsidR="00E41397" w:rsidRPr="00BC6547">
              <w:rPr>
                <w:rFonts w:cs="Arial"/>
                <w:b/>
                <w:sz w:val="16"/>
                <w:szCs w:val="16"/>
              </w:rPr>
              <w:t>s</w:t>
            </w:r>
          </w:p>
        </w:tc>
        <w:tc>
          <w:tcPr>
            <w:tcW w:w="1749" w:type="pct"/>
            <w:gridSpan w:val="2"/>
            <w:tcBorders>
              <w:top w:val="single" w:sz="4" w:space="0" w:color="auto"/>
            </w:tcBorders>
            <w:shd w:val="clear" w:color="auto" w:fill="FFFFFF"/>
            <w:tcMar>
              <w:top w:w="110" w:type="dxa"/>
            </w:tcMar>
            <w:vAlign w:val="center"/>
          </w:tcPr>
          <w:p w:rsidR="008D3FF3" w:rsidRPr="00BC6547" w:rsidRDefault="008D3FF3" w:rsidP="008D3FF3">
            <w:pPr>
              <w:keepNext/>
              <w:keepLines/>
              <w:rPr>
                <w:rFonts w:cs="Arial"/>
                <w:sz w:val="16"/>
                <w:szCs w:val="16"/>
              </w:rPr>
            </w:pPr>
            <w:r w:rsidRPr="00BC6547">
              <w:rPr>
                <w:rFonts w:cs="Arial"/>
                <w:b/>
                <w:bCs/>
                <w:sz w:val="16"/>
                <w:szCs w:val="16"/>
              </w:rPr>
              <w:t>Performance Data</w:t>
            </w:r>
          </w:p>
        </w:tc>
        <w:tc>
          <w:tcPr>
            <w:tcW w:w="586" w:type="pct"/>
            <w:tcBorders>
              <w:top w:val="single" w:sz="4" w:space="0" w:color="auto"/>
            </w:tcBorders>
            <w:shd w:val="clear" w:color="auto" w:fill="auto"/>
            <w:tcMar>
              <w:top w:w="110" w:type="dxa"/>
            </w:tcMar>
            <w:vAlign w:val="center"/>
          </w:tcPr>
          <w:p w:rsidR="008D3FF3" w:rsidRPr="00CD26D6" w:rsidRDefault="008D3FF3" w:rsidP="008D3FF3">
            <w:pPr>
              <w:keepNext/>
              <w:keepLines/>
              <w:jc w:val="center"/>
              <w:rPr>
                <w:rFonts w:cs="Arial"/>
                <w:b/>
                <w:bCs/>
                <w:sz w:val="16"/>
                <w:szCs w:val="16"/>
              </w:rPr>
            </w:pPr>
            <w:r w:rsidRPr="00BC6547">
              <w:rPr>
                <w:rFonts w:cs="Arial"/>
                <w:b/>
                <w:bCs/>
                <w:sz w:val="16"/>
                <w:szCs w:val="16"/>
              </w:rPr>
              <w:t>TLS</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No. of national TISC networks launched </w:t>
            </w:r>
          </w:p>
        </w:tc>
        <w:tc>
          <w:tcPr>
            <w:tcW w:w="890" w:type="pct"/>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Two national TISC networks launched</w:t>
            </w:r>
          </w:p>
          <w:p w:rsidR="008D3FF3" w:rsidRPr="008D3FF3" w:rsidRDefault="008D3FF3" w:rsidP="002249F8">
            <w:pPr>
              <w:rPr>
                <w:rFonts w:cs="Arial"/>
                <w:i/>
                <w:color w:val="002060"/>
                <w:sz w:val="8"/>
                <w:szCs w:val="8"/>
              </w:rPr>
            </w:pPr>
          </w:p>
          <w:p w:rsidR="008D3FF3" w:rsidRPr="00083772" w:rsidRDefault="008D3FF3" w:rsidP="002249F8">
            <w:pPr>
              <w:rPr>
                <w:rFonts w:cs="Arial"/>
                <w:sz w:val="16"/>
                <w:szCs w:val="16"/>
                <w:lang w:bidi="th-TH"/>
              </w:rPr>
            </w:pPr>
            <w:r w:rsidRPr="001656CD">
              <w:rPr>
                <w:rFonts w:cs="Arial"/>
                <w:i/>
                <w:sz w:val="16"/>
                <w:szCs w:val="16"/>
              </w:rPr>
              <w:t>Original Baseline P&amp;B 2012/13:</w:t>
            </w:r>
            <w:r w:rsidRPr="001656CD">
              <w:rPr>
                <w:rFonts w:cs="Arial"/>
                <w:sz w:val="16"/>
                <w:szCs w:val="16"/>
              </w:rPr>
              <w:br/>
            </w:r>
            <w:r w:rsidRPr="009D6119">
              <w:rPr>
                <w:rFonts w:cs="Arial"/>
                <w:sz w:val="16"/>
                <w:szCs w:val="16"/>
                <w:lang w:bidi="th-TH"/>
              </w:rPr>
              <w:t xml:space="preserve">One national TISC network launched </w:t>
            </w:r>
            <w:r w:rsidRPr="009D6119">
              <w:rPr>
                <w:rFonts w:cs="Arial"/>
                <w:sz w:val="16"/>
                <w:szCs w:val="16"/>
                <w:lang w:bidi="th-TH"/>
              </w:rPr>
              <w:br/>
              <w:t xml:space="preserve">(1 quarter 2011) </w:t>
            </w:r>
          </w:p>
        </w:tc>
        <w:tc>
          <w:tcPr>
            <w:tcW w:w="806" w:type="pct"/>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lang w:bidi="th-TH"/>
              </w:rPr>
              <w:t>Four additional</w:t>
            </w:r>
          </w:p>
          <w:p w:rsidR="008D3FF3" w:rsidRPr="00083772" w:rsidRDefault="001C1F7F" w:rsidP="002249F8">
            <w:pPr>
              <w:rPr>
                <w:rFonts w:cs="Arial"/>
                <w:sz w:val="16"/>
                <w:szCs w:val="16"/>
                <w:lang w:bidi="th-TH"/>
              </w:rPr>
            </w:pPr>
            <w:r w:rsidRPr="00083772">
              <w:rPr>
                <w:rFonts w:cs="Arial"/>
                <w:sz w:val="16"/>
                <w:szCs w:val="16"/>
                <w:lang w:bidi="th-TH"/>
              </w:rPr>
              <w:t>N</w:t>
            </w:r>
            <w:r w:rsidR="008D3FF3" w:rsidRPr="00083772">
              <w:rPr>
                <w:rFonts w:cs="Arial"/>
                <w:sz w:val="16"/>
                <w:szCs w:val="16"/>
                <w:lang w:bidi="th-TH"/>
              </w:rPr>
              <w:t>ational</w:t>
            </w:r>
            <w:r>
              <w:rPr>
                <w:rFonts w:cs="Arial"/>
                <w:sz w:val="16"/>
                <w:szCs w:val="16"/>
                <w:lang w:bidi="th-TH"/>
              </w:rPr>
              <w:t xml:space="preserve"> </w:t>
            </w:r>
            <w:r w:rsidR="008D3FF3" w:rsidRPr="00083772">
              <w:rPr>
                <w:rFonts w:cs="Arial"/>
                <w:sz w:val="16"/>
                <w:szCs w:val="16"/>
                <w:lang w:bidi="th-TH"/>
              </w:rPr>
              <w:t>TISC networks</w:t>
            </w:r>
          </w:p>
          <w:p w:rsidR="008D3FF3" w:rsidRPr="00083772" w:rsidRDefault="008D3FF3" w:rsidP="002249F8">
            <w:pPr>
              <w:rPr>
                <w:rFonts w:cs="Arial"/>
                <w:sz w:val="16"/>
                <w:szCs w:val="16"/>
                <w:lang w:bidi="th-TH"/>
              </w:rPr>
            </w:pPr>
            <w:r w:rsidRPr="00083772">
              <w:rPr>
                <w:rFonts w:cs="Arial"/>
                <w:sz w:val="16"/>
                <w:szCs w:val="16"/>
                <w:lang w:bidi="th-TH"/>
              </w:rPr>
              <w:t>launched</w:t>
            </w:r>
            <w:r w:rsidRPr="00083772" w:rsidDel="00550A2C">
              <w:rPr>
                <w:rFonts w:cs="Arial"/>
                <w:sz w:val="16"/>
                <w:szCs w:val="16"/>
                <w:lang w:bidi="th-TH"/>
              </w:rPr>
              <w:t xml:space="preserve"> </w:t>
            </w:r>
          </w:p>
        </w:tc>
        <w:tc>
          <w:tcPr>
            <w:tcW w:w="1749" w:type="pct"/>
            <w:gridSpan w:val="2"/>
            <w:shd w:val="clear" w:color="auto" w:fill="FFFFFF"/>
            <w:tcMar>
              <w:top w:w="110" w:type="dxa"/>
            </w:tcMar>
          </w:tcPr>
          <w:p w:rsidR="008D3FF3" w:rsidRPr="001656CD" w:rsidRDefault="008D3FF3" w:rsidP="002249F8">
            <w:pPr>
              <w:rPr>
                <w:rFonts w:cs="Arial"/>
                <w:sz w:val="16"/>
                <w:szCs w:val="16"/>
              </w:rPr>
            </w:pPr>
            <w:r w:rsidRPr="001656CD">
              <w:rPr>
                <w:rFonts w:cs="Arial"/>
                <w:sz w:val="16"/>
                <w:szCs w:val="16"/>
                <w:lang w:bidi="th-TH"/>
              </w:rPr>
              <w:t>One national TISC network fully launched in the Russian Federation, bringing the total number of TISC networks in the region to three</w:t>
            </w:r>
            <w:r w:rsidR="001C1F7F">
              <w:rPr>
                <w:rFonts w:cs="Arial"/>
                <w:sz w:val="16"/>
                <w:szCs w:val="16"/>
                <w:lang w:bidi="th-TH"/>
              </w:rPr>
              <w:t>.</w:t>
            </w:r>
          </w:p>
        </w:tc>
        <w:tc>
          <w:tcPr>
            <w:tcW w:w="586" w:type="pct"/>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083772">
              <w:rPr>
                <w:rFonts w:cs="Arial"/>
                <w:bCs/>
                <w:color w:val="FF0000"/>
                <w:sz w:val="16"/>
                <w:szCs w:val="16"/>
              </w:rPr>
              <w:t>Not</w:t>
            </w:r>
            <w:r w:rsidRPr="00083772">
              <w:rPr>
                <w:rFonts w:cs="Arial"/>
                <w:bCs/>
                <w:color w:val="FF0000"/>
                <w:sz w:val="16"/>
                <w:szCs w:val="16"/>
              </w:rPr>
              <w:br/>
              <w:t>Achieved</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lastRenderedPageBreak/>
              <w:t>No of users serviced by TISCs per quarter and country</w:t>
            </w:r>
          </w:p>
        </w:tc>
        <w:tc>
          <w:tcPr>
            <w:tcW w:w="890" w:type="pct"/>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200 (min.) – 630 (max.) average no. of users serviced by TISCs per day</w:t>
            </w:r>
          </w:p>
          <w:p w:rsidR="008D3FF3" w:rsidRPr="008D3FF3" w:rsidRDefault="008D3FF3" w:rsidP="002249F8">
            <w:pPr>
              <w:rPr>
                <w:rFonts w:cs="Arial"/>
                <w:i/>
                <w:color w:val="002060"/>
                <w:sz w:val="8"/>
                <w:szCs w:val="8"/>
              </w:rPr>
            </w:pPr>
          </w:p>
          <w:p w:rsidR="008D3FF3" w:rsidRPr="009D6119" w:rsidRDefault="008D3FF3" w:rsidP="002249F8">
            <w:pPr>
              <w:rPr>
                <w:rFonts w:cs="Arial"/>
                <w:sz w:val="16"/>
                <w:szCs w:val="16"/>
                <w:lang w:bidi="th-TH"/>
              </w:rPr>
            </w:pPr>
            <w:r w:rsidRPr="001656CD">
              <w:rPr>
                <w:rFonts w:cs="Arial"/>
                <w:i/>
                <w:sz w:val="16"/>
                <w:szCs w:val="16"/>
              </w:rPr>
              <w:t>Original Baseline P&amp;B 2012/13:</w:t>
            </w:r>
            <w:r w:rsidRPr="001656CD">
              <w:rPr>
                <w:rFonts w:cs="Arial"/>
                <w:sz w:val="16"/>
                <w:szCs w:val="16"/>
              </w:rPr>
              <w:br/>
            </w:r>
            <w:r w:rsidRPr="009D6119">
              <w:rPr>
                <w:rFonts w:cs="Arial"/>
                <w:sz w:val="16"/>
                <w:szCs w:val="16"/>
                <w:lang w:bidi="th-TH"/>
              </w:rPr>
              <w:t>Tbd by end 2011</w:t>
            </w:r>
          </w:p>
        </w:tc>
        <w:tc>
          <w:tcPr>
            <w:tcW w:w="806" w:type="pct"/>
            <w:shd w:val="clear" w:color="auto" w:fill="auto"/>
            <w:tcMar>
              <w:top w:w="110" w:type="dxa"/>
            </w:tcMar>
          </w:tcPr>
          <w:p w:rsidR="008D3FF3" w:rsidRPr="00083772" w:rsidRDefault="008D3FF3" w:rsidP="002249F8">
            <w:pPr>
              <w:rPr>
                <w:rFonts w:cs="Arial"/>
                <w:sz w:val="16"/>
                <w:szCs w:val="16"/>
                <w:lang w:bidi="th-TH"/>
              </w:rPr>
            </w:pPr>
            <w:r w:rsidRPr="009D6119">
              <w:rPr>
                <w:rFonts w:cs="Arial"/>
                <w:sz w:val="16"/>
                <w:szCs w:val="16"/>
                <w:lang w:bidi="th-TH"/>
              </w:rPr>
              <w:t>tbd by end 2011</w:t>
            </w:r>
          </w:p>
        </w:tc>
        <w:tc>
          <w:tcPr>
            <w:tcW w:w="1749" w:type="pct"/>
            <w:gridSpan w:val="2"/>
            <w:shd w:val="clear" w:color="auto" w:fill="FFFFFF"/>
            <w:tcMar>
              <w:top w:w="110" w:type="dxa"/>
            </w:tcMar>
          </w:tcPr>
          <w:p w:rsidR="008D3FF3" w:rsidRPr="001656CD" w:rsidRDefault="008D3FF3" w:rsidP="002249F8">
            <w:pPr>
              <w:rPr>
                <w:rFonts w:cs="Arial"/>
                <w:sz w:val="16"/>
                <w:szCs w:val="16"/>
                <w:highlight w:val="yellow"/>
              </w:rPr>
            </w:pPr>
            <w:r w:rsidRPr="001656CD">
              <w:rPr>
                <w:rFonts w:cs="Arial"/>
                <w:sz w:val="16"/>
                <w:szCs w:val="16"/>
                <w:lang w:bidi="th-TH"/>
              </w:rPr>
              <w:t>532 (min.) to 1370 (max.) average no. of users serviced by TISCs per day during 2013</w:t>
            </w:r>
            <w:r w:rsidR="001C1F7F">
              <w:rPr>
                <w:rFonts w:cs="Arial"/>
                <w:sz w:val="16"/>
                <w:szCs w:val="16"/>
                <w:lang w:bidi="th-TH"/>
              </w:rPr>
              <w:t>.</w:t>
            </w:r>
            <w:r w:rsidRPr="001656CD">
              <w:rPr>
                <w:rFonts w:cs="Arial"/>
                <w:sz w:val="16"/>
                <w:szCs w:val="16"/>
                <w:lang w:bidi="th-TH"/>
              </w:rPr>
              <w:t xml:space="preserve"> </w:t>
            </w:r>
          </w:p>
        </w:tc>
        <w:tc>
          <w:tcPr>
            <w:tcW w:w="586" w:type="pct"/>
            <w:shd w:val="clear" w:color="auto" w:fill="auto"/>
            <w:tcMar>
              <w:top w:w="110" w:type="dxa"/>
            </w:tcMar>
          </w:tcPr>
          <w:p w:rsidR="008D3FF3" w:rsidRPr="00083772" w:rsidRDefault="008D3FF3" w:rsidP="002249F8">
            <w:pPr>
              <w:keepNext/>
              <w:keepLines/>
              <w:jc w:val="center"/>
              <w:rPr>
                <w:rStyle w:val="Style5"/>
                <w:rFonts w:ascii="Arial" w:hAnsi="Arial" w:cs="Arial"/>
                <w:color w:val="808080" w:themeColor="background1" w:themeShade="80"/>
                <w:sz w:val="16"/>
                <w:szCs w:val="16"/>
              </w:rPr>
            </w:pPr>
            <w:r w:rsidRPr="00083772">
              <w:rPr>
                <w:rStyle w:val="Style5"/>
                <w:rFonts w:ascii="Arial" w:hAnsi="Arial" w:cs="Arial"/>
                <w:color w:val="808080" w:themeColor="background1" w:themeShade="80"/>
                <w:sz w:val="16"/>
                <w:szCs w:val="16"/>
              </w:rPr>
              <w:t>Not</w:t>
            </w:r>
          </w:p>
          <w:p w:rsidR="008D3FF3" w:rsidRPr="001656CD" w:rsidRDefault="008D3FF3" w:rsidP="002249F8">
            <w:pPr>
              <w:keepNext/>
              <w:keepLines/>
              <w:jc w:val="center"/>
              <w:rPr>
                <w:rFonts w:cs="Arial"/>
                <w:b/>
                <w:bCs/>
                <w:color w:val="808080"/>
                <w:sz w:val="16"/>
                <w:szCs w:val="16"/>
                <w:highlight w:val="yellow"/>
              </w:rPr>
            </w:pPr>
            <w:r w:rsidRPr="00083772">
              <w:rPr>
                <w:rStyle w:val="Style5"/>
                <w:rFonts w:ascii="Arial" w:hAnsi="Arial" w:cs="Arial"/>
                <w:color w:val="808080" w:themeColor="background1" w:themeShade="80"/>
                <w:sz w:val="16"/>
                <w:szCs w:val="16"/>
              </w:rPr>
              <w:t>Assessable</w:t>
            </w:r>
          </w:p>
        </w:tc>
      </w:tr>
      <w:tr w:rsidR="008D3FF3" w:rsidRPr="001656CD" w:rsidTr="008D3FF3">
        <w:trPr>
          <w:cantSplit/>
        </w:trPr>
        <w:tc>
          <w:tcPr>
            <w:tcW w:w="969" w:type="pct"/>
            <w:tcBorders>
              <w:bottom w:val="single" w:sz="4" w:space="0" w:color="auto"/>
            </w:tcBorders>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No. of Member States that have developed their IP framework and established TTOs </w:t>
            </w:r>
          </w:p>
        </w:tc>
        <w:tc>
          <w:tcPr>
            <w:tcW w:w="890" w:type="pct"/>
            <w:tcBorders>
              <w:bottom w:val="single" w:sz="4" w:space="0" w:color="auto"/>
            </w:tcBorders>
            <w:shd w:val="clear" w:color="auto" w:fill="auto"/>
          </w:tcPr>
          <w:p w:rsidR="008D3FF3" w:rsidRPr="009D6119" w:rsidRDefault="008D3FF3" w:rsidP="002249F8">
            <w:pPr>
              <w:rPr>
                <w:rFonts w:cs="Arial"/>
                <w:sz w:val="16"/>
                <w:szCs w:val="16"/>
                <w:lang w:bidi="th-TH"/>
              </w:rPr>
            </w:pPr>
            <w:r w:rsidRPr="00083772">
              <w:rPr>
                <w:rFonts w:cs="Arial"/>
                <w:sz w:val="16"/>
                <w:szCs w:val="16"/>
                <w:lang w:bidi="th-TH"/>
              </w:rPr>
              <w:t>Framework pilot project adopted and funding committed</w:t>
            </w:r>
          </w:p>
        </w:tc>
        <w:tc>
          <w:tcPr>
            <w:tcW w:w="806" w:type="pct"/>
            <w:tcBorders>
              <w:bottom w:val="single" w:sz="4" w:space="0" w:color="auto"/>
            </w:tcBorders>
            <w:shd w:val="clear" w:color="auto" w:fill="auto"/>
            <w:tcMar>
              <w:top w:w="110" w:type="dxa"/>
            </w:tcMar>
          </w:tcPr>
          <w:p w:rsidR="008D3FF3" w:rsidRPr="00083772" w:rsidRDefault="008D3FF3" w:rsidP="002249F8">
            <w:pPr>
              <w:autoSpaceDE w:val="0"/>
              <w:autoSpaceDN w:val="0"/>
              <w:adjustRightInd w:val="0"/>
              <w:rPr>
                <w:rFonts w:cs="Arial"/>
                <w:sz w:val="16"/>
                <w:szCs w:val="16"/>
              </w:rPr>
            </w:pPr>
            <w:r w:rsidRPr="00083772">
              <w:rPr>
                <w:rFonts w:cs="Arial"/>
                <w:sz w:val="16"/>
                <w:szCs w:val="16"/>
              </w:rPr>
              <w:t>Eight TTOs</w:t>
            </w:r>
          </w:p>
          <w:p w:rsidR="008D3FF3" w:rsidRPr="00083772" w:rsidRDefault="008D3FF3" w:rsidP="002249F8">
            <w:pPr>
              <w:rPr>
                <w:rFonts w:cs="Arial"/>
                <w:sz w:val="16"/>
                <w:szCs w:val="16"/>
                <w:lang w:bidi="th-TH"/>
              </w:rPr>
            </w:pPr>
            <w:r w:rsidRPr="00083772">
              <w:rPr>
                <w:rFonts w:cs="Arial"/>
                <w:sz w:val="16"/>
                <w:szCs w:val="16"/>
              </w:rPr>
              <w:t>(in 2012/13)</w:t>
            </w:r>
            <w:r w:rsidR="0070110C">
              <w:rPr>
                <w:rStyle w:val="FootnoteReference"/>
                <w:rFonts w:cs="Arial"/>
                <w:sz w:val="16"/>
                <w:szCs w:val="16"/>
              </w:rPr>
              <w:footnoteReference w:id="21"/>
            </w:r>
          </w:p>
        </w:tc>
        <w:tc>
          <w:tcPr>
            <w:tcW w:w="1749" w:type="pct"/>
            <w:gridSpan w:val="2"/>
            <w:tcBorders>
              <w:bottom w:val="single" w:sz="4" w:space="0" w:color="auto"/>
            </w:tcBorders>
            <w:shd w:val="clear" w:color="auto" w:fill="FFFFFF"/>
            <w:tcMar>
              <w:top w:w="110" w:type="dxa"/>
            </w:tcMar>
          </w:tcPr>
          <w:p w:rsidR="009C3DAD" w:rsidRPr="003C5DE4" w:rsidRDefault="0070110C" w:rsidP="009C3DAD">
            <w:pPr>
              <w:rPr>
                <w:rFonts w:cs="Arial"/>
                <w:sz w:val="16"/>
                <w:szCs w:val="16"/>
                <w:lang w:bidi="th-TH"/>
              </w:rPr>
            </w:pPr>
            <w:r w:rsidRPr="0070110C">
              <w:rPr>
                <w:rFonts w:cs="Arial"/>
                <w:sz w:val="16"/>
                <w:szCs w:val="16"/>
                <w:lang w:bidi="th-TH"/>
              </w:rPr>
              <w:t>Two</w:t>
            </w:r>
            <w:r w:rsidR="009C3DAD" w:rsidRPr="0070110C">
              <w:rPr>
                <w:rFonts w:cs="Arial"/>
                <w:sz w:val="16"/>
                <w:szCs w:val="16"/>
                <w:lang w:bidi="th-TH"/>
              </w:rPr>
              <w:t xml:space="preserve"> Universities/Institutions </w:t>
            </w:r>
            <w:r w:rsidRPr="0070110C">
              <w:rPr>
                <w:rFonts w:cs="Arial"/>
                <w:sz w:val="16"/>
                <w:szCs w:val="16"/>
                <w:lang w:bidi="th-TH"/>
              </w:rPr>
              <w:t xml:space="preserve">in Georgia </w:t>
            </w:r>
            <w:r w:rsidR="009C3DAD" w:rsidRPr="0070110C">
              <w:rPr>
                <w:rFonts w:cs="Arial"/>
                <w:sz w:val="16"/>
                <w:szCs w:val="16"/>
                <w:lang w:bidi="th-TH"/>
              </w:rPr>
              <w:t>were directly assisted in developing their knowledge transfer ecosystem, policy and infrastructure</w:t>
            </w:r>
            <w:r w:rsidRPr="0070110C">
              <w:rPr>
                <w:rFonts w:cs="Arial"/>
                <w:sz w:val="16"/>
                <w:szCs w:val="16"/>
                <w:lang w:bidi="th-TH"/>
              </w:rPr>
              <w:t xml:space="preserve"> in the CCEA region</w:t>
            </w:r>
            <w:r w:rsidR="009C3DAD" w:rsidRPr="0070110C">
              <w:rPr>
                <w:rFonts w:cs="Arial"/>
                <w:sz w:val="16"/>
                <w:szCs w:val="16"/>
                <w:lang w:bidi="th-TH"/>
              </w:rPr>
              <w:t xml:space="preserve">:  Ivane Javakhishvili Tbilisi State University and Georgian Technology Transfer </w:t>
            </w:r>
            <w:proofErr w:type="gramStart"/>
            <w:r w:rsidR="009C3DAD" w:rsidRPr="0070110C">
              <w:rPr>
                <w:rFonts w:cs="Arial"/>
                <w:sz w:val="16"/>
                <w:szCs w:val="16"/>
                <w:lang w:bidi="th-TH"/>
              </w:rPr>
              <w:t>Center,</w:t>
            </w:r>
            <w:proofErr w:type="gramEnd"/>
            <w:r w:rsidR="009C3DAD" w:rsidRPr="0070110C">
              <w:rPr>
                <w:rFonts w:cs="Arial"/>
                <w:sz w:val="16"/>
                <w:szCs w:val="16"/>
                <w:lang w:bidi="th-TH"/>
              </w:rPr>
              <w:t xml:space="preserve"> followed by the Plan of Action</w:t>
            </w:r>
            <w:r w:rsidR="001C1F7F">
              <w:rPr>
                <w:rFonts w:cs="Arial"/>
                <w:sz w:val="16"/>
                <w:szCs w:val="16"/>
                <w:lang w:bidi="th-TH"/>
              </w:rPr>
              <w:t>.</w:t>
            </w:r>
          </w:p>
          <w:p w:rsidR="008D3FF3" w:rsidRPr="001656CD" w:rsidRDefault="008D3FF3" w:rsidP="0070110C">
            <w:pPr>
              <w:rPr>
                <w:rFonts w:cs="Arial"/>
                <w:sz w:val="16"/>
                <w:szCs w:val="16"/>
              </w:rPr>
            </w:pPr>
          </w:p>
        </w:tc>
        <w:tc>
          <w:tcPr>
            <w:tcW w:w="586" w:type="pct"/>
            <w:tcBorders>
              <w:bottom w:val="single" w:sz="4" w:space="0" w:color="auto"/>
            </w:tcBorders>
            <w:shd w:val="clear" w:color="auto" w:fill="auto"/>
            <w:tcMar>
              <w:top w:w="110" w:type="dxa"/>
            </w:tcMar>
          </w:tcPr>
          <w:p w:rsidR="008D3FF3" w:rsidRPr="001656CD" w:rsidRDefault="0070110C" w:rsidP="002249F8">
            <w:pPr>
              <w:keepNext/>
              <w:keepLines/>
              <w:jc w:val="center"/>
              <w:rPr>
                <w:rFonts w:cs="Arial"/>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p>
        </w:tc>
      </w:tr>
      <w:tr w:rsidR="008D3FF3" w:rsidRPr="001656CD" w:rsidTr="008D3FF3">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2249F8">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color w:val="000000"/>
                <w:sz w:val="16"/>
                <w:szCs w:val="16"/>
                <w:lang w:bidi="th-TH"/>
              </w:rPr>
              <w:t>Enhanced  technical and knowledge infrastructure for IP Offices and other IP institutions leading to better services (cheaper, faster, higher quality) to their stakeholders</w:t>
            </w:r>
          </w:p>
        </w:tc>
      </w:tr>
      <w:tr w:rsidR="008D3FF3" w:rsidRPr="00BC6547" w:rsidTr="008D3FF3">
        <w:trPr>
          <w:cantSplit/>
        </w:trPr>
        <w:tc>
          <w:tcPr>
            <w:tcW w:w="969" w:type="pct"/>
            <w:tcBorders>
              <w:top w:val="single" w:sz="4" w:space="0" w:color="auto"/>
            </w:tcBorders>
            <w:shd w:val="clear" w:color="auto" w:fill="auto"/>
            <w:vAlign w:val="center"/>
          </w:tcPr>
          <w:p w:rsidR="008D3FF3" w:rsidRPr="00BC6547" w:rsidRDefault="008D3FF3" w:rsidP="002249F8">
            <w:pPr>
              <w:rPr>
                <w:rFonts w:cs="Arial"/>
                <w:sz w:val="16"/>
                <w:szCs w:val="16"/>
              </w:rPr>
            </w:pPr>
            <w:r w:rsidRPr="00BC6547">
              <w:rPr>
                <w:rFonts w:cs="Arial"/>
                <w:b/>
                <w:bCs/>
                <w:sz w:val="16"/>
                <w:szCs w:val="16"/>
              </w:rPr>
              <w:t>Performance Indicators</w:t>
            </w:r>
          </w:p>
        </w:tc>
        <w:tc>
          <w:tcPr>
            <w:tcW w:w="890" w:type="pct"/>
            <w:tcBorders>
              <w:top w:val="single" w:sz="4" w:space="0" w:color="auto"/>
            </w:tcBorders>
            <w:shd w:val="clear" w:color="auto" w:fill="auto"/>
            <w:vAlign w:val="center"/>
          </w:tcPr>
          <w:p w:rsidR="008D3FF3" w:rsidRPr="00BC6547" w:rsidRDefault="008D3FF3" w:rsidP="002249F8">
            <w:pPr>
              <w:rPr>
                <w:rFonts w:cs="Arial"/>
                <w:b/>
                <w:bCs/>
                <w:sz w:val="16"/>
                <w:szCs w:val="16"/>
              </w:rPr>
            </w:pPr>
            <w:r w:rsidRPr="00BC6547">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CD26D6" w:rsidRDefault="008D3FF3" w:rsidP="002249F8">
            <w:pPr>
              <w:rPr>
                <w:rFonts w:cs="Arial"/>
                <w:b/>
                <w:sz w:val="16"/>
                <w:szCs w:val="16"/>
              </w:rPr>
            </w:pPr>
            <w:r w:rsidRPr="00BC6547">
              <w:rPr>
                <w:rFonts w:cs="Arial"/>
                <w:b/>
                <w:sz w:val="16"/>
                <w:szCs w:val="16"/>
              </w:rPr>
              <w:t>Target</w:t>
            </w:r>
            <w:r w:rsidR="00E41397" w:rsidRPr="00BC6547">
              <w:rPr>
                <w:rFonts w:cs="Arial"/>
                <w:b/>
                <w:sz w:val="16"/>
                <w:szCs w:val="16"/>
              </w:rPr>
              <w:t>s</w:t>
            </w:r>
          </w:p>
        </w:tc>
        <w:tc>
          <w:tcPr>
            <w:tcW w:w="1749" w:type="pct"/>
            <w:gridSpan w:val="2"/>
            <w:tcBorders>
              <w:top w:val="single" w:sz="4" w:space="0" w:color="auto"/>
            </w:tcBorders>
            <w:shd w:val="clear" w:color="auto" w:fill="FFFFFF"/>
            <w:tcMar>
              <w:top w:w="110" w:type="dxa"/>
            </w:tcMar>
            <w:vAlign w:val="center"/>
          </w:tcPr>
          <w:p w:rsidR="008D3FF3" w:rsidRPr="00BC6547" w:rsidRDefault="008D3FF3" w:rsidP="002249F8">
            <w:pPr>
              <w:rPr>
                <w:rFonts w:cs="Arial"/>
                <w:sz w:val="16"/>
                <w:szCs w:val="16"/>
              </w:rPr>
            </w:pPr>
            <w:r w:rsidRPr="00BC6547">
              <w:rPr>
                <w:rFonts w:cs="Arial"/>
                <w:b/>
                <w:bCs/>
                <w:sz w:val="16"/>
                <w:szCs w:val="16"/>
              </w:rPr>
              <w:t>Performance Data</w:t>
            </w:r>
          </w:p>
        </w:tc>
        <w:tc>
          <w:tcPr>
            <w:tcW w:w="586" w:type="pct"/>
            <w:tcBorders>
              <w:top w:val="single" w:sz="4" w:space="0" w:color="auto"/>
            </w:tcBorders>
            <w:shd w:val="clear" w:color="auto" w:fill="auto"/>
            <w:tcMar>
              <w:top w:w="110" w:type="dxa"/>
            </w:tcMar>
            <w:vAlign w:val="center"/>
          </w:tcPr>
          <w:p w:rsidR="008D3FF3" w:rsidRPr="00CD26D6" w:rsidRDefault="008D3FF3" w:rsidP="002249F8">
            <w:pPr>
              <w:keepNext/>
              <w:keepLines/>
              <w:jc w:val="center"/>
              <w:rPr>
                <w:rFonts w:cs="Arial"/>
                <w:b/>
                <w:bCs/>
                <w:sz w:val="16"/>
                <w:szCs w:val="16"/>
              </w:rPr>
            </w:pPr>
            <w:r w:rsidRPr="00BC6547">
              <w:rPr>
                <w:rFonts w:cs="Arial"/>
                <w:b/>
                <w:bCs/>
                <w:sz w:val="16"/>
                <w:szCs w:val="16"/>
              </w:rPr>
              <w:t>TLS</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No. of Offices with fully automated vs partially </w:t>
            </w:r>
            <w:r w:rsidRPr="00083772">
              <w:rPr>
                <w:rFonts w:cs="Arial"/>
                <w:sz w:val="16"/>
                <w:szCs w:val="16"/>
                <w:lang w:bidi="th-TH"/>
              </w:rPr>
              <w:t>automated IP administration systems provided by WIPO databases</w:t>
            </w:r>
          </w:p>
        </w:tc>
        <w:tc>
          <w:tcPr>
            <w:tcW w:w="890" w:type="pct"/>
            <w:shd w:val="clear" w:color="auto" w:fill="auto"/>
          </w:tcPr>
          <w:p w:rsidR="008D3FF3" w:rsidRPr="00083772" w:rsidRDefault="008D3FF3" w:rsidP="002249F8">
            <w:pPr>
              <w:rPr>
                <w:rFonts w:cs="Arial"/>
                <w:sz w:val="16"/>
                <w:szCs w:val="16"/>
                <w:lang w:bidi="th-TH"/>
              </w:rPr>
            </w:pPr>
            <w:r w:rsidRPr="00083772">
              <w:rPr>
                <w:rFonts w:cs="Arial"/>
                <w:sz w:val="16"/>
                <w:szCs w:val="16"/>
                <w:lang w:bidi="th-TH"/>
              </w:rPr>
              <w:t>Four</w:t>
            </w:r>
          </w:p>
        </w:tc>
        <w:tc>
          <w:tcPr>
            <w:tcW w:w="806" w:type="pct"/>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lang w:bidi="th-TH"/>
              </w:rPr>
              <w:t>Four</w:t>
            </w:r>
          </w:p>
          <w:p w:rsidR="008D3FF3" w:rsidRPr="00083772" w:rsidRDefault="008D3FF3" w:rsidP="002249F8">
            <w:pPr>
              <w:rPr>
                <w:rFonts w:cs="Arial"/>
                <w:sz w:val="16"/>
                <w:szCs w:val="16"/>
              </w:rPr>
            </w:pPr>
            <w:r w:rsidRPr="00083772">
              <w:rPr>
                <w:rFonts w:cs="Arial"/>
                <w:sz w:val="16"/>
                <w:szCs w:val="16"/>
                <w:lang w:bidi="th-TH"/>
              </w:rPr>
              <w:t>(in 2012/13)</w:t>
            </w:r>
          </w:p>
        </w:tc>
        <w:tc>
          <w:tcPr>
            <w:tcW w:w="1749" w:type="pct"/>
            <w:gridSpan w:val="2"/>
            <w:shd w:val="clear" w:color="auto" w:fill="FFFFFF"/>
            <w:tcMar>
              <w:top w:w="110" w:type="dxa"/>
            </w:tcMar>
          </w:tcPr>
          <w:p w:rsidR="008D3FF3" w:rsidRPr="001656CD" w:rsidRDefault="008D3FF3" w:rsidP="002249F8">
            <w:pPr>
              <w:keepNext/>
              <w:keepLines/>
              <w:outlineLvl w:val="4"/>
              <w:rPr>
                <w:rFonts w:cs="Arial"/>
                <w:sz w:val="16"/>
                <w:szCs w:val="16"/>
                <w:lang w:bidi="th-TH"/>
              </w:rPr>
            </w:pPr>
            <w:r w:rsidRPr="001656CD">
              <w:rPr>
                <w:rFonts w:cs="Arial"/>
                <w:sz w:val="16"/>
                <w:szCs w:val="16"/>
                <w:lang w:bidi="th-TH"/>
              </w:rPr>
              <w:t xml:space="preserve">No. of fully automated </w:t>
            </w:r>
            <w:r>
              <w:rPr>
                <w:rFonts w:cs="Arial"/>
                <w:sz w:val="16"/>
                <w:szCs w:val="16"/>
                <w:lang w:bidi="th-TH"/>
              </w:rPr>
              <w:t>O</w:t>
            </w:r>
            <w:r w:rsidRPr="001656CD">
              <w:rPr>
                <w:rFonts w:cs="Arial"/>
                <w:sz w:val="16"/>
                <w:szCs w:val="16"/>
                <w:lang w:bidi="th-TH"/>
              </w:rPr>
              <w:t>ffices end 2012/13 biennium (</w:t>
            </w:r>
            <w:r>
              <w:rPr>
                <w:rFonts w:cs="Arial"/>
                <w:sz w:val="16"/>
                <w:szCs w:val="16"/>
                <w:lang w:bidi="th-TH"/>
              </w:rPr>
              <w:t>4</w:t>
            </w:r>
            <w:r w:rsidRPr="001656CD">
              <w:rPr>
                <w:rFonts w:cs="Arial"/>
                <w:sz w:val="16"/>
                <w:szCs w:val="16"/>
                <w:lang w:bidi="th-TH"/>
              </w:rPr>
              <w:t xml:space="preserve">) (Albania, Belarus, </w:t>
            </w:r>
            <w:r w:rsidR="001C1F7F">
              <w:rPr>
                <w:rFonts w:cs="Arial"/>
                <w:sz w:val="16"/>
                <w:szCs w:val="16"/>
                <w:lang w:bidi="th-TH"/>
              </w:rPr>
              <w:t xml:space="preserve">the former Yugoslav Republic of </w:t>
            </w:r>
            <w:r w:rsidRPr="001656CD">
              <w:rPr>
                <w:rFonts w:cs="Arial"/>
                <w:sz w:val="16"/>
                <w:szCs w:val="16"/>
                <w:lang w:bidi="th-TH"/>
              </w:rPr>
              <w:t>Macedonia, Serbia)</w:t>
            </w:r>
            <w:r w:rsidR="001C1F7F">
              <w:rPr>
                <w:rFonts w:cs="Arial"/>
                <w:sz w:val="16"/>
                <w:szCs w:val="16"/>
                <w:lang w:bidi="th-TH"/>
              </w:rPr>
              <w:t>.</w:t>
            </w:r>
          </w:p>
          <w:p w:rsidR="008D3FF3" w:rsidRPr="001656CD" w:rsidRDefault="008D3FF3" w:rsidP="002249F8">
            <w:pPr>
              <w:rPr>
                <w:rFonts w:cs="Arial"/>
                <w:sz w:val="16"/>
                <w:szCs w:val="16"/>
                <w:lang w:bidi="th-TH"/>
              </w:rPr>
            </w:pPr>
          </w:p>
          <w:p w:rsidR="008D3FF3" w:rsidRPr="001656CD" w:rsidRDefault="008D3FF3" w:rsidP="002249F8">
            <w:pPr>
              <w:rPr>
                <w:rFonts w:cs="Arial"/>
                <w:sz w:val="16"/>
                <w:szCs w:val="16"/>
                <w:lang w:bidi="th-TH"/>
              </w:rPr>
            </w:pPr>
            <w:r w:rsidRPr="001656CD">
              <w:rPr>
                <w:rFonts w:cs="Arial"/>
                <w:sz w:val="16"/>
                <w:szCs w:val="16"/>
                <w:lang w:bidi="th-TH"/>
              </w:rPr>
              <w:t xml:space="preserve">No. of partially automated </w:t>
            </w:r>
            <w:r>
              <w:rPr>
                <w:rFonts w:cs="Arial"/>
                <w:sz w:val="16"/>
                <w:szCs w:val="16"/>
                <w:lang w:bidi="th-TH"/>
              </w:rPr>
              <w:t>O</w:t>
            </w:r>
            <w:r w:rsidRPr="001656CD">
              <w:rPr>
                <w:rFonts w:cs="Arial"/>
                <w:sz w:val="16"/>
                <w:szCs w:val="16"/>
                <w:lang w:bidi="th-TH"/>
              </w:rPr>
              <w:t>ffices end 2012/13 biennium (1) (Kosovo)</w:t>
            </w:r>
            <w:r w:rsidR="00486A19">
              <w:rPr>
                <w:rFonts w:cs="Arial"/>
                <w:sz w:val="16"/>
                <w:szCs w:val="16"/>
                <w:lang w:bidi="th-TH"/>
              </w:rPr>
              <w:t>.</w:t>
            </w:r>
          </w:p>
          <w:p w:rsidR="008D3FF3" w:rsidRPr="001656CD" w:rsidRDefault="008D3FF3" w:rsidP="002249F8">
            <w:pPr>
              <w:rPr>
                <w:rFonts w:cs="Arial"/>
                <w:sz w:val="16"/>
                <w:szCs w:val="16"/>
                <w:lang w:bidi="th-TH"/>
              </w:rPr>
            </w:pPr>
          </w:p>
          <w:p w:rsidR="008D3FF3" w:rsidRPr="001656CD" w:rsidRDefault="008D3FF3" w:rsidP="002249F8">
            <w:pPr>
              <w:rPr>
                <w:rFonts w:cs="Arial"/>
                <w:sz w:val="16"/>
                <w:szCs w:val="16"/>
              </w:rPr>
            </w:pPr>
            <w:r w:rsidRPr="001656CD">
              <w:rPr>
                <w:rFonts w:cs="Arial"/>
                <w:sz w:val="16"/>
                <w:szCs w:val="16"/>
                <w:lang w:bidi="th-TH"/>
              </w:rPr>
              <w:t xml:space="preserve">Total: </w:t>
            </w:r>
            <w:r w:rsidR="00486A19">
              <w:rPr>
                <w:rFonts w:cs="Arial"/>
                <w:sz w:val="16"/>
                <w:szCs w:val="16"/>
                <w:lang w:bidi="th-TH"/>
              </w:rPr>
              <w:t xml:space="preserve"> </w:t>
            </w:r>
            <w:r>
              <w:rPr>
                <w:rFonts w:cs="Arial"/>
                <w:sz w:val="16"/>
                <w:szCs w:val="16"/>
                <w:lang w:bidi="th-TH"/>
              </w:rPr>
              <w:t>Five</w:t>
            </w:r>
            <w:r w:rsidRPr="001656CD">
              <w:rPr>
                <w:rFonts w:cs="Arial"/>
                <w:sz w:val="16"/>
                <w:szCs w:val="16"/>
                <w:lang w:bidi="th-TH"/>
              </w:rPr>
              <w:t xml:space="preserve"> </w:t>
            </w:r>
            <w:r>
              <w:rPr>
                <w:rFonts w:cs="Arial"/>
                <w:sz w:val="16"/>
                <w:szCs w:val="16"/>
                <w:lang w:bidi="th-TH"/>
              </w:rPr>
              <w:t>O</w:t>
            </w:r>
            <w:r w:rsidRPr="001656CD">
              <w:rPr>
                <w:rFonts w:cs="Arial"/>
                <w:sz w:val="16"/>
                <w:szCs w:val="16"/>
                <w:lang w:bidi="th-TH"/>
              </w:rPr>
              <w:t>ffices using WIPO IP administration systems end 2012/13 biennium</w:t>
            </w:r>
            <w:r w:rsidR="00486A19">
              <w:rPr>
                <w:rFonts w:cs="Arial"/>
                <w:sz w:val="16"/>
                <w:szCs w:val="16"/>
                <w:lang w:bidi="th-TH"/>
              </w:rPr>
              <w:t>.</w:t>
            </w:r>
            <w:r w:rsidRPr="001656CD">
              <w:rPr>
                <w:rFonts w:cs="Arial"/>
                <w:sz w:val="16"/>
                <w:szCs w:val="16"/>
                <w:lang w:bidi="th-TH"/>
              </w:rPr>
              <w:t xml:space="preserve"> </w:t>
            </w:r>
          </w:p>
        </w:tc>
        <w:tc>
          <w:tcPr>
            <w:tcW w:w="586" w:type="pct"/>
            <w:shd w:val="clear" w:color="auto" w:fill="auto"/>
            <w:tcMar>
              <w:top w:w="110" w:type="dxa"/>
            </w:tcMar>
          </w:tcPr>
          <w:p w:rsidR="008D3FF3" w:rsidRPr="001656CD" w:rsidRDefault="008D3FF3" w:rsidP="002249F8">
            <w:pPr>
              <w:keepNext/>
              <w:keepLines/>
              <w:jc w:val="center"/>
              <w:rPr>
                <w:rFonts w:cs="Arial"/>
                <w:bCs/>
                <w:color w:val="80808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No. of Offices with IP data online in WIPO</w:t>
            </w:r>
          </w:p>
        </w:tc>
        <w:tc>
          <w:tcPr>
            <w:tcW w:w="890" w:type="pct"/>
            <w:shd w:val="clear" w:color="auto" w:fill="auto"/>
          </w:tcPr>
          <w:p w:rsidR="008D3FF3" w:rsidRPr="00083772" w:rsidRDefault="008D3FF3" w:rsidP="002249F8">
            <w:pPr>
              <w:rPr>
                <w:rFonts w:cs="Arial"/>
                <w:sz w:val="16"/>
                <w:szCs w:val="16"/>
                <w:lang w:bidi="th-TH"/>
              </w:rPr>
            </w:pPr>
            <w:r w:rsidRPr="00083772">
              <w:rPr>
                <w:rFonts w:cs="Arial"/>
                <w:sz w:val="16"/>
                <w:szCs w:val="16"/>
                <w:lang w:bidi="th-TH"/>
              </w:rPr>
              <w:t>Tbd</w:t>
            </w:r>
          </w:p>
        </w:tc>
        <w:tc>
          <w:tcPr>
            <w:tcW w:w="806" w:type="pct"/>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lang w:bidi="th-TH"/>
              </w:rPr>
              <w:t>Tbd</w:t>
            </w:r>
            <w:r w:rsidRPr="00083772" w:rsidDel="00550A2C">
              <w:rPr>
                <w:rFonts w:cs="Arial"/>
                <w:sz w:val="16"/>
                <w:szCs w:val="16"/>
                <w:lang w:bidi="th-TH"/>
              </w:rPr>
              <w:t xml:space="preserve"> </w:t>
            </w:r>
          </w:p>
        </w:tc>
        <w:tc>
          <w:tcPr>
            <w:tcW w:w="1749" w:type="pct"/>
            <w:gridSpan w:val="2"/>
            <w:shd w:val="clear" w:color="auto" w:fill="FFFFFF"/>
            <w:tcMar>
              <w:top w:w="110" w:type="dxa"/>
            </w:tcMar>
          </w:tcPr>
          <w:p w:rsidR="008D3FF3" w:rsidRPr="001656CD" w:rsidRDefault="008D3FF3" w:rsidP="002249F8">
            <w:pPr>
              <w:rPr>
                <w:rFonts w:cs="Arial"/>
                <w:sz w:val="16"/>
                <w:szCs w:val="16"/>
                <w:lang w:bidi="th-TH"/>
              </w:rPr>
            </w:pPr>
            <w:r>
              <w:rPr>
                <w:rFonts w:cs="Arial"/>
                <w:sz w:val="16"/>
                <w:szCs w:val="16"/>
                <w:lang w:bidi="th-TH"/>
              </w:rPr>
              <w:t>Three</w:t>
            </w:r>
            <w:r w:rsidRPr="001656CD">
              <w:rPr>
                <w:rFonts w:cs="Arial"/>
                <w:sz w:val="16"/>
                <w:szCs w:val="16"/>
                <w:lang w:bidi="th-TH"/>
              </w:rPr>
              <w:t xml:space="preserve"> offices:</w:t>
            </w:r>
          </w:p>
          <w:p w:rsidR="008D3FF3" w:rsidRPr="001656CD" w:rsidRDefault="008D3FF3" w:rsidP="002249F8">
            <w:pPr>
              <w:rPr>
                <w:rFonts w:cs="Arial"/>
                <w:sz w:val="16"/>
                <w:szCs w:val="16"/>
                <w:lang w:bidi="th-TH"/>
              </w:rPr>
            </w:pPr>
          </w:p>
          <w:p w:rsidR="008D3FF3" w:rsidRPr="001656CD" w:rsidRDefault="008D3FF3" w:rsidP="002249F8">
            <w:pPr>
              <w:rPr>
                <w:rFonts w:cs="Arial"/>
                <w:sz w:val="16"/>
                <w:szCs w:val="16"/>
                <w:lang w:bidi="th-TH"/>
              </w:rPr>
            </w:pPr>
            <w:r w:rsidRPr="001656CD">
              <w:rPr>
                <w:rFonts w:cs="Arial"/>
                <w:sz w:val="16"/>
                <w:szCs w:val="16"/>
                <w:lang w:bidi="th-TH"/>
              </w:rPr>
              <w:t>PATENTSCOPE (</w:t>
            </w:r>
            <w:r>
              <w:rPr>
                <w:rFonts w:cs="Arial"/>
                <w:sz w:val="16"/>
                <w:szCs w:val="16"/>
                <w:lang w:bidi="th-TH"/>
              </w:rPr>
              <w:t>2</w:t>
            </w:r>
            <w:r w:rsidRPr="001656CD">
              <w:rPr>
                <w:rFonts w:cs="Arial"/>
                <w:sz w:val="16"/>
                <w:szCs w:val="16"/>
                <w:lang w:bidi="th-TH"/>
              </w:rPr>
              <w:t>) (Estonia, the Russian Federation) (cumulative)</w:t>
            </w:r>
            <w:r w:rsidR="00486A19">
              <w:rPr>
                <w:rFonts w:cs="Arial"/>
                <w:sz w:val="16"/>
                <w:szCs w:val="16"/>
                <w:lang w:bidi="th-TH"/>
              </w:rPr>
              <w:t>.</w:t>
            </w:r>
          </w:p>
          <w:p w:rsidR="008D3FF3" w:rsidRPr="001656CD" w:rsidRDefault="008D3FF3" w:rsidP="002249F8">
            <w:pPr>
              <w:rPr>
                <w:rFonts w:cs="Arial"/>
                <w:sz w:val="16"/>
                <w:szCs w:val="16"/>
                <w:lang w:bidi="th-TH"/>
              </w:rPr>
            </w:pPr>
          </w:p>
          <w:p w:rsidR="008D3FF3" w:rsidRPr="001656CD" w:rsidRDefault="008D3FF3" w:rsidP="002249F8">
            <w:pPr>
              <w:rPr>
                <w:rFonts w:cs="Arial"/>
                <w:sz w:val="16"/>
                <w:szCs w:val="16"/>
              </w:rPr>
            </w:pPr>
            <w:r w:rsidRPr="001656CD">
              <w:rPr>
                <w:rFonts w:cs="Arial"/>
                <w:sz w:val="16"/>
                <w:szCs w:val="16"/>
                <w:lang w:bidi="th-TH"/>
              </w:rPr>
              <w:t>Global Brand Database (</w:t>
            </w:r>
            <w:r>
              <w:rPr>
                <w:rFonts w:cs="Arial"/>
                <w:sz w:val="16"/>
                <w:szCs w:val="16"/>
                <w:lang w:bidi="th-TH"/>
              </w:rPr>
              <w:t>1</w:t>
            </w:r>
            <w:r w:rsidRPr="001656CD">
              <w:rPr>
                <w:rFonts w:cs="Arial"/>
                <w:sz w:val="16"/>
                <w:szCs w:val="16"/>
                <w:lang w:bidi="th-TH"/>
              </w:rPr>
              <w:t>) (Estonia) (cumulative)</w:t>
            </w:r>
            <w:r w:rsidR="00486A19">
              <w:rPr>
                <w:rFonts w:cs="Arial"/>
                <w:sz w:val="16"/>
                <w:szCs w:val="16"/>
                <w:lang w:bidi="th-TH"/>
              </w:rPr>
              <w:t>.</w:t>
            </w:r>
          </w:p>
        </w:tc>
        <w:tc>
          <w:tcPr>
            <w:tcW w:w="586" w:type="pct"/>
            <w:shd w:val="clear" w:color="auto" w:fill="auto"/>
            <w:tcMar>
              <w:top w:w="110" w:type="dxa"/>
            </w:tcMar>
          </w:tcPr>
          <w:p w:rsidR="008D3FF3" w:rsidRPr="00083772" w:rsidRDefault="008D3FF3" w:rsidP="002249F8">
            <w:pPr>
              <w:keepNext/>
              <w:keepLines/>
              <w:jc w:val="center"/>
              <w:rPr>
                <w:rStyle w:val="Style5"/>
                <w:rFonts w:ascii="Arial" w:hAnsi="Arial" w:cs="Arial"/>
                <w:color w:val="808080" w:themeColor="background1" w:themeShade="80"/>
                <w:sz w:val="16"/>
                <w:szCs w:val="16"/>
              </w:rPr>
            </w:pPr>
            <w:r w:rsidRPr="00083772">
              <w:rPr>
                <w:rStyle w:val="Style5"/>
                <w:rFonts w:ascii="Arial" w:hAnsi="Arial" w:cs="Arial"/>
                <w:color w:val="808080" w:themeColor="background1" w:themeShade="80"/>
                <w:sz w:val="16"/>
                <w:szCs w:val="16"/>
              </w:rPr>
              <w:t xml:space="preserve">Not </w:t>
            </w:r>
          </w:p>
          <w:p w:rsidR="008D3FF3" w:rsidRPr="001656CD" w:rsidRDefault="008D3FF3" w:rsidP="002249F8">
            <w:pPr>
              <w:keepNext/>
              <w:keepLines/>
              <w:jc w:val="center"/>
              <w:rPr>
                <w:rFonts w:cs="Arial"/>
                <w:bCs/>
                <w:color w:val="808080"/>
                <w:sz w:val="16"/>
                <w:szCs w:val="16"/>
              </w:rPr>
            </w:pPr>
            <w:r w:rsidRPr="00083772">
              <w:rPr>
                <w:rStyle w:val="Style5"/>
                <w:rFonts w:ascii="Arial" w:hAnsi="Arial" w:cs="Arial"/>
                <w:color w:val="808080" w:themeColor="background1" w:themeShade="80"/>
                <w:sz w:val="16"/>
                <w:szCs w:val="16"/>
              </w:rPr>
              <w:t>Assessable</w:t>
            </w:r>
          </w:p>
        </w:tc>
      </w:tr>
      <w:tr w:rsidR="008D3FF3" w:rsidRPr="001656CD" w:rsidTr="008D3FF3">
        <w:trPr>
          <w:cantSplit/>
        </w:trPr>
        <w:tc>
          <w:tcPr>
            <w:tcW w:w="969" w:type="pct"/>
            <w:tcBorders>
              <w:bottom w:val="single" w:sz="4" w:space="0" w:color="auto"/>
            </w:tcBorders>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No. of Offices processing PCT and Madrid data with the support of WIPO supplied systems</w:t>
            </w:r>
          </w:p>
        </w:tc>
        <w:tc>
          <w:tcPr>
            <w:tcW w:w="890" w:type="pct"/>
            <w:tcBorders>
              <w:bottom w:val="single" w:sz="4" w:space="0" w:color="auto"/>
            </w:tcBorders>
            <w:shd w:val="clear" w:color="auto" w:fill="auto"/>
          </w:tcPr>
          <w:p w:rsidR="008D3FF3" w:rsidRPr="00083772" w:rsidRDefault="008D3FF3" w:rsidP="002249F8">
            <w:pPr>
              <w:rPr>
                <w:rFonts w:cs="Arial"/>
                <w:sz w:val="16"/>
                <w:szCs w:val="16"/>
                <w:lang w:bidi="th-TH"/>
              </w:rPr>
            </w:pPr>
            <w:r w:rsidRPr="00083772">
              <w:rPr>
                <w:rFonts w:cs="Arial"/>
                <w:sz w:val="16"/>
                <w:szCs w:val="16"/>
                <w:lang w:bidi="th-TH"/>
              </w:rPr>
              <w:t>Tbd</w:t>
            </w:r>
          </w:p>
          <w:p w:rsidR="008D3FF3" w:rsidRPr="00083772" w:rsidRDefault="008D3FF3" w:rsidP="002249F8">
            <w:pPr>
              <w:rPr>
                <w:rFonts w:cs="Arial"/>
                <w:sz w:val="16"/>
                <w:szCs w:val="16"/>
                <w:lang w:bidi="th-TH"/>
              </w:rPr>
            </w:pPr>
          </w:p>
        </w:tc>
        <w:tc>
          <w:tcPr>
            <w:tcW w:w="806" w:type="pct"/>
            <w:tcBorders>
              <w:bottom w:val="single" w:sz="4" w:space="0" w:color="auto"/>
            </w:tcBorders>
            <w:shd w:val="clear" w:color="auto" w:fill="auto"/>
            <w:tcMar>
              <w:top w:w="110" w:type="dxa"/>
            </w:tcMar>
          </w:tcPr>
          <w:p w:rsidR="008D3FF3" w:rsidRPr="00083772" w:rsidRDefault="008D3FF3" w:rsidP="002249F8">
            <w:pPr>
              <w:rPr>
                <w:rFonts w:cs="Arial"/>
                <w:sz w:val="16"/>
                <w:szCs w:val="16"/>
                <w:lang w:bidi="th-TH"/>
              </w:rPr>
            </w:pPr>
            <w:r w:rsidRPr="00083772">
              <w:rPr>
                <w:rFonts w:cs="Arial"/>
                <w:sz w:val="16"/>
                <w:szCs w:val="16"/>
                <w:lang w:bidi="th-TH"/>
              </w:rPr>
              <w:t>Tbd</w:t>
            </w:r>
          </w:p>
        </w:tc>
        <w:tc>
          <w:tcPr>
            <w:tcW w:w="1749" w:type="pct"/>
            <w:gridSpan w:val="2"/>
            <w:tcBorders>
              <w:bottom w:val="single" w:sz="4" w:space="0" w:color="auto"/>
            </w:tcBorders>
            <w:shd w:val="clear" w:color="auto" w:fill="FFFFFF"/>
            <w:tcMar>
              <w:top w:w="110" w:type="dxa"/>
            </w:tcMar>
          </w:tcPr>
          <w:p w:rsidR="008D3FF3" w:rsidRPr="001656CD" w:rsidRDefault="008D3FF3" w:rsidP="002249F8">
            <w:pPr>
              <w:keepNext/>
              <w:keepLines/>
              <w:outlineLvl w:val="4"/>
              <w:rPr>
                <w:rFonts w:cs="Arial"/>
                <w:sz w:val="16"/>
                <w:szCs w:val="16"/>
                <w:lang w:bidi="th-TH"/>
              </w:rPr>
            </w:pPr>
            <w:r>
              <w:rPr>
                <w:rFonts w:cs="Arial"/>
                <w:sz w:val="16"/>
                <w:szCs w:val="16"/>
                <w:lang w:bidi="th-TH"/>
              </w:rPr>
              <w:t xml:space="preserve">Six </w:t>
            </w:r>
            <w:r w:rsidRPr="001656CD">
              <w:rPr>
                <w:rFonts w:cs="Arial"/>
                <w:sz w:val="16"/>
                <w:szCs w:val="16"/>
                <w:lang w:bidi="th-TH"/>
              </w:rPr>
              <w:t>Offices:</w:t>
            </w:r>
          </w:p>
          <w:p w:rsidR="008D3FF3" w:rsidRPr="001656CD" w:rsidRDefault="008D3FF3" w:rsidP="002249F8">
            <w:pPr>
              <w:keepNext/>
              <w:keepLines/>
              <w:outlineLvl w:val="4"/>
              <w:rPr>
                <w:rFonts w:cs="Arial"/>
                <w:sz w:val="16"/>
                <w:szCs w:val="16"/>
                <w:lang w:bidi="th-TH"/>
              </w:rPr>
            </w:pPr>
          </w:p>
          <w:p w:rsidR="008D3FF3" w:rsidRPr="001656CD" w:rsidRDefault="008D3FF3" w:rsidP="002249F8">
            <w:pPr>
              <w:keepNext/>
              <w:keepLines/>
              <w:outlineLvl w:val="4"/>
              <w:rPr>
                <w:rFonts w:cs="Arial"/>
                <w:sz w:val="16"/>
                <w:szCs w:val="16"/>
                <w:lang w:bidi="th-TH"/>
              </w:rPr>
            </w:pPr>
            <w:r w:rsidRPr="001656CD">
              <w:rPr>
                <w:rFonts w:cs="Arial"/>
                <w:sz w:val="16"/>
                <w:szCs w:val="16"/>
                <w:lang w:bidi="th-TH"/>
              </w:rPr>
              <w:t xml:space="preserve">PCT data: </w:t>
            </w:r>
            <w:r w:rsidR="00486A19">
              <w:rPr>
                <w:rFonts w:cs="Arial"/>
                <w:sz w:val="16"/>
                <w:szCs w:val="16"/>
                <w:lang w:bidi="th-TH"/>
              </w:rPr>
              <w:t xml:space="preserve"> </w:t>
            </w:r>
            <w:r w:rsidRPr="001656CD">
              <w:rPr>
                <w:rFonts w:cs="Arial"/>
                <w:sz w:val="16"/>
                <w:szCs w:val="16"/>
                <w:lang w:bidi="th-TH"/>
              </w:rPr>
              <w:t>(</w:t>
            </w:r>
            <w:r>
              <w:rPr>
                <w:rFonts w:cs="Arial"/>
                <w:sz w:val="16"/>
                <w:szCs w:val="16"/>
                <w:lang w:bidi="th-TH"/>
              </w:rPr>
              <w:t>4</w:t>
            </w:r>
            <w:r w:rsidRPr="001656CD">
              <w:rPr>
                <w:rFonts w:cs="Arial"/>
                <w:sz w:val="16"/>
                <w:szCs w:val="16"/>
                <w:lang w:bidi="th-TH"/>
              </w:rPr>
              <w:t xml:space="preserve">) (Albania, Belarus, </w:t>
            </w:r>
            <w:r w:rsidR="00486A19">
              <w:rPr>
                <w:rFonts w:cs="Arial"/>
                <w:sz w:val="16"/>
                <w:szCs w:val="16"/>
                <w:lang w:bidi="th-TH"/>
              </w:rPr>
              <w:t xml:space="preserve">the former Yugoslav Republic of </w:t>
            </w:r>
            <w:r w:rsidRPr="001656CD">
              <w:rPr>
                <w:rFonts w:cs="Arial"/>
                <w:sz w:val="16"/>
                <w:szCs w:val="16"/>
                <w:lang w:bidi="th-TH"/>
              </w:rPr>
              <w:t>Macedonia, Serbia)</w:t>
            </w:r>
            <w:r w:rsidR="00486A19">
              <w:rPr>
                <w:rFonts w:cs="Arial"/>
                <w:sz w:val="16"/>
                <w:szCs w:val="16"/>
                <w:lang w:bidi="th-TH"/>
              </w:rPr>
              <w:t>.</w:t>
            </w:r>
          </w:p>
          <w:p w:rsidR="008D3FF3" w:rsidRPr="001656CD" w:rsidRDefault="008D3FF3" w:rsidP="002249F8">
            <w:pPr>
              <w:keepNext/>
              <w:keepLines/>
              <w:outlineLvl w:val="4"/>
              <w:rPr>
                <w:rFonts w:cs="Arial"/>
                <w:sz w:val="16"/>
                <w:szCs w:val="16"/>
                <w:lang w:bidi="th-TH"/>
              </w:rPr>
            </w:pPr>
          </w:p>
          <w:p w:rsidR="008D3FF3" w:rsidRPr="001656CD" w:rsidRDefault="008D3FF3" w:rsidP="002249F8">
            <w:pPr>
              <w:keepNext/>
              <w:keepLines/>
              <w:outlineLvl w:val="4"/>
              <w:rPr>
                <w:rFonts w:cs="Arial"/>
                <w:sz w:val="16"/>
                <w:szCs w:val="16"/>
                <w:lang w:bidi="th-TH"/>
              </w:rPr>
            </w:pPr>
            <w:r w:rsidRPr="001656CD">
              <w:rPr>
                <w:rFonts w:cs="Arial"/>
                <w:sz w:val="16"/>
                <w:szCs w:val="16"/>
                <w:lang w:bidi="th-TH"/>
              </w:rPr>
              <w:t xml:space="preserve">Madrid data: </w:t>
            </w:r>
            <w:r w:rsidR="00486A19">
              <w:rPr>
                <w:rFonts w:cs="Arial"/>
                <w:sz w:val="16"/>
                <w:szCs w:val="16"/>
                <w:lang w:bidi="th-TH"/>
              </w:rPr>
              <w:t xml:space="preserve"> </w:t>
            </w:r>
            <w:r w:rsidRPr="001656CD">
              <w:rPr>
                <w:rFonts w:cs="Arial"/>
                <w:sz w:val="16"/>
                <w:szCs w:val="16"/>
                <w:lang w:bidi="th-TH"/>
              </w:rPr>
              <w:t>(</w:t>
            </w:r>
            <w:r>
              <w:rPr>
                <w:rFonts w:cs="Arial"/>
                <w:sz w:val="16"/>
                <w:szCs w:val="16"/>
                <w:lang w:bidi="th-TH"/>
              </w:rPr>
              <w:t>2</w:t>
            </w:r>
            <w:r w:rsidRPr="001656CD">
              <w:rPr>
                <w:rFonts w:cs="Arial"/>
                <w:sz w:val="16"/>
                <w:szCs w:val="16"/>
                <w:lang w:bidi="th-TH"/>
              </w:rPr>
              <w:t xml:space="preserve">) (Albania, </w:t>
            </w:r>
            <w:proofErr w:type="gramStart"/>
            <w:r w:rsidRPr="001656CD">
              <w:rPr>
                <w:rFonts w:cs="Arial"/>
                <w:sz w:val="16"/>
                <w:szCs w:val="16"/>
                <w:lang w:bidi="th-TH"/>
              </w:rPr>
              <w:t>Serbia )</w:t>
            </w:r>
            <w:proofErr w:type="gramEnd"/>
            <w:r w:rsidR="00486A19">
              <w:rPr>
                <w:rFonts w:cs="Arial"/>
                <w:sz w:val="16"/>
                <w:szCs w:val="16"/>
                <w:lang w:bidi="th-TH"/>
              </w:rPr>
              <w:t>.</w:t>
            </w:r>
          </w:p>
          <w:p w:rsidR="008D3FF3" w:rsidRPr="001656CD" w:rsidRDefault="008D3FF3" w:rsidP="002249F8">
            <w:pPr>
              <w:keepNext/>
              <w:keepLines/>
              <w:outlineLvl w:val="4"/>
              <w:rPr>
                <w:rFonts w:cs="Arial"/>
                <w:sz w:val="16"/>
                <w:szCs w:val="16"/>
              </w:rPr>
            </w:pPr>
          </w:p>
        </w:tc>
        <w:tc>
          <w:tcPr>
            <w:tcW w:w="586" w:type="pct"/>
            <w:tcBorders>
              <w:bottom w:val="single" w:sz="4" w:space="0" w:color="auto"/>
            </w:tcBorders>
            <w:shd w:val="clear" w:color="auto" w:fill="auto"/>
            <w:tcMar>
              <w:top w:w="110" w:type="dxa"/>
            </w:tcMar>
          </w:tcPr>
          <w:p w:rsidR="008D3FF3" w:rsidRPr="00083772" w:rsidRDefault="008D3FF3" w:rsidP="002249F8">
            <w:pPr>
              <w:keepNext/>
              <w:keepLines/>
              <w:jc w:val="center"/>
              <w:rPr>
                <w:rStyle w:val="Style5"/>
                <w:rFonts w:ascii="Arial" w:hAnsi="Arial" w:cs="Arial"/>
                <w:color w:val="808080" w:themeColor="background1" w:themeShade="80"/>
                <w:sz w:val="16"/>
                <w:szCs w:val="16"/>
              </w:rPr>
            </w:pPr>
            <w:r w:rsidRPr="00083772">
              <w:rPr>
                <w:rStyle w:val="Style5"/>
                <w:rFonts w:ascii="Arial" w:hAnsi="Arial" w:cs="Arial"/>
                <w:color w:val="808080" w:themeColor="background1" w:themeShade="80"/>
                <w:sz w:val="16"/>
                <w:szCs w:val="16"/>
              </w:rPr>
              <w:t xml:space="preserve">Not </w:t>
            </w:r>
          </w:p>
          <w:p w:rsidR="008D3FF3" w:rsidRPr="001656CD" w:rsidRDefault="008D3FF3" w:rsidP="002249F8">
            <w:pPr>
              <w:keepNext/>
              <w:keepLines/>
              <w:jc w:val="center"/>
              <w:rPr>
                <w:rFonts w:cs="Arial"/>
                <w:bCs/>
                <w:color w:val="808080"/>
                <w:sz w:val="16"/>
                <w:szCs w:val="16"/>
              </w:rPr>
            </w:pPr>
            <w:r w:rsidRPr="00083772">
              <w:rPr>
                <w:rStyle w:val="Style5"/>
                <w:rFonts w:ascii="Arial" w:hAnsi="Arial" w:cs="Arial"/>
                <w:color w:val="808080" w:themeColor="background1" w:themeShade="80"/>
                <w:sz w:val="16"/>
                <w:szCs w:val="16"/>
              </w:rPr>
              <w:t>Assessable</w:t>
            </w:r>
          </w:p>
        </w:tc>
      </w:tr>
      <w:tr w:rsidR="008D3FF3" w:rsidRPr="001656CD" w:rsidTr="002249F8">
        <w:trPr>
          <w:cantSplit/>
        </w:trPr>
        <w:tc>
          <w:tcPr>
            <w:tcW w:w="5000" w:type="pct"/>
            <w:gridSpan w:val="6"/>
            <w:tcBorders>
              <w:top w:val="single" w:sz="4" w:space="0" w:color="auto"/>
              <w:bottom w:val="single" w:sz="4" w:space="0" w:color="auto"/>
            </w:tcBorders>
            <w:shd w:val="clear" w:color="auto" w:fill="CCFFFF"/>
            <w:vAlign w:val="center"/>
          </w:tcPr>
          <w:p w:rsidR="008D3FF3" w:rsidRPr="001656CD" w:rsidRDefault="008D3FF3" w:rsidP="008D3FF3">
            <w:pPr>
              <w:keepNext/>
              <w:keepLines/>
              <w:tabs>
                <w:tab w:val="left" w:pos="1452"/>
              </w:tabs>
              <w:spacing w:before="120" w:after="120"/>
              <w:ind w:left="1452" w:hanging="1452"/>
              <w:rPr>
                <w:rFonts w:cs="Arial"/>
                <w:b/>
                <w:bCs/>
                <w:sz w:val="16"/>
                <w:szCs w:val="16"/>
              </w:rPr>
            </w:pPr>
            <w:r w:rsidRPr="001656CD">
              <w:rPr>
                <w:rFonts w:cs="Arial"/>
                <w:b/>
                <w:bCs/>
                <w:sz w:val="16"/>
                <w:szCs w:val="16"/>
              </w:rPr>
              <w:t>Expected Result:</w:t>
            </w:r>
            <w:r w:rsidRPr="001656CD">
              <w:rPr>
                <w:rFonts w:cs="Arial"/>
                <w:b/>
                <w:bCs/>
                <w:sz w:val="16"/>
                <w:szCs w:val="16"/>
              </w:rPr>
              <w:tab/>
            </w:r>
            <w:r w:rsidRPr="009D6119">
              <w:rPr>
                <w:rFonts w:cs="Arial"/>
                <w:sz w:val="16"/>
                <w:szCs w:val="16"/>
                <w:lang w:bidi="th-TH"/>
              </w:rPr>
              <w:t xml:space="preserve">Tailored and balanced IP legislative, regulatory and policy frameworks  </w:t>
            </w:r>
          </w:p>
        </w:tc>
      </w:tr>
      <w:tr w:rsidR="008D3FF3" w:rsidRPr="00BC6547" w:rsidTr="008D3FF3">
        <w:trPr>
          <w:cantSplit/>
        </w:trPr>
        <w:tc>
          <w:tcPr>
            <w:tcW w:w="969" w:type="pct"/>
            <w:tcBorders>
              <w:top w:val="single" w:sz="4" w:space="0" w:color="auto"/>
            </w:tcBorders>
            <w:shd w:val="clear" w:color="auto" w:fill="auto"/>
            <w:vAlign w:val="center"/>
          </w:tcPr>
          <w:p w:rsidR="008D3FF3" w:rsidRPr="00BC6547" w:rsidRDefault="008D3FF3" w:rsidP="008D3FF3">
            <w:pPr>
              <w:keepNext/>
              <w:keepLines/>
              <w:rPr>
                <w:rFonts w:cs="Arial"/>
                <w:sz w:val="16"/>
                <w:szCs w:val="16"/>
              </w:rPr>
            </w:pPr>
            <w:r w:rsidRPr="00BC6547">
              <w:rPr>
                <w:rFonts w:cs="Arial"/>
                <w:b/>
                <w:bCs/>
                <w:sz w:val="16"/>
                <w:szCs w:val="16"/>
              </w:rPr>
              <w:t>Performance Indicators</w:t>
            </w:r>
          </w:p>
        </w:tc>
        <w:tc>
          <w:tcPr>
            <w:tcW w:w="890" w:type="pct"/>
            <w:tcBorders>
              <w:top w:val="single" w:sz="4" w:space="0" w:color="auto"/>
            </w:tcBorders>
            <w:shd w:val="clear" w:color="auto" w:fill="auto"/>
            <w:vAlign w:val="center"/>
          </w:tcPr>
          <w:p w:rsidR="008D3FF3" w:rsidRPr="00BC6547" w:rsidRDefault="008D3FF3" w:rsidP="008D3FF3">
            <w:pPr>
              <w:keepNext/>
              <w:keepLines/>
              <w:rPr>
                <w:rFonts w:cs="Arial"/>
                <w:b/>
                <w:bCs/>
                <w:sz w:val="16"/>
                <w:szCs w:val="16"/>
              </w:rPr>
            </w:pPr>
            <w:r w:rsidRPr="00BC6547">
              <w:rPr>
                <w:rFonts w:cs="Arial"/>
                <w:b/>
                <w:bCs/>
                <w:sz w:val="16"/>
                <w:szCs w:val="16"/>
              </w:rPr>
              <w:t>Baselines</w:t>
            </w:r>
          </w:p>
        </w:tc>
        <w:tc>
          <w:tcPr>
            <w:tcW w:w="806" w:type="pct"/>
            <w:tcBorders>
              <w:top w:val="single" w:sz="4" w:space="0" w:color="auto"/>
            </w:tcBorders>
            <w:shd w:val="clear" w:color="auto" w:fill="auto"/>
            <w:tcMar>
              <w:top w:w="110" w:type="dxa"/>
            </w:tcMar>
            <w:vAlign w:val="center"/>
          </w:tcPr>
          <w:p w:rsidR="008D3FF3" w:rsidRPr="00BC6547" w:rsidRDefault="008D3FF3" w:rsidP="008D3FF3">
            <w:pPr>
              <w:keepNext/>
              <w:keepLines/>
              <w:rPr>
                <w:rFonts w:cs="Arial"/>
                <w:b/>
                <w:sz w:val="16"/>
                <w:szCs w:val="16"/>
              </w:rPr>
            </w:pPr>
            <w:r w:rsidRPr="00BC6547">
              <w:rPr>
                <w:rFonts w:cs="Arial"/>
                <w:b/>
                <w:sz w:val="16"/>
                <w:szCs w:val="16"/>
              </w:rPr>
              <w:t>Target</w:t>
            </w:r>
            <w:r w:rsidR="00E41397" w:rsidRPr="00BC6547">
              <w:rPr>
                <w:rFonts w:cs="Arial"/>
                <w:b/>
                <w:sz w:val="16"/>
                <w:szCs w:val="16"/>
              </w:rPr>
              <w:t>s</w:t>
            </w:r>
          </w:p>
        </w:tc>
        <w:tc>
          <w:tcPr>
            <w:tcW w:w="1749" w:type="pct"/>
            <w:gridSpan w:val="2"/>
            <w:tcBorders>
              <w:top w:val="single" w:sz="4" w:space="0" w:color="auto"/>
            </w:tcBorders>
            <w:shd w:val="clear" w:color="auto" w:fill="FFFFFF"/>
            <w:tcMar>
              <w:top w:w="110" w:type="dxa"/>
            </w:tcMar>
            <w:vAlign w:val="center"/>
          </w:tcPr>
          <w:p w:rsidR="008D3FF3" w:rsidRPr="00BC6547" w:rsidRDefault="008D3FF3" w:rsidP="008D3FF3">
            <w:pPr>
              <w:keepNext/>
              <w:keepLines/>
              <w:rPr>
                <w:rFonts w:cs="Arial"/>
                <w:sz w:val="16"/>
                <w:szCs w:val="16"/>
              </w:rPr>
            </w:pPr>
            <w:r w:rsidRPr="00BC6547">
              <w:rPr>
                <w:rFonts w:cs="Arial"/>
                <w:b/>
                <w:bCs/>
                <w:sz w:val="16"/>
                <w:szCs w:val="16"/>
              </w:rPr>
              <w:t>Performance Data</w:t>
            </w:r>
          </w:p>
        </w:tc>
        <w:tc>
          <w:tcPr>
            <w:tcW w:w="586" w:type="pct"/>
            <w:tcBorders>
              <w:top w:val="single" w:sz="4" w:space="0" w:color="auto"/>
            </w:tcBorders>
            <w:shd w:val="clear" w:color="auto" w:fill="auto"/>
            <w:tcMar>
              <w:top w:w="110" w:type="dxa"/>
            </w:tcMar>
            <w:vAlign w:val="center"/>
          </w:tcPr>
          <w:p w:rsidR="008D3FF3" w:rsidRPr="00CD26D6" w:rsidRDefault="008D3FF3" w:rsidP="008D3FF3">
            <w:pPr>
              <w:keepNext/>
              <w:keepLines/>
              <w:jc w:val="center"/>
              <w:rPr>
                <w:rFonts w:cs="Arial"/>
                <w:b/>
                <w:bCs/>
                <w:sz w:val="16"/>
                <w:szCs w:val="16"/>
              </w:rPr>
            </w:pPr>
            <w:r w:rsidRPr="00BC6547">
              <w:rPr>
                <w:rFonts w:cs="Arial"/>
                <w:b/>
                <w:bCs/>
                <w:sz w:val="16"/>
                <w:szCs w:val="16"/>
              </w:rPr>
              <w:t>TLS</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No. of countries with updated national IP laws and/or regulations </w:t>
            </w:r>
          </w:p>
        </w:tc>
        <w:tc>
          <w:tcPr>
            <w:tcW w:w="890" w:type="pct"/>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Ten countries</w:t>
            </w:r>
          </w:p>
          <w:p w:rsidR="008D3FF3" w:rsidRPr="008D3FF3" w:rsidRDefault="008D3FF3" w:rsidP="002249F8">
            <w:pPr>
              <w:rPr>
                <w:rFonts w:cs="Arial"/>
                <w:i/>
                <w:color w:val="002060"/>
                <w:sz w:val="8"/>
                <w:szCs w:val="8"/>
              </w:rPr>
            </w:pPr>
          </w:p>
          <w:p w:rsidR="008D3FF3" w:rsidRPr="009D6119" w:rsidRDefault="008D3FF3" w:rsidP="002249F8">
            <w:pPr>
              <w:rPr>
                <w:rFonts w:cs="Arial"/>
                <w:color w:val="000000"/>
                <w:sz w:val="16"/>
                <w:szCs w:val="16"/>
                <w:lang w:bidi="th-TH"/>
              </w:rPr>
            </w:pPr>
            <w:r w:rsidRPr="001656CD">
              <w:rPr>
                <w:rFonts w:cs="Arial"/>
                <w:i/>
                <w:sz w:val="16"/>
                <w:szCs w:val="16"/>
              </w:rPr>
              <w:t>Original Baseline P&amp;B 2012/13:</w:t>
            </w:r>
            <w:r w:rsidRPr="001656CD">
              <w:rPr>
                <w:rFonts w:cs="Arial"/>
                <w:sz w:val="16"/>
                <w:szCs w:val="16"/>
              </w:rPr>
              <w:br/>
            </w:r>
            <w:r w:rsidRPr="009D6119">
              <w:rPr>
                <w:rFonts w:cs="Arial"/>
                <w:color w:val="000000"/>
                <w:sz w:val="16"/>
                <w:szCs w:val="16"/>
                <w:lang w:bidi="th-TH"/>
              </w:rPr>
              <w:t>Eight countries (2008/09)</w:t>
            </w:r>
          </w:p>
        </w:tc>
        <w:tc>
          <w:tcPr>
            <w:tcW w:w="806" w:type="pct"/>
            <w:shd w:val="clear" w:color="auto" w:fill="auto"/>
            <w:tcMar>
              <w:top w:w="110" w:type="dxa"/>
            </w:tcMar>
          </w:tcPr>
          <w:p w:rsidR="008D3FF3" w:rsidRPr="00486A19" w:rsidRDefault="008D3FF3" w:rsidP="002249F8">
            <w:pPr>
              <w:rPr>
                <w:rFonts w:cs="Arial"/>
                <w:sz w:val="16"/>
                <w:szCs w:val="16"/>
                <w:lang w:bidi="th-TH"/>
              </w:rPr>
            </w:pPr>
            <w:r w:rsidRPr="00486A19">
              <w:rPr>
                <w:rFonts w:cs="Arial"/>
                <w:sz w:val="16"/>
                <w:szCs w:val="16"/>
                <w:lang w:bidi="th-TH"/>
              </w:rPr>
              <w:t>10 additional</w:t>
            </w:r>
          </w:p>
          <w:p w:rsidR="008D3FF3" w:rsidRPr="00486A19" w:rsidRDefault="008D3FF3" w:rsidP="002249F8">
            <w:pPr>
              <w:rPr>
                <w:rFonts w:cs="Arial"/>
                <w:sz w:val="16"/>
                <w:szCs w:val="16"/>
                <w:lang w:bidi="th-TH"/>
              </w:rPr>
            </w:pPr>
            <w:r w:rsidRPr="00486A19">
              <w:rPr>
                <w:rFonts w:cs="Arial"/>
                <w:sz w:val="16"/>
                <w:szCs w:val="16"/>
                <w:lang w:bidi="th-TH"/>
              </w:rPr>
              <w:t>countries</w:t>
            </w:r>
            <w:r w:rsidRPr="00486A19" w:rsidDel="00550A2C">
              <w:rPr>
                <w:rFonts w:cs="Arial"/>
                <w:sz w:val="16"/>
                <w:szCs w:val="16"/>
                <w:lang w:bidi="th-TH"/>
              </w:rPr>
              <w:t xml:space="preserve"> </w:t>
            </w:r>
          </w:p>
        </w:tc>
        <w:tc>
          <w:tcPr>
            <w:tcW w:w="1749" w:type="pct"/>
            <w:gridSpan w:val="2"/>
            <w:shd w:val="clear" w:color="auto" w:fill="FFFFFF"/>
            <w:tcMar>
              <w:top w:w="110" w:type="dxa"/>
            </w:tcMar>
          </w:tcPr>
          <w:p w:rsidR="008D3FF3" w:rsidRPr="00486A19" w:rsidRDefault="008D3FF3" w:rsidP="002249F8">
            <w:pPr>
              <w:rPr>
                <w:rFonts w:cs="Arial"/>
                <w:sz w:val="16"/>
                <w:szCs w:val="16"/>
                <w:lang w:bidi="th-TH"/>
              </w:rPr>
            </w:pPr>
            <w:r w:rsidRPr="00486A19">
              <w:rPr>
                <w:rFonts w:cs="Arial"/>
                <w:sz w:val="16"/>
                <w:szCs w:val="16"/>
                <w:lang w:bidi="th-TH"/>
              </w:rPr>
              <w:t>Albania, Armenia, Belarus, Bosnia and Herzegovina, Poland, Romania, Slovenia and Tajikistan updated their national IP legislation.</w:t>
            </w:r>
          </w:p>
          <w:p w:rsidR="008D3FF3" w:rsidRPr="00486A19" w:rsidRDefault="008D3FF3" w:rsidP="002249F8">
            <w:pPr>
              <w:rPr>
                <w:rFonts w:cs="Arial"/>
                <w:sz w:val="8"/>
                <w:szCs w:val="8"/>
                <w:lang w:bidi="th-TH"/>
              </w:rPr>
            </w:pPr>
            <w:r w:rsidRPr="00486A19">
              <w:rPr>
                <w:rFonts w:cs="Arial"/>
                <w:sz w:val="16"/>
                <w:szCs w:val="16"/>
                <w:lang w:bidi="th-TH"/>
              </w:rPr>
              <w:t xml:space="preserve"> </w:t>
            </w:r>
          </w:p>
          <w:p w:rsidR="008D3FF3" w:rsidRPr="00486A19" w:rsidRDefault="008D3FF3" w:rsidP="002249F8">
            <w:pPr>
              <w:rPr>
                <w:rFonts w:cs="Arial"/>
                <w:sz w:val="16"/>
                <w:szCs w:val="16"/>
                <w:lang w:bidi="th-TH"/>
              </w:rPr>
            </w:pPr>
            <w:r w:rsidRPr="00486A19">
              <w:rPr>
                <w:rFonts w:cs="Arial"/>
                <w:sz w:val="16"/>
                <w:szCs w:val="16"/>
                <w:lang w:bidi="th-TH"/>
              </w:rPr>
              <w:t>Kazakhstan and the Russian Federation have initiated the amendment of their legislation.</w:t>
            </w:r>
          </w:p>
        </w:tc>
        <w:tc>
          <w:tcPr>
            <w:tcW w:w="586" w:type="pct"/>
            <w:shd w:val="clear" w:color="auto" w:fill="auto"/>
            <w:tcMar>
              <w:top w:w="110" w:type="dxa"/>
            </w:tcMar>
          </w:tcPr>
          <w:p w:rsidR="008D3FF3" w:rsidRPr="00083772" w:rsidRDefault="008D3FF3" w:rsidP="002249F8">
            <w:pPr>
              <w:keepNext/>
              <w:keepLines/>
              <w:jc w:val="center"/>
              <w:rPr>
                <w:rStyle w:val="Style5"/>
                <w:rFonts w:ascii="Arial" w:hAnsi="Arial" w:cs="Arial"/>
                <w:sz w:val="16"/>
                <w:szCs w:val="16"/>
              </w:rPr>
            </w:pPr>
            <w:r w:rsidRPr="001656CD">
              <w:rPr>
                <w:rFonts w:cs="Arial"/>
                <w:bCs/>
                <w:color w:val="008000"/>
                <w:sz w:val="16"/>
                <w:szCs w:val="16"/>
              </w:rPr>
              <w:t>Fully</w:t>
            </w:r>
            <w:r w:rsidRPr="001656CD">
              <w:rPr>
                <w:rFonts w:cs="Arial"/>
                <w:bCs/>
                <w:color w:val="008000"/>
                <w:sz w:val="16"/>
                <w:szCs w:val="16"/>
              </w:rPr>
              <w:br/>
              <w:t>Achieved</w:t>
            </w:r>
          </w:p>
          <w:p w:rsidR="008D3FF3" w:rsidRPr="001656CD" w:rsidRDefault="008D3FF3" w:rsidP="002249F8">
            <w:pPr>
              <w:keepNext/>
              <w:keepLines/>
              <w:jc w:val="center"/>
              <w:rPr>
                <w:rFonts w:cs="Arial"/>
                <w:bCs/>
                <w:color w:val="808080"/>
                <w:sz w:val="16"/>
                <w:szCs w:val="16"/>
              </w:rPr>
            </w:pP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No. of requests for and types of legislative advice related to patents, utility models, trade secrets and integrated circuits</w:t>
            </w:r>
          </w:p>
        </w:tc>
        <w:tc>
          <w:tcPr>
            <w:tcW w:w="890" w:type="pct"/>
            <w:shd w:val="clear" w:color="auto" w:fill="auto"/>
          </w:tcPr>
          <w:p w:rsidR="008D3FF3" w:rsidRPr="008D3FF3" w:rsidRDefault="008D3FF3" w:rsidP="002249F8">
            <w:pPr>
              <w:rPr>
                <w:rFonts w:cs="Arial"/>
                <w:sz w:val="16"/>
                <w:szCs w:val="16"/>
                <w:lang w:bidi="th-TH"/>
              </w:rPr>
            </w:pPr>
            <w:r w:rsidRPr="008D3FF3">
              <w:rPr>
                <w:rFonts w:cs="Arial"/>
                <w:sz w:val="16"/>
                <w:szCs w:val="16"/>
                <w:lang w:bidi="th-TH"/>
              </w:rPr>
              <w:t>Tbd</w:t>
            </w:r>
          </w:p>
        </w:tc>
        <w:tc>
          <w:tcPr>
            <w:tcW w:w="806" w:type="pct"/>
            <w:shd w:val="clear" w:color="auto" w:fill="auto"/>
            <w:tcMar>
              <w:top w:w="110" w:type="dxa"/>
            </w:tcMar>
          </w:tcPr>
          <w:p w:rsidR="008D3FF3" w:rsidRPr="00486A19" w:rsidRDefault="008D3FF3" w:rsidP="002249F8">
            <w:pPr>
              <w:rPr>
                <w:rFonts w:cs="Arial"/>
                <w:sz w:val="16"/>
                <w:szCs w:val="16"/>
                <w:lang w:bidi="th-TH"/>
              </w:rPr>
            </w:pPr>
            <w:r w:rsidRPr="00486A19">
              <w:rPr>
                <w:rFonts w:cs="Arial"/>
                <w:sz w:val="16"/>
                <w:szCs w:val="16"/>
                <w:lang w:bidi="th-TH"/>
              </w:rPr>
              <w:t>Tbd</w:t>
            </w:r>
          </w:p>
        </w:tc>
        <w:tc>
          <w:tcPr>
            <w:tcW w:w="1749" w:type="pct"/>
            <w:gridSpan w:val="2"/>
            <w:shd w:val="clear" w:color="auto" w:fill="FFFFFF"/>
            <w:tcMar>
              <w:top w:w="110" w:type="dxa"/>
            </w:tcMar>
          </w:tcPr>
          <w:p w:rsidR="008D3FF3" w:rsidRPr="00486A19" w:rsidRDefault="008D3FF3" w:rsidP="002249F8">
            <w:pPr>
              <w:rPr>
                <w:rFonts w:cs="Arial"/>
                <w:sz w:val="16"/>
                <w:szCs w:val="16"/>
                <w:lang w:bidi="th-TH"/>
              </w:rPr>
            </w:pPr>
            <w:r w:rsidRPr="00486A19">
              <w:rPr>
                <w:rFonts w:cs="Arial"/>
                <w:sz w:val="16"/>
                <w:szCs w:val="16"/>
                <w:lang w:bidi="th-TH"/>
              </w:rPr>
              <w:t>Three countries received WIPO assistance related to patents, utility models, trade secrets and integrated circuits:</w:t>
            </w:r>
          </w:p>
          <w:p w:rsidR="008D3FF3" w:rsidRPr="00486A19" w:rsidRDefault="008D3FF3" w:rsidP="007B2B25">
            <w:pPr>
              <w:pStyle w:val="ListParagraph"/>
              <w:numPr>
                <w:ilvl w:val="0"/>
                <w:numId w:val="73"/>
              </w:numPr>
              <w:rPr>
                <w:rFonts w:cs="Arial"/>
                <w:sz w:val="16"/>
                <w:szCs w:val="16"/>
                <w:lang w:bidi="th-TH"/>
              </w:rPr>
            </w:pPr>
            <w:r w:rsidRPr="00486A19">
              <w:rPr>
                <w:rFonts w:cs="Arial"/>
                <w:sz w:val="16"/>
                <w:szCs w:val="16"/>
                <w:lang w:bidi="th-TH"/>
              </w:rPr>
              <w:t>Belarus (Trade Secrets)</w:t>
            </w:r>
          </w:p>
          <w:p w:rsidR="008D3FF3" w:rsidRPr="00486A19" w:rsidRDefault="008D3FF3" w:rsidP="007B2B25">
            <w:pPr>
              <w:pStyle w:val="ListParagraph"/>
              <w:numPr>
                <w:ilvl w:val="0"/>
                <w:numId w:val="73"/>
              </w:numPr>
              <w:rPr>
                <w:rFonts w:cs="Arial"/>
                <w:sz w:val="16"/>
                <w:szCs w:val="16"/>
                <w:lang w:bidi="th-TH"/>
              </w:rPr>
            </w:pPr>
            <w:r w:rsidRPr="00486A19">
              <w:rPr>
                <w:rFonts w:cs="Arial"/>
                <w:sz w:val="16"/>
                <w:szCs w:val="16"/>
                <w:lang w:bidi="th-TH"/>
              </w:rPr>
              <w:t>Kazakhstan (Patent Law)</w:t>
            </w:r>
          </w:p>
          <w:p w:rsidR="008D3FF3" w:rsidRPr="00486A19" w:rsidRDefault="008D3FF3" w:rsidP="007B2B25">
            <w:pPr>
              <w:pStyle w:val="ListParagraph"/>
              <w:numPr>
                <w:ilvl w:val="0"/>
                <w:numId w:val="73"/>
              </w:numPr>
              <w:rPr>
                <w:rFonts w:cs="Arial"/>
                <w:sz w:val="16"/>
                <w:szCs w:val="16"/>
                <w:lang w:bidi="th-TH"/>
              </w:rPr>
            </w:pPr>
            <w:r w:rsidRPr="00486A19">
              <w:rPr>
                <w:rFonts w:cs="Arial"/>
                <w:sz w:val="16"/>
                <w:szCs w:val="16"/>
                <w:lang w:bidi="th-TH"/>
              </w:rPr>
              <w:t>Poland (Patent Law)</w:t>
            </w:r>
          </w:p>
        </w:tc>
        <w:tc>
          <w:tcPr>
            <w:tcW w:w="586" w:type="pct"/>
            <w:shd w:val="clear" w:color="auto" w:fill="auto"/>
            <w:tcMar>
              <w:top w:w="110" w:type="dxa"/>
            </w:tcMar>
          </w:tcPr>
          <w:p w:rsidR="008D3FF3" w:rsidRPr="008D3FF3" w:rsidRDefault="008D3FF3" w:rsidP="002249F8">
            <w:pPr>
              <w:keepNext/>
              <w:keepLines/>
              <w:jc w:val="center"/>
              <w:rPr>
                <w:rStyle w:val="Style5"/>
                <w:rFonts w:ascii="Arial" w:hAnsi="Arial" w:cs="Arial"/>
                <w:color w:val="808080" w:themeColor="background1" w:themeShade="80"/>
                <w:sz w:val="16"/>
                <w:szCs w:val="16"/>
              </w:rPr>
            </w:pPr>
            <w:r w:rsidRPr="008D3FF3">
              <w:rPr>
                <w:rStyle w:val="Style5"/>
                <w:rFonts w:ascii="Arial" w:hAnsi="Arial" w:cs="Arial"/>
                <w:color w:val="808080" w:themeColor="background1" w:themeShade="80"/>
                <w:sz w:val="16"/>
                <w:szCs w:val="16"/>
              </w:rPr>
              <w:t>Not</w:t>
            </w:r>
          </w:p>
          <w:p w:rsidR="008D3FF3" w:rsidRPr="001656CD" w:rsidRDefault="008D3FF3" w:rsidP="002249F8">
            <w:pPr>
              <w:keepNext/>
              <w:keepLines/>
              <w:jc w:val="center"/>
              <w:rPr>
                <w:rFonts w:cs="Arial"/>
                <w:bCs/>
                <w:color w:val="008000"/>
                <w:sz w:val="16"/>
                <w:szCs w:val="16"/>
              </w:rPr>
            </w:pPr>
            <w:r w:rsidRPr="008D3FF3">
              <w:rPr>
                <w:rStyle w:val="Style5"/>
                <w:rFonts w:ascii="Arial" w:hAnsi="Arial" w:cs="Arial"/>
                <w:color w:val="808080" w:themeColor="background1" w:themeShade="80"/>
                <w:sz w:val="16"/>
                <w:szCs w:val="16"/>
              </w:rPr>
              <w:t>Assessable</w:t>
            </w:r>
            <w:r w:rsidRPr="00083772" w:rsidDel="00197C62">
              <w:rPr>
                <w:rStyle w:val="Style5"/>
                <w:rFonts w:ascii="Arial" w:hAnsi="Arial" w:cs="Arial"/>
                <w:sz w:val="16"/>
                <w:szCs w:val="16"/>
              </w:rPr>
              <w:t xml:space="preserve"> </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lastRenderedPageBreak/>
              <w:t xml:space="preserve">No. of countries which found WIPO's legislative </w:t>
            </w:r>
            <w:r w:rsidRPr="00083772">
              <w:rPr>
                <w:rFonts w:cs="Arial"/>
                <w:sz w:val="16"/>
                <w:szCs w:val="16"/>
                <w:lang w:bidi="th-TH"/>
              </w:rPr>
              <w:t>advice related to patents, utility models, trade secrets and integrated circuits useful</w:t>
            </w:r>
          </w:p>
        </w:tc>
        <w:tc>
          <w:tcPr>
            <w:tcW w:w="890" w:type="pct"/>
            <w:shd w:val="clear" w:color="auto" w:fill="auto"/>
          </w:tcPr>
          <w:p w:rsidR="008D3FF3" w:rsidRPr="008D3FF3" w:rsidRDefault="008D3FF3" w:rsidP="002249F8">
            <w:pPr>
              <w:rPr>
                <w:rFonts w:cs="Arial"/>
                <w:sz w:val="16"/>
                <w:szCs w:val="16"/>
                <w:lang w:bidi="th-TH"/>
              </w:rPr>
            </w:pPr>
            <w:r w:rsidRPr="008D3FF3">
              <w:rPr>
                <w:rFonts w:cs="Arial"/>
                <w:sz w:val="16"/>
                <w:szCs w:val="16"/>
                <w:lang w:bidi="th-TH"/>
              </w:rPr>
              <w:t>Data not available</w:t>
            </w:r>
          </w:p>
        </w:tc>
        <w:tc>
          <w:tcPr>
            <w:tcW w:w="806" w:type="pct"/>
            <w:shd w:val="clear" w:color="auto" w:fill="auto"/>
            <w:tcMar>
              <w:top w:w="110" w:type="dxa"/>
            </w:tcMar>
          </w:tcPr>
          <w:p w:rsidR="008D3FF3" w:rsidRPr="00486A19" w:rsidRDefault="008D3FF3" w:rsidP="002249F8">
            <w:pPr>
              <w:rPr>
                <w:rFonts w:cs="Arial"/>
                <w:sz w:val="16"/>
                <w:szCs w:val="16"/>
                <w:lang w:bidi="th-TH"/>
              </w:rPr>
            </w:pPr>
            <w:r w:rsidRPr="00486A19">
              <w:rPr>
                <w:rFonts w:cs="Arial"/>
                <w:sz w:val="16"/>
                <w:szCs w:val="16"/>
              </w:rPr>
              <w:t>90%</w:t>
            </w:r>
          </w:p>
        </w:tc>
        <w:tc>
          <w:tcPr>
            <w:tcW w:w="1749" w:type="pct"/>
            <w:gridSpan w:val="2"/>
            <w:shd w:val="clear" w:color="auto" w:fill="FFFFFF"/>
            <w:tcMar>
              <w:top w:w="110" w:type="dxa"/>
            </w:tcMar>
          </w:tcPr>
          <w:p w:rsidR="008D3FF3" w:rsidRPr="00486A19" w:rsidRDefault="008D3FF3" w:rsidP="002249F8">
            <w:pPr>
              <w:rPr>
                <w:rFonts w:cs="Arial"/>
                <w:sz w:val="16"/>
                <w:szCs w:val="16"/>
              </w:rPr>
            </w:pPr>
            <w:r w:rsidRPr="00486A19">
              <w:rPr>
                <w:rFonts w:cs="Arial"/>
                <w:sz w:val="16"/>
                <w:szCs w:val="16"/>
              </w:rPr>
              <w:t xml:space="preserve">The three countries noted above found WIPO’s support </w:t>
            </w:r>
            <w:r w:rsidRPr="00486A19">
              <w:rPr>
                <w:rFonts w:cs="Arial"/>
                <w:sz w:val="16"/>
                <w:szCs w:val="16"/>
                <w:lang w:bidi="th-TH"/>
              </w:rPr>
              <w:t>related to patents, utility models, trade secrets and integrated circuits useful</w:t>
            </w:r>
            <w:r w:rsidRPr="00486A19">
              <w:rPr>
                <w:rFonts w:cs="Arial"/>
                <w:sz w:val="16"/>
                <w:szCs w:val="16"/>
              </w:rPr>
              <w:t>.</w:t>
            </w:r>
          </w:p>
        </w:tc>
        <w:tc>
          <w:tcPr>
            <w:tcW w:w="586" w:type="pct"/>
            <w:shd w:val="clear" w:color="auto" w:fill="auto"/>
            <w:tcMar>
              <w:top w:w="110" w:type="dxa"/>
            </w:tcMar>
          </w:tcPr>
          <w:p w:rsidR="008D3FF3" w:rsidRPr="001656CD" w:rsidRDefault="008D3FF3" w:rsidP="002249F8">
            <w:pPr>
              <w:keepNext/>
              <w:keepLines/>
              <w:jc w:val="center"/>
              <w:rPr>
                <w:rFonts w:cs="Arial"/>
                <w:b/>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 of countries which found the provided information concerning the legal principles and practices of the patent system, including the flexibilities existing in the system and the challenges it faces, </w:t>
            </w:r>
            <w:r w:rsidRPr="00083772">
              <w:rPr>
                <w:rFonts w:cs="Arial"/>
                <w:sz w:val="16"/>
                <w:szCs w:val="16"/>
                <w:lang w:bidi="th-TH"/>
              </w:rPr>
              <w:t>useful</w:t>
            </w:r>
          </w:p>
        </w:tc>
        <w:tc>
          <w:tcPr>
            <w:tcW w:w="890" w:type="pct"/>
            <w:shd w:val="clear" w:color="auto" w:fill="auto"/>
          </w:tcPr>
          <w:p w:rsidR="008D3FF3" w:rsidRPr="001656CD" w:rsidRDefault="008D3FF3" w:rsidP="002249F8">
            <w:pPr>
              <w:rPr>
                <w:rFonts w:cs="Arial"/>
                <w:i/>
                <w:color w:val="002060"/>
                <w:sz w:val="16"/>
                <w:szCs w:val="16"/>
              </w:rPr>
            </w:pPr>
            <w:r w:rsidRPr="001656CD">
              <w:rPr>
                <w:rFonts w:cs="Arial"/>
                <w:i/>
                <w:color w:val="002060"/>
                <w:sz w:val="16"/>
                <w:szCs w:val="16"/>
              </w:rPr>
              <w:t xml:space="preserve">Updated Baseline end 2011:  </w:t>
            </w:r>
            <w:r w:rsidRPr="00083772">
              <w:rPr>
                <w:rFonts w:cs="Arial"/>
                <w:color w:val="002060"/>
                <w:sz w:val="16"/>
                <w:szCs w:val="16"/>
                <w:lang w:bidi="th-TH"/>
              </w:rPr>
              <w:t>SCP and CDIP reports provide feedback from Member States (no statistics available</w:t>
            </w:r>
            <w:r w:rsidR="001C1F7F">
              <w:rPr>
                <w:rFonts w:cs="Arial"/>
                <w:color w:val="002060"/>
                <w:sz w:val="16"/>
                <w:szCs w:val="16"/>
                <w:lang w:bidi="th-TH"/>
              </w:rPr>
              <w:t>)</w:t>
            </w:r>
          </w:p>
          <w:p w:rsidR="008D3FF3" w:rsidRPr="008D3FF3" w:rsidRDefault="008D3FF3" w:rsidP="002249F8">
            <w:pPr>
              <w:rPr>
                <w:rFonts w:cs="Arial"/>
                <w:i/>
                <w:color w:val="002060"/>
                <w:sz w:val="8"/>
                <w:szCs w:val="8"/>
              </w:rPr>
            </w:pPr>
          </w:p>
          <w:p w:rsidR="008D3FF3" w:rsidRPr="00083772" w:rsidRDefault="008D3FF3" w:rsidP="002249F8">
            <w:pPr>
              <w:rPr>
                <w:rFonts w:cs="Arial"/>
                <w:sz w:val="16"/>
                <w:szCs w:val="16"/>
                <w:lang w:bidi="th-TH"/>
              </w:rPr>
            </w:pPr>
            <w:r w:rsidRPr="001656CD">
              <w:rPr>
                <w:rFonts w:cs="Arial"/>
                <w:i/>
                <w:sz w:val="16"/>
                <w:szCs w:val="16"/>
              </w:rPr>
              <w:t>Original Baseline P&amp;B 2012/13:</w:t>
            </w:r>
            <w:r w:rsidRPr="001656CD">
              <w:rPr>
                <w:rFonts w:cs="Arial"/>
                <w:sz w:val="16"/>
                <w:szCs w:val="16"/>
              </w:rPr>
              <w:br/>
            </w:r>
            <w:r w:rsidRPr="00083772">
              <w:rPr>
                <w:rFonts w:cs="Arial"/>
                <w:sz w:val="16"/>
                <w:szCs w:val="16"/>
                <w:lang w:bidi="th-TH"/>
              </w:rPr>
              <w:t>Data not available</w:t>
            </w:r>
          </w:p>
        </w:tc>
        <w:tc>
          <w:tcPr>
            <w:tcW w:w="806" w:type="pct"/>
            <w:shd w:val="clear" w:color="auto" w:fill="auto"/>
            <w:tcMar>
              <w:top w:w="110" w:type="dxa"/>
            </w:tcMar>
          </w:tcPr>
          <w:p w:rsidR="008D3FF3" w:rsidRPr="00486A19" w:rsidRDefault="008D3FF3" w:rsidP="002249F8">
            <w:pPr>
              <w:rPr>
                <w:rFonts w:cs="Arial"/>
                <w:sz w:val="16"/>
                <w:szCs w:val="16"/>
                <w:lang w:bidi="th-TH"/>
              </w:rPr>
            </w:pPr>
            <w:r w:rsidRPr="00486A19">
              <w:rPr>
                <w:rFonts w:cs="Arial"/>
                <w:sz w:val="16"/>
                <w:szCs w:val="16"/>
                <w:lang w:bidi="th-TH"/>
              </w:rPr>
              <w:t>90%</w:t>
            </w:r>
          </w:p>
        </w:tc>
        <w:tc>
          <w:tcPr>
            <w:tcW w:w="1749" w:type="pct"/>
            <w:gridSpan w:val="2"/>
            <w:shd w:val="clear" w:color="auto" w:fill="FFFFFF"/>
            <w:tcMar>
              <w:top w:w="110" w:type="dxa"/>
            </w:tcMar>
          </w:tcPr>
          <w:p w:rsidR="008D3FF3" w:rsidRPr="00486A19" w:rsidRDefault="008D3FF3" w:rsidP="002249F8">
            <w:pPr>
              <w:rPr>
                <w:rFonts w:cs="Arial"/>
                <w:sz w:val="16"/>
                <w:szCs w:val="16"/>
              </w:rPr>
            </w:pPr>
            <w:r w:rsidRPr="00486A19">
              <w:rPr>
                <w:rFonts w:cs="Arial"/>
                <w:sz w:val="16"/>
                <w:szCs w:val="16"/>
              </w:rPr>
              <w:t xml:space="preserve">All feedback received indicated that the provided information was useful.  According to a survey conducted in conjunction with the IAOD evaluation of Program 1, more than 90% of respondents rated the quality of substantive documents prepared by the Secretariat “excellent” or “good”.   </w:t>
            </w:r>
          </w:p>
        </w:tc>
        <w:tc>
          <w:tcPr>
            <w:tcW w:w="586" w:type="pct"/>
            <w:shd w:val="clear" w:color="auto" w:fill="auto"/>
            <w:tcMar>
              <w:top w:w="110" w:type="dxa"/>
            </w:tcMar>
          </w:tcPr>
          <w:p w:rsidR="008D3FF3" w:rsidRPr="001656CD" w:rsidRDefault="008D3FF3" w:rsidP="002249F8">
            <w:pPr>
              <w:keepNext/>
              <w:keepLines/>
              <w:jc w:val="center"/>
              <w:rPr>
                <w:rFonts w:cs="Arial"/>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p>
        </w:tc>
      </w:tr>
      <w:tr w:rsidR="008D3FF3" w:rsidRPr="001656CD" w:rsidTr="008D3FF3">
        <w:trPr>
          <w:cantSplit/>
        </w:trPr>
        <w:tc>
          <w:tcPr>
            <w:tcW w:w="969" w:type="pct"/>
            <w:shd w:val="clear" w:color="auto" w:fill="auto"/>
          </w:tcPr>
          <w:p w:rsidR="008D3FF3" w:rsidRPr="00083772" w:rsidRDefault="008D3FF3" w:rsidP="002249F8">
            <w:pPr>
              <w:rPr>
                <w:rFonts w:cs="Arial"/>
                <w:sz w:val="16"/>
                <w:szCs w:val="16"/>
                <w:lang w:bidi="th-TH"/>
              </w:rPr>
            </w:pPr>
            <w:r w:rsidRPr="009D6119">
              <w:rPr>
                <w:rFonts w:cs="Arial"/>
                <w:sz w:val="16"/>
                <w:szCs w:val="16"/>
                <w:lang w:bidi="th-TH"/>
              </w:rPr>
              <w:t xml:space="preserve">% of satisfied participants in targeted workshops/ seminars held on specific patent-related questions </w:t>
            </w:r>
          </w:p>
        </w:tc>
        <w:tc>
          <w:tcPr>
            <w:tcW w:w="890" w:type="pct"/>
            <w:shd w:val="clear" w:color="auto" w:fill="auto"/>
          </w:tcPr>
          <w:p w:rsidR="008D3FF3" w:rsidRPr="00083772" w:rsidRDefault="008D3FF3" w:rsidP="002249F8">
            <w:pPr>
              <w:rPr>
                <w:rFonts w:cs="Arial"/>
                <w:sz w:val="16"/>
                <w:szCs w:val="16"/>
                <w:lang w:bidi="th-TH"/>
              </w:rPr>
            </w:pPr>
            <w:r w:rsidRPr="00083772">
              <w:rPr>
                <w:rFonts w:cs="Arial"/>
                <w:sz w:val="16"/>
                <w:szCs w:val="16"/>
                <w:lang w:bidi="th-TH"/>
              </w:rPr>
              <w:t>Data not available</w:t>
            </w:r>
          </w:p>
        </w:tc>
        <w:tc>
          <w:tcPr>
            <w:tcW w:w="806" w:type="pct"/>
            <w:shd w:val="clear" w:color="auto" w:fill="auto"/>
            <w:tcMar>
              <w:top w:w="110" w:type="dxa"/>
            </w:tcMar>
          </w:tcPr>
          <w:p w:rsidR="008D3FF3" w:rsidRPr="008D3FF3" w:rsidRDefault="008D3FF3" w:rsidP="002249F8">
            <w:pPr>
              <w:rPr>
                <w:rFonts w:cs="Arial"/>
                <w:sz w:val="16"/>
                <w:szCs w:val="16"/>
                <w:lang w:bidi="th-TH"/>
              </w:rPr>
            </w:pPr>
            <w:r w:rsidRPr="008D3FF3">
              <w:rPr>
                <w:rFonts w:cs="Arial"/>
                <w:sz w:val="16"/>
                <w:szCs w:val="16"/>
                <w:lang w:bidi="th-TH"/>
              </w:rPr>
              <w:t>90%</w:t>
            </w:r>
          </w:p>
        </w:tc>
        <w:tc>
          <w:tcPr>
            <w:tcW w:w="1749" w:type="pct"/>
            <w:gridSpan w:val="2"/>
            <w:shd w:val="clear" w:color="auto" w:fill="FFFFFF"/>
            <w:tcMar>
              <w:top w:w="110" w:type="dxa"/>
            </w:tcMar>
          </w:tcPr>
          <w:p w:rsidR="008D3FF3" w:rsidRPr="008D3FF3" w:rsidRDefault="008D3FF3" w:rsidP="002249F8">
            <w:pPr>
              <w:rPr>
                <w:rFonts w:cs="Arial"/>
                <w:sz w:val="16"/>
                <w:szCs w:val="16"/>
              </w:rPr>
            </w:pPr>
            <w:r w:rsidRPr="008D3FF3">
              <w:rPr>
                <w:rFonts w:cs="Arial"/>
                <w:sz w:val="16"/>
                <w:szCs w:val="16"/>
              </w:rPr>
              <w:t xml:space="preserve">92.5% of participants in workshops/ seminars organized by Program 1 were satisfied with the organized events. </w:t>
            </w:r>
          </w:p>
        </w:tc>
        <w:tc>
          <w:tcPr>
            <w:tcW w:w="586" w:type="pct"/>
            <w:shd w:val="clear" w:color="auto" w:fill="auto"/>
            <w:tcMar>
              <w:top w:w="110" w:type="dxa"/>
            </w:tcMar>
          </w:tcPr>
          <w:p w:rsidR="008D3FF3" w:rsidRPr="001656CD" w:rsidRDefault="008D3FF3" w:rsidP="002249F8">
            <w:pPr>
              <w:keepNext/>
              <w:keepLines/>
              <w:jc w:val="center"/>
              <w:rPr>
                <w:rFonts w:cs="Arial"/>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p>
        </w:tc>
      </w:tr>
      <w:tr w:rsidR="008D3FF3" w:rsidRPr="001656CD" w:rsidTr="008D3FF3">
        <w:trPr>
          <w:cantSplit/>
        </w:trPr>
        <w:tc>
          <w:tcPr>
            <w:tcW w:w="969" w:type="pct"/>
            <w:shd w:val="clear" w:color="auto" w:fill="auto"/>
          </w:tcPr>
          <w:p w:rsidR="008D3FF3" w:rsidRPr="00083772" w:rsidRDefault="008D3FF3" w:rsidP="002249F8">
            <w:pPr>
              <w:rPr>
                <w:rFonts w:cs="Arial"/>
                <w:color w:val="000000"/>
                <w:sz w:val="16"/>
                <w:szCs w:val="16"/>
                <w:lang w:bidi="th-TH"/>
              </w:rPr>
            </w:pPr>
            <w:r w:rsidRPr="009D6119">
              <w:rPr>
                <w:rFonts w:cs="Arial"/>
                <w:color w:val="000000"/>
                <w:sz w:val="16"/>
                <w:szCs w:val="16"/>
                <w:lang w:bidi="th-TH"/>
              </w:rPr>
              <w:t xml:space="preserve">No. of Member States having received legislative advice in the area of trademarks, industrial designs and geographical indications </w:t>
            </w:r>
          </w:p>
        </w:tc>
        <w:tc>
          <w:tcPr>
            <w:tcW w:w="890" w:type="pct"/>
            <w:shd w:val="clear" w:color="auto" w:fill="auto"/>
          </w:tcPr>
          <w:p w:rsidR="008D3FF3" w:rsidRPr="00083772" w:rsidRDefault="008D3FF3" w:rsidP="002249F8">
            <w:pPr>
              <w:rPr>
                <w:rFonts w:cs="Arial"/>
                <w:sz w:val="16"/>
                <w:szCs w:val="16"/>
                <w:lang w:bidi="th-TH"/>
              </w:rPr>
            </w:pPr>
            <w:r w:rsidRPr="00083772">
              <w:rPr>
                <w:rFonts w:cs="Arial"/>
                <w:sz w:val="16"/>
                <w:szCs w:val="16"/>
                <w:lang w:bidi="th-TH"/>
              </w:rPr>
              <w:t>2</w:t>
            </w:r>
          </w:p>
        </w:tc>
        <w:tc>
          <w:tcPr>
            <w:tcW w:w="806" w:type="pct"/>
            <w:shd w:val="clear" w:color="auto" w:fill="auto"/>
            <w:tcMar>
              <w:top w:w="110" w:type="dxa"/>
            </w:tcMar>
          </w:tcPr>
          <w:p w:rsidR="008D3FF3" w:rsidRPr="008D3FF3" w:rsidRDefault="008D3FF3" w:rsidP="002249F8">
            <w:pPr>
              <w:rPr>
                <w:rFonts w:cs="Arial"/>
                <w:sz w:val="16"/>
                <w:szCs w:val="16"/>
                <w:lang w:bidi="th-TH"/>
              </w:rPr>
            </w:pPr>
            <w:r w:rsidRPr="008D3FF3">
              <w:rPr>
                <w:rFonts w:cs="Arial"/>
                <w:sz w:val="16"/>
                <w:szCs w:val="16"/>
                <w:lang w:bidi="th-TH"/>
              </w:rPr>
              <w:t>Legislative advice</w:t>
            </w:r>
          </w:p>
          <w:p w:rsidR="008D3FF3" w:rsidRPr="008D3FF3" w:rsidRDefault="008D3FF3" w:rsidP="002249F8">
            <w:pPr>
              <w:rPr>
                <w:rFonts w:cs="Arial"/>
                <w:sz w:val="16"/>
                <w:szCs w:val="16"/>
                <w:lang w:bidi="th-TH"/>
              </w:rPr>
            </w:pPr>
            <w:r w:rsidRPr="008D3FF3">
              <w:rPr>
                <w:rFonts w:cs="Arial"/>
                <w:sz w:val="16"/>
                <w:szCs w:val="16"/>
                <w:lang w:bidi="th-TH"/>
              </w:rPr>
              <w:t>provided to 2 Member States</w:t>
            </w:r>
          </w:p>
        </w:tc>
        <w:tc>
          <w:tcPr>
            <w:tcW w:w="1749" w:type="pct"/>
            <w:gridSpan w:val="2"/>
            <w:shd w:val="clear" w:color="auto" w:fill="FFFFFF"/>
            <w:tcMar>
              <w:top w:w="110" w:type="dxa"/>
            </w:tcMar>
          </w:tcPr>
          <w:p w:rsidR="008D3FF3" w:rsidRPr="008D3FF3" w:rsidRDefault="008D3FF3" w:rsidP="002249F8">
            <w:pPr>
              <w:rPr>
                <w:rFonts w:cs="Arial"/>
                <w:sz w:val="16"/>
                <w:szCs w:val="16"/>
                <w:lang w:bidi="th-TH"/>
              </w:rPr>
            </w:pPr>
            <w:r w:rsidRPr="008D3FF3">
              <w:rPr>
                <w:rFonts w:cs="Arial"/>
                <w:sz w:val="16"/>
                <w:szCs w:val="16"/>
                <w:lang w:bidi="th-TH"/>
              </w:rPr>
              <w:t xml:space="preserve">Four countries received WIPO assistance related to trademarks, industrial designs and geographical indications: </w:t>
            </w:r>
          </w:p>
          <w:p w:rsidR="008D3FF3" w:rsidRPr="008D3FF3" w:rsidRDefault="008D3FF3" w:rsidP="007B2B25">
            <w:pPr>
              <w:pStyle w:val="ListParagraph"/>
              <w:numPr>
                <w:ilvl w:val="0"/>
                <w:numId w:val="74"/>
              </w:numPr>
              <w:rPr>
                <w:rFonts w:cs="Arial"/>
                <w:sz w:val="16"/>
                <w:szCs w:val="16"/>
              </w:rPr>
            </w:pPr>
            <w:r w:rsidRPr="008D3FF3">
              <w:rPr>
                <w:rFonts w:cs="Arial"/>
                <w:sz w:val="16"/>
                <w:szCs w:val="16"/>
              </w:rPr>
              <w:t>Bosnia and Herzegovina (Trademarks)</w:t>
            </w:r>
          </w:p>
          <w:p w:rsidR="008D3FF3" w:rsidRPr="008D3FF3" w:rsidRDefault="008D3FF3" w:rsidP="007B2B25">
            <w:pPr>
              <w:pStyle w:val="ListParagraph"/>
              <w:numPr>
                <w:ilvl w:val="0"/>
                <w:numId w:val="74"/>
              </w:numPr>
              <w:rPr>
                <w:rFonts w:cs="Arial"/>
                <w:sz w:val="16"/>
                <w:szCs w:val="16"/>
              </w:rPr>
            </w:pPr>
            <w:r w:rsidRPr="008D3FF3">
              <w:rPr>
                <w:rFonts w:cs="Arial"/>
                <w:sz w:val="16"/>
                <w:szCs w:val="16"/>
              </w:rPr>
              <w:t>Poland (Industrial Designs)</w:t>
            </w:r>
          </w:p>
          <w:p w:rsidR="008D3FF3" w:rsidRPr="008D3FF3" w:rsidRDefault="008D3FF3" w:rsidP="007B2B25">
            <w:pPr>
              <w:pStyle w:val="ListParagraph"/>
              <w:numPr>
                <w:ilvl w:val="0"/>
                <w:numId w:val="74"/>
              </w:numPr>
              <w:rPr>
                <w:rFonts w:cs="Arial"/>
                <w:sz w:val="16"/>
                <w:szCs w:val="16"/>
              </w:rPr>
            </w:pPr>
            <w:r w:rsidRPr="008D3FF3">
              <w:rPr>
                <w:rFonts w:cs="Arial"/>
                <w:sz w:val="16"/>
                <w:szCs w:val="16"/>
              </w:rPr>
              <w:t>the Russian Federation (Industrial Designs)</w:t>
            </w:r>
          </w:p>
          <w:p w:rsidR="008D3FF3" w:rsidRPr="008D3FF3" w:rsidRDefault="008D3FF3" w:rsidP="007B2B25">
            <w:pPr>
              <w:pStyle w:val="ListParagraph"/>
              <w:numPr>
                <w:ilvl w:val="0"/>
                <w:numId w:val="74"/>
              </w:numPr>
              <w:rPr>
                <w:rFonts w:cs="Arial"/>
                <w:sz w:val="16"/>
                <w:szCs w:val="16"/>
              </w:rPr>
            </w:pPr>
            <w:r w:rsidRPr="008D3FF3">
              <w:rPr>
                <w:rFonts w:cs="Arial"/>
                <w:sz w:val="16"/>
                <w:szCs w:val="16"/>
              </w:rPr>
              <w:t>Tajikistan (Industrial Designs)</w:t>
            </w:r>
          </w:p>
        </w:tc>
        <w:tc>
          <w:tcPr>
            <w:tcW w:w="586" w:type="pct"/>
            <w:shd w:val="clear" w:color="auto" w:fill="auto"/>
            <w:tcMar>
              <w:top w:w="110" w:type="dxa"/>
            </w:tcMar>
          </w:tcPr>
          <w:p w:rsidR="008D3FF3" w:rsidRPr="001656CD" w:rsidRDefault="008D3FF3" w:rsidP="002249F8">
            <w:pPr>
              <w:keepNext/>
              <w:keepLines/>
              <w:jc w:val="center"/>
              <w:rPr>
                <w:rFonts w:cs="Arial"/>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r w:rsidRPr="00083772" w:rsidDel="001656CD">
              <w:rPr>
                <w:rStyle w:val="Style5"/>
                <w:rFonts w:ascii="Arial" w:hAnsi="Arial" w:cs="Arial"/>
                <w:b/>
                <w:color w:val="00B050"/>
                <w:sz w:val="16"/>
                <w:szCs w:val="16"/>
              </w:rPr>
              <w:t xml:space="preserve"> </w:t>
            </w:r>
          </w:p>
        </w:tc>
      </w:tr>
      <w:tr w:rsidR="008D3FF3" w:rsidRPr="001656CD" w:rsidTr="008D3FF3">
        <w:trPr>
          <w:cantSplit/>
        </w:trPr>
        <w:tc>
          <w:tcPr>
            <w:tcW w:w="969" w:type="pct"/>
            <w:shd w:val="clear" w:color="auto" w:fill="auto"/>
          </w:tcPr>
          <w:p w:rsidR="008D3FF3" w:rsidRPr="00083772" w:rsidRDefault="008D3FF3" w:rsidP="002249F8">
            <w:pPr>
              <w:rPr>
                <w:rFonts w:cs="Arial"/>
                <w:color w:val="000000"/>
                <w:sz w:val="16"/>
                <w:szCs w:val="16"/>
                <w:lang w:bidi="th-TH"/>
              </w:rPr>
            </w:pPr>
            <w:r w:rsidRPr="009D6119">
              <w:rPr>
                <w:rFonts w:cs="Arial"/>
                <w:color w:val="000000"/>
                <w:sz w:val="16"/>
                <w:szCs w:val="16"/>
                <w:lang w:bidi="th-TH"/>
              </w:rPr>
              <w:t>No. of countries providing positive feedback on the usefulness of the provided legislative advice in the area of trademarks, industrial designs and geographical indications</w:t>
            </w:r>
          </w:p>
          <w:p w:rsidR="008D3FF3" w:rsidRPr="00083772" w:rsidRDefault="008D3FF3" w:rsidP="002249F8">
            <w:pPr>
              <w:rPr>
                <w:rFonts w:cs="Arial"/>
                <w:color w:val="000000"/>
                <w:sz w:val="16"/>
                <w:szCs w:val="16"/>
                <w:lang w:bidi="th-TH"/>
              </w:rPr>
            </w:pPr>
            <w:r w:rsidRPr="00083772">
              <w:rPr>
                <w:rFonts w:cs="Arial"/>
                <w:color w:val="000000"/>
                <w:sz w:val="16"/>
                <w:szCs w:val="16"/>
                <w:lang w:bidi="th-TH"/>
              </w:rPr>
              <w:t xml:space="preserve"> </w:t>
            </w:r>
          </w:p>
        </w:tc>
        <w:tc>
          <w:tcPr>
            <w:tcW w:w="890" w:type="pct"/>
            <w:shd w:val="clear" w:color="auto" w:fill="auto"/>
          </w:tcPr>
          <w:p w:rsidR="008D3FF3" w:rsidRPr="008D3FF3" w:rsidRDefault="008D3FF3" w:rsidP="002249F8">
            <w:pPr>
              <w:rPr>
                <w:rFonts w:cs="Arial"/>
                <w:sz w:val="16"/>
                <w:szCs w:val="16"/>
                <w:lang w:bidi="th-TH"/>
              </w:rPr>
            </w:pPr>
            <w:r w:rsidRPr="008D3FF3">
              <w:rPr>
                <w:rFonts w:cs="Arial"/>
                <w:sz w:val="16"/>
                <w:szCs w:val="16"/>
                <w:lang w:bidi="th-TH"/>
              </w:rPr>
              <w:t>Data not available</w:t>
            </w:r>
          </w:p>
        </w:tc>
        <w:tc>
          <w:tcPr>
            <w:tcW w:w="806" w:type="pct"/>
            <w:shd w:val="clear" w:color="auto" w:fill="auto"/>
            <w:tcMar>
              <w:top w:w="110" w:type="dxa"/>
            </w:tcMar>
          </w:tcPr>
          <w:p w:rsidR="008D3FF3" w:rsidRPr="008D3FF3" w:rsidRDefault="008D3FF3" w:rsidP="002249F8">
            <w:pPr>
              <w:rPr>
                <w:rFonts w:cs="Arial"/>
                <w:sz w:val="16"/>
                <w:szCs w:val="16"/>
                <w:lang w:bidi="th-TH"/>
              </w:rPr>
            </w:pPr>
            <w:r w:rsidRPr="008D3FF3">
              <w:rPr>
                <w:rFonts w:cs="Arial"/>
                <w:sz w:val="16"/>
                <w:szCs w:val="16"/>
                <w:lang w:bidi="th-TH"/>
              </w:rPr>
              <w:t>70%</w:t>
            </w:r>
          </w:p>
        </w:tc>
        <w:tc>
          <w:tcPr>
            <w:tcW w:w="1749" w:type="pct"/>
            <w:gridSpan w:val="2"/>
            <w:shd w:val="clear" w:color="auto" w:fill="FFFFFF"/>
            <w:tcMar>
              <w:top w:w="110" w:type="dxa"/>
            </w:tcMar>
          </w:tcPr>
          <w:p w:rsidR="008D3FF3" w:rsidRPr="008D3FF3" w:rsidRDefault="008D3FF3" w:rsidP="002249F8">
            <w:pPr>
              <w:rPr>
                <w:rFonts w:cs="Arial"/>
                <w:sz w:val="16"/>
                <w:szCs w:val="16"/>
              </w:rPr>
            </w:pPr>
            <w:r w:rsidRPr="008D3FF3">
              <w:rPr>
                <w:rFonts w:cs="Arial"/>
                <w:sz w:val="16"/>
                <w:szCs w:val="16"/>
              </w:rPr>
              <w:t xml:space="preserve">100% of countries reported that WIPO’s support </w:t>
            </w:r>
            <w:r w:rsidRPr="008D3FF3">
              <w:rPr>
                <w:rFonts w:cs="Arial"/>
                <w:sz w:val="16"/>
                <w:szCs w:val="16"/>
                <w:lang w:bidi="th-TH"/>
              </w:rPr>
              <w:t>in the area of trademarks, industrial designs and geographical indications</w:t>
            </w:r>
            <w:r w:rsidRPr="008D3FF3">
              <w:rPr>
                <w:rFonts w:cs="Arial"/>
                <w:sz w:val="16"/>
                <w:szCs w:val="16"/>
              </w:rPr>
              <w:t xml:space="preserve"> was useful. </w:t>
            </w:r>
          </w:p>
        </w:tc>
        <w:tc>
          <w:tcPr>
            <w:tcW w:w="586" w:type="pct"/>
            <w:shd w:val="clear" w:color="auto" w:fill="auto"/>
            <w:tcMar>
              <w:top w:w="110" w:type="dxa"/>
            </w:tcMar>
          </w:tcPr>
          <w:p w:rsidR="008D3FF3" w:rsidRPr="001656CD" w:rsidRDefault="008D3FF3" w:rsidP="002249F8">
            <w:pPr>
              <w:keepNext/>
              <w:keepLines/>
              <w:jc w:val="center"/>
              <w:rPr>
                <w:rFonts w:cs="Arial"/>
                <w:bCs/>
                <w:color w:val="008000"/>
                <w:sz w:val="16"/>
                <w:szCs w:val="16"/>
              </w:rPr>
            </w:pPr>
            <w:r w:rsidRPr="001656CD">
              <w:rPr>
                <w:rFonts w:cs="Arial"/>
                <w:bCs/>
                <w:color w:val="008000"/>
                <w:sz w:val="16"/>
                <w:szCs w:val="16"/>
              </w:rPr>
              <w:t>Fully</w:t>
            </w:r>
            <w:r w:rsidRPr="001656CD">
              <w:rPr>
                <w:rFonts w:cs="Arial"/>
                <w:bCs/>
                <w:color w:val="008000"/>
                <w:sz w:val="16"/>
                <w:szCs w:val="16"/>
              </w:rPr>
              <w:br/>
              <w:t>Achieved</w:t>
            </w:r>
          </w:p>
        </w:tc>
      </w:tr>
    </w:tbl>
    <w:p w:rsidR="007D4FC2" w:rsidRPr="002A56E1" w:rsidRDefault="007D4FC2" w:rsidP="007D4FC2">
      <w:pPr>
        <w:keepNext/>
        <w:keepLines/>
        <w:rPr>
          <w:rFonts w:cs="Arial"/>
          <w:sz w:val="18"/>
          <w:szCs w:val="18"/>
        </w:rPr>
      </w:pPr>
    </w:p>
    <w:p w:rsidR="007D4FC2" w:rsidRPr="002A56E1" w:rsidRDefault="007D4FC2" w:rsidP="007D4FC2">
      <w:pPr>
        <w:keepNext/>
        <w:keepLines/>
        <w:rPr>
          <w:rFonts w:cs="Arial"/>
          <w:sz w:val="18"/>
          <w:szCs w:val="18"/>
        </w:rPr>
      </w:pPr>
    </w:p>
    <w:p w:rsidR="007D4FC2" w:rsidRDefault="007D4FC2" w:rsidP="007D4FC2">
      <w:pPr>
        <w:rPr>
          <w:rFonts w:cs="Arial"/>
          <w:sz w:val="22"/>
          <w:szCs w:val="22"/>
        </w:rPr>
      </w:pPr>
      <w:r>
        <w:rPr>
          <w:rFonts w:cs="Arial"/>
          <w:sz w:val="22"/>
          <w:szCs w:val="22"/>
        </w:rPr>
        <w:br w:type="page"/>
      </w:r>
    </w:p>
    <w:p w:rsidR="007D4FC2" w:rsidRDefault="007D4FC2" w:rsidP="007D4FC2">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7D4FC2" w:rsidRPr="0027745B" w:rsidRDefault="007D4FC2" w:rsidP="007D4FC2">
      <w:pPr>
        <w:keepNext/>
        <w:keepLines/>
        <w:rPr>
          <w:rFonts w:cs="Arial"/>
          <w:szCs w:val="20"/>
        </w:rPr>
      </w:pPr>
    </w:p>
    <w:p w:rsidR="007D4FC2" w:rsidRPr="0027745B" w:rsidRDefault="007D4FC2" w:rsidP="007D4FC2">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7D4FC2" w:rsidRPr="0027745B" w:rsidRDefault="007D4FC2" w:rsidP="007D4FC2">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7D4FC2" w:rsidRDefault="007D4FC2" w:rsidP="007D4FC2">
      <w:pPr>
        <w:pStyle w:val="NormalWeb"/>
        <w:spacing w:before="0" w:beforeAutospacing="0" w:after="0" w:afterAutospacing="0"/>
        <w:jc w:val="center"/>
      </w:pPr>
    </w:p>
    <w:tbl>
      <w:tblPr>
        <w:tblW w:w="0" w:type="auto"/>
        <w:tblInd w:w="103" w:type="dxa"/>
        <w:tblLayout w:type="fixed"/>
        <w:tblLook w:val="04A0" w:firstRow="1" w:lastRow="0" w:firstColumn="1" w:lastColumn="0" w:noHBand="0" w:noVBand="1"/>
      </w:tblPr>
      <w:tblGrid>
        <w:gridCol w:w="501"/>
        <w:gridCol w:w="4466"/>
        <w:gridCol w:w="1464"/>
        <w:gridCol w:w="1465"/>
        <w:gridCol w:w="1465"/>
      </w:tblGrid>
      <w:tr w:rsidR="007D4FC2" w:rsidRPr="00E47E44" w:rsidTr="008D3FF3">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D4FC2" w:rsidRPr="00E47E44" w:rsidRDefault="007D4FC2" w:rsidP="00E47E44">
            <w:pPr>
              <w:spacing w:before="120" w:after="120"/>
              <w:jc w:val="center"/>
              <w:rPr>
                <w:rFonts w:cs="Arial"/>
                <w:bCs/>
                <w:color w:val="000000"/>
                <w:sz w:val="16"/>
                <w:szCs w:val="16"/>
              </w:rPr>
            </w:pPr>
            <w:r w:rsidRPr="00E47E44">
              <w:rPr>
                <w:rFonts w:cs="Arial"/>
                <w:bCs/>
                <w:color w:val="000000"/>
                <w:sz w:val="16"/>
                <w:szCs w:val="16"/>
              </w:rPr>
              <w:t>Expected Result No. and Description</w:t>
            </w:r>
          </w:p>
        </w:tc>
        <w:tc>
          <w:tcPr>
            <w:tcW w:w="1464" w:type="dxa"/>
            <w:tcBorders>
              <w:top w:val="single" w:sz="4" w:space="0" w:color="auto"/>
              <w:left w:val="nil"/>
              <w:bottom w:val="single" w:sz="4" w:space="0" w:color="auto"/>
              <w:right w:val="single" w:sz="4" w:space="0" w:color="auto"/>
            </w:tcBorders>
            <w:shd w:val="clear" w:color="000000" w:fill="CCFFFF"/>
            <w:vAlign w:val="center"/>
            <w:hideMark/>
          </w:tcPr>
          <w:p w:rsidR="007D4FC2" w:rsidRPr="00E47E44" w:rsidRDefault="007D4FC2" w:rsidP="00E47E44">
            <w:pPr>
              <w:spacing w:before="120" w:after="120"/>
              <w:jc w:val="center"/>
              <w:rPr>
                <w:rFonts w:cs="Arial"/>
                <w:bCs/>
                <w:color w:val="000000"/>
                <w:sz w:val="16"/>
                <w:szCs w:val="16"/>
              </w:rPr>
            </w:pPr>
            <w:r w:rsidRPr="00E47E44">
              <w:rPr>
                <w:rFonts w:cs="Arial"/>
                <w:bCs/>
                <w:color w:val="000000"/>
                <w:sz w:val="16"/>
                <w:szCs w:val="16"/>
              </w:rPr>
              <w:t>2012/13 Approved Budget</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7D4FC2" w:rsidRPr="00E47E44" w:rsidRDefault="007D4FC2" w:rsidP="00E47E44">
            <w:pPr>
              <w:spacing w:before="120" w:after="120"/>
              <w:jc w:val="center"/>
              <w:rPr>
                <w:rFonts w:cs="Arial"/>
                <w:bCs/>
                <w:color w:val="000000"/>
                <w:sz w:val="16"/>
                <w:szCs w:val="16"/>
              </w:rPr>
            </w:pPr>
            <w:r w:rsidRPr="00E47E44">
              <w:rPr>
                <w:rFonts w:cs="Arial"/>
                <w:bCs/>
                <w:color w:val="000000"/>
                <w:sz w:val="16"/>
                <w:szCs w:val="16"/>
              </w:rPr>
              <w:t xml:space="preserve">2012/13 Budget </w:t>
            </w:r>
            <w:r w:rsidRPr="00E47E44">
              <w:rPr>
                <w:rFonts w:cs="Arial"/>
                <w:bCs/>
                <w:color w:val="000000"/>
                <w:sz w:val="16"/>
                <w:szCs w:val="16"/>
              </w:rPr>
              <w:br/>
              <w:t>After Transfers</w:t>
            </w:r>
          </w:p>
        </w:tc>
        <w:tc>
          <w:tcPr>
            <w:tcW w:w="1465" w:type="dxa"/>
            <w:tcBorders>
              <w:top w:val="single" w:sz="4" w:space="0" w:color="auto"/>
              <w:left w:val="nil"/>
              <w:bottom w:val="single" w:sz="4" w:space="0" w:color="auto"/>
              <w:right w:val="single" w:sz="4" w:space="0" w:color="auto"/>
            </w:tcBorders>
            <w:shd w:val="clear" w:color="000000" w:fill="CCFFFF"/>
            <w:vAlign w:val="center"/>
            <w:hideMark/>
          </w:tcPr>
          <w:p w:rsidR="007D4FC2" w:rsidRPr="00E47E44" w:rsidRDefault="007D4FC2" w:rsidP="00E47E44">
            <w:pPr>
              <w:spacing w:before="120" w:after="120"/>
              <w:jc w:val="center"/>
              <w:rPr>
                <w:rFonts w:cs="Arial"/>
                <w:bCs/>
                <w:color w:val="000000"/>
                <w:sz w:val="16"/>
                <w:szCs w:val="16"/>
              </w:rPr>
            </w:pPr>
            <w:r w:rsidRPr="00E47E44">
              <w:rPr>
                <w:rFonts w:cs="Arial"/>
                <w:bCs/>
                <w:color w:val="000000"/>
                <w:sz w:val="16"/>
                <w:szCs w:val="16"/>
              </w:rPr>
              <w:t xml:space="preserve">2012/13 </w:t>
            </w:r>
            <w:r w:rsidRPr="00E47E44">
              <w:rPr>
                <w:rFonts w:cs="Arial"/>
                <w:bCs/>
                <w:color w:val="000000"/>
                <w:sz w:val="16"/>
                <w:szCs w:val="16"/>
              </w:rPr>
              <w:br/>
              <w:t>Expenditure</w:t>
            </w:r>
          </w:p>
        </w:tc>
      </w:tr>
      <w:tr w:rsidR="007D4FC2" w:rsidRPr="0027745B" w:rsidTr="008D3FF3">
        <w:tc>
          <w:tcPr>
            <w:tcW w:w="501" w:type="dxa"/>
            <w:tcBorders>
              <w:top w:val="nil"/>
              <w:left w:val="single" w:sz="4" w:space="0" w:color="auto"/>
              <w:bottom w:val="nil"/>
              <w:right w:val="nil"/>
            </w:tcBorders>
            <w:shd w:val="clear" w:color="000000" w:fill="FFFFFF"/>
            <w:noWrap/>
            <w:hideMark/>
          </w:tcPr>
          <w:p w:rsidR="007D4FC2" w:rsidRPr="0027745B" w:rsidRDefault="007D4FC2" w:rsidP="00E47E44">
            <w:pPr>
              <w:spacing w:before="80"/>
              <w:jc w:val="center"/>
              <w:rPr>
                <w:rFonts w:cs="Arial"/>
                <w:color w:val="000000"/>
                <w:sz w:val="16"/>
                <w:szCs w:val="16"/>
              </w:rPr>
            </w:pPr>
            <w:r w:rsidRPr="0027745B">
              <w:rPr>
                <w:rFonts w:cs="Arial"/>
                <w:color w:val="000000"/>
                <w:sz w:val="16"/>
                <w:szCs w:val="16"/>
              </w:rPr>
              <w:t>I.4</w:t>
            </w:r>
          </w:p>
        </w:tc>
        <w:tc>
          <w:tcPr>
            <w:tcW w:w="4466" w:type="dxa"/>
            <w:tcBorders>
              <w:top w:val="nil"/>
              <w:left w:val="nil"/>
              <w:bottom w:val="nil"/>
              <w:right w:val="nil"/>
            </w:tcBorders>
            <w:shd w:val="clear" w:color="000000" w:fill="FFFFFF"/>
            <w:hideMark/>
          </w:tcPr>
          <w:p w:rsidR="007D4FC2" w:rsidRPr="0027745B" w:rsidRDefault="007D4FC2" w:rsidP="00E47E44">
            <w:pPr>
              <w:spacing w:before="80"/>
              <w:rPr>
                <w:rFonts w:cs="Arial"/>
                <w:color w:val="000000"/>
                <w:sz w:val="16"/>
                <w:szCs w:val="16"/>
              </w:rPr>
            </w:pPr>
            <w:r w:rsidRPr="0027745B">
              <w:rPr>
                <w:rFonts w:cs="Arial"/>
                <w:color w:val="000000"/>
                <w:sz w:val="16"/>
                <w:szCs w:val="16"/>
              </w:rPr>
              <w:t>Tailored and balanced IP legislative, regulatory and policy frameworks</w:t>
            </w:r>
          </w:p>
        </w:tc>
        <w:tc>
          <w:tcPr>
            <w:tcW w:w="1464"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1,249 </w:t>
            </w:r>
          </w:p>
        </w:tc>
        <w:tc>
          <w:tcPr>
            <w:tcW w:w="1465"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1,362</w:t>
            </w:r>
          </w:p>
        </w:tc>
        <w:tc>
          <w:tcPr>
            <w:tcW w:w="1465" w:type="dxa"/>
            <w:tcBorders>
              <w:top w:val="nil"/>
              <w:left w:val="nil"/>
              <w:bottom w:val="nil"/>
              <w:right w:val="single" w:sz="4" w:space="0" w:color="auto"/>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1,131 </w:t>
            </w:r>
          </w:p>
        </w:tc>
      </w:tr>
      <w:tr w:rsidR="007D4FC2" w:rsidRPr="0027745B" w:rsidTr="008D3FF3">
        <w:tc>
          <w:tcPr>
            <w:tcW w:w="501" w:type="dxa"/>
            <w:tcBorders>
              <w:top w:val="nil"/>
              <w:left w:val="single" w:sz="4" w:space="0" w:color="auto"/>
              <w:bottom w:val="nil"/>
              <w:right w:val="nil"/>
            </w:tcBorders>
            <w:shd w:val="clear" w:color="000000" w:fill="FFFFFF"/>
            <w:noWrap/>
            <w:hideMark/>
          </w:tcPr>
          <w:p w:rsidR="007D4FC2" w:rsidRPr="0027745B" w:rsidRDefault="007D4FC2" w:rsidP="00E47E44">
            <w:pPr>
              <w:spacing w:before="80"/>
              <w:jc w:val="center"/>
              <w:rPr>
                <w:rFonts w:cs="Arial"/>
                <w:color w:val="000000"/>
                <w:sz w:val="16"/>
                <w:szCs w:val="16"/>
              </w:rPr>
            </w:pPr>
            <w:r w:rsidRPr="0027745B">
              <w:rPr>
                <w:rFonts w:cs="Arial"/>
                <w:color w:val="000000"/>
                <w:sz w:val="16"/>
                <w:szCs w:val="16"/>
              </w:rPr>
              <w:t>III.1</w:t>
            </w:r>
          </w:p>
        </w:tc>
        <w:tc>
          <w:tcPr>
            <w:tcW w:w="4466" w:type="dxa"/>
            <w:tcBorders>
              <w:top w:val="nil"/>
              <w:left w:val="nil"/>
              <w:bottom w:val="nil"/>
              <w:right w:val="nil"/>
            </w:tcBorders>
            <w:shd w:val="clear" w:color="000000" w:fill="FFFFFF"/>
            <w:hideMark/>
          </w:tcPr>
          <w:p w:rsidR="007D4FC2" w:rsidRPr="0027745B" w:rsidRDefault="007D4FC2" w:rsidP="00E47E44">
            <w:pPr>
              <w:spacing w:before="80"/>
              <w:rPr>
                <w:rFonts w:cs="Arial"/>
                <w:color w:val="000000"/>
                <w:sz w:val="16"/>
                <w:szCs w:val="16"/>
              </w:rPr>
            </w:pPr>
            <w:r w:rsidRPr="0027745B">
              <w:rPr>
                <w:rFonts w:cs="Arial"/>
                <w:color w:val="000000"/>
                <w:sz w:val="16"/>
                <w:szCs w:val="16"/>
              </w:rPr>
              <w:t>Clearly defined and coherent national innovation and IP policies, strategies and development plans consistent with national development goals and objectives</w:t>
            </w:r>
          </w:p>
        </w:tc>
        <w:tc>
          <w:tcPr>
            <w:tcW w:w="1464"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2,207 </w:t>
            </w:r>
          </w:p>
        </w:tc>
        <w:tc>
          <w:tcPr>
            <w:tcW w:w="1465"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1,908 </w:t>
            </w:r>
          </w:p>
        </w:tc>
        <w:tc>
          <w:tcPr>
            <w:tcW w:w="1465" w:type="dxa"/>
            <w:tcBorders>
              <w:top w:val="nil"/>
              <w:left w:val="nil"/>
              <w:bottom w:val="nil"/>
              <w:right w:val="single" w:sz="4" w:space="0" w:color="auto"/>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1,887 </w:t>
            </w:r>
          </w:p>
        </w:tc>
      </w:tr>
      <w:tr w:rsidR="007D4FC2" w:rsidRPr="0027745B" w:rsidTr="008D3FF3">
        <w:tc>
          <w:tcPr>
            <w:tcW w:w="501" w:type="dxa"/>
            <w:tcBorders>
              <w:top w:val="nil"/>
              <w:left w:val="single" w:sz="4" w:space="0" w:color="auto"/>
              <w:bottom w:val="nil"/>
              <w:right w:val="nil"/>
            </w:tcBorders>
            <w:shd w:val="clear" w:color="000000" w:fill="FFFFFF"/>
            <w:noWrap/>
            <w:hideMark/>
          </w:tcPr>
          <w:p w:rsidR="007D4FC2" w:rsidRPr="0027745B" w:rsidRDefault="007D4FC2" w:rsidP="00E47E44">
            <w:pPr>
              <w:spacing w:before="80"/>
              <w:jc w:val="center"/>
              <w:rPr>
                <w:rFonts w:cs="Arial"/>
                <w:color w:val="000000"/>
                <w:sz w:val="16"/>
                <w:szCs w:val="16"/>
              </w:rPr>
            </w:pPr>
            <w:r w:rsidRPr="0027745B">
              <w:rPr>
                <w:rFonts w:cs="Arial"/>
                <w:color w:val="000000"/>
                <w:sz w:val="16"/>
                <w:szCs w:val="16"/>
              </w:rPr>
              <w:t>III.2</w:t>
            </w:r>
          </w:p>
        </w:tc>
        <w:tc>
          <w:tcPr>
            <w:tcW w:w="4466" w:type="dxa"/>
            <w:tcBorders>
              <w:top w:val="nil"/>
              <w:left w:val="nil"/>
              <w:bottom w:val="nil"/>
              <w:right w:val="nil"/>
            </w:tcBorders>
            <w:shd w:val="clear" w:color="000000" w:fill="FFFFFF"/>
            <w:hideMark/>
          </w:tcPr>
          <w:p w:rsidR="007D4FC2" w:rsidRPr="0027745B" w:rsidRDefault="007D4FC2" w:rsidP="00E47E44">
            <w:pPr>
              <w:spacing w:before="8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464"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1,461 </w:t>
            </w:r>
          </w:p>
        </w:tc>
        <w:tc>
          <w:tcPr>
            <w:tcW w:w="1465" w:type="dxa"/>
            <w:tcBorders>
              <w:top w:val="nil"/>
              <w:left w:val="nil"/>
              <w:bottom w:val="nil"/>
              <w:right w:val="nil"/>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2,176 </w:t>
            </w:r>
          </w:p>
        </w:tc>
        <w:tc>
          <w:tcPr>
            <w:tcW w:w="1465" w:type="dxa"/>
            <w:tcBorders>
              <w:top w:val="nil"/>
              <w:left w:val="nil"/>
              <w:bottom w:val="nil"/>
              <w:right w:val="single" w:sz="4" w:space="0" w:color="auto"/>
            </w:tcBorders>
            <w:shd w:val="clear" w:color="000000" w:fill="FFFFFF"/>
            <w:vAlign w:val="center"/>
            <w:hideMark/>
          </w:tcPr>
          <w:p w:rsidR="007D4FC2" w:rsidRPr="0027745B" w:rsidRDefault="007D4FC2" w:rsidP="00E47E44">
            <w:pPr>
              <w:spacing w:before="80"/>
              <w:jc w:val="right"/>
              <w:rPr>
                <w:rFonts w:cs="Arial"/>
                <w:color w:val="000000"/>
                <w:sz w:val="16"/>
                <w:szCs w:val="16"/>
              </w:rPr>
            </w:pPr>
            <w:r w:rsidRPr="0027745B">
              <w:rPr>
                <w:rFonts w:cs="Arial"/>
                <w:color w:val="000000"/>
                <w:sz w:val="16"/>
                <w:szCs w:val="16"/>
              </w:rPr>
              <w:t xml:space="preserve">2,121 </w:t>
            </w:r>
          </w:p>
        </w:tc>
      </w:tr>
      <w:tr w:rsidR="007D4FC2" w:rsidRPr="0027745B" w:rsidTr="008D3FF3">
        <w:tc>
          <w:tcPr>
            <w:tcW w:w="501" w:type="dxa"/>
            <w:tcBorders>
              <w:top w:val="nil"/>
              <w:left w:val="single" w:sz="4" w:space="0" w:color="auto"/>
              <w:bottom w:val="single" w:sz="4" w:space="0" w:color="auto"/>
              <w:right w:val="nil"/>
            </w:tcBorders>
            <w:shd w:val="clear" w:color="000000" w:fill="FFFFFF"/>
            <w:noWrap/>
            <w:hideMark/>
          </w:tcPr>
          <w:p w:rsidR="007D4FC2" w:rsidRPr="0027745B" w:rsidRDefault="007D4FC2" w:rsidP="00E47E44">
            <w:pPr>
              <w:spacing w:before="80" w:after="120"/>
              <w:jc w:val="center"/>
              <w:rPr>
                <w:rFonts w:cs="Arial"/>
                <w:color w:val="000000"/>
                <w:sz w:val="16"/>
                <w:szCs w:val="16"/>
              </w:rPr>
            </w:pPr>
            <w:r w:rsidRPr="0027745B">
              <w:rPr>
                <w:rFonts w:cs="Arial"/>
                <w:color w:val="000000"/>
                <w:sz w:val="16"/>
                <w:szCs w:val="16"/>
              </w:rPr>
              <w:t>IV.5</w:t>
            </w:r>
          </w:p>
        </w:tc>
        <w:tc>
          <w:tcPr>
            <w:tcW w:w="4466" w:type="dxa"/>
            <w:tcBorders>
              <w:top w:val="nil"/>
              <w:left w:val="nil"/>
              <w:bottom w:val="single" w:sz="4" w:space="0" w:color="auto"/>
              <w:right w:val="nil"/>
            </w:tcBorders>
            <w:shd w:val="clear" w:color="000000" w:fill="FFFFFF"/>
            <w:hideMark/>
          </w:tcPr>
          <w:p w:rsidR="007D4FC2" w:rsidRPr="0027745B" w:rsidRDefault="007D4FC2" w:rsidP="00E47E44">
            <w:pPr>
              <w:spacing w:before="80" w:after="120"/>
              <w:rPr>
                <w:rFonts w:cs="Arial"/>
                <w:color w:val="000000"/>
                <w:sz w:val="16"/>
                <w:szCs w:val="16"/>
              </w:rPr>
            </w:pPr>
            <w:r w:rsidRPr="0027745B">
              <w:rPr>
                <w:rFonts w:cs="Arial"/>
                <w:color w:val="000000"/>
                <w:sz w:val="16"/>
                <w:szCs w:val="16"/>
              </w:rPr>
              <w:t>Enhanced  technical and knowledge infrastructure for IP Offices and other IP institutions leading to better services (cheaper, faster, higher quality) to their stakeholders</w:t>
            </w:r>
          </w:p>
        </w:tc>
        <w:tc>
          <w:tcPr>
            <w:tcW w:w="1464" w:type="dxa"/>
            <w:tcBorders>
              <w:top w:val="nil"/>
              <w:left w:val="nil"/>
              <w:bottom w:val="single" w:sz="4" w:space="0" w:color="auto"/>
              <w:right w:val="nil"/>
            </w:tcBorders>
            <w:shd w:val="clear" w:color="000000" w:fill="FFFFFF"/>
            <w:vAlign w:val="center"/>
            <w:hideMark/>
          </w:tcPr>
          <w:p w:rsidR="007D4FC2" w:rsidRPr="0027745B" w:rsidRDefault="007D4FC2" w:rsidP="00E47E44">
            <w:pPr>
              <w:spacing w:before="80" w:after="120"/>
              <w:jc w:val="right"/>
              <w:rPr>
                <w:rFonts w:cs="Arial"/>
                <w:color w:val="000000"/>
                <w:sz w:val="16"/>
                <w:szCs w:val="16"/>
              </w:rPr>
            </w:pPr>
            <w:r w:rsidRPr="0027745B">
              <w:rPr>
                <w:rFonts w:cs="Arial"/>
                <w:color w:val="000000"/>
                <w:sz w:val="16"/>
                <w:szCs w:val="16"/>
              </w:rPr>
              <w:t xml:space="preserve">1,522 </w:t>
            </w:r>
          </w:p>
        </w:tc>
        <w:tc>
          <w:tcPr>
            <w:tcW w:w="1465" w:type="dxa"/>
            <w:tcBorders>
              <w:top w:val="nil"/>
              <w:left w:val="nil"/>
              <w:bottom w:val="single" w:sz="4" w:space="0" w:color="auto"/>
              <w:right w:val="nil"/>
            </w:tcBorders>
            <w:shd w:val="clear" w:color="000000" w:fill="FFFFFF"/>
            <w:vAlign w:val="center"/>
            <w:hideMark/>
          </w:tcPr>
          <w:p w:rsidR="007D4FC2" w:rsidRPr="0027745B" w:rsidRDefault="007D4FC2" w:rsidP="00E47E44">
            <w:pPr>
              <w:spacing w:before="80" w:after="120"/>
              <w:jc w:val="right"/>
              <w:rPr>
                <w:rFonts w:cs="Arial"/>
                <w:color w:val="000000"/>
                <w:sz w:val="16"/>
                <w:szCs w:val="16"/>
              </w:rPr>
            </w:pPr>
            <w:r w:rsidRPr="0027745B">
              <w:rPr>
                <w:rFonts w:cs="Arial"/>
                <w:color w:val="000000"/>
                <w:sz w:val="16"/>
                <w:szCs w:val="16"/>
              </w:rPr>
              <w:t>1,087</w:t>
            </w:r>
          </w:p>
        </w:tc>
        <w:tc>
          <w:tcPr>
            <w:tcW w:w="1465" w:type="dxa"/>
            <w:tcBorders>
              <w:top w:val="nil"/>
              <w:left w:val="nil"/>
              <w:bottom w:val="single" w:sz="4" w:space="0" w:color="auto"/>
              <w:right w:val="single" w:sz="4" w:space="0" w:color="auto"/>
            </w:tcBorders>
            <w:shd w:val="clear" w:color="000000" w:fill="FFFFFF"/>
            <w:vAlign w:val="center"/>
            <w:hideMark/>
          </w:tcPr>
          <w:p w:rsidR="007D4FC2" w:rsidRPr="0027745B" w:rsidRDefault="007D4FC2" w:rsidP="00E47E44">
            <w:pPr>
              <w:spacing w:before="80" w:after="120"/>
              <w:jc w:val="right"/>
              <w:rPr>
                <w:rFonts w:cs="Arial"/>
                <w:color w:val="000000"/>
                <w:sz w:val="16"/>
                <w:szCs w:val="16"/>
              </w:rPr>
            </w:pPr>
            <w:r w:rsidRPr="0027745B">
              <w:rPr>
                <w:rFonts w:cs="Arial"/>
                <w:color w:val="000000"/>
                <w:sz w:val="16"/>
                <w:szCs w:val="16"/>
              </w:rPr>
              <w:t>1,041</w:t>
            </w:r>
          </w:p>
        </w:tc>
      </w:tr>
      <w:tr w:rsidR="007D4FC2" w:rsidRPr="0027745B" w:rsidTr="008D3FF3">
        <w:tc>
          <w:tcPr>
            <w:tcW w:w="501" w:type="dxa"/>
            <w:tcBorders>
              <w:top w:val="nil"/>
              <w:left w:val="single" w:sz="4" w:space="0" w:color="auto"/>
              <w:bottom w:val="single" w:sz="4" w:space="0" w:color="auto"/>
              <w:right w:val="nil"/>
            </w:tcBorders>
            <w:shd w:val="clear" w:color="000000" w:fill="CCFFFF"/>
            <w:noWrap/>
            <w:vAlign w:val="bottom"/>
            <w:hideMark/>
          </w:tcPr>
          <w:p w:rsidR="007D4FC2" w:rsidRPr="0027745B" w:rsidRDefault="007D4FC2" w:rsidP="00E47E44">
            <w:pPr>
              <w:spacing w:before="120" w:after="120"/>
              <w:jc w:val="center"/>
              <w:rPr>
                <w:rFonts w:cs="Arial"/>
                <w:b/>
                <w:bCs/>
                <w:color w:val="000000"/>
                <w:sz w:val="16"/>
                <w:szCs w:val="16"/>
              </w:rPr>
            </w:pPr>
            <w:r w:rsidRPr="0027745B">
              <w:rPr>
                <w:rFonts w:cs="Arial"/>
                <w:b/>
                <w:bCs/>
                <w:color w:val="000000"/>
                <w:sz w:val="16"/>
                <w:szCs w:val="16"/>
              </w:rPr>
              <w:t> </w:t>
            </w:r>
          </w:p>
        </w:tc>
        <w:tc>
          <w:tcPr>
            <w:tcW w:w="4466" w:type="dxa"/>
            <w:tcBorders>
              <w:top w:val="nil"/>
              <w:left w:val="nil"/>
              <w:bottom w:val="single" w:sz="4" w:space="0" w:color="auto"/>
              <w:right w:val="nil"/>
            </w:tcBorders>
            <w:shd w:val="clear" w:color="000000" w:fill="CCFFFF"/>
            <w:noWrap/>
            <w:vAlign w:val="center"/>
            <w:hideMark/>
          </w:tcPr>
          <w:p w:rsidR="007D4FC2" w:rsidRPr="0027745B" w:rsidRDefault="007D4FC2" w:rsidP="00E47E44">
            <w:pPr>
              <w:spacing w:before="120" w:after="120"/>
              <w:rPr>
                <w:rFonts w:cs="Arial"/>
                <w:b/>
                <w:bCs/>
                <w:color w:val="000000"/>
                <w:sz w:val="16"/>
                <w:szCs w:val="16"/>
              </w:rPr>
            </w:pPr>
            <w:r w:rsidRPr="0027745B">
              <w:rPr>
                <w:rFonts w:cs="Arial"/>
                <w:b/>
                <w:bCs/>
                <w:color w:val="000000"/>
                <w:sz w:val="16"/>
                <w:szCs w:val="16"/>
              </w:rPr>
              <w:t>Total</w:t>
            </w:r>
          </w:p>
        </w:tc>
        <w:tc>
          <w:tcPr>
            <w:tcW w:w="1464" w:type="dxa"/>
            <w:tcBorders>
              <w:top w:val="nil"/>
              <w:left w:val="nil"/>
              <w:bottom w:val="single" w:sz="4" w:space="0" w:color="auto"/>
              <w:right w:val="nil"/>
            </w:tcBorders>
            <w:shd w:val="clear" w:color="000000" w:fill="CCFFFF"/>
            <w:vAlign w:val="center"/>
            <w:hideMark/>
          </w:tcPr>
          <w:p w:rsidR="007D4FC2" w:rsidRPr="0027745B" w:rsidRDefault="007D4FC2" w:rsidP="00E47E44">
            <w:pPr>
              <w:spacing w:before="120" w:after="120"/>
              <w:jc w:val="right"/>
              <w:rPr>
                <w:rFonts w:cs="Arial"/>
                <w:b/>
                <w:bCs/>
                <w:color w:val="000000"/>
                <w:sz w:val="16"/>
                <w:szCs w:val="16"/>
              </w:rPr>
            </w:pPr>
            <w:r w:rsidRPr="0027745B">
              <w:rPr>
                <w:rFonts w:cs="Arial"/>
                <w:b/>
                <w:bCs/>
                <w:color w:val="000000"/>
                <w:sz w:val="16"/>
                <w:szCs w:val="16"/>
              </w:rPr>
              <w:t>6,439</w:t>
            </w:r>
          </w:p>
        </w:tc>
        <w:tc>
          <w:tcPr>
            <w:tcW w:w="1465" w:type="dxa"/>
            <w:tcBorders>
              <w:top w:val="nil"/>
              <w:left w:val="nil"/>
              <w:bottom w:val="single" w:sz="4" w:space="0" w:color="auto"/>
              <w:right w:val="nil"/>
            </w:tcBorders>
            <w:shd w:val="clear" w:color="000000" w:fill="CCFFFF"/>
            <w:noWrap/>
            <w:vAlign w:val="center"/>
            <w:hideMark/>
          </w:tcPr>
          <w:p w:rsidR="007D4FC2" w:rsidRPr="0027745B" w:rsidRDefault="007D4FC2" w:rsidP="00E47E44">
            <w:pPr>
              <w:spacing w:before="120" w:after="120"/>
              <w:jc w:val="right"/>
              <w:rPr>
                <w:rFonts w:cs="Arial"/>
                <w:b/>
                <w:bCs/>
                <w:color w:val="000000"/>
                <w:sz w:val="16"/>
                <w:szCs w:val="16"/>
              </w:rPr>
            </w:pPr>
            <w:r w:rsidRPr="0027745B">
              <w:rPr>
                <w:rFonts w:cs="Arial"/>
                <w:b/>
                <w:bCs/>
                <w:color w:val="000000"/>
                <w:sz w:val="16"/>
                <w:szCs w:val="16"/>
              </w:rPr>
              <w:t>6,532</w:t>
            </w:r>
          </w:p>
        </w:tc>
        <w:tc>
          <w:tcPr>
            <w:tcW w:w="1465" w:type="dxa"/>
            <w:tcBorders>
              <w:top w:val="nil"/>
              <w:left w:val="nil"/>
              <w:bottom w:val="single" w:sz="4" w:space="0" w:color="auto"/>
              <w:right w:val="single" w:sz="4" w:space="0" w:color="auto"/>
            </w:tcBorders>
            <w:shd w:val="clear" w:color="000000" w:fill="CCFFFF"/>
            <w:vAlign w:val="center"/>
            <w:hideMark/>
          </w:tcPr>
          <w:p w:rsidR="007D4FC2" w:rsidRPr="0027745B" w:rsidRDefault="007D4FC2" w:rsidP="00E47E44">
            <w:pPr>
              <w:spacing w:before="120" w:after="120"/>
              <w:jc w:val="right"/>
              <w:rPr>
                <w:rFonts w:cs="Arial"/>
                <w:b/>
                <w:bCs/>
                <w:color w:val="000000"/>
                <w:sz w:val="16"/>
                <w:szCs w:val="16"/>
              </w:rPr>
            </w:pPr>
            <w:r w:rsidRPr="0027745B">
              <w:rPr>
                <w:rFonts w:cs="Arial"/>
                <w:b/>
                <w:bCs/>
                <w:color w:val="000000"/>
                <w:sz w:val="16"/>
                <w:szCs w:val="16"/>
              </w:rPr>
              <w:t>6,181</w:t>
            </w:r>
          </w:p>
        </w:tc>
      </w:tr>
    </w:tbl>
    <w:p w:rsidR="007D4FC2" w:rsidRDefault="007D4FC2" w:rsidP="007D4FC2">
      <w:pPr>
        <w:keepNext/>
        <w:keepLines/>
        <w:rPr>
          <w:rFonts w:cs="Arial"/>
          <w:sz w:val="22"/>
          <w:szCs w:val="22"/>
        </w:rPr>
      </w:pPr>
    </w:p>
    <w:p w:rsidR="007D4FC2" w:rsidRPr="0027745B" w:rsidRDefault="007D4FC2" w:rsidP="007D4FC2">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7D4FC2" w:rsidRPr="0027745B" w:rsidRDefault="007D4FC2" w:rsidP="007D4FC2">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7D4FC2" w:rsidRPr="0027745B" w:rsidRDefault="007D4FC2" w:rsidP="007D4FC2">
      <w:pPr>
        <w:pStyle w:val="NormalWeb"/>
        <w:spacing w:before="0" w:beforeAutospacing="0" w:after="0" w:afterAutospacing="0"/>
        <w:jc w:val="center"/>
        <w:rPr>
          <w:i/>
          <w:iCs/>
          <w:color w:val="000000"/>
          <w:sz w:val="20"/>
          <w:szCs w:val="20"/>
        </w:rPr>
      </w:pPr>
    </w:p>
    <w:tbl>
      <w:tblPr>
        <w:tblW w:w="0" w:type="auto"/>
        <w:tblInd w:w="93" w:type="dxa"/>
        <w:tblLook w:val="04A0" w:firstRow="1" w:lastRow="0" w:firstColumn="1" w:lastColumn="0" w:noHBand="0" w:noVBand="1"/>
      </w:tblPr>
      <w:tblGrid>
        <w:gridCol w:w="2567"/>
        <w:gridCol w:w="1701"/>
        <w:gridCol w:w="1701"/>
        <w:gridCol w:w="1701"/>
        <w:gridCol w:w="1701"/>
      </w:tblGrid>
      <w:tr w:rsidR="007D4FC2" w:rsidRPr="00E47E44" w:rsidTr="008D3FF3">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D4FC2" w:rsidRPr="00E47E44" w:rsidRDefault="007D4FC2" w:rsidP="009D5A2C">
            <w:pPr>
              <w:spacing w:before="80" w:after="80"/>
              <w:rPr>
                <w:rFonts w:cs="Arial"/>
                <w:color w:val="000000"/>
                <w:sz w:val="16"/>
                <w:szCs w:val="16"/>
              </w:rPr>
            </w:pPr>
            <w:r w:rsidRPr="00E47E44">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7D4FC2" w:rsidRPr="00E47E44" w:rsidRDefault="007D4FC2" w:rsidP="009D5A2C">
            <w:pPr>
              <w:spacing w:before="80" w:after="80"/>
              <w:jc w:val="center"/>
              <w:rPr>
                <w:rFonts w:cs="Arial"/>
                <w:bCs/>
                <w:color w:val="000000"/>
                <w:sz w:val="16"/>
                <w:szCs w:val="16"/>
              </w:rPr>
            </w:pPr>
            <w:r w:rsidRPr="00E47E44">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7D4FC2" w:rsidRPr="00E47E44" w:rsidRDefault="007D4FC2" w:rsidP="009D5A2C">
            <w:pPr>
              <w:spacing w:before="80" w:after="80"/>
              <w:jc w:val="center"/>
              <w:rPr>
                <w:rFonts w:cs="Arial"/>
                <w:bCs/>
                <w:color w:val="000000"/>
                <w:sz w:val="16"/>
                <w:szCs w:val="16"/>
              </w:rPr>
            </w:pPr>
            <w:r w:rsidRPr="00E47E44">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7D4FC2" w:rsidRPr="00E47E44" w:rsidRDefault="007D4FC2" w:rsidP="009D5A2C">
            <w:pPr>
              <w:spacing w:before="80" w:after="80"/>
              <w:jc w:val="center"/>
              <w:rPr>
                <w:rFonts w:cs="Arial"/>
                <w:bCs/>
                <w:color w:val="000000"/>
                <w:sz w:val="16"/>
                <w:szCs w:val="16"/>
              </w:rPr>
            </w:pPr>
            <w:r w:rsidRPr="00E47E44">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7D4FC2" w:rsidRPr="00E47E44" w:rsidRDefault="007D4FC2" w:rsidP="009D5A2C">
            <w:pPr>
              <w:spacing w:before="80" w:after="80"/>
              <w:jc w:val="center"/>
              <w:rPr>
                <w:rFonts w:cs="Arial"/>
                <w:bCs/>
                <w:color w:val="000000"/>
                <w:sz w:val="16"/>
                <w:szCs w:val="16"/>
              </w:rPr>
            </w:pPr>
            <w:r w:rsidRPr="00E47E44">
              <w:rPr>
                <w:rFonts w:cs="Arial"/>
                <w:bCs/>
                <w:color w:val="000000"/>
                <w:sz w:val="16"/>
                <w:szCs w:val="16"/>
              </w:rPr>
              <w:t>Utilization rate (%)</w:t>
            </w:r>
          </w:p>
        </w:tc>
      </w:tr>
      <w:tr w:rsidR="007D4FC2" w:rsidRPr="0027745B" w:rsidTr="008D3FF3">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7D4FC2" w:rsidRPr="0027745B" w:rsidRDefault="007D4FC2" w:rsidP="009D5A2C">
            <w:pPr>
              <w:spacing w:before="80" w:after="80"/>
              <w:rPr>
                <w:rFonts w:cs="Arial"/>
                <w:color w:val="000000"/>
                <w:sz w:val="16"/>
                <w:szCs w:val="16"/>
              </w:rPr>
            </w:pPr>
            <w:r w:rsidRPr="0027745B">
              <w:rPr>
                <w:rFonts w:cs="Arial"/>
                <w:color w:val="000000"/>
                <w:sz w:val="16"/>
                <w:szCs w:val="16"/>
              </w:rPr>
              <w:t xml:space="preserve">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4,283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4,594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4,594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100%</w:t>
            </w:r>
          </w:p>
        </w:tc>
      </w:tr>
      <w:tr w:rsidR="007D4FC2" w:rsidRPr="0027745B" w:rsidTr="008D3FF3">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7D4FC2" w:rsidRPr="0027745B" w:rsidRDefault="007D4FC2" w:rsidP="009D5A2C">
            <w:pPr>
              <w:spacing w:before="80" w:after="80"/>
              <w:rPr>
                <w:rFonts w:cs="Arial"/>
                <w:color w:val="000000"/>
                <w:sz w:val="16"/>
                <w:szCs w:val="16"/>
              </w:rPr>
            </w:pPr>
            <w:r w:rsidRPr="0027745B">
              <w:rPr>
                <w:rFonts w:cs="Arial"/>
                <w:color w:val="000000"/>
                <w:sz w:val="16"/>
                <w:szCs w:val="16"/>
              </w:rPr>
              <w:t xml:space="preserve">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2,156</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1,939</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1,587</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color w:val="000000"/>
                <w:sz w:val="16"/>
                <w:szCs w:val="16"/>
              </w:rPr>
            </w:pPr>
            <w:r w:rsidRPr="0027745B">
              <w:rPr>
                <w:rFonts w:cs="Arial"/>
                <w:color w:val="000000"/>
                <w:sz w:val="16"/>
                <w:szCs w:val="16"/>
              </w:rPr>
              <w:t>82%</w:t>
            </w:r>
          </w:p>
        </w:tc>
      </w:tr>
      <w:tr w:rsidR="007D4FC2" w:rsidRPr="0027745B" w:rsidTr="008D3FF3">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7D4FC2" w:rsidRPr="0027745B" w:rsidRDefault="007D4FC2" w:rsidP="009D5A2C">
            <w:pPr>
              <w:spacing w:before="80" w:after="80"/>
              <w:jc w:val="right"/>
              <w:rPr>
                <w:rFonts w:cs="Arial"/>
                <w:b/>
                <w:bCs/>
                <w:color w:val="000000"/>
                <w:sz w:val="16"/>
                <w:szCs w:val="16"/>
              </w:rPr>
            </w:pPr>
            <w:r w:rsidRPr="0027745B">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b/>
                <w:bCs/>
                <w:color w:val="000000"/>
                <w:sz w:val="16"/>
                <w:szCs w:val="16"/>
              </w:rPr>
            </w:pPr>
            <w:r w:rsidRPr="0027745B">
              <w:rPr>
                <w:rFonts w:cs="Arial"/>
                <w:b/>
                <w:bCs/>
                <w:color w:val="000000"/>
                <w:sz w:val="16"/>
                <w:szCs w:val="16"/>
              </w:rPr>
              <w:t>6,439</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b/>
                <w:bCs/>
                <w:color w:val="000000"/>
                <w:sz w:val="16"/>
                <w:szCs w:val="16"/>
              </w:rPr>
            </w:pPr>
            <w:r w:rsidRPr="0027745B">
              <w:rPr>
                <w:rFonts w:cs="Arial"/>
                <w:b/>
                <w:bCs/>
                <w:color w:val="000000"/>
                <w:sz w:val="16"/>
                <w:szCs w:val="16"/>
              </w:rPr>
              <w:t>6,532</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b/>
                <w:bCs/>
                <w:color w:val="000000"/>
                <w:sz w:val="16"/>
                <w:szCs w:val="16"/>
              </w:rPr>
            </w:pPr>
            <w:r w:rsidRPr="0027745B">
              <w:rPr>
                <w:rFonts w:cs="Arial"/>
                <w:b/>
                <w:bCs/>
                <w:color w:val="000000"/>
                <w:sz w:val="16"/>
                <w:szCs w:val="16"/>
              </w:rPr>
              <w:t>6,181</w:t>
            </w:r>
          </w:p>
        </w:tc>
        <w:tc>
          <w:tcPr>
            <w:tcW w:w="1701" w:type="dxa"/>
            <w:tcBorders>
              <w:top w:val="nil"/>
              <w:left w:val="nil"/>
              <w:bottom w:val="single" w:sz="4" w:space="0" w:color="auto"/>
              <w:right w:val="single" w:sz="4" w:space="0" w:color="auto"/>
            </w:tcBorders>
            <w:shd w:val="clear" w:color="auto" w:fill="auto"/>
            <w:vAlign w:val="center"/>
            <w:hideMark/>
          </w:tcPr>
          <w:p w:rsidR="007D4FC2" w:rsidRPr="0027745B" w:rsidRDefault="007D4FC2" w:rsidP="009D5A2C">
            <w:pPr>
              <w:spacing w:before="80" w:after="80"/>
              <w:jc w:val="center"/>
              <w:rPr>
                <w:rFonts w:cs="Arial"/>
                <w:b/>
                <w:bCs/>
                <w:color w:val="000000"/>
                <w:sz w:val="16"/>
                <w:szCs w:val="16"/>
              </w:rPr>
            </w:pPr>
            <w:r w:rsidRPr="0027745B">
              <w:rPr>
                <w:rFonts w:cs="Arial"/>
                <w:b/>
                <w:bCs/>
                <w:color w:val="000000"/>
                <w:sz w:val="16"/>
                <w:szCs w:val="16"/>
              </w:rPr>
              <w:t>95%</w:t>
            </w:r>
          </w:p>
        </w:tc>
      </w:tr>
    </w:tbl>
    <w:p w:rsidR="007D4FC2" w:rsidRDefault="007D4FC2" w:rsidP="007D4FC2">
      <w:pPr>
        <w:pStyle w:val="NormalWeb"/>
        <w:spacing w:before="0" w:beforeAutospacing="0" w:after="0" w:afterAutospacing="0"/>
        <w:jc w:val="center"/>
        <w:rPr>
          <w:i/>
          <w:iCs/>
          <w:color w:val="000000"/>
          <w:sz w:val="22"/>
          <w:szCs w:val="22"/>
        </w:rPr>
      </w:pPr>
    </w:p>
    <w:p w:rsidR="007D4FC2" w:rsidRDefault="007D4FC2" w:rsidP="007D4FC2">
      <w:pPr>
        <w:autoSpaceDE w:val="0"/>
        <w:autoSpaceDN w:val="0"/>
        <w:rPr>
          <w:rFonts w:cs="Arial"/>
          <w:sz w:val="16"/>
          <w:szCs w:val="16"/>
        </w:rPr>
      </w:pPr>
      <w:r w:rsidRPr="0027745B">
        <w:rPr>
          <w:rFonts w:cs="Arial"/>
          <w:sz w:val="16"/>
          <w:szCs w:val="16"/>
        </w:rPr>
        <w:t>NOTES:</w:t>
      </w:r>
    </w:p>
    <w:p w:rsidR="00BC6547" w:rsidRPr="0027745B" w:rsidRDefault="00BC6547" w:rsidP="007D4FC2">
      <w:pPr>
        <w:autoSpaceDE w:val="0"/>
        <w:autoSpaceDN w:val="0"/>
        <w:rPr>
          <w:rFonts w:cs="Arial"/>
          <w:sz w:val="16"/>
          <w:szCs w:val="16"/>
        </w:rPr>
      </w:pPr>
    </w:p>
    <w:p w:rsidR="007D4FC2" w:rsidRDefault="007D4FC2" w:rsidP="007D4FC2">
      <w:pPr>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BC6547" w:rsidRPr="0027745B" w:rsidRDefault="00BC6547" w:rsidP="007D4FC2">
      <w:pPr>
        <w:autoSpaceDE w:val="0"/>
        <w:autoSpaceDN w:val="0"/>
        <w:rPr>
          <w:rFonts w:cs="Arial"/>
          <w:sz w:val="16"/>
          <w:szCs w:val="16"/>
        </w:rPr>
      </w:pPr>
    </w:p>
    <w:p w:rsidR="007D4FC2" w:rsidRPr="0027745B" w:rsidRDefault="00DC2CFA" w:rsidP="007D4FC2">
      <w:pPr>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7D4FC2" w:rsidRPr="0027745B">
        <w:rPr>
          <w:rFonts w:cs="Arial"/>
          <w:sz w:val="16"/>
          <w:szCs w:val="16"/>
        </w:rPr>
        <w:t xml:space="preserve"> </w:t>
      </w:r>
    </w:p>
    <w:p w:rsidR="007D4FC2" w:rsidRDefault="007D4FC2" w:rsidP="007D4FC2">
      <w:pPr>
        <w:rPr>
          <w:rFonts w:cs="Arial"/>
          <w:sz w:val="22"/>
          <w:szCs w:val="22"/>
        </w:rPr>
      </w:pPr>
    </w:p>
    <w:p w:rsidR="007D4FC2" w:rsidRPr="007002C6" w:rsidRDefault="007D4FC2" w:rsidP="007B2B25">
      <w:pPr>
        <w:pStyle w:val="ListParagraph"/>
        <w:numPr>
          <w:ilvl w:val="0"/>
          <w:numId w:val="72"/>
        </w:numPr>
        <w:tabs>
          <w:tab w:val="left" w:pos="709"/>
        </w:tabs>
        <w:ind w:left="709" w:hanging="709"/>
        <w:rPr>
          <w:rFonts w:cs="Arial"/>
          <w:u w:val="single"/>
        </w:rPr>
      </w:pPr>
      <w:r w:rsidRPr="007002C6">
        <w:rPr>
          <w:rFonts w:cs="Arial"/>
          <w:u w:val="single"/>
        </w:rPr>
        <w:t>Budget after Transfer 2012/13</w:t>
      </w:r>
    </w:p>
    <w:p w:rsidR="007D4FC2" w:rsidRPr="007002C6" w:rsidRDefault="007D4FC2" w:rsidP="007D4FC2">
      <w:pPr>
        <w:pStyle w:val="ListParagraph"/>
        <w:ind w:left="360"/>
        <w:rPr>
          <w:rFonts w:cs="Arial"/>
          <w:u w:val="single"/>
        </w:rPr>
      </w:pPr>
    </w:p>
    <w:p w:rsidR="007D4FC2" w:rsidRPr="007002C6" w:rsidRDefault="007D4FC2" w:rsidP="00CD26D6">
      <w:pPr>
        <w:tabs>
          <w:tab w:val="left" w:pos="709"/>
        </w:tabs>
        <w:autoSpaceDE w:val="0"/>
        <w:autoSpaceDN w:val="0"/>
        <w:jc w:val="both"/>
        <w:rPr>
          <w:rFonts w:cs="Arial"/>
          <w:szCs w:val="20"/>
        </w:rPr>
      </w:pPr>
      <w:r>
        <w:rPr>
          <w:rFonts w:cs="Arial"/>
          <w:szCs w:val="20"/>
        </w:rPr>
        <w:t>10.10.</w:t>
      </w:r>
      <w:r>
        <w:rPr>
          <w:rFonts w:cs="Arial"/>
          <w:szCs w:val="20"/>
        </w:rPr>
        <w:tab/>
      </w:r>
      <w:r w:rsidRPr="007002C6">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7D4FC2" w:rsidRPr="007002C6" w:rsidRDefault="007D4FC2" w:rsidP="00CD26D6">
      <w:pPr>
        <w:jc w:val="both"/>
        <w:rPr>
          <w:rFonts w:cs="Arial"/>
          <w:szCs w:val="20"/>
        </w:rPr>
      </w:pPr>
    </w:p>
    <w:p w:rsidR="007D4FC2" w:rsidRPr="007002C6" w:rsidRDefault="007D4FC2" w:rsidP="00CD26D6">
      <w:pPr>
        <w:tabs>
          <w:tab w:val="left" w:pos="709"/>
        </w:tabs>
        <w:jc w:val="both"/>
        <w:rPr>
          <w:rFonts w:cs="Arial"/>
          <w:szCs w:val="20"/>
        </w:rPr>
      </w:pPr>
      <w:r>
        <w:rPr>
          <w:rFonts w:cs="Arial"/>
          <w:szCs w:val="20"/>
        </w:rPr>
        <w:t>10.11.</w:t>
      </w:r>
      <w:r>
        <w:rPr>
          <w:rFonts w:cs="Arial"/>
          <w:szCs w:val="20"/>
        </w:rPr>
        <w:tab/>
      </w:r>
      <w:r w:rsidRPr="007002C6">
        <w:rPr>
          <w:rFonts w:cs="Arial"/>
          <w:szCs w:val="20"/>
        </w:rPr>
        <w:t xml:space="preserve">The increase in the allocation of personnel resources reflects the creation of a dedicated focal point in the Program to coordinate the promotion and the delivery of WIPO services and programs to developed countries. </w:t>
      </w:r>
    </w:p>
    <w:p w:rsidR="007D4FC2" w:rsidRDefault="007D4FC2" w:rsidP="00CD26D6">
      <w:pPr>
        <w:jc w:val="both"/>
        <w:rPr>
          <w:rFonts w:cs="Arial"/>
          <w:sz w:val="22"/>
          <w:szCs w:val="22"/>
        </w:rPr>
      </w:pPr>
    </w:p>
    <w:p w:rsidR="007D4FC2" w:rsidRPr="007002C6" w:rsidRDefault="007D4FC2" w:rsidP="00CD26D6">
      <w:pPr>
        <w:tabs>
          <w:tab w:val="left" w:pos="709"/>
        </w:tabs>
        <w:jc w:val="both"/>
        <w:rPr>
          <w:rFonts w:cs="Arial"/>
          <w:szCs w:val="20"/>
        </w:rPr>
      </w:pPr>
      <w:r>
        <w:rPr>
          <w:rFonts w:cs="Arial"/>
          <w:szCs w:val="20"/>
        </w:rPr>
        <w:t>10.12.</w:t>
      </w:r>
      <w:r>
        <w:rPr>
          <w:rFonts w:cs="Arial"/>
          <w:szCs w:val="20"/>
        </w:rPr>
        <w:tab/>
      </w:r>
      <w:r w:rsidRPr="007002C6">
        <w:rPr>
          <w:rFonts w:cs="Arial"/>
          <w:szCs w:val="20"/>
        </w:rPr>
        <w:t xml:space="preserve">The shift in resources </w:t>
      </w:r>
      <w:r>
        <w:rPr>
          <w:rFonts w:cs="Arial"/>
          <w:szCs w:val="20"/>
        </w:rPr>
        <w:t>to</w:t>
      </w:r>
      <w:r w:rsidRPr="007002C6">
        <w:rPr>
          <w:rFonts w:cs="Arial"/>
          <w:szCs w:val="20"/>
        </w:rPr>
        <w:t xml:space="preserve"> Results I.4 (Legislative Advice) and III.2 (Enhanced human resource capacities) reflect increasing emphasis on activities aimed at human resources capacities at the national level for the use of IP for development and the development of relevant legislative and regulatory frameworks, in line with the implementation of national IP strategies. </w:t>
      </w:r>
    </w:p>
    <w:p w:rsidR="007D4FC2" w:rsidRDefault="007D4FC2" w:rsidP="00486A19">
      <w:pPr>
        <w:rPr>
          <w:rFonts w:cs="Arial"/>
          <w:sz w:val="22"/>
          <w:szCs w:val="22"/>
        </w:rPr>
      </w:pPr>
    </w:p>
    <w:p w:rsidR="007D4FC2" w:rsidRPr="00BE019A" w:rsidRDefault="007D4FC2" w:rsidP="007B2B25">
      <w:pPr>
        <w:pStyle w:val="ListParagraph"/>
        <w:numPr>
          <w:ilvl w:val="0"/>
          <w:numId w:val="72"/>
        </w:numPr>
        <w:tabs>
          <w:tab w:val="left" w:pos="709"/>
        </w:tabs>
        <w:ind w:left="709" w:hanging="709"/>
        <w:rPr>
          <w:rFonts w:cs="Arial"/>
          <w:u w:val="single"/>
        </w:rPr>
      </w:pPr>
      <w:r w:rsidRPr="00BE019A">
        <w:rPr>
          <w:rFonts w:cs="Arial"/>
          <w:u w:val="single"/>
        </w:rPr>
        <w:t>Budget Utilization 2012/13</w:t>
      </w:r>
    </w:p>
    <w:p w:rsidR="007D4FC2" w:rsidRPr="00BE019A" w:rsidRDefault="007D4FC2" w:rsidP="00486A19">
      <w:pPr>
        <w:rPr>
          <w:rFonts w:cs="Arial"/>
          <w:szCs w:val="20"/>
        </w:rPr>
      </w:pPr>
    </w:p>
    <w:p w:rsidR="00A81AE5" w:rsidRPr="00901768" w:rsidRDefault="007D4FC2" w:rsidP="00CD26D6">
      <w:pPr>
        <w:tabs>
          <w:tab w:val="left" w:pos="709"/>
        </w:tabs>
        <w:jc w:val="both"/>
        <w:rPr>
          <w:rFonts w:cs="Arial"/>
          <w:szCs w:val="20"/>
        </w:rPr>
      </w:pPr>
      <w:r>
        <w:rPr>
          <w:rFonts w:cs="Arial"/>
          <w:szCs w:val="20"/>
        </w:rPr>
        <w:t>10.13.</w:t>
      </w:r>
      <w:r>
        <w:rPr>
          <w:rFonts w:cs="Arial"/>
          <w:szCs w:val="20"/>
        </w:rPr>
        <w:tab/>
      </w:r>
      <w:r w:rsidRPr="00BE019A">
        <w:rPr>
          <w:rFonts w:cs="Arial"/>
          <w:szCs w:val="20"/>
        </w:rPr>
        <w:t xml:space="preserve">The budget utilization of 82 percent for non-personnel resources primarily reflects the implementation of the mainstreaming model for activities related to the enhancement of technical and knowledge infrastructure for IP Offices and other IP institutions (Result IV.5). </w:t>
      </w:r>
      <w:r w:rsidR="00486A19">
        <w:rPr>
          <w:rFonts w:cs="Arial"/>
          <w:szCs w:val="20"/>
        </w:rPr>
        <w:t xml:space="preserve"> </w:t>
      </w:r>
      <w:r w:rsidRPr="00BE019A">
        <w:rPr>
          <w:rFonts w:cs="Arial"/>
          <w:szCs w:val="20"/>
        </w:rPr>
        <w:t>Hence, such activities continued to be coordinated by the Program</w:t>
      </w:r>
      <w:r w:rsidR="00A4419C">
        <w:rPr>
          <w:rFonts w:cs="Arial"/>
          <w:szCs w:val="20"/>
        </w:rPr>
        <w:t>,</w:t>
      </w:r>
      <w:r w:rsidRPr="00BE019A">
        <w:rPr>
          <w:rFonts w:cs="Arial"/>
          <w:szCs w:val="20"/>
        </w:rPr>
        <w:t xml:space="preserve"> whereas the actual implementation of the automation solutions </w:t>
      </w:r>
      <w:r w:rsidR="00486A19" w:rsidRPr="00BE019A">
        <w:rPr>
          <w:rFonts w:cs="Arial"/>
          <w:szCs w:val="20"/>
        </w:rPr>
        <w:t>w</w:t>
      </w:r>
      <w:r w:rsidR="00486A19">
        <w:rPr>
          <w:rFonts w:cs="Arial"/>
          <w:szCs w:val="20"/>
        </w:rPr>
        <w:t>as</w:t>
      </w:r>
      <w:r w:rsidR="00486A19" w:rsidRPr="00BE019A">
        <w:rPr>
          <w:rFonts w:cs="Arial"/>
          <w:szCs w:val="20"/>
        </w:rPr>
        <w:t xml:space="preserve"> </w:t>
      </w:r>
      <w:r w:rsidRPr="00BE019A">
        <w:rPr>
          <w:rFonts w:cs="Arial"/>
          <w:szCs w:val="20"/>
        </w:rPr>
        <w:t xml:space="preserve">provided by Program 15. </w:t>
      </w:r>
      <w:r w:rsidR="00A81AE5">
        <w:br w:type="page"/>
      </w:r>
    </w:p>
    <w:p w:rsidR="005660B2" w:rsidRPr="00305272" w:rsidRDefault="00305272" w:rsidP="00305272">
      <w:pPr>
        <w:pStyle w:val="Heading3"/>
      </w:pPr>
      <w:bookmarkStart w:id="34" w:name="_Toc393956055"/>
      <w:r w:rsidRPr="00305272">
        <w:lastRenderedPageBreak/>
        <w:t>Program 11</w:t>
      </w:r>
      <w:r w:rsidRPr="00305272">
        <w:tab/>
        <w:t xml:space="preserve">The </w:t>
      </w:r>
      <w:r w:rsidR="00B73AC5">
        <w:t>WIPO</w:t>
      </w:r>
      <w:r w:rsidRPr="00305272">
        <w:t xml:space="preserve"> Academy</w:t>
      </w:r>
      <w:bookmarkEnd w:id="34"/>
    </w:p>
    <w:p w:rsidR="005660B2" w:rsidRPr="008F6DAD" w:rsidRDefault="005660B2" w:rsidP="005660B2">
      <w:pPr>
        <w:rPr>
          <w:rFonts w:cs="Arial"/>
          <w:sz w:val="22"/>
          <w:szCs w:val="22"/>
        </w:rPr>
      </w:pPr>
    </w:p>
    <w:p w:rsidR="005660B2" w:rsidRPr="00982926" w:rsidRDefault="005660B2" w:rsidP="005660B2">
      <w:pPr>
        <w:tabs>
          <w:tab w:val="left" w:pos="2268"/>
        </w:tabs>
        <w:rPr>
          <w:rFonts w:cs="Arial"/>
          <w:b/>
          <w:sz w:val="22"/>
          <w:szCs w:val="22"/>
        </w:rPr>
      </w:pPr>
      <w:r w:rsidRPr="00982926">
        <w:rPr>
          <w:rFonts w:cs="Arial"/>
          <w:b/>
          <w:sz w:val="22"/>
          <w:szCs w:val="22"/>
        </w:rPr>
        <w:t>Program Manager</w:t>
      </w:r>
      <w:r w:rsidRPr="00982926">
        <w:rPr>
          <w:rFonts w:cs="Arial"/>
          <w:b/>
          <w:sz w:val="22"/>
          <w:szCs w:val="22"/>
        </w:rPr>
        <w:tab/>
      </w:r>
      <w:r w:rsidRPr="00982926">
        <w:rPr>
          <w:rFonts w:cs="Arial"/>
          <w:b/>
          <w:sz w:val="22"/>
          <w:szCs w:val="22"/>
        </w:rPr>
        <w:tab/>
        <w:t>Mr. G. Onyeama</w:t>
      </w:r>
    </w:p>
    <w:p w:rsidR="005660B2" w:rsidRPr="008F6DAD" w:rsidRDefault="005660B2" w:rsidP="005660B2">
      <w:pPr>
        <w:rPr>
          <w:rFonts w:cs="Arial"/>
          <w:sz w:val="22"/>
          <w:szCs w:val="22"/>
        </w:rPr>
      </w:pPr>
    </w:p>
    <w:p w:rsidR="005660B2" w:rsidRPr="008F6DAD" w:rsidRDefault="005660B2" w:rsidP="005660B2">
      <w:pPr>
        <w:rPr>
          <w:rFonts w:cs="Arial"/>
          <w:bCs/>
          <w:sz w:val="22"/>
          <w:szCs w:val="22"/>
        </w:rPr>
      </w:pPr>
    </w:p>
    <w:p w:rsidR="005660B2" w:rsidRPr="008F6DAD" w:rsidRDefault="005660B2" w:rsidP="005660B2">
      <w:pPr>
        <w:spacing w:line="260" w:lineRule="atLeast"/>
        <w:rPr>
          <w:rFonts w:cs="Arial"/>
          <w:bCs/>
          <w:sz w:val="22"/>
          <w:szCs w:val="22"/>
        </w:rPr>
      </w:pPr>
      <w:r w:rsidRPr="008F6DAD">
        <w:rPr>
          <w:rFonts w:cs="Arial"/>
          <w:bCs/>
          <w:sz w:val="22"/>
          <w:szCs w:val="22"/>
        </w:rPr>
        <w:t>ACHIEVEMENTS IN THE 2012/</w:t>
      </w:r>
      <w:r w:rsidR="00F21199">
        <w:rPr>
          <w:rFonts w:cs="Arial"/>
          <w:bCs/>
          <w:sz w:val="22"/>
          <w:szCs w:val="22"/>
        </w:rPr>
        <w:t>1</w:t>
      </w:r>
      <w:r w:rsidRPr="008F6DAD">
        <w:rPr>
          <w:rFonts w:cs="Arial"/>
          <w:bCs/>
          <w:sz w:val="22"/>
          <w:szCs w:val="22"/>
        </w:rPr>
        <w:t>3 BIENNIUM</w:t>
      </w:r>
    </w:p>
    <w:p w:rsidR="005660B2" w:rsidRPr="008F6DAD" w:rsidRDefault="005660B2" w:rsidP="005660B2">
      <w:pPr>
        <w:autoSpaceDE w:val="0"/>
        <w:autoSpaceDN w:val="0"/>
        <w:adjustRightInd w:val="0"/>
        <w:rPr>
          <w:rFonts w:cs="Arial"/>
          <w:sz w:val="22"/>
          <w:szCs w:val="22"/>
        </w:rPr>
      </w:pPr>
    </w:p>
    <w:p w:rsidR="005660B2" w:rsidRPr="008F6DAD" w:rsidRDefault="005660B2" w:rsidP="005703CF">
      <w:pPr>
        <w:pStyle w:val="ListParagraph"/>
        <w:numPr>
          <w:ilvl w:val="0"/>
          <w:numId w:val="39"/>
        </w:numPr>
        <w:tabs>
          <w:tab w:val="left" w:pos="709"/>
        </w:tabs>
        <w:autoSpaceDE w:val="0"/>
        <w:autoSpaceDN w:val="0"/>
        <w:adjustRightInd w:val="0"/>
        <w:ind w:left="0" w:firstLine="0"/>
        <w:jc w:val="both"/>
        <w:rPr>
          <w:rFonts w:cs="Arial"/>
          <w:bCs/>
          <w:color w:val="000000"/>
        </w:rPr>
      </w:pPr>
      <w:r w:rsidRPr="008F6DAD">
        <w:rPr>
          <w:rFonts w:cs="Arial"/>
          <w:bCs/>
          <w:color w:val="000000"/>
        </w:rPr>
        <w:t>In 2012/13, the Academy</w:t>
      </w:r>
      <w:r w:rsidRPr="008F6DAD">
        <w:rPr>
          <w:rFonts w:cs="Arial"/>
          <w:b/>
          <w:bCs/>
          <w:color w:val="000000"/>
        </w:rPr>
        <w:t xml:space="preserve"> </w:t>
      </w:r>
      <w:r w:rsidRPr="008F6DAD">
        <w:rPr>
          <w:rFonts w:cs="Arial"/>
          <w:bCs/>
          <w:color w:val="000000"/>
        </w:rPr>
        <w:t xml:space="preserve">continued to organize a diversified range of training and teaching activities to meet the capacity building requirements of developing countries, LDCs and countries in transition through a combination of: </w:t>
      </w:r>
      <w:r>
        <w:rPr>
          <w:rFonts w:cs="Arial"/>
          <w:bCs/>
          <w:color w:val="000000"/>
        </w:rPr>
        <w:t xml:space="preserve"> </w:t>
      </w:r>
      <w:r w:rsidRPr="008F6DAD">
        <w:rPr>
          <w:rFonts w:cs="Arial"/>
          <w:bCs/>
          <w:color w:val="000000"/>
        </w:rPr>
        <w:t xml:space="preserve">(i) face-to-face training activities for government officials from industrial property and copyright Offices and other public sector institutions that are directly or indirectly involved in the management of and international negotiations related to IP (Professional Development Program); </w:t>
      </w:r>
      <w:r>
        <w:rPr>
          <w:rFonts w:cs="Arial"/>
          <w:bCs/>
          <w:color w:val="000000"/>
        </w:rPr>
        <w:t xml:space="preserve"> </w:t>
      </w:r>
      <w:r w:rsidRPr="008F6DAD">
        <w:rPr>
          <w:rFonts w:cs="Arial"/>
          <w:bCs/>
          <w:color w:val="000000"/>
        </w:rPr>
        <w:t xml:space="preserve">(ii) a portfolio of 14 distance learning (DL) courses in 11 languages (Distance Learning Program); </w:t>
      </w:r>
      <w:r>
        <w:rPr>
          <w:rFonts w:cs="Arial"/>
          <w:bCs/>
          <w:color w:val="000000"/>
        </w:rPr>
        <w:t xml:space="preserve"> </w:t>
      </w:r>
      <w:r w:rsidRPr="008F6DAD">
        <w:rPr>
          <w:rFonts w:cs="Arial"/>
          <w:bCs/>
          <w:color w:val="000000"/>
        </w:rPr>
        <w:t xml:space="preserve">and (iii) a number of joint master programs on IP law and other activities for the promotion of higher education on IP (Academic Institutions Program), as well specific activities for students and young IP professionals (Summer Schools Program) and executives involved in the management of IP (Executive Program). </w:t>
      </w:r>
    </w:p>
    <w:p w:rsidR="005660B2" w:rsidRPr="008F6DAD" w:rsidRDefault="005660B2" w:rsidP="005660B2">
      <w:pPr>
        <w:tabs>
          <w:tab w:val="left" w:pos="709"/>
        </w:tabs>
        <w:autoSpaceDE w:val="0"/>
        <w:autoSpaceDN w:val="0"/>
        <w:adjustRightInd w:val="0"/>
        <w:jc w:val="both"/>
        <w:rPr>
          <w:rFonts w:cs="Arial"/>
          <w:bCs/>
          <w:color w:val="000000"/>
          <w:szCs w:val="20"/>
        </w:rPr>
      </w:pPr>
    </w:p>
    <w:p w:rsidR="005660B2" w:rsidRPr="008F6DAD" w:rsidRDefault="005660B2" w:rsidP="005703CF">
      <w:pPr>
        <w:pStyle w:val="ListParagraph"/>
        <w:numPr>
          <w:ilvl w:val="0"/>
          <w:numId w:val="39"/>
        </w:numPr>
        <w:tabs>
          <w:tab w:val="left" w:pos="709"/>
        </w:tabs>
        <w:autoSpaceDE w:val="0"/>
        <w:autoSpaceDN w:val="0"/>
        <w:adjustRightInd w:val="0"/>
        <w:ind w:left="0" w:firstLine="0"/>
        <w:jc w:val="both"/>
        <w:rPr>
          <w:rFonts w:cs="Arial"/>
          <w:bCs/>
          <w:color w:val="000000"/>
        </w:rPr>
      </w:pPr>
      <w:r w:rsidRPr="008F6DAD">
        <w:rPr>
          <w:rFonts w:cs="Arial"/>
          <w:bCs/>
          <w:color w:val="000000"/>
        </w:rPr>
        <w:t>With regard to the Professional Development Program, in 2012/13, the Academy organized 46</w:t>
      </w:r>
      <w:r>
        <w:rPr>
          <w:rFonts w:cs="Arial"/>
          <w:bCs/>
          <w:color w:val="000000"/>
        </w:rPr>
        <w:t> </w:t>
      </w:r>
      <w:r w:rsidRPr="008F6DAD">
        <w:rPr>
          <w:rFonts w:cs="Arial"/>
          <w:bCs/>
          <w:color w:val="000000"/>
        </w:rPr>
        <w:t>training courses in partnership with the industrial property and/or copyright authorities of Algeria, Austria, Canada, Cuba, the Czech Republic, Egypt, Finland, France, Germany, Honduras, Israel, Mexico, Morocco, Norway, Portugal, Spain, Sweden, Switzerland, Thailand, the United Kingdom, the United States of America and Uruguay as well as the World Trade Organization (WTO) and the “</w:t>
      </w:r>
      <w:r w:rsidRPr="008F6DAD">
        <w:rPr>
          <w:rFonts w:cs="Arial"/>
          <w:bCs/>
          <w:i/>
          <w:color w:val="000000"/>
        </w:rPr>
        <w:t>Centre d’Études Internationales de la Propriété Intellectuelle</w:t>
      </w:r>
      <w:r w:rsidRPr="008F6DAD">
        <w:rPr>
          <w:rFonts w:cs="Arial"/>
          <w:bCs/>
          <w:color w:val="000000"/>
        </w:rPr>
        <w:t xml:space="preserve"> (CEIPI)”, in Strasbourg, France. </w:t>
      </w:r>
      <w:r>
        <w:rPr>
          <w:rFonts w:cs="Arial"/>
          <w:bCs/>
          <w:color w:val="000000"/>
        </w:rPr>
        <w:t xml:space="preserve"> </w:t>
      </w:r>
      <w:r w:rsidRPr="008F6DAD">
        <w:rPr>
          <w:rFonts w:cs="Arial"/>
          <w:bCs/>
          <w:color w:val="000000"/>
        </w:rPr>
        <w:t xml:space="preserve">A total of 484 participants from developing countries, LDCs and countries with economies in transition benefited from these activities.  The courses covered the following main topics: </w:t>
      </w:r>
      <w:r>
        <w:rPr>
          <w:rFonts w:cs="Arial"/>
          <w:bCs/>
          <w:color w:val="000000"/>
        </w:rPr>
        <w:t xml:space="preserve"> </w:t>
      </w:r>
      <w:r w:rsidRPr="008F6DAD">
        <w:rPr>
          <w:rFonts w:cs="Arial"/>
          <w:bCs/>
          <w:color w:val="000000"/>
        </w:rPr>
        <w:t>copyright and related rights; patent search and examination</w:t>
      </w:r>
      <w:proofErr w:type="gramStart"/>
      <w:r w:rsidRPr="008F6DAD">
        <w:rPr>
          <w:rFonts w:cs="Arial"/>
          <w:bCs/>
          <w:color w:val="000000"/>
        </w:rPr>
        <w:t xml:space="preserve">; </w:t>
      </w:r>
      <w:r>
        <w:rPr>
          <w:rFonts w:cs="Arial"/>
          <w:bCs/>
          <w:color w:val="000000"/>
        </w:rPr>
        <w:t xml:space="preserve"> </w:t>
      </w:r>
      <w:r w:rsidRPr="008F6DAD">
        <w:rPr>
          <w:rFonts w:cs="Arial"/>
          <w:bCs/>
          <w:color w:val="000000"/>
        </w:rPr>
        <w:t>patent</w:t>
      </w:r>
      <w:proofErr w:type="gramEnd"/>
      <w:r w:rsidRPr="008F6DAD">
        <w:rPr>
          <w:rFonts w:cs="Arial"/>
          <w:bCs/>
          <w:color w:val="000000"/>
        </w:rPr>
        <w:t xml:space="preserve"> information and documentation; </w:t>
      </w:r>
      <w:r>
        <w:rPr>
          <w:rFonts w:cs="Arial"/>
          <w:bCs/>
          <w:color w:val="000000"/>
        </w:rPr>
        <w:t xml:space="preserve"> </w:t>
      </w:r>
      <w:r w:rsidRPr="008F6DAD">
        <w:rPr>
          <w:rFonts w:cs="Arial"/>
          <w:bCs/>
          <w:color w:val="000000"/>
        </w:rPr>
        <w:t xml:space="preserve">emerging IP issues for policy makers; </w:t>
      </w:r>
      <w:r>
        <w:rPr>
          <w:rFonts w:cs="Arial"/>
          <w:bCs/>
          <w:color w:val="000000"/>
        </w:rPr>
        <w:t xml:space="preserve"> </w:t>
      </w:r>
      <w:r w:rsidRPr="008F6DAD">
        <w:rPr>
          <w:rFonts w:cs="Arial"/>
          <w:bCs/>
          <w:color w:val="000000"/>
        </w:rPr>
        <w:t xml:space="preserve">trademark law and practice; </w:t>
      </w:r>
      <w:r>
        <w:rPr>
          <w:rFonts w:cs="Arial"/>
          <w:bCs/>
          <w:color w:val="000000"/>
        </w:rPr>
        <w:t xml:space="preserve"> </w:t>
      </w:r>
      <w:r w:rsidRPr="008F6DAD">
        <w:rPr>
          <w:rFonts w:cs="Arial"/>
          <w:bCs/>
          <w:color w:val="000000"/>
        </w:rPr>
        <w:t xml:space="preserve">and IP office management. </w:t>
      </w:r>
      <w:r>
        <w:rPr>
          <w:rFonts w:cs="Arial"/>
          <w:bCs/>
          <w:color w:val="000000"/>
        </w:rPr>
        <w:t xml:space="preserve"> </w:t>
      </w:r>
      <w:r w:rsidRPr="008F6DAD">
        <w:rPr>
          <w:rFonts w:cs="Arial"/>
          <w:bCs/>
          <w:color w:val="000000"/>
        </w:rPr>
        <w:t>In 2013, the Program focused on a review of the structure and content of its portfolio, identifying new partners, particularly in developing regions, and improving coordination of WIPOs human capacity building activities across the Organization.</w:t>
      </w:r>
    </w:p>
    <w:p w:rsidR="005660B2" w:rsidRPr="008F6DAD" w:rsidRDefault="005660B2" w:rsidP="005660B2">
      <w:pPr>
        <w:autoSpaceDE w:val="0"/>
        <w:autoSpaceDN w:val="0"/>
        <w:adjustRightInd w:val="0"/>
        <w:jc w:val="both"/>
        <w:rPr>
          <w:rFonts w:cs="Arial"/>
          <w:bCs/>
          <w:color w:val="000000"/>
          <w:szCs w:val="20"/>
        </w:rPr>
      </w:pPr>
    </w:p>
    <w:p w:rsidR="005660B2" w:rsidRPr="008B4D5D" w:rsidRDefault="005660B2" w:rsidP="00CD26D6">
      <w:pPr>
        <w:autoSpaceDE w:val="0"/>
        <w:autoSpaceDN w:val="0"/>
        <w:adjustRightInd w:val="0"/>
        <w:jc w:val="center"/>
        <w:rPr>
          <w:rFonts w:cs="Arial"/>
          <w:bCs/>
          <w:color w:val="000000"/>
          <w:sz w:val="22"/>
          <w:szCs w:val="22"/>
        </w:rPr>
      </w:pPr>
      <w:r w:rsidRPr="00B62C99">
        <w:rPr>
          <w:rFonts w:cs="Arial"/>
          <w:i/>
          <w:sz w:val="22"/>
          <w:szCs w:val="22"/>
        </w:rPr>
        <w:t>Geographical Distribution of Participants in Professional Development Program, 2012-2013</w:t>
      </w:r>
    </w:p>
    <w:p w:rsidR="005660B2" w:rsidRDefault="005660B2" w:rsidP="005660B2">
      <w:pPr>
        <w:autoSpaceDE w:val="0"/>
        <w:autoSpaceDN w:val="0"/>
        <w:adjustRightInd w:val="0"/>
        <w:jc w:val="both"/>
        <w:rPr>
          <w:rFonts w:cs="Arial"/>
          <w:bCs/>
          <w:color w:val="000000"/>
          <w:sz w:val="22"/>
          <w:szCs w:val="22"/>
        </w:rPr>
      </w:pPr>
    </w:p>
    <w:p w:rsidR="005660B2" w:rsidRPr="003813EB" w:rsidRDefault="005660B2" w:rsidP="005660B2">
      <w:pPr>
        <w:autoSpaceDE w:val="0"/>
        <w:autoSpaceDN w:val="0"/>
        <w:adjustRightInd w:val="0"/>
        <w:jc w:val="both"/>
        <w:rPr>
          <w:rFonts w:cs="Arial"/>
          <w:bCs/>
          <w:color w:val="000000"/>
          <w:sz w:val="22"/>
          <w:szCs w:val="22"/>
        </w:rPr>
      </w:pPr>
    </w:p>
    <w:tbl>
      <w:tblPr>
        <w:tblW w:w="0" w:type="auto"/>
        <w:tblInd w:w="2392" w:type="dxa"/>
        <w:tblBorders>
          <w:insideH w:val="single" w:sz="4" w:space="0" w:color="auto"/>
        </w:tblBorders>
        <w:tblLook w:val="00A0" w:firstRow="1" w:lastRow="0" w:firstColumn="1" w:lastColumn="0" w:noHBand="0" w:noVBand="0"/>
      </w:tblPr>
      <w:tblGrid>
        <w:gridCol w:w="1169"/>
        <w:gridCol w:w="1170"/>
        <w:gridCol w:w="1169"/>
        <w:gridCol w:w="1170"/>
      </w:tblGrid>
      <w:tr w:rsidR="005660B2" w:rsidRPr="00B91E1F" w:rsidTr="0068151C">
        <w:tc>
          <w:tcPr>
            <w:tcW w:w="1169" w:type="dxa"/>
          </w:tcPr>
          <w:p w:rsidR="005660B2" w:rsidRPr="00B91E1F" w:rsidRDefault="005660B2" w:rsidP="0068151C">
            <w:pPr>
              <w:jc w:val="right"/>
              <w:rPr>
                <w:rFonts w:ascii="Garamond" w:hAnsi="Garamond"/>
                <w:b/>
                <w:sz w:val="24"/>
              </w:rPr>
            </w:pPr>
            <w:r w:rsidRPr="00B91E1F">
              <w:rPr>
                <w:rFonts w:ascii="Garamond" w:hAnsi="Garamond"/>
                <w:b/>
                <w:sz w:val="24"/>
              </w:rPr>
              <w:t>2012</w:t>
            </w:r>
          </w:p>
        </w:tc>
        <w:tc>
          <w:tcPr>
            <w:tcW w:w="1170" w:type="dxa"/>
          </w:tcPr>
          <w:p w:rsidR="005660B2" w:rsidRPr="00B91E1F" w:rsidRDefault="005660B2" w:rsidP="0068151C">
            <w:pPr>
              <w:rPr>
                <w:rFonts w:ascii="Garamond" w:hAnsi="Garamond"/>
                <w:b/>
                <w:sz w:val="24"/>
              </w:rPr>
            </w:pPr>
          </w:p>
        </w:tc>
        <w:tc>
          <w:tcPr>
            <w:tcW w:w="1169" w:type="dxa"/>
          </w:tcPr>
          <w:p w:rsidR="005660B2" w:rsidRPr="00B91E1F" w:rsidRDefault="005660B2" w:rsidP="0068151C">
            <w:pPr>
              <w:rPr>
                <w:rFonts w:ascii="Garamond" w:hAnsi="Garamond"/>
                <w:b/>
                <w:sz w:val="24"/>
              </w:rPr>
            </w:pPr>
          </w:p>
        </w:tc>
        <w:tc>
          <w:tcPr>
            <w:tcW w:w="1170" w:type="dxa"/>
          </w:tcPr>
          <w:p w:rsidR="005660B2" w:rsidRPr="00B91E1F" w:rsidRDefault="005660B2" w:rsidP="0068151C">
            <w:pPr>
              <w:jc w:val="center"/>
              <w:rPr>
                <w:rFonts w:ascii="Garamond" w:hAnsi="Garamond"/>
                <w:b/>
                <w:sz w:val="24"/>
              </w:rPr>
            </w:pPr>
            <w:r w:rsidRPr="00B91E1F">
              <w:rPr>
                <w:rFonts w:ascii="Garamond" w:hAnsi="Garamond"/>
                <w:b/>
                <w:sz w:val="24"/>
              </w:rPr>
              <w:t>2013</w:t>
            </w:r>
          </w:p>
        </w:tc>
      </w:tr>
    </w:tbl>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r>
        <w:rPr>
          <w:rFonts w:ascii="Garamond" w:hAnsi="Garamond"/>
          <w:noProof/>
          <w:sz w:val="24"/>
        </w:rPr>
        <mc:AlternateContent>
          <mc:Choice Requires="wpg">
            <w:drawing>
              <wp:inline distT="0" distB="0" distL="0" distR="0" wp14:anchorId="3F19F9BB" wp14:editId="628E615C">
                <wp:extent cx="5889625" cy="1733550"/>
                <wp:effectExtent l="0" t="0" r="0" b="0"/>
                <wp:docPr id="11" name="Group 11"/>
                <wp:cNvGraphicFramePr/>
                <a:graphic xmlns:a="http://schemas.openxmlformats.org/drawingml/2006/main">
                  <a:graphicData uri="http://schemas.microsoft.com/office/word/2010/wordprocessingGroup">
                    <wpg:wgp>
                      <wpg:cNvGrpSpPr/>
                      <wpg:grpSpPr>
                        <a:xfrm>
                          <a:off x="0" y="0"/>
                          <a:ext cx="5889625" cy="1733550"/>
                          <a:chOff x="0" y="0"/>
                          <a:chExt cx="5890161" cy="1733798"/>
                        </a:xfrm>
                      </wpg:grpSpPr>
                      <wpg:graphicFrame>
                        <wpg:cNvPr id="12" name="Chart 12"/>
                        <wpg:cNvFrPr/>
                        <wpg:xfrm>
                          <a:off x="0" y="11876"/>
                          <a:ext cx="2945081" cy="1721922"/>
                        </wpg:xfrm>
                        <a:graphic>
                          <a:graphicData uri="http://schemas.openxmlformats.org/drawingml/2006/chart">
                            <c:chart xmlns:c="http://schemas.openxmlformats.org/drawingml/2006/chart" xmlns:r="http://schemas.openxmlformats.org/officeDocument/2006/relationships" r:id="rId52"/>
                          </a:graphicData>
                        </a:graphic>
                      </wpg:graphicFrame>
                      <wpg:graphicFrame>
                        <wpg:cNvPr id="15" name="Chart 15"/>
                        <wpg:cNvFrPr/>
                        <wpg:xfrm>
                          <a:off x="2897580" y="0"/>
                          <a:ext cx="2992581" cy="1721922"/>
                        </wpg:xfrm>
                        <a:graphic>
                          <a:graphicData uri="http://schemas.openxmlformats.org/drawingml/2006/chart">
                            <c:chart xmlns:c="http://schemas.openxmlformats.org/drawingml/2006/chart" xmlns:r="http://schemas.openxmlformats.org/officeDocument/2006/relationships" r:id="rId53"/>
                          </a:graphicData>
                        </a:graphic>
                      </wpg:graphicFrame>
                    </wpg:wgp>
                  </a:graphicData>
                </a:graphic>
              </wp:inline>
            </w:drawing>
          </mc:Choice>
          <mc:Fallback>
            <w:pict>
              <v:group id="Group 11" o:spid="_x0000_s1026" style="width:463.75pt;height:136.5pt;mso-position-horizontal-relative:char;mso-position-vertical-relative:line" coordsize="58901,17337"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">
                <v:shape id="Chart 12" o:spid="_x0000_s1027" type="#_x0000_t75" style="position:absolute;top:121;width:29446;height:1719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">
                  <v:imagedata r:id="rId55" o:title=""/>
                  <o:lock v:ext="edit" aspectratio="f"/>
                </v:shape>
                <v:shape id="Chart 15" o:spid="_x0000_s1028" type="#_x0000_t75" style="position:absolute;left:28958;width:29934;height:1719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">
                  <v:imagedata r:id="rId56" o:title=""/>
                  <o:lock v:ext="edit" aspectratio="f"/>
                </v:shape>
                <w10:anchorlock/>
              </v:group>
              <o:OLEObject Type="Embed" ProgID="Excel.Chart.8" ShapeID="Chart 12" DrawAspect="Content" ObjectID="_1465235351" r:id="rId57">
                <o:FieldCodes>\s</o:FieldCodes>
              </o:OLEObject>
              <o:OLEObject Type="Embed" ProgID="Excel.Chart.8" ShapeID="Chart 15" DrawAspect="Content" ObjectID="_1465235352" r:id="rId58">
                <o:FieldCodes>\s</o:FieldCodes>
              </o:OLEObject>
            </w:pict>
          </mc:Fallback>
        </mc:AlternateContent>
      </w:r>
    </w:p>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p>
    <w:p w:rsidR="005660B2" w:rsidRPr="008F6DAD" w:rsidRDefault="005660B2" w:rsidP="005703CF">
      <w:pPr>
        <w:pStyle w:val="ListParagraph"/>
        <w:numPr>
          <w:ilvl w:val="0"/>
          <w:numId w:val="39"/>
        </w:numPr>
        <w:tabs>
          <w:tab w:val="left" w:pos="709"/>
        </w:tabs>
        <w:autoSpaceDE w:val="0"/>
        <w:autoSpaceDN w:val="0"/>
        <w:adjustRightInd w:val="0"/>
        <w:ind w:left="0" w:firstLine="0"/>
        <w:jc w:val="both"/>
        <w:rPr>
          <w:rFonts w:eastAsia="MS Mincho" w:cs="Arial"/>
          <w:lang w:eastAsia="ja-JP"/>
        </w:rPr>
      </w:pPr>
      <w:r w:rsidRPr="008F6DAD">
        <w:rPr>
          <w:rFonts w:eastAsia="MS Mincho" w:cs="Arial"/>
          <w:lang w:eastAsia="ja-JP"/>
        </w:rPr>
        <w:t xml:space="preserve">The Distance Learning Program (DL) continued to attract students and other participants from all over the world. </w:t>
      </w:r>
      <w:r>
        <w:rPr>
          <w:rFonts w:eastAsia="MS Mincho" w:cs="Arial"/>
          <w:lang w:eastAsia="ja-JP"/>
        </w:rPr>
        <w:t xml:space="preserve"> </w:t>
      </w:r>
      <w:r w:rsidRPr="008F6DAD">
        <w:rPr>
          <w:rFonts w:eastAsia="MS Mincho" w:cs="Arial"/>
          <w:lang w:eastAsia="ja-JP"/>
        </w:rPr>
        <w:t xml:space="preserve">During the biennium, some 81,484 persons (approximately 75,000 under its introductory courses and 5,000 under its advanced courses) from 189 countries benefited from the multilingual activities (11 languages) and the state of the art e-learning Centre (WeLC) platform implemented at the end of 2011.  The Academy continued to revise DL course content with a view to updating it and aligning it with the objectives of the Development Agenda.  In this regard, over 100 professionals from the six beneficiary countries covered under the </w:t>
      </w:r>
      <w:r w:rsidRPr="008F6DAD">
        <w:rPr>
          <w:rFonts w:cs="Arial"/>
          <w:bCs/>
          <w:color w:val="000000"/>
        </w:rPr>
        <w:t xml:space="preserve">Start-up Academies Project </w:t>
      </w:r>
      <w:r w:rsidRPr="008F6DAD">
        <w:rPr>
          <w:rFonts w:eastAsia="MS Mincho" w:cs="Arial"/>
          <w:lang w:eastAsia="ja-JP"/>
        </w:rPr>
        <w:t>were trained under a special “train the trainers” session for potential e-learning tutors</w:t>
      </w:r>
      <w:r>
        <w:rPr>
          <w:rFonts w:eastAsia="MS Mincho" w:cs="Arial"/>
          <w:lang w:eastAsia="ja-JP"/>
        </w:rPr>
        <w:t>.</w:t>
      </w:r>
      <w:r w:rsidRPr="008F6DAD">
        <w:rPr>
          <w:rFonts w:eastAsia="MS Mincho" w:cs="Arial"/>
          <w:lang w:eastAsia="ja-JP"/>
        </w:rPr>
        <w:t xml:space="preserve">  A number of tailor-made sessions were also organized with: </w:t>
      </w:r>
      <w:r>
        <w:rPr>
          <w:rFonts w:eastAsia="MS Mincho" w:cs="Arial"/>
          <w:lang w:eastAsia="ja-JP"/>
        </w:rPr>
        <w:t xml:space="preserve"> </w:t>
      </w:r>
      <w:r w:rsidRPr="008F6DAD">
        <w:rPr>
          <w:rFonts w:eastAsia="MS Mincho" w:cs="Arial"/>
          <w:lang w:eastAsia="ja-JP"/>
        </w:rPr>
        <w:t xml:space="preserve">(i) IP Offices (Brazil, </w:t>
      </w:r>
      <w:r w:rsidR="009B76E1" w:rsidRPr="008F6DAD">
        <w:rPr>
          <w:rFonts w:eastAsia="MS Mincho" w:cs="Arial"/>
          <w:lang w:eastAsia="ja-JP"/>
        </w:rPr>
        <w:t>China</w:t>
      </w:r>
      <w:r w:rsidR="009B76E1">
        <w:rPr>
          <w:rFonts w:eastAsia="MS Mincho" w:cs="Arial"/>
          <w:lang w:eastAsia="ja-JP"/>
        </w:rPr>
        <w:t>,</w:t>
      </w:r>
      <w:r w:rsidR="009B76E1" w:rsidRPr="008F6DAD">
        <w:rPr>
          <w:rFonts w:eastAsia="MS Mincho" w:cs="Arial"/>
          <w:lang w:eastAsia="ja-JP"/>
        </w:rPr>
        <w:t xml:space="preserve"> </w:t>
      </w:r>
      <w:r w:rsidRPr="008F6DAD">
        <w:rPr>
          <w:rFonts w:eastAsia="MS Mincho" w:cs="Arial"/>
          <w:lang w:eastAsia="ja-JP"/>
        </w:rPr>
        <w:t>Mexico</w:t>
      </w:r>
      <w:r w:rsidR="009B76E1">
        <w:rPr>
          <w:rFonts w:eastAsia="MS Mincho" w:cs="Arial"/>
          <w:lang w:eastAsia="ja-JP"/>
        </w:rPr>
        <w:t xml:space="preserve"> and</w:t>
      </w:r>
      <w:r w:rsidR="009B76E1" w:rsidRPr="008F6DAD">
        <w:rPr>
          <w:rFonts w:eastAsia="MS Mincho" w:cs="Arial"/>
          <w:lang w:eastAsia="ja-JP"/>
        </w:rPr>
        <w:t xml:space="preserve"> </w:t>
      </w:r>
      <w:r w:rsidRPr="008F6DAD">
        <w:rPr>
          <w:rFonts w:eastAsia="MS Mincho" w:cs="Arial"/>
          <w:lang w:eastAsia="ja-JP"/>
        </w:rPr>
        <w:t xml:space="preserve">the Russian Federation); </w:t>
      </w:r>
      <w:r>
        <w:rPr>
          <w:rFonts w:eastAsia="MS Mincho" w:cs="Arial"/>
          <w:lang w:eastAsia="ja-JP"/>
        </w:rPr>
        <w:t xml:space="preserve"> </w:t>
      </w:r>
      <w:r w:rsidRPr="008F6DAD">
        <w:rPr>
          <w:rFonts w:eastAsia="MS Mincho" w:cs="Arial"/>
          <w:lang w:eastAsia="ja-JP"/>
        </w:rPr>
        <w:t xml:space="preserve">(ii) other interested national institutions (Brazil, Bulgaria, China, Croatia, Honduras, Mexico, the Republic of Korea, Serbia </w:t>
      </w:r>
      <w:r w:rsidRPr="008F6DAD">
        <w:rPr>
          <w:rFonts w:eastAsia="MS Mincho" w:cs="Arial"/>
          <w:lang w:eastAsia="ja-JP"/>
        </w:rPr>
        <w:lastRenderedPageBreak/>
        <w:t xml:space="preserve">and </w:t>
      </w:r>
      <w:r w:rsidRPr="008F6DAD">
        <w:rPr>
          <w:rFonts w:cs="Arial"/>
        </w:rPr>
        <w:t>the African Regional Intellectual Property Organization</w:t>
      </w:r>
      <w:r w:rsidRPr="008F6DAD">
        <w:rPr>
          <w:rFonts w:eastAsia="MS Mincho" w:cs="Arial"/>
          <w:lang w:eastAsia="ja-JP"/>
        </w:rPr>
        <w:t xml:space="preserve"> (ARIPO)); </w:t>
      </w:r>
      <w:r>
        <w:rPr>
          <w:rFonts w:eastAsia="MS Mincho" w:cs="Arial"/>
          <w:lang w:eastAsia="ja-JP"/>
        </w:rPr>
        <w:t xml:space="preserve"> </w:t>
      </w:r>
      <w:r w:rsidRPr="008F6DAD">
        <w:rPr>
          <w:rFonts w:eastAsia="MS Mincho" w:cs="Arial"/>
          <w:lang w:eastAsia="ja-JP"/>
        </w:rPr>
        <w:t>(iii) TISCs (Ethiopia, the Philippines, the Russian Federation, and Uruguay)</w:t>
      </w:r>
      <w:r>
        <w:rPr>
          <w:rFonts w:eastAsia="MS Mincho" w:cs="Arial"/>
          <w:lang w:eastAsia="ja-JP"/>
        </w:rPr>
        <w:t xml:space="preserve">; </w:t>
      </w:r>
      <w:r w:rsidRPr="008F6DAD">
        <w:rPr>
          <w:rFonts w:eastAsia="MS Mincho" w:cs="Arial"/>
          <w:lang w:eastAsia="ja-JP"/>
        </w:rPr>
        <w:t xml:space="preserve"> and (iv) 11 universities.  Work was also carried out to develop three new courses on the Collective Management of Copyright and Related Rights</w:t>
      </w:r>
      <w:proofErr w:type="gramStart"/>
      <w:r w:rsidRPr="008F6DAD">
        <w:rPr>
          <w:rFonts w:eastAsia="MS Mincho" w:cs="Arial"/>
          <w:lang w:eastAsia="ja-JP"/>
        </w:rPr>
        <w:t xml:space="preserve">; </w:t>
      </w:r>
      <w:r>
        <w:rPr>
          <w:rFonts w:eastAsia="MS Mincho" w:cs="Arial"/>
          <w:lang w:eastAsia="ja-JP"/>
        </w:rPr>
        <w:t xml:space="preserve"> </w:t>
      </w:r>
      <w:r w:rsidRPr="008F6DAD">
        <w:rPr>
          <w:rFonts w:eastAsia="MS Mincho" w:cs="Arial"/>
          <w:lang w:eastAsia="ja-JP"/>
        </w:rPr>
        <w:t>IP</w:t>
      </w:r>
      <w:proofErr w:type="gramEnd"/>
      <w:r w:rsidRPr="008F6DAD">
        <w:rPr>
          <w:rFonts w:eastAsia="MS Mincho" w:cs="Arial"/>
          <w:lang w:eastAsia="ja-JP"/>
        </w:rPr>
        <w:t xml:space="preserve"> and Health; </w:t>
      </w:r>
      <w:r w:rsidR="009B76E1">
        <w:rPr>
          <w:rFonts w:eastAsia="MS Mincho" w:cs="Arial"/>
          <w:lang w:eastAsia="ja-JP"/>
        </w:rPr>
        <w:t xml:space="preserve"> </w:t>
      </w:r>
      <w:r w:rsidRPr="008F6DAD">
        <w:rPr>
          <w:rFonts w:eastAsia="MS Mincho" w:cs="Arial"/>
          <w:lang w:eastAsia="ja-JP"/>
        </w:rPr>
        <w:t>and the Economics of IP.  Progress was substantial but the complexity of the issues involved and other pressing priorities</w:t>
      </w:r>
      <w:r>
        <w:rPr>
          <w:rFonts w:eastAsia="MS Mincho" w:cs="Arial"/>
          <w:lang w:eastAsia="ja-JP"/>
        </w:rPr>
        <w:t>,</w:t>
      </w:r>
      <w:r w:rsidRPr="008F6DAD">
        <w:rPr>
          <w:rFonts w:eastAsia="MS Mincho" w:cs="Arial"/>
          <w:lang w:eastAsia="ja-JP"/>
        </w:rPr>
        <w:t xml:space="preserve"> such as the continuous review and update of existing modules; </w:t>
      </w:r>
      <w:r w:rsidR="009B76E1">
        <w:rPr>
          <w:rFonts w:eastAsia="MS Mincho" w:cs="Arial"/>
          <w:lang w:eastAsia="ja-JP"/>
        </w:rPr>
        <w:t xml:space="preserve"> </w:t>
      </w:r>
      <w:r w:rsidRPr="008F6DAD">
        <w:rPr>
          <w:rFonts w:eastAsia="MS Mincho" w:cs="Arial"/>
          <w:lang w:eastAsia="ja-JP"/>
        </w:rPr>
        <w:t xml:space="preserve">translation of courses into UN languages and increasing request for </w:t>
      </w:r>
      <w:r w:rsidRPr="0027745B">
        <w:rPr>
          <w:rFonts w:eastAsia="MS Mincho" w:cs="Arial"/>
          <w:i/>
          <w:lang w:eastAsia="ja-JP"/>
        </w:rPr>
        <w:t>ad hoc</w:t>
      </w:r>
      <w:r w:rsidRPr="008F6DAD">
        <w:rPr>
          <w:rFonts w:eastAsia="MS Mincho" w:cs="Arial"/>
          <w:lang w:eastAsia="ja-JP"/>
        </w:rPr>
        <w:t xml:space="preserve"> sessions</w:t>
      </w:r>
      <w:r>
        <w:rPr>
          <w:rFonts w:eastAsia="MS Mincho" w:cs="Arial"/>
          <w:lang w:eastAsia="ja-JP"/>
        </w:rPr>
        <w:t>,</w:t>
      </w:r>
      <w:r w:rsidRPr="008F6DAD">
        <w:rPr>
          <w:rFonts w:eastAsia="MS Mincho" w:cs="Arial"/>
          <w:lang w:eastAsia="ja-JP"/>
        </w:rPr>
        <w:t xml:space="preserve"> prevented completion of the new courses by the end of the biennium. </w:t>
      </w:r>
    </w:p>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p>
    <w:p w:rsidR="005660B2" w:rsidRPr="007B1CB7" w:rsidRDefault="005660B2" w:rsidP="005660B2">
      <w:pPr>
        <w:autoSpaceDE w:val="0"/>
        <w:autoSpaceDN w:val="0"/>
        <w:adjustRightInd w:val="0"/>
        <w:jc w:val="center"/>
        <w:rPr>
          <w:rFonts w:eastAsia="MS Mincho" w:cs="Arial"/>
          <w:sz w:val="22"/>
          <w:szCs w:val="22"/>
          <w:lang w:eastAsia="ja-JP"/>
        </w:rPr>
      </w:pPr>
      <w:r w:rsidRPr="00B62C99">
        <w:rPr>
          <w:rFonts w:cs="Arial"/>
          <w:i/>
          <w:sz w:val="22"/>
          <w:szCs w:val="22"/>
        </w:rPr>
        <w:t>Geographical Distribution of Participants in Distance Learning Program, 2012-2013</w:t>
      </w:r>
    </w:p>
    <w:tbl>
      <w:tblPr>
        <w:tblpPr w:leftFromText="180" w:rightFromText="180" w:vertAnchor="text" w:horzAnchor="page" w:tblpX="3613" w:tblpY="109"/>
        <w:tblW w:w="0" w:type="auto"/>
        <w:tblBorders>
          <w:insideH w:val="single" w:sz="4" w:space="0" w:color="auto"/>
        </w:tblBorders>
        <w:tblLook w:val="00A0" w:firstRow="1" w:lastRow="0" w:firstColumn="1" w:lastColumn="0" w:noHBand="0" w:noVBand="0"/>
      </w:tblPr>
      <w:tblGrid>
        <w:gridCol w:w="1169"/>
        <w:gridCol w:w="1170"/>
        <w:gridCol w:w="1169"/>
        <w:gridCol w:w="1170"/>
      </w:tblGrid>
      <w:tr w:rsidR="005660B2" w:rsidRPr="00B91E1F" w:rsidTr="0068151C">
        <w:tc>
          <w:tcPr>
            <w:tcW w:w="1169" w:type="dxa"/>
          </w:tcPr>
          <w:p w:rsidR="005660B2" w:rsidRPr="00B91E1F" w:rsidRDefault="005660B2" w:rsidP="0068151C">
            <w:pPr>
              <w:jc w:val="right"/>
              <w:rPr>
                <w:rFonts w:ascii="Garamond" w:hAnsi="Garamond"/>
                <w:b/>
                <w:sz w:val="24"/>
              </w:rPr>
            </w:pPr>
            <w:r w:rsidRPr="00B91E1F">
              <w:rPr>
                <w:rFonts w:ascii="Garamond" w:hAnsi="Garamond"/>
                <w:b/>
                <w:sz w:val="24"/>
              </w:rPr>
              <w:t>2012</w:t>
            </w:r>
          </w:p>
        </w:tc>
        <w:tc>
          <w:tcPr>
            <w:tcW w:w="1170" w:type="dxa"/>
          </w:tcPr>
          <w:p w:rsidR="005660B2" w:rsidRPr="00B91E1F" w:rsidRDefault="005660B2" w:rsidP="0068151C">
            <w:pPr>
              <w:rPr>
                <w:rFonts w:ascii="Garamond" w:hAnsi="Garamond"/>
                <w:b/>
                <w:sz w:val="24"/>
              </w:rPr>
            </w:pPr>
          </w:p>
        </w:tc>
        <w:tc>
          <w:tcPr>
            <w:tcW w:w="1169" w:type="dxa"/>
          </w:tcPr>
          <w:p w:rsidR="005660B2" w:rsidRPr="00B91E1F" w:rsidRDefault="005660B2" w:rsidP="0068151C">
            <w:pPr>
              <w:rPr>
                <w:rFonts w:ascii="Garamond" w:hAnsi="Garamond"/>
                <w:b/>
                <w:sz w:val="24"/>
              </w:rPr>
            </w:pPr>
          </w:p>
        </w:tc>
        <w:tc>
          <w:tcPr>
            <w:tcW w:w="1170" w:type="dxa"/>
          </w:tcPr>
          <w:p w:rsidR="005660B2" w:rsidRPr="00B91E1F" w:rsidRDefault="005660B2" w:rsidP="0068151C">
            <w:pPr>
              <w:jc w:val="center"/>
              <w:rPr>
                <w:rFonts w:ascii="Garamond" w:hAnsi="Garamond"/>
                <w:b/>
                <w:sz w:val="24"/>
              </w:rPr>
            </w:pPr>
            <w:r w:rsidRPr="00B91E1F">
              <w:rPr>
                <w:rFonts w:ascii="Garamond" w:hAnsi="Garamond"/>
                <w:b/>
                <w:sz w:val="24"/>
              </w:rPr>
              <w:t>2013</w:t>
            </w:r>
          </w:p>
        </w:tc>
      </w:tr>
    </w:tbl>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p>
    <w:p w:rsidR="005660B2" w:rsidRDefault="005660B2" w:rsidP="005660B2">
      <w:pPr>
        <w:autoSpaceDE w:val="0"/>
        <w:autoSpaceDN w:val="0"/>
        <w:adjustRightInd w:val="0"/>
        <w:jc w:val="both"/>
        <w:rPr>
          <w:rFonts w:eastAsia="MS Mincho" w:cs="Arial"/>
          <w:sz w:val="22"/>
          <w:szCs w:val="22"/>
          <w:lang w:eastAsia="ja-JP"/>
        </w:rPr>
      </w:pPr>
      <w:r>
        <w:rPr>
          <w:rFonts w:ascii="Garamond" w:hAnsi="Garamond"/>
          <w:i/>
          <w:noProof/>
          <w:sz w:val="24"/>
        </w:rPr>
        <mc:AlternateContent>
          <mc:Choice Requires="wpg">
            <w:drawing>
              <wp:inline distT="0" distB="0" distL="0" distR="0" wp14:anchorId="21CF5487" wp14:editId="29EA8BC5">
                <wp:extent cx="5878286" cy="1745673"/>
                <wp:effectExtent l="0" t="0" r="8255" b="6985"/>
                <wp:docPr id="17" name="Group 17"/>
                <wp:cNvGraphicFramePr/>
                <a:graphic xmlns:a="http://schemas.openxmlformats.org/drawingml/2006/main">
                  <a:graphicData uri="http://schemas.microsoft.com/office/word/2010/wordprocessingGroup">
                    <wpg:wgp>
                      <wpg:cNvGrpSpPr/>
                      <wpg:grpSpPr>
                        <a:xfrm>
                          <a:off x="0" y="0"/>
                          <a:ext cx="5878286" cy="1745673"/>
                          <a:chOff x="0" y="0"/>
                          <a:chExt cx="5878286" cy="1745673"/>
                        </a:xfrm>
                      </wpg:grpSpPr>
                      <wpg:graphicFrame>
                        <wpg:cNvPr id="18" name="Chart 18"/>
                        <wpg:cNvFrPr/>
                        <wpg:xfrm>
                          <a:off x="2897580" y="0"/>
                          <a:ext cx="2980706" cy="1721922"/>
                        </wpg:xfrm>
                        <a:graphic>
                          <a:graphicData uri="http://schemas.openxmlformats.org/drawingml/2006/chart">
                            <c:chart xmlns:c="http://schemas.openxmlformats.org/drawingml/2006/chart" xmlns:r="http://schemas.openxmlformats.org/officeDocument/2006/relationships" r:id="rId59"/>
                          </a:graphicData>
                        </a:graphic>
                      </wpg:graphicFrame>
                      <wpg:graphicFrame>
                        <wpg:cNvPr id="19" name="Chart 19"/>
                        <wpg:cNvFrPr/>
                        <wpg:xfrm>
                          <a:off x="0" y="23750"/>
                          <a:ext cx="2968832" cy="1721923"/>
                        </wpg:xfrm>
                        <a:graphic>
                          <a:graphicData uri="http://schemas.openxmlformats.org/drawingml/2006/chart">
                            <c:chart xmlns:c="http://schemas.openxmlformats.org/drawingml/2006/chart" xmlns:r="http://schemas.openxmlformats.org/officeDocument/2006/relationships" r:id="rId60"/>
                          </a:graphicData>
                        </a:graphic>
                      </wpg:graphicFrame>
                    </wpg:wgp>
                  </a:graphicData>
                </a:graphic>
              </wp:inline>
            </w:drawing>
          </mc:Choice>
          <mc:Fallback>
            <w:pict>
              <v:group id="Group 17" o:spid="_x0000_s1026" style="width:462.85pt;height:137.45pt;mso-position-horizontal-relative:char;mso-position-vertical-relative:line" coordsize="58782,17456" o:gfxdata="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">
                <v:shape id="Chart 18" o:spid="_x0000_s1027" type="#_x0000_t75" style="position:absolute;left:28956;width:29809;height:171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">
                  <v:imagedata r:id="rId61" o:title=""/>
                  <o:lock v:ext="edit" aspectratio="f"/>
                </v:shape>
                <v:shape id="Chart 19" o:spid="_x0000_s1028" type="#_x0000_t75" style="position:absolute;top:243;width:29687;height:1719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">
                  <v:imagedata r:id="rId62" o:title=""/>
                  <o:lock v:ext="edit" aspectratio="f"/>
                </v:shape>
                <w10:anchorlock/>
              </v:group>
              <o:OLEObject Type="Embed" ProgID="Excel.Chart.8" ShapeID="Chart 18" DrawAspect="Content" ObjectID="_1465235364" r:id="rId63">
                <o:FieldCodes>\s</o:FieldCodes>
              </o:OLEObject>
              <o:OLEObject Type="Embed" ProgID="Excel.Chart.8" ShapeID="Chart 19" DrawAspect="Content" ObjectID="_1465235365" r:id="rId64">
                <o:FieldCodes>\s</o:FieldCodes>
              </o:OLEObject>
            </w:pict>
          </mc:Fallback>
        </mc:AlternateContent>
      </w:r>
    </w:p>
    <w:p w:rsidR="005660B2" w:rsidRDefault="005660B2" w:rsidP="005660B2">
      <w:pPr>
        <w:autoSpaceDE w:val="0"/>
        <w:autoSpaceDN w:val="0"/>
        <w:adjustRightInd w:val="0"/>
        <w:jc w:val="both"/>
        <w:rPr>
          <w:rFonts w:cs="Arial"/>
          <w:sz w:val="22"/>
          <w:szCs w:val="22"/>
        </w:rPr>
      </w:pPr>
    </w:p>
    <w:p w:rsidR="005660B2" w:rsidRDefault="005660B2" w:rsidP="005660B2">
      <w:pPr>
        <w:autoSpaceDE w:val="0"/>
        <w:autoSpaceDN w:val="0"/>
        <w:adjustRightInd w:val="0"/>
        <w:jc w:val="both"/>
        <w:rPr>
          <w:rFonts w:cs="Arial"/>
          <w:sz w:val="22"/>
          <w:szCs w:val="22"/>
        </w:rPr>
      </w:pPr>
    </w:p>
    <w:p w:rsidR="005660B2" w:rsidRPr="008F6DAD" w:rsidRDefault="00DD6907" w:rsidP="005703CF">
      <w:pPr>
        <w:pStyle w:val="ListParagraph"/>
        <w:numPr>
          <w:ilvl w:val="0"/>
          <w:numId w:val="39"/>
        </w:numPr>
        <w:tabs>
          <w:tab w:val="left" w:pos="709"/>
        </w:tabs>
        <w:autoSpaceDE w:val="0"/>
        <w:autoSpaceDN w:val="0"/>
        <w:adjustRightInd w:val="0"/>
        <w:ind w:left="0" w:firstLine="0"/>
        <w:jc w:val="both"/>
        <w:rPr>
          <w:rFonts w:cs="Arial"/>
        </w:rPr>
      </w:pPr>
      <w:r>
        <w:rPr>
          <w:rFonts w:cs="Arial"/>
        </w:rPr>
        <w:t>The Academic Institutions P</w:t>
      </w:r>
      <w:r w:rsidR="005660B2" w:rsidRPr="008F6DAD">
        <w:rPr>
          <w:rFonts w:cs="Arial"/>
        </w:rPr>
        <w:t xml:space="preserve">rogram continued to offer joint IP Law Masters Degree courses for the benefit of nationals of developing countries and countries in transition, in cooperation with a number of universities. </w:t>
      </w:r>
      <w:r w:rsidR="005660B2">
        <w:rPr>
          <w:rFonts w:cs="Arial"/>
        </w:rPr>
        <w:t xml:space="preserve"> </w:t>
      </w:r>
      <w:r w:rsidR="005660B2" w:rsidRPr="008F6DAD">
        <w:rPr>
          <w:rFonts w:cs="Arial"/>
        </w:rPr>
        <w:t xml:space="preserve">During the biennium, a total of 332 students from 88 countries (of which 167 were fully funded by WIPO), were awarded a degree under one of the seven joint IP Law Masters programs offered by the WIPO Academy jointly with: </w:t>
      </w:r>
      <w:r w:rsidR="005660B2">
        <w:rPr>
          <w:rFonts w:cs="Arial"/>
        </w:rPr>
        <w:t xml:space="preserve"> </w:t>
      </w:r>
      <w:r w:rsidR="005660B2" w:rsidRPr="008F6DAD">
        <w:rPr>
          <w:rFonts w:cs="Arial"/>
        </w:rPr>
        <w:t xml:space="preserve">the University of Turin (Italy); </w:t>
      </w:r>
      <w:r w:rsidR="005660B2">
        <w:rPr>
          <w:rFonts w:cs="Arial"/>
        </w:rPr>
        <w:t xml:space="preserve"> </w:t>
      </w:r>
      <w:r w:rsidR="005660B2" w:rsidRPr="008F6DAD">
        <w:rPr>
          <w:rFonts w:cs="Arial"/>
        </w:rPr>
        <w:t xml:space="preserve">the Africa University (AU) and ARIPO (Zimbabwe); </w:t>
      </w:r>
      <w:r w:rsidR="005660B2">
        <w:rPr>
          <w:rFonts w:cs="Arial"/>
        </w:rPr>
        <w:t xml:space="preserve"> </w:t>
      </w:r>
      <w:r w:rsidR="005660B2" w:rsidRPr="008F6DAD">
        <w:rPr>
          <w:rFonts w:cs="Arial"/>
        </w:rPr>
        <w:t xml:space="preserve">the Queensland University of Technology (QUT) (Australia); </w:t>
      </w:r>
      <w:r w:rsidR="005660B2">
        <w:rPr>
          <w:rFonts w:cs="Arial"/>
        </w:rPr>
        <w:t xml:space="preserve"> </w:t>
      </w:r>
      <w:r w:rsidR="005660B2" w:rsidRPr="008F6DAD">
        <w:rPr>
          <w:rFonts w:cs="Arial"/>
        </w:rPr>
        <w:t xml:space="preserve">the University of Yaoundé II and the African Intellectual Property Organization (OAPI) </w:t>
      </w:r>
      <w:r w:rsidR="005660B2" w:rsidRPr="008F6DAD">
        <w:rPr>
          <w:rFonts w:cs="Arial"/>
          <w:iCs/>
        </w:rPr>
        <w:t>(Cameroon)</w:t>
      </w:r>
      <w:r w:rsidR="005660B2" w:rsidRPr="008F6DAD">
        <w:rPr>
          <w:rFonts w:cs="Arial"/>
          <w:i/>
        </w:rPr>
        <w:t xml:space="preserve">;  </w:t>
      </w:r>
      <w:r w:rsidR="005660B2" w:rsidRPr="008F6DAD">
        <w:rPr>
          <w:rFonts w:cs="Arial"/>
        </w:rPr>
        <w:t xml:space="preserve">Seoul National University (SNU) and the Korean Intellectual Property Office (KIPO) (Republic of Korea); </w:t>
      </w:r>
      <w:r w:rsidR="005660B2">
        <w:rPr>
          <w:rFonts w:cs="Arial"/>
        </w:rPr>
        <w:t xml:space="preserve"> </w:t>
      </w:r>
      <w:r w:rsidR="005660B2" w:rsidRPr="008F6DAD">
        <w:rPr>
          <w:rFonts w:cs="Arial"/>
        </w:rPr>
        <w:t xml:space="preserve">the Austral University and the National Industrial Property Institute of Argentina (INPI) (Argentina); </w:t>
      </w:r>
      <w:r w:rsidR="005660B2">
        <w:rPr>
          <w:rFonts w:cs="Arial"/>
        </w:rPr>
        <w:t xml:space="preserve"> </w:t>
      </w:r>
      <w:r w:rsidR="005660B2" w:rsidRPr="008F6DAD">
        <w:rPr>
          <w:rFonts w:cs="Arial"/>
        </w:rPr>
        <w:t xml:space="preserve">and the Haifa University (Israel).  Furthermore, the Academy continued to assist academic institutions in six developing countries and LDCs (Bangladesh, Indonesia, Jamaica, Liberia, the United Republic of Tanzania and Venezuela) in the establishment of new or revision of existing curricula for higher education on IP.  To promote higher education on IP, the Academy made possible participation of ten academics from developing countries and countries in transition in the activities of the International Association for the Advancement of Teaching and Research in Intellectual Property (ATRIP).  A Colloquium for IP Teachers was organized in cooperation with the WTO in both 2012 and 2013 for the benefit of a total of 54 academics from developing countries and countries in transition. </w:t>
      </w:r>
      <w:r w:rsidR="005660B2">
        <w:rPr>
          <w:rFonts w:cs="Arial"/>
        </w:rPr>
        <w:t xml:space="preserve"> </w:t>
      </w:r>
      <w:r w:rsidR="005660B2" w:rsidRPr="008F6DAD">
        <w:rPr>
          <w:rFonts w:cs="Arial"/>
        </w:rPr>
        <w:t>The Colloquia offered a forum for dialogue and debate on recent developments in key IP areas and teaching and pedagogic issues.  Ad hoc briefings were also organized for over 300 persons at WIPO headquarters, including for more than 30 Geneva-based diplomats.</w:t>
      </w:r>
    </w:p>
    <w:p w:rsidR="005660B2" w:rsidRPr="008F6DAD" w:rsidRDefault="005660B2" w:rsidP="005660B2">
      <w:pPr>
        <w:tabs>
          <w:tab w:val="left" w:pos="709"/>
        </w:tabs>
        <w:autoSpaceDE w:val="0"/>
        <w:autoSpaceDN w:val="0"/>
        <w:adjustRightInd w:val="0"/>
        <w:jc w:val="both"/>
        <w:rPr>
          <w:rFonts w:cs="Arial"/>
          <w:szCs w:val="20"/>
        </w:rPr>
      </w:pPr>
    </w:p>
    <w:p w:rsidR="005660B2" w:rsidRDefault="005660B2" w:rsidP="005703CF">
      <w:pPr>
        <w:pStyle w:val="ListParagraph"/>
        <w:numPr>
          <w:ilvl w:val="0"/>
          <w:numId w:val="39"/>
        </w:numPr>
        <w:tabs>
          <w:tab w:val="left" w:pos="709"/>
        </w:tabs>
        <w:autoSpaceDE w:val="0"/>
        <w:autoSpaceDN w:val="0"/>
        <w:adjustRightInd w:val="0"/>
        <w:ind w:left="0" w:firstLine="0"/>
        <w:jc w:val="both"/>
        <w:rPr>
          <w:rFonts w:cs="Arial"/>
        </w:rPr>
      </w:pPr>
      <w:r w:rsidRPr="008F6DAD">
        <w:rPr>
          <w:rFonts w:cs="Arial"/>
        </w:rPr>
        <w:t xml:space="preserve">In 2012/13, the Academy organized two three-day training sessions under its Executive Program for 48 executives from 18 countries, in Santiago de Chile and in Cape Town in March and December 2012, respectively.  Raising awareness of IP among senior graduates and young professionals continued to be a priority during the biennium. </w:t>
      </w:r>
      <w:r>
        <w:rPr>
          <w:rFonts w:cs="Arial"/>
        </w:rPr>
        <w:t xml:space="preserve"> </w:t>
      </w:r>
      <w:r w:rsidRPr="008F6DAD">
        <w:rPr>
          <w:rFonts w:cs="Arial"/>
        </w:rPr>
        <w:t xml:space="preserve">The Academy organized 18 sessions under its </w:t>
      </w:r>
      <w:r w:rsidRPr="008F6DAD">
        <w:rPr>
          <w:rFonts w:cs="Arial"/>
          <w:bCs/>
        </w:rPr>
        <w:t>Summer Schools Program</w:t>
      </w:r>
      <w:r w:rsidRPr="008F6DAD">
        <w:rPr>
          <w:rFonts w:cs="Arial"/>
        </w:rPr>
        <w:t xml:space="preserve"> in cooperation with ten host governments (</w:t>
      </w:r>
      <w:r w:rsidRPr="008F6DAD">
        <w:rPr>
          <w:rFonts w:cs="Arial"/>
          <w:bCs/>
        </w:rPr>
        <w:t xml:space="preserve">Croatia, Mexico, the Republic of Korea, the Russian Federation, Singapore, South Africa, Thailand, Turkey, Ukraine and the United States of America).  In addition, two sessions (one in each year of the biennium) were organized in cooperation with the University of Geneva and held at WIPO headquarters.  The sessions provided an opportunity to a total of 630 students and young professionals to appreciate the importance of IP for development and the role of WIPO in multilateral cooperation on IP.  Of these 20 sessions, </w:t>
      </w:r>
      <w:r w:rsidRPr="008F6DAD">
        <w:rPr>
          <w:rFonts w:cs="Arial"/>
        </w:rPr>
        <w:t>four focused on specific IP areas</w:t>
      </w:r>
      <w:r>
        <w:rPr>
          <w:rFonts w:cs="Arial"/>
        </w:rPr>
        <w:t xml:space="preserve"> </w:t>
      </w:r>
      <w:r w:rsidRPr="008F6DAD">
        <w:rPr>
          <w:rFonts w:cs="Arial"/>
        </w:rPr>
        <w:t>- trademarks, copyright and related rights, and IP and technology transfer.</w:t>
      </w:r>
    </w:p>
    <w:p w:rsidR="005660B2" w:rsidRPr="008F6DAD" w:rsidRDefault="005660B2" w:rsidP="005660B2">
      <w:pPr>
        <w:pStyle w:val="ListParagraph"/>
        <w:autoSpaceDE w:val="0"/>
        <w:autoSpaceDN w:val="0"/>
        <w:adjustRightInd w:val="0"/>
        <w:ind w:left="0"/>
        <w:jc w:val="both"/>
        <w:rPr>
          <w:rFonts w:cs="Arial"/>
        </w:rPr>
      </w:pPr>
    </w:p>
    <w:p w:rsidR="005660B2" w:rsidRPr="008F6DAD" w:rsidRDefault="005660B2" w:rsidP="005703CF">
      <w:pPr>
        <w:pStyle w:val="ListParagraph"/>
        <w:keepNext/>
        <w:keepLines/>
        <w:numPr>
          <w:ilvl w:val="0"/>
          <w:numId w:val="39"/>
        </w:numPr>
        <w:tabs>
          <w:tab w:val="left" w:pos="709"/>
        </w:tabs>
        <w:autoSpaceDE w:val="0"/>
        <w:autoSpaceDN w:val="0"/>
        <w:adjustRightInd w:val="0"/>
        <w:ind w:left="0" w:firstLine="0"/>
        <w:jc w:val="both"/>
        <w:rPr>
          <w:rFonts w:cs="Arial"/>
          <w:bCs/>
          <w:color w:val="000000"/>
        </w:rPr>
      </w:pPr>
      <w:r w:rsidRPr="008F6DAD">
        <w:rPr>
          <w:rFonts w:cs="Arial"/>
          <w:bCs/>
          <w:color w:val="000000"/>
        </w:rPr>
        <w:lastRenderedPageBreak/>
        <w:t>In May 2012, the CDIP approved the second phase of the Start-up Academies Project covering six countries.  As a result, by the end of 2013, four national IP training institutions had been established in the four countries covered in the first phase of the Project, namely Colombia (“</w:t>
      </w:r>
      <w:r w:rsidRPr="008F6DAD">
        <w:rPr>
          <w:rFonts w:cs="Arial"/>
          <w:bCs/>
          <w:i/>
          <w:color w:val="000000"/>
        </w:rPr>
        <w:t>Aula de Propiedad Intelectual</w:t>
      </w:r>
      <w:r w:rsidRPr="008F6DAD">
        <w:rPr>
          <w:rFonts w:cs="Arial"/>
          <w:bCs/>
          <w:color w:val="000000"/>
        </w:rPr>
        <w:t xml:space="preserve"> (API)”); the Dominican Republic (“</w:t>
      </w:r>
      <w:r w:rsidRPr="008F6DAD">
        <w:rPr>
          <w:rFonts w:cs="Arial"/>
          <w:bCs/>
          <w:i/>
          <w:color w:val="000000"/>
        </w:rPr>
        <w:t>Academia Nacional de la Propiedad Intelectual</w:t>
      </w:r>
      <w:r w:rsidRPr="008F6DAD">
        <w:rPr>
          <w:rFonts w:cs="Arial"/>
          <w:bCs/>
          <w:color w:val="000000"/>
        </w:rPr>
        <w:t xml:space="preserve"> (ANPI)”); Peru (“</w:t>
      </w:r>
      <w:r w:rsidRPr="008F6DAD">
        <w:rPr>
          <w:rFonts w:cs="Arial"/>
          <w:bCs/>
          <w:i/>
          <w:color w:val="000000"/>
        </w:rPr>
        <w:t>Escuela de la Competencia y de la Propiedad Intelectual</w:t>
      </w:r>
      <w:r w:rsidRPr="008F6DAD">
        <w:rPr>
          <w:rFonts w:cs="Arial"/>
          <w:bCs/>
          <w:color w:val="000000"/>
        </w:rPr>
        <w:t xml:space="preserve"> (ECPI)”)</w:t>
      </w:r>
      <w:r>
        <w:rPr>
          <w:rFonts w:cs="Arial"/>
          <w:bCs/>
          <w:color w:val="000000"/>
        </w:rPr>
        <w:t xml:space="preserve">; </w:t>
      </w:r>
      <w:r w:rsidRPr="008F6DAD">
        <w:rPr>
          <w:rFonts w:cs="Arial"/>
          <w:bCs/>
          <w:color w:val="000000"/>
        </w:rPr>
        <w:t>and Tunisia (“</w:t>
      </w:r>
      <w:r w:rsidRPr="008F6DAD">
        <w:rPr>
          <w:rFonts w:cs="Arial"/>
          <w:bCs/>
          <w:i/>
          <w:color w:val="000000"/>
        </w:rPr>
        <w:t>Academie Tunisienne de la Propriété Intellectuelle</w:t>
      </w:r>
      <w:r w:rsidRPr="008F6DAD">
        <w:rPr>
          <w:rFonts w:cs="Arial"/>
          <w:bCs/>
          <w:color w:val="000000"/>
        </w:rPr>
        <w:t xml:space="preserve"> (ATPI)”).  The Academy also started to deploy project activities in two additional countries (Egypt and Ethiopia) covered under the second phase of the Project, with an expected completion date in 2014.  Activities centered on the training of trainers by way of local workshops and participation of selected national trainers in the Joint Masters Program. </w:t>
      </w:r>
    </w:p>
    <w:p w:rsidR="005660B2" w:rsidRDefault="005660B2" w:rsidP="005660B2">
      <w:pPr>
        <w:autoSpaceDE w:val="0"/>
        <w:autoSpaceDN w:val="0"/>
        <w:adjustRightInd w:val="0"/>
        <w:jc w:val="both"/>
        <w:rPr>
          <w:rFonts w:cs="Arial"/>
          <w:bCs/>
          <w:color w:val="000000"/>
          <w:sz w:val="22"/>
          <w:szCs w:val="22"/>
        </w:rPr>
      </w:pPr>
    </w:p>
    <w:p w:rsidR="005660B2" w:rsidRDefault="005660B2" w:rsidP="005660B2">
      <w:pPr>
        <w:autoSpaceDE w:val="0"/>
        <w:autoSpaceDN w:val="0"/>
        <w:adjustRightInd w:val="0"/>
        <w:jc w:val="both"/>
        <w:rPr>
          <w:rFonts w:cs="Arial"/>
          <w:bCs/>
          <w:color w:val="000000"/>
          <w:sz w:val="22"/>
          <w:szCs w:val="22"/>
        </w:rPr>
      </w:pPr>
      <w:r>
        <w:rPr>
          <w:rFonts w:cs="Arial"/>
          <w:bCs/>
          <w:color w:val="000000"/>
          <w:sz w:val="22"/>
          <w:szCs w:val="22"/>
        </w:rPr>
        <w:t>IMPLEMENTATION OF DEVELOPMENT AGENDA</w:t>
      </w:r>
    </w:p>
    <w:p w:rsidR="005660B2" w:rsidRDefault="005660B2" w:rsidP="005660B2">
      <w:pPr>
        <w:autoSpaceDE w:val="0"/>
        <w:autoSpaceDN w:val="0"/>
        <w:adjustRightInd w:val="0"/>
        <w:jc w:val="both"/>
        <w:rPr>
          <w:rFonts w:cs="Arial"/>
          <w:bCs/>
          <w:color w:val="000000"/>
          <w:sz w:val="22"/>
          <w:szCs w:val="22"/>
        </w:rPr>
      </w:pPr>
    </w:p>
    <w:p w:rsidR="005660B2" w:rsidRPr="008F6DAD" w:rsidRDefault="005660B2" w:rsidP="005703CF">
      <w:pPr>
        <w:pStyle w:val="ListParagraph"/>
        <w:numPr>
          <w:ilvl w:val="0"/>
          <w:numId w:val="39"/>
        </w:numPr>
        <w:tabs>
          <w:tab w:val="left" w:pos="709"/>
        </w:tabs>
        <w:ind w:left="0" w:firstLine="0"/>
        <w:jc w:val="both"/>
        <w:rPr>
          <w:rFonts w:cs="Arial"/>
          <w:bCs/>
        </w:rPr>
      </w:pPr>
      <w:r w:rsidRPr="008F6DAD">
        <w:rPr>
          <w:rFonts w:cs="Arial"/>
          <w:bCs/>
        </w:rPr>
        <w:t xml:space="preserve">The design, planning and implementation of activities by Program 11 were guided by the relevant DA Recommendations. </w:t>
      </w:r>
      <w:r>
        <w:rPr>
          <w:rFonts w:cs="Arial"/>
          <w:bCs/>
        </w:rPr>
        <w:t xml:space="preserve"> </w:t>
      </w:r>
      <w:r w:rsidRPr="008F6DAD">
        <w:rPr>
          <w:rFonts w:cs="Arial"/>
          <w:bCs/>
        </w:rPr>
        <w:t>The Academy programs were development-oriented and responsive to stakeholder demands (Recommendation 1) and sought to introduce IP at different academic levels with a view to generating greater public awareness on IP (Recommendation 3).  In line with Recommendation 5, the first WIPO Academy Education and Training Programs Portfolios were published at the end of 2012 and 2013, presenting in a clear and transparent manner the contents and partners of all WIPO Academy training programs and demonstrating the varied and growing offerings of the Professional Development Program, DL Program, Academic Institutions Program, Executive Education Program and the WIPO Summer Schools Program.  Strategic partnerships with academic institutions, particularly in developing countries, LDCs and countries in transition have been strengthened and enlarged, which involved joint collaborations on Master Programs and other IP courses.  In addition, the DL Program developed specific DA modules to its courses in consultation with other WIPO Programs, academia and national authorities.  The courses have also been used by partner academic institutions.  Training curricula offered by all WIPO Academy programs are being restructured so as to include a dynamic approach to the DA dimension.</w:t>
      </w:r>
    </w:p>
    <w:p w:rsidR="005660B2" w:rsidRPr="00AE7502" w:rsidRDefault="005660B2" w:rsidP="005660B2">
      <w:pPr>
        <w:jc w:val="both"/>
        <w:rPr>
          <w:rFonts w:cs="Arial"/>
          <w:bCs/>
          <w:sz w:val="16"/>
          <w:szCs w:val="16"/>
        </w:rPr>
      </w:pPr>
    </w:p>
    <w:p w:rsidR="005660B2" w:rsidRPr="008F6DAD" w:rsidRDefault="005660B2" w:rsidP="005703CF">
      <w:pPr>
        <w:pStyle w:val="ListParagraph"/>
        <w:numPr>
          <w:ilvl w:val="0"/>
          <w:numId w:val="39"/>
        </w:numPr>
        <w:tabs>
          <w:tab w:val="left" w:pos="709"/>
        </w:tabs>
        <w:ind w:left="0" w:firstLine="0"/>
        <w:jc w:val="both"/>
        <w:rPr>
          <w:rFonts w:cs="Arial"/>
        </w:rPr>
      </w:pPr>
      <w:r w:rsidRPr="008F6DAD">
        <w:rPr>
          <w:rFonts w:cs="Arial"/>
          <w:bCs/>
        </w:rPr>
        <w:t xml:space="preserve">The Phase I of the Pilot Project for the Establishment of “Start-Up” National IP Academies was completed and evaluated.  The CDIP approved a Phase II of the project to include six countries: </w:t>
      </w:r>
      <w:r>
        <w:rPr>
          <w:rFonts w:cs="Arial"/>
          <w:bCs/>
        </w:rPr>
        <w:t xml:space="preserve"> </w:t>
      </w:r>
      <w:r w:rsidRPr="008F6DAD">
        <w:rPr>
          <w:rFonts w:cs="Arial"/>
          <w:bCs/>
        </w:rPr>
        <w:t>the four pilot countries (Colombia, the Dominican Republic, Peru and Tunisia)</w:t>
      </w:r>
      <w:r w:rsidRPr="008F6DAD">
        <w:rPr>
          <w:rStyle w:val="FootnoteReference"/>
          <w:rFonts w:cs="Arial"/>
          <w:bCs/>
        </w:rPr>
        <w:footnoteReference w:id="22"/>
      </w:r>
      <w:r w:rsidRPr="008F6DAD">
        <w:rPr>
          <w:rFonts w:cs="Arial"/>
          <w:bCs/>
        </w:rPr>
        <w:t xml:space="preserve"> and two new countries (Egypt, Ethiopia).  Four national IP training institutions were established and are currently offering training programs, and two pilot academies are in their implementation stages.  Activities included training of trainers programs, regional modules for academic coordinators, scholarships for Master’s programs on IP and the creation of additional training material and business and capacity building plans.  All six pilot academies are members of the Global Network of Intellectual Property Academies (GNIPA).</w:t>
      </w:r>
    </w:p>
    <w:p w:rsidR="005660B2" w:rsidRPr="00F1494E" w:rsidRDefault="005660B2" w:rsidP="005660B2">
      <w:pPr>
        <w:ind w:left="2268" w:hanging="2268"/>
        <w:rPr>
          <w:rFonts w:eastAsia="MS Mincho" w:cs="Arial"/>
          <w:b/>
          <w:sz w:val="22"/>
          <w:szCs w:val="22"/>
          <w:lang w:eastAsia="ja-JP" w:bidi="th-TH"/>
        </w:rPr>
      </w:pPr>
    </w:p>
    <w:p w:rsidR="005660B2" w:rsidRPr="00F1494E" w:rsidRDefault="005660B2" w:rsidP="005660B2">
      <w:pPr>
        <w:rPr>
          <w:rFonts w:cs="Arial"/>
          <w:sz w:val="22"/>
          <w:szCs w:val="22"/>
        </w:rPr>
      </w:pPr>
      <w:r w:rsidRPr="00F1494E">
        <w:rPr>
          <w:rFonts w:cs="Arial"/>
          <w:sz w:val="22"/>
          <w:szCs w:val="22"/>
        </w:rPr>
        <w:t>PERFORMANCE DATA</w:t>
      </w:r>
    </w:p>
    <w:p w:rsidR="005660B2" w:rsidRPr="0027745B" w:rsidRDefault="005660B2" w:rsidP="005660B2">
      <w:pPr>
        <w:ind w:left="2268" w:hanging="2268"/>
        <w:rPr>
          <w:b/>
          <w:szCs w:val="20"/>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0"/>
        <w:gridCol w:w="1710"/>
        <w:gridCol w:w="1679"/>
        <w:gridCol w:w="3092"/>
        <w:gridCol w:w="1276"/>
      </w:tblGrid>
      <w:tr w:rsidR="005660B2" w:rsidRPr="0068151C" w:rsidTr="0068151C">
        <w:tc>
          <w:tcPr>
            <w:tcW w:w="5000" w:type="pct"/>
            <w:gridSpan w:val="5"/>
            <w:tcBorders>
              <w:top w:val="single" w:sz="4" w:space="0" w:color="auto"/>
              <w:bottom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Enhanced human resource capacities able to deal with the broad range of requirements for the effective use of IP for development in developing countries, LDCs and countries with economies in transition</w:t>
            </w:r>
          </w:p>
        </w:tc>
      </w:tr>
      <w:tr w:rsidR="005660B2" w:rsidRPr="0068151C" w:rsidTr="00AE7502">
        <w:tc>
          <w:tcPr>
            <w:tcW w:w="855" w:type="pct"/>
            <w:tcBorders>
              <w:top w:val="single" w:sz="4" w:space="0" w:color="auto"/>
            </w:tcBorders>
            <w:shd w:val="clear" w:color="auto" w:fill="auto"/>
            <w:vAlign w:val="center"/>
          </w:tcPr>
          <w:p w:rsidR="005660B2" w:rsidRPr="0068151C" w:rsidRDefault="005660B2" w:rsidP="0068151C">
            <w:pPr>
              <w:spacing w:after="40"/>
              <w:rPr>
                <w:rFonts w:cs="Arial"/>
                <w:sz w:val="16"/>
                <w:szCs w:val="16"/>
              </w:rPr>
            </w:pPr>
            <w:r w:rsidRPr="0068151C">
              <w:rPr>
                <w:rFonts w:cs="Arial"/>
                <w:b/>
                <w:bCs/>
                <w:sz w:val="16"/>
                <w:szCs w:val="16"/>
              </w:rPr>
              <w:t>Performance Indicators</w:t>
            </w:r>
          </w:p>
        </w:tc>
        <w:tc>
          <w:tcPr>
            <w:tcW w:w="914" w:type="pct"/>
            <w:tcBorders>
              <w:top w:val="single" w:sz="4" w:space="0" w:color="auto"/>
            </w:tcBorders>
            <w:shd w:val="clear" w:color="auto" w:fill="auto"/>
            <w:vAlign w:val="center"/>
          </w:tcPr>
          <w:p w:rsidR="005660B2" w:rsidRPr="0068151C" w:rsidRDefault="005660B2" w:rsidP="0068151C">
            <w:pPr>
              <w:spacing w:after="40"/>
              <w:rPr>
                <w:rFonts w:cs="Arial"/>
                <w:b/>
                <w:bCs/>
                <w:sz w:val="16"/>
                <w:szCs w:val="16"/>
              </w:rPr>
            </w:pPr>
            <w:r w:rsidRPr="0068151C">
              <w:rPr>
                <w:rFonts w:cs="Arial"/>
                <w:b/>
                <w:bCs/>
                <w:sz w:val="16"/>
                <w:szCs w:val="16"/>
              </w:rPr>
              <w:t>Baselines</w:t>
            </w:r>
          </w:p>
        </w:tc>
        <w:tc>
          <w:tcPr>
            <w:tcW w:w="897" w:type="pct"/>
            <w:tcBorders>
              <w:top w:val="single" w:sz="4" w:space="0" w:color="auto"/>
            </w:tcBorders>
            <w:shd w:val="clear" w:color="auto" w:fill="auto"/>
            <w:tcMar>
              <w:top w:w="110" w:type="dxa"/>
            </w:tcMar>
            <w:vAlign w:val="center"/>
          </w:tcPr>
          <w:p w:rsidR="005660B2" w:rsidRPr="0068151C" w:rsidRDefault="005660B2" w:rsidP="0068151C">
            <w:pPr>
              <w:spacing w:after="40"/>
              <w:rPr>
                <w:rFonts w:cs="Arial"/>
                <w:b/>
                <w:sz w:val="16"/>
                <w:szCs w:val="16"/>
              </w:rPr>
            </w:pPr>
            <w:r w:rsidRPr="0068151C">
              <w:rPr>
                <w:rFonts w:cs="Arial"/>
                <w:b/>
                <w:sz w:val="16"/>
                <w:szCs w:val="16"/>
              </w:rPr>
              <w:t>Target</w:t>
            </w:r>
            <w:r w:rsidR="00582788">
              <w:rPr>
                <w:rFonts w:cs="Arial"/>
                <w:b/>
                <w:sz w:val="16"/>
                <w:szCs w:val="16"/>
              </w:rPr>
              <w:t>s</w:t>
            </w:r>
          </w:p>
        </w:tc>
        <w:tc>
          <w:tcPr>
            <w:tcW w:w="1652" w:type="pct"/>
            <w:tcBorders>
              <w:top w:val="single" w:sz="4" w:space="0" w:color="auto"/>
            </w:tcBorders>
            <w:shd w:val="clear" w:color="auto" w:fill="FFFFFF"/>
            <w:tcMar>
              <w:top w:w="110" w:type="dxa"/>
            </w:tcMar>
            <w:vAlign w:val="center"/>
          </w:tcPr>
          <w:p w:rsidR="005660B2" w:rsidRPr="0068151C" w:rsidRDefault="005660B2" w:rsidP="0068151C">
            <w:pPr>
              <w:spacing w:after="40"/>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5660B2" w:rsidRPr="0068151C" w:rsidRDefault="005660B2" w:rsidP="0068151C">
            <w:pPr>
              <w:keepNext/>
              <w:keepLines/>
              <w:spacing w:after="40"/>
              <w:jc w:val="center"/>
              <w:rPr>
                <w:rFonts w:cs="Arial"/>
                <w:b/>
                <w:bCs/>
                <w:sz w:val="16"/>
                <w:szCs w:val="16"/>
              </w:rPr>
            </w:pPr>
            <w:r w:rsidRPr="0068151C">
              <w:rPr>
                <w:rFonts w:cs="Arial"/>
                <w:b/>
                <w:bCs/>
                <w:sz w:val="16"/>
                <w:szCs w:val="16"/>
              </w:rPr>
              <w:t>TLS</w:t>
            </w:r>
          </w:p>
        </w:tc>
      </w:tr>
      <w:tr w:rsidR="005660B2" w:rsidRPr="0068151C" w:rsidTr="00AE7502">
        <w:tc>
          <w:tcPr>
            <w:tcW w:w="855" w:type="pct"/>
            <w:shd w:val="clear" w:color="auto" w:fill="auto"/>
          </w:tcPr>
          <w:p w:rsidR="005660B2" w:rsidRPr="0068151C" w:rsidRDefault="005660B2" w:rsidP="0068151C">
            <w:pPr>
              <w:rPr>
                <w:rFonts w:cs="Arial"/>
                <w:sz w:val="16"/>
                <w:szCs w:val="16"/>
              </w:rPr>
            </w:pPr>
            <w:r w:rsidRPr="0068151C">
              <w:rPr>
                <w:rFonts w:cs="Arial"/>
                <w:sz w:val="16"/>
                <w:szCs w:val="16"/>
              </w:rPr>
              <w:t>% of IP office trainees that report satisfaction with the training provided</w:t>
            </w:r>
          </w:p>
        </w:tc>
        <w:tc>
          <w:tcPr>
            <w:tcW w:w="914" w:type="pct"/>
            <w:shd w:val="clear" w:color="auto" w:fill="auto"/>
          </w:tcPr>
          <w:p w:rsidR="005660B2" w:rsidRPr="0068151C" w:rsidRDefault="005660B2" w:rsidP="0068151C">
            <w:pPr>
              <w:rPr>
                <w:rFonts w:cs="Arial"/>
                <w:color w:val="002060"/>
                <w:sz w:val="16"/>
                <w:szCs w:val="16"/>
              </w:rPr>
            </w:pPr>
            <w:r w:rsidRPr="0068151C">
              <w:rPr>
                <w:rFonts w:cs="Arial"/>
                <w:i/>
                <w:color w:val="002060"/>
                <w:sz w:val="16"/>
                <w:szCs w:val="16"/>
              </w:rPr>
              <w:t>Updated Baseline end 2011:</w:t>
            </w:r>
            <w:r w:rsidRPr="0068151C">
              <w:rPr>
                <w:rFonts w:cs="Arial"/>
                <w:color w:val="002060"/>
                <w:sz w:val="16"/>
                <w:szCs w:val="16"/>
              </w:rPr>
              <w:t xml:space="preserve">  95%</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80%</w:t>
            </w:r>
          </w:p>
        </w:tc>
        <w:tc>
          <w:tcPr>
            <w:tcW w:w="897" w:type="pct"/>
            <w:shd w:val="clear" w:color="auto" w:fill="auto"/>
            <w:tcMar>
              <w:top w:w="110" w:type="dxa"/>
            </w:tcMar>
          </w:tcPr>
          <w:p w:rsidR="005660B2" w:rsidRPr="0068151C" w:rsidRDefault="005660B2" w:rsidP="0068151C">
            <w:pPr>
              <w:rPr>
                <w:rFonts w:cs="Arial"/>
                <w:color w:val="000000" w:themeColor="text1"/>
                <w:sz w:val="16"/>
                <w:szCs w:val="16"/>
              </w:rPr>
            </w:pPr>
            <w:r w:rsidRPr="0068151C">
              <w:rPr>
                <w:rFonts w:cs="Arial"/>
                <w:color w:val="000000" w:themeColor="text1"/>
                <w:sz w:val="16"/>
                <w:szCs w:val="16"/>
              </w:rPr>
              <w:t>90%</w:t>
            </w:r>
          </w:p>
        </w:tc>
        <w:tc>
          <w:tcPr>
            <w:tcW w:w="1652" w:type="pct"/>
            <w:shd w:val="clear" w:color="auto" w:fill="FFFFFF"/>
            <w:tcMar>
              <w:top w:w="110" w:type="dxa"/>
            </w:tcMar>
          </w:tcPr>
          <w:p w:rsidR="005660B2" w:rsidRPr="0068151C" w:rsidRDefault="005660B2" w:rsidP="0068151C">
            <w:pPr>
              <w:rPr>
                <w:rFonts w:cs="Arial"/>
                <w:color w:val="000000" w:themeColor="text1"/>
                <w:sz w:val="16"/>
                <w:szCs w:val="16"/>
              </w:rPr>
            </w:pPr>
            <w:r w:rsidRPr="0068151C">
              <w:rPr>
                <w:rFonts w:cs="Arial"/>
                <w:color w:val="000000" w:themeColor="text1"/>
                <w:sz w:val="16"/>
                <w:szCs w:val="16"/>
                <w:lang w:bidi="th-TH"/>
              </w:rPr>
              <w:t>95%</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 of trainees that report actual use of the acquired skills in their job</w:t>
            </w:r>
          </w:p>
        </w:tc>
        <w:tc>
          <w:tcPr>
            <w:tcW w:w="914" w:type="pct"/>
            <w:shd w:val="clear" w:color="auto" w:fill="auto"/>
          </w:tcPr>
          <w:p w:rsidR="005660B2" w:rsidRPr="0068151C" w:rsidRDefault="005660B2" w:rsidP="0068151C">
            <w:pPr>
              <w:rPr>
                <w:rFonts w:cs="Arial"/>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 75%</w:t>
            </w:r>
          </w:p>
          <w:p w:rsidR="005660B2" w:rsidRPr="00AE7502" w:rsidRDefault="005660B2" w:rsidP="0068151C">
            <w:pPr>
              <w:rPr>
                <w:rFonts w:cs="Arial"/>
                <w:color w:val="002060"/>
                <w:sz w:val="8"/>
                <w:szCs w:val="8"/>
              </w:rPr>
            </w:pPr>
          </w:p>
          <w:p w:rsidR="005660B2" w:rsidRPr="0068151C" w:rsidRDefault="005660B2" w:rsidP="0068151C">
            <w:pPr>
              <w:rPr>
                <w:rFonts w:cs="Arial"/>
                <w:sz w:val="16"/>
                <w:szCs w:val="16"/>
              </w:rPr>
            </w:pPr>
            <w:r w:rsidRPr="0068151C">
              <w:rPr>
                <w:rFonts w:cs="Arial"/>
                <w:i/>
                <w:sz w:val="16"/>
                <w:szCs w:val="16"/>
              </w:rPr>
              <w:t xml:space="preserve">Original Baseline P&amp;B 2012/13: </w:t>
            </w:r>
            <w:r w:rsidRPr="0068151C">
              <w:rPr>
                <w:rFonts w:cs="Arial"/>
                <w:sz w:val="16"/>
                <w:szCs w:val="16"/>
              </w:rPr>
              <w:t xml:space="preserve"> 60%</w:t>
            </w:r>
          </w:p>
        </w:tc>
        <w:tc>
          <w:tcPr>
            <w:tcW w:w="897" w:type="pct"/>
            <w:shd w:val="clear" w:color="auto" w:fill="auto"/>
            <w:tcMar>
              <w:top w:w="110" w:type="dxa"/>
            </w:tcMar>
          </w:tcPr>
          <w:p w:rsidR="005660B2" w:rsidRPr="0068151C" w:rsidRDefault="005660B2" w:rsidP="0068151C">
            <w:pPr>
              <w:pStyle w:val="Default"/>
              <w:rPr>
                <w:color w:val="000000" w:themeColor="text1"/>
                <w:sz w:val="16"/>
                <w:szCs w:val="16"/>
              </w:rPr>
            </w:pPr>
            <w:r w:rsidRPr="0068151C">
              <w:rPr>
                <w:color w:val="000000" w:themeColor="text1"/>
                <w:sz w:val="16"/>
                <w:szCs w:val="16"/>
              </w:rPr>
              <w:t>80%</w:t>
            </w:r>
          </w:p>
        </w:tc>
        <w:tc>
          <w:tcPr>
            <w:tcW w:w="1652" w:type="pct"/>
            <w:shd w:val="clear" w:color="auto" w:fill="FFFFFF"/>
            <w:tcMar>
              <w:top w:w="110" w:type="dxa"/>
            </w:tcMar>
          </w:tcPr>
          <w:p w:rsidR="005660B2" w:rsidRPr="0068151C" w:rsidRDefault="005660B2" w:rsidP="0068151C">
            <w:pPr>
              <w:rPr>
                <w:rFonts w:cs="Arial"/>
                <w:color w:val="000000" w:themeColor="text1"/>
                <w:sz w:val="16"/>
                <w:szCs w:val="16"/>
              </w:rPr>
            </w:pPr>
            <w:r w:rsidRPr="0068151C">
              <w:rPr>
                <w:rFonts w:cs="Arial"/>
                <w:color w:val="000000" w:themeColor="text1"/>
                <w:sz w:val="16"/>
                <w:szCs w:val="16"/>
                <w:lang w:bidi="th-TH"/>
              </w:rPr>
              <w:t>75%</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Default="005660B2" w:rsidP="0068151C">
            <w:pPr>
              <w:ind w:firstLineChars="3" w:firstLine="5"/>
              <w:rPr>
                <w:rFonts w:cs="Arial"/>
                <w:sz w:val="16"/>
                <w:szCs w:val="16"/>
              </w:rPr>
            </w:pPr>
            <w:r w:rsidRPr="0068151C">
              <w:rPr>
                <w:rFonts w:cs="Arial"/>
                <w:sz w:val="16"/>
                <w:szCs w:val="16"/>
              </w:rPr>
              <w:t>% of supervisors attesting to satisfactory application of acquired skills after one year of training</w:t>
            </w:r>
          </w:p>
          <w:p w:rsidR="00A81AE5" w:rsidRPr="0068151C" w:rsidRDefault="00A81AE5" w:rsidP="0068151C">
            <w:pPr>
              <w:ind w:firstLineChars="3" w:firstLine="5"/>
              <w:rPr>
                <w:rFonts w:cs="Arial"/>
                <w:sz w:val="16"/>
                <w:szCs w:val="16"/>
              </w:rPr>
            </w:pPr>
          </w:p>
        </w:tc>
        <w:tc>
          <w:tcPr>
            <w:tcW w:w="914" w:type="pct"/>
            <w:shd w:val="clear" w:color="auto" w:fill="auto"/>
          </w:tcPr>
          <w:p w:rsidR="005660B2" w:rsidRPr="0068151C" w:rsidRDefault="005660B2" w:rsidP="0068151C">
            <w:pPr>
              <w:rPr>
                <w:rFonts w:cs="Arial"/>
                <w:color w:val="002060"/>
                <w:sz w:val="16"/>
                <w:szCs w:val="16"/>
              </w:rPr>
            </w:pPr>
            <w:r w:rsidRPr="0068151C">
              <w:rPr>
                <w:rFonts w:cs="Arial"/>
                <w:i/>
                <w:color w:val="002060"/>
                <w:sz w:val="16"/>
                <w:szCs w:val="16"/>
              </w:rPr>
              <w:t>Updated Baseline end 2011:</w:t>
            </w:r>
            <w:r w:rsidRPr="0068151C">
              <w:rPr>
                <w:rFonts w:cs="Arial"/>
                <w:color w:val="002060"/>
                <w:sz w:val="16"/>
                <w:szCs w:val="16"/>
              </w:rPr>
              <w:t xml:space="preserve">  70% </w:t>
            </w:r>
          </w:p>
          <w:p w:rsidR="005660B2" w:rsidRPr="00AE7502" w:rsidRDefault="005660B2" w:rsidP="0068151C">
            <w:pPr>
              <w:rPr>
                <w:rFonts w:cs="Arial"/>
                <w:i/>
                <w:sz w:val="8"/>
                <w:szCs w:val="8"/>
              </w:rPr>
            </w:pPr>
          </w:p>
          <w:p w:rsidR="005660B2" w:rsidRPr="0068151C" w:rsidRDefault="005660B2" w:rsidP="0068151C">
            <w:pPr>
              <w:rPr>
                <w:rFonts w:cs="Arial"/>
                <w:i/>
                <w:sz w:val="16"/>
                <w:szCs w:val="16"/>
              </w:rPr>
            </w:pPr>
            <w:r w:rsidRPr="0068151C">
              <w:rPr>
                <w:rFonts w:cs="Arial"/>
                <w:i/>
                <w:sz w:val="16"/>
                <w:szCs w:val="16"/>
              </w:rPr>
              <w:t xml:space="preserve">Original Baseline P&amp;B 2012/13: </w:t>
            </w:r>
            <w:r w:rsidRPr="0068151C">
              <w:rPr>
                <w:rFonts w:cs="Arial"/>
                <w:sz w:val="16"/>
                <w:szCs w:val="16"/>
              </w:rPr>
              <w:t xml:space="preserve"> 60%</w:t>
            </w:r>
          </w:p>
        </w:tc>
        <w:tc>
          <w:tcPr>
            <w:tcW w:w="897" w:type="pct"/>
            <w:shd w:val="clear" w:color="auto" w:fill="auto"/>
            <w:tcMar>
              <w:top w:w="110" w:type="dxa"/>
            </w:tcMar>
          </w:tcPr>
          <w:p w:rsidR="005660B2" w:rsidRPr="0068151C" w:rsidRDefault="005660B2" w:rsidP="0068151C">
            <w:pPr>
              <w:pStyle w:val="Default"/>
              <w:rPr>
                <w:i/>
                <w:color w:val="000000" w:themeColor="text1"/>
                <w:sz w:val="16"/>
                <w:szCs w:val="16"/>
              </w:rPr>
            </w:pPr>
            <w:r w:rsidRPr="0068151C">
              <w:rPr>
                <w:color w:val="000000" w:themeColor="text1"/>
                <w:sz w:val="16"/>
                <w:szCs w:val="16"/>
              </w:rPr>
              <w:t>70%</w:t>
            </w:r>
          </w:p>
        </w:tc>
        <w:tc>
          <w:tcPr>
            <w:tcW w:w="1652" w:type="pct"/>
            <w:shd w:val="clear" w:color="auto" w:fill="FFFFFF"/>
            <w:tcMar>
              <w:top w:w="110" w:type="dxa"/>
            </w:tcMar>
          </w:tcPr>
          <w:p w:rsidR="005660B2" w:rsidRPr="0068151C" w:rsidRDefault="005660B2" w:rsidP="0068151C">
            <w:pPr>
              <w:rPr>
                <w:rFonts w:cs="Arial"/>
                <w:color w:val="000000" w:themeColor="text1"/>
                <w:sz w:val="16"/>
                <w:szCs w:val="16"/>
              </w:rPr>
            </w:pPr>
            <w:r w:rsidRPr="0068151C">
              <w:rPr>
                <w:rFonts w:cs="Arial"/>
                <w:color w:val="000000" w:themeColor="text1"/>
                <w:sz w:val="16"/>
                <w:szCs w:val="16"/>
                <w:lang w:bidi="th-TH"/>
              </w:rPr>
              <w:t>75%</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lastRenderedPageBreak/>
              <w:t>No. of graduates from WIPO academy and partner academic institutions (joint offering)</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68 </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60</w:t>
            </w:r>
          </w:p>
        </w:tc>
        <w:tc>
          <w:tcPr>
            <w:tcW w:w="897" w:type="pct"/>
            <w:shd w:val="clear" w:color="auto" w:fill="auto"/>
            <w:tcMar>
              <w:top w:w="110" w:type="dxa"/>
            </w:tcMar>
          </w:tcPr>
          <w:p w:rsidR="005660B2" w:rsidRPr="007F3E34" w:rsidRDefault="005660B2" w:rsidP="0068151C">
            <w:pPr>
              <w:pStyle w:val="Default"/>
              <w:rPr>
                <w:i/>
                <w:color w:val="auto"/>
                <w:sz w:val="16"/>
                <w:szCs w:val="16"/>
              </w:rPr>
            </w:pPr>
            <w:r w:rsidRPr="007F3E34">
              <w:rPr>
                <w:color w:val="auto"/>
                <w:sz w:val="16"/>
                <w:szCs w:val="16"/>
              </w:rPr>
              <w:t>75 (in 2012/13)</w:t>
            </w:r>
            <w:r w:rsidRPr="007F3E34">
              <w:rPr>
                <w:rStyle w:val="FootnoteReference"/>
                <w:color w:val="auto"/>
                <w:sz w:val="16"/>
                <w:szCs w:val="16"/>
              </w:rPr>
              <w:footnoteReference w:id="23"/>
            </w:r>
          </w:p>
        </w:tc>
        <w:tc>
          <w:tcPr>
            <w:tcW w:w="1652" w:type="pct"/>
            <w:shd w:val="clear" w:color="auto" w:fill="FFFFFF"/>
            <w:tcMar>
              <w:top w:w="110" w:type="dxa"/>
            </w:tcMar>
          </w:tcPr>
          <w:p w:rsidR="005660B2" w:rsidRPr="007F3E34" w:rsidRDefault="005660B2" w:rsidP="0068151C">
            <w:pPr>
              <w:rPr>
                <w:rFonts w:cs="Arial"/>
                <w:sz w:val="16"/>
                <w:szCs w:val="16"/>
                <w:lang w:bidi="th-TH"/>
              </w:rPr>
            </w:pPr>
            <w:r w:rsidRPr="007F3E34">
              <w:rPr>
                <w:rFonts w:cs="Arial"/>
                <w:sz w:val="16"/>
                <w:szCs w:val="16"/>
                <w:lang w:bidi="th-TH"/>
              </w:rPr>
              <w:t>167 (Biennium)</w:t>
            </w:r>
          </w:p>
          <w:p w:rsidR="005660B2" w:rsidRPr="007F3E34" w:rsidRDefault="005660B2" w:rsidP="005703CF">
            <w:pPr>
              <w:pStyle w:val="ListParagraph"/>
              <w:numPr>
                <w:ilvl w:val="0"/>
                <w:numId w:val="38"/>
              </w:numPr>
              <w:rPr>
                <w:rFonts w:cs="Arial"/>
                <w:sz w:val="16"/>
                <w:szCs w:val="16"/>
                <w:lang w:bidi="th-TH"/>
              </w:rPr>
            </w:pPr>
            <w:r w:rsidRPr="007F3E34">
              <w:rPr>
                <w:rFonts w:cs="Arial"/>
                <w:sz w:val="16"/>
                <w:szCs w:val="16"/>
                <w:lang w:bidi="th-TH"/>
              </w:rPr>
              <w:t>72 (2012)</w:t>
            </w:r>
          </w:p>
          <w:p w:rsidR="005660B2" w:rsidRPr="007F3E34" w:rsidRDefault="005660B2" w:rsidP="0068151C">
            <w:pPr>
              <w:pStyle w:val="ListParagraph"/>
              <w:numPr>
                <w:ilvl w:val="0"/>
                <w:numId w:val="38"/>
              </w:numPr>
              <w:rPr>
                <w:rFonts w:cs="Arial"/>
                <w:sz w:val="16"/>
                <w:szCs w:val="16"/>
                <w:lang w:bidi="th-TH"/>
              </w:rPr>
            </w:pPr>
            <w:r w:rsidRPr="007F3E34">
              <w:rPr>
                <w:rFonts w:cs="Arial"/>
                <w:sz w:val="16"/>
                <w:szCs w:val="16"/>
                <w:lang w:bidi="th-TH"/>
              </w:rPr>
              <w:t>95 (2013)</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No. of participants trained under the WIPO Summer Schools annually</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640</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600</w:t>
            </w:r>
          </w:p>
        </w:tc>
        <w:tc>
          <w:tcPr>
            <w:tcW w:w="897" w:type="pct"/>
            <w:shd w:val="clear" w:color="auto" w:fill="auto"/>
            <w:tcMar>
              <w:top w:w="110" w:type="dxa"/>
            </w:tcMar>
          </w:tcPr>
          <w:p w:rsidR="005660B2" w:rsidRPr="0068151C" w:rsidRDefault="005660B2" w:rsidP="0068151C">
            <w:pPr>
              <w:pStyle w:val="Default"/>
            </w:pPr>
            <w:r w:rsidRPr="0068151C">
              <w:rPr>
                <w:sz w:val="16"/>
                <w:szCs w:val="16"/>
              </w:rPr>
              <w:t>400 (in 2012/13)</w:t>
            </w:r>
          </w:p>
        </w:tc>
        <w:tc>
          <w:tcPr>
            <w:tcW w:w="1652"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630 (Biennium)</w:t>
            </w:r>
          </w:p>
          <w:p w:rsidR="005660B2" w:rsidRPr="0068151C" w:rsidRDefault="005660B2" w:rsidP="005703CF">
            <w:pPr>
              <w:pStyle w:val="ListParagraph"/>
              <w:numPr>
                <w:ilvl w:val="0"/>
                <w:numId w:val="36"/>
              </w:numPr>
              <w:rPr>
                <w:rFonts w:cs="Arial"/>
                <w:sz w:val="16"/>
                <w:szCs w:val="16"/>
                <w:lang w:bidi="th-TH"/>
              </w:rPr>
            </w:pPr>
            <w:r w:rsidRPr="0068151C">
              <w:rPr>
                <w:rFonts w:cs="Arial"/>
                <w:sz w:val="16"/>
                <w:szCs w:val="16"/>
                <w:lang w:bidi="th-TH"/>
              </w:rPr>
              <w:t>301 (2012)</w:t>
            </w:r>
          </w:p>
          <w:p w:rsidR="005660B2" w:rsidRPr="007F3E34" w:rsidRDefault="005660B2" w:rsidP="0068151C">
            <w:pPr>
              <w:pStyle w:val="ListParagraph"/>
              <w:numPr>
                <w:ilvl w:val="0"/>
                <w:numId w:val="36"/>
              </w:numPr>
              <w:rPr>
                <w:rFonts w:cs="Arial"/>
                <w:sz w:val="16"/>
                <w:szCs w:val="16"/>
                <w:lang w:bidi="th-TH"/>
              </w:rPr>
            </w:pPr>
            <w:r w:rsidRPr="0068151C">
              <w:rPr>
                <w:rFonts w:cs="Arial"/>
                <w:sz w:val="16"/>
                <w:szCs w:val="16"/>
                <w:lang w:bidi="th-TH"/>
              </w:rPr>
              <w:t>329 (2013)</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5660B2" w:rsidP="0068151C">
            <w:pPr>
              <w:rPr>
                <w:rFonts w:cs="Arial"/>
                <w:sz w:val="16"/>
                <w:szCs w:val="16"/>
              </w:rPr>
            </w:pPr>
            <w:r w:rsidRPr="0068151C">
              <w:rPr>
                <w:rFonts w:cs="Arial"/>
                <w:sz w:val="16"/>
                <w:szCs w:val="16"/>
              </w:rPr>
              <w:t>No. of IP teachers trained</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30</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30</w:t>
            </w:r>
          </w:p>
        </w:tc>
        <w:tc>
          <w:tcPr>
            <w:tcW w:w="897" w:type="pct"/>
            <w:shd w:val="clear" w:color="auto" w:fill="auto"/>
            <w:tcMar>
              <w:top w:w="110" w:type="dxa"/>
            </w:tcMar>
          </w:tcPr>
          <w:p w:rsidR="005660B2" w:rsidRPr="0068151C" w:rsidRDefault="005660B2" w:rsidP="0068151C">
            <w:pPr>
              <w:pStyle w:val="Default"/>
            </w:pPr>
            <w:r w:rsidRPr="0068151C">
              <w:rPr>
                <w:sz w:val="16"/>
                <w:szCs w:val="16"/>
              </w:rPr>
              <w:t xml:space="preserve">36 (in 2012/13) </w:t>
            </w:r>
          </w:p>
        </w:tc>
        <w:tc>
          <w:tcPr>
            <w:tcW w:w="1652"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In 2012/3, a total of 54 teachers attended the Joint WTO/WIPO Colloquium for IP teachers and the yearly ATRIP congress:</w:t>
            </w:r>
          </w:p>
          <w:p w:rsidR="005660B2" w:rsidRPr="0068151C" w:rsidRDefault="005660B2" w:rsidP="005703CF">
            <w:pPr>
              <w:pStyle w:val="ListParagraph"/>
              <w:numPr>
                <w:ilvl w:val="0"/>
                <w:numId w:val="37"/>
              </w:numPr>
              <w:rPr>
                <w:rFonts w:cs="Arial"/>
                <w:sz w:val="16"/>
                <w:szCs w:val="16"/>
                <w:lang w:bidi="th-TH"/>
              </w:rPr>
            </w:pPr>
            <w:r w:rsidRPr="0068151C">
              <w:rPr>
                <w:rFonts w:cs="Arial"/>
                <w:sz w:val="16"/>
                <w:szCs w:val="16"/>
                <w:lang w:bidi="th-TH"/>
              </w:rPr>
              <w:t>27 (2012)</w:t>
            </w:r>
            <w:r w:rsidRPr="0068151C">
              <w:rPr>
                <w:rStyle w:val="FootnoteReference"/>
                <w:rFonts w:cs="Arial"/>
                <w:sz w:val="16"/>
                <w:szCs w:val="16"/>
                <w:lang w:bidi="th-TH"/>
              </w:rPr>
              <w:footnoteReference w:id="24"/>
            </w:r>
          </w:p>
          <w:p w:rsidR="005660B2" w:rsidRPr="0068151C" w:rsidRDefault="005660B2" w:rsidP="005703CF">
            <w:pPr>
              <w:pStyle w:val="ListParagraph"/>
              <w:numPr>
                <w:ilvl w:val="0"/>
                <w:numId w:val="37"/>
              </w:numPr>
              <w:rPr>
                <w:rFonts w:cs="Arial"/>
              </w:rPr>
            </w:pPr>
            <w:r w:rsidRPr="0068151C">
              <w:rPr>
                <w:rFonts w:cs="Arial"/>
                <w:sz w:val="16"/>
                <w:szCs w:val="16"/>
                <w:lang w:bidi="th-TH"/>
              </w:rPr>
              <w:t>27 (2013)</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8E5DB1">
              <w:rPr>
                <w:rStyle w:val="StyleStyleHeading3ComplexItalicLatin12ptChar"/>
                <w:rFonts w:cs="Arial"/>
                <w:sz w:val="16"/>
                <w:szCs w:val="16"/>
              </w:rPr>
              <w:t xml:space="preserve"> </w:t>
            </w:r>
          </w:p>
        </w:tc>
      </w:tr>
      <w:tr w:rsidR="005660B2" w:rsidRPr="0068151C" w:rsidTr="00AE7502">
        <w:tc>
          <w:tcPr>
            <w:tcW w:w="855" w:type="pct"/>
            <w:shd w:val="clear" w:color="auto" w:fill="auto"/>
          </w:tcPr>
          <w:p w:rsidR="005660B2" w:rsidRPr="0068151C" w:rsidRDefault="009C3DAD" w:rsidP="0068151C">
            <w:pPr>
              <w:rPr>
                <w:rFonts w:cs="Arial"/>
                <w:sz w:val="16"/>
                <w:szCs w:val="16"/>
              </w:rPr>
            </w:pPr>
            <w:r>
              <w:rPr>
                <w:rFonts w:cs="Arial"/>
                <w:sz w:val="16"/>
                <w:szCs w:val="16"/>
              </w:rPr>
              <w:t>No. of start-</w:t>
            </w:r>
            <w:r w:rsidR="005660B2" w:rsidRPr="0068151C">
              <w:rPr>
                <w:rFonts w:cs="Arial"/>
                <w:sz w:val="16"/>
                <w:szCs w:val="16"/>
              </w:rPr>
              <w:t>up academies established (DA project)</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4</w:t>
            </w:r>
          </w:p>
          <w:p w:rsidR="005660B2" w:rsidRPr="00AE7502" w:rsidRDefault="005660B2" w:rsidP="0068151C">
            <w:pPr>
              <w:rPr>
                <w:rFonts w:cs="Arial"/>
                <w:i/>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2</w:t>
            </w:r>
          </w:p>
        </w:tc>
        <w:tc>
          <w:tcPr>
            <w:tcW w:w="897" w:type="pct"/>
            <w:shd w:val="clear" w:color="auto" w:fill="auto"/>
            <w:tcMar>
              <w:top w:w="110" w:type="dxa"/>
            </w:tcMar>
          </w:tcPr>
          <w:p w:rsidR="005660B2" w:rsidRPr="009B76E1" w:rsidRDefault="005660B2" w:rsidP="0068151C">
            <w:pPr>
              <w:pStyle w:val="Default"/>
              <w:rPr>
                <w:i/>
                <w:color w:val="auto"/>
                <w:sz w:val="16"/>
                <w:szCs w:val="16"/>
              </w:rPr>
            </w:pPr>
            <w:r w:rsidRPr="009B76E1">
              <w:rPr>
                <w:color w:val="auto"/>
                <w:sz w:val="16"/>
                <w:szCs w:val="16"/>
              </w:rPr>
              <w:t>4 (in 2012/13)</w:t>
            </w:r>
          </w:p>
        </w:tc>
        <w:tc>
          <w:tcPr>
            <w:tcW w:w="1652" w:type="pct"/>
            <w:shd w:val="clear" w:color="auto" w:fill="FFFFFF"/>
            <w:tcMar>
              <w:top w:w="110" w:type="dxa"/>
            </w:tcMar>
          </w:tcPr>
          <w:p w:rsidR="005660B2" w:rsidRPr="009B76E1" w:rsidRDefault="005660B2" w:rsidP="0068151C">
            <w:pPr>
              <w:rPr>
                <w:rFonts w:cs="Arial"/>
                <w:sz w:val="16"/>
                <w:szCs w:val="16"/>
              </w:rPr>
            </w:pPr>
            <w:r w:rsidRPr="009B76E1">
              <w:rPr>
                <w:rFonts w:cs="Arial"/>
                <w:sz w:val="16"/>
                <w:szCs w:val="16"/>
                <w:lang w:bidi="th-TH"/>
              </w:rPr>
              <w:t xml:space="preserve">Four new national IP academies were established by the end of 2013 in Colombia, </w:t>
            </w:r>
            <w:r w:rsidR="007F3E34">
              <w:rPr>
                <w:rFonts w:cs="Arial"/>
                <w:sz w:val="16"/>
                <w:szCs w:val="16"/>
                <w:lang w:bidi="th-TH"/>
              </w:rPr>
              <w:t xml:space="preserve">the </w:t>
            </w:r>
            <w:r w:rsidRPr="009B76E1">
              <w:rPr>
                <w:rFonts w:cs="Arial"/>
                <w:sz w:val="16"/>
                <w:szCs w:val="16"/>
                <w:lang w:bidi="th-TH"/>
              </w:rPr>
              <w:t>Dominican Republic, Peru and Tunisia.  The establishment of institutions in Egypt and Ethiopia were well underway by the end of 2013, with a conclusion of activities envisaged within the 2014/15 biennium</w:t>
            </w:r>
            <w:r w:rsidR="007F3E34">
              <w:rPr>
                <w:rFonts w:cs="Arial"/>
                <w:sz w:val="16"/>
                <w:szCs w:val="16"/>
                <w:lang w:bidi="th-TH"/>
              </w:rPr>
              <w:t>.</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tcBorders>
              <w:bottom w:val="single" w:sz="4" w:space="0" w:color="auto"/>
            </w:tcBorders>
            <w:shd w:val="clear" w:color="auto" w:fill="auto"/>
          </w:tcPr>
          <w:p w:rsidR="005660B2" w:rsidRPr="0068151C" w:rsidRDefault="005660B2" w:rsidP="009B76E1">
            <w:pPr>
              <w:ind w:firstLineChars="3" w:firstLine="5"/>
              <w:rPr>
                <w:rFonts w:cs="Arial"/>
                <w:sz w:val="16"/>
                <w:szCs w:val="16"/>
              </w:rPr>
            </w:pPr>
            <w:r w:rsidRPr="0068151C">
              <w:rPr>
                <w:rFonts w:cs="Arial"/>
                <w:sz w:val="16"/>
                <w:szCs w:val="16"/>
              </w:rPr>
              <w:t>No. of new inter</w:t>
            </w:r>
            <w:r w:rsidR="009B76E1">
              <w:rPr>
                <w:rFonts w:cs="Arial"/>
                <w:sz w:val="16"/>
                <w:szCs w:val="16"/>
              </w:rPr>
              <w:noBreakHyphen/>
            </w:r>
            <w:r w:rsidRPr="0068151C">
              <w:rPr>
                <w:rFonts w:cs="Arial"/>
                <w:sz w:val="16"/>
                <w:szCs w:val="16"/>
              </w:rPr>
              <w:t>institutional cooperation agreements</w:t>
            </w:r>
          </w:p>
        </w:tc>
        <w:tc>
          <w:tcPr>
            <w:tcW w:w="914" w:type="pct"/>
            <w:tcBorders>
              <w:bottom w:val="single" w:sz="4" w:space="0" w:color="auto"/>
            </w:tcBorders>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3 </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2</w:t>
            </w:r>
          </w:p>
        </w:tc>
        <w:tc>
          <w:tcPr>
            <w:tcW w:w="897" w:type="pct"/>
            <w:tcBorders>
              <w:bottom w:val="single" w:sz="4" w:space="0" w:color="auto"/>
            </w:tcBorders>
            <w:shd w:val="clear" w:color="auto" w:fill="auto"/>
            <w:tcMar>
              <w:top w:w="110" w:type="dxa"/>
            </w:tcMar>
          </w:tcPr>
          <w:p w:rsidR="005660B2" w:rsidRPr="009B76E1" w:rsidRDefault="005660B2" w:rsidP="0068151C">
            <w:pPr>
              <w:pStyle w:val="Default"/>
              <w:rPr>
                <w:i/>
                <w:color w:val="auto"/>
                <w:sz w:val="16"/>
                <w:szCs w:val="16"/>
              </w:rPr>
            </w:pPr>
            <w:r w:rsidRPr="009B76E1">
              <w:rPr>
                <w:color w:val="auto"/>
                <w:sz w:val="16"/>
                <w:szCs w:val="16"/>
              </w:rPr>
              <w:t>3 (in 2012/13)</w:t>
            </w:r>
          </w:p>
        </w:tc>
        <w:tc>
          <w:tcPr>
            <w:tcW w:w="1652" w:type="pct"/>
            <w:tcBorders>
              <w:bottom w:val="single" w:sz="4" w:space="0" w:color="auto"/>
            </w:tcBorders>
            <w:shd w:val="clear" w:color="auto" w:fill="FFFFFF"/>
            <w:tcMar>
              <w:top w:w="110" w:type="dxa"/>
            </w:tcMar>
          </w:tcPr>
          <w:p w:rsidR="005660B2" w:rsidRPr="009B76E1" w:rsidRDefault="005660B2" w:rsidP="0068151C">
            <w:pPr>
              <w:rPr>
                <w:rFonts w:cs="Arial"/>
                <w:sz w:val="16"/>
                <w:szCs w:val="16"/>
                <w:lang w:bidi="th-TH"/>
              </w:rPr>
            </w:pPr>
            <w:r w:rsidRPr="009B76E1">
              <w:rPr>
                <w:rFonts w:cs="Arial"/>
                <w:sz w:val="16"/>
                <w:szCs w:val="16"/>
                <w:lang w:bidi="th-TH"/>
              </w:rPr>
              <w:t>By the end of the biennium, five new national training institutions (in Azerbaijan, the Dominican Republic, Morocco, Tunisia and Viet Nam) had joined the Global Network of Intellectual Property Academies (GNIPA).  The participation of the Dominican Republic and Tunisia were one of the expected results under the Start-up Academies Project</w:t>
            </w:r>
            <w:r w:rsidR="007F3E34">
              <w:rPr>
                <w:rFonts w:cs="Arial"/>
                <w:sz w:val="16"/>
                <w:szCs w:val="16"/>
                <w:lang w:bidi="th-TH"/>
              </w:rPr>
              <w:t>.</w:t>
            </w:r>
          </w:p>
          <w:p w:rsidR="005660B2" w:rsidRPr="009B76E1" w:rsidRDefault="005660B2" w:rsidP="0068151C">
            <w:pPr>
              <w:rPr>
                <w:rFonts w:cs="Arial"/>
                <w:sz w:val="16"/>
                <w:szCs w:val="16"/>
              </w:rPr>
            </w:pPr>
          </w:p>
        </w:tc>
        <w:tc>
          <w:tcPr>
            <w:tcW w:w="682" w:type="pct"/>
            <w:tcBorders>
              <w:bottom w:val="single" w:sz="4" w:space="0" w:color="auto"/>
            </w:tcBorders>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68151C">
        <w:tc>
          <w:tcPr>
            <w:tcW w:w="5000" w:type="pct"/>
            <w:gridSpan w:val="5"/>
            <w:tcBorders>
              <w:top w:val="single" w:sz="4" w:space="0" w:color="auto"/>
              <w:bottom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Easier access to IP education</w:t>
            </w:r>
          </w:p>
        </w:tc>
      </w:tr>
      <w:tr w:rsidR="005660B2" w:rsidRPr="0068151C" w:rsidTr="00AE7502">
        <w:tc>
          <w:tcPr>
            <w:tcW w:w="855" w:type="pct"/>
            <w:tcBorders>
              <w:top w:val="single" w:sz="4" w:space="0" w:color="auto"/>
            </w:tcBorders>
            <w:shd w:val="clear" w:color="auto" w:fill="auto"/>
            <w:vAlign w:val="center"/>
          </w:tcPr>
          <w:p w:rsidR="005660B2" w:rsidRPr="0068151C" w:rsidRDefault="005660B2" w:rsidP="00AE7502">
            <w:pPr>
              <w:rPr>
                <w:rFonts w:cs="Arial"/>
                <w:sz w:val="16"/>
                <w:szCs w:val="16"/>
              </w:rPr>
            </w:pPr>
            <w:r w:rsidRPr="0068151C">
              <w:rPr>
                <w:rFonts w:cs="Arial"/>
                <w:b/>
                <w:bCs/>
                <w:sz w:val="16"/>
                <w:szCs w:val="16"/>
              </w:rPr>
              <w:t>Performance Indicators</w:t>
            </w:r>
          </w:p>
        </w:tc>
        <w:tc>
          <w:tcPr>
            <w:tcW w:w="914" w:type="pct"/>
            <w:tcBorders>
              <w:top w:val="single" w:sz="4" w:space="0" w:color="auto"/>
            </w:tcBorders>
            <w:shd w:val="clear" w:color="auto" w:fill="auto"/>
            <w:vAlign w:val="center"/>
          </w:tcPr>
          <w:p w:rsidR="005660B2" w:rsidRPr="0068151C" w:rsidRDefault="005660B2" w:rsidP="00AE7502">
            <w:pPr>
              <w:rPr>
                <w:rFonts w:cs="Arial"/>
                <w:b/>
                <w:bCs/>
                <w:sz w:val="16"/>
                <w:szCs w:val="16"/>
              </w:rPr>
            </w:pPr>
            <w:r w:rsidRPr="0068151C">
              <w:rPr>
                <w:rFonts w:cs="Arial"/>
                <w:b/>
                <w:bCs/>
                <w:sz w:val="16"/>
                <w:szCs w:val="16"/>
              </w:rPr>
              <w:t>Baselines</w:t>
            </w:r>
          </w:p>
        </w:tc>
        <w:tc>
          <w:tcPr>
            <w:tcW w:w="897" w:type="pct"/>
            <w:tcBorders>
              <w:top w:val="single" w:sz="4" w:space="0" w:color="auto"/>
            </w:tcBorders>
            <w:shd w:val="clear" w:color="auto" w:fill="auto"/>
            <w:tcMar>
              <w:top w:w="110" w:type="dxa"/>
            </w:tcMar>
            <w:vAlign w:val="center"/>
          </w:tcPr>
          <w:p w:rsidR="005660B2" w:rsidRPr="0068151C" w:rsidRDefault="005660B2" w:rsidP="00AE7502">
            <w:pPr>
              <w:rPr>
                <w:rFonts w:cs="Arial"/>
                <w:b/>
                <w:sz w:val="16"/>
                <w:szCs w:val="16"/>
              </w:rPr>
            </w:pPr>
            <w:r w:rsidRPr="0068151C">
              <w:rPr>
                <w:rFonts w:cs="Arial"/>
                <w:b/>
                <w:sz w:val="16"/>
                <w:szCs w:val="16"/>
              </w:rPr>
              <w:t>Target</w:t>
            </w:r>
            <w:r w:rsidR="00582788">
              <w:rPr>
                <w:rFonts w:cs="Arial"/>
                <w:b/>
                <w:sz w:val="16"/>
                <w:szCs w:val="16"/>
              </w:rPr>
              <w:t>s</w:t>
            </w:r>
          </w:p>
        </w:tc>
        <w:tc>
          <w:tcPr>
            <w:tcW w:w="1652" w:type="pct"/>
            <w:tcBorders>
              <w:top w:val="single" w:sz="4" w:space="0" w:color="auto"/>
            </w:tcBorders>
            <w:shd w:val="clear" w:color="auto" w:fill="FFFFFF"/>
            <w:tcMar>
              <w:top w:w="110" w:type="dxa"/>
            </w:tcMar>
            <w:vAlign w:val="center"/>
          </w:tcPr>
          <w:p w:rsidR="005660B2" w:rsidRPr="0068151C" w:rsidRDefault="005660B2" w:rsidP="00AE7502">
            <w:pPr>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5660B2" w:rsidRPr="0068151C" w:rsidRDefault="005660B2" w:rsidP="00AE7502">
            <w:pPr>
              <w:keepNext/>
              <w:keepLines/>
              <w:jc w:val="center"/>
              <w:rPr>
                <w:rFonts w:cs="Arial"/>
                <w:b/>
                <w:bCs/>
                <w:sz w:val="16"/>
                <w:szCs w:val="16"/>
              </w:rPr>
            </w:pPr>
            <w:r w:rsidRPr="0068151C">
              <w:rPr>
                <w:rFonts w:cs="Arial"/>
                <w:b/>
                <w:bCs/>
                <w:sz w:val="16"/>
                <w:szCs w:val="16"/>
              </w:rPr>
              <w:t>TLS</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No. of online registrations to DL courses</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83,000 </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w:t>
            </w:r>
          </w:p>
          <w:p w:rsidR="005660B2" w:rsidRPr="0068151C" w:rsidRDefault="005660B2" w:rsidP="0068151C">
            <w:pPr>
              <w:rPr>
                <w:rFonts w:cs="Arial"/>
                <w:sz w:val="16"/>
                <w:szCs w:val="16"/>
              </w:rPr>
            </w:pPr>
            <w:r w:rsidRPr="0068151C">
              <w:rPr>
                <w:rFonts w:cs="Arial"/>
                <w:sz w:val="16"/>
                <w:szCs w:val="16"/>
              </w:rPr>
              <w:t>100,000</w:t>
            </w:r>
          </w:p>
        </w:tc>
        <w:tc>
          <w:tcPr>
            <w:tcW w:w="897" w:type="pct"/>
            <w:shd w:val="clear" w:color="auto" w:fill="auto"/>
            <w:tcMar>
              <w:top w:w="110" w:type="dxa"/>
            </w:tcMar>
          </w:tcPr>
          <w:p w:rsidR="005660B2" w:rsidRPr="0068151C" w:rsidRDefault="005660B2" w:rsidP="0068151C">
            <w:pPr>
              <w:autoSpaceDE w:val="0"/>
              <w:autoSpaceDN w:val="0"/>
              <w:adjustRightInd w:val="0"/>
              <w:rPr>
                <w:rFonts w:cs="Arial"/>
                <w:sz w:val="16"/>
                <w:szCs w:val="16"/>
              </w:rPr>
            </w:pPr>
            <w:r w:rsidRPr="0068151C">
              <w:rPr>
                <w:rFonts w:cs="Arial"/>
                <w:sz w:val="16"/>
                <w:szCs w:val="16"/>
              </w:rPr>
              <w:t>100,000</w:t>
            </w:r>
          </w:p>
          <w:p w:rsidR="005660B2" w:rsidRPr="0068151C" w:rsidRDefault="005660B2" w:rsidP="0068151C">
            <w:pPr>
              <w:pStyle w:val="Default"/>
            </w:pPr>
            <w:r w:rsidRPr="0068151C">
              <w:rPr>
                <w:color w:val="auto"/>
                <w:sz w:val="16"/>
                <w:szCs w:val="16"/>
              </w:rPr>
              <w:t xml:space="preserve">(in 2012/13) </w:t>
            </w:r>
          </w:p>
        </w:tc>
        <w:tc>
          <w:tcPr>
            <w:tcW w:w="1652"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81,484 online registrations in the biennium (registrations were temporarily suspended in 2013 at the request of the IP Office in China to enable IT platform adjustments and staff retraining)</w:t>
            </w:r>
          </w:p>
          <w:p w:rsidR="005660B2" w:rsidRPr="0068151C" w:rsidRDefault="005660B2" w:rsidP="005703CF">
            <w:pPr>
              <w:pStyle w:val="ListParagraph"/>
              <w:numPr>
                <w:ilvl w:val="0"/>
                <w:numId w:val="37"/>
              </w:numPr>
              <w:rPr>
                <w:rFonts w:cs="Arial"/>
                <w:sz w:val="16"/>
                <w:szCs w:val="16"/>
                <w:lang w:bidi="th-TH"/>
              </w:rPr>
            </w:pPr>
            <w:r w:rsidRPr="0068151C">
              <w:rPr>
                <w:rFonts w:cs="Arial"/>
                <w:sz w:val="16"/>
                <w:szCs w:val="16"/>
                <w:lang w:bidi="th-TH"/>
              </w:rPr>
              <w:t>40,844 (2012)</w:t>
            </w:r>
          </w:p>
          <w:p w:rsidR="005660B2" w:rsidRPr="0068151C" w:rsidRDefault="005660B2" w:rsidP="005703CF">
            <w:pPr>
              <w:pStyle w:val="ListParagraph"/>
              <w:numPr>
                <w:ilvl w:val="0"/>
                <w:numId w:val="37"/>
              </w:numPr>
              <w:rPr>
                <w:rFonts w:cs="Arial"/>
                <w:sz w:val="16"/>
                <w:szCs w:val="16"/>
                <w:lang w:bidi="th-TH"/>
              </w:rPr>
            </w:pPr>
            <w:r w:rsidRPr="0068151C">
              <w:rPr>
                <w:rFonts w:cs="Arial"/>
                <w:sz w:val="16"/>
                <w:szCs w:val="16"/>
                <w:lang w:bidi="th-TH"/>
              </w:rPr>
              <w:t>40,640 (2013)</w:t>
            </w:r>
          </w:p>
        </w:tc>
        <w:tc>
          <w:tcPr>
            <w:tcW w:w="682" w:type="pct"/>
            <w:shd w:val="clear" w:color="auto" w:fill="auto"/>
            <w:tcMar>
              <w:top w:w="110" w:type="dxa"/>
            </w:tcMar>
          </w:tcPr>
          <w:p w:rsidR="005660B2" w:rsidRPr="0068151C" w:rsidRDefault="005660B2" w:rsidP="0068151C">
            <w:pPr>
              <w:keepNext/>
              <w:keepLines/>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Completion rate of DL courses</w:t>
            </w:r>
          </w:p>
        </w:tc>
        <w:tc>
          <w:tcPr>
            <w:tcW w:w="914" w:type="pct"/>
            <w:shd w:val="clear" w:color="auto" w:fill="auto"/>
          </w:tcPr>
          <w:p w:rsidR="005660B2" w:rsidRPr="0068151C" w:rsidRDefault="005660B2" w:rsidP="0068151C">
            <w:pPr>
              <w:pStyle w:val="Default"/>
              <w:rPr>
                <w:color w:val="002060"/>
                <w:sz w:val="16"/>
                <w:szCs w:val="16"/>
              </w:rPr>
            </w:pPr>
            <w:r w:rsidRPr="0068151C">
              <w:rPr>
                <w:i/>
                <w:color w:val="002060"/>
                <w:sz w:val="16"/>
                <w:szCs w:val="16"/>
              </w:rPr>
              <w:t xml:space="preserve">Updated Baseline end 2011:  </w:t>
            </w:r>
            <w:r w:rsidRPr="0068151C">
              <w:rPr>
                <w:color w:val="002060"/>
                <w:sz w:val="16"/>
                <w:szCs w:val="16"/>
              </w:rPr>
              <w:t>68%</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60%</w:t>
            </w:r>
          </w:p>
        </w:tc>
        <w:tc>
          <w:tcPr>
            <w:tcW w:w="897" w:type="pct"/>
            <w:shd w:val="clear" w:color="auto" w:fill="auto"/>
            <w:tcMar>
              <w:top w:w="110" w:type="dxa"/>
            </w:tcMar>
          </w:tcPr>
          <w:p w:rsidR="005660B2" w:rsidRPr="007F3E34" w:rsidRDefault="005660B2" w:rsidP="0068151C">
            <w:pPr>
              <w:pStyle w:val="Default"/>
              <w:rPr>
                <w:color w:val="auto"/>
                <w:sz w:val="16"/>
                <w:szCs w:val="16"/>
              </w:rPr>
            </w:pPr>
            <w:r w:rsidRPr="007F3E34">
              <w:rPr>
                <w:color w:val="auto"/>
                <w:sz w:val="16"/>
                <w:szCs w:val="16"/>
              </w:rPr>
              <w:t>75%</w:t>
            </w:r>
          </w:p>
        </w:tc>
        <w:tc>
          <w:tcPr>
            <w:tcW w:w="1652" w:type="pct"/>
            <w:shd w:val="clear" w:color="auto" w:fill="FFFFFF"/>
            <w:tcMar>
              <w:top w:w="110" w:type="dxa"/>
            </w:tcMar>
          </w:tcPr>
          <w:p w:rsidR="005660B2" w:rsidRPr="007F3E34" w:rsidRDefault="005660B2" w:rsidP="0068151C">
            <w:pPr>
              <w:rPr>
                <w:rFonts w:cs="Arial"/>
                <w:sz w:val="16"/>
                <w:szCs w:val="16"/>
                <w:lang w:bidi="th-TH"/>
              </w:rPr>
            </w:pPr>
            <w:r w:rsidRPr="007F3E34">
              <w:rPr>
                <w:rFonts w:cs="Arial"/>
                <w:sz w:val="16"/>
                <w:szCs w:val="16"/>
                <w:lang w:bidi="th-TH"/>
              </w:rPr>
              <w:t>71%</w:t>
            </w:r>
          </w:p>
        </w:tc>
        <w:tc>
          <w:tcPr>
            <w:tcW w:w="682" w:type="pct"/>
            <w:shd w:val="clear" w:color="auto" w:fill="auto"/>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 of DL course participants having passed the exam</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64%</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w:t>
            </w:r>
            <w:r w:rsidR="009B76E1">
              <w:rPr>
                <w:rFonts w:cs="Arial"/>
                <w:sz w:val="16"/>
                <w:szCs w:val="16"/>
              </w:rPr>
              <w:t xml:space="preserve"> </w:t>
            </w:r>
            <w:r w:rsidRPr="0068151C">
              <w:rPr>
                <w:rFonts w:cs="Arial"/>
                <w:sz w:val="16"/>
                <w:szCs w:val="16"/>
              </w:rPr>
              <w:t>65%</w:t>
            </w:r>
          </w:p>
        </w:tc>
        <w:tc>
          <w:tcPr>
            <w:tcW w:w="897" w:type="pct"/>
            <w:shd w:val="clear" w:color="auto" w:fill="auto"/>
            <w:tcMar>
              <w:top w:w="110" w:type="dxa"/>
            </w:tcMar>
          </w:tcPr>
          <w:p w:rsidR="005660B2" w:rsidRPr="007F3E34" w:rsidRDefault="005660B2" w:rsidP="0068151C">
            <w:pPr>
              <w:pStyle w:val="Default"/>
              <w:rPr>
                <w:color w:val="auto"/>
                <w:sz w:val="16"/>
                <w:szCs w:val="16"/>
              </w:rPr>
            </w:pPr>
            <w:r w:rsidRPr="007F3E34">
              <w:rPr>
                <w:color w:val="auto"/>
                <w:sz w:val="16"/>
                <w:szCs w:val="16"/>
              </w:rPr>
              <w:t>75%</w:t>
            </w:r>
          </w:p>
        </w:tc>
        <w:tc>
          <w:tcPr>
            <w:tcW w:w="1652" w:type="pct"/>
            <w:shd w:val="clear" w:color="auto" w:fill="FFFFFF"/>
            <w:tcMar>
              <w:top w:w="110" w:type="dxa"/>
            </w:tcMar>
          </w:tcPr>
          <w:p w:rsidR="005660B2" w:rsidRPr="007F3E34" w:rsidRDefault="005660B2" w:rsidP="0068151C">
            <w:pPr>
              <w:rPr>
                <w:rFonts w:cs="Arial"/>
                <w:sz w:val="16"/>
                <w:szCs w:val="16"/>
                <w:lang w:bidi="th-TH"/>
              </w:rPr>
            </w:pPr>
            <w:r w:rsidRPr="007F3E34">
              <w:rPr>
                <w:rFonts w:cs="Arial"/>
                <w:sz w:val="16"/>
                <w:szCs w:val="16"/>
                <w:lang w:bidi="th-TH"/>
              </w:rPr>
              <w:t>78%</w:t>
            </w:r>
          </w:p>
        </w:tc>
        <w:tc>
          <w:tcPr>
            <w:tcW w:w="682" w:type="pct"/>
            <w:shd w:val="clear" w:color="auto" w:fill="auto"/>
            <w:tcMar>
              <w:top w:w="110" w:type="dxa"/>
            </w:tcMar>
          </w:tcPr>
          <w:p w:rsidR="005660B2" w:rsidRPr="0068151C" w:rsidRDefault="005660B2" w:rsidP="0068151C">
            <w:pPr>
              <w:keepNext/>
              <w:keepLines/>
              <w:spacing w:after="120"/>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No. of Academy courses incorporated in educational institutions curricula</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10</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w:t>
            </w:r>
          </w:p>
          <w:p w:rsidR="005660B2" w:rsidRPr="0068151C" w:rsidRDefault="005660B2" w:rsidP="0068151C">
            <w:pPr>
              <w:rPr>
                <w:rFonts w:cs="Arial"/>
                <w:sz w:val="16"/>
                <w:szCs w:val="16"/>
              </w:rPr>
            </w:pPr>
            <w:r w:rsidRPr="0068151C">
              <w:rPr>
                <w:rFonts w:cs="Arial"/>
                <w:sz w:val="16"/>
                <w:szCs w:val="16"/>
              </w:rPr>
              <w:t>8 (2010/11)</w:t>
            </w:r>
          </w:p>
          <w:p w:rsidR="005660B2" w:rsidRPr="0068151C" w:rsidRDefault="005660B2" w:rsidP="0068151C">
            <w:pPr>
              <w:rPr>
                <w:rFonts w:cs="Arial"/>
                <w:sz w:val="16"/>
                <w:szCs w:val="16"/>
              </w:rPr>
            </w:pPr>
          </w:p>
        </w:tc>
        <w:tc>
          <w:tcPr>
            <w:tcW w:w="897" w:type="pct"/>
            <w:shd w:val="clear" w:color="auto" w:fill="auto"/>
            <w:tcMar>
              <w:top w:w="110" w:type="dxa"/>
            </w:tcMar>
          </w:tcPr>
          <w:p w:rsidR="005660B2" w:rsidRPr="007F3E34" w:rsidRDefault="005660B2" w:rsidP="0068151C">
            <w:pPr>
              <w:pStyle w:val="Default"/>
              <w:rPr>
                <w:color w:val="auto"/>
                <w:sz w:val="16"/>
                <w:szCs w:val="16"/>
              </w:rPr>
            </w:pPr>
            <w:r w:rsidRPr="007F3E34">
              <w:rPr>
                <w:color w:val="auto"/>
                <w:sz w:val="16"/>
                <w:szCs w:val="16"/>
              </w:rPr>
              <w:t>8 (in 2012/13)</w:t>
            </w:r>
          </w:p>
        </w:tc>
        <w:tc>
          <w:tcPr>
            <w:tcW w:w="1652" w:type="pct"/>
            <w:shd w:val="clear" w:color="auto" w:fill="FFFFFF"/>
            <w:tcMar>
              <w:top w:w="110" w:type="dxa"/>
            </w:tcMar>
          </w:tcPr>
          <w:p w:rsidR="005660B2" w:rsidRPr="007F3E34" w:rsidRDefault="005660B2" w:rsidP="0068151C">
            <w:pPr>
              <w:rPr>
                <w:rFonts w:cs="Arial"/>
                <w:sz w:val="16"/>
                <w:szCs w:val="16"/>
                <w:lang w:bidi="th-TH"/>
              </w:rPr>
            </w:pPr>
            <w:r w:rsidRPr="007F3E34">
              <w:rPr>
                <w:rFonts w:cs="Arial"/>
                <w:sz w:val="16"/>
                <w:szCs w:val="16"/>
                <w:lang w:bidi="th-TH"/>
              </w:rPr>
              <w:t>11</w:t>
            </w:r>
          </w:p>
        </w:tc>
        <w:tc>
          <w:tcPr>
            <w:tcW w:w="682" w:type="pct"/>
            <w:shd w:val="clear" w:color="auto" w:fill="auto"/>
            <w:tcMar>
              <w:top w:w="110" w:type="dxa"/>
            </w:tcMar>
          </w:tcPr>
          <w:p w:rsidR="005660B2" w:rsidRPr="0068151C" w:rsidRDefault="005660B2" w:rsidP="0068151C">
            <w:pPr>
              <w:keepNext/>
              <w:keepLines/>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auto"/>
          </w:tcPr>
          <w:p w:rsidR="005660B2" w:rsidRPr="0068151C" w:rsidRDefault="005660B2" w:rsidP="0068151C">
            <w:pPr>
              <w:keepNext/>
              <w:keepLines/>
              <w:ind w:firstLineChars="3" w:firstLine="5"/>
              <w:rPr>
                <w:rFonts w:cs="Arial"/>
                <w:sz w:val="16"/>
                <w:szCs w:val="16"/>
              </w:rPr>
            </w:pPr>
            <w:r w:rsidRPr="0068151C">
              <w:rPr>
                <w:rFonts w:cs="Arial"/>
                <w:sz w:val="16"/>
                <w:szCs w:val="16"/>
              </w:rPr>
              <w:lastRenderedPageBreak/>
              <w:t>No. of new online courses / at different levels of specialization</w:t>
            </w:r>
          </w:p>
        </w:tc>
        <w:tc>
          <w:tcPr>
            <w:tcW w:w="914" w:type="pct"/>
            <w:shd w:val="clear" w:color="auto" w:fill="auto"/>
          </w:tcPr>
          <w:p w:rsidR="005660B2" w:rsidRPr="0068151C" w:rsidRDefault="005660B2" w:rsidP="0068151C">
            <w:pPr>
              <w:keepNext/>
              <w:keepLines/>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2 </w:t>
            </w:r>
          </w:p>
          <w:p w:rsidR="005660B2" w:rsidRPr="00AE7502" w:rsidRDefault="005660B2" w:rsidP="0068151C">
            <w:pPr>
              <w:keepNext/>
              <w:keepLines/>
              <w:rPr>
                <w:rFonts w:cs="Arial"/>
                <w:i/>
                <w:color w:val="002060"/>
                <w:sz w:val="8"/>
                <w:szCs w:val="8"/>
              </w:rPr>
            </w:pPr>
          </w:p>
          <w:p w:rsidR="005660B2" w:rsidRPr="0068151C" w:rsidRDefault="005660B2" w:rsidP="0068151C">
            <w:pPr>
              <w:keepNext/>
              <w:keepLines/>
              <w:rPr>
                <w:rFonts w:cs="Arial"/>
                <w:sz w:val="16"/>
                <w:szCs w:val="16"/>
              </w:rPr>
            </w:pPr>
            <w:r w:rsidRPr="0068151C">
              <w:rPr>
                <w:rFonts w:cs="Arial"/>
                <w:i/>
                <w:sz w:val="16"/>
                <w:szCs w:val="16"/>
              </w:rPr>
              <w:t>Original Baseline P&amp;B 2012/13:</w:t>
            </w:r>
            <w:r w:rsidRPr="0068151C">
              <w:rPr>
                <w:rFonts w:cs="Arial"/>
                <w:sz w:val="16"/>
                <w:szCs w:val="16"/>
              </w:rPr>
              <w:t xml:space="preserve"> </w:t>
            </w:r>
          </w:p>
          <w:p w:rsidR="005660B2" w:rsidRPr="0068151C" w:rsidRDefault="005660B2" w:rsidP="0068151C">
            <w:pPr>
              <w:keepNext/>
              <w:keepLines/>
              <w:rPr>
                <w:rFonts w:cs="Arial"/>
                <w:sz w:val="16"/>
                <w:szCs w:val="16"/>
              </w:rPr>
            </w:pPr>
            <w:r w:rsidRPr="0068151C">
              <w:rPr>
                <w:rFonts w:cs="Arial"/>
                <w:sz w:val="16"/>
                <w:szCs w:val="16"/>
              </w:rPr>
              <w:t>2 (2010/11)</w:t>
            </w:r>
          </w:p>
        </w:tc>
        <w:tc>
          <w:tcPr>
            <w:tcW w:w="897" w:type="pct"/>
            <w:shd w:val="clear" w:color="auto" w:fill="auto"/>
            <w:tcMar>
              <w:top w:w="110" w:type="dxa"/>
            </w:tcMar>
          </w:tcPr>
          <w:p w:rsidR="005660B2" w:rsidRPr="0068151C" w:rsidRDefault="005660B2" w:rsidP="0068151C">
            <w:pPr>
              <w:keepNext/>
              <w:keepLines/>
              <w:rPr>
                <w:rFonts w:cs="Arial"/>
                <w:sz w:val="16"/>
                <w:szCs w:val="16"/>
              </w:rPr>
            </w:pPr>
            <w:r w:rsidRPr="0068151C">
              <w:rPr>
                <w:rFonts w:cs="Arial"/>
                <w:sz w:val="16"/>
                <w:szCs w:val="16"/>
              </w:rPr>
              <w:t>3 (in 2012/13)</w:t>
            </w:r>
          </w:p>
        </w:tc>
        <w:tc>
          <w:tcPr>
            <w:tcW w:w="1652" w:type="pct"/>
            <w:shd w:val="clear" w:color="auto" w:fill="FFFFFF"/>
            <w:tcMar>
              <w:top w:w="110" w:type="dxa"/>
            </w:tcMar>
          </w:tcPr>
          <w:p w:rsidR="005660B2" w:rsidRPr="0068151C" w:rsidRDefault="005660B2" w:rsidP="0068151C">
            <w:pPr>
              <w:keepNext/>
              <w:keepLines/>
              <w:rPr>
                <w:rFonts w:cs="Arial"/>
                <w:sz w:val="16"/>
                <w:szCs w:val="16"/>
                <w:lang w:bidi="th-TH"/>
              </w:rPr>
            </w:pPr>
            <w:r w:rsidRPr="0068151C">
              <w:rPr>
                <w:rFonts w:cs="Arial"/>
                <w:sz w:val="16"/>
                <w:szCs w:val="16"/>
                <w:lang w:bidi="th-TH"/>
              </w:rPr>
              <w:t>In the biennium, work was deployed to launch three new courses (Collective Management of Copyright and Related Rights</w:t>
            </w:r>
            <w:proofErr w:type="gramStart"/>
            <w:r w:rsidRPr="0068151C">
              <w:rPr>
                <w:rFonts w:cs="Arial"/>
                <w:sz w:val="16"/>
                <w:szCs w:val="16"/>
                <w:lang w:bidi="th-TH"/>
              </w:rPr>
              <w:t>;</w:t>
            </w:r>
            <w:r w:rsidR="007F3E34">
              <w:rPr>
                <w:rFonts w:cs="Arial"/>
                <w:sz w:val="16"/>
                <w:szCs w:val="16"/>
                <w:lang w:bidi="th-TH"/>
              </w:rPr>
              <w:t xml:space="preserve"> </w:t>
            </w:r>
            <w:r w:rsidRPr="0068151C">
              <w:rPr>
                <w:rFonts w:cs="Arial"/>
                <w:sz w:val="16"/>
                <w:szCs w:val="16"/>
                <w:lang w:bidi="th-TH"/>
              </w:rPr>
              <w:t xml:space="preserve"> IP</w:t>
            </w:r>
            <w:proofErr w:type="gramEnd"/>
            <w:r w:rsidRPr="0068151C">
              <w:rPr>
                <w:rFonts w:cs="Arial"/>
                <w:sz w:val="16"/>
                <w:szCs w:val="16"/>
                <w:lang w:bidi="th-TH"/>
              </w:rPr>
              <w:t xml:space="preserve"> and Public Health; Economics of IP).  Content development and e-learning adaptation did however take longer than expected.</w:t>
            </w:r>
          </w:p>
        </w:tc>
        <w:tc>
          <w:tcPr>
            <w:tcW w:w="682" w:type="pct"/>
            <w:shd w:val="clear" w:color="auto" w:fill="auto"/>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FF0000"/>
                <w:sz w:val="16"/>
                <w:szCs w:val="16"/>
              </w:rPr>
              <w:t>Not</w:t>
            </w:r>
            <w:r w:rsidRPr="0068151C">
              <w:rPr>
                <w:rStyle w:val="Style5"/>
                <w:rFonts w:ascii="Arial" w:hAnsi="Arial" w:cs="Arial"/>
                <w:color w:val="FF0000"/>
                <w:sz w:val="16"/>
                <w:szCs w:val="16"/>
              </w:rPr>
              <w:br/>
              <w:t>Achieved</w:t>
            </w:r>
          </w:p>
        </w:tc>
      </w:tr>
      <w:tr w:rsidR="005660B2" w:rsidRPr="0068151C" w:rsidTr="00AE7502">
        <w:tc>
          <w:tcPr>
            <w:tcW w:w="855" w:type="pct"/>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No. of languages in which courses are offered</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 xml:space="preserve">11 </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11</w:t>
            </w:r>
          </w:p>
        </w:tc>
        <w:tc>
          <w:tcPr>
            <w:tcW w:w="897" w:type="pct"/>
            <w:shd w:val="clear" w:color="auto" w:fill="auto"/>
            <w:tcMar>
              <w:top w:w="110" w:type="dxa"/>
            </w:tcMar>
          </w:tcPr>
          <w:p w:rsidR="005660B2" w:rsidRPr="0068151C" w:rsidRDefault="005660B2" w:rsidP="0068151C">
            <w:pPr>
              <w:pStyle w:val="Default"/>
              <w:rPr>
                <w:color w:val="auto"/>
                <w:sz w:val="16"/>
                <w:szCs w:val="16"/>
              </w:rPr>
            </w:pPr>
            <w:r w:rsidRPr="0068151C">
              <w:rPr>
                <w:sz w:val="16"/>
                <w:szCs w:val="16"/>
              </w:rPr>
              <w:t>11</w:t>
            </w:r>
          </w:p>
        </w:tc>
        <w:tc>
          <w:tcPr>
            <w:tcW w:w="1652"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11</w:t>
            </w:r>
          </w:p>
        </w:tc>
        <w:tc>
          <w:tcPr>
            <w:tcW w:w="682" w:type="pct"/>
            <w:shd w:val="clear" w:color="auto" w:fill="auto"/>
            <w:tcMar>
              <w:top w:w="110" w:type="dxa"/>
            </w:tcMar>
          </w:tcPr>
          <w:p w:rsidR="005660B2" w:rsidRPr="0068151C" w:rsidRDefault="005660B2" w:rsidP="0068151C">
            <w:pPr>
              <w:keepNext/>
              <w:keepLines/>
              <w:spacing w:after="120"/>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E12E7C">
              <w:rPr>
                <w:rStyle w:val="Style5"/>
                <w:rFonts w:ascii="Arial" w:hAnsi="Arial" w:cs="Arial"/>
                <w:sz w:val="16"/>
                <w:szCs w:val="16"/>
              </w:rPr>
              <w:t xml:space="preserve"> </w:t>
            </w:r>
          </w:p>
        </w:tc>
      </w:tr>
      <w:tr w:rsidR="005660B2" w:rsidRPr="0068151C" w:rsidTr="00AE7502">
        <w:tc>
          <w:tcPr>
            <w:tcW w:w="855" w:type="pct"/>
            <w:tcBorders>
              <w:bottom w:val="single" w:sz="4" w:space="0" w:color="auto"/>
            </w:tcBorders>
            <w:shd w:val="clear" w:color="auto" w:fill="auto"/>
          </w:tcPr>
          <w:p w:rsidR="005660B2" w:rsidRPr="0068151C" w:rsidRDefault="005660B2" w:rsidP="0068151C">
            <w:pPr>
              <w:ind w:firstLineChars="3" w:firstLine="5"/>
              <w:rPr>
                <w:rFonts w:cs="Arial"/>
                <w:sz w:val="16"/>
                <w:szCs w:val="16"/>
              </w:rPr>
            </w:pPr>
            <w:r w:rsidRPr="0068151C">
              <w:rPr>
                <w:rFonts w:cs="Arial"/>
                <w:sz w:val="16"/>
                <w:szCs w:val="16"/>
              </w:rPr>
              <w:t>No. of scholarships for developing countries, LDCs and countries with economies in transition</w:t>
            </w:r>
          </w:p>
        </w:tc>
        <w:tc>
          <w:tcPr>
            <w:tcW w:w="914" w:type="pct"/>
            <w:tcBorders>
              <w:bottom w:val="single" w:sz="4" w:space="0" w:color="auto"/>
            </w:tcBorders>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920</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w:t>
            </w:r>
          </w:p>
          <w:p w:rsidR="005660B2" w:rsidRPr="0068151C" w:rsidRDefault="005660B2" w:rsidP="0068151C">
            <w:pPr>
              <w:rPr>
                <w:rFonts w:cs="Arial"/>
                <w:sz w:val="16"/>
                <w:szCs w:val="16"/>
              </w:rPr>
            </w:pPr>
            <w:r w:rsidRPr="0068151C">
              <w:rPr>
                <w:rFonts w:cs="Arial"/>
                <w:sz w:val="16"/>
                <w:szCs w:val="16"/>
              </w:rPr>
              <w:t>1,000 (2010/11)</w:t>
            </w:r>
          </w:p>
          <w:p w:rsidR="005660B2" w:rsidRPr="0068151C" w:rsidRDefault="005660B2" w:rsidP="0068151C">
            <w:pPr>
              <w:rPr>
                <w:rFonts w:cs="Arial"/>
                <w:sz w:val="16"/>
                <w:szCs w:val="16"/>
              </w:rPr>
            </w:pPr>
          </w:p>
        </w:tc>
        <w:tc>
          <w:tcPr>
            <w:tcW w:w="897" w:type="pct"/>
            <w:tcBorders>
              <w:bottom w:val="single" w:sz="4" w:space="0" w:color="auto"/>
            </w:tcBorders>
            <w:shd w:val="clear" w:color="auto" w:fill="auto"/>
            <w:tcMar>
              <w:top w:w="110" w:type="dxa"/>
            </w:tcMar>
          </w:tcPr>
          <w:p w:rsidR="005660B2" w:rsidRPr="0068151C" w:rsidRDefault="005660B2" w:rsidP="0068151C">
            <w:pPr>
              <w:rPr>
                <w:rFonts w:cs="Arial"/>
                <w:sz w:val="16"/>
                <w:szCs w:val="16"/>
              </w:rPr>
            </w:pPr>
            <w:r w:rsidRPr="0068151C">
              <w:rPr>
                <w:rFonts w:cs="Arial"/>
                <w:sz w:val="16"/>
                <w:szCs w:val="16"/>
              </w:rPr>
              <w:t>1,400</w:t>
            </w:r>
          </w:p>
          <w:p w:rsidR="005660B2" w:rsidRPr="0068151C" w:rsidRDefault="005660B2" w:rsidP="0068151C">
            <w:pPr>
              <w:rPr>
                <w:rFonts w:cs="Arial"/>
                <w:sz w:val="16"/>
                <w:szCs w:val="16"/>
              </w:rPr>
            </w:pPr>
          </w:p>
        </w:tc>
        <w:tc>
          <w:tcPr>
            <w:tcW w:w="1652" w:type="pct"/>
            <w:tcBorders>
              <w:bottom w:val="single" w:sz="4" w:space="0" w:color="auto"/>
            </w:tcBorders>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2,415 (biennium)</w:t>
            </w:r>
          </w:p>
          <w:p w:rsidR="005660B2" w:rsidRPr="0068151C" w:rsidRDefault="005660B2" w:rsidP="005703CF">
            <w:pPr>
              <w:pStyle w:val="ListParagraph"/>
              <w:numPr>
                <w:ilvl w:val="0"/>
                <w:numId w:val="37"/>
              </w:numPr>
              <w:rPr>
                <w:rFonts w:cs="Arial"/>
                <w:sz w:val="16"/>
                <w:szCs w:val="16"/>
                <w:lang w:bidi="th-TH"/>
              </w:rPr>
            </w:pPr>
            <w:r w:rsidRPr="0068151C">
              <w:rPr>
                <w:rFonts w:cs="Arial"/>
                <w:sz w:val="16"/>
                <w:szCs w:val="16"/>
                <w:lang w:bidi="th-TH"/>
              </w:rPr>
              <w:t>845 (2012)</w:t>
            </w:r>
          </w:p>
          <w:p w:rsidR="005660B2" w:rsidRPr="0068151C" w:rsidRDefault="005660B2" w:rsidP="005703CF">
            <w:pPr>
              <w:pStyle w:val="ListParagraph"/>
              <w:numPr>
                <w:ilvl w:val="0"/>
                <w:numId w:val="37"/>
              </w:numPr>
              <w:rPr>
                <w:rFonts w:cs="Arial"/>
              </w:rPr>
            </w:pPr>
            <w:r w:rsidRPr="0068151C">
              <w:rPr>
                <w:rFonts w:cs="Arial"/>
                <w:sz w:val="16"/>
                <w:szCs w:val="16"/>
                <w:lang w:bidi="th-TH"/>
              </w:rPr>
              <w:t>1,570 (2013)</w:t>
            </w:r>
          </w:p>
        </w:tc>
        <w:tc>
          <w:tcPr>
            <w:tcW w:w="682" w:type="pct"/>
            <w:tcBorders>
              <w:bottom w:val="single" w:sz="4" w:space="0" w:color="auto"/>
            </w:tcBorders>
            <w:shd w:val="clear" w:color="auto" w:fill="auto"/>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68151C">
        <w:tc>
          <w:tcPr>
            <w:tcW w:w="5000" w:type="pct"/>
            <w:gridSpan w:val="5"/>
            <w:tcBorders>
              <w:top w:val="single" w:sz="4" w:space="0" w:color="auto"/>
              <w:bottom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Upgraded IP Management skills for business </w:t>
            </w:r>
          </w:p>
        </w:tc>
      </w:tr>
      <w:tr w:rsidR="005660B2" w:rsidRPr="0068151C" w:rsidTr="00AE7502">
        <w:tc>
          <w:tcPr>
            <w:tcW w:w="855" w:type="pct"/>
            <w:tcBorders>
              <w:top w:val="single" w:sz="4" w:space="0" w:color="auto"/>
            </w:tcBorders>
            <w:shd w:val="clear" w:color="auto" w:fill="auto"/>
            <w:vAlign w:val="center"/>
          </w:tcPr>
          <w:p w:rsidR="005660B2" w:rsidRPr="0068151C" w:rsidRDefault="005660B2" w:rsidP="0068151C">
            <w:pPr>
              <w:spacing w:after="40"/>
              <w:rPr>
                <w:rFonts w:cs="Arial"/>
                <w:sz w:val="16"/>
                <w:szCs w:val="16"/>
              </w:rPr>
            </w:pPr>
            <w:r w:rsidRPr="0068151C">
              <w:rPr>
                <w:rFonts w:cs="Arial"/>
                <w:b/>
                <w:bCs/>
                <w:sz w:val="16"/>
                <w:szCs w:val="16"/>
              </w:rPr>
              <w:t>Performance Indicators</w:t>
            </w:r>
          </w:p>
        </w:tc>
        <w:tc>
          <w:tcPr>
            <w:tcW w:w="914" w:type="pct"/>
            <w:tcBorders>
              <w:top w:val="single" w:sz="4" w:space="0" w:color="auto"/>
            </w:tcBorders>
            <w:shd w:val="clear" w:color="auto" w:fill="auto"/>
            <w:vAlign w:val="center"/>
          </w:tcPr>
          <w:p w:rsidR="005660B2" w:rsidRPr="0068151C" w:rsidRDefault="005660B2" w:rsidP="0068151C">
            <w:pPr>
              <w:spacing w:after="40"/>
              <w:rPr>
                <w:rFonts w:cs="Arial"/>
                <w:b/>
                <w:bCs/>
                <w:sz w:val="16"/>
                <w:szCs w:val="16"/>
              </w:rPr>
            </w:pPr>
            <w:r w:rsidRPr="0068151C">
              <w:rPr>
                <w:rFonts w:cs="Arial"/>
                <w:b/>
                <w:bCs/>
                <w:sz w:val="16"/>
                <w:szCs w:val="16"/>
              </w:rPr>
              <w:t>Baselines</w:t>
            </w:r>
          </w:p>
        </w:tc>
        <w:tc>
          <w:tcPr>
            <w:tcW w:w="897" w:type="pct"/>
            <w:tcBorders>
              <w:top w:val="single" w:sz="4" w:space="0" w:color="auto"/>
            </w:tcBorders>
            <w:shd w:val="clear" w:color="auto" w:fill="auto"/>
            <w:tcMar>
              <w:top w:w="110" w:type="dxa"/>
            </w:tcMar>
            <w:vAlign w:val="center"/>
          </w:tcPr>
          <w:p w:rsidR="005660B2" w:rsidRPr="0068151C" w:rsidRDefault="005660B2" w:rsidP="0068151C">
            <w:pPr>
              <w:spacing w:after="40"/>
              <w:rPr>
                <w:rFonts w:cs="Arial"/>
                <w:b/>
                <w:sz w:val="16"/>
                <w:szCs w:val="16"/>
              </w:rPr>
            </w:pPr>
            <w:r w:rsidRPr="0068151C">
              <w:rPr>
                <w:rFonts w:cs="Arial"/>
                <w:b/>
                <w:sz w:val="16"/>
                <w:szCs w:val="16"/>
              </w:rPr>
              <w:t>Target</w:t>
            </w:r>
            <w:r w:rsidR="00582788">
              <w:rPr>
                <w:rFonts w:cs="Arial"/>
                <w:b/>
                <w:sz w:val="16"/>
                <w:szCs w:val="16"/>
              </w:rPr>
              <w:t>s</w:t>
            </w:r>
          </w:p>
        </w:tc>
        <w:tc>
          <w:tcPr>
            <w:tcW w:w="1652" w:type="pct"/>
            <w:tcBorders>
              <w:top w:val="single" w:sz="4" w:space="0" w:color="auto"/>
            </w:tcBorders>
            <w:shd w:val="clear" w:color="auto" w:fill="FFFFFF"/>
            <w:tcMar>
              <w:top w:w="110" w:type="dxa"/>
            </w:tcMar>
            <w:vAlign w:val="center"/>
          </w:tcPr>
          <w:p w:rsidR="005660B2" w:rsidRPr="0068151C" w:rsidRDefault="005660B2" w:rsidP="0068151C">
            <w:pPr>
              <w:spacing w:after="40"/>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5660B2" w:rsidRPr="0068151C" w:rsidRDefault="005660B2" w:rsidP="0068151C">
            <w:pPr>
              <w:keepNext/>
              <w:keepLines/>
              <w:spacing w:after="40"/>
              <w:jc w:val="center"/>
              <w:rPr>
                <w:rFonts w:cs="Arial"/>
                <w:b/>
                <w:bCs/>
                <w:sz w:val="16"/>
                <w:szCs w:val="16"/>
              </w:rPr>
            </w:pPr>
            <w:r w:rsidRPr="0068151C">
              <w:rPr>
                <w:rFonts w:cs="Arial"/>
                <w:b/>
                <w:bCs/>
                <w:sz w:val="16"/>
                <w:szCs w:val="16"/>
              </w:rPr>
              <w:t>TLS</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 of participants that report satisfaction with the training provided</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80%</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80%</w:t>
            </w:r>
          </w:p>
        </w:tc>
        <w:tc>
          <w:tcPr>
            <w:tcW w:w="897" w:type="pct"/>
            <w:shd w:val="clear" w:color="auto" w:fill="auto"/>
            <w:tcMar>
              <w:top w:w="110" w:type="dxa"/>
            </w:tcMar>
          </w:tcPr>
          <w:p w:rsidR="005660B2" w:rsidRPr="0068151C" w:rsidRDefault="005660B2" w:rsidP="0068151C">
            <w:pPr>
              <w:pStyle w:val="Default"/>
              <w:rPr>
                <w:color w:val="auto"/>
                <w:sz w:val="16"/>
                <w:szCs w:val="16"/>
              </w:rPr>
            </w:pPr>
            <w:r w:rsidRPr="0068151C">
              <w:rPr>
                <w:sz w:val="16"/>
                <w:szCs w:val="16"/>
              </w:rPr>
              <w:t xml:space="preserve">90% </w:t>
            </w:r>
          </w:p>
          <w:p w:rsidR="005660B2" w:rsidRPr="0068151C" w:rsidRDefault="005660B2" w:rsidP="0068151C">
            <w:pPr>
              <w:rPr>
                <w:rFonts w:cs="Arial"/>
                <w:sz w:val="16"/>
                <w:szCs w:val="16"/>
              </w:rPr>
            </w:pPr>
          </w:p>
        </w:tc>
        <w:tc>
          <w:tcPr>
            <w:tcW w:w="1652"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100%</w:t>
            </w:r>
          </w:p>
        </w:tc>
        <w:tc>
          <w:tcPr>
            <w:tcW w:w="682" w:type="pct"/>
            <w:shd w:val="clear" w:color="auto" w:fill="auto"/>
            <w:tcMar>
              <w:top w:w="110" w:type="dxa"/>
            </w:tcMar>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 of trainees that report actual use of the acquired skills in their job</w:t>
            </w:r>
          </w:p>
        </w:tc>
        <w:tc>
          <w:tcPr>
            <w:tcW w:w="914" w:type="pct"/>
            <w:shd w:val="clear" w:color="auto" w:fill="auto"/>
          </w:tcPr>
          <w:p w:rsidR="005660B2" w:rsidRPr="0068151C" w:rsidRDefault="005660B2"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rPr>
              <w:t>70%</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60%</w:t>
            </w:r>
          </w:p>
        </w:tc>
        <w:tc>
          <w:tcPr>
            <w:tcW w:w="897" w:type="pct"/>
            <w:shd w:val="clear" w:color="auto" w:fill="auto"/>
            <w:tcMar>
              <w:top w:w="110" w:type="dxa"/>
            </w:tcMar>
          </w:tcPr>
          <w:p w:rsidR="005660B2" w:rsidRPr="0068151C" w:rsidRDefault="005660B2" w:rsidP="0068151C">
            <w:pPr>
              <w:pStyle w:val="Default"/>
              <w:rPr>
                <w:color w:val="auto"/>
              </w:rPr>
            </w:pPr>
            <w:r w:rsidRPr="0068151C">
              <w:rPr>
                <w:sz w:val="16"/>
                <w:szCs w:val="16"/>
              </w:rPr>
              <w:t xml:space="preserve">70% </w:t>
            </w:r>
          </w:p>
        </w:tc>
        <w:tc>
          <w:tcPr>
            <w:tcW w:w="1652"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100%</w:t>
            </w:r>
          </w:p>
        </w:tc>
        <w:tc>
          <w:tcPr>
            <w:tcW w:w="682" w:type="pct"/>
            <w:shd w:val="clear" w:color="auto" w:fill="auto"/>
            <w:tcMar>
              <w:top w:w="110" w:type="dxa"/>
            </w:tcMar>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AE7502">
        <w:tc>
          <w:tcPr>
            <w:tcW w:w="855" w:type="pct"/>
            <w:shd w:val="clear" w:color="auto" w:fill="FFFFFF"/>
          </w:tcPr>
          <w:p w:rsidR="005660B2" w:rsidRPr="0068151C" w:rsidRDefault="005660B2" w:rsidP="0068151C">
            <w:pPr>
              <w:ind w:firstLineChars="3" w:firstLine="5"/>
              <w:rPr>
                <w:rFonts w:cs="Arial"/>
                <w:sz w:val="16"/>
                <w:szCs w:val="16"/>
              </w:rPr>
            </w:pPr>
            <w:r w:rsidRPr="0068151C">
              <w:rPr>
                <w:rFonts w:cs="Arial"/>
                <w:sz w:val="16"/>
                <w:szCs w:val="16"/>
              </w:rPr>
              <w:t>No. of requests for courses</w:t>
            </w:r>
          </w:p>
        </w:tc>
        <w:tc>
          <w:tcPr>
            <w:tcW w:w="914" w:type="pct"/>
            <w:shd w:val="clear" w:color="auto" w:fill="auto"/>
          </w:tcPr>
          <w:p w:rsidR="005660B2" w:rsidRPr="0068151C" w:rsidRDefault="005660B2" w:rsidP="0068151C">
            <w:pPr>
              <w:pStyle w:val="Default"/>
              <w:rPr>
                <w:color w:val="002060"/>
                <w:sz w:val="16"/>
                <w:szCs w:val="16"/>
              </w:rPr>
            </w:pPr>
            <w:r w:rsidRPr="0068151C">
              <w:rPr>
                <w:i/>
                <w:color w:val="002060"/>
                <w:sz w:val="16"/>
                <w:szCs w:val="16"/>
              </w:rPr>
              <w:t xml:space="preserve">Updated Baseline end 2011:  </w:t>
            </w:r>
            <w:r w:rsidRPr="0068151C">
              <w:rPr>
                <w:color w:val="002060"/>
                <w:sz w:val="16"/>
                <w:szCs w:val="16"/>
              </w:rPr>
              <w:t>Two courses per year</w:t>
            </w:r>
          </w:p>
          <w:p w:rsidR="005660B2" w:rsidRPr="00AE7502" w:rsidRDefault="005660B2" w:rsidP="0068151C">
            <w:pPr>
              <w:rPr>
                <w:rFonts w:cs="Arial"/>
                <w:i/>
                <w:color w:val="002060"/>
                <w:sz w:val="8"/>
                <w:szCs w:val="8"/>
              </w:rPr>
            </w:pPr>
          </w:p>
          <w:p w:rsidR="005660B2" w:rsidRPr="0068151C" w:rsidRDefault="005660B2"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Two courses per year</w:t>
            </w:r>
          </w:p>
          <w:p w:rsidR="005660B2" w:rsidRPr="0068151C" w:rsidRDefault="005660B2" w:rsidP="0068151C">
            <w:pPr>
              <w:rPr>
                <w:rFonts w:cs="Arial"/>
                <w:sz w:val="16"/>
                <w:szCs w:val="16"/>
              </w:rPr>
            </w:pPr>
          </w:p>
        </w:tc>
        <w:tc>
          <w:tcPr>
            <w:tcW w:w="897" w:type="pct"/>
            <w:shd w:val="clear" w:color="auto" w:fill="auto"/>
            <w:tcMar>
              <w:top w:w="110" w:type="dxa"/>
            </w:tcMar>
          </w:tcPr>
          <w:p w:rsidR="005660B2" w:rsidRPr="0068151C" w:rsidRDefault="005660B2" w:rsidP="0068151C">
            <w:pPr>
              <w:rPr>
                <w:rFonts w:cs="Arial"/>
                <w:sz w:val="16"/>
                <w:szCs w:val="16"/>
              </w:rPr>
            </w:pPr>
            <w:r w:rsidRPr="0068151C">
              <w:rPr>
                <w:rFonts w:cs="Arial"/>
                <w:sz w:val="16"/>
                <w:szCs w:val="16"/>
              </w:rPr>
              <w:t>Three courses per year (in 2012/13)</w:t>
            </w:r>
          </w:p>
        </w:tc>
        <w:tc>
          <w:tcPr>
            <w:tcW w:w="1652"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Two in 2012; The Executive Program was discontinued in 2013, and as such, no additional courses were held</w:t>
            </w:r>
            <w:r w:rsidR="007F3E34">
              <w:rPr>
                <w:rFonts w:cs="Arial"/>
                <w:sz w:val="16"/>
                <w:szCs w:val="16"/>
                <w:lang w:bidi="th-TH"/>
              </w:rPr>
              <w:t>.</w:t>
            </w:r>
          </w:p>
        </w:tc>
        <w:tc>
          <w:tcPr>
            <w:tcW w:w="682" w:type="pct"/>
            <w:shd w:val="clear" w:color="auto" w:fill="auto"/>
            <w:tcMar>
              <w:top w:w="110" w:type="dxa"/>
            </w:tcMar>
          </w:tcPr>
          <w:p w:rsidR="005660B2" w:rsidRPr="0068151C" w:rsidRDefault="005660B2" w:rsidP="0068151C">
            <w:pPr>
              <w:keepNext/>
              <w:keepLines/>
              <w:jc w:val="center"/>
              <w:rPr>
                <w:rFonts w:cs="Arial"/>
                <w:bCs/>
                <w:color w:val="333333"/>
                <w:sz w:val="16"/>
                <w:szCs w:val="16"/>
              </w:rPr>
            </w:pPr>
            <w:r w:rsidRPr="0068151C">
              <w:rPr>
                <w:rStyle w:val="Style5"/>
                <w:rFonts w:ascii="Arial" w:hAnsi="Arial" w:cs="Arial"/>
                <w:color w:val="FF0000"/>
                <w:sz w:val="16"/>
                <w:szCs w:val="16"/>
              </w:rPr>
              <w:t>Not</w:t>
            </w:r>
            <w:r w:rsidRPr="0068151C">
              <w:rPr>
                <w:rStyle w:val="Style5"/>
                <w:rFonts w:ascii="Arial" w:hAnsi="Arial" w:cs="Arial"/>
                <w:color w:val="FF0000"/>
                <w:sz w:val="16"/>
                <w:szCs w:val="16"/>
              </w:rPr>
              <w:br/>
              <w:t>Achieved</w:t>
            </w:r>
          </w:p>
        </w:tc>
      </w:tr>
    </w:tbl>
    <w:p w:rsidR="005660B2" w:rsidRPr="002A56E1" w:rsidRDefault="005660B2" w:rsidP="005660B2">
      <w:pPr>
        <w:rPr>
          <w:rFonts w:cs="Arial"/>
        </w:rPr>
      </w:pPr>
    </w:p>
    <w:p w:rsidR="005660B2" w:rsidRDefault="005660B2" w:rsidP="005660B2">
      <w:pPr>
        <w:rPr>
          <w:rFonts w:cs="Arial"/>
        </w:rPr>
      </w:pPr>
    </w:p>
    <w:p w:rsidR="007F3E34" w:rsidRPr="002A56E1" w:rsidRDefault="007F3E34" w:rsidP="005660B2">
      <w:pPr>
        <w:rPr>
          <w:rFonts w:cs="Arial"/>
        </w:rPr>
      </w:pPr>
    </w:p>
    <w:p w:rsidR="005660B2" w:rsidRDefault="005660B2" w:rsidP="005660B2">
      <w:pPr>
        <w:keepNext/>
        <w:keepLines/>
        <w:rPr>
          <w:rFonts w:cs="Arial"/>
          <w:sz w:val="22"/>
          <w:szCs w:val="22"/>
        </w:rPr>
      </w:pPr>
      <w:r w:rsidRPr="0098133B">
        <w:rPr>
          <w:rFonts w:cs="Arial"/>
          <w:sz w:val="22"/>
          <w:szCs w:val="22"/>
        </w:rPr>
        <w:t xml:space="preserve">BUDGET </w:t>
      </w:r>
      <w:r>
        <w:rPr>
          <w:rFonts w:cs="Arial"/>
          <w:sz w:val="22"/>
          <w:szCs w:val="22"/>
        </w:rPr>
        <w:t>AND ACTUAL EXPENDITURE</w:t>
      </w:r>
    </w:p>
    <w:p w:rsidR="005660B2" w:rsidRPr="0027745B" w:rsidRDefault="005660B2" w:rsidP="005660B2">
      <w:pPr>
        <w:keepNext/>
        <w:keepLines/>
        <w:rPr>
          <w:rFonts w:cs="Arial"/>
          <w:szCs w:val="20"/>
        </w:rPr>
      </w:pPr>
    </w:p>
    <w:p w:rsidR="005660B2" w:rsidRPr="0027745B" w:rsidRDefault="005660B2" w:rsidP="005660B2">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5660B2" w:rsidRPr="0027745B" w:rsidRDefault="005660B2" w:rsidP="005660B2">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5660B2" w:rsidRPr="00E12E7C" w:rsidRDefault="005660B2" w:rsidP="005660B2">
      <w:pPr>
        <w:keepNext/>
        <w:keepLines/>
        <w:rPr>
          <w:rFonts w:cs="Arial"/>
          <w:szCs w:val="20"/>
        </w:rPr>
      </w:pPr>
    </w:p>
    <w:tbl>
      <w:tblPr>
        <w:tblW w:w="9361" w:type="dxa"/>
        <w:tblInd w:w="103" w:type="dxa"/>
        <w:tblLook w:val="04A0" w:firstRow="1" w:lastRow="0" w:firstColumn="1" w:lastColumn="0" w:noHBand="0" w:noVBand="1"/>
      </w:tblPr>
      <w:tblGrid>
        <w:gridCol w:w="517"/>
        <w:gridCol w:w="4166"/>
        <w:gridCol w:w="1559"/>
        <w:gridCol w:w="1559"/>
        <w:gridCol w:w="1560"/>
      </w:tblGrid>
      <w:tr w:rsidR="005660B2" w:rsidRPr="00AE7502" w:rsidTr="005660B2">
        <w:trPr>
          <w:trHeight w:val="801"/>
        </w:trPr>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AE7502" w:rsidRDefault="005660B2" w:rsidP="0068151C">
            <w:pPr>
              <w:jc w:val="center"/>
              <w:rPr>
                <w:rFonts w:cs="Arial"/>
                <w:bCs/>
                <w:color w:val="000000"/>
                <w:sz w:val="16"/>
                <w:szCs w:val="16"/>
              </w:rPr>
            </w:pPr>
            <w:r w:rsidRPr="00AE7502">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660B2" w:rsidRPr="00AE7502" w:rsidRDefault="005660B2" w:rsidP="0068151C">
            <w:pPr>
              <w:jc w:val="center"/>
              <w:rPr>
                <w:rFonts w:cs="Arial"/>
                <w:bCs/>
                <w:color w:val="000000"/>
                <w:sz w:val="16"/>
                <w:szCs w:val="16"/>
              </w:rPr>
            </w:pPr>
            <w:r w:rsidRPr="00AE7502">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660B2" w:rsidRPr="00AE7502" w:rsidRDefault="005660B2" w:rsidP="0068151C">
            <w:pPr>
              <w:jc w:val="center"/>
              <w:rPr>
                <w:rFonts w:cs="Arial"/>
                <w:bCs/>
                <w:color w:val="000000"/>
                <w:sz w:val="16"/>
                <w:szCs w:val="16"/>
              </w:rPr>
            </w:pPr>
            <w:r w:rsidRPr="00AE7502">
              <w:rPr>
                <w:rFonts w:cs="Arial"/>
                <w:bCs/>
                <w:color w:val="000000"/>
                <w:sz w:val="16"/>
                <w:szCs w:val="16"/>
              </w:rPr>
              <w:t xml:space="preserve">2012/13 Budget </w:t>
            </w:r>
            <w:r w:rsidRPr="00AE7502">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5660B2" w:rsidRPr="00AE7502" w:rsidRDefault="005660B2" w:rsidP="0068151C">
            <w:pPr>
              <w:jc w:val="center"/>
              <w:rPr>
                <w:rFonts w:cs="Arial"/>
                <w:bCs/>
                <w:color w:val="000000"/>
                <w:sz w:val="16"/>
                <w:szCs w:val="16"/>
              </w:rPr>
            </w:pPr>
            <w:r w:rsidRPr="00AE7502">
              <w:rPr>
                <w:rFonts w:cs="Arial"/>
                <w:bCs/>
                <w:color w:val="000000"/>
                <w:sz w:val="16"/>
                <w:szCs w:val="16"/>
              </w:rPr>
              <w:t xml:space="preserve">2012/13 </w:t>
            </w:r>
            <w:r w:rsidRPr="00AE7502">
              <w:rPr>
                <w:rFonts w:cs="Arial"/>
                <w:bCs/>
                <w:color w:val="000000"/>
                <w:sz w:val="16"/>
                <w:szCs w:val="16"/>
              </w:rPr>
              <w:br/>
              <w:t>Expenditure</w:t>
            </w:r>
          </w:p>
        </w:tc>
      </w:tr>
      <w:tr w:rsidR="005660B2" w:rsidRPr="00097409" w:rsidTr="005660B2">
        <w:trPr>
          <w:trHeight w:val="816"/>
        </w:trPr>
        <w:tc>
          <w:tcPr>
            <w:tcW w:w="517" w:type="dxa"/>
            <w:tcBorders>
              <w:top w:val="nil"/>
              <w:left w:val="single" w:sz="4" w:space="0" w:color="auto"/>
              <w:bottom w:val="nil"/>
              <w:right w:val="nil"/>
            </w:tcBorders>
            <w:shd w:val="clear" w:color="000000" w:fill="FFFFFF"/>
            <w:noWrap/>
            <w:hideMark/>
          </w:tcPr>
          <w:p w:rsidR="005660B2" w:rsidRPr="0027745B" w:rsidRDefault="005660B2" w:rsidP="00AE7502">
            <w:pPr>
              <w:spacing w:before="120"/>
              <w:rPr>
                <w:rFonts w:cs="Arial"/>
                <w:color w:val="000000"/>
                <w:sz w:val="16"/>
                <w:szCs w:val="16"/>
              </w:rPr>
            </w:pPr>
            <w:r w:rsidRPr="0027745B">
              <w:rPr>
                <w:rFonts w:cs="Arial"/>
                <w:color w:val="000000"/>
                <w:sz w:val="16"/>
                <w:szCs w:val="16"/>
              </w:rPr>
              <w:t>III.2</w:t>
            </w:r>
          </w:p>
        </w:tc>
        <w:tc>
          <w:tcPr>
            <w:tcW w:w="4166" w:type="dxa"/>
            <w:tcBorders>
              <w:top w:val="nil"/>
              <w:left w:val="nil"/>
              <w:bottom w:val="nil"/>
              <w:right w:val="nil"/>
            </w:tcBorders>
            <w:shd w:val="clear" w:color="000000" w:fill="FFFFFF"/>
            <w:hideMark/>
          </w:tcPr>
          <w:p w:rsidR="005660B2" w:rsidRPr="0027745B" w:rsidRDefault="005660B2" w:rsidP="00AE7502">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559" w:type="dxa"/>
            <w:tcBorders>
              <w:top w:val="nil"/>
              <w:left w:val="nil"/>
              <w:bottom w:val="nil"/>
              <w:right w:val="nil"/>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6,387</w:t>
            </w:r>
          </w:p>
        </w:tc>
        <w:tc>
          <w:tcPr>
            <w:tcW w:w="1559" w:type="dxa"/>
            <w:tcBorders>
              <w:top w:val="nil"/>
              <w:left w:val="nil"/>
              <w:bottom w:val="nil"/>
              <w:right w:val="nil"/>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 xml:space="preserve">8,954 </w:t>
            </w:r>
          </w:p>
        </w:tc>
        <w:tc>
          <w:tcPr>
            <w:tcW w:w="1560" w:type="dxa"/>
            <w:tcBorders>
              <w:top w:val="nil"/>
              <w:left w:val="nil"/>
              <w:bottom w:val="nil"/>
              <w:right w:val="single" w:sz="4" w:space="0" w:color="auto"/>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 xml:space="preserve">8,769 </w:t>
            </w:r>
          </w:p>
        </w:tc>
      </w:tr>
      <w:tr w:rsidR="005660B2" w:rsidRPr="00097409" w:rsidTr="005660B2">
        <w:trPr>
          <w:trHeight w:val="408"/>
        </w:trPr>
        <w:tc>
          <w:tcPr>
            <w:tcW w:w="517" w:type="dxa"/>
            <w:tcBorders>
              <w:top w:val="nil"/>
              <w:left w:val="single" w:sz="4" w:space="0" w:color="auto"/>
              <w:bottom w:val="nil"/>
              <w:right w:val="nil"/>
            </w:tcBorders>
            <w:shd w:val="clear" w:color="000000" w:fill="FFFFFF"/>
            <w:noWrap/>
            <w:hideMark/>
          </w:tcPr>
          <w:p w:rsidR="005660B2" w:rsidRPr="0027745B" w:rsidRDefault="005660B2" w:rsidP="00AE7502">
            <w:pPr>
              <w:spacing w:before="120"/>
              <w:rPr>
                <w:rFonts w:cs="Arial"/>
                <w:color w:val="000000"/>
                <w:sz w:val="16"/>
                <w:szCs w:val="16"/>
              </w:rPr>
            </w:pPr>
            <w:r w:rsidRPr="0027745B">
              <w:rPr>
                <w:rFonts w:cs="Arial"/>
                <w:color w:val="000000"/>
                <w:sz w:val="16"/>
                <w:szCs w:val="16"/>
              </w:rPr>
              <w:t>III.4</w:t>
            </w:r>
          </w:p>
        </w:tc>
        <w:tc>
          <w:tcPr>
            <w:tcW w:w="4166" w:type="dxa"/>
            <w:tcBorders>
              <w:top w:val="nil"/>
              <w:left w:val="nil"/>
              <w:bottom w:val="nil"/>
              <w:right w:val="nil"/>
            </w:tcBorders>
            <w:shd w:val="clear" w:color="auto" w:fill="auto"/>
            <w:hideMark/>
          </w:tcPr>
          <w:p w:rsidR="005660B2" w:rsidRPr="0027745B" w:rsidRDefault="005660B2" w:rsidP="00AE7502">
            <w:pPr>
              <w:spacing w:before="120"/>
              <w:rPr>
                <w:rFonts w:cs="Arial"/>
                <w:color w:val="000000"/>
                <w:sz w:val="16"/>
                <w:szCs w:val="16"/>
              </w:rPr>
            </w:pPr>
            <w:r w:rsidRPr="0027745B">
              <w:rPr>
                <w:rFonts w:cs="Arial"/>
                <w:color w:val="000000"/>
                <w:sz w:val="16"/>
                <w:szCs w:val="16"/>
              </w:rPr>
              <w:t>Easier access to IP education</w:t>
            </w:r>
          </w:p>
        </w:tc>
        <w:tc>
          <w:tcPr>
            <w:tcW w:w="1559" w:type="dxa"/>
            <w:tcBorders>
              <w:top w:val="nil"/>
              <w:left w:val="nil"/>
              <w:bottom w:val="nil"/>
              <w:right w:val="nil"/>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3,222</w:t>
            </w:r>
          </w:p>
        </w:tc>
        <w:tc>
          <w:tcPr>
            <w:tcW w:w="1559" w:type="dxa"/>
            <w:tcBorders>
              <w:top w:val="nil"/>
              <w:left w:val="nil"/>
              <w:bottom w:val="nil"/>
              <w:right w:val="nil"/>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2,511</w:t>
            </w:r>
          </w:p>
        </w:tc>
        <w:tc>
          <w:tcPr>
            <w:tcW w:w="1560" w:type="dxa"/>
            <w:tcBorders>
              <w:top w:val="nil"/>
              <w:left w:val="nil"/>
              <w:bottom w:val="nil"/>
              <w:right w:val="single" w:sz="4" w:space="0" w:color="auto"/>
            </w:tcBorders>
            <w:shd w:val="clear" w:color="000000" w:fill="FFFFFF"/>
            <w:vAlign w:val="center"/>
            <w:hideMark/>
          </w:tcPr>
          <w:p w:rsidR="005660B2" w:rsidRPr="0027745B" w:rsidRDefault="005660B2" w:rsidP="00AE7502">
            <w:pPr>
              <w:spacing w:before="120"/>
              <w:jc w:val="right"/>
              <w:rPr>
                <w:rFonts w:cs="Arial"/>
                <w:color w:val="000000"/>
                <w:sz w:val="16"/>
                <w:szCs w:val="16"/>
              </w:rPr>
            </w:pPr>
            <w:r w:rsidRPr="0027745B">
              <w:rPr>
                <w:rFonts w:cs="Arial"/>
                <w:color w:val="000000"/>
                <w:sz w:val="16"/>
                <w:szCs w:val="16"/>
              </w:rPr>
              <w:t xml:space="preserve">2,393 </w:t>
            </w:r>
          </w:p>
        </w:tc>
      </w:tr>
      <w:tr w:rsidR="005660B2" w:rsidRPr="00097409" w:rsidTr="005660B2">
        <w:trPr>
          <w:trHeight w:val="408"/>
        </w:trPr>
        <w:tc>
          <w:tcPr>
            <w:tcW w:w="517" w:type="dxa"/>
            <w:tcBorders>
              <w:top w:val="nil"/>
              <w:left w:val="single" w:sz="4" w:space="0" w:color="auto"/>
              <w:bottom w:val="single" w:sz="4" w:space="0" w:color="auto"/>
              <w:right w:val="nil"/>
            </w:tcBorders>
            <w:shd w:val="clear" w:color="000000" w:fill="FFFFFF"/>
            <w:noWrap/>
            <w:hideMark/>
          </w:tcPr>
          <w:p w:rsidR="005660B2" w:rsidRPr="0027745B" w:rsidRDefault="005660B2" w:rsidP="00AE7502">
            <w:pPr>
              <w:spacing w:before="120" w:after="120"/>
              <w:rPr>
                <w:rFonts w:cs="Arial"/>
                <w:color w:val="000000"/>
                <w:sz w:val="16"/>
                <w:szCs w:val="16"/>
              </w:rPr>
            </w:pPr>
            <w:r w:rsidRPr="0027745B">
              <w:rPr>
                <w:rFonts w:cs="Arial"/>
                <w:color w:val="000000"/>
                <w:sz w:val="16"/>
                <w:szCs w:val="16"/>
              </w:rPr>
              <w:t>III.5</w:t>
            </w:r>
          </w:p>
        </w:tc>
        <w:tc>
          <w:tcPr>
            <w:tcW w:w="4166" w:type="dxa"/>
            <w:tcBorders>
              <w:top w:val="nil"/>
              <w:left w:val="nil"/>
              <w:bottom w:val="single" w:sz="4" w:space="0" w:color="auto"/>
              <w:right w:val="nil"/>
            </w:tcBorders>
            <w:shd w:val="clear" w:color="000000" w:fill="FFFFFF"/>
            <w:hideMark/>
          </w:tcPr>
          <w:p w:rsidR="005660B2" w:rsidRPr="0027745B" w:rsidRDefault="005660B2" w:rsidP="00AE7502">
            <w:pPr>
              <w:spacing w:before="120" w:after="120"/>
              <w:rPr>
                <w:rFonts w:cs="Arial"/>
                <w:color w:val="000000"/>
                <w:sz w:val="16"/>
                <w:szCs w:val="16"/>
              </w:rPr>
            </w:pPr>
            <w:r w:rsidRPr="0027745B">
              <w:rPr>
                <w:rFonts w:cs="Arial"/>
                <w:color w:val="000000"/>
                <w:sz w:val="16"/>
                <w:szCs w:val="16"/>
              </w:rPr>
              <w:t>Upgraded IP Management skills for business </w:t>
            </w:r>
          </w:p>
        </w:tc>
        <w:tc>
          <w:tcPr>
            <w:tcW w:w="1559" w:type="dxa"/>
            <w:tcBorders>
              <w:top w:val="nil"/>
              <w:left w:val="nil"/>
              <w:bottom w:val="single" w:sz="4" w:space="0" w:color="auto"/>
              <w:right w:val="nil"/>
            </w:tcBorders>
            <w:shd w:val="clear" w:color="000000" w:fill="FFFFFF"/>
            <w:vAlign w:val="center"/>
            <w:hideMark/>
          </w:tcPr>
          <w:p w:rsidR="005660B2" w:rsidRPr="0027745B" w:rsidRDefault="005660B2" w:rsidP="00AE7502">
            <w:pPr>
              <w:spacing w:before="120" w:after="120"/>
              <w:jc w:val="right"/>
              <w:rPr>
                <w:rFonts w:cs="Arial"/>
                <w:color w:val="000000"/>
                <w:sz w:val="16"/>
                <w:szCs w:val="16"/>
              </w:rPr>
            </w:pPr>
            <w:r w:rsidRPr="0027745B">
              <w:rPr>
                <w:rFonts w:cs="Arial"/>
                <w:color w:val="000000"/>
                <w:sz w:val="16"/>
                <w:szCs w:val="16"/>
              </w:rPr>
              <w:t>723</w:t>
            </w:r>
          </w:p>
        </w:tc>
        <w:tc>
          <w:tcPr>
            <w:tcW w:w="1559" w:type="dxa"/>
            <w:tcBorders>
              <w:top w:val="nil"/>
              <w:left w:val="nil"/>
              <w:bottom w:val="single" w:sz="4" w:space="0" w:color="auto"/>
              <w:right w:val="nil"/>
            </w:tcBorders>
            <w:shd w:val="clear" w:color="000000" w:fill="FFFFFF"/>
            <w:vAlign w:val="center"/>
            <w:hideMark/>
          </w:tcPr>
          <w:p w:rsidR="005660B2" w:rsidRPr="0027745B" w:rsidRDefault="005660B2" w:rsidP="00AE7502">
            <w:pPr>
              <w:spacing w:before="120" w:after="120"/>
              <w:jc w:val="right"/>
              <w:rPr>
                <w:rFonts w:cs="Arial"/>
                <w:color w:val="000000"/>
                <w:sz w:val="16"/>
                <w:szCs w:val="16"/>
              </w:rPr>
            </w:pPr>
            <w:r w:rsidRPr="0027745B">
              <w:rPr>
                <w:rFonts w:cs="Arial"/>
                <w:color w:val="000000"/>
                <w:sz w:val="16"/>
                <w:szCs w:val="16"/>
              </w:rPr>
              <w:t xml:space="preserve">448 </w:t>
            </w:r>
          </w:p>
        </w:tc>
        <w:tc>
          <w:tcPr>
            <w:tcW w:w="1560" w:type="dxa"/>
            <w:tcBorders>
              <w:top w:val="nil"/>
              <w:left w:val="nil"/>
              <w:bottom w:val="single" w:sz="4" w:space="0" w:color="auto"/>
              <w:right w:val="single" w:sz="4" w:space="0" w:color="auto"/>
            </w:tcBorders>
            <w:shd w:val="clear" w:color="000000" w:fill="FFFFFF"/>
            <w:vAlign w:val="center"/>
            <w:hideMark/>
          </w:tcPr>
          <w:p w:rsidR="005660B2" w:rsidRPr="0027745B" w:rsidRDefault="005660B2" w:rsidP="00AE7502">
            <w:pPr>
              <w:spacing w:before="120" w:after="120"/>
              <w:jc w:val="right"/>
              <w:rPr>
                <w:rFonts w:cs="Arial"/>
                <w:color w:val="000000"/>
                <w:sz w:val="16"/>
                <w:szCs w:val="16"/>
              </w:rPr>
            </w:pPr>
            <w:r w:rsidRPr="0027745B">
              <w:rPr>
                <w:rFonts w:cs="Arial"/>
                <w:color w:val="000000"/>
                <w:sz w:val="16"/>
                <w:szCs w:val="16"/>
              </w:rPr>
              <w:t xml:space="preserve">379 </w:t>
            </w:r>
          </w:p>
        </w:tc>
      </w:tr>
      <w:tr w:rsidR="005660B2" w:rsidRPr="00097409" w:rsidTr="005660B2">
        <w:trPr>
          <w:trHeight w:val="454"/>
        </w:trPr>
        <w:tc>
          <w:tcPr>
            <w:tcW w:w="517" w:type="dxa"/>
            <w:tcBorders>
              <w:top w:val="nil"/>
              <w:left w:val="single" w:sz="4" w:space="0" w:color="auto"/>
              <w:bottom w:val="single" w:sz="4" w:space="0" w:color="auto"/>
              <w:right w:val="nil"/>
            </w:tcBorders>
            <w:shd w:val="clear" w:color="000000" w:fill="CCFFFF"/>
            <w:noWrap/>
            <w:vAlign w:val="bottom"/>
            <w:hideMark/>
          </w:tcPr>
          <w:p w:rsidR="005660B2" w:rsidRPr="0027745B" w:rsidRDefault="005660B2" w:rsidP="0068151C">
            <w:pPr>
              <w:jc w:val="center"/>
              <w:rPr>
                <w:rFonts w:cs="Arial"/>
                <w:b/>
                <w:bCs/>
                <w:color w:val="000000"/>
                <w:sz w:val="16"/>
                <w:szCs w:val="16"/>
              </w:rPr>
            </w:pPr>
            <w:r w:rsidRPr="0027745B">
              <w:rPr>
                <w:rFonts w:cs="Arial"/>
                <w:b/>
                <w:bCs/>
                <w:color w:val="000000"/>
                <w:sz w:val="16"/>
                <w:szCs w:val="16"/>
              </w:rPr>
              <w:t> </w:t>
            </w:r>
          </w:p>
        </w:tc>
        <w:tc>
          <w:tcPr>
            <w:tcW w:w="4166" w:type="dxa"/>
            <w:tcBorders>
              <w:top w:val="nil"/>
              <w:left w:val="nil"/>
              <w:bottom w:val="single" w:sz="4" w:space="0" w:color="auto"/>
              <w:right w:val="nil"/>
            </w:tcBorders>
            <w:shd w:val="clear" w:color="000000" w:fill="CCFFFF"/>
            <w:noWrap/>
            <w:vAlign w:val="center"/>
            <w:hideMark/>
          </w:tcPr>
          <w:p w:rsidR="005660B2" w:rsidRPr="0027745B" w:rsidRDefault="005660B2" w:rsidP="0068151C">
            <w:pPr>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5660B2" w:rsidRPr="0027745B" w:rsidRDefault="005660B2" w:rsidP="0068151C">
            <w:pPr>
              <w:jc w:val="right"/>
              <w:rPr>
                <w:rFonts w:cs="Arial"/>
                <w:b/>
                <w:bCs/>
                <w:color w:val="000000"/>
                <w:sz w:val="16"/>
                <w:szCs w:val="16"/>
              </w:rPr>
            </w:pPr>
            <w:r w:rsidRPr="0027745B">
              <w:rPr>
                <w:rFonts w:cs="Arial"/>
                <w:b/>
                <w:bCs/>
                <w:color w:val="000000"/>
                <w:sz w:val="16"/>
                <w:szCs w:val="16"/>
              </w:rPr>
              <w:t>10,332</w:t>
            </w:r>
          </w:p>
        </w:tc>
        <w:tc>
          <w:tcPr>
            <w:tcW w:w="1559" w:type="dxa"/>
            <w:tcBorders>
              <w:top w:val="nil"/>
              <w:left w:val="nil"/>
              <w:bottom w:val="single" w:sz="4" w:space="0" w:color="auto"/>
              <w:right w:val="single" w:sz="4" w:space="0" w:color="auto"/>
            </w:tcBorders>
            <w:shd w:val="clear" w:color="000000" w:fill="CCFFFF"/>
            <w:noWrap/>
            <w:vAlign w:val="center"/>
            <w:hideMark/>
          </w:tcPr>
          <w:p w:rsidR="005660B2" w:rsidRPr="0027745B" w:rsidRDefault="005660B2" w:rsidP="0068151C">
            <w:pPr>
              <w:jc w:val="right"/>
              <w:rPr>
                <w:rFonts w:cs="Arial"/>
                <w:b/>
                <w:bCs/>
                <w:color w:val="000000"/>
                <w:sz w:val="16"/>
                <w:szCs w:val="16"/>
              </w:rPr>
            </w:pPr>
            <w:r w:rsidRPr="0027745B">
              <w:rPr>
                <w:rFonts w:cs="Arial"/>
                <w:b/>
                <w:bCs/>
                <w:color w:val="000000"/>
                <w:sz w:val="16"/>
                <w:szCs w:val="16"/>
              </w:rPr>
              <w:t>11,912</w:t>
            </w:r>
          </w:p>
        </w:tc>
        <w:tc>
          <w:tcPr>
            <w:tcW w:w="1560" w:type="dxa"/>
            <w:tcBorders>
              <w:top w:val="nil"/>
              <w:left w:val="nil"/>
              <w:bottom w:val="single" w:sz="4" w:space="0" w:color="auto"/>
              <w:right w:val="single" w:sz="4" w:space="0" w:color="auto"/>
            </w:tcBorders>
            <w:shd w:val="clear" w:color="000000" w:fill="CCFFFF"/>
            <w:vAlign w:val="center"/>
            <w:hideMark/>
          </w:tcPr>
          <w:p w:rsidR="005660B2" w:rsidRPr="0027745B" w:rsidRDefault="005660B2" w:rsidP="0068151C">
            <w:pPr>
              <w:jc w:val="right"/>
              <w:rPr>
                <w:rFonts w:cs="Arial"/>
                <w:b/>
                <w:bCs/>
                <w:color w:val="000000"/>
                <w:sz w:val="16"/>
                <w:szCs w:val="16"/>
              </w:rPr>
            </w:pPr>
            <w:r w:rsidRPr="0027745B">
              <w:rPr>
                <w:rFonts w:cs="Arial"/>
                <w:b/>
                <w:bCs/>
                <w:color w:val="000000"/>
                <w:sz w:val="16"/>
                <w:szCs w:val="16"/>
              </w:rPr>
              <w:t>11,540</w:t>
            </w:r>
          </w:p>
        </w:tc>
      </w:tr>
    </w:tbl>
    <w:p w:rsidR="005660B2" w:rsidRDefault="005660B2" w:rsidP="00982926">
      <w:pPr>
        <w:pStyle w:val="Heading2"/>
      </w:pPr>
    </w:p>
    <w:p w:rsidR="005660B2" w:rsidRDefault="005660B2" w:rsidP="005660B2">
      <w:pPr>
        <w:rPr>
          <w:rFonts w:cs="Arial"/>
          <w:b/>
          <w:bCs/>
          <w:iCs/>
          <w:sz w:val="22"/>
          <w:szCs w:val="28"/>
        </w:rPr>
      </w:pPr>
      <w:r>
        <w:br w:type="page"/>
      </w:r>
    </w:p>
    <w:p w:rsidR="005660B2" w:rsidRPr="0027745B" w:rsidRDefault="005660B2" w:rsidP="00982926">
      <w:pPr>
        <w:pStyle w:val="Heading2"/>
      </w:pPr>
    </w:p>
    <w:p w:rsidR="005660B2" w:rsidRPr="0027745B" w:rsidRDefault="005660B2" w:rsidP="005660B2">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5660B2" w:rsidRPr="0027745B" w:rsidRDefault="005660B2" w:rsidP="005660B2">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5660B2" w:rsidRPr="0027745B" w:rsidRDefault="005660B2" w:rsidP="00982926">
      <w:pPr>
        <w:pStyle w:val="Heading2"/>
      </w:pPr>
    </w:p>
    <w:tbl>
      <w:tblPr>
        <w:tblW w:w="4889" w:type="pct"/>
        <w:tblInd w:w="108" w:type="dxa"/>
        <w:tblLook w:val="0000" w:firstRow="0" w:lastRow="0" w:firstColumn="0" w:lastColumn="0" w:noHBand="0" w:noVBand="0"/>
      </w:tblPr>
      <w:tblGrid>
        <w:gridCol w:w="2407"/>
        <w:gridCol w:w="1739"/>
        <w:gridCol w:w="1739"/>
        <w:gridCol w:w="1739"/>
        <w:gridCol w:w="1735"/>
      </w:tblGrid>
      <w:tr w:rsidR="005660B2" w:rsidRPr="00AE7502" w:rsidTr="00D07F31">
        <w:tc>
          <w:tcPr>
            <w:tcW w:w="1286" w:type="pct"/>
            <w:tcBorders>
              <w:top w:val="single" w:sz="4" w:space="0" w:color="auto"/>
              <w:left w:val="single" w:sz="4" w:space="0" w:color="auto"/>
              <w:bottom w:val="single" w:sz="4" w:space="0" w:color="auto"/>
              <w:right w:val="single" w:sz="4" w:space="0" w:color="auto"/>
            </w:tcBorders>
            <w:shd w:val="clear" w:color="auto" w:fill="CCFFFF"/>
            <w:noWrap/>
            <w:vAlign w:val="center"/>
          </w:tcPr>
          <w:p w:rsidR="005660B2" w:rsidRPr="00AE7502" w:rsidRDefault="005660B2" w:rsidP="00AE7502">
            <w:pPr>
              <w:spacing w:before="120" w:after="120"/>
              <w:rPr>
                <w:rFonts w:cs="Arial"/>
                <w:color w:val="000000"/>
                <w:sz w:val="16"/>
                <w:szCs w:val="16"/>
              </w:rPr>
            </w:pPr>
            <w:r w:rsidRPr="00AE7502">
              <w:rPr>
                <w:rFonts w:cs="Arial"/>
                <w:color w:val="000000"/>
                <w:sz w:val="16"/>
                <w:szCs w:val="16"/>
              </w:rPr>
              <w:t> </w:t>
            </w:r>
          </w:p>
        </w:tc>
        <w:tc>
          <w:tcPr>
            <w:tcW w:w="929" w:type="pct"/>
            <w:tcBorders>
              <w:top w:val="single" w:sz="4" w:space="0" w:color="auto"/>
              <w:left w:val="nil"/>
              <w:bottom w:val="nil"/>
              <w:right w:val="single" w:sz="4" w:space="0" w:color="auto"/>
            </w:tcBorders>
            <w:shd w:val="clear" w:color="auto" w:fill="CCFFFF"/>
            <w:vAlign w:val="center"/>
          </w:tcPr>
          <w:p w:rsidR="005660B2" w:rsidRPr="00AE7502" w:rsidRDefault="005660B2" w:rsidP="00AE7502">
            <w:pPr>
              <w:spacing w:before="120" w:after="120"/>
              <w:jc w:val="center"/>
              <w:rPr>
                <w:rFonts w:cs="Arial"/>
                <w:bCs/>
                <w:color w:val="000000"/>
                <w:sz w:val="16"/>
                <w:szCs w:val="16"/>
              </w:rPr>
            </w:pPr>
            <w:r w:rsidRPr="00AE7502">
              <w:rPr>
                <w:rFonts w:cs="Arial"/>
                <w:bCs/>
                <w:color w:val="000000"/>
                <w:sz w:val="16"/>
                <w:szCs w:val="16"/>
              </w:rPr>
              <w:t>Approved Budget 2012/13</w:t>
            </w:r>
          </w:p>
        </w:tc>
        <w:tc>
          <w:tcPr>
            <w:tcW w:w="929" w:type="pct"/>
            <w:tcBorders>
              <w:top w:val="single" w:sz="4" w:space="0" w:color="auto"/>
              <w:left w:val="nil"/>
              <w:bottom w:val="nil"/>
              <w:right w:val="single" w:sz="4" w:space="0" w:color="auto"/>
            </w:tcBorders>
            <w:shd w:val="clear" w:color="auto" w:fill="CCFFFF"/>
            <w:vAlign w:val="center"/>
          </w:tcPr>
          <w:p w:rsidR="005660B2" w:rsidRPr="00AE7502" w:rsidRDefault="005660B2" w:rsidP="00AE7502">
            <w:pPr>
              <w:spacing w:before="120" w:after="120"/>
              <w:jc w:val="center"/>
              <w:rPr>
                <w:rFonts w:cs="Arial"/>
                <w:bCs/>
                <w:color w:val="000000"/>
                <w:sz w:val="16"/>
                <w:szCs w:val="16"/>
              </w:rPr>
            </w:pPr>
            <w:r w:rsidRPr="00AE7502">
              <w:rPr>
                <w:rFonts w:cs="Arial"/>
                <w:bCs/>
                <w:color w:val="000000"/>
                <w:sz w:val="16"/>
                <w:szCs w:val="16"/>
              </w:rPr>
              <w:t>Budget after transfers 2012/13</w:t>
            </w:r>
          </w:p>
        </w:tc>
        <w:tc>
          <w:tcPr>
            <w:tcW w:w="929" w:type="pct"/>
            <w:tcBorders>
              <w:top w:val="single" w:sz="4" w:space="0" w:color="auto"/>
              <w:left w:val="nil"/>
              <w:bottom w:val="nil"/>
              <w:right w:val="single" w:sz="4" w:space="0" w:color="auto"/>
            </w:tcBorders>
            <w:shd w:val="clear" w:color="auto" w:fill="CCFFFF"/>
            <w:vAlign w:val="center"/>
          </w:tcPr>
          <w:p w:rsidR="005660B2" w:rsidRPr="00AE7502" w:rsidRDefault="005660B2" w:rsidP="00AE7502">
            <w:pPr>
              <w:spacing w:before="120" w:after="120"/>
              <w:jc w:val="center"/>
              <w:rPr>
                <w:rFonts w:cs="Arial"/>
                <w:bCs/>
                <w:color w:val="000000"/>
                <w:sz w:val="16"/>
                <w:szCs w:val="16"/>
              </w:rPr>
            </w:pPr>
            <w:r w:rsidRPr="00AE7502">
              <w:rPr>
                <w:rFonts w:cs="Arial"/>
                <w:bCs/>
                <w:color w:val="000000"/>
                <w:sz w:val="16"/>
                <w:szCs w:val="16"/>
              </w:rPr>
              <w:t>Expenditures 2012</w:t>
            </w:r>
          </w:p>
        </w:tc>
        <w:tc>
          <w:tcPr>
            <w:tcW w:w="929" w:type="pct"/>
            <w:tcBorders>
              <w:top w:val="single" w:sz="4" w:space="0" w:color="auto"/>
              <w:left w:val="nil"/>
              <w:bottom w:val="nil"/>
              <w:right w:val="single" w:sz="4" w:space="0" w:color="auto"/>
            </w:tcBorders>
            <w:shd w:val="clear" w:color="auto" w:fill="CCFFFF"/>
            <w:vAlign w:val="center"/>
          </w:tcPr>
          <w:p w:rsidR="005660B2" w:rsidRPr="00AE7502" w:rsidRDefault="005660B2" w:rsidP="00AE7502">
            <w:pPr>
              <w:spacing w:before="120" w:after="120"/>
              <w:jc w:val="center"/>
              <w:rPr>
                <w:rFonts w:cs="Arial"/>
                <w:bCs/>
                <w:color w:val="000000"/>
                <w:sz w:val="16"/>
                <w:szCs w:val="16"/>
              </w:rPr>
            </w:pPr>
            <w:r w:rsidRPr="00AE7502">
              <w:rPr>
                <w:rFonts w:cs="Arial"/>
                <w:bCs/>
                <w:color w:val="000000"/>
                <w:sz w:val="16"/>
                <w:szCs w:val="16"/>
              </w:rPr>
              <w:t>Utilization rate (%)</w:t>
            </w:r>
          </w:p>
        </w:tc>
      </w:tr>
      <w:tr w:rsidR="005660B2" w:rsidRPr="00097409" w:rsidTr="00D07F31">
        <w:tc>
          <w:tcPr>
            <w:tcW w:w="1286" w:type="pct"/>
            <w:tcBorders>
              <w:top w:val="nil"/>
              <w:left w:val="single" w:sz="4" w:space="0" w:color="auto"/>
              <w:bottom w:val="single" w:sz="4" w:space="0" w:color="auto"/>
              <w:right w:val="single" w:sz="4" w:space="0" w:color="auto"/>
            </w:tcBorders>
            <w:shd w:val="clear" w:color="auto" w:fill="auto"/>
            <w:noWrap/>
            <w:vAlign w:val="center"/>
          </w:tcPr>
          <w:p w:rsidR="005660B2" w:rsidRPr="0027745B" w:rsidRDefault="005660B2" w:rsidP="00AE7502">
            <w:pPr>
              <w:spacing w:before="120" w:after="120"/>
              <w:rPr>
                <w:rFonts w:cs="Arial"/>
                <w:color w:val="000000"/>
                <w:sz w:val="16"/>
                <w:szCs w:val="16"/>
              </w:rPr>
            </w:pPr>
            <w:r w:rsidRPr="0027745B">
              <w:rPr>
                <w:rFonts w:cs="Arial"/>
                <w:color w:val="000000"/>
                <w:sz w:val="16"/>
                <w:szCs w:val="16"/>
              </w:rPr>
              <w:t xml:space="preserve"> Personnel Resources </w:t>
            </w:r>
          </w:p>
        </w:tc>
        <w:tc>
          <w:tcPr>
            <w:tcW w:w="929" w:type="pct"/>
            <w:tcBorders>
              <w:top w:val="single" w:sz="4" w:space="0" w:color="auto"/>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4,755</w:t>
            </w:r>
          </w:p>
        </w:tc>
        <w:tc>
          <w:tcPr>
            <w:tcW w:w="929" w:type="pct"/>
            <w:tcBorders>
              <w:top w:val="single" w:sz="4" w:space="0" w:color="auto"/>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6,750</w:t>
            </w:r>
          </w:p>
        </w:tc>
        <w:tc>
          <w:tcPr>
            <w:tcW w:w="929" w:type="pct"/>
            <w:tcBorders>
              <w:top w:val="single" w:sz="4" w:space="0" w:color="auto"/>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6,750</w:t>
            </w:r>
          </w:p>
        </w:tc>
        <w:tc>
          <w:tcPr>
            <w:tcW w:w="929" w:type="pct"/>
            <w:tcBorders>
              <w:top w:val="single" w:sz="4" w:space="0" w:color="auto"/>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100%</w:t>
            </w:r>
          </w:p>
        </w:tc>
      </w:tr>
      <w:tr w:rsidR="005660B2" w:rsidRPr="00097409" w:rsidTr="00D07F31">
        <w:tc>
          <w:tcPr>
            <w:tcW w:w="1286" w:type="pct"/>
            <w:tcBorders>
              <w:top w:val="nil"/>
              <w:left w:val="single" w:sz="4" w:space="0" w:color="auto"/>
              <w:bottom w:val="single" w:sz="4" w:space="0" w:color="auto"/>
              <w:right w:val="single" w:sz="4" w:space="0" w:color="auto"/>
            </w:tcBorders>
            <w:shd w:val="clear" w:color="auto" w:fill="auto"/>
            <w:noWrap/>
            <w:vAlign w:val="center"/>
          </w:tcPr>
          <w:p w:rsidR="005660B2" w:rsidRPr="0027745B" w:rsidRDefault="005660B2" w:rsidP="00AE7502">
            <w:pPr>
              <w:spacing w:before="120" w:after="120"/>
              <w:rPr>
                <w:rFonts w:cs="Arial"/>
                <w:color w:val="000000"/>
                <w:sz w:val="16"/>
                <w:szCs w:val="16"/>
              </w:rPr>
            </w:pPr>
            <w:r w:rsidRPr="0027745B">
              <w:rPr>
                <w:rFonts w:cs="Arial"/>
                <w:color w:val="000000"/>
                <w:sz w:val="16"/>
                <w:szCs w:val="16"/>
              </w:rPr>
              <w:t xml:space="preserve"> Non-personnel Resources </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5,577</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5,162</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4,790</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color w:val="000000"/>
                <w:sz w:val="16"/>
                <w:szCs w:val="16"/>
              </w:rPr>
            </w:pPr>
            <w:r w:rsidRPr="0027745B">
              <w:rPr>
                <w:rFonts w:cs="Arial"/>
                <w:color w:val="000000"/>
                <w:sz w:val="16"/>
                <w:szCs w:val="16"/>
              </w:rPr>
              <w:t>93%</w:t>
            </w:r>
          </w:p>
        </w:tc>
      </w:tr>
      <w:tr w:rsidR="005660B2" w:rsidRPr="00097409" w:rsidTr="00D07F31">
        <w:tc>
          <w:tcPr>
            <w:tcW w:w="1286" w:type="pct"/>
            <w:tcBorders>
              <w:top w:val="nil"/>
              <w:left w:val="single" w:sz="4" w:space="0" w:color="auto"/>
              <w:bottom w:val="single" w:sz="4" w:space="0" w:color="auto"/>
              <w:right w:val="single" w:sz="4" w:space="0" w:color="auto"/>
            </w:tcBorders>
            <w:shd w:val="clear" w:color="auto" w:fill="auto"/>
            <w:noWrap/>
            <w:vAlign w:val="center"/>
          </w:tcPr>
          <w:p w:rsidR="005660B2" w:rsidRPr="0027745B" w:rsidRDefault="005660B2" w:rsidP="00AE7502">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b/>
                <w:bCs/>
                <w:color w:val="000000"/>
                <w:sz w:val="16"/>
                <w:szCs w:val="16"/>
              </w:rPr>
            </w:pPr>
            <w:r w:rsidRPr="0027745B">
              <w:rPr>
                <w:rFonts w:cs="Arial"/>
                <w:b/>
                <w:bCs/>
                <w:color w:val="000000"/>
                <w:sz w:val="16"/>
                <w:szCs w:val="16"/>
              </w:rPr>
              <w:t>10,332</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b/>
                <w:bCs/>
                <w:color w:val="000000"/>
                <w:sz w:val="16"/>
                <w:szCs w:val="16"/>
              </w:rPr>
            </w:pPr>
            <w:r w:rsidRPr="0027745B">
              <w:rPr>
                <w:rFonts w:cs="Arial"/>
                <w:b/>
                <w:bCs/>
                <w:color w:val="000000"/>
                <w:sz w:val="16"/>
                <w:szCs w:val="16"/>
              </w:rPr>
              <w:t>11,912</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b/>
                <w:bCs/>
                <w:color w:val="000000"/>
                <w:sz w:val="16"/>
                <w:szCs w:val="16"/>
              </w:rPr>
            </w:pPr>
            <w:r w:rsidRPr="0027745B">
              <w:rPr>
                <w:rFonts w:cs="Arial"/>
                <w:b/>
                <w:bCs/>
                <w:color w:val="000000"/>
                <w:sz w:val="16"/>
                <w:szCs w:val="16"/>
              </w:rPr>
              <w:t>11,540</w:t>
            </w:r>
          </w:p>
        </w:tc>
        <w:tc>
          <w:tcPr>
            <w:tcW w:w="929" w:type="pct"/>
            <w:tcBorders>
              <w:top w:val="nil"/>
              <w:left w:val="nil"/>
              <w:bottom w:val="single" w:sz="4" w:space="0" w:color="auto"/>
              <w:right w:val="single" w:sz="4" w:space="0" w:color="auto"/>
            </w:tcBorders>
            <w:shd w:val="clear" w:color="auto" w:fill="auto"/>
            <w:vAlign w:val="center"/>
          </w:tcPr>
          <w:p w:rsidR="005660B2" w:rsidRPr="0027745B" w:rsidRDefault="005660B2" w:rsidP="00AE7502">
            <w:pPr>
              <w:spacing w:before="120" w:after="120"/>
              <w:jc w:val="center"/>
              <w:rPr>
                <w:rFonts w:cs="Arial"/>
                <w:b/>
                <w:bCs/>
                <w:color w:val="000000"/>
                <w:sz w:val="16"/>
                <w:szCs w:val="16"/>
              </w:rPr>
            </w:pPr>
            <w:r w:rsidRPr="0027745B">
              <w:rPr>
                <w:rFonts w:cs="Arial"/>
                <w:b/>
                <w:bCs/>
                <w:color w:val="000000"/>
                <w:sz w:val="16"/>
                <w:szCs w:val="16"/>
              </w:rPr>
              <w:t>97%</w:t>
            </w:r>
          </w:p>
        </w:tc>
      </w:tr>
    </w:tbl>
    <w:p w:rsidR="005660B2" w:rsidRPr="003813EB" w:rsidRDefault="005660B2" w:rsidP="005660B2">
      <w:pPr>
        <w:jc w:val="center"/>
        <w:rPr>
          <w:rFonts w:cs="Arial"/>
        </w:rPr>
      </w:pPr>
    </w:p>
    <w:p w:rsidR="005660B2" w:rsidRDefault="005660B2" w:rsidP="005660B2">
      <w:pPr>
        <w:keepNext/>
        <w:keepLines/>
        <w:rPr>
          <w:rFonts w:cs="Arial"/>
          <w:sz w:val="22"/>
          <w:szCs w:val="22"/>
        </w:rPr>
      </w:pPr>
    </w:p>
    <w:p w:rsidR="005660B2" w:rsidRPr="00CD0DD3" w:rsidRDefault="005660B2" w:rsidP="005660B2">
      <w:pPr>
        <w:keepNext/>
        <w:keepLines/>
        <w:autoSpaceDE w:val="0"/>
        <w:autoSpaceDN w:val="0"/>
        <w:adjustRightInd w:val="0"/>
        <w:rPr>
          <w:sz w:val="16"/>
          <w:szCs w:val="16"/>
        </w:rPr>
      </w:pPr>
      <w:r w:rsidRPr="00CD0DD3">
        <w:rPr>
          <w:sz w:val="16"/>
          <w:szCs w:val="16"/>
        </w:rPr>
        <w:t>NOTES:</w:t>
      </w:r>
    </w:p>
    <w:p w:rsidR="005660B2" w:rsidRPr="00CD0DD3" w:rsidRDefault="005660B2" w:rsidP="005660B2">
      <w:pPr>
        <w:keepNext/>
        <w:keepLines/>
        <w:autoSpaceDE w:val="0"/>
        <w:autoSpaceDN w:val="0"/>
        <w:adjustRightInd w:val="0"/>
        <w:rPr>
          <w:sz w:val="16"/>
          <w:szCs w:val="16"/>
        </w:rPr>
      </w:pPr>
    </w:p>
    <w:p w:rsidR="005660B2" w:rsidRPr="00CD0DD3" w:rsidRDefault="005660B2" w:rsidP="005660B2">
      <w:pPr>
        <w:keepNext/>
        <w:keepLines/>
        <w:autoSpaceDE w:val="0"/>
        <w:autoSpaceDN w:val="0"/>
        <w:adjustRightInd w:val="0"/>
        <w:rPr>
          <w:sz w:val="16"/>
          <w:szCs w:val="16"/>
        </w:rPr>
      </w:pPr>
      <w:r w:rsidRPr="00CD0DD3">
        <w:rPr>
          <w:sz w:val="16"/>
          <w:szCs w:val="16"/>
        </w:rPr>
        <w:t>(1)  Budget after transfers reflects the adjusted budget of Programs, following transfers during 2012/13 in line with Financial Regulation 5.5.</w:t>
      </w:r>
    </w:p>
    <w:p w:rsidR="005660B2" w:rsidRPr="00CD0DD3" w:rsidRDefault="005660B2" w:rsidP="005660B2">
      <w:pPr>
        <w:keepNext/>
        <w:keepLines/>
        <w:autoSpaceDE w:val="0"/>
        <w:autoSpaceDN w:val="0"/>
        <w:adjustRightInd w:val="0"/>
        <w:rPr>
          <w:sz w:val="16"/>
          <w:szCs w:val="16"/>
        </w:rPr>
      </w:pPr>
    </w:p>
    <w:p w:rsidR="005660B2" w:rsidRPr="00CD0DD3" w:rsidRDefault="00DC2CFA" w:rsidP="005660B2">
      <w:pPr>
        <w:keepNext/>
        <w:keepLines/>
        <w:autoSpaceDE w:val="0"/>
        <w:autoSpaceDN w:val="0"/>
        <w:adjustRightInd w:val="0"/>
        <w:rPr>
          <w:sz w:val="16"/>
          <w:szCs w:val="16"/>
        </w:rPr>
      </w:pPr>
      <w:r>
        <w:rPr>
          <w:sz w:val="16"/>
          <w:szCs w:val="16"/>
        </w:rPr>
        <w:t xml:space="preserve">(2)  The personnel allocation for the 2012/13 Budget after transfers represents actual expenditures incurred in the biennium. </w:t>
      </w:r>
      <w:r w:rsidR="005660B2" w:rsidRPr="00CD0DD3">
        <w:rPr>
          <w:sz w:val="16"/>
          <w:szCs w:val="16"/>
        </w:rPr>
        <w:t xml:space="preserve"> </w:t>
      </w:r>
    </w:p>
    <w:p w:rsidR="005660B2" w:rsidRDefault="005660B2" w:rsidP="005660B2">
      <w:pPr>
        <w:keepNext/>
        <w:keepLines/>
        <w:rPr>
          <w:rFonts w:cs="Arial"/>
          <w:sz w:val="22"/>
          <w:szCs w:val="22"/>
        </w:rPr>
      </w:pPr>
    </w:p>
    <w:p w:rsidR="005660B2" w:rsidRDefault="005660B2" w:rsidP="005660B2">
      <w:pPr>
        <w:keepNext/>
        <w:keepLines/>
        <w:rPr>
          <w:rFonts w:cs="Arial"/>
          <w:sz w:val="22"/>
          <w:szCs w:val="22"/>
        </w:rPr>
      </w:pPr>
    </w:p>
    <w:p w:rsidR="005660B2" w:rsidRPr="00DF2D6D" w:rsidRDefault="005660B2" w:rsidP="005660B2">
      <w:pPr>
        <w:rPr>
          <w:u w:val="single"/>
        </w:rPr>
      </w:pPr>
      <w:r w:rsidRPr="0027745B">
        <w:t>A.</w:t>
      </w:r>
      <w:r w:rsidRPr="0027745B">
        <w:tab/>
      </w:r>
      <w:r w:rsidRPr="00DF2D6D">
        <w:rPr>
          <w:u w:val="single"/>
        </w:rPr>
        <w:t>Budget after Transfers 2012/13</w:t>
      </w:r>
    </w:p>
    <w:p w:rsidR="005660B2" w:rsidRDefault="005660B2" w:rsidP="005660B2">
      <w:pPr>
        <w:jc w:val="both"/>
      </w:pPr>
    </w:p>
    <w:p w:rsidR="005660B2" w:rsidRPr="006B6E1A" w:rsidRDefault="005660B2" w:rsidP="005703CF">
      <w:pPr>
        <w:pStyle w:val="ListParagraph"/>
        <w:numPr>
          <w:ilvl w:val="0"/>
          <w:numId w:val="39"/>
        </w:numPr>
        <w:tabs>
          <w:tab w:val="left" w:pos="709"/>
        </w:tabs>
        <w:ind w:left="0" w:firstLine="0"/>
        <w:jc w:val="both"/>
        <w:rPr>
          <w:rFonts w:eastAsia="Batang"/>
          <w:lang w:eastAsia="ko-KR"/>
        </w:rPr>
      </w:pPr>
      <w:r w:rsidRPr="00F24705">
        <w:rPr>
          <w:rFonts w:eastAsia="Batang"/>
          <w:lang w:eastAsia="ko-KR"/>
        </w:rPr>
        <w:t xml:space="preserve">The </w:t>
      </w:r>
      <w:r w:rsidRPr="006B6E1A">
        <w:rPr>
          <w:rFonts w:eastAsia="Batang"/>
          <w:lang w:eastAsia="ko-KR"/>
        </w:rPr>
        <w:t xml:space="preserve">personnel allocation for </w:t>
      </w:r>
      <w:r w:rsidRPr="0027745B">
        <w:rPr>
          <w:rFonts w:eastAsia="Batang"/>
          <w:lang w:eastAsia="ko-KR"/>
        </w:rPr>
        <w:t>the 2012/13 Budget after Transfers reflects an upward adjustment primarily due to additional resources assigned to the Program to strengthen its work on joint master programs and professional development training under Result III.2 (</w:t>
      </w:r>
      <w:r w:rsidRPr="009B494E">
        <w:t>Enhanced human resource capacities)</w:t>
      </w:r>
      <w:r w:rsidRPr="00B62C99">
        <w:t>.</w:t>
      </w:r>
      <w:r w:rsidRPr="00F24705">
        <w:rPr>
          <w:rFonts w:eastAsia="Batang"/>
          <w:lang w:eastAsia="ko-KR"/>
        </w:rPr>
        <w:t xml:space="preserve"> </w:t>
      </w:r>
    </w:p>
    <w:p w:rsidR="005660B2" w:rsidRDefault="005660B2" w:rsidP="005660B2">
      <w:pPr>
        <w:tabs>
          <w:tab w:val="left" w:pos="709"/>
        </w:tabs>
        <w:jc w:val="both"/>
        <w:rPr>
          <w:rFonts w:eastAsia="Batang"/>
          <w:lang w:eastAsia="ko-KR"/>
        </w:rPr>
      </w:pPr>
    </w:p>
    <w:p w:rsidR="005660B2" w:rsidRDefault="005660B2" w:rsidP="005703CF">
      <w:pPr>
        <w:pStyle w:val="ListParagraph"/>
        <w:numPr>
          <w:ilvl w:val="0"/>
          <w:numId w:val="39"/>
        </w:numPr>
        <w:tabs>
          <w:tab w:val="left" w:pos="709"/>
        </w:tabs>
        <w:ind w:left="0" w:firstLine="0"/>
        <w:jc w:val="both"/>
        <w:rPr>
          <w:rFonts w:eastAsia="Batang"/>
          <w:lang w:eastAsia="ko-KR"/>
        </w:rPr>
      </w:pPr>
      <w:r w:rsidRPr="00F24705">
        <w:rPr>
          <w:rFonts w:eastAsia="Batang"/>
          <w:lang w:eastAsia="ko-KR"/>
        </w:rPr>
        <w:t xml:space="preserve">The non-personnel allocation for the 2012/13 Budget after Transfers reflects downward adjustments made for cost efficiency gains, in accordance with the Organization’s commitment to reduce expenditures by 10.2 million Swiss francs in the </w:t>
      </w:r>
      <w:r w:rsidRPr="006B6E1A">
        <w:rPr>
          <w:rFonts w:eastAsia="Batang"/>
          <w:lang w:eastAsia="ko-KR"/>
        </w:rPr>
        <w:t>2012/1</w:t>
      </w:r>
      <w:r w:rsidRPr="0027745B">
        <w:rPr>
          <w:rFonts w:eastAsia="Batang"/>
          <w:lang w:eastAsia="ko-KR"/>
        </w:rPr>
        <w:t xml:space="preserve">3 biennium. </w:t>
      </w:r>
    </w:p>
    <w:p w:rsidR="005660B2" w:rsidRDefault="005660B2" w:rsidP="005660B2">
      <w:pPr>
        <w:jc w:val="both"/>
        <w:rPr>
          <w:rFonts w:cs="Arial"/>
          <w:lang w:eastAsia="ko-KR"/>
        </w:rPr>
      </w:pPr>
    </w:p>
    <w:p w:rsidR="005660B2" w:rsidRPr="0027745B" w:rsidRDefault="005660B2" w:rsidP="00D44A34">
      <w:pPr>
        <w:tabs>
          <w:tab w:val="left" w:pos="709"/>
        </w:tabs>
        <w:jc w:val="both"/>
        <w:rPr>
          <w:rFonts w:cs="Arial"/>
          <w:u w:val="single"/>
          <w:lang w:eastAsia="ko-KR"/>
        </w:rPr>
      </w:pPr>
      <w:r w:rsidRPr="00F24705">
        <w:rPr>
          <w:rFonts w:cs="Arial"/>
          <w:lang w:eastAsia="ko-KR"/>
        </w:rPr>
        <w:t>B.</w:t>
      </w:r>
      <w:r w:rsidRPr="00F24705">
        <w:rPr>
          <w:rFonts w:cs="Arial"/>
          <w:lang w:eastAsia="ko-KR"/>
        </w:rPr>
        <w:tab/>
      </w:r>
      <w:r w:rsidR="00D44A34">
        <w:rPr>
          <w:rFonts w:cs="Arial"/>
          <w:u w:val="single"/>
          <w:lang w:eastAsia="ko-KR"/>
        </w:rPr>
        <w:t>Budget U</w:t>
      </w:r>
      <w:r w:rsidRPr="0027745B">
        <w:rPr>
          <w:rFonts w:cs="Arial"/>
          <w:u w:val="single"/>
          <w:lang w:eastAsia="ko-KR"/>
        </w:rPr>
        <w:t>tilization 2012/13</w:t>
      </w:r>
    </w:p>
    <w:p w:rsidR="005660B2" w:rsidRDefault="005660B2" w:rsidP="005660B2">
      <w:pPr>
        <w:pStyle w:val="ListParagraph"/>
        <w:ind w:left="0"/>
        <w:jc w:val="both"/>
        <w:rPr>
          <w:rFonts w:eastAsia="Batang"/>
          <w:lang w:eastAsia="ko-KR"/>
        </w:rPr>
      </w:pPr>
    </w:p>
    <w:p w:rsidR="005660B2" w:rsidRPr="005660B2" w:rsidRDefault="005660B2" w:rsidP="005703CF">
      <w:pPr>
        <w:pStyle w:val="ListParagraph"/>
        <w:numPr>
          <w:ilvl w:val="0"/>
          <w:numId w:val="39"/>
        </w:numPr>
        <w:tabs>
          <w:tab w:val="left" w:pos="709"/>
        </w:tabs>
        <w:ind w:left="0" w:firstLine="0"/>
        <w:jc w:val="both"/>
        <w:rPr>
          <w:rFonts w:eastAsia="Batang"/>
          <w:lang w:eastAsia="ko-KR"/>
        </w:rPr>
      </w:pPr>
      <w:r w:rsidRPr="00B565E4">
        <w:rPr>
          <w:rFonts w:eastAsia="Batang"/>
          <w:lang w:eastAsia="ko-KR"/>
        </w:rPr>
        <w:t xml:space="preserve">The </w:t>
      </w:r>
      <w:r w:rsidRPr="00B565E4">
        <w:rPr>
          <w:rFonts w:cs="Arial"/>
        </w:rPr>
        <w:t>Budget utilization (non-personnel) amounted to 93 per cent primarily due to</w:t>
      </w:r>
      <w:r w:rsidR="007F3E34">
        <w:rPr>
          <w:rFonts w:cs="Arial"/>
        </w:rPr>
        <w:t xml:space="preserve">: </w:t>
      </w:r>
      <w:r w:rsidRPr="00B565E4">
        <w:rPr>
          <w:rFonts w:cs="Arial"/>
        </w:rPr>
        <w:t xml:space="preserve"> (i) </w:t>
      </w:r>
      <w:r w:rsidRPr="00B565E4">
        <w:rPr>
          <w:rFonts w:cstheme="minorBidi"/>
        </w:rPr>
        <w:t xml:space="preserve">savings under some professional development training programs in copyright and industrial property rights </w:t>
      </w:r>
      <w:r w:rsidRPr="00B565E4">
        <w:rPr>
          <w:rFonts w:cs="Arial"/>
        </w:rPr>
        <w:t xml:space="preserve">under </w:t>
      </w:r>
      <w:r w:rsidRPr="00B565E4">
        <w:rPr>
          <w:rFonts w:eastAsia="Batang"/>
          <w:lang w:eastAsia="ko-KR"/>
        </w:rPr>
        <w:t>Result III.2 (</w:t>
      </w:r>
      <w:r w:rsidRPr="00B565E4">
        <w:t>Enhanced human resource capacities)</w:t>
      </w:r>
      <w:r w:rsidRPr="00B565E4">
        <w:rPr>
          <w:rFonts w:cs="Arial"/>
        </w:rPr>
        <w:t xml:space="preserve">; </w:t>
      </w:r>
      <w:r w:rsidR="007F3E34">
        <w:rPr>
          <w:rFonts w:cs="Arial"/>
        </w:rPr>
        <w:t xml:space="preserve"> </w:t>
      </w:r>
      <w:r w:rsidRPr="00B565E4">
        <w:rPr>
          <w:rFonts w:cs="Arial"/>
        </w:rPr>
        <w:t>(ii) the delay in the launch of the three new online courses in the DL Program under Result III.4 (</w:t>
      </w:r>
      <w:r w:rsidRPr="00B565E4">
        <w:rPr>
          <w:rFonts w:cs="Arial"/>
          <w:color w:val="000000"/>
        </w:rPr>
        <w:t xml:space="preserve">Easier access to IP education); </w:t>
      </w:r>
      <w:r w:rsidRPr="00B565E4">
        <w:rPr>
          <w:rFonts w:cs="Arial"/>
        </w:rPr>
        <w:t xml:space="preserve"> and (iii) the discontinuation of the Executive Program in 2013 under Result III.5 (Upgraded IP Management skills for business)</w:t>
      </w:r>
      <w:r>
        <w:rPr>
          <w:rFonts w:cs="Arial"/>
        </w:rPr>
        <w:t>.</w:t>
      </w:r>
    </w:p>
    <w:p w:rsidR="005660B2" w:rsidRDefault="005660B2" w:rsidP="005660B2">
      <w:pPr>
        <w:pStyle w:val="ListParagraph"/>
        <w:tabs>
          <w:tab w:val="left" w:pos="709"/>
        </w:tabs>
        <w:ind w:left="0"/>
        <w:jc w:val="both"/>
        <w:rPr>
          <w:rFonts w:cs="Arial"/>
        </w:rPr>
      </w:pPr>
    </w:p>
    <w:p w:rsidR="005660B2" w:rsidRDefault="005660B2">
      <w:pPr>
        <w:rPr>
          <w:rFonts w:cs="Arial"/>
          <w:szCs w:val="20"/>
        </w:rPr>
      </w:pPr>
      <w:r>
        <w:rPr>
          <w:rFonts w:cs="Arial"/>
        </w:rPr>
        <w:br w:type="page"/>
      </w:r>
    </w:p>
    <w:p w:rsidR="006F036E" w:rsidRPr="00305272" w:rsidRDefault="00305272" w:rsidP="00305272">
      <w:pPr>
        <w:pStyle w:val="Heading3"/>
      </w:pPr>
      <w:bookmarkStart w:id="35" w:name="_Toc393956056"/>
      <w:r w:rsidRPr="00BE72D1">
        <w:lastRenderedPageBreak/>
        <w:t>Program 30</w:t>
      </w:r>
      <w:r w:rsidRPr="00BE72D1">
        <w:tab/>
        <w:t>Small and Medium-Sized Enterprises (S</w:t>
      </w:r>
      <w:r w:rsidR="006F08EA" w:rsidRPr="00BE72D1">
        <w:t>MES</w:t>
      </w:r>
      <w:r w:rsidRPr="00BE72D1">
        <w:t>) and Innovation</w:t>
      </w:r>
      <w:bookmarkEnd w:id="35"/>
    </w:p>
    <w:p w:rsidR="00BE72D1" w:rsidRDefault="00BE72D1"/>
    <w:p w:rsidR="00BE72D1" w:rsidRPr="00BE72D1" w:rsidRDefault="00BE72D1" w:rsidP="00BE72D1">
      <w:pPr>
        <w:ind w:left="2268" w:hanging="2268"/>
        <w:rPr>
          <w:rFonts w:cs="Arial"/>
          <w:b/>
          <w:sz w:val="22"/>
          <w:szCs w:val="22"/>
        </w:rPr>
      </w:pPr>
      <w:r w:rsidRPr="00BE72D1">
        <w:rPr>
          <w:rFonts w:cs="Arial"/>
          <w:b/>
          <w:sz w:val="22"/>
          <w:szCs w:val="22"/>
        </w:rPr>
        <w:t>Program Manager</w:t>
      </w:r>
      <w:r w:rsidRPr="00BE72D1">
        <w:rPr>
          <w:rFonts w:cs="Arial"/>
          <w:b/>
          <w:sz w:val="22"/>
          <w:szCs w:val="22"/>
        </w:rPr>
        <w:tab/>
      </w:r>
      <w:r w:rsidRPr="00BE72D1">
        <w:rPr>
          <w:rFonts w:cs="Arial"/>
          <w:b/>
          <w:sz w:val="22"/>
          <w:szCs w:val="22"/>
        </w:rPr>
        <w:tab/>
        <w:t>Mr. J. Pooley</w:t>
      </w:r>
    </w:p>
    <w:p w:rsidR="00BE72D1" w:rsidRDefault="00BE72D1" w:rsidP="00BE72D1">
      <w:pPr>
        <w:rPr>
          <w:rFonts w:cs="Arial"/>
          <w:sz w:val="22"/>
          <w:szCs w:val="22"/>
        </w:rPr>
      </w:pPr>
    </w:p>
    <w:p w:rsidR="00BE72D1" w:rsidRPr="00BE72D1" w:rsidRDefault="00BE72D1" w:rsidP="00BE72D1">
      <w:pPr>
        <w:rPr>
          <w:rFonts w:cs="Arial"/>
          <w:sz w:val="22"/>
          <w:szCs w:val="22"/>
        </w:rPr>
      </w:pPr>
    </w:p>
    <w:p w:rsidR="00BE72D1" w:rsidRPr="00BE72D1" w:rsidRDefault="00BE72D1" w:rsidP="00BE72D1">
      <w:pPr>
        <w:rPr>
          <w:rFonts w:cs="Arial"/>
          <w:sz w:val="22"/>
          <w:szCs w:val="22"/>
        </w:rPr>
      </w:pPr>
      <w:r w:rsidRPr="00BE72D1">
        <w:rPr>
          <w:rFonts w:cs="Arial"/>
          <w:bCs/>
          <w:sz w:val="22"/>
          <w:szCs w:val="22"/>
        </w:rPr>
        <w:t>ACHIEVEMENTS IN THE 2012/13 BIENNIUM</w:t>
      </w:r>
    </w:p>
    <w:p w:rsidR="00BE72D1" w:rsidRPr="00BE72D1" w:rsidRDefault="00BE72D1" w:rsidP="00BE72D1">
      <w:pPr>
        <w:rPr>
          <w:rFonts w:cs="Arial"/>
          <w:szCs w:val="20"/>
        </w:rPr>
      </w:pPr>
    </w:p>
    <w:p w:rsidR="00BE72D1" w:rsidRPr="00BE72D1" w:rsidRDefault="00BE72D1" w:rsidP="00BE72D1">
      <w:pPr>
        <w:rPr>
          <w:rFonts w:cs="Arial"/>
          <w:szCs w:val="20"/>
        </w:rPr>
      </w:pPr>
      <w:r w:rsidRPr="00BE72D1">
        <w:rPr>
          <w:rFonts w:cs="Arial"/>
          <w:szCs w:val="20"/>
        </w:rPr>
        <w:t>SMALL AND MEDIUM-SIZED ENTERPRISES</w:t>
      </w:r>
    </w:p>
    <w:p w:rsidR="00BE72D1" w:rsidRPr="00BE72D1" w:rsidRDefault="00BE72D1" w:rsidP="00BE72D1">
      <w:pPr>
        <w:rPr>
          <w:rFonts w:cs="Arial"/>
          <w:szCs w:val="20"/>
        </w:rPr>
      </w:pPr>
    </w:p>
    <w:p w:rsidR="00BE72D1" w:rsidRPr="00BE72D1" w:rsidRDefault="00BE72D1" w:rsidP="007B2B25">
      <w:pPr>
        <w:pStyle w:val="ListParagraph"/>
        <w:numPr>
          <w:ilvl w:val="0"/>
          <w:numId w:val="83"/>
        </w:numPr>
        <w:tabs>
          <w:tab w:val="left" w:pos="0"/>
          <w:tab w:val="left" w:pos="709"/>
        </w:tabs>
        <w:ind w:left="0" w:firstLine="0"/>
        <w:jc w:val="both"/>
        <w:rPr>
          <w:rFonts w:cs="Arial"/>
        </w:rPr>
      </w:pPr>
      <w:r w:rsidRPr="00BE72D1">
        <w:rPr>
          <w:rFonts w:cs="Arial"/>
        </w:rPr>
        <w:t xml:space="preserve">Work continued with national and regional IP Offices and other institutions in assisting entrepreneurs and SMEs in using the IP system, primarily through </w:t>
      </w:r>
      <w:r w:rsidR="00452A4C">
        <w:rPr>
          <w:rFonts w:cs="Arial"/>
        </w:rPr>
        <w:t>(</w:t>
      </w:r>
      <w:r w:rsidRPr="00BE72D1">
        <w:rPr>
          <w:rFonts w:cs="Arial"/>
        </w:rPr>
        <w:t xml:space="preserve">a) adapting and/or translating content on IP for business to the local context, and </w:t>
      </w:r>
      <w:r w:rsidR="00452A4C">
        <w:rPr>
          <w:rFonts w:cs="Arial"/>
        </w:rPr>
        <w:t>(</w:t>
      </w:r>
      <w:r w:rsidRPr="00BE72D1">
        <w:rPr>
          <w:rFonts w:cs="Arial"/>
        </w:rPr>
        <w:t>b) training of trainers programs.  With respect to the latter, 29</w:t>
      </w:r>
      <w:r w:rsidR="00452A4C">
        <w:rPr>
          <w:rFonts w:cs="Arial"/>
        </w:rPr>
        <w:t> </w:t>
      </w:r>
      <w:r w:rsidRPr="00BE72D1">
        <w:rPr>
          <w:rFonts w:cs="Arial"/>
        </w:rPr>
        <w:t xml:space="preserve">programs on effective IP asset management by SMEs, benefitting over 1,525 participants, were organized, aiming at creating a critical mass of trainers in specific countries with knowledge, skills and experience to provide basic assistance to SMEs on IP asset management.  </w:t>
      </w:r>
      <w:r w:rsidRPr="00BE72D1">
        <w:rPr>
          <w:rFonts w:cs="Arial"/>
          <w:bCs/>
        </w:rPr>
        <w:t>The Program also contributed to fostering appropriate policies and policy coherence on IP for SMEs at the national, sub-regional and regional levels.  To this end, a sub-regional forum was organized in India in 2012.</w:t>
      </w:r>
    </w:p>
    <w:p w:rsidR="00BE72D1" w:rsidRPr="00BE72D1" w:rsidRDefault="00BE72D1" w:rsidP="00BE72D1">
      <w:pPr>
        <w:pStyle w:val="ListParagraph"/>
        <w:tabs>
          <w:tab w:val="left" w:pos="0"/>
          <w:tab w:val="left" w:pos="709"/>
        </w:tabs>
        <w:ind w:left="0"/>
        <w:jc w:val="both"/>
        <w:rPr>
          <w:rFonts w:cs="Arial"/>
        </w:rPr>
      </w:pPr>
    </w:p>
    <w:p w:rsidR="00BE72D1" w:rsidRPr="00BE72D1" w:rsidRDefault="00BE72D1" w:rsidP="007B2B25">
      <w:pPr>
        <w:pStyle w:val="ListParagraph"/>
        <w:numPr>
          <w:ilvl w:val="0"/>
          <w:numId w:val="83"/>
        </w:numPr>
        <w:tabs>
          <w:tab w:val="left" w:pos="0"/>
          <w:tab w:val="left" w:pos="709"/>
        </w:tabs>
        <w:ind w:left="0" w:firstLine="0"/>
        <w:jc w:val="both"/>
        <w:rPr>
          <w:rFonts w:cs="Arial"/>
        </w:rPr>
      </w:pPr>
      <w:r w:rsidRPr="00BE72D1">
        <w:rPr>
          <w:rFonts w:cs="Arial"/>
        </w:rPr>
        <w:t xml:space="preserve">New books on </w:t>
      </w:r>
      <w:r w:rsidRPr="00BE72D1">
        <w:rPr>
          <w:rFonts w:cs="Arial"/>
          <w:i/>
        </w:rPr>
        <w:t>Strategic IP Asset Management</w:t>
      </w:r>
      <w:r w:rsidRPr="00BE72D1">
        <w:rPr>
          <w:rFonts w:cs="Arial"/>
        </w:rPr>
        <w:t xml:space="preserve">, </w:t>
      </w:r>
      <w:r w:rsidRPr="00BE72D1">
        <w:rPr>
          <w:rFonts w:cs="Arial"/>
          <w:i/>
          <w:color w:val="000000"/>
        </w:rPr>
        <w:t>Use of Intangibles for Access to the Capital Market</w:t>
      </w:r>
      <w:r w:rsidRPr="00BE72D1">
        <w:rPr>
          <w:rFonts w:cs="Arial"/>
          <w:color w:val="000000"/>
        </w:rPr>
        <w:t>,</w:t>
      </w:r>
      <w:r w:rsidRPr="00BE72D1">
        <w:rPr>
          <w:rFonts w:cs="Arial"/>
        </w:rPr>
        <w:t xml:space="preserve"> and </w:t>
      </w:r>
      <w:r w:rsidRPr="00BE72D1">
        <w:rPr>
          <w:rFonts w:cs="Arial"/>
          <w:i/>
        </w:rPr>
        <w:t>Trade Secrets for SMEs</w:t>
      </w:r>
      <w:r w:rsidRPr="00BE72D1">
        <w:rPr>
          <w:rFonts w:cs="Arial"/>
        </w:rPr>
        <w:t xml:space="preserve"> were developed during the biennium. </w:t>
      </w:r>
      <w:r w:rsidR="00452A4C">
        <w:rPr>
          <w:rFonts w:cs="Arial"/>
        </w:rPr>
        <w:t xml:space="preserve"> </w:t>
      </w:r>
      <w:r w:rsidRPr="00BE72D1">
        <w:rPr>
          <w:rFonts w:cs="Arial"/>
          <w:i/>
        </w:rPr>
        <w:t>In Good Company – Managing</w:t>
      </w:r>
      <w:r w:rsidRPr="00BE72D1">
        <w:rPr>
          <w:rFonts w:cs="Arial"/>
        </w:rPr>
        <w:t xml:space="preserve"> </w:t>
      </w:r>
      <w:r w:rsidRPr="00BE72D1">
        <w:rPr>
          <w:rFonts w:cs="Arial"/>
          <w:i/>
        </w:rPr>
        <w:t>IP Issues in Franchising</w:t>
      </w:r>
      <w:r w:rsidRPr="00BE72D1">
        <w:rPr>
          <w:rFonts w:cs="Arial"/>
        </w:rPr>
        <w:t xml:space="preserve"> was published and translated into the UN languages.  Another new publication, </w:t>
      </w:r>
      <w:r w:rsidRPr="00BE72D1">
        <w:rPr>
          <w:rFonts w:cs="Arial"/>
          <w:i/>
        </w:rPr>
        <w:t xml:space="preserve">IP Issues in the Agro Food Sector, </w:t>
      </w:r>
      <w:r w:rsidRPr="00BE72D1">
        <w:rPr>
          <w:rFonts w:cs="Arial"/>
        </w:rPr>
        <w:t xml:space="preserve">and the updated versions of three former publications, namely </w:t>
      </w:r>
      <w:proofErr w:type="gramStart"/>
      <w:r w:rsidRPr="00BE72D1">
        <w:rPr>
          <w:rFonts w:cs="Arial"/>
          <w:i/>
        </w:rPr>
        <w:t>Making</w:t>
      </w:r>
      <w:proofErr w:type="gramEnd"/>
      <w:r w:rsidRPr="00BE72D1">
        <w:rPr>
          <w:rFonts w:cs="Arial"/>
          <w:i/>
        </w:rPr>
        <w:t xml:space="preserve"> a Mark</w:t>
      </w:r>
      <w:r w:rsidRPr="00BE72D1">
        <w:rPr>
          <w:rFonts w:cs="Arial"/>
        </w:rPr>
        <w:t xml:space="preserve">, </w:t>
      </w:r>
      <w:r w:rsidRPr="00BE72D1">
        <w:rPr>
          <w:rFonts w:cs="Arial"/>
          <w:i/>
        </w:rPr>
        <w:t>Inventing the Future</w:t>
      </w:r>
      <w:r w:rsidRPr="00BE72D1">
        <w:rPr>
          <w:rFonts w:cs="Arial"/>
        </w:rPr>
        <w:t xml:space="preserve"> and </w:t>
      </w:r>
      <w:r w:rsidRPr="00BE72D1">
        <w:rPr>
          <w:rFonts w:cs="Arial"/>
          <w:i/>
        </w:rPr>
        <w:t>Stitch in time</w:t>
      </w:r>
      <w:r w:rsidRPr="00BE72D1">
        <w:rPr>
          <w:rFonts w:cs="Arial"/>
        </w:rPr>
        <w:t xml:space="preserve">, are awaiting approval for publication.  </w:t>
      </w:r>
    </w:p>
    <w:p w:rsidR="00BE72D1" w:rsidRPr="00BE72D1" w:rsidRDefault="00BE72D1" w:rsidP="00BE72D1">
      <w:pPr>
        <w:pStyle w:val="ListParagraph"/>
        <w:tabs>
          <w:tab w:val="left" w:pos="0"/>
          <w:tab w:val="left" w:pos="709"/>
        </w:tabs>
        <w:ind w:left="0"/>
        <w:jc w:val="both"/>
        <w:rPr>
          <w:rFonts w:cs="Arial"/>
        </w:rPr>
      </w:pPr>
    </w:p>
    <w:p w:rsidR="00BE72D1" w:rsidRPr="00BE72D1" w:rsidRDefault="00BE72D1" w:rsidP="007B2B25">
      <w:pPr>
        <w:pStyle w:val="ListParagraph"/>
        <w:numPr>
          <w:ilvl w:val="0"/>
          <w:numId w:val="83"/>
        </w:numPr>
        <w:tabs>
          <w:tab w:val="left" w:pos="0"/>
          <w:tab w:val="left" w:pos="709"/>
        </w:tabs>
        <w:ind w:left="0" w:firstLine="0"/>
        <w:jc w:val="both"/>
        <w:rPr>
          <w:rFonts w:cs="Arial"/>
        </w:rPr>
      </w:pPr>
      <w:r w:rsidRPr="00BE72D1">
        <w:rPr>
          <w:rFonts w:cs="Arial"/>
          <w:lang w:eastAsia="ko-KR"/>
        </w:rPr>
        <w:t>The IP PANORAMA</w:t>
      </w:r>
      <w:r w:rsidRPr="00BE72D1">
        <w:rPr>
          <w:rFonts w:cs="Arial"/>
          <w:vertAlign w:val="superscript"/>
          <w:lang w:eastAsia="ko-KR"/>
        </w:rPr>
        <w:t>TM</w:t>
      </w:r>
      <w:r w:rsidRPr="00BE72D1">
        <w:rPr>
          <w:rFonts w:cs="Arial"/>
          <w:lang w:eastAsia="ko-KR"/>
        </w:rPr>
        <w:t xml:space="preserve"> multimedia toolkit was extended with a</w:t>
      </w:r>
      <w:r w:rsidRPr="00BE72D1">
        <w:rPr>
          <w:rFonts w:cs="Arial"/>
        </w:rPr>
        <w:t xml:space="preserve"> new (13</w:t>
      </w:r>
      <w:r w:rsidRPr="00BE72D1">
        <w:rPr>
          <w:rFonts w:cs="Arial"/>
          <w:vertAlign w:val="superscript"/>
        </w:rPr>
        <w:t>th</w:t>
      </w:r>
      <w:r w:rsidRPr="00BE72D1">
        <w:rPr>
          <w:rFonts w:cs="Arial"/>
        </w:rPr>
        <w:t xml:space="preserve">) module on IP Issues in Franchising. </w:t>
      </w:r>
      <w:r w:rsidR="00452A4C">
        <w:rPr>
          <w:rFonts w:cs="Arial"/>
        </w:rPr>
        <w:t xml:space="preserve"> </w:t>
      </w:r>
      <w:r w:rsidRPr="00BE72D1">
        <w:rPr>
          <w:rFonts w:cs="Arial"/>
        </w:rPr>
        <w:t>IP Panorama was translated into Albanian, French, Polish, Russian, Serbian-Bosnian-Croatian and Spanish languages.  An online international certificate course on IP asset management for business success based on IP PANORAMA</w:t>
      </w:r>
      <w:r w:rsidRPr="00BE72D1">
        <w:rPr>
          <w:rFonts w:cs="Arial"/>
          <w:vertAlign w:val="superscript"/>
        </w:rPr>
        <w:t>TM</w:t>
      </w:r>
      <w:r w:rsidRPr="00BE72D1">
        <w:rPr>
          <w:rFonts w:cs="Arial"/>
        </w:rPr>
        <w:t xml:space="preserve"> was taken by 1,251 students, and 46 students participated subsequently in an offline program on IP asset management. </w:t>
      </w:r>
    </w:p>
    <w:p w:rsidR="00BE72D1" w:rsidRPr="00BE72D1" w:rsidRDefault="00BE72D1" w:rsidP="00BE72D1">
      <w:pPr>
        <w:pStyle w:val="ListParagraph"/>
        <w:tabs>
          <w:tab w:val="left" w:pos="0"/>
          <w:tab w:val="left" w:pos="709"/>
        </w:tabs>
        <w:ind w:left="0"/>
        <w:jc w:val="both"/>
        <w:rPr>
          <w:rFonts w:cs="Arial"/>
        </w:rPr>
      </w:pPr>
    </w:p>
    <w:p w:rsidR="00BE72D1" w:rsidRPr="00BE72D1" w:rsidRDefault="00BE72D1" w:rsidP="007B2B25">
      <w:pPr>
        <w:pStyle w:val="ListParagraph"/>
        <w:numPr>
          <w:ilvl w:val="0"/>
          <w:numId w:val="83"/>
        </w:numPr>
        <w:tabs>
          <w:tab w:val="left" w:pos="0"/>
          <w:tab w:val="left" w:pos="709"/>
        </w:tabs>
        <w:ind w:left="0" w:firstLine="0"/>
        <w:jc w:val="both"/>
        <w:rPr>
          <w:rFonts w:cs="Arial"/>
          <w:lang w:val="en-GB"/>
        </w:rPr>
      </w:pPr>
      <w:r w:rsidRPr="00BE72D1">
        <w:rPr>
          <w:rFonts w:cs="Arial"/>
        </w:rPr>
        <w:t>Efforts to reach out directly to SMEs continued via the SMEs website in the six UN languages and the monthly e-newsletter which was distributed to over 40,000 subscribers worldwide.</w:t>
      </w:r>
    </w:p>
    <w:p w:rsidR="00BE72D1" w:rsidRPr="00BE72D1" w:rsidRDefault="00BE72D1" w:rsidP="00BE72D1">
      <w:pPr>
        <w:rPr>
          <w:rFonts w:cs="Arial"/>
          <w:bCs/>
          <w:color w:val="000000"/>
          <w:szCs w:val="20"/>
          <w:lang w:val="en-GB"/>
        </w:rPr>
      </w:pPr>
    </w:p>
    <w:p w:rsidR="00BE72D1" w:rsidRPr="00BE72D1" w:rsidRDefault="00BE72D1" w:rsidP="00BE72D1">
      <w:pPr>
        <w:rPr>
          <w:rFonts w:cs="Arial"/>
          <w:bCs/>
          <w:caps/>
          <w:szCs w:val="20"/>
        </w:rPr>
      </w:pPr>
      <w:r w:rsidRPr="00BE72D1">
        <w:rPr>
          <w:rFonts w:cs="Arial"/>
          <w:bCs/>
          <w:caps/>
          <w:szCs w:val="20"/>
        </w:rPr>
        <w:t>Innovation Policy</w:t>
      </w:r>
    </w:p>
    <w:p w:rsidR="00BE72D1" w:rsidRPr="00BE72D1" w:rsidRDefault="00BE72D1" w:rsidP="00BE72D1">
      <w:pPr>
        <w:rPr>
          <w:rFonts w:cs="Arial"/>
          <w:bCs/>
          <w:szCs w:val="20"/>
        </w:rPr>
      </w:pPr>
    </w:p>
    <w:p w:rsidR="00BE72D1" w:rsidRPr="00BE72D1" w:rsidRDefault="00BE72D1" w:rsidP="007B2B25">
      <w:pPr>
        <w:pStyle w:val="ListParagraph"/>
        <w:numPr>
          <w:ilvl w:val="0"/>
          <w:numId w:val="83"/>
        </w:numPr>
        <w:tabs>
          <w:tab w:val="left" w:pos="0"/>
          <w:tab w:val="left" w:pos="709"/>
        </w:tabs>
        <w:ind w:left="0" w:firstLine="0"/>
        <w:jc w:val="both"/>
        <w:rPr>
          <w:rFonts w:cs="Arial"/>
          <w:bCs/>
        </w:rPr>
      </w:pPr>
      <w:r w:rsidRPr="00BE72D1">
        <w:rPr>
          <w:rFonts w:cs="Arial"/>
          <w:bCs/>
        </w:rPr>
        <w:t>Since its creation on October 1, 2012, the Innovation Policy Section has prepared the foundation for its continuing work, identifying the areas where innovation policy interacts with IP and building up a network of experts.  During 2013, a group of experts was convened in Geneva to discuss the role of IP in innovation policy formulation and propose how WIPO could contribute to and add value to existing work on innovation policy.  A national project on integrating IP into innovation policy formulation was consequently piloted to test a specific design and methodology for delivering such projects in this area.  The project resulted in a set of comprehensive recommendations to the government on integrating IP into its innovation policy formulation.</w:t>
      </w:r>
    </w:p>
    <w:p w:rsidR="00BE72D1" w:rsidRDefault="00BE72D1" w:rsidP="00BE72D1">
      <w:pPr>
        <w:autoSpaceDE w:val="0"/>
        <w:autoSpaceDN w:val="0"/>
        <w:adjustRightInd w:val="0"/>
        <w:jc w:val="both"/>
        <w:rPr>
          <w:rFonts w:cs="Arial"/>
          <w:szCs w:val="20"/>
        </w:rPr>
      </w:pPr>
    </w:p>
    <w:p w:rsidR="00BE72D1" w:rsidRPr="00BE72D1" w:rsidRDefault="00BE72D1" w:rsidP="00BE72D1">
      <w:pPr>
        <w:autoSpaceDE w:val="0"/>
        <w:autoSpaceDN w:val="0"/>
        <w:adjustRightInd w:val="0"/>
        <w:jc w:val="both"/>
        <w:rPr>
          <w:rFonts w:cs="Arial"/>
          <w:szCs w:val="20"/>
        </w:rPr>
      </w:pPr>
      <w:r w:rsidRPr="00BE72D1">
        <w:rPr>
          <w:rFonts w:cs="Arial"/>
          <w:szCs w:val="20"/>
        </w:rPr>
        <w:t>INNOVATION STRUCTURES</w:t>
      </w:r>
    </w:p>
    <w:p w:rsidR="00BE72D1" w:rsidRPr="00BE72D1" w:rsidRDefault="00BE72D1" w:rsidP="00BE72D1">
      <w:pPr>
        <w:autoSpaceDE w:val="0"/>
        <w:autoSpaceDN w:val="0"/>
        <w:adjustRightInd w:val="0"/>
        <w:jc w:val="both"/>
        <w:rPr>
          <w:rFonts w:cs="Arial"/>
          <w:szCs w:val="20"/>
          <w:u w:val="single"/>
        </w:rPr>
      </w:pPr>
    </w:p>
    <w:p w:rsidR="00BE72D1" w:rsidRPr="00BE72D1" w:rsidRDefault="00BE72D1" w:rsidP="007B2B25">
      <w:pPr>
        <w:pStyle w:val="ListParagraph"/>
        <w:numPr>
          <w:ilvl w:val="0"/>
          <w:numId w:val="83"/>
        </w:numPr>
        <w:tabs>
          <w:tab w:val="left" w:pos="0"/>
          <w:tab w:val="left" w:pos="709"/>
        </w:tabs>
        <w:ind w:left="0" w:firstLine="0"/>
        <w:jc w:val="both"/>
        <w:rPr>
          <w:rFonts w:cs="Arial"/>
        </w:rPr>
      </w:pPr>
      <w:r w:rsidRPr="00BE72D1">
        <w:rPr>
          <w:rFonts w:cs="Arial"/>
        </w:rPr>
        <w:t>Assistance continued to be provided to developing countries, LDCs and countries in transition to develop their innovation frameworks and capacity to enhance creation, development and exploitation of IP for development.  In this context</w:t>
      </w:r>
      <w:r w:rsidR="00054BF2">
        <w:rPr>
          <w:rFonts w:cs="Arial"/>
        </w:rPr>
        <w:t>,</w:t>
      </w:r>
      <w:r w:rsidRPr="00BE72D1">
        <w:rPr>
          <w:rFonts w:cs="Arial"/>
        </w:rPr>
        <w:t xml:space="preserve"> approximately 2,360 (1,167 in 2012, and 1,193 in 2013)</w:t>
      </w:r>
      <w:r w:rsidRPr="00CD26D6">
        <w:rPr>
          <w:rFonts w:cs="Arial"/>
        </w:rPr>
        <w:t xml:space="preserve"> </w:t>
      </w:r>
      <w:r w:rsidRPr="00BE72D1">
        <w:rPr>
          <w:rFonts w:cs="Arial"/>
        </w:rPr>
        <w:t>government officials, technology managers, scientists and patent agents, focusing on innovation promotion, knowledge transfer and IP commercialization in universities and R&amp;D institutions in developing countries, LDCs and countries in transition were trained.  In this context, the following programs and projects were implemented:</w:t>
      </w:r>
    </w:p>
    <w:p w:rsidR="00BE72D1" w:rsidRPr="00BE72D1" w:rsidRDefault="00BE72D1" w:rsidP="00BE72D1">
      <w:pPr>
        <w:autoSpaceDE w:val="0"/>
        <w:autoSpaceDN w:val="0"/>
        <w:adjustRightInd w:val="0"/>
        <w:jc w:val="both"/>
        <w:rPr>
          <w:rFonts w:cs="Arial"/>
          <w:szCs w:val="20"/>
        </w:rPr>
      </w:pPr>
    </w:p>
    <w:p w:rsidR="00BE72D1" w:rsidRPr="00BE72D1" w:rsidRDefault="00BE72D1" w:rsidP="007B2B25">
      <w:pPr>
        <w:pStyle w:val="ListParagraph"/>
        <w:numPr>
          <w:ilvl w:val="0"/>
          <w:numId w:val="82"/>
        </w:numPr>
        <w:autoSpaceDE w:val="0"/>
        <w:autoSpaceDN w:val="0"/>
        <w:adjustRightInd w:val="0"/>
        <w:jc w:val="both"/>
        <w:rPr>
          <w:rFonts w:cs="Arial"/>
        </w:rPr>
      </w:pPr>
      <w:r w:rsidRPr="00BE72D1">
        <w:rPr>
          <w:rFonts w:cs="Arial"/>
        </w:rPr>
        <w:t xml:space="preserve">Launch of the Phase II of the thematic project “Establishment of Technology Transfer Offices (TTOs) in Arab Region” in Tunisia and development of the National Needs Assessment Report, based on an expert fact finding mission undertaken in collaboration with CERN. </w:t>
      </w:r>
      <w:r w:rsidR="00054BF2">
        <w:rPr>
          <w:rFonts w:cs="Arial"/>
        </w:rPr>
        <w:t xml:space="preserve"> </w:t>
      </w:r>
      <w:r w:rsidRPr="00BE72D1">
        <w:rPr>
          <w:rFonts w:cs="Arial"/>
        </w:rPr>
        <w:t>An action plan for Tunisia was also adopted;</w:t>
      </w:r>
    </w:p>
    <w:p w:rsidR="00BE72D1" w:rsidRPr="00BE72D1" w:rsidRDefault="00BE72D1" w:rsidP="00054BF2">
      <w:pPr>
        <w:pStyle w:val="ListParagraph"/>
        <w:autoSpaceDE w:val="0"/>
        <w:autoSpaceDN w:val="0"/>
        <w:adjustRightInd w:val="0"/>
        <w:ind w:left="927" w:hanging="360"/>
        <w:jc w:val="right"/>
        <w:rPr>
          <w:rFonts w:cs="Arial"/>
        </w:rPr>
      </w:pPr>
    </w:p>
    <w:p w:rsidR="00BE72D1" w:rsidRPr="00BE72D1" w:rsidRDefault="00BE72D1" w:rsidP="00054BF2">
      <w:pPr>
        <w:autoSpaceDE w:val="0"/>
        <w:autoSpaceDN w:val="0"/>
        <w:adjustRightInd w:val="0"/>
        <w:ind w:left="927" w:hanging="360"/>
        <w:jc w:val="both"/>
        <w:rPr>
          <w:rFonts w:cs="Arial"/>
          <w:szCs w:val="20"/>
        </w:rPr>
      </w:pPr>
      <w:r w:rsidRPr="00BE72D1">
        <w:rPr>
          <w:rFonts w:cs="Arial"/>
          <w:szCs w:val="20"/>
        </w:rPr>
        <w:lastRenderedPageBreak/>
        <w:t xml:space="preserve">2. </w:t>
      </w:r>
      <w:r w:rsidR="00054BF2">
        <w:rPr>
          <w:rFonts w:cs="Arial"/>
          <w:szCs w:val="20"/>
        </w:rPr>
        <w:tab/>
      </w:r>
      <w:r w:rsidRPr="00BE72D1">
        <w:rPr>
          <w:rFonts w:cs="Arial"/>
          <w:szCs w:val="20"/>
        </w:rPr>
        <w:t xml:space="preserve">Continuation of the University Initiative Program through collaboration with 27 universities worldwide – seven new needs assessment reports completed (five Chilean universities and two in Georgia); </w:t>
      </w:r>
    </w:p>
    <w:p w:rsidR="00BE72D1" w:rsidRPr="00BE72D1" w:rsidRDefault="00BE72D1" w:rsidP="00054BF2">
      <w:pPr>
        <w:autoSpaceDE w:val="0"/>
        <w:autoSpaceDN w:val="0"/>
        <w:adjustRightInd w:val="0"/>
        <w:ind w:left="927" w:hanging="360"/>
        <w:jc w:val="both"/>
        <w:rPr>
          <w:rFonts w:cs="Arial"/>
          <w:szCs w:val="20"/>
        </w:rPr>
      </w:pPr>
    </w:p>
    <w:p w:rsidR="00BE72D1" w:rsidRPr="00BE72D1" w:rsidRDefault="00BE72D1" w:rsidP="00054BF2">
      <w:pPr>
        <w:autoSpaceDE w:val="0"/>
        <w:autoSpaceDN w:val="0"/>
        <w:adjustRightInd w:val="0"/>
        <w:ind w:left="927" w:hanging="360"/>
        <w:jc w:val="both"/>
        <w:rPr>
          <w:rFonts w:cs="Arial"/>
          <w:szCs w:val="20"/>
        </w:rPr>
      </w:pPr>
      <w:r w:rsidRPr="00BE72D1">
        <w:rPr>
          <w:rFonts w:cs="Arial"/>
          <w:szCs w:val="20"/>
        </w:rPr>
        <w:t xml:space="preserve">3. </w:t>
      </w:r>
      <w:r w:rsidR="00054BF2">
        <w:rPr>
          <w:rFonts w:cs="Arial"/>
          <w:szCs w:val="20"/>
        </w:rPr>
        <w:tab/>
      </w:r>
      <w:r w:rsidRPr="00BE72D1">
        <w:rPr>
          <w:rFonts w:cs="Arial"/>
          <w:szCs w:val="20"/>
        </w:rPr>
        <w:t>Capacity building programs in the area of IP commercialization:  15 Patent Drafting Workshops</w:t>
      </w:r>
      <w:r w:rsidRPr="00CD26D6">
        <w:rPr>
          <w:rFonts w:cs="Arial"/>
          <w:szCs w:val="20"/>
        </w:rPr>
        <w:t xml:space="preserve"> </w:t>
      </w:r>
      <w:r w:rsidRPr="00BE72D1">
        <w:rPr>
          <w:rFonts w:cs="Arial"/>
          <w:szCs w:val="20"/>
        </w:rPr>
        <w:t xml:space="preserve">followed by 16 distance training practices (400 people in total), 14 Innovation Promotion and Technology Transfer Workshops, four Successful Technology Licensing (STL) Training Programs and five IP Valuation Courses. </w:t>
      </w:r>
      <w:r w:rsidR="00054BF2">
        <w:rPr>
          <w:rFonts w:cs="Arial"/>
          <w:szCs w:val="20"/>
        </w:rPr>
        <w:t xml:space="preserve"> </w:t>
      </w:r>
      <w:r w:rsidRPr="00BE72D1">
        <w:rPr>
          <w:rFonts w:cs="Arial"/>
          <w:szCs w:val="20"/>
        </w:rPr>
        <w:t>The Program also provided advice, contributed to and/or co-organized 17 events with other WIPO Programs;</w:t>
      </w:r>
    </w:p>
    <w:p w:rsidR="00BE72D1" w:rsidRPr="00BE72D1" w:rsidRDefault="00BE72D1" w:rsidP="00054BF2">
      <w:pPr>
        <w:autoSpaceDE w:val="0"/>
        <w:autoSpaceDN w:val="0"/>
        <w:adjustRightInd w:val="0"/>
        <w:ind w:left="927" w:hanging="360"/>
        <w:jc w:val="both"/>
        <w:rPr>
          <w:rFonts w:cs="Arial"/>
          <w:szCs w:val="20"/>
        </w:rPr>
      </w:pPr>
    </w:p>
    <w:p w:rsidR="00BE72D1" w:rsidRPr="00BE72D1" w:rsidRDefault="00BE72D1" w:rsidP="00054BF2">
      <w:pPr>
        <w:autoSpaceDE w:val="0"/>
        <w:autoSpaceDN w:val="0"/>
        <w:adjustRightInd w:val="0"/>
        <w:ind w:left="927" w:hanging="360"/>
        <w:jc w:val="both"/>
        <w:rPr>
          <w:rFonts w:cs="Arial"/>
          <w:szCs w:val="20"/>
        </w:rPr>
      </w:pPr>
      <w:r w:rsidRPr="00BE72D1">
        <w:rPr>
          <w:rFonts w:cs="Arial"/>
          <w:szCs w:val="20"/>
        </w:rPr>
        <w:t xml:space="preserve">4. </w:t>
      </w:r>
      <w:r w:rsidR="00054BF2">
        <w:rPr>
          <w:rFonts w:cs="Arial"/>
          <w:szCs w:val="20"/>
        </w:rPr>
        <w:tab/>
      </w:r>
      <w:r w:rsidRPr="00BE72D1">
        <w:rPr>
          <w:rFonts w:cs="Arial"/>
          <w:szCs w:val="20"/>
        </w:rPr>
        <w:t xml:space="preserve">Development of Internal and External Partnerships for fostering IP international collaboration (negotiation of MOU with European Commissions’ Joint Research Center); </w:t>
      </w:r>
      <w:r w:rsidR="00054BF2">
        <w:rPr>
          <w:rFonts w:cs="Arial"/>
          <w:szCs w:val="20"/>
        </w:rPr>
        <w:t xml:space="preserve"> </w:t>
      </w:r>
      <w:r w:rsidRPr="00BE72D1">
        <w:rPr>
          <w:rFonts w:cs="Arial"/>
          <w:szCs w:val="20"/>
        </w:rPr>
        <w:t xml:space="preserve">continued collaboration with CERN on technology transfer project in the Arab region and collaboration with other WIPO Divisions on innovation promotion, PCT trainings, and regular contributions to the WIPO Academy Programs. </w:t>
      </w:r>
    </w:p>
    <w:p w:rsidR="00BE72D1" w:rsidRPr="00BE72D1" w:rsidRDefault="00BE72D1" w:rsidP="00BE72D1">
      <w:pPr>
        <w:rPr>
          <w:rFonts w:cs="Arial"/>
          <w:bCs/>
          <w:szCs w:val="20"/>
        </w:rPr>
      </w:pPr>
    </w:p>
    <w:p w:rsidR="00BE72D1" w:rsidRPr="00BE72D1" w:rsidRDefault="00BE72D1" w:rsidP="00BE72D1">
      <w:pPr>
        <w:rPr>
          <w:rFonts w:cs="Arial"/>
          <w:bCs/>
          <w:sz w:val="22"/>
          <w:szCs w:val="22"/>
        </w:rPr>
      </w:pPr>
      <w:r w:rsidRPr="00BE72D1">
        <w:rPr>
          <w:rFonts w:cs="Arial"/>
          <w:bCs/>
          <w:sz w:val="22"/>
          <w:szCs w:val="22"/>
        </w:rPr>
        <w:t xml:space="preserve">IMPLEMENTATION OF THE DEVELOPMENT AGENDA </w:t>
      </w:r>
    </w:p>
    <w:p w:rsidR="00BE72D1" w:rsidRPr="00BE72D1" w:rsidRDefault="00BE72D1" w:rsidP="00BE72D1">
      <w:pPr>
        <w:autoSpaceDE w:val="0"/>
        <w:autoSpaceDN w:val="0"/>
        <w:adjustRightInd w:val="0"/>
        <w:jc w:val="both"/>
        <w:rPr>
          <w:rFonts w:cs="Arial"/>
          <w:b/>
          <w:bCs/>
          <w:szCs w:val="20"/>
        </w:rPr>
      </w:pPr>
    </w:p>
    <w:p w:rsidR="00BE72D1" w:rsidRPr="00BE72D1" w:rsidRDefault="00BE72D1" w:rsidP="00B44D3B">
      <w:pPr>
        <w:tabs>
          <w:tab w:val="left" w:pos="709"/>
        </w:tabs>
        <w:jc w:val="both"/>
        <w:rPr>
          <w:rFonts w:cs="Arial"/>
          <w:bCs/>
          <w:szCs w:val="20"/>
        </w:rPr>
      </w:pPr>
      <w:r>
        <w:rPr>
          <w:rFonts w:cs="Arial"/>
          <w:bCs/>
          <w:szCs w:val="20"/>
        </w:rPr>
        <w:t>30.7.</w:t>
      </w:r>
      <w:r>
        <w:rPr>
          <w:rFonts w:cs="Arial"/>
          <w:bCs/>
          <w:szCs w:val="20"/>
        </w:rPr>
        <w:tab/>
      </w:r>
      <w:r w:rsidRPr="00BE72D1">
        <w:rPr>
          <w:rFonts w:cs="Arial"/>
          <w:bCs/>
          <w:szCs w:val="20"/>
        </w:rPr>
        <w:t xml:space="preserve">Pursuant to DA Recommendations 19, 25, 26 and 28, five regional consultations on </w:t>
      </w:r>
      <w:r w:rsidR="00054BF2">
        <w:rPr>
          <w:rFonts w:cs="Arial"/>
          <w:bCs/>
          <w:szCs w:val="20"/>
        </w:rPr>
        <w:t>“</w:t>
      </w:r>
      <w:r w:rsidRPr="00BE72D1">
        <w:rPr>
          <w:rFonts w:cs="Arial"/>
          <w:bCs/>
          <w:szCs w:val="20"/>
        </w:rPr>
        <w:t>Intellectual Property and Technology Transfer: Common Challenges – Building Solutions</w:t>
      </w:r>
      <w:r w:rsidR="00054BF2">
        <w:rPr>
          <w:rFonts w:cs="Arial"/>
          <w:bCs/>
          <w:szCs w:val="20"/>
        </w:rPr>
        <w:t>”</w:t>
      </w:r>
      <w:r w:rsidRPr="00BE72D1">
        <w:rPr>
          <w:rFonts w:cs="Arial"/>
          <w:bCs/>
          <w:szCs w:val="20"/>
        </w:rPr>
        <w:t xml:space="preserve"> were held in Singapore in July 2012 for the Asian region, in Algiers in January 2013 for the African and Arab regions, in Istanbul in October 2013 for countries in transition, in Geneva in November 2013 for developed countries and in Monterrey in December 2013 for the Latin America and Caribbean region.  Six studies on technology transfer aspects were initiated and five completed, with the peer-review stage to follow in 2014.  Concerning DA Recommendation 36, the Taxonomy-Analytical Study approved in CDIP/8 was presented to the Member States in an informal open-ended meeting held during CDIP/9 as well as during a formal open-ended meeting on June 18, 2012. </w:t>
      </w:r>
      <w:r w:rsidR="00054BF2">
        <w:rPr>
          <w:rFonts w:cs="Arial"/>
          <w:bCs/>
          <w:szCs w:val="20"/>
        </w:rPr>
        <w:t xml:space="preserve"> </w:t>
      </w:r>
      <w:r w:rsidRPr="00BE72D1">
        <w:rPr>
          <w:rFonts w:cs="Arial"/>
          <w:bCs/>
          <w:szCs w:val="20"/>
        </w:rPr>
        <w:t>The expert meeting, in the form of a WIPO Conference on Open Innovation: Collaborative Projects and the Future of Knowledge, was prepared in 2013 and took place in early 2014.  Finally, work commenced on the in-depth evaluation study and the content for the interactive platform.</w:t>
      </w:r>
    </w:p>
    <w:p w:rsidR="00BE72D1" w:rsidRPr="00BE72D1" w:rsidRDefault="00BE72D1" w:rsidP="00B44D3B">
      <w:pPr>
        <w:jc w:val="both"/>
        <w:rPr>
          <w:rFonts w:cs="Arial"/>
          <w:szCs w:val="20"/>
        </w:rPr>
      </w:pPr>
    </w:p>
    <w:p w:rsidR="00BE72D1" w:rsidRPr="00BE72D1" w:rsidRDefault="00BE72D1" w:rsidP="00B44D3B">
      <w:pPr>
        <w:tabs>
          <w:tab w:val="left" w:pos="709"/>
        </w:tabs>
        <w:jc w:val="both"/>
        <w:rPr>
          <w:rFonts w:cs="Arial"/>
          <w:bCs/>
          <w:szCs w:val="20"/>
        </w:rPr>
      </w:pPr>
      <w:r>
        <w:rPr>
          <w:rFonts w:cs="Arial"/>
          <w:bCs/>
          <w:szCs w:val="20"/>
        </w:rPr>
        <w:t>30.8.</w:t>
      </w:r>
      <w:r>
        <w:rPr>
          <w:rFonts w:cs="Arial"/>
          <w:bCs/>
          <w:szCs w:val="20"/>
        </w:rPr>
        <w:tab/>
      </w:r>
      <w:r w:rsidRPr="00BE72D1">
        <w:rPr>
          <w:rFonts w:cs="Arial"/>
          <w:bCs/>
          <w:szCs w:val="20"/>
        </w:rPr>
        <w:t>In addition, in line with DA Recommendations 1, 4, 10 and 11, awareness of the potential offered by the IP system among SMEs was enhanced during the biennium, primarily through 29 Training of Trainers (ToT) programs, undertaken on IP management for SMEs at the request of Member States across various regions, imparting IP management knowledge and skills to some 1,525 participants from SMEs and SMEs support institutions.  Content on IP for business was also translated and adapted to the local context.  The IP offices and/or the chambers of commerce of the concerned Member States were closely involved in the planning and took a leading role and made substantial contributions during the development and implementation of the programs, including in the selection of international and local speakers and program topics.  Moreover, the IP PANORAMA</w:t>
      </w:r>
      <w:r w:rsidRPr="00BE72D1">
        <w:rPr>
          <w:rFonts w:cs="Arial"/>
          <w:bCs/>
          <w:szCs w:val="20"/>
          <w:vertAlign w:val="superscript"/>
        </w:rPr>
        <w:t>TM</w:t>
      </w:r>
      <w:r w:rsidRPr="00BE72D1">
        <w:rPr>
          <w:rFonts w:cs="Arial"/>
          <w:bCs/>
          <w:szCs w:val="20"/>
        </w:rPr>
        <w:t xml:space="preserve"> multimedia toolkit was completed with a module on IP Issues in Franchising and translated into Albanian, French, Polish, Russian, Serbian-Bosnian-Croatian and Spanish languages. </w:t>
      </w:r>
      <w:r w:rsidR="00054BF2">
        <w:rPr>
          <w:rFonts w:cs="Arial"/>
          <w:bCs/>
          <w:szCs w:val="20"/>
        </w:rPr>
        <w:t xml:space="preserve"> </w:t>
      </w:r>
      <w:r w:rsidRPr="00BE72D1">
        <w:rPr>
          <w:rFonts w:cs="Arial"/>
          <w:bCs/>
          <w:szCs w:val="20"/>
        </w:rPr>
        <w:t>Some 1,251 students took an online international certificate course on IP asset management for business success based on IP PANORAMA</w:t>
      </w:r>
      <w:r w:rsidRPr="00BE72D1">
        <w:rPr>
          <w:rFonts w:cs="Arial"/>
          <w:bCs/>
          <w:szCs w:val="20"/>
          <w:vertAlign w:val="superscript"/>
        </w:rPr>
        <w:t>TM</w:t>
      </w:r>
      <w:r w:rsidRPr="00BE72D1">
        <w:rPr>
          <w:rFonts w:cs="Arial"/>
          <w:bCs/>
          <w:szCs w:val="20"/>
        </w:rPr>
        <w:t xml:space="preserve">, and 46 students participated subsequently in an offline program on IP asset management.  </w:t>
      </w:r>
    </w:p>
    <w:p w:rsidR="00BE72D1" w:rsidRPr="00BE72D1" w:rsidRDefault="00BE72D1" w:rsidP="00BE72D1">
      <w:pPr>
        <w:rPr>
          <w:rFonts w:cs="Arial"/>
          <w:bCs/>
          <w:szCs w:val="20"/>
        </w:rPr>
      </w:pPr>
    </w:p>
    <w:p w:rsidR="00BE72D1" w:rsidRDefault="00BE72D1">
      <w:pPr>
        <w:rPr>
          <w:rFonts w:cs="Arial"/>
          <w:szCs w:val="20"/>
        </w:rPr>
      </w:pPr>
      <w:r>
        <w:rPr>
          <w:rFonts w:cs="Arial"/>
          <w:szCs w:val="20"/>
        </w:rPr>
        <w:br w:type="page"/>
      </w:r>
    </w:p>
    <w:p w:rsidR="00BE72D1" w:rsidRPr="00BE72D1" w:rsidRDefault="00BE72D1" w:rsidP="00BE72D1">
      <w:pPr>
        <w:jc w:val="both"/>
        <w:rPr>
          <w:rFonts w:cs="Arial"/>
          <w:szCs w:val="20"/>
        </w:rPr>
      </w:pPr>
      <w:r w:rsidRPr="00BE72D1">
        <w:rPr>
          <w:rFonts w:cs="Arial"/>
          <w:szCs w:val="20"/>
        </w:rPr>
        <w:lastRenderedPageBreak/>
        <w:t>PERFORMANCE DATA</w:t>
      </w:r>
    </w:p>
    <w:p w:rsidR="00BE72D1" w:rsidRPr="00996F8B" w:rsidRDefault="00BE72D1" w:rsidP="00BE72D1">
      <w:pPr>
        <w:rPr>
          <w:rFonts w:cs="Arial"/>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4"/>
        <w:gridCol w:w="1533"/>
        <w:gridCol w:w="1480"/>
        <w:gridCol w:w="266"/>
        <w:gridCol w:w="3138"/>
        <w:gridCol w:w="198"/>
        <w:gridCol w:w="193"/>
        <w:gridCol w:w="885"/>
      </w:tblGrid>
      <w:tr w:rsidR="00BE72D1" w:rsidRPr="003C5DE4" w:rsidTr="003C5DE4">
        <w:trPr>
          <w:cantSplit/>
        </w:trPr>
        <w:tc>
          <w:tcPr>
            <w:tcW w:w="5000" w:type="pct"/>
            <w:gridSpan w:val="8"/>
            <w:tcBorders>
              <w:top w:val="single" w:sz="4" w:space="0" w:color="auto"/>
              <w:bottom w:val="single" w:sz="4" w:space="0" w:color="auto"/>
            </w:tcBorders>
            <w:shd w:val="clear" w:color="auto" w:fill="CCFFFF"/>
            <w:vAlign w:val="center"/>
          </w:tcPr>
          <w:p w:rsidR="00BE72D1" w:rsidRPr="003C5DE4" w:rsidRDefault="00BE72D1" w:rsidP="003E5EDF">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3C5DE4">
              <w:rPr>
                <w:rFonts w:cs="Arial"/>
                <w:sz w:val="16"/>
                <w:szCs w:val="16"/>
                <w:lang w:bidi="th-TH"/>
              </w:rPr>
              <w:t>Enhanced access to, and use of, IP information and knowledge by IP institutions and the public to promote innovation and increased access to protected creative works and creative works in the public domain</w:t>
            </w:r>
          </w:p>
        </w:tc>
      </w:tr>
      <w:tr w:rsidR="003C5DE4" w:rsidRPr="003C5DE4" w:rsidTr="00054BF2">
        <w:trPr>
          <w:cantSplit/>
        </w:trPr>
        <w:tc>
          <w:tcPr>
            <w:tcW w:w="889" w:type="pct"/>
            <w:tcBorders>
              <w:top w:val="single" w:sz="4" w:space="0" w:color="auto"/>
            </w:tcBorders>
            <w:vAlign w:val="center"/>
          </w:tcPr>
          <w:p w:rsidR="00BE72D1" w:rsidRPr="003C5DE4" w:rsidRDefault="00BE72D1" w:rsidP="003C5DE4">
            <w:pPr>
              <w:rPr>
                <w:rFonts w:cs="Arial"/>
                <w:sz w:val="16"/>
                <w:szCs w:val="16"/>
              </w:rPr>
            </w:pPr>
            <w:r w:rsidRPr="003C5DE4">
              <w:rPr>
                <w:rFonts w:cs="Arial"/>
                <w:b/>
                <w:bCs/>
                <w:sz w:val="16"/>
                <w:szCs w:val="16"/>
              </w:rPr>
              <w:t>Performance Indicators</w:t>
            </w:r>
          </w:p>
        </w:tc>
        <w:tc>
          <w:tcPr>
            <w:tcW w:w="819" w:type="pct"/>
            <w:tcBorders>
              <w:top w:val="single" w:sz="4" w:space="0" w:color="auto"/>
            </w:tcBorders>
            <w:shd w:val="clear" w:color="auto" w:fill="auto"/>
            <w:vAlign w:val="center"/>
          </w:tcPr>
          <w:p w:rsidR="00BE72D1" w:rsidRPr="003C5DE4" w:rsidRDefault="00BE72D1" w:rsidP="003C5DE4">
            <w:pPr>
              <w:rPr>
                <w:rFonts w:cs="Arial"/>
                <w:b/>
                <w:bCs/>
                <w:sz w:val="16"/>
                <w:szCs w:val="16"/>
              </w:rPr>
            </w:pPr>
            <w:r w:rsidRPr="003C5DE4">
              <w:rPr>
                <w:rFonts w:cs="Arial"/>
                <w:b/>
                <w:bCs/>
                <w:sz w:val="16"/>
                <w:szCs w:val="16"/>
              </w:rPr>
              <w:t>Baselines</w:t>
            </w:r>
          </w:p>
        </w:tc>
        <w:tc>
          <w:tcPr>
            <w:tcW w:w="791" w:type="pct"/>
            <w:tcBorders>
              <w:top w:val="single" w:sz="4" w:space="0" w:color="auto"/>
            </w:tcBorders>
            <w:tcMar>
              <w:top w:w="110" w:type="dxa"/>
            </w:tcMar>
            <w:vAlign w:val="center"/>
          </w:tcPr>
          <w:p w:rsidR="00BE72D1" w:rsidRPr="003C5DE4" w:rsidRDefault="00BE72D1" w:rsidP="003C5DE4">
            <w:pPr>
              <w:rPr>
                <w:rFonts w:cs="Arial"/>
                <w:b/>
                <w:sz w:val="16"/>
                <w:szCs w:val="16"/>
              </w:rPr>
            </w:pPr>
            <w:r w:rsidRPr="003C5DE4">
              <w:rPr>
                <w:rFonts w:cs="Arial"/>
                <w:b/>
                <w:sz w:val="16"/>
                <w:szCs w:val="16"/>
              </w:rPr>
              <w:t>Targets</w:t>
            </w:r>
          </w:p>
        </w:tc>
        <w:tc>
          <w:tcPr>
            <w:tcW w:w="1819" w:type="pct"/>
            <w:gridSpan w:val="2"/>
            <w:tcBorders>
              <w:top w:val="single" w:sz="4" w:space="0" w:color="auto"/>
            </w:tcBorders>
            <w:shd w:val="clear" w:color="auto" w:fill="FFFFFF"/>
            <w:tcMar>
              <w:top w:w="110" w:type="dxa"/>
            </w:tcMar>
            <w:vAlign w:val="center"/>
          </w:tcPr>
          <w:p w:rsidR="00BE72D1" w:rsidRPr="003C5DE4" w:rsidRDefault="00BE72D1" w:rsidP="003C5DE4">
            <w:pPr>
              <w:rPr>
                <w:rFonts w:cs="Arial"/>
                <w:sz w:val="16"/>
                <w:szCs w:val="16"/>
              </w:rPr>
            </w:pPr>
            <w:r w:rsidRPr="003C5DE4">
              <w:rPr>
                <w:rFonts w:cs="Arial"/>
                <w:b/>
                <w:bCs/>
                <w:sz w:val="16"/>
                <w:szCs w:val="16"/>
              </w:rPr>
              <w:t>Performance Data</w:t>
            </w:r>
          </w:p>
        </w:tc>
        <w:tc>
          <w:tcPr>
            <w:tcW w:w="682" w:type="pct"/>
            <w:gridSpan w:val="3"/>
            <w:tcBorders>
              <w:top w:val="single" w:sz="4" w:space="0" w:color="auto"/>
            </w:tcBorders>
            <w:tcMar>
              <w:top w:w="110" w:type="dxa"/>
            </w:tcMar>
            <w:vAlign w:val="center"/>
          </w:tcPr>
          <w:p w:rsidR="00BE72D1" w:rsidRPr="003C5DE4" w:rsidRDefault="00BE72D1" w:rsidP="003C5DE4">
            <w:pPr>
              <w:keepNext/>
              <w:keepLines/>
              <w:jc w:val="center"/>
              <w:rPr>
                <w:rFonts w:cs="Arial"/>
                <w:b/>
                <w:bCs/>
                <w:sz w:val="16"/>
                <w:szCs w:val="16"/>
              </w:rPr>
            </w:pPr>
            <w:r w:rsidRPr="003C5DE4">
              <w:rPr>
                <w:rFonts w:cs="Arial"/>
                <w:b/>
                <w:bCs/>
                <w:sz w:val="16"/>
                <w:szCs w:val="16"/>
              </w:rPr>
              <w:t>TLS</w:t>
            </w:r>
          </w:p>
        </w:tc>
      </w:tr>
      <w:tr w:rsidR="00BE72D1" w:rsidRPr="003C5DE4" w:rsidTr="00054BF2">
        <w:trPr>
          <w:cantSplit/>
        </w:trPr>
        <w:tc>
          <w:tcPr>
            <w:tcW w:w="889" w:type="pct"/>
            <w:tcBorders>
              <w:bottom w:val="single" w:sz="4" w:space="0" w:color="auto"/>
            </w:tcBorders>
          </w:tcPr>
          <w:p w:rsidR="00BE72D1" w:rsidRPr="003C5DE4" w:rsidRDefault="00BE72D1" w:rsidP="003E5EDF">
            <w:pPr>
              <w:rPr>
                <w:rFonts w:cs="Arial"/>
                <w:sz w:val="16"/>
                <w:szCs w:val="16"/>
              </w:rPr>
            </w:pPr>
            <w:r w:rsidRPr="003C5DE4">
              <w:rPr>
                <w:rFonts w:cs="Arial"/>
                <w:sz w:val="16"/>
                <w:szCs w:val="16"/>
                <w:lang w:bidi="th-TH"/>
              </w:rPr>
              <w:t>No. of Member States that have developed their IP framework and established TTOs</w:t>
            </w:r>
          </w:p>
        </w:tc>
        <w:tc>
          <w:tcPr>
            <w:tcW w:w="819" w:type="pct"/>
            <w:tcBorders>
              <w:bottom w:val="single" w:sz="4" w:space="0" w:color="auto"/>
            </w:tcBorders>
            <w:shd w:val="clear" w:color="auto" w:fill="auto"/>
          </w:tcPr>
          <w:p w:rsidR="00BE72D1" w:rsidRPr="003C5DE4" w:rsidRDefault="00BE72D1" w:rsidP="003E5EDF">
            <w:pPr>
              <w:rPr>
                <w:rFonts w:cs="Arial"/>
                <w:sz w:val="16"/>
                <w:szCs w:val="16"/>
                <w:lang w:bidi="th-TH"/>
              </w:rPr>
            </w:pPr>
            <w:r w:rsidRPr="003C5DE4">
              <w:rPr>
                <w:rFonts w:cs="Arial"/>
                <w:sz w:val="16"/>
                <w:szCs w:val="16"/>
                <w:lang w:bidi="th-TH"/>
              </w:rPr>
              <w:t>Framework pilot project adopted and funding committed</w:t>
            </w:r>
          </w:p>
        </w:tc>
        <w:tc>
          <w:tcPr>
            <w:tcW w:w="791" w:type="pct"/>
            <w:tcBorders>
              <w:bottom w:val="single" w:sz="4" w:space="0" w:color="auto"/>
            </w:tcBorders>
            <w:tcMar>
              <w:top w:w="110" w:type="dxa"/>
            </w:tcMar>
          </w:tcPr>
          <w:p w:rsidR="00BE72D1" w:rsidRPr="003C5DE4" w:rsidRDefault="00BE72D1" w:rsidP="003E5EDF">
            <w:pPr>
              <w:rPr>
                <w:rFonts w:cs="Arial"/>
                <w:sz w:val="16"/>
                <w:szCs w:val="16"/>
                <w:lang w:bidi="th-TH"/>
              </w:rPr>
            </w:pPr>
            <w:r w:rsidRPr="003C5DE4">
              <w:rPr>
                <w:rFonts w:cs="Arial"/>
                <w:sz w:val="16"/>
                <w:szCs w:val="16"/>
              </w:rPr>
              <w:t>8 TTOs</w:t>
            </w:r>
          </w:p>
        </w:tc>
        <w:tc>
          <w:tcPr>
            <w:tcW w:w="1819" w:type="pct"/>
            <w:gridSpan w:val="2"/>
            <w:tcBorders>
              <w:bottom w:val="single" w:sz="4" w:space="0" w:color="auto"/>
            </w:tcBorders>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lang w:bidi="th-TH"/>
              </w:rPr>
              <w:t xml:space="preserve">The following Universities/Institutions were directly assisted in developing their knowledge transfer ecosystem, policy and infrastructure:  </w:t>
            </w:r>
            <w:r w:rsidR="009C3DAD">
              <w:rPr>
                <w:rFonts w:cs="Arial"/>
                <w:sz w:val="16"/>
                <w:szCs w:val="16"/>
                <w:lang w:bidi="th-TH"/>
              </w:rPr>
              <w:t>(</w:t>
            </w:r>
            <w:r w:rsidRPr="003C5DE4">
              <w:rPr>
                <w:rFonts w:cs="Arial"/>
                <w:sz w:val="16"/>
                <w:szCs w:val="16"/>
                <w:lang w:bidi="th-TH"/>
              </w:rPr>
              <w:t>i) five in Chile:  National Institute of Agricultural Research (INA);  Pontific Catholic University of Chile (Santiago);  University of Concepción;  Pontific Catholic University of Valparaiso and University of La Frontera</w:t>
            </w:r>
            <w:r w:rsidR="009C3DAD">
              <w:rPr>
                <w:rFonts w:cs="Arial"/>
                <w:sz w:val="16"/>
                <w:szCs w:val="16"/>
                <w:lang w:bidi="th-TH"/>
              </w:rPr>
              <w:t>;</w:t>
            </w:r>
            <w:r w:rsidRPr="003C5DE4">
              <w:rPr>
                <w:rFonts w:cs="Arial"/>
                <w:sz w:val="16"/>
                <w:szCs w:val="16"/>
                <w:lang w:bidi="th-TH"/>
              </w:rPr>
              <w:t xml:space="preserve"> </w:t>
            </w:r>
            <w:r w:rsidR="00054BF2">
              <w:rPr>
                <w:rFonts w:cs="Arial"/>
                <w:sz w:val="16"/>
                <w:szCs w:val="16"/>
                <w:lang w:bidi="th-TH"/>
              </w:rPr>
              <w:t xml:space="preserve"> </w:t>
            </w:r>
            <w:r w:rsidR="009C3DAD">
              <w:rPr>
                <w:rFonts w:cs="Arial"/>
                <w:sz w:val="16"/>
                <w:szCs w:val="16"/>
                <w:lang w:bidi="th-TH"/>
              </w:rPr>
              <w:t>(</w:t>
            </w:r>
            <w:r w:rsidRPr="003C5DE4">
              <w:rPr>
                <w:rFonts w:cs="Arial"/>
                <w:sz w:val="16"/>
                <w:szCs w:val="16"/>
                <w:lang w:bidi="th-TH"/>
              </w:rPr>
              <w:t>ii</w:t>
            </w:r>
            <w:r w:rsidR="00054BF2" w:rsidRPr="003C5DE4">
              <w:rPr>
                <w:rFonts w:cs="Arial"/>
                <w:sz w:val="16"/>
                <w:szCs w:val="16"/>
                <w:lang w:bidi="th-TH"/>
              </w:rPr>
              <w:t>)</w:t>
            </w:r>
            <w:r w:rsidR="00054BF2">
              <w:rPr>
                <w:rFonts w:cs="Arial"/>
                <w:sz w:val="16"/>
                <w:szCs w:val="16"/>
                <w:lang w:bidi="th-TH"/>
              </w:rPr>
              <w:t> </w:t>
            </w:r>
            <w:r w:rsidRPr="003C5DE4">
              <w:rPr>
                <w:rFonts w:cs="Arial"/>
                <w:sz w:val="16"/>
                <w:szCs w:val="16"/>
                <w:lang w:bidi="th-TH"/>
              </w:rPr>
              <w:t xml:space="preserve">two in Georgia:  Ivane Javakhishvili Tbilisi State University and Georgian Technology Transfer Center, followed by the Plan of Action; </w:t>
            </w:r>
            <w:r w:rsidR="00054BF2">
              <w:rPr>
                <w:rFonts w:cs="Arial"/>
                <w:sz w:val="16"/>
                <w:szCs w:val="16"/>
                <w:lang w:bidi="th-TH"/>
              </w:rPr>
              <w:t xml:space="preserve"> </w:t>
            </w:r>
            <w:r w:rsidR="009C3DAD">
              <w:rPr>
                <w:rFonts w:cs="Arial"/>
                <w:sz w:val="16"/>
                <w:szCs w:val="16"/>
                <w:lang w:bidi="th-TH"/>
              </w:rPr>
              <w:t>(</w:t>
            </w:r>
            <w:r w:rsidRPr="003C5DE4">
              <w:rPr>
                <w:rFonts w:cs="Arial"/>
                <w:sz w:val="16"/>
                <w:szCs w:val="16"/>
                <w:lang w:bidi="th-TH"/>
              </w:rPr>
              <w:t xml:space="preserve">iii) five UNESCWA; </w:t>
            </w:r>
            <w:r w:rsidR="00054BF2">
              <w:rPr>
                <w:rFonts w:cs="Arial"/>
                <w:sz w:val="16"/>
                <w:szCs w:val="16"/>
                <w:lang w:bidi="th-TH"/>
              </w:rPr>
              <w:t xml:space="preserve"> </w:t>
            </w:r>
            <w:r w:rsidR="009C3DAD">
              <w:rPr>
                <w:rFonts w:cs="Arial"/>
                <w:sz w:val="16"/>
                <w:szCs w:val="16"/>
                <w:lang w:bidi="th-TH"/>
              </w:rPr>
              <w:t>(</w:t>
            </w:r>
            <w:r w:rsidRPr="003C5DE4">
              <w:rPr>
                <w:rFonts w:cs="Arial"/>
                <w:sz w:val="16"/>
                <w:szCs w:val="16"/>
                <w:lang w:bidi="th-TH"/>
              </w:rPr>
              <w:t xml:space="preserve">iv) six in Morocco; </w:t>
            </w:r>
            <w:r w:rsidR="00054BF2">
              <w:rPr>
                <w:rFonts w:cs="Arial"/>
                <w:sz w:val="16"/>
                <w:szCs w:val="16"/>
                <w:lang w:bidi="th-TH"/>
              </w:rPr>
              <w:t xml:space="preserve"> </w:t>
            </w:r>
            <w:r w:rsidR="009C3DAD">
              <w:rPr>
                <w:rFonts w:cs="Arial"/>
                <w:sz w:val="16"/>
                <w:szCs w:val="16"/>
                <w:lang w:bidi="th-TH"/>
              </w:rPr>
              <w:t>(</w:t>
            </w:r>
            <w:r w:rsidRPr="003C5DE4">
              <w:rPr>
                <w:rFonts w:cs="Arial"/>
                <w:sz w:val="16"/>
                <w:szCs w:val="16"/>
                <w:lang w:bidi="th-TH"/>
              </w:rPr>
              <w:t xml:space="preserve">v) five in the Philippines; and </w:t>
            </w:r>
            <w:r w:rsidR="009C3DAD">
              <w:rPr>
                <w:rFonts w:cs="Arial"/>
                <w:sz w:val="16"/>
                <w:szCs w:val="16"/>
                <w:lang w:bidi="th-TH"/>
              </w:rPr>
              <w:t>(</w:t>
            </w:r>
            <w:r w:rsidRPr="003C5DE4">
              <w:rPr>
                <w:rFonts w:cs="Arial"/>
                <w:sz w:val="16"/>
                <w:szCs w:val="16"/>
                <w:lang w:bidi="th-TH"/>
              </w:rPr>
              <w:t>vi</w:t>
            </w:r>
            <w:r w:rsidR="00054BF2" w:rsidRPr="003C5DE4">
              <w:rPr>
                <w:rFonts w:cs="Arial"/>
                <w:sz w:val="16"/>
                <w:szCs w:val="16"/>
                <w:lang w:bidi="th-TH"/>
              </w:rPr>
              <w:t>)</w:t>
            </w:r>
            <w:r w:rsidR="00054BF2">
              <w:rPr>
                <w:rFonts w:cs="Arial"/>
                <w:sz w:val="16"/>
                <w:szCs w:val="16"/>
                <w:lang w:bidi="th-TH"/>
              </w:rPr>
              <w:t> </w:t>
            </w:r>
            <w:r w:rsidRPr="003C5DE4">
              <w:rPr>
                <w:rFonts w:cs="Arial"/>
                <w:sz w:val="16"/>
                <w:szCs w:val="16"/>
                <w:lang w:bidi="th-TH"/>
              </w:rPr>
              <w:t>one in Ghana.</w:t>
            </w:r>
          </w:p>
          <w:p w:rsidR="00BE72D1" w:rsidRPr="00054BF2" w:rsidRDefault="00BE72D1" w:rsidP="003C5DE4">
            <w:pPr>
              <w:rPr>
                <w:rFonts w:cs="Arial"/>
                <w:sz w:val="8"/>
                <w:szCs w:val="8"/>
                <w:lang w:bidi="th-TH"/>
              </w:rPr>
            </w:pPr>
          </w:p>
          <w:p w:rsidR="00BE72D1" w:rsidRPr="003C5DE4" w:rsidRDefault="00BE72D1" w:rsidP="003C5DE4">
            <w:pPr>
              <w:rPr>
                <w:rFonts w:cs="Arial"/>
                <w:sz w:val="16"/>
                <w:szCs w:val="16"/>
                <w:lang w:bidi="th-TH"/>
              </w:rPr>
            </w:pPr>
            <w:r w:rsidRPr="003C5DE4">
              <w:rPr>
                <w:rFonts w:cs="Arial"/>
                <w:sz w:val="16"/>
                <w:szCs w:val="16"/>
                <w:lang w:bidi="th-TH"/>
              </w:rPr>
              <w:t xml:space="preserve">In addition, </w:t>
            </w:r>
            <w:r w:rsidR="009C3DAD">
              <w:rPr>
                <w:rFonts w:cs="Arial"/>
                <w:sz w:val="16"/>
                <w:szCs w:val="16"/>
                <w:lang w:bidi="th-TH"/>
              </w:rPr>
              <w:t>a Needs Assessment</w:t>
            </w:r>
            <w:r w:rsidRPr="003C5DE4">
              <w:rPr>
                <w:rFonts w:cs="Arial"/>
                <w:sz w:val="16"/>
                <w:szCs w:val="16"/>
                <w:lang w:bidi="th-TH"/>
              </w:rPr>
              <w:t xml:space="preserve"> was </w:t>
            </w:r>
            <w:r w:rsidR="009C3DAD">
              <w:rPr>
                <w:rFonts w:cs="Arial"/>
                <w:sz w:val="16"/>
                <w:szCs w:val="16"/>
                <w:lang w:bidi="th-TH"/>
              </w:rPr>
              <w:t>completed</w:t>
            </w:r>
            <w:r w:rsidRPr="003C5DE4">
              <w:rPr>
                <w:rFonts w:cs="Arial"/>
                <w:sz w:val="16"/>
                <w:szCs w:val="16"/>
                <w:lang w:bidi="th-TH"/>
              </w:rPr>
              <w:t xml:space="preserve"> for </w:t>
            </w:r>
            <w:r w:rsidR="009C3DAD">
              <w:rPr>
                <w:rFonts w:cs="Arial"/>
                <w:sz w:val="16"/>
                <w:szCs w:val="16"/>
                <w:lang w:bidi="th-TH"/>
              </w:rPr>
              <w:t xml:space="preserve">the </w:t>
            </w:r>
            <w:r w:rsidRPr="003C5DE4">
              <w:rPr>
                <w:rFonts w:cs="Arial"/>
                <w:sz w:val="16"/>
                <w:szCs w:val="16"/>
                <w:lang w:bidi="th-TH"/>
              </w:rPr>
              <w:t xml:space="preserve">implementation of </w:t>
            </w:r>
            <w:r w:rsidR="009C3DAD">
              <w:rPr>
                <w:rFonts w:cs="Arial"/>
                <w:sz w:val="16"/>
                <w:szCs w:val="16"/>
                <w:lang w:bidi="th-TH"/>
              </w:rPr>
              <w:t xml:space="preserve">a </w:t>
            </w:r>
            <w:r w:rsidRPr="003C5DE4">
              <w:rPr>
                <w:rFonts w:cs="Arial"/>
                <w:sz w:val="16"/>
                <w:szCs w:val="16"/>
                <w:lang w:bidi="th-TH"/>
              </w:rPr>
              <w:t xml:space="preserve">TTO project in Tunisia, addressing technology needs of </w:t>
            </w:r>
            <w:r w:rsidR="009C3DAD">
              <w:rPr>
                <w:rFonts w:cs="Arial"/>
                <w:sz w:val="16"/>
                <w:szCs w:val="16"/>
                <w:lang w:bidi="th-TH"/>
              </w:rPr>
              <w:t xml:space="preserve">the </w:t>
            </w:r>
            <w:r w:rsidRPr="003C5DE4">
              <w:rPr>
                <w:rFonts w:cs="Arial"/>
                <w:sz w:val="16"/>
                <w:szCs w:val="16"/>
                <w:lang w:bidi="th-TH"/>
              </w:rPr>
              <w:t xml:space="preserve">following </w:t>
            </w:r>
            <w:r w:rsidR="009C3DAD">
              <w:rPr>
                <w:rFonts w:cs="Arial"/>
                <w:sz w:val="16"/>
                <w:szCs w:val="16"/>
                <w:lang w:bidi="th-TH"/>
              </w:rPr>
              <w:t>institutions:  Institut Pasteur</w:t>
            </w:r>
            <w:r w:rsidRPr="003C5DE4">
              <w:rPr>
                <w:rFonts w:cs="Arial"/>
                <w:sz w:val="16"/>
                <w:szCs w:val="16"/>
                <w:lang w:bidi="th-TH"/>
              </w:rPr>
              <w:t xml:space="preserve">, University of Monastir, </w:t>
            </w:r>
            <w:proofErr w:type="gramStart"/>
            <w:r w:rsidRPr="003C5DE4">
              <w:rPr>
                <w:rFonts w:cs="Arial"/>
                <w:sz w:val="16"/>
                <w:szCs w:val="16"/>
                <w:lang w:bidi="th-TH"/>
              </w:rPr>
              <w:t>Centre</w:t>
            </w:r>
            <w:proofErr w:type="gramEnd"/>
            <w:r w:rsidRPr="003C5DE4">
              <w:rPr>
                <w:rFonts w:cs="Arial"/>
                <w:sz w:val="16"/>
                <w:szCs w:val="16"/>
                <w:lang w:bidi="th-TH"/>
              </w:rPr>
              <w:t xml:space="preserve"> of Biotechnology of Sfax, National Center for Leather and Shoes and Techno-Park </w:t>
            </w:r>
            <w:r w:rsidR="00054BF2" w:rsidRPr="003C5DE4">
              <w:rPr>
                <w:rFonts w:cs="Arial"/>
                <w:sz w:val="16"/>
                <w:szCs w:val="16"/>
                <w:lang w:bidi="th-TH"/>
              </w:rPr>
              <w:t>El</w:t>
            </w:r>
            <w:r w:rsidR="00054BF2">
              <w:rPr>
                <w:rFonts w:cs="Arial"/>
                <w:sz w:val="16"/>
                <w:szCs w:val="16"/>
                <w:lang w:bidi="th-TH"/>
              </w:rPr>
              <w:t> </w:t>
            </w:r>
            <w:r w:rsidRPr="003C5DE4">
              <w:rPr>
                <w:rFonts w:cs="Arial"/>
                <w:sz w:val="16"/>
                <w:szCs w:val="16"/>
                <w:lang w:bidi="th-TH"/>
              </w:rPr>
              <w:t xml:space="preserve">Ghazala. </w:t>
            </w:r>
            <w:r w:rsidR="00054BF2">
              <w:rPr>
                <w:rFonts w:cs="Arial"/>
                <w:sz w:val="16"/>
                <w:szCs w:val="16"/>
                <w:lang w:bidi="th-TH"/>
              </w:rPr>
              <w:t xml:space="preserve"> </w:t>
            </w:r>
            <w:r w:rsidRPr="003C5DE4">
              <w:rPr>
                <w:rFonts w:cs="Arial"/>
                <w:sz w:val="16"/>
                <w:szCs w:val="16"/>
              </w:rPr>
              <w:t>An action plan for Tunisia was also adopted.</w:t>
            </w:r>
          </w:p>
          <w:p w:rsidR="00BE72D1" w:rsidRPr="00054BF2" w:rsidRDefault="00BE72D1" w:rsidP="003C5DE4">
            <w:pPr>
              <w:rPr>
                <w:rFonts w:cs="Arial"/>
                <w:sz w:val="8"/>
                <w:szCs w:val="8"/>
                <w:lang w:bidi="th-TH"/>
              </w:rPr>
            </w:pPr>
          </w:p>
          <w:p w:rsidR="00BE72D1" w:rsidRPr="003C5DE4" w:rsidRDefault="00BE72D1" w:rsidP="003C5DE4">
            <w:pPr>
              <w:rPr>
                <w:rFonts w:cs="Arial"/>
                <w:sz w:val="16"/>
                <w:szCs w:val="16"/>
                <w:lang w:bidi="th-TH"/>
              </w:rPr>
            </w:pPr>
            <w:r w:rsidRPr="003C5DE4">
              <w:rPr>
                <w:rFonts w:cs="Arial"/>
                <w:sz w:val="16"/>
                <w:szCs w:val="16"/>
                <w:lang w:bidi="th-TH"/>
              </w:rPr>
              <w:t xml:space="preserve">Accordingly, at least </w:t>
            </w:r>
            <w:r w:rsidR="00EC1008">
              <w:rPr>
                <w:rFonts w:cs="Arial"/>
                <w:sz w:val="16"/>
                <w:szCs w:val="16"/>
                <w:lang w:bidi="th-TH"/>
              </w:rPr>
              <w:t>ten</w:t>
            </w:r>
            <w:r w:rsidRPr="003C5DE4">
              <w:rPr>
                <w:rFonts w:cs="Arial"/>
                <w:sz w:val="16"/>
                <w:szCs w:val="16"/>
                <w:lang w:bidi="th-TH"/>
              </w:rPr>
              <w:t xml:space="preserve"> countries, including at least </w:t>
            </w:r>
            <w:r w:rsidR="00EC1008">
              <w:rPr>
                <w:rFonts w:cs="Arial"/>
                <w:sz w:val="16"/>
                <w:szCs w:val="16"/>
                <w:lang w:bidi="th-TH"/>
              </w:rPr>
              <w:t>eight</w:t>
            </w:r>
            <w:r w:rsidRPr="003C5DE4">
              <w:rPr>
                <w:rFonts w:cs="Arial"/>
                <w:sz w:val="16"/>
                <w:szCs w:val="16"/>
                <w:lang w:bidi="th-TH"/>
              </w:rPr>
              <w:t xml:space="preserve"> specific TTOs, developed their IP framework as described.</w:t>
            </w:r>
          </w:p>
          <w:p w:rsidR="00BE72D1" w:rsidRPr="003C5DE4" w:rsidRDefault="00BE72D1" w:rsidP="003E5EDF">
            <w:pPr>
              <w:rPr>
                <w:rFonts w:cs="Arial"/>
                <w:sz w:val="16"/>
                <w:szCs w:val="16"/>
              </w:rPr>
            </w:pPr>
          </w:p>
        </w:tc>
        <w:tc>
          <w:tcPr>
            <w:tcW w:w="682" w:type="pct"/>
            <w:gridSpan w:val="3"/>
            <w:tcBorders>
              <w:bottom w:val="single" w:sz="4" w:space="0" w:color="auto"/>
            </w:tcBorders>
            <w:tcMar>
              <w:top w:w="110" w:type="dxa"/>
            </w:tcMar>
          </w:tcPr>
          <w:p w:rsidR="00BE72D1" w:rsidRPr="003C5DE4" w:rsidRDefault="00054BF2" w:rsidP="003E5EDF">
            <w:pPr>
              <w:keepNext/>
              <w:keepLines/>
              <w:jc w:val="center"/>
              <w:rPr>
                <w:rFonts w:cs="Arial"/>
                <w:bCs/>
                <w:color w:val="808080"/>
                <w:sz w:val="16"/>
                <w:szCs w:val="16"/>
              </w:rPr>
            </w:pPr>
            <w:r>
              <w:rPr>
                <w:rStyle w:val="Style5"/>
                <w:rFonts w:ascii="Arial" w:hAnsi="Arial" w:cs="Arial"/>
                <w:color w:val="008000"/>
                <w:sz w:val="16"/>
                <w:szCs w:val="16"/>
              </w:rPr>
              <w:t>Fully</w:t>
            </w:r>
            <w:r>
              <w:rPr>
                <w:rStyle w:val="Style5"/>
                <w:rFonts w:ascii="Arial" w:hAnsi="Arial" w:cs="Arial"/>
                <w:color w:val="008000"/>
                <w:sz w:val="16"/>
                <w:szCs w:val="16"/>
              </w:rPr>
              <w:br/>
            </w:r>
            <w:r w:rsidR="00BE72D1" w:rsidRPr="003C5DE4">
              <w:rPr>
                <w:rStyle w:val="Style5"/>
                <w:rFonts w:ascii="Arial" w:hAnsi="Arial" w:cs="Arial"/>
                <w:color w:val="008000"/>
                <w:sz w:val="16"/>
                <w:szCs w:val="16"/>
              </w:rPr>
              <w:t>Achieved</w:t>
            </w:r>
            <w:r w:rsidR="00BE72D1" w:rsidRPr="003C5DE4">
              <w:rPr>
                <w:rStyle w:val="Style5"/>
                <w:rFonts w:ascii="Arial" w:hAnsi="Arial" w:cs="Arial"/>
                <w:i/>
                <w:color w:val="008000"/>
                <w:sz w:val="16"/>
                <w:szCs w:val="16"/>
              </w:rPr>
              <w:t xml:space="preserve"> </w:t>
            </w:r>
          </w:p>
        </w:tc>
      </w:tr>
      <w:tr w:rsidR="00BE72D1" w:rsidRPr="003C5DE4" w:rsidTr="003C5DE4">
        <w:trPr>
          <w:cantSplit/>
        </w:trPr>
        <w:tc>
          <w:tcPr>
            <w:tcW w:w="5000" w:type="pct"/>
            <w:gridSpan w:val="8"/>
            <w:tcBorders>
              <w:top w:val="single" w:sz="4" w:space="0" w:color="auto"/>
              <w:bottom w:val="single" w:sz="4" w:space="0" w:color="auto"/>
            </w:tcBorders>
            <w:shd w:val="clear" w:color="auto" w:fill="CCFFFF"/>
            <w:vAlign w:val="center"/>
          </w:tcPr>
          <w:p w:rsidR="00BE72D1" w:rsidRPr="003C5DE4" w:rsidRDefault="00BE72D1" w:rsidP="003E5EDF">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3C5DE4">
              <w:rPr>
                <w:rFonts w:cs="Arial"/>
                <w:sz w:val="16"/>
                <w:szCs w:val="16"/>
                <w:lang w:bidi="th-TH"/>
              </w:rPr>
              <w:t>Clearly defined and coherent national innovation and IP policies, strategies and development plans consistent with national development goals and objectives</w:t>
            </w:r>
          </w:p>
        </w:tc>
      </w:tr>
      <w:tr w:rsidR="003C5DE4" w:rsidRPr="003C5DE4" w:rsidTr="00BC6547">
        <w:trPr>
          <w:cantSplit/>
        </w:trPr>
        <w:tc>
          <w:tcPr>
            <w:tcW w:w="889" w:type="pct"/>
            <w:tcBorders>
              <w:top w:val="single" w:sz="4" w:space="0" w:color="auto"/>
            </w:tcBorders>
            <w:vAlign w:val="center"/>
          </w:tcPr>
          <w:p w:rsidR="00BE72D1" w:rsidRPr="003C5DE4" w:rsidRDefault="00BE72D1" w:rsidP="003C5DE4">
            <w:pPr>
              <w:rPr>
                <w:rFonts w:cs="Arial"/>
                <w:sz w:val="16"/>
                <w:szCs w:val="16"/>
              </w:rPr>
            </w:pPr>
            <w:r w:rsidRPr="003C5DE4">
              <w:rPr>
                <w:rFonts w:cs="Arial"/>
                <w:b/>
                <w:bCs/>
                <w:sz w:val="16"/>
                <w:szCs w:val="16"/>
              </w:rPr>
              <w:t>Performance Indicators</w:t>
            </w:r>
          </w:p>
        </w:tc>
        <w:tc>
          <w:tcPr>
            <w:tcW w:w="819" w:type="pct"/>
            <w:tcBorders>
              <w:top w:val="single" w:sz="4" w:space="0" w:color="auto"/>
            </w:tcBorders>
            <w:shd w:val="clear" w:color="auto" w:fill="auto"/>
            <w:vAlign w:val="center"/>
          </w:tcPr>
          <w:p w:rsidR="00BE72D1" w:rsidRPr="003C5DE4" w:rsidRDefault="00BE72D1" w:rsidP="003C5DE4">
            <w:pPr>
              <w:rPr>
                <w:rFonts w:cs="Arial"/>
                <w:b/>
                <w:bCs/>
                <w:sz w:val="16"/>
                <w:szCs w:val="16"/>
              </w:rPr>
            </w:pPr>
            <w:r w:rsidRPr="003C5DE4">
              <w:rPr>
                <w:rFonts w:cs="Arial"/>
                <w:b/>
                <w:bCs/>
                <w:sz w:val="16"/>
                <w:szCs w:val="16"/>
              </w:rPr>
              <w:t>Baselines</w:t>
            </w:r>
          </w:p>
        </w:tc>
        <w:tc>
          <w:tcPr>
            <w:tcW w:w="791" w:type="pct"/>
            <w:tcBorders>
              <w:top w:val="single" w:sz="4" w:space="0" w:color="auto"/>
            </w:tcBorders>
            <w:tcMar>
              <w:top w:w="110" w:type="dxa"/>
            </w:tcMar>
            <w:vAlign w:val="center"/>
          </w:tcPr>
          <w:p w:rsidR="00BE72D1" w:rsidRPr="003C5DE4" w:rsidRDefault="00BE72D1" w:rsidP="003C5DE4">
            <w:pPr>
              <w:rPr>
                <w:rFonts w:cs="Arial"/>
                <w:b/>
                <w:sz w:val="16"/>
                <w:szCs w:val="16"/>
              </w:rPr>
            </w:pPr>
            <w:r w:rsidRPr="003C5DE4">
              <w:rPr>
                <w:rFonts w:cs="Arial"/>
                <w:b/>
                <w:sz w:val="16"/>
                <w:szCs w:val="16"/>
              </w:rPr>
              <w:t>Targets</w:t>
            </w:r>
          </w:p>
        </w:tc>
        <w:tc>
          <w:tcPr>
            <w:tcW w:w="1819" w:type="pct"/>
            <w:gridSpan w:val="2"/>
            <w:tcBorders>
              <w:top w:val="single" w:sz="4" w:space="0" w:color="auto"/>
            </w:tcBorders>
            <w:shd w:val="clear" w:color="auto" w:fill="FFFFFF"/>
            <w:tcMar>
              <w:top w:w="110" w:type="dxa"/>
            </w:tcMar>
            <w:vAlign w:val="center"/>
          </w:tcPr>
          <w:p w:rsidR="00BE72D1" w:rsidRPr="003C5DE4" w:rsidRDefault="00BE72D1" w:rsidP="003C5DE4">
            <w:pPr>
              <w:rPr>
                <w:rFonts w:cs="Arial"/>
                <w:sz w:val="16"/>
                <w:szCs w:val="16"/>
              </w:rPr>
            </w:pPr>
            <w:r w:rsidRPr="003C5DE4">
              <w:rPr>
                <w:rFonts w:cs="Arial"/>
                <w:b/>
                <w:bCs/>
                <w:sz w:val="16"/>
                <w:szCs w:val="16"/>
              </w:rPr>
              <w:t>Performance Data</w:t>
            </w:r>
          </w:p>
        </w:tc>
        <w:tc>
          <w:tcPr>
            <w:tcW w:w="682" w:type="pct"/>
            <w:gridSpan w:val="3"/>
            <w:tcBorders>
              <w:top w:val="single" w:sz="4" w:space="0" w:color="auto"/>
            </w:tcBorders>
            <w:tcMar>
              <w:top w:w="110" w:type="dxa"/>
            </w:tcMar>
            <w:vAlign w:val="center"/>
          </w:tcPr>
          <w:p w:rsidR="00BE72D1" w:rsidRPr="003C5DE4" w:rsidRDefault="00BE72D1" w:rsidP="003C5DE4">
            <w:pPr>
              <w:keepNext/>
              <w:keepLines/>
              <w:jc w:val="center"/>
              <w:rPr>
                <w:rFonts w:cs="Arial"/>
                <w:b/>
                <w:bCs/>
                <w:sz w:val="16"/>
                <w:szCs w:val="16"/>
              </w:rPr>
            </w:pPr>
            <w:r w:rsidRPr="003C5DE4">
              <w:rPr>
                <w:rFonts w:cs="Arial"/>
                <w:b/>
                <w:bCs/>
                <w:sz w:val="16"/>
                <w:szCs w:val="16"/>
              </w:rPr>
              <w:t>TLS</w:t>
            </w:r>
          </w:p>
        </w:tc>
      </w:tr>
      <w:tr w:rsidR="00BE72D1" w:rsidRPr="003C5DE4" w:rsidTr="00BC6547">
        <w:trPr>
          <w:cantSplit/>
        </w:trPr>
        <w:tc>
          <w:tcPr>
            <w:tcW w:w="889" w:type="pct"/>
            <w:tcBorders>
              <w:bottom w:val="single" w:sz="4" w:space="0" w:color="auto"/>
            </w:tcBorders>
          </w:tcPr>
          <w:p w:rsidR="00BE72D1" w:rsidRPr="003C5DE4" w:rsidRDefault="00BE72D1" w:rsidP="003E5EDF">
            <w:pPr>
              <w:rPr>
                <w:rFonts w:cs="Arial"/>
                <w:sz w:val="16"/>
                <w:szCs w:val="16"/>
                <w:lang w:bidi="th-TH"/>
              </w:rPr>
            </w:pPr>
            <w:r w:rsidRPr="003C5DE4">
              <w:rPr>
                <w:rFonts w:cs="Arial"/>
                <w:sz w:val="16"/>
                <w:szCs w:val="16"/>
                <w:lang w:bidi="th-TH"/>
              </w:rPr>
              <w:t xml:space="preserve">No. of national IP strategies which includes an innovation and technology component </w:t>
            </w:r>
          </w:p>
        </w:tc>
        <w:tc>
          <w:tcPr>
            <w:tcW w:w="819" w:type="pct"/>
            <w:tcBorders>
              <w:bottom w:val="single" w:sz="4" w:space="0" w:color="auto"/>
            </w:tcBorders>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Contribution on innovation and technology to three national strategic plans</w:t>
            </w:r>
          </w:p>
        </w:tc>
        <w:tc>
          <w:tcPr>
            <w:tcW w:w="791" w:type="pct"/>
            <w:tcBorders>
              <w:bottom w:val="single" w:sz="4" w:space="0" w:color="auto"/>
            </w:tcBorders>
            <w:tcMar>
              <w:top w:w="110" w:type="dxa"/>
            </w:tcMar>
          </w:tcPr>
          <w:p w:rsidR="00BE72D1" w:rsidRPr="003C5DE4" w:rsidRDefault="003C5DE4" w:rsidP="00054BF2">
            <w:pPr>
              <w:autoSpaceDE w:val="0"/>
              <w:autoSpaceDN w:val="0"/>
              <w:adjustRightInd w:val="0"/>
              <w:rPr>
                <w:rFonts w:cs="Arial"/>
                <w:sz w:val="16"/>
                <w:szCs w:val="16"/>
              </w:rPr>
            </w:pPr>
            <w:r w:rsidRPr="003C5DE4">
              <w:rPr>
                <w:rFonts w:cs="Arial"/>
                <w:sz w:val="16"/>
                <w:szCs w:val="16"/>
              </w:rPr>
              <w:t>Contribution on</w:t>
            </w:r>
            <w:r w:rsidR="00054BF2">
              <w:rPr>
                <w:rFonts w:cs="Arial"/>
                <w:sz w:val="16"/>
                <w:szCs w:val="16"/>
              </w:rPr>
              <w:t xml:space="preserve"> </w:t>
            </w:r>
            <w:r w:rsidRPr="003C5DE4">
              <w:rPr>
                <w:rFonts w:cs="Arial"/>
                <w:sz w:val="16"/>
                <w:szCs w:val="16"/>
              </w:rPr>
              <w:t>innovation and</w:t>
            </w:r>
            <w:r w:rsidR="00054BF2">
              <w:rPr>
                <w:rFonts w:cs="Arial"/>
                <w:sz w:val="16"/>
                <w:szCs w:val="16"/>
              </w:rPr>
              <w:t xml:space="preserve"> </w:t>
            </w:r>
            <w:r w:rsidRPr="003C5DE4">
              <w:rPr>
                <w:rFonts w:cs="Arial"/>
                <w:sz w:val="16"/>
                <w:szCs w:val="16"/>
              </w:rPr>
              <w:t>technology to eight national strategic</w:t>
            </w:r>
            <w:r w:rsidR="00054BF2">
              <w:rPr>
                <w:rFonts w:cs="Arial"/>
                <w:sz w:val="16"/>
                <w:szCs w:val="16"/>
              </w:rPr>
              <w:t xml:space="preserve"> </w:t>
            </w:r>
            <w:r w:rsidRPr="003C5DE4">
              <w:rPr>
                <w:rFonts w:cs="Arial"/>
                <w:sz w:val="16"/>
                <w:szCs w:val="16"/>
              </w:rPr>
              <w:t>plans</w:t>
            </w:r>
          </w:p>
        </w:tc>
        <w:tc>
          <w:tcPr>
            <w:tcW w:w="1819" w:type="pct"/>
            <w:gridSpan w:val="2"/>
            <w:tcBorders>
              <w:bottom w:val="single" w:sz="4" w:space="0" w:color="auto"/>
            </w:tcBorders>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lang w:bidi="th-TH"/>
              </w:rPr>
              <w:t>A national project on integrating IP into innovation policy formulation was designed and piloted for Serbia, to test a specific design and methodology for delivering future such projects in this area.  The project resulted in an output of a set of comprehensive recommendations on integrating IP into innovation policy formulation.</w:t>
            </w:r>
          </w:p>
          <w:p w:rsidR="00BE72D1" w:rsidRPr="00054BF2" w:rsidRDefault="00BE72D1" w:rsidP="003C5DE4">
            <w:pPr>
              <w:rPr>
                <w:rFonts w:cs="Arial"/>
                <w:sz w:val="8"/>
                <w:szCs w:val="8"/>
                <w:lang w:bidi="th-TH"/>
              </w:rPr>
            </w:pPr>
          </w:p>
          <w:p w:rsidR="00BE72D1" w:rsidRPr="003C5DE4" w:rsidRDefault="00BE72D1" w:rsidP="003C5DE4">
            <w:pPr>
              <w:rPr>
                <w:rFonts w:cs="Arial"/>
                <w:sz w:val="16"/>
                <w:szCs w:val="16"/>
                <w:lang w:bidi="th-TH"/>
              </w:rPr>
            </w:pPr>
            <w:r w:rsidRPr="003C5DE4">
              <w:rPr>
                <w:rFonts w:cs="Arial"/>
                <w:sz w:val="16"/>
                <w:szCs w:val="16"/>
                <w:lang w:bidi="th-TH"/>
              </w:rPr>
              <w:t xml:space="preserve">In addition, contributions, advice and/or training </w:t>
            </w:r>
            <w:r w:rsidR="006A6EC1" w:rsidRPr="003C5DE4">
              <w:rPr>
                <w:rFonts w:cs="Arial"/>
                <w:sz w:val="16"/>
                <w:szCs w:val="16"/>
                <w:lang w:bidi="th-TH"/>
              </w:rPr>
              <w:t>were</w:t>
            </w:r>
            <w:r w:rsidRPr="003C5DE4">
              <w:rPr>
                <w:rFonts w:cs="Arial"/>
                <w:sz w:val="16"/>
                <w:szCs w:val="16"/>
                <w:lang w:bidi="th-TH"/>
              </w:rPr>
              <w:t xml:space="preserve"> given for other countries.</w:t>
            </w:r>
          </w:p>
          <w:p w:rsidR="00BE72D1" w:rsidRPr="003C5DE4" w:rsidRDefault="00BE72D1" w:rsidP="003C5DE4">
            <w:pPr>
              <w:rPr>
                <w:rFonts w:cs="Arial"/>
                <w:sz w:val="16"/>
                <w:szCs w:val="16"/>
              </w:rPr>
            </w:pPr>
          </w:p>
        </w:tc>
        <w:tc>
          <w:tcPr>
            <w:tcW w:w="682" w:type="pct"/>
            <w:gridSpan w:val="3"/>
            <w:tcBorders>
              <w:bottom w:val="single" w:sz="4" w:space="0" w:color="auto"/>
            </w:tcBorders>
            <w:tcMar>
              <w:top w:w="110" w:type="dxa"/>
            </w:tcMar>
          </w:tcPr>
          <w:p w:rsidR="00BE72D1" w:rsidRPr="003C5DE4" w:rsidRDefault="003C5DE4" w:rsidP="003C5DE4">
            <w:pPr>
              <w:keepNext/>
              <w:keepLines/>
              <w:jc w:val="center"/>
              <w:rPr>
                <w:rFonts w:cs="Arial"/>
                <w:sz w:val="16"/>
                <w:szCs w:val="16"/>
              </w:rPr>
            </w:pPr>
            <w:r>
              <w:rPr>
                <w:rStyle w:val="Style5"/>
                <w:rFonts w:ascii="Arial" w:hAnsi="Arial" w:cs="Arial"/>
                <w:sz w:val="16"/>
                <w:szCs w:val="16"/>
              </w:rPr>
              <w:t>Not A</w:t>
            </w:r>
            <w:r w:rsidR="00BE72D1" w:rsidRPr="003C5DE4">
              <w:rPr>
                <w:rStyle w:val="Style5"/>
                <w:rFonts w:ascii="Arial" w:hAnsi="Arial" w:cs="Arial"/>
                <w:sz w:val="16"/>
                <w:szCs w:val="16"/>
              </w:rPr>
              <w:t>ssessable</w:t>
            </w:r>
          </w:p>
        </w:tc>
      </w:tr>
      <w:tr w:rsidR="00BE72D1" w:rsidRPr="003C5DE4" w:rsidTr="003C5DE4">
        <w:trPr>
          <w:cantSplit/>
        </w:trPr>
        <w:tc>
          <w:tcPr>
            <w:tcW w:w="5000" w:type="pct"/>
            <w:gridSpan w:val="8"/>
            <w:tcBorders>
              <w:top w:val="single" w:sz="4" w:space="0" w:color="auto"/>
              <w:bottom w:val="single" w:sz="4" w:space="0" w:color="auto"/>
            </w:tcBorders>
            <w:shd w:val="clear" w:color="auto" w:fill="CCFFFF"/>
            <w:vAlign w:val="center"/>
          </w:tcPr>
          <w:p w:rsidR="00BE72D1" w:rsidRPr="003C5DE4" w:rsidRDefault="00BE72D1" w:rsidP="003E5EDF">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3C5DE4">
              <w:rPr>
                <w:rFonts w:cs="Arial"/>
                <w:sz w:val="16"/>
                <w:szCs w:val="16"/>
                <w:lang w:bidi="th-TH"/>
              </w:rPr>
              <w:t>Enhanced human resource capacities able to deal with the broad range of requirements for the effective use of IP for development in developing countries, LDCs and countries with economies in transition</w:t>
            </w:r>
          </w:p>
        </w:tc>
      </w:tr>
      <w:tr w:rsidR="003C5DE4" w:rsidRPr="003C5DE4" w:rsidTr="00114E27">
        <w:trPr>
          <w:cantSplit/>
        </w:trPr>
        <w:tc>
          <w:tcPr>
            <w:tcW w:w="889" w:type="pct"/>
            <w:tcBorders>
              <w:top w:val="single" w:sz="4" w:space="0" w:color="auto"/>
            </w:tcBorders>
            <w:vAlign w:val="center"/>
          </w:tcPr>
          <w:p w:rsidR="00BE72D1" w:rsidRPr="003C5DE4" w:rsidRDefault="00BE72D1" w:rsidP="003C5DE4">
            <w:pPr>
              <w:rPr>
                <w:rFonts w:cs="Arial"/>
                <w:sz w:val="16"/>
                <w:szCs w:val="16"/>
              </w:rPr>
            </w:pPr>
            <w:r w:rsidRPr="003C5DE4">
              <w:rPr>
                <w:rFonts w:cs="Arial"/>
                <w:b/>
                <w:bCs/>
                <w:sz w:val="16"/>
                <w:szCs w:val="16"/>
              </w:rPr>
              <w:t>Performance Indicators</w:t>
            </w:r>
          </w:p>
        </w:tc>
        <w:tc>
          <w:tcPr>
            <w:tcW w:w="819" w:type="pct"/>
            <w:tcBorders>
              <w:top w:val="single" w:sz="4" w:space="0" w:color="auto"/>
            </w:tcBorders>
            <w:shd w:val="clear" w:color="auto" w:fill="auto"/>
            <w:vAlign w:val="center"/>
          </w:tcPr>
          <w:p w:rsidR="00BE72D1" w:rsidRPr="003C5DE4" w:rsidRDefault="00BE72D1" w:rsidP="003C5DE4">
            <w:pPr>
              <w:rPr>
                <w:rFonts w:cs="Arial"/>
                <w:b/>
                <w:bCs/>
                <w:sz w:val="16"/>
                <w:szCs w:val="16"/>
              </w:rPr>
            </w:pPr>
            <w:r w:rsidRPr="003C5DE4">
              <w:rPr>
                <w:rFonts w:cs="Arial"/>
                <w:b/>
                <w:bCs/>
                <w:sz w:val="16"/>
                <w:szCs w:val="16"/>
              </w:rPr>
              <w:t>Baselines</w:t>
            </w:r>
          </w:p>
        </w:tc>
        <w:tc>
          <w:tcPr>
            <w:tcW w:w="933" w:type="pct"/>
            <w:gridSpan w:val="2"/>
            <w:tcBorders>
              <w:top w:val="single" w:sz="4" w:space="0" w:color="auto"/>
            </w:tcBorders>
            <w:tcMar>
              <w:top w:w="110" w:type="dxa"/>
            </w:tcMar>
            <w:vAlign w:val="center"/>
          </w:tcPr>
          <w:p w:rsidR="00BE72D1" w:rsidRPr="003C5DE4" w:rsidRDefault="00BE72D1" w:rsidP="003C5DE4">
            <w:pPr>
              <w:rPr>
                <w:rFonts w:cs="Arial"/>
                <w:b/>
                <w:sz w:val="16"/>
                <w:szCs w:val="16"/>
              </w:rPr>
            </w:pPr>
            <w:r w:rsidRPr="003C5DE4">
              <w:rPr>
                <w:rFonts w:cs="Arial"/>
                <w:b/>
                <w:sz w:val="16"/>
                <w:szCs w:val="16"/>
              </w:rPr>
              <w:t>Targets</w:t>
            </w:r>
          </w:p>
        </w:tc>
        <w:tc>
          <w:tcPr>
            <w:tcW w:w="1677" w:type="pct"/>
            <w:tcBorders>
              <w:top w:val="single" w:sz="4" w:space="0" w:color="auto"/>
            </w:tcBorders>
            <w:shd w:val="clear" w:color="auto" w:fill="FFFFFF"/>
            <w:tcMar>
              <w:top w:w="110" w:type="dxa"/>
            </w:tcMar>
            <w:vAlign w:val="center"/>
          </w:tcPr>
          <w:p w:rsidR="00BE72D1" w:rsidRPr="003C5DE4" w:rsidRDefault="00BE72D1" w:rsidP="003C5DE4">
            <w:pPr>
              <w:rPr>
                <w:rFonts w:cs="Arial"/>
                <w:sz w:val="16"/>
                <w:szCs w:val="16"/>
              </w:rPr>
            </w:pPr>
            <w:r w:rsidRPr="003C5DE4">
              <w:rPr>
                <w:rFonts w:cs="Arial"/>
                <w:b/>
                <w:bCs/>
                <w:sz w:val="16"/>
                <w:szCs w:val="16"/>
              </w:rPr>
              <w:t>Performance Data</w:t>
            </w:r>
          </w:p>
        </w:tc>
        <w:tc>
          <w:tcPr>
            <w:tcW w:w="682" w:type="pct"/>
            <w:gridSpan w:val="3"/>
            <w:tcBorders>
              <w:top w:val="single" w:sz="4" w:space="0" w:color="auto"/>
            </w:tcBorders>
            <w:tcMar>
              <w:top w:w="110" w:type="dxa"/>
            </w:tcMar>
            <w:vAlign w:val="center"/>
          </w:tcPr>
          <w:p w:rsidR="00BE72D1" w:rsidRPr="003C5DE4" w:rsidRDefault="00BE72D1" w:rsidP="003C5DE4">
            <w:pPr>
              <w:keepNext/>
              <w:keepLines/>
              <w:jc w:val="center"/>
              <w:rPr>
                <w:rFonts w:cs="Arial"/>
                <w:b/>
                <w:bCs/>
                <w:sz w:val="16"/>
                <w:szCs w:val="16"/>
              </w:rPr>
            </w:pPr>
            <w:r w:rsidRPr="003C5DE4">
              <w:rPr>
                <w:rFonts w:cs="Arial"/>
                <w:b/>
                <w:bCs/>
                <w:sz w:val="16"/>
                <w:szCs w:val="16"/>
              </w:rPr>
              <w:t>TLS</w:t>
            </w:r>
          </w:p>
        </w:tc>
      </w:tr>
      <w:tr w:rsidR="00BE72D1" w:rsidRPr="003C5DE4" w:rsidTr="00114E27">
        <w:trPr>
          <w:cantSplit/>
        </w:trPr>
        <w:tc>
          <w:tcPr>
            <w:tcW w:w="889" w:type="pct"/>
          </w:tcPr>
          <w:p w:rsidR="00BE72D1" w:rsidRPr="003C5DE4" w:rsidRDefault="00BE72D1" w:rsidP="003E5EDF">
            <w:pPr>
              <w:rPr>
                <w:rFonts w:cs="Arial"/>
                <w:sz w:val="16"/>
                <w:szCs w:val="16"/>
                <w:lang w:bidi="th-TH"/>
              </w:rPr>
            </w:pPr>
            <w:r w:rsidRPr="003C5DE4">
              <w:rPr>
                <w:rFonts w:cs="Arial"/>
                <w:sz w:val="16"/>
                <w:szCs w:val="16"/>
                <w:lang w:bidi="th-TH"/>
              </w:rPr>
              <w:t>% of participants satisfied with the quality of workshops and seminars on innovation and its commercialization</w:t>
            </w:r>
          </w:p>
        </w:tc>
        <w:tc>
          <w:tcPr>
            <w:tcW w:w="819" w:type="pct"/>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General feedback available, but no specific data</w:t>
            </w:r>
          </w:p>
        </w:tc>
        <w:tc>
          <w:tcPr>
            <w:tcW w:w="933" w:type="pct"/>
            <w:gridSpan w:val="2"/>
            <w:tcMar>
              <w:top w:w="110" w:type="dxa"/>
            </w:tcMar>
          </w:tcPr>
          <w:p w:rsidR="00BE72D1" w:rsidRPr="003C5DE4" w:rsidRDefault="003C5DE4" w:rsidP="003C5DE4">
            <w:pPr>
              <w:rPr>
                <w:rFonts w:cs="Arial"/>
                <w:sz w:val="16"/>
                <w:szCs w:val="16"/>
                <w:lang w:bidi="th-TH"/>
              </w:rPr>
            </w:pPr>
            <w:r w:rsidRPr="003C5DE4">
              <w:rPr>
                <w:rFonts w:cs="Arial"/>
                <w:sz w:val="16"/>
                <w:szCs w:val="16"/>
              </w:rPr>
              <w:t>90%</w:t>
            </w:r>
          </w:p>
        </w:tc>
        <w:tc>
          <w:tcPr>
            <w:tcW w:w="1677" w:type="pct"/>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lang w:bidi="th-TH"/>
              </w:rPr>
              <w:t>In 2012, 85% of interviewed participants were satisfied with the quality of the workshops and trainings.</w:t>
            </w:r>
          </w:p>
          <w:p w:rsidR="00BE72D1" w:rsidRPr="00BC6547" w:rsidRDefault="00BE72D1" w:rsidP="003C5DE4">
            <w:pPr>
              <w:rPr>
                <w:rFonts w:cs="Arial"/>
                <w:sz w:val="8"/>
                <w:szCs w:val="8"/>
                <w:lang w:bidi="th-TH"/>
              </w:rPr>
            </w:pPr>
          </w:p>
          <w:p w:rsidR="00BE72D1" w:rsidRPr="003C5DE4" w:rsidRDefault="00BE72D1" w:rsidP="003C5DE4">
            <w:pPr>
              <w:rPr>
                <w:rFonts w:cs="Arial"/>
                <w:sz w:val="16"/>
                <w:szCs w:val="16"/>
                <w:lang w:bidi="th-TH"/>
              </w:rPr>
            </w:pPr>
            <w:r w:rsidRPr="003C5DE4">
              <w:rPr>
                <w:rFonts w:cs="Arial"/>
                <w:sz w:val="16"/>
                <w:szCs w:val="16"/>
                <w:lang w:bidi="th-TH"/>
              </w:rPr>
              <w:t>Based on 2013 evaluations for four additional training events (using a newly developed survey), 100% of participants were satisfied with the quality of the workshops (93.8 % considered very high and high quality), and 100% estimated very high and high quality of presentations and speakers.</w:t>
            </w:r>
          </w:p>
          <w:p w:rsidR="003C5DE4" w:rsidRPr="003C5DE4" w:rsidRDefault="003C5DE4" w:rsidP="003C5DE4">
            <w:pPr>
              <w:jc w:val="both"/>
              <w:rPr>
                <w:rFonts w:cs="Arial"/>
                <w:sz w:val="16"/>
                <w:szCs w:val="16"/>
                <w:lang w:bidi="th-TH"/>
              </w:rPr>
            </w:pPr>
          </w:p>
        </w:tc>
        <w:tc>
          <w:tcPr>
            <w:tcW w:w="682" w:type="pct"/>
            <w:gridSpan w:val="3"/>
            <w:tcMar>
              <w:top w:w="110" w:type="dxa"/>
            </w:tcMar>
          </w:tcPr>
          <w:p w:rsidR="00BE72D1" w:rsidRPr="003C5DE4" w:rsidRDefault="00BC6547" w:rsidP="003E5EDF">
            <w:pPr>
              <w:keepNext/>
              <w:keepLines/>
              <w:jc w:val="center"/>
              <w:rPr>
                <w:rFonts w:cs="Arial"/>
                <w:bCs/>
                <w:color w:val="808080"/>
                <w:sz w:val="16"/>
                <w:szCs w:val="16"/>
              </w:rPr>
            </w:pPr>
            <w:r>
              <w:rPr>
                <w:rStyle w:val="Style5"/>
                <w:rFonts w:ascii="Arial" w:hAnsi="Arial" w:cs="Arial"/>
                <w:color w:val="008000"/>
                <w:sz w:val="16"/>
                <w:szCs w:val="16"/>
              </w:rPr>
              <w:t>Fully</w:t>
            </w:r>
            <w:r>
              <w:rPr>
                <w:rStyle w:val="Style5"/>
                <w:rFonts w:ascii="Arial" w:hAnsi="Arial" w:cs="Arial"/>
                <w:color w:val="008000"/>
                <w:sz w:val="16"/>
                <w:szCs w:val="16"/>
              </w:rPr>
              <w:br/>
            </w:r>
            <w:r w:rsidR="00BE72D1" w:rsidRPr="003C5DE4">
              <w:rPr>
                <w:rStyle w:val="Style5"/>
                <w:rFonts w:ascii="Arial" w:hAnsi="Arial" w:cs="Arial"/>
                <w:color w:val="008000"/>
                <w:sz w:val="16"/>
                <w:szCs w:val="16"/>
              </w:rPr>
              <w:t>Achieved</w:t>
            </w:r>
          </w:p>
        </w:tc>
      </w:tr>
      <w:tr w:rsidR="00BE72D1" w:rsidRPr="003C5DE4" w:rsidTr="00054BF2">
        <w:trPr>
          <w:cantSplit/>
        </w:trPr>
        <w:tc>
          <w:tcPr>
            <w:tcW w:w="889" w:type="pct"/>
            <w:tcBorders>
              <w:bottom w:val="single" w:sz="4" w:space="0" w:color="auto"/>
            </w:tcBorders>
          </w:tcPr>
          <w:p w:rsidR="00BE72D1" w:rsidRPr="00054BF2" w:rsidRDefault="00BE72D1" w:rsidP="003E5EDF">
            <w:pPr>
              <w:rPr>
                <w:rFonts w:cs="Arial"/>
                <w:sz w:val="16"/>
                <w:szCs w:val="16"/>
                <w:lang w:bidi="th-TH"/>
              </w:rPr>
            </w:pPr>
            <w:r w:rsidRPr="003C5DE4">
              <w:rPr>
                <w:rFonts w:cs="Arial"/>
                <w:sz w:val="16"/>
                <w:szCs w:val="16"/>
                <w:lang w:bidi="th-TH"/>
              </w:rPr>
              <w:lastRenderedPageBreak/>
              <w:t xml:space="preserve">No. of users from developing countries of WIPO-developed tools, models and materials on </w:t>
            </w:r>
            <w:r w:rsidRPr="00054BF2">
              <w:rPr>
                <w:rFonts w:cs="Arial"/>
                <w:sz w:val="16"/>
                <w:szCs w:val="16"/>
                <w:lang w:bidi="th-TH"/>
              </w:rPr>
              <w:t>innovation and its commercialization</w:t>
            </w:r>
          </w:p>
          <w:p w:rsidR="00054BF2" w:rsidRPr="003C5DE4" w:rsidRDefault="00054BF2" w:rsidP="003E5EDF">
            <w:pPr>
              <w:rPr>
                <w:rFonts w:cs="Arial"/>
                <w:sz w:val="16"/>
                <w:szCs w:val="16"/>
                <w:lang w:bidi="th-TH"/>
              </w:rPr>
            </w:pPr>
          </w:p>
        </w:tc>
        <w:tc>
          <w:tcPr>
            <w:tcW w:w="819" w:type="pct"/>
            <w:tcBorders>
              <w:bottom w:val="single" w:sz="4" w:space="0" w:color="auto"/>
            </w:tcBorders>
            <w:shd w:val="clear" w:color="auto" w:fill="auto"/>
          </w:tcPr>
          <w:p w:rsidR="003C5DE4" w:rsidRPr="00054BF2" w:rsidRDefault="003C5DE4" w:rsidP="003E5EDF">
            <w:pPr>
              <w:rPr>
                <w:rFonts w:cs="Arial"/>
                <w:color w:val="002060"/>
                <w:sz w:val="16"/>
                <w:szCs w:val="16"/>
              </w:rPr>
            </w:pPr>
            <w:r w:rsidRPr="00054BF2">
              <w:rPr>
                <w:rFonts w:cs="Arial"/>
                <w:i/>
                <w:color w:val="002060"/>
                <w:sz w:val="16"/>
                <w:szCs w:val="16"/>
              </w:rPr>
              <w:t xml:space="preserve">Updated Baseline </w:t>
            </w:r>
            <w:r w:rsidRPr="00054BF2">
              <w:rPr>
                <w:rFonts w:cs="Arial"/>
                <w:i/>
                <w:color w:val="002060"/>
                <w:sz w:val="16"/>
                <w:szCs w:val="16"/>
              </w:rPr>
              <w:br/>
              <w:t>end 2011:</w:t>
            </w:r>
            <w:r w:rsidRPr="00CD26D6">
              <w:rPr>
                <w:rFonts w:cs="Arial"/>
                <w:color w:val="002060"/>
                <w:sz w:val="16"/>
                <w:szCs w:val="16"/>
                <w:lang w:bidi="th-TH"/>
              </w:rPr>
              <w:t xml:space="preserve"> </w:t>
            </w:r>
            <w:r w:rsidRPr="00CD26D6">
              <w:rPr>
                <w:rFonts w:cs="Arial"/>
                <w:color w:val="002060"/>
                <w:sz w:val="16"/>
                <w:szCs w:val="16"/>
                <w:lang w:bidi="th-TH"/>
              </w:rPr>
              <w:br/>
              <w:t>~1,167 users</w:t>
            </w:r>
          </w:p>
          <w:p w:rsidR="003C5DE4" w:rsidRPr="00CD26D6" w:rsidRDefault="003C5DE4" w:rsidP="003E5EDF">
            <w:pPr>
              <w:rPr>
                <w:rFonts w:cs="Arial"/>
                <w:sz w:val="16"/>
                <w:szCs w:val="16"/>
              </w:rPr>
            </w:pPr>
          </w:p>
          <w:p w:rsidR="00BE72D1" w:rsidRPr="003C5DE4" w:rsidRDefault="003C5DE4" w:rsidP="003C5DE4">
            <w:pPr>
              <w:rPr>
                <w:rFonts w:cs="Arial"/>
                <w:sz w:val="16"/>
                <w:szCs w:val="16"/>
                <w:lang w:bidi="th-TH"/>
              </w:rPr>
            </w:pPr>
            <w:r w:rsidRPr="00F22548">
              <w:rPr>
                <w:i/>
                <w:sz w:val="16"/>
                <w:szCs w:val="16"/>
                <w:lang w:bidi="th-TH"/>
              </w:rPr>
              <w:t xml:space="preserve">Original Baseline </w:t>
            </w:r>
            <w:r>
              <w:rPr>
                <w:i/>
                <w:sz w:val="16"/>
                <w:szCs w:val="16"/>
                <w:lang w:bidi="th-TH"/>
              </w:rPr>
              <w:br/>
            </w:r>
            <w:r w:rsidRPr="00F22548">
              <w:rPr>
                <w:i/>
                <w:sz w:val="16"/>
                <w:szCs w:val="16"/>
                <w:lang w:bidi="th-TH"/>
              </w:rPr>
              <w:t>P&amp;B 2012/13:</w:t>
            </w:r>
            <w:r>
              <w:rPr>
                <w:sz w:val="16"/>
                <w:szCs w:val="16"/>
                <w:lang w:bidi="th-TH"/>
              </w:rPr>
              <w:t xml:space="preserve">  </w:t>
            </w:r>
            <w:r w:rsidR="00BE72D1" w:rsidRPr="003C5DE4">
              <w:rPr>
                <w:rFonts w:cs="Arial"/>
                <w:sz w:val="16"/>
                <w:szCs w:val="16"/>
                <w:lang w:bidi="th-TH"/>
              </w:rPr>
              <w:t xml:space="preserve">~2,400 users </w:t>
            </w:r>
          </w:p>
        </w:tc>
        <w:tc>
          <w:tcPr>
            <w:tcW w:w="933" w:type="pct"/>
            <w:gridSpan w:val="2"/>
            <w:tcBorders>
              <w:bottom w:val="single" w:sz="4" w:space="0" w:color="auto"/>
            </w:tcBorders>
            <w:tcMar>
              <w:top w:w="110" w:type="dxa"/>
            </w:tcMar>
          </w:tcPr>
          <w:p w:rsidR="00BE72D1" w:rsidRPr="003C5DE4" w:rsidRDefault="003C5DE4" w:rsidP="003E5EDF">
            <w:pPr>
              <w:rPr>
                <w:rFonts w:cs="Arial"/>
                <w:sz w:val="16"/>
                <w:szCs w:val="16"/>
                <w:lang w:bidi="th-TH"/>
              </w:rPr>
            </w:pPr>
            <w:r w:rsidRPr="003C5DE4">
              <w:rPr>
                <w:rFonts w:cs="Arial"/>
                <w:sz w:val="16"/>
                <w:szCs w:val="16"/>
              </w:rPr>
              <w:t>3,200 users</w:t>
            </w:r>
          </w:p>
        </w:tc>
        <w:tc>
          <w:tcPr>
            <w:tcW w:w="1886" w:type="pct"/>
            <w:gridSpan w:val="3"/>
            <w:tcBorders>
              <w:bottom w:val="single" w:sz="4" w:space="0" w:color="auto"/>
            </w:tcBorders>
            <w:shd w:val="clear" w:color="auto" w:fill="FFFFFF"/>
            <w:tcMar>
              <w:top w:w="110" w:type="dxa"/>
            </w:tcMar>
          </w:tcPr>
          <w:p w:rsidR="00BE72D1" w:rsidRPr="003C5DE4" w:rsidRDefault="00BE72D1">
            <w:pPr>
              <w:rPr>
                <w:rFonts w:cs="Arial"/>
                <w:sz w:val="16"/>
                <w:szCs w:val="16"/>
                <w:lang w:bidi="th-TH"/>
              </w:rPr>
            </w:pPr>
            <w:r w:rsidRPr="003C5DE4">
              <w:rPr>
                <w:rFonts w:cs="Arial"/>
                <w:sz w:val="16"/>
                <w:szCs w:val="16"/>
              </w:rPr>
              <w:t>1,167 in 2012, and 1,193 in 2013</w:t>
            </w:r>
            <w:r w:rsidRPr="003C5DE4">
              <w:rPr>
                <w:rFonts w:cs="Arial"/>
                <w:color w:val="FF0000"/>
                <w:sz w:val="16"/>
                <w:szCs w:val="16"/>
              </w:rPr>
              <w:t xml:space="preserve"> </w:t>
            </w:r>
            <w:r w:rsidRPr="003C5DE4">
              <w:rPr>
                <w:rFonts w:cs="Arial"/>
                <w:sz w:val="16"/>
                <w:szCs w:val="16"/>
                <w:lang w:bidi="th-TH"/>
              </w:rPr>
              <w:t xml:space="preserve">trained experts in situ </w:t>
            </w:r>
            <w:r w:rsidR="00BC6547">
              <w:rPr>
                <w:rFonts w:cs="Arial"/>
                <w:sz w:val="16"/>
                <w:szCs w:val="16"/>
                <w:lang w:bidi="th-TH"/>
              </w:rPr>
              <w:t>plus</w:t>
            </w:r>
            <w:r w:rsidR="00BC6547" w:rsidRPr="003C5DE4">
              <w:rPr>
                <w:rFonts w:cs="Arial"/>
                <w:sz w:val="16"/>
                <w:szCs w:val="16"/>
                <w:lang w:bidi="th-TH"/>
              </w:rPr>
              <w:t xml:space="preserve"> </w:t>
            </w:r>
            <w:r w:rsidRPr="003C5DE4">
              <w:rPr>
                <w:rFonts w:cs="Arial"/>
                <w:sz w:val="16"/>
                <w:szCs w:val="16"/>
                <w:lang w:bidi="th-TH"/>
              </w:rPr>
              <w:t>400 through distance training practical exercises, with coaches, for a total of 2,760 users of the tools, models and materials.  (Users in this context refers to users as of the time of the training and immediately afterwards).</w:t>
            </w:r>
          </w:p>
        </w:tc>
        <w:tc>
          <w:tcPr>
            <w:tcW w:w="473" w:type="pct"/>
            <w:tcBorders>
              <w:bottom w:val="single" w:sz="4" w:space="0" w:color="auto"/>
            </w:tcBorders>
            <w:tcMar>
              <w:top w:w="110" w:type="dxa"/>
            </w:tcMar>
          </w:tcPr>
          <w:p w:rsidR="00BE72D1" w:rsidRPr="003C5DE4" w:rsidRDefault="00BC6547" w:rsidP="003E5EDF">
            <w:pPr>
              <w:keepNext/>
              <w:keepLines/>
              <w:jc w:val="center"/>
              <w:rPr>
                <w:rFonts w:cs="Arial"/>
                <w:bCs/>
                <w:color w:val="808080"/>
                <w:sz w:val="16"/>
                <w:szCs w:val="16"/>
              </w:rPr>
            </w:pPr>
            <w:r w:rsidRPr="003C5DE4">
              <w:rPr>
                <w:rStyle w:val="Style5"/>
                <w:rFonts w:ascii="Arial" w:hAnsi="Arial" w:cs="Arial"/>
                <w:color w:val="008000"/>
                <w:sz w:val="16"/>
                <w:szCs w:val="16"/>
              </w:rPr>
              <w:t>Fully Achieved</w:t>
            </w:r>
          </w:p>
        </w:tc>
      </w:tr>
      <w:tr w:rsidR="00BE72D1" w:rsidRPr="003C5DE4" w:rsidTr="003C5DE4">
        <w:trPr>
          <w:cantSplit/>
        </w:trPr>
        <w:tc>
          <w:tcPr>
            <w:tcW w:w="5000" w:type="pct"/>
            <w:gridSpan w:val="8"/>
            <w:tcBorders>
              <w:top w:val="single" w:sz="4" w:space="0" w:color="auto"/>
              <w:bottom w:val="single" w:sz="4" w:space="0" w:color="auto"/>
            </w:tcBorders>
            <w:shd w:val="clear" w:color="auto" w:fill="CCFFFF"/>
            <w:vAlign w:val="center"/>
          </w:tcPr>
          <w:p w:rsidR="00BE72D1" w:rsidRPr="003C5DE4" w:rsidRDefault="00BE72D1" w:rsidP="003E5EDF">
            <w:pPr>
              <w:keepNext/>
              <w:keepLines/>
              <w:tabs>
                <w:tab w:val="left" w:pos="1452"/>
              </w:tabs>
              <w:spacing w:before="120" w:after="120"/>
              <w:ind w:left="1452" w:hanging="1452"/>
              <w:rPr>
                <w:rFonts w:cs="Arial"/>
                <w:b/>
                <w:bCs/>
                <w:sz w:val="16"/>
                <w:szCs w:val="16"/>
              </w:rPr>
            </w:pPr>
            <w:r w:rsidRPr="003C5DE4">
              <w:rPr>
                <w:rFonts w:cs="Arial"/>
                <w:b/>
                <w:bCs/>
                <w:sz w:val="16"/>
                <w:szCs w:val="16"/>
              </w:rPr>
              <w:t>Expected Result:</w:t>
            </w:r>
            <w:r w:rsidRPr="003C5DE4">
              <w:rPr>
                <w:rFonts w:cs="Arial"/>
                <w:b/>
                <w:bCs/>
                <w:sz w:val="16"/>
                <w:szCs w:val="16"/>
              </w:rPr>
              <w:tab/>
            </w:r>
            <w:r w:rsidRPr="003C5DE4">
              <w:rPr>
                <w:rFonts w:cs="Arial"/>
                <w:sz w:val="16"/>
                <w:szCs w:val="16"/>
                <w:lang w:bidi="th-TH"/>
              </w:rPr>
              <w:t>Increased understanding/ capacity of SMEs and SMEs support institutions to successfully use IP to support innovation and commercialization</w:t>
            </w:r>
          </w:p>
        </w:tc>
      </w:tr>
      <w:tr w:rsidR="003C5DE4" w:rsidRPr="003C5DE4" w:rsidTr="00114E27">
        <w:trPr>
          <w:cantSplit/>
        </w:trPr>
        <w:tc>
          <w:tcPr>
            <w:tcW w:w="889" w:type="pct"/>
            <w:tcBorders>
              <w:top w:val="single" w:sz="4" w:space="0" w:color="auto"/>
            </w:tcBorders>
            <w:vAlign w:val="center"/>
          </w:tcPr>
          <w:p w:rsidR="00BE72D1" w:rsidRPr="003C5DE4" w:rsidRDefault="00BE72D1" w:rsidP="00BC6547">
            <w:pPr>
              <w:rPr>
                <w:rFonts w:cs="Arial"/>
                <w:sz w:val="16"/>
                <w:szCs w:val="16"/>
              </w:rPr>
            </w:pPr>
            <w:r w:rsidRPr="003C5DE4">
              <w:rPr>
                <w:rFonts w:cs="Arial"/>
                <w:b/>
                <w:bCs/>
                <w:sz w:val="16"/>
                <w:szCs w:val="16"/>
              </w:rPr>
              <w:t>Performance Indicators</w:t>
            </w:r>
          </w:p>
        </w:tc>
        <w:tc>
          <w:tcPr>
            <w:tcW w:w="819" w:type="pct"/>
            <w:tcBorders>
              <w:top w:val="single" w:sz="4" w:space="0" w:color="auto"/>
            </w:tcBorders>
            <w:shd w:val="clear" w:color="auto" w:fill="auto"/>
            <w:vAlign w:val="center"/>
          </w:tcPr>
          <w:p w:rsidR="00BE72D1" w:rsidRPr="003C5DE4" w:rsidRDefault="00BE72D1" w:rsidP="00BC6547">
            <w:pPr>
              <w:rPr>
                <w:rFonts w:cs="Arial"/>
                <w:b/>
                <w:bCs/>
                <w:sz w:val="16"/>
                <w:szCs w:val="16"/>
              </w:rPr>
            </w:pPr>
            <w:r w:rsidRPr="003C5DE4">
              <w:rPr>
                <w:rFonts w:cs="Arial"/>
                <w:b/>
                <w:bCs/>
                <w:sz w:val="16"/>
                <w:szCs w:val="16"/>
              </w:rPr>
              <w:t>Baselines</w:t>
            </w:r>
          </w:p>
        </w:tc>
        <w:tc>
          <w:tcPr>
            <w:tcW w:w="933" w:type="pct"/>
            <w:gridSpan w:val="2"/>
            <w:tcBorders>
              <w:top w:val="single" w:sz="4" w:space="0" w:color="auto"/>
            </w:tcBorders>
            <w:tcMar>
              <w:top w:w="110" w:type="dxa"/>
            </w:tcMar>
            <w:vAlign w:val="center"/>
          </w:tcPr>
          <w:p w:rsidR="00BE72D1" w:rsidRPr="003C5DE4" w:rsidRDefault="00BE72D1" w:rsidP="00BC6547">
            <w:pPr>
              <w:rPr>
                <w:rFonts w:cs="Arial"/>
                <w:b/>
                <w:sz w:val="16"/>
                <w:szCs w:val="16"/>
              </w:rPr>
            </w:pPr>
            <w:r w:rsidRPr="003C5DE4">
              <w:rPr>
                <w:rFonts w:cs="Arial"/>
                <w:b/>
                <w:sz w:val="16"/>
                <w:szCs w:val="16"/>
              </w:rPr>
              <w:t>Targets</w:t>
            </w:r>
          </w:p>
        </w:tc>
        <w:tc>
          <w:tcPr>
            <w:tcW w:w="1783" w:type="pct"/>
            <w:gridSpan w:val="2"/>
            <w:tcBorders>
              <w:top w:val="single" w:sz="4" w:space="0" w:color="auto"/>
            </w:tcBorders>
            <w:shd w:val="clear" w:color="auto" w:fill="FFFFFF"/>
            <w:tcMar>
              <w:top w:w="110" w:type="dxa"/>
            </w:tcMar>
            <w:vAlign w:val="center"/>
          </w:tcPr>
          <w:p w:rsidR="00BE72D1" w:rsidRPr="003C5DE4" w:rsidRDefault="00BE72D1" w:rsidP="00BC6547">
            <w:pPr>
              <w:rPr>
                <w:rFonts w:cs="Arial"/>
                <w:sz w:val="16"/>
                <w:szCs w:val="16"/>
              </w:rPr>
            </w:pPr>
            <w:r w:rsidRPr="003C5DE4">
              <w:rPr>
                <w:rFonts w:cs="Arial"/>
                <w:b/>
                <w:bCs/>
                <w:sz w:val="16"/>
                <w:szCs w:val="16"/>
              </w:rPr>
              <w:t>Performance Data</w:t>
            </w:r>
          </w:p>
        </w:tc>
        <w:tc>
          <w:tcPr>
            <w:tcW w:w="576" w:type="pct"/>
            <w:gridSpan w:val="2"/>
            <w:tcBorders>
              <w:top w:val="single" w:sz="4" w:space="0" w:color="auto"/>
            </w:tcBorders>
            <w:tcMar>
              <w:top w:w="110" w:type="dxa"/>
            </w:tcMar>
            <w:vAlign w:val="center"/>
          </w:tcPr>
          <w:p w:rsidR="00BE72D1" w:rsidRPr="003C5DE4" w:rsidRDefault="00BE72D1" w:rsidP="00BC6547">
            <w:pPr>
              <w:keepNext/>
              <w:keepLines/>
              <w:jc w:val="center"/>
              <w:rPr>
                <w:rFonts w:cs="Arial"/>
                <w:b/>
                <w:bCs/>
                <w:sz w:val="16"/>
                <w:szCs w:val="16"/>
              </w:rPr>
            </w:pPr>
            <w:r w:rsidRPr="003C5DE4">
              <w:rPr>
                <w:rFonts w:cs="Arial"/>
                <w:b/>
                <w:bCs/>
                <w:sz w:val="16"/>
                <w:szCs w:val="16"/>
              </w:rPr>
              <w:t>TLS</w:t>
            </w:r>
          </w:p>
        </w:tc>
      </w:tr>
      <w:tr w:rsidR="00BE72D1" w:rsidRPr="003C5DE4" w:rsidTr="00114E27">
        <w:trPr>
          <w:cantSplit/>
        </w:trPr>
        <w:tc>
          <w:tcPr>
            <w:tcW w:w="889" w:type="pct"/>
          </w:tcPr>
          <w:p w:rsidR="00BE72D1" w:rsidRPr="003C5DE4" w:rsidRDefault="00BE72D1" w:rsidP="003E5EDF">
            <w:pPr>
              <w:rPr>
                <w:rFonts w:cs="Arial"/>
                <w:sz w:val="16"/>
                <w:szCs w:val="16"/>
                <w:lang w:bidi="th-TH"/>
              </w:rPr>
            </w:pPr>
            <w:r w:rsidRPr="003C5DE4">
              <w:rPr>
                <w:rFonts w:cs="Arial"/>
                <w:sz w:val="16"/>
                <w:szCs w:val="16"/>
                <w:lang w:bidi="th-TH"/>
              </w:rPr>
              <w:t>% of assisted SMEs support institutions who provide information, support and advisory/</w:t>
            </w:r>
            <w:r w:rsidR="003C5DE4">
              <w:rPr>
                <w:rFonts w:cs="Arial"/>
                <w:sz w:val="16"/>
                <w:szCs w:val="16"/>
                <w:lang w:bidi="th-TH"/>
              </w:rPr>
              <w:t xml:space="preserve"> </w:t>
            </w:r>
            <w:r w:rsidRPr="003C5DE4">
              <w:rPr>
                <w:rFonts w:cs="Arial"/>
                <w:sz w:val="16"/>
                <w:szCs w:val="16"/>
                <w:lang w:bidi="th-TH"/>
              </w:rPr>
              <w:t xml:space="preserve">consulting services on IP asset management </w:t>
            </w:r>
          </w:p>
        </w:tc>
        <w:tc>
          <w:tcPr>
            <w:tcW w:w="819" w:type="pct"/>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 xml:space="preserve">Not available </w:t>
            </w:r>
          </w:p>
        </w:tc>
        <w:tc>
          <w:tcPr>
            <w:tcW w:w="933" w:type="pct"/>
            <w:gridSpan w:val="2"/>
            <w:tcMar>
              <w:top w:w="110" w:type="dxa"/>
            </w:tcMar>
          </w:tcPr>
          <w:p w:rsidR="003C5DE4" w:rsidRPr="003C5DE4" w:rsidRDefault="003C5DE4" w:rsidP="003C5DE4">
            <w:pPr>
              <w:autoSpaceDE w:val="0"/>
              <w:autoSpaceDN w:val="0"/>
              <w:adjustRightInd w:val="0"/>
              <w:rPr>
                <w:rFonts w:cs="Arial"/>
                <w:sz w:val="16"/>
                <w:szCs w:val="16"/>
              </w:rPr>
            </w:pPr>
            <w:r w:rsidRPr="003C5DE4">
              <w:rPr>
                <w:rFonts w:cs="Arial"/>
                <w:sz w:val="16"/>
                <w:szCs w:val="16"/>
              </w:rPr>
              <w:t>80% (of 15 support</w:t>
            </w:r>
          </w:p>
          <w:p w:rsidR="003C5DE4" w:rsidRPr="003C5DE4" w:rsidRDefault="003C5DE4" w:rsidP="003C5DE4">
            <w:pPr>
              <w:autoSpaceDE w:val="0"/>
              <w:autoSpaceDN w:val="0"/>
              <w:adjustRightInd w:val="0"/>
              <w:rPr>
                <w:rFonts w:cs="Arial"/>
                <w:sz w:val="16"/>
                <w:szCs w:val="16"/>
              </w:rPr>
            </w:pPr>
            <w:r w:rsidRPr="003C5DE4">
              <w:rPr>
                <w:rFonts w:cs="Arial"/>
                <w:sz w:val="16"/>
                <w:szCs w:val="16"/>
              </w:rPr>
              <w:t>institutions expected</w:t>
            </w:r>
          </w:p>
          <w:p w:rsidR="00BE72D1" w:rsidRPr="003C5DE4" w:rsidRDefault="003C5DE4" w:rsidP="003C5DE4">
            <w:pPr>
              <w:rPr>
                <w:rFonts w:cs="Arial"/>
                <w:sz w:val="16"/>
                <w:szCs w:val="16"/>
                <w:lang w:bidi="th-TH"/>
              </w:rPr>
            </w:pPr>
            <w:r w:rsidRPr="003C5DE4">
              <w:rPr>
                <w:rFonts w:cs="Arial"/>
                <w:sz w:val="16"/>
                <w:szCs w:val="16"/>
              </w:rPr>
              <w:t>to be assisted)</w:t>
            </w:r>
          </w:p>
        </w:tc>
        <w:tc>
          <w:tcPr>
            <w:tcW w:w="1783" w:type="pct"/>
            <w:gridSpan w:val="2"/>
            <w:shd w:val="clear" w:color="auto" w:fill="FFFFFF"/>
            <w:tcMar>
              <w:top w:w="110" w:type="dxa"/>
            </w:tcMar>
          </w:tcPr>
          <w:p w:rsidR="00BE72D1" w:rsidRPr="003C5DE4" w:rsidRDefault="00BE72D1">
            <w:pPr>
              <w:rPr>
                <w:rFonts w:cs="Arial"/>
                <w:sz w:val="16"/>
                <w:szCs w:val="16"/>
                <w:lang w:bidi="th-TH"/>
              </w:rPr>
            </w:pPr>
            <w:r w:rsidRPr="003C5DE4">
              <w:rPr>
                <w:rFonts w:cs="Arial"/>
                <w:sz w:val="16"/>
                <w:szCs w:val="16"/>
                <w:lang w:bidi="th-TH"/>
              </w:rPr>
              <w:t>100% of the assisted 15 SMEs support institutions provide information, support and/or advisory/consulting services on IP asset management</w:t>
            </w:r>
            <w:r w:rsidR="00BC6547">
              <w:rPr>
                <w:rFonts w:cs="Arial"/>
                <w:sz w:val="16"/>
                <w:szCs w:val="16"/>
                <w:lang w:bidi="th-TH"/>
              </w:rPr>
              <w:t>.</w:t>
            </w:r>
          </w:p>
        </w:tc>
        <w:tc>
          <w:tcPr>
            <w:tcW w:w="576" w:type="pct"/>
            <w:gridSpan w:val="2"/>
            <w:tcMar>
              <w:top w:w="110" w:type="dxa"/>
            </w:tcMar>
          </w:tcPr>
          <w:p w:rsidR="00BE72D1" w:rsidRPr="003C5DE4" w:rsidRDefault="00BE72D1" w:rsidP="003E5EDF">
            <w:pPr>
              <w:keepNext/>
              <w:keepLines/>
              <w:jc w:val="center"/>
              <w:rPr>
                <w:rFonts w:cs="Arial"/>
                <w:bCs/>
                <w:color w:val="808080"/>
                <w:sz w:val="16"/>
                <w:szCs w:val="16"/>
              </w:rPr>
            </w:pPr>
            <w:r w:rsidRPr="003C5DE4">
              <w:rPr>
                <w:rStyle w:val="Style5"/>
                <w:rFonts w:ascii="Arial" w:hAnsi="Arial" w:cs="Arial"/>
                <w:color w:val="008000"/>
                <w:sz w:val="16"/>
                <w:szCs w:val="16"/>
              </w:rPr>
              <w:t>Fully Achieved</w:t>
            </w:r>
          </w:p>
        </w:tc>
      </w:tr>
      <w:tr w:rsidR="00BE72D1" w:rsidRPr="003C5DE4" w:rsidTr="00114E27">
        <w:trPr>
          <w:cantSplit/>
        </w:trPr>
        <w:tc>
          <w:tcPr>
            <w:tcW w:w="889" w:type="pct"/>
          </w:tcPr>
          <w:p w:rsidR="00BE72D1" w:rsidRPr="003C5DE4" w:rsidRDefault="00BE72D1" w:rsidP="003E5EDF">
            <w:pPr>
              <w:rPr>
                <w:rFonts w:cs="Arial"/>
                <w:sz w:val="16"/>
                <w:szCs w:val="16"/>
                <w:lang w:bidi="th-TH"/>
              </w:rPr>
            </w:pPr>
            <w:r w:rsidRPr="003C5DE4">
              <w:rPr>
                <w:rFonts w:cs="Arial"/>
                <w:sz w:val="16"/>
                <w:szCs w:val="16"/>
                <w:lang w:bidi="th-TH"/>
              </w:rPr>
              <w:t xml:space="preserve">No. of national/regional training programs on IP asset management </w:t>
            </w:r>
          </w:p>
        </w:tc>
        <w:tc>
          <w:tcPr>
            <w:tcW w:w="819" w:type="pct"/>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24</w:t>
            </w:r>
          </w:p>
        </w:tc>
        <w:tc>
          <w:tcPr>
            <w:tcW w:w="933" w:type="pct"/>
            <w:gridSpan w:val="2"/>
            <w:tcMar>
              <w:top w:w="110" w:type="dxa"/>
            </w:tcMar>
          </w:tcPr>
          <w:p w:rsidR="00BE72D1" w:rsidRPr="003C5DE4" w:rsidRDefault="003C5DE4" w:rsidP="003E5EDF">
            <w:pPr>
              <w:rPr>
                <w:rFonts w:cs="Arial"/>
                <w:sz w:val="16"/>
                <w:szCs w:val="16"/>
                <w:lang w:bidi="th-TH"/>
              </w:rPr>
            </w:pPr>
            <w:r w:rsidRPr="003C5DE4">
              <w:rPr>
                <w:rFonts w:cs="Arial"/>
                <w:sz w:val="16"/>
                <w:szCs w:val="16"/>
              </w:rPr>
              <w:t>24 (in 2012/13)</w:t>
            </w:r>
          </w:p>
        </w:tc>
        <w:tc>
          <w:tcPr>
            <w:tcW w:w="1783" w:type="pct"/>
            <w:gridSpan w:val="2"/>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rPr>
              <w:t xml:space="preserve">29 training programs on IP asset management were carried out during the biennium in countries in Africa, Arab Region, Asia and the Pacific, Latin America and the Caribbean and countries in transition. </w:t>
            </w:r>
            <w:r w:rsidR="00BC6547">
              <w:rPr>
                <w:rFonts w:cs="Arial"/>
                <w:sz w:val="16"/>
                <w:szCs w:val="16"/>
              </w:rPr>
              <w:t xml:space="preserve"> </w:t>
            </w:r>
            <w:r w:rsidRPr="003C5DE4">
              <w:rPr>
                <w:rFonts w:cs="Arial"/>
                <w:sz w:val="16"/>
                <w:szCs w:val="16"/>
              </w:rPr>
              <w:t>1,525 participants were the direct beneficiaries of these programs.</w:t>
            </w:r>
          </w:p>
        </w:tc>
        <w:tc>
          <w:tcPr>
            <w:tcW w:w="576" w:type="pct"/>
            <w:gridSpan w:val="2"/>
            <w:tcMar>
              <w:top w:w="110" w:type="dxa"/>
            </w:tcMar>
          </w:tcPr>
          <w:p w:rsidR="00BE72D1" w:rsidRPr="003C5DE4" w:rsidRDefault="00BE72D1" w:rsidP="003E5EDF">
            <w:pPr>
              <w:keepNext/>
              <w:keepLines/>
              <w:jc w:val="center"/>
              <w:rPr>
                <w:rFonts w:cs="Arial"/>
                <w:bCs/>
                <w:color w:val="808080"/>
                <w:sz w:val="16"/>
                <w:szCs w:val="16"/>
              </w:rPr>
            </w:pPr>
            <w:r w:rsidRPr="003C5DE4">
              <w:rPr>
                <w:rStyle w:val="Style5"/>
                <w:rFonts w:ascii="Arial" w:hAnsi="Arial" w:cs="Arial"/>
                <w:color w:val="008000"/>
                <w:sz w:val="16"/>
                <w:szCs w:val="16"/>
              </w:rPr>
              <w:t>Fully Achieved</w:t>
            </w:r>
          </w:p>
        </w:tc>
      </w:tr>
      <w:tr w:rsidR="00BE72D1" w:rsidRPr="003C5DE4" w:rsidTr="00114E27">
        <w:trPr>
          <w:cantSplit/>
        </w:trPr>
        <w:tc>
          <w:tcPr>
            <w:tcW w:w="889" w:type="pct"/>
            <w:tcBorders>
              <w:bottom w:val="single" w:sz="4" w:space="0" w:color="auto"/>
            </w:tcBorders>
          </w:tcPr>
          <w:p w:rsidR="00BE72D1" w:rsidRPr="003C5DE4" w:rsidRDefault="00BE72D1" w:rsidP="003E5EDF">
            <w:pPr>
              <w:rPr>
                <w:rFonts w:cs="Arial"/>
                <w:sz w:val="16"/>
                <w:szCs w:val="16"/>
                <w:lang w:bidi="th-TH"/>
              </w:rPr>
            </w:pPr>
            <w:r w:rsidRPr="003C5DE4">
              <w:rPr>
                <w:rFonts w:cs="Arial"/>
                <w:sz w:val="16"/>
                <w:szCs w:val="16"/>
                <w:lang w:bidi="th-TH"/>
              </w:rPr>
              <w:t xml:space="preserve">% of SMEs support institutions satisfied with the training provided on IP asset management  </w:t>
            </w:r>
          </w:p>
          <w:p w:rsidR="00BE72D1" w:rsidRPr="003C5DE4" w:rsidRDefault="00BE72D1" w:rsidP="003E5EDF">
            <w:pPr>
              <w:rPr>
                <w:rFonts w:cs="Arial"/>
                <w:sz w:val="16"/>
                <w:szCs w:val="16"/>
                <w:lang w:bidi="th-TH"/>
              </w:rPr>
            </w:pPr>
          </w:p>
        </w:tc>
        <w:tc>
          <w:tcPr>
            <w:tcW w:w="819" w:type="pct"/>
            <w:tcBorders>
              <w:bottom w:val="single" w:sz="4" w:space="0" w:color="auto"/>
            </w:tcBorders>
            <w:shd w:val="clear" w:color="auto" w:fill="auto"/>
          </w:tcPr>
          <w:p w:rsidR="00BE72D1" w:rsidRPr="003C5DE4" w:rsidRDefault="00BE72D1" w:rsidP="003C5DE4">
            <w:pPr>
              <w:rPr>
                <w:rFonts w:cs="Arial"/>
                <w:sz w:val="16"/>
                <w:szCs w:val="16"/>
                <w:lang w:bidi="th-TH"/>
              </w:rPr>
            </w:pPr>
            <w:r w:rsidRPr="003C5DE4">
              <w:rPr>
                <w:rFonts w:cs="Arial"/>
                <w:sz w:val="16"/>
                <w:szCs w:val="16"/>
                <w:lang w:bidi="th-TH"/>
              </w:rPr>
              <w:t>Data not available</w:t>
            </w:r>
          </w:p>
        </w:tc>
        <w:tc>
          <w:tcPr>
            <w:tcW w:w="933" w:type="pct"/>
            <w:gridSpan w:val="2"/>
            <w:tcBorders>
              <w:bottom w:val="single" w:sz="4" w:space="0" w:color="auto"/>
            </w:tcBorders>
            <w:tcMar>
              <w:top w:w="110" w:type="dxa"/>
            </w:tcMar>
          </w:tcPr>
          <w:p w:rsidR="00BE72D1" w:rsidRPr="003C5DE4" w:rsidRDefault="003C5DE4" w:rsidP="003E5EDF">
            <w:pPr>
              <w:rPr>
                <w:rFonts w:cs="Arial"/>
                <w:sz w:val="16"/>
                <w:szCs w:val="16"/>
                <w:lang w:bidi="th-TH"/>
              </w:rPr>
            </w:pPr>
            <w:r w:rsidRPr="00114E27">
              <w:rPr>
                <w:rFonts w:cs="Arial"/>
                <w:sz w:val="16"/>
                <w:szCs w:val="16"/>
                <w:lang w:bidi="th-TH"/>
              </w:rPr>
              <w:t>tbd</w:t>
            </w:r>
          </w:p>
        </w:tc>
        <w:tc>
          <w:tcPr>
            <w:tcW w:w="1783" w:type="pct"/>
            <w:gridSpan w:val="2"/>
            <w:tcBorders>
              <w:bottom w:val="single" w:sz="4" w:space="0" w:color="auto"/>
            </w:tcBorders>
            <w:shd w:val="clear" w:color="auto" w:fill="FFFFFF"/>
            <w:tcMar>
              <w:top w:w="110" w:type="dxa"/>
            </w:tcMar>
          </w:tcPr>
          <w:p w:rsidR="00BE72D1" w:rsidRPr="003C5DE4" w:rsidRDefault="00BE72D1" w:rsidP="003C5DE4">
            <w:pPr>
              <w:rPr>
                <w:rFonts w:cs="Arial"/>
                <w:sz w:val="16"/>
                <w:szCs w:val="16"/>
                <w:lang w:bidi="th-TH"/>
              </w:rPr>
            </w:pPr>
            <w:r w:rsidRPr="003C5DE4">
              <w:rPr>
                <w:rFonts w:cs="Arial"/>
                <w:sz w:val="16"/>
                <w:szCs w:val="16"/>
                <w:lang w:bidi="th-TH"/>
              </w:rPr>
              <w:t>In surveys of 24 (out of the 29) training programs, 100% of the SMEs support institutions were satisfied with the training provided on IP asset management.</w:t>
            </w:r>
          </w:p>
        </w:tc>
        <w:tc>
          <w:tcPr>
            <w:tcW w:w="576" w:type="pct"/>
            <w:gridSpan w:val="2"/>
            <w:tcBorders>
              <w:bottom w:val="single" w:sz="4" w:space="0" w:color="auto"/>
            </w:tcBorders>
            <w:tcMar>
              <w:top w:w="110" w:type="dxa"/>
            </w:tcMar>
          </w:tcPr>
          <w:p w:rsidR="00BE72D1" w:rsidRPr="003C5DE4" w:rsidRDefault="00EA0BF1" w:rsidP="003E5EDF">
            <w:pPr>
              <w:keepNext/>
              <w:keepLines/>
              <w:jc w:val="center"/>
              <w:rPr>
                <w:rFonts w:cs="Arial"/>
                <w:bCs/>
                <w:color w:val="808080"/>
                <w:sz w:val="16"/>
                <w:szCs w:val="16"/>
              </w:rPr>
            </w:pPr>
            <w:r w:rsidRPr="003C5DE4">
              <w:rPr>
                <w:rStyle w:val="Style5"/>
                <w:rFonts w:ascii="Arial" w:hAnsi="Arial" w:cs="Arial"/>
                <w:color w:val="008000"/>
                <w:sz w:val="16"/>
                <w:szCs w:val="16"/>
              </w:rPr>
              <w:t>Fully Achieved</w:t>
            </w:r>
          </w:p>
        </w:tc>
      </w:tr>
    </w:tbl>
    <w:p w:rsidR="00BE72D1" w:rsidRDefault="00BE72D1" w:rsidP="00BE72D1">
      <w:pPr>
        <w:rPr>
          <w:rFonts w:cs="Arial"/>
        </w:rPr>
      </w:pPr>
    </w:p>
    <w:p w:rsidR="00BE72D1" w:rsidRDefault="00BE72D1" w:rsidP="00BE72D1">
      <w:pPr>
        <w:rPr>
          <w:rFonts w:cs="Arial"/>
        </w:rPr>
      </w:pPr>
    </w:p>
    <w:p w:rsidR="003C5DE4" w:rsidRDefault="003C5DE4" w:rsidP="00BE72D1">
      <w:pPr>
        <w:rPr>
          <w:rFonts w:cs="Arial"/>
        </w:rPr>
      </w:pPr>
    </w:p>
    <w:p w:rsidR="00BE72D1" w:rsidRDefault="00BE72D1" w:rsidP="00BE72D1">
      <w:pPr>
        <w:pStyle w:val="NormalWeb"/>
        <w:spacing w:before="0" w:beforeAutospacing="0" w:after="0" w:afterAutospacing="0"/>
        <w:rPr>
          <w:color w:val="000000"/>
          <w:sz w:val="22"/>
          <w:szCs w:val="22"/>
        </w:rPr>
      </w:pPr>
      <w:r>
        <w:rPr>
          <w:color w:val="000000"/>
          <w:sz w:val="22"/>
          <w:szCs w:val="22"/>
        </w:rPr>
        <w:t>BUDGET AND ACTUAL EXPENDITURE</w:t>
      </w:r>
    </w:p>
    <w:p w:rsidR="00BE72D1" w:rsidRDefault="00BE72D1" w:rsidP="00BE72D1">
      <w:pPr>
        <w:pStyle w:val="NormalWeb"/>
        <w:spacing w:before="0" w:beforeAutospacing="0" w:after="0" w:afterAutospacing="0"/>
        <w:jc w:val="center"/>
        <w:rPr>
          <w:color w:val="000000"/>
          <w:sz w:val="22"/>
          <w:szCs w:val="22"/>
        </w:rPr>
      </w:pPr>
    </w:p>
    <w:p w:rsidR="00BE72D1" w:rsidRPr="003C5DE4" w:rsidRDefault="00BE72D1" w:rsidP="00BE72D1">
      <w:pPr>
        <w:pStyle w:val="NormalWeb"/>
        <w:spacing w:before="0" w:beforeAutospacing="0" w:after="0" w:afterAutospacing="0"/>
        <w:jc w:val="center"/>
        <w:rPr>
          <w:sz w:val="20"/>
          <w:szCs w:val="20"/>
        </w:rPr>
      </w:pPr>
      <w:r w:rsidRPr="003C5DE4">
        <w:rPr>
          <w:color w:val="000000"/>
          <w:sz w:val="20"/>
          <w:szCs w:val="20"/>
        </w:rPr>
        <w:t xml:space="preserve">Budget and Actual Expenditure (by result) </w:t>
      </w:r>
    </w:p>
    <w:p w:rsidR="00BE72D1" w:rsidRPr="003C5DE4" w:rsidRDefault="00BE72D1" w:rsidP="00BE72D1">
      <w:pPr>
        <w:pStyle w:val="NormalWeb"/>
        <w:spacing w:before="0" w:beforeAutospacing="0" w:after="0" w:afterAutospacing="0"/>
        <w:jc w:val="center"/>
        <w:rPr>
          <w:i/>
          <w:iCs/>
          <w:color w:val="000000"/>
          <w:sz w:val="20"/>
          <w:szCs w:val="20"/>
        </w:rPr>
      </w:pPr>
      <w:r w:rsidRPr="003C5DE4">
        <w:rPr>
          <w:i/>
          <w:iCs/>
          <w:color w:val="000000"/>
          <w:sz w:val="20"/>
          <w:szCs w:val="20"/>
        </w:rPr>
        <w:t>(</w:t>
      </w:r>
      <w:proofErr w:type="gramStart"/>
      <w:r w:rsidRPr="003C5DE4">
        <w:rPr>
          <w:i/>
          <w:iCs/>
          <w:color w:val="000000"/>
          <w:sz w:val="20"/>
          <w:szCs w:val="20"/>
        </w:rPr>
        <w:t>in</w:t>
      </w:r>
      <w:proofErr w:type="gramEnd"/>
      <w:r w:rsidRPr="003C5DE4">
        <w:rPr>
          <w:i/>
          <w:iCs/>
          <w:color w:val="000000"/>
          <w:sz w:val="20"/>
          <w:szCs w:val="20"/>
        </w:rPr>
        <w:t xml:space="preserve"> thousands of Swiss francs)</w:t>
      </w:r>
    </w:p>
    <w:p w:rsidR="00BE72D1" w:rsidRDefault="00BE72D1" w:rsidP="00BE72D1">
      <w:pPr>
        <w:pStyle w:val="NormalWeb"/>
        <w:spacing w:before="0" w:beforeAutospacing="0" w:after="0" w:afterAutospacing="0"/>
        <w:jc w:val="center"/>
        <w:rPr>
          <w:i/>
          <w:iCs/>
          <w:color w:val="000000"/>
          <w:sz w:val="22"/>
          <w:szCs w:val="22"/>
        </w:rPr>
      </w:pPr>
    </w:p>
    <w:tbl>
      <w:tblPr>
        <w:tblW w:w="0" w:type="auto"/>
        <w:tblInd w:w="108" w:type="dxa"/>
        <w:tblLayout w:type="fixed"/>
        <w:tblLook w:val="04A0" w:firstRow="1" w:lastRow="0" w:firstColumn="1" w:lastColumn="0" w:noHBand="0" w:noVBand="1"/>
      </w:tblPr>
      <w:tblGrid>
        <w:gridCol w:w="714"/>
        <w:gridCol w:w="4673"/>
        <w:gridCol w:w="1357"/>
        <w:gridCol w:w="1357"/>
        <w:gridCol w:w="1357"/>
      </w:tblGrid>
      <w:tr w:rsidR="003C5DE4" w:rsidRPr="003C5DE4" w:rsidTr="003C5DE4">
        <w:tc>
          <w:tcPr>
            <w:tcW w:w="538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Expected Result No. and Description</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2012/13 Approved Budget</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 xml:space="preserve">2012/13 </w:t>
            </w:r>
            <w:r w:rsidR="003C5DE4">
              <w:rPr>
                <w:rFonts w:cs="Arial"/>
                <w:bCs/>
                <w:color w:val="000000"/>
                <w:sz w:val="16"/>
                <w:szCs w:val="16"/>
              </w:rPr>
              <w:br/>
            </w:r>
            <w:r w:rsidRPr="003C5DE4">
              <w:rPr>
                <w:rFonts w:cs="Arial"/>
                <w:bCs/>
                <w:color w:val="000000"/>
                <w:sz w:val="16"/>
                <w:szCs w:val="16"/>
              </w:rPr>
              <w:t xml:space="preserve">Budget </w:t>
            </w:r>
            <w:r w:rsidRPr="003C5DE4">
              <w:rPr>
                <w:rFonts w:cs="Arial"/>
                <w:bCs/>
                <w:color w:val="000000"/>
                <w:sz w:val="16"/>
                <w:szCs w:val="16"/>
              </w:rPr>
              <w:br/>
              <w:t>After Transfers</w:t>
            </w:r>
          </w:p>
        </w:tc>
        <w:tc>
          <w:tcPr>
            <w:tcW w:w="1357" w:type="dxa"/>
            <w:tcBorders>
              <w:top w:val="single" w:sz="4" w:space="0" w:color="auto"/>
              <w:left w:val="nil"/>
              <w:bottom w:val="single" w:sz="4" w:space="0" w:color="auto"/>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 xml:space="preserve">2012/13 </w:t>
            </w:r>
            <w:r w:rsidRPr="003C5DE4">
              <w:rPr>
                <w:rFonts w:cs="Arial"/>
                <w:bCs/>
                <w:color w:val="000000"/>
                <w:sz w:val="16"/>
                <w:szCs w:val="16"/>
              </w:rPr>
              <w:br/>
              <w:t>Expenditure</w:t>
            </w:r>
          </w:p>
        </w:tc>
      </w:tr>
      <w:tr w:rsidR="003C5DE4" w:rsidRPr="003C5DE4" w:rsidTr="003C5DE4">
        <w:tc>
          <w:tcPr>
            <w:tcW w:w="714" w:type="dxa"/>
            <w:tcBorders>
              <w:top w:val="nil"/>
              <w:left w:val="single" w:sz="4" w:space="0" w:color="auto"/>
              <w:bottom w:val="nil"/>
              <w:right w:val="nil"/>
            </w:tcBorders>
            <w:shd w:val="clear" w:color="000000" w:fill="FFFFFF"/>
            <w:noWrap/>
            <w:hideMark/>
          </w:tcPr>
          <w:p w:rsidR="00BE72D1" w:rsidRPr="003C5DE4" w:rsidRDefault="00BE72D1" w:rsidP="003C5DE4">
            <w:pPr>
              <w:spacing w:before="120"/>
              <w:jc w:val="center"/>
              <w:rPr>
                <w:rFonts w:cs="Arial"/>
                <w:color w:val="000000"/>
                <w:sz w:val="16"/>
                <w:szCs w:val="16"/>
              </w:rPr>
            </w:pPr>
            <w:r w:rsidRPr="003C5DE4">
              <w:rPr>
                <w:rFonts w:cs="Arial"/>
                <w:color w:val="000000"/>
                <w:sz w:val="16"/>
                <w:szCs w:val="16"/>
              </w:rPr>
              <w:t>III.1</w:t>
            </w:r>
          </w:p>
        </w:tc>
        <w:tc>
          <w:tcPr>
            <w:tcW w:w="4673" w:type="dxa"/>
            <w:tcBorders>
              <w:top w:val="nil"/>
              <w:left w:val="nil"/>
              <w:bottom w:val="nil"/>
              <w:right w:val="nil"/>
            </w:tcBorders>
            <w:shd w:val="clear" w:color="000000" w:fill="FFFFFF"/>
            <w:hideMark/>
          </w:tcPr>
          <w:p w:rsidR="00BE72D1" w:rsidRPr="003C5DE4" w:rsidRDefault="00BE72D1" w:rsidP="003C5DE4">
            <w:pPr>
              <w:spacing w:before="120"/>
              <w:rPr>
                <w:rFonts w:cs="Arial"/>
                <w:color w:val="000000"/>
                <w:sz w:val="16"/>
                <w:szCs w:val="16"/>
              </w:rPr>
            </w:pPr>
            <w:r w:rsidRPr="003C5DE4">
              <w:rPr>
                <w:rFonts w:cs="Arial"/>
                <w:color w:val="000000"/>
                <w:sz w:val="16"/>
                <w:szCs w:val="16"/>
              </w:rPr>
              <w:t>Clearly defined and coherent national innovation and IP policies, strategies and development plans consistent with national development goals and objectives</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 </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257</w:t>
            </w:r>
          </w:p>
        </w:tc>
        <w:tc>
          <w:tcPr>
            <w:tcW w:w="1357" w:type="dxa"/>
            <w:tcBorders>
              <w:top w:val="nil"/>
              <w:left w:val="nil"/>
              <w:bottom w:val="nil"/>
              <w:right w:val="single" w:sz="4" w:space="0" w:color="auto"/>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19</w:t>
            </w:r>
            <w:r w:rsidR="00F21199">
              <w:rPr>
                <w:rFonts w:cs="Arial"/>
                <w:color w:val="000000"/>
                <w:sz w:val="16"/>
                <w:szCs w:val="16"/>
              </w:rPr>
              <w:t>8</w:t>
            </w:r>
          </w:p>
        </w:tc>
      </w:tr>
      <w:tr w:rsidR="003C5DE4" w:rsidRPr="003C5DE4" w:rsidTr="003C5DE4">
        <w:tc>
          <w:tcPr>
            <w:tcW w:w="714" w:type="dxa"/>
            <w:tcBorders>
              <w:top w:val="nil"/>
              <w:left w:val="single" w:sz="4" w:space="0" w:color="auto"/>
              <w:bottom w:val="nil"/>
              <w:right w:val="nil"/>
            </w:tcBorders>
            <w:shd w:val="clear" w:color="000000" w:fill="FFFFFF"/>
            <w:noWrap/>
            <w:hideMark/>
          </w:tcPr>
          <w:p w:rsidR="00BE72D1" w:rsidRPr="003C5DE4" w:rsidRDefault="00BE72D1" w:rsidP="003C5DE4">
            <w:pPr>
              <w:spacing w:before="120"/>
              <w:jc w:val="center"/>
              <w:rPr>
                <w:rFonts w:cs="Arial"/>
                <w:color w:val="000000"/>
                <w:sz w:val="16"/>
                <w:szCs w:val="16"/>
              </w:rPr>
            </w:pPr>
            <w:r w:rsidRPr="003C5DE4">
              <w:rPr>
                <w:rFonts w:cs="Arial"/>
                <w:color w:val="000000"/>
                <w:sz w:val="16"/>
                <w:szCs w:val="16"/>
              </w:rPr>
              <w:t>III.2</w:t>
            </w:r>
          </w:p>
        </w:tc>
        <w:tc>
          <w:tcPr>
            <w:tcW w:w="4673" w:type="dxa"/>
            <w:tcBorders>
              <w:top w:val="nil"/>
              <w:left w:val="nil"/>
              <w:bottom w:val="nil"/>
              <w:right w:val="nil"/>
            </w:tcBorders>
            <w:shd w:val="clear" w:color="000000" w:fill="FFFFFF"/>
            <w:hideMark/>
          </w:tcPr>
          <w:p w:rsidR="00BE72D1" w:rsidRPr="003C5DE4" w:rsidRDefault="00BE72D1" w:rsidP="003C5DE4">
            <w:pPr>
              <w:spacing w:before="120"/>
              <w:rPr>
                <w:rFonts w:cs="Arial"/>
                <w:color w:val="000000"/>
                <w:sz w:val="16"/>
                <w:szCs w:val="16"/>
              </w:rPr>
            </w:pPr>
            <w:r w:rsidRPr="003C5DE4">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 xml:space="preserve">2,433 </w:t>
            </w:r>
          </w:p>
        </w:tc>
        <w:tc>
          <w:tcPr>
            <w:tcW w:w="1357" w:type="dxa"/>
            <w:tcBorders>
              <w:top w:val="nil"/>
              <w:left w:val="nil"/>
              <w:bottom w:val="nil"/>
              <w:right w:val="nil"/>
            </w:tcBorders>
            <w:shd w:val="clear" w:color="000000" w:fill="FFFFFF"/>
            <w:vAlign w:val="center"/>
            <w:hideMark/>
          </w:tcPr>
          <w:p w:rsidR="00BE72D1" w:rsidRPr="003C5DE4" w:rsidRDefault="00F21199" w:rsidP="003C5DE4">
            <w:pPr>
              <w:spacing w:before="120"/>
              <w:jc w:val="right"/>
              <w:rPr>
                <w:rFonts w:cs="Arial"/>
                <w:color w:val="000000"/>
                <w:sz w:val="16"/>
                <w:szCs w:val="16"/>
              </w:rPr>
            </w:pPr>
            <w:r>
              <w:rPr>
                <w:rFonts w:cs="Arial"/>
                <w:color w:val="000000"/>
                <w:sz w:val="16"/>
                <w:szCs w:val="16"/>
              </w:rPr>
              <w:t>1,915</w:t>
            </w:r>
          </w:p>
        </w:tc>
        <w:tc>
          <w:tcPr>
            <w:tcW w:w="1357" w:type="dxa"/>
            <w:tcBorders>
              <w:top w:val="nil"/>
              <w:left w:val="nil"/>
              <w:bottom w:val="nil"/>
              <w:right w:val="single" w:sz="4" w:space="0" w:color="auto"/>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1,</w:t>
            </w:r>
            <w:r w:rsidR="00F21199">
              <w:rPr>
                <w:rFonts w:cs="Arial"/>
                <w:color w:val="000000"/>
                <w:sz w:val="16"/>
                <w:szCs w:val="16"/>
              </w:rPr>
              <w:t>809</w:t>
            </w:r>
          </w:p>
        </w:tc>
      </w:tr>
      <w:tr w:rsidR="003C5DE4" w:rsidRPr="003C5DE4" w:rsidTr="003C5DE4">
        <w:tc>
          <w:tcPr>
            <w:tcW w:w="714" w:type="dxa"/>
            <w:tcBorders>
              <w:top w:val="nil"/>
              <w:left w:val="single" w:sz="4" w:space="0" w:color="auto"/>
              <w:bottom w:val="nil"/>
              <w:right w:val="nil"/>
            </w:tcBorders>
            <w:shd w:val="clear" w:color="000000" w:fill="FFFFFF"/>
            <w:noWrap/>
            <w:hideMark/>
          </w:tcPr>
          <w:p w:rsidR="00BE72D1" w:rsidRPr="003C5DE4" w:rsidRDefault="00BE72D1" w:rsidP="003C5DE4">
            <w:pPr>
              <w:spacing w:before="120"/>
              <w:jc w:val="center"/>
              <w:rPr>
                <w:rFonts w:cs="Arial"/>
                <w:color w:val="000000"/>
                <w:sz w:val="16"/>
                <w:szCs w:val="16"/>
              </w:rPr>
            </w:pPr>
            <w:r w:rsidRPr="003C5DE4">
              <w:rPr>
                <w:rFonts w:cs="Arial"/>
                <w:color w:val="000000"/>
                <w:sz w:val="16"/>
                <w:szCs w:val="16"/>
              </w:rPr>
              <w:t>III.11</w:t>
            </w:r>
          </w:p>
        </w:tc>
        <w:tc>
          <w:tcPr>
            <w:tcW w:w="4673" w:type="dxa"/>
            <w:tcBorders>
              <w:top w:val="nil"/>
              <w:left w:val="nil"/>
              <w:bottom w:val="nil"/>
              <w:right w:val="nil"/>
            </w:tcBorders>
            <w:shd w:val="clear" w:color="000000" w:fill="FFFFFF"/>
            <w:hideMark/>
          </w:tcPr>
          <w:p w:rsidR="00BE72D1" w:rsidRPr="003C5DE4" w:rsidRDefault="00BE72D1" w:rsidP="003C5DE4">
            <w:pPr>
              <w:spacing w:before="120"/>
              <w:rPr>
                <w:rFonts w:cs="Arial"/>
                <w:color w:val="000000"/>
                <w:sz w:val="16"/>
                <w:szCs w:val="16"/>
              </w:rPr>
            </w:pPr>
            <w:r w:rsidRPr="003C5DE4">
              <w:rPr>
                <w:rFonts w:cs="Arial"/>
                <w:color w:val="000000"/>
                <w:sz w:val="16"/>
                <w:szCs w:val="16"/>
              </w:rPr>
              <w:t>Increased understanding / capacity of SMEs to successfully use IP to support innovation and commercialization</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 xml:space="preserve">5,253 </w:t>
            </w:r>
          </w:p>
        </w:tc>
        <w:tc>
          <w:tcPr>
            <w:tcW w:w="1357" w:type="dxa"/>
            <w:tcBorders>
              <w:top w:val="nil"/>
              <w:left w:val="nil"/>
              <w:bottom w:val="nil"/>
              <w:right w:val="nil"/>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3,7</w:t>
            </w:r>
            <w:r w:rsidR="00F21199">
              <w:rPr>
                <w:rFonts w:cs="Arial"/>
                <w:color w:val="000000"/>
                <w:sz w:val="16"/>
                <w:szCs w:val="16"/>
              </w:rPr>
              <w:t>24</w:t>
            </w:r>
          </w:p>
        </w:tc>
        <w:tc>
          <w:tcPr>
            <w:tcW w:w="1357" w:type="dxa"/>
            <w:tcBorders>
              <w:top w:val="nil"/>
              <w:left w:val="nil"/>
              <w:bottom w:val="nil"/>
              <w:right w:val="single" w:sz="4" w:space="0" w:color="auto"/>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3,1</w:t>
            </w:r>
            <w:r w:rsidR="00F21199">
              <w:rPr>
                <w:rFonts w:cs="Arial"/>
                <w:color w:val="000000"/>
                <w:sz w:val="16"/>
                <w:szCs w:val="16"/>
              </w:rPr>
              <w:t>71</w:t>
            </w:r>
          </w:p>
        </w:tc>
      </w:tr>
      <w:tr w:rsidR="003C5DE4" w:rsidRPr="003C5DE4" w:rsidTr="003C5DE4">
        <w:tc>
          <w:tcPr>
            <w:tcW w:w="714" w:type="dxa"/>
            <w:tcBorders>
              <w:top w:val="nil"/>
              <w:left w:val="single" w:sz="4" w:space="0" w:color="auto"/>
              <w:bottom w:val="nil"/>
              <w:right w:val="nil"/>
            </w:tcBorders>
            <w:shd w:val="clear" w:color="000000" w:fill="FFFFFF"/>
            <w:noWrap/>
            <w:hideMark/>
          </w:tcPr>
          <w:p w:rsidR="00BE72D1" w:rsidRPr="003C5DE4" w:rsidRDefault="00BE72D1" w:rsidP="003C5DE4">
            <w:pPr>
              <w:spacing w:before="120"/>
              <w:jc w:val="center"/>
              <w:rPr>
                <w:rFonts w:cs="Arial"/>
                <w:color w:val="000000"/>
                <w:sz w:val="16"/>
                <w:szCs w:val="16"/>
              </w:rPr>
            </w:pPr>
            <w:r w:rsidRPr="003C5DE4">
              <w:rPr>
                <w:rFonts w:cs="Arial"/>
                <w:color w:val="000000"/>
                <w:sz w:val="16"/>
                <w:szCs w:val="16"/>
              </w:rPr>
              <w:t>IV.2</w:t>
            </w:r>
          </w:p>
        </w:tc>
        <w:tc>
          <w:tcPr>
            <w:tcW w:w="4673" w:type="dxa"/>
            <w:tcBorders>
              <w:top w:val="nil"/>
              <w:left w:val="nil"/>
              <w:bottom w:val="nil"/>
              <w:right w:val="nil"/>
            </w:tcBorders>
            <w:shd w:val="clear" w:color="000000" w:fill="FFFFFF"/>
            <w:hideMark/>
          </w:tcPr>
          <w:p w:rsidR="00BE72D1" w:rsidRPr="003C5DE4" w:rsidRDefault="00BE72D1" w:rsidP="003C5DE4">
            <w:pPr>
              <w:spacing w:before="120"/>
              <w:rPr>
                <w:rFonts w:cs="Arial"/>
                <w:color w:val="000000"/>
                <w:sz w:val="16"/>
                <w:szCs w:val="16"/>
              </w:rPr>
            </w:pPr>
            <w:r w:rsidRPr="003C5DE4">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357" w:type="dxa"/>
            <w:tcBorders>
              <w:top w:val="nil"/>
              <w:left w:val="nil"/>
              <w:bottom w:val="nil"/>
              <w:right w:val="nil"/>
            </w:tcBorders>
            <w:shd w:val="clear" w:color="000000" w:fill="FFFFFF"/>
            <w:vAlign w:val="center"/>
            <w:hideMark/>
          </w:tcPr>
          <w:p w:rsidR="00BE72D1" w:rsidRPr="003C5DE4" w:rsidRDefault="00BE72D1" w:rsidP="003C5DE4">
            <w:pPr>
              <w:spacing w:before="120"/>
              <w:jc w:val="right"/>
              <w:rPr>
                <w:rFonts w:cs="Arial"/>
                <w:color w:val="000000"/>
                <w:sz w:val="16"/>
                <w:szCs w:val="16"/>
              </w:rPr>
            </w:pPr>
            <w:r w:rsidRPr="003C5DE4">
              <w:rPr>
                <w:rFonts w:cs="Arial"/>
                <w:color w:val="000000"/>
                <w:sz w:val="16"/>
                <w:szCs w:val="16"/>
              </w:rPr>
              <w:t xml:space="preserve">3,207 </w:t>
            </w:r>
          </w:p>
        </w:tc>
        <w:tc>
          <w:tcPr>
            <w:tcW w:w="1357" w:type="dxa"/>
            <w:tcBorders>
              <w:top w:val="nil"/>
              <w:left w:val="nil"/>
              <w:bottom w:val="nil"/>
              <w:right w:val="nil"/>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2,</w:t>
            </w:r>
            <w:r w:rsidR="00F21199">
              <w:rPr>
                <w:rFonts w:cs="Arial"/>
                <w:color w:val="000000"/>
                <w:sz w:val="16"/>
                <w:szCs w:val="16"/>
              </w:rPr>
              <w:t>873</w:t>
            </w:r>
          </w:p>
        </w:tc>
        <w:tc>
          <w:tcPr>
            <w:tcW w:w="1357" w:type="dxa"/>
            <w:tcBorders>
              <w:top w:val="nil"/>
              <w:left w:val="nil"/>
              <w:bottom w:val="nil"/>
              <w:right w:val="single" w:sz="4" w:space="0" w:color="auto"/>
            </w:tcBorders>
            <w:shd w:val="clear" w:color="000000" w:fill="FFFFFF"/>
            <w:vAlign w:val="center"/>
            <w:hideMark/>
          </w:tcPr>
          <w:p w:rsidR="00BE72D1" w:rsidRPr="003C5DE4" w:rsidRDefault="00BE72D1" w:rsidP="00F21199">
            <w:pPr>
              <w:spacing w:before="120"/>
              <w:jc w:val="right"/>
              <w:rPr>
                <w:rFonts w:cs="Arial"/>
                <w:color w:val="000000"/>
                <w:sz w:val="16"/>
                <w:szCs w:val="16"/>
              </w:rPr>
            </w:pPr>
            <w:r w:rsidRPr="003C5DE4">
              <w:rPr>
                <w:rFonts w:cs="Arial"/>
                <w:color w:val="000000"/>
                <w:sz w:val="16"/>
                <w:szCs w:val="16"/>
              </w:rPr>
              <w:t>1,9</w:t>
            </w:r>
            <w:r w:rsidR="00F21199">
              <w:rPr>
                <w:rFonts w:cs="Arial"/>
                <w:color w:val="000000"/>
                <w:sz w:val="16"/>
                <w:szCs w:val="16"/>
              </w:rPr>
              <w:t>6</w:t>
            </w:r>
            <w:r w:rsidRPr="003C5DE4">
              <w:rPr>
                <w:rFonts w:cs="Arial"/>
                <w:color w:val="000000"/>
                <w:sz w:val="16"/>
                <w:szCs w:val="16"/>
              </w:rPr>
              <w:t>8</w:t>
            </w:r>
          </w:p>
        </w:tc>
      </w:tr>
      <w:tr w:rsidR="003C5DE4" w:rsidRPr="003C5DE4" w:rsidTr="003C5DE4">
        <w:tc>
          <w:tcPr>
            <w:tcW w:w="714" w:type="dxa"/>
            <w:tcBorders>
              <w:top w:val="nil"/>
              <w:left w:val="single" w:sz="4" w:space="0" w:color="auto"/>
              <w:bottom w:val="single" w:sz="4" w:space="0" w:color="auto"/>
              <w:right w:val="nil"/>
            </w:tcBorders>
            <w:shd w:val="clear" w:color="000000" w:fill="FFFFFF"/>
            <w:noWrap/>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VII.3</w:t>
            </w:r>
          </w:p>
        </w:tc>
        <w:tc>
          <w:tcPr>
            <w:tcW w:w="4673" w:type="dxa"/>
            <w:tcBorders>
              <w:top w:val="nil"/>
              <w:left w:val="nil"/>
              <w:bottom w:val="single" w:sz="4" w:space="0" w:color="auto"/>
              <w:right w:val="nil"/>
            </w:tcBorders>
            <w:shd w:val="clear" w:color="000000" w:fill="FFFFFF"/>
            <w:hideMark/>
          </w:tcPr>
          <w:p w:rsidR="00BE72D1" w:rsidRPr="003C5DE4" w:rsidRDefault="00BE72D1" w:rsidP="003C5DE4">
            <w:pPr>
              <w:spacing w:before="120" w:after="120"/>
              <w:rPr>
                <w:rFonts w:cs="Arial"/>
                <w:color w:val="000000"/>
                <w:sz w:val="16"/>
                <w:szCs w:val="16"/>
              </w:rPr>
            </w:pPr>
            <w:r w:rsidRPr="003C5DE4">
              <w:rPr>
                <w:rFonts w:cs="Arial"/>
                <w:color w:val="000000"/>
                <w:sz w:val="16"/>
                <w:szCs w:val="16"/>
              </w:rPr>
              <w:t>IP-based tools are used for technology transfer from developed to developing countries, particularly least developed countries, to address global challenges</w:t>
            </w:r>
          </w:p>
        </w:tc>
        <w:tc>
          <w:tcPr>
            <w:tcW w:w="1357" w:type="dxa"/>
            <w:tcBorders>
              <w:top w:val="nil"/>
              <w:left w:val="nil"/>
              <w:bottom w:val="single" w:sz="4" w:space="0" w:color="auto"/>
              <w:right w:val="nil"/>
            </w:tcBorders>
            <w:shd w:val="clear" w:color="000000" w:fill="FFFFFF"/>
            <w:vAlign w:val="center"/>
            <w:hideMark/>
          </w:tcPr>
          <w:p w:rsidR="00BE72D1" w:rsidRPr="003C5DE4" w:rsidRDefault="00BE72D1" w:rsidP="003C5DE4">
            <w:pPr>
              <w:spacing w:before="120" w:after="120"/>
              <w:jc w:val="right"/>
              <w:rPr>
                <w:rFonts w:cs="Arial"/>
                <w:color w:val="000000"/>
                <w:sz w:val="16"/>
                <w:szCs w:val="16"/>
              </w:rPr>
            </w:pPr>
            <w:r w:rsidRPr="003C5DE4">
              <w:rPr>
                <w:rFonts w:cs="Arial"/>
                <w:color w:val="000000"/>
                <w:sz w:val="16"/>
                <w:szCs w:val="16"/>
              </w:rPr>
              <w:t xml:space="preserve">368 </w:t>
            </w:r>
          </w:p>
        </w:tc>
        <w:tc>
          <w:tcPr>
            <w:tcW w:w="1357" w:type="dxa"/>
            <w:tcBorders>
              <w:top w:val="nil"/>
              <w:left w:val="nil"/>
              <w:bottom w:val="single" w:sz="4" w:space="0" w:color="auto"/>
              <w:right w:val="nil"/>
            </w:tcBorders>
            <w:shd w:val="clear" w:color="000000" w:fill="FFFFFF"/>
            <w:vAlign w:val="center"/>
            <w:hideMark/>
          </w:tcPr>
          <w:p w:rsidR="00BE72D1" w:rsidRPr="003C5DE4" w:rsidRDefault="00F21199" w:rsidP="003C5DE4">
            <w:pPr>
              <w:spacing w:before="120" w:after="120"/>
              <w:jc w:val="right"/>
              <w:rPr>
                <w:rFonts w:cs="Arial"/>
                <w:color w:val="000000"/>
                <w:sz w:val="16"/>
                <w:szCs w:val="16"/>
              </w:rPr>
            </w:pPr>
            <w:r>
              <w:rPr>
                <w:rFonts w:cs="Arial"/>
                <w:color w:val="000000"/>
                <w:sz w:val="16"/>
                <w:szCs w:val="16"/>
              </w:rPr>
              <w:t>574</w:t>
            </w:r>
          </w:p>
        </w:tc>
        <w:tc>
          <w:tcPr>
            <w:tcW w:w="1357" w:type="dxa"/>
            <w:tcBorders>
              <w:top w:val="nil"/>
              <w:left w:val="nil"/>
              <w:bottom w:val="single" w:sz="4" w:space="0" w:color="auto"/>
              <w:right w:val="single" w:sz="4" w:space="0" w:color="auto"/>
            </w:tcBorders>
            <w:shd w:val="clear" w:color="000000" w:fill="FFFFFF"/>
            <w:vAlign w:val="center"/>
            <w:hideMark/>
          </w:tcPr>
          <w:p w:rsidR="00BE72D1" w:rsidRPr="003C5DE4" w:rsidRDefault="00BE72D1" w:rsidP="003C5DE4">
            <w:pPr>
              <w:spacing w:before="120" w:after="120"/>
              <w:jc w:val="right"/>
              <w:rPr>
                <w:rFonts w:cs="Arial"/>
                <w:color w:val="000000"/>
                <w:sz w:val="16"/>
                <w:szCs w:val="16"/>
              </w:rPr>
            </w:pPr>
            <w:r w:rsidRPr="003C5DE4">
              <w:rPr>
                <w:rFonts w:cs="Arial"/>
                <w:color w:val="000000"/>
                <w:sz w:val="16"/>
                <w:szCs w:val="16"/>
              </w:rPr>
              <w:t>45</w:t>
            </w:r>
          </w:p>
        </w:tc>
      </w:tr>
      <w:tr w:rsidR="003C5DE4" w:rsidRPr="003C5DE4" w:rsidTr="003C5DE4">
        <w:tc>
          <w:tcPr>
            <w:tcW w:w="714" w:type="dxa"/>
            <w:tcBorders>
              <w:top w:val="nil"/>
              <w:left w:val="single" w:sz="4" w:space="0" w:color="auto"/>
              <w:bottom w:val="single" w:sz="4" w:space="0" w:color="auto"/>
              <w:right w:val="nil"/>
            </w:tcBorders>
            <w:shd w:val="clear" w:color="000000" w:fill="CCFFFF"/>
            <w:noWrap/>
            <w:vAlign w:val="bottom"/>
            <w:hideMark/>
          </w:tcPr>
          <w:p w:rsidR="00BE72D1" w:rsidRPr="003C5DE4" w:rsidRDefault="00BE72D1" w:rsidP="003C5DE4">
            <w:pPr>
              <w:spacing w:before="120" w:after="120"/>
              <w:jc w:val="center"/>
              <w:rPr>
                <w:rFonts w:cs="Arial"/>
                <w:b/>
                <w:bCs/>
                <w:color w:val="000000"/>
                <w:sz w:val="16"/>
                <w:szCs w:val="16"/>
              </w:rPr>
            </w:pPr>
            <w:r w:rsidRPr="003C5DE4">
              <w:rPr>
                <w:rFonts w:cs="Arial"/>
                <w:b/>
                <w:bCs/>
                <w:color w:val="000000"/>
                <w:sz w:val="16"/>
                <w:szCs w:val="16"/>
              </w:rPr>
              <w:t> </w:t>
            </w:r>
          </w:p>
        </w:tc>
        <w:tc>
          <w:tcPr>
            <w:tcW w:w="4673" w:type="dxa"/>
            <w:tcBorders>
              <w:top w:val="nil"/>
              <w:left w:val="nil"/>
              <w:bottom w:val="single" w:sz="4" w:space="0" w:color="auto"/>
              <w:right w:val="nil"/>
            </w:tcBorders>
            <w:shd w:val="clear" w:color="000000" w:fill="CCFFFF"/>
            <w:noWrap/>
            <w:vAlign w:val="center"/>
            <w:hideMark/>
          </w:tcPr>
          <w:p w:rsidR="00BE72D1" w:rsidRPr="003C5DE4" w:rsidRDefault="00BE72D1" w:rsidP="003C5DE4">
            <w:pPr>
              <w:spacing w:before="120" w:after="120"/>
              <w:rPr>
                <w:rFonts w:cs="Arial"/>
                <w:b/>
                <w:bCs/>
                <w:color w:val="000000"/>
                <w:sz w:val="16"/>
                <w:szCs w:val="16"/>
              </w:rPr>
            </w:pPr>
            <w:r w:rsidRPr="003C5DE4">
              <w:rPr>
                <w:rFonts w:cs="Arial"/>
                <w:b/>
                <w:bCs/>
                <w:color w:val="000000"/>
                <w:sz w:val="16"/>
                <w:szCs w:val="16"/>
              </w:rPr>
              <w:t>Total</w:t>
            </w:r>
          </w:p>
        </w:tc>
        <w:tc>
          <w:tcPr>
            <w:tcW w:w="1357" w:type="dxa"/>
            <w:tcBorders>
              <w:top w:val="nil"/>
              <w:left w:val="single" w:sz="4" w:space="0" w:color="auto"/>
              <w:bottom w:val="single" w:sz="4" w:space="0" w:color="auto"/>
              <w:right w:val="single" w:sz="4" w:space="0" w:color="auto"/>
            </w:tcBorders>
            <w:shd w:val="clear" w:color="000000" w:fill="CCFFFF"/>
            <w:vAlign w:val="center"/>
            <w:hideMark/>
          </w:tcPr>
          <w:p w:rsidR="00BE72D1" w:rsidRPr="003C5DE4" w:rsidRDefault="00BE72D1" w:rsidP="00CD26D6">
            <w:pPr>
              <w:spacing w:before="120" w:after="120"/>
              <w:jc w:val="right"/>
              <w:rPr>
                <w:rFonts w:cs="Arial"/>
                <w:b/>
                <w:bCs/>
                <w:color w:val="000000"/>
                <w:sz w:val="16"/>
                <w:szCs w:val="16"/>
              </w:rPr>
            </w:pPr>
            <w:r w:rsidRPr="003C5DE4">
              <w:rPr>
                <w:rFonts w:cs="Arial"/>
                <w:b/>
                <w:bCs/>
                <w:color w:val="000000"/>
                <w:sz w:val="16"/>
                <w:szCs w:val="16"/>
              </w:rPr>
              <w:t>11,261</w:t>
            </w:r>
          </w:p>
        </w:tc>
        <w:tc>
          <w:tcPr>
            <w:tcW w:w="1357" w:type="dxa"/>
            <w:tcBorders>
              <w:top w:val="nil"/>
              <w:left w:val="nil"/>
              <w:bottom w:val="single" w:sz="4" w:space="0" w:color="auto"/>
              <w:right w:val="single" w:sz="4" w:space="0" w:color="auto"/>
            </w:tcBorders>
            <w:shd w:val="clear" w:color="000000" w:fill="CCFFFF"/>
            <w:noWrap/>
            <w:vAlign w:val="center"/>
            <w:hideMark/>
          </w:tcPr>
          <w:p w:rsidR="00BE72D1" w:rsidRPr="003C5DE4" w:rsidRDefault="00BE72D1" w:rsidP="00F21199">
            <w:pPr>
              <w:spacing w:before="120" w:after="120"/>
              <w:jc w:val="right"/>
              <w:rPr>
                <w:rFonts w:cs="Arial"/>
                <w:b/>
                <w:color w:val="000000"/>
                <w:sz w:val="16"/>
                <w:szCs w:val="16"/>
              </w:rPr>
            </w:pPr>
            <w:r w:rsidRPr="003C5DE4">
              <w:rPr>
                <w:rFonts w:cs="Arial"/>
                <w:b/>
                <w:color w:val="000000"/>
                <w:sz w:val="16"/>
                <w:szCs w:val="16"/>
              </w:rPr>
              <w:t>9,</w:t>
            </w:r>
            <w:r w:rsidR="00F21199">
              <w:rPr>
                <w:rFonts w:cs="Arial"/>
                <w:b/>
                <w:color w:val="000000"/>
                <w:sz w:val="16"/>
                <w:szCs w:val="16"/>
              </w:rPr>
              <w:t>432</w:t>
            </w:r>
          </w:p>
        </w:tc>
        <w:tc>
          <w:tcPr>
            <w:tcW w:w="1357" w:type="dxa"/>
            <w:tcBorders>
              <w:top w:val="nil"/>
              <w:left w:val="nil"/>
              <w:bottom w:val="single" w:sz="4" w:space="0" w:color="auto"/>
              <w:right w:val="single" w:sz="4" w:space="0" w:color="auto"/>
            </w:tcBorders>
            <w:shd w:val="clear" w:color="000000" w:fill="CCFFFF"/>
            <w:vAlign w:val="center"/>
            <w:hideMark/>
          </w:tcPr>
          <w:p w:rsidR="00BE72D1" w:rsidRPr="003C5DE4" w:rsidRDefault="00BE72D1" w:rsidP="00F21199">
            <w:pPr>
              <w:spacing w:before="120" w:after="120"/>
              <w:jc w:val="right"/>
              <w:rPr>
                <w:rFonts w:cs="Arial"/>
                <w:b/>
                <w:color w:val="000000"/>
                <w:sz w:val="16"/>
                <w:szCs w:val="16"/>
              </w:rPr>
            </w:pPr>
            <w:r w:rsidRPr="003C5DE4">
              <w:rPr>
                <w:rFonts w:cs="Arial"/>
                <w:b/>
                <w:color w:val="000000"/>
                <w:sz w:val="16"/>
                <w:szCs w:val="16"/>
              </w:rPr>
              <w:t>7,</w:t>
            </w:r>
            <w:r w:rsidR="00F21199">
              <w:rPr>
                <w:rFonts w:cs="Arial"/>
                <w:b/>
                <w:color w:val="000000"/>
                <w:sz w:val="16"/>
                <w:szCs w:val="16"/>
              </w:rPr>
              <w:t>191</w:t>
            </w:r>
          </w:p>
        </w:tc>
      </w:tr>
    </w:tbl>
    <w:p w:rsidR="003C5DE4" w:rsidRDefault="003C5DE4">
      <w:pPr>
        <w:rPr>
          <w:rFonts w:cs="Arial"/>
          <w:color w:val="000000"/>
          <w:sz w:val="22"/>
          <w:szCs w:val="22"/>
        </w:rPr>
      </w:pPr>
      <w:r>
        <w:rPr>
          <w:color w:val="000000"/>
          <w:sz w:val="22"/>
          <w:szCs w:val="22"/>
        </w:rPr>
        <w:br w:type="page"/>
      </w:r>
    </w:p>
    <w:p w:rsidR="00BE72D1" w:rsidRPr="003C5DE4" w:rsidRDefault="00BE72D1" w:rsidP="00BE72D1">
      <w:pPr>
        <w:pStyle w:val="NormalWeb"/>
        <w:spacing w:before="0" w:beforeAutospacing="0" w:after="0" w:afterAutospacing="0"/>
        <w:jc w:val="center"/>
        <w:rPr>
          <w:sz w:val="20"/>
          <w:szCs w:val="20"/>
        </w:rPr>
      </w:pPr>
      <w:r w:rsidRPr="003C5DE4">
        <w:rPr>
          <w:color w:val="000000"/>
          <w:sz w:val="20"/>
          <w:szCs w:val="20"/>
        </w:rPr>
        <w:lastRenderedPageBreak/>
        <w:t xml:space="preserve">Budget and Actual Expenditure (personnel and non-personnel) </w:t>
      </w:r>
    </w:p>
    <w:p w:rsidR="00BE72D1" w:rsidRPr="003C5DE4" w:rsidRDefault="00BE72D1" w:rsidP="00BE72D1">
      <w:pPr>
        <w:pStyle w:val="NormalWeb"/>
        <w:spacing w:before="0" w:beforeAutospacing="0" w:after="0" w:afterAutospacing="0"/>
        <w:jc w:val="center"/>
        <w:rPr>
          <w:sz w:val="20"/>
          <w:szCs w:val="20"/>
        </w:rPr>
      </w:pPr>
      <w:r w:rsidRPr="003C5DE4">
        <w:rPr>
          <w:i/>
          <w:iCs/>
          <w:color w:val="000000"/>
          <w:sz w:val="20"/>
          <w:szCs w:val="20"/>
        </w:rPr>
        <w:t>(</w:t>
      </w:r>
      <w:proofErr w:type="gramStart"/>
      <w:r w:rsidRPr="003C5DE4">
        <w:rPr>
          <w:i/>
          <w:iCs/>
          <w:color w:val="000000"/>
          <w:sz w:val="20"/>
          <w:szCs w:val="20"/>
        </w:rPr>
        <w:t>in</w:t>
      </w:r>
      <w:proofErr w:type="gramEnd"/>
      <w:r w:rsidRPr="003C5DE4">
        <w:rPr>
          <w:i/>
          <w:iCs/>
          <w:color w:val="000000"/>
          <w:sz w:val="20"/>
          <w:szCs w:val="20"/>
        </w:rPr>
        <w:t xml:space="preserve"> thousands of Swiss francs)</w:t>
      </w:r>
    </w:p>
    <w:p w:rsidR="00BE72D1" w:rsidRPr="003C5DE4" w:rsidRDefault="00BE72D1" w:rsidP="00BE72D1">
      <w:pPr>
        <w:rPr>
          <w:rFonts w:cs="Arial"/>
          <w:szCs w:val="20"/>
        </w:rPr>
      </w:pPr>
    </w:p>
    <w:tbl>
      <w:tblPr>
        <w:tblW w:w="9498" w:type="dxa"/>
        <w:tblInd w:w="108" w:type="dxa"/>
        <w:tblLook w:val="04A0" w:firstRow="1" w:lastRow="0" w:firstColumn="1" w:lastColumn="0" w:noHBand="0" w:noVBand="1"/>
      </w:tblPr>
      <w:tblGrid>
        <w:gridCol w:w="2694"/>
        <w:gridCol w:w="1701"/>
        <w:gridCol w:w="1701"/>
        <w:gridCol w:w="1701"/>
        <w:gridCol w:w="1701"/>
      </w:tblGrid>
      <w:tr w:rsidR="00BE72D1" w:rsidRPr="003C5DE4" w:rsidTr="003C5DE4">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E72D1" w:rsidRPr="003C5DE4" w:rsidRDefault="00BE72D1" w:rsidP="003C5DE4">
            <w:pPr>
              <w:spacing w:before="120" w:after="120"/>
              <w:rPr>
                <w:rFonts w:cs="Arial"/>
                <w:color w:val="000000"/>
                <w:sz w:val="16"/>
                <w:szCs w:val="16"/>
              </w:rPr>
            </w:pPr>
            <w:r w:rsidRPr="003C5DE4">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BE72D1" w:rsidRPr="003C5DE4" w:rsidRDefault="00BE72D1" w:rsidP="003C5DE4">
            <w:pPr>
              <w:spacing w:before="120" w:after="120"/>
              <w:jc w:val="center"/>
              <w:rPr>
                <w:rFonts w:cs="Arial"/>
                <w:bCs/>
                <w:color w:val="000000"/>
                <w:sz w:val="16"/>
                <w:szCs w:val="16"/>
              </w:rPr>
            </w:pPr>
            <w:r w:rsidRPr="003C5DE4">
              <w:rPr>
                <w:rFonts w:cs="Arial"/>
                <w:bCs/>
                <w:color w:val="000000"/>
                <w:sz w:val="16"/>
                <w:szCs w:val="16"/>
              </w:rPr>
              <w:t>Utilization rate (%)</w:t>
            </w:r>
          </w:p>
        </w:tc>
      </w:tr>
      <w:tr w:rsidR="00BE72D1" w:rsidRPr="003C5DE4" w:rsidTr="003C5DE4">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BE72D1" w:rsidRPr="003C5DE4" w:rsidRDefault="00BE72D1" w:rsidP="003C5DE4">
            <w:pPr>
              <w:spacing w:before="120" w:after="120"/>
              <w:rPr>
                <w:rFonts w:cs="Arial"/>
                <w:color w:val="000000"/>
                <w:sz w:val="16"/>
                <w:szCs w:val="16"/>
              </w:rPr>
            </w:pPr>
            <w:r w:rsidRPr="003C5DE4">
              <w:rPr>
                <w:rFonts w:cs="Arial"/>
                <w:color w:val="000000"/>
                <w:sz w:val="16"/>
                <w:szCs w:val="16"/>
              </w:rPr>
              <w:t xml:space="preserve"> 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7,567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5,388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5,388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100%</w:t>
            </w:r>
          </w:p>
        </w:tc>
      </w:tr>
      <w:tr w:rsidR="00BE72D1" w:rsidRPr="003C5DE4" w:rsidTr="003C5DE4">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BE72D1" w:rsidRPr="003C5DE4" w:rsidRDefault="00BE72D1" w:rsidP="003C5DE4">
            <w:pPr>
              <w:spacing w:before="120" w:after="120"/>
              <w:rPr>
                <w:rFonts w:cs="Arial"/>
                <w:color w:val="000000"/>
                <w:sz w:val="16"/>
                <w:szCs w:val="16"/>
              </w:rPr>
            </w:pPr>
            <w:r w:rsidRPr="003C5DE4">
              <w:rPr>
                <w:rFonts w:cs="Arial"/>
                <w:color w:val="000000"/>
                <w:sz w:val="16"/>
                <w:szCs w:val="16"/>
              </w:rPr>
              <w:t xml:space="preserve"> 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3,694</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3,810</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1,659</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color w:val="000000"/>
                <w:sz w:val="16"/>
                <w:szCs w:val="16"/>
              </w:rPr>
            </w:pPr>
            <w:r w:rsidRPr="003C5DE4">
              <w:rPr>
                <w:rFonts w:cs="Arial"/>
                <w:color w:val="000000"/>
                <w:sz w:val="16"/>
                <w:szCs w:val="16"/>
              </w:rPr>
              <w:t>44%</w:t>
            </w:r>
          </w:p>
        </w:tc>
      </w:tr>
      <w:tr w:rsidR="00BE72D1" w:rsidRPr="003C5DE4" w:rsidTr="003C5DE4">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BE72D1" w:rsidRPr="003C5DE4" w:rsidRDefault="00BE72D1" w:rsidP="003C5DE4">
            <w:pPr>
              <w:spacing w:before="120" w:after="120"/>
              <w:jc w:val="right"/>
              <w:rPr>
                <w:rFonts w:cs="Arial"/>
                <w:b/>
                <w:bCs/>
                <w:color w:val="000000"/>
                <w:sz w:val="16"/>
                <w:szCs w:val="16"/>
              </w:rPr>
            </w:pPr>
            <w:r w:rsidRPr="003C5DE4">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b/>
                <w:bCs/>
                <w:color w:val="000000"/>
                <w:sz w:val="16"/>
                <w:szCs w:val="16"/>
              </w:rPr>
            </w:pPr>
            <w:r w:rsidRPr="003C5DE4">
              <w:rPr>
                <w:rFonts w:cs="Arial"/>
                <w:b/>
                <w:bCs/>
                <w:color w:val="000000"/>
                <w:sz w:val="16"/>
                <w:szCs w:val="16"/>
              </w:rPr>
              <w:t>11,261</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F21199">
            <w:pPr>
              <w:spacing w:before="120" w:after="120"/>
              <w:jc w:val="center"/>
              <w:rPr>
                <w:rFonts w:cs="Arial"/>
                <w:b/>
                <w:bCs/>
                <w:color w:val="000000"/>
                <w:sz w:val="16"/>
                <w:szCs w:val="16"/>
              </w:rPr>
            </w:pPr>
            <w:r w:rsidRPr="003C5DE4">
              <w:rPr>
                <w:rFonts w:cs="Arial"/>
                <w:b/>
                <w:bCs/>
                <w:color w:val="000000"/>
                <w:sz w:val="16"/>
                <w:szCs w:val="16"/>
              </w:rPr>
              <w:t>9,</w:t>
            </w:r>
            <w:r w:rsidR="00F21199">
              <w:rPr>
                <w:rFonts w:cs="Arial"/>
                <w:b/>
                <w:bCs/>
                <w:color w:val="000000"/>
                <w:sz w:val="16"/>
                <w:szCs w:val="16"/>
              </w:rPr>
              <w:t>342</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F21199" w:rsidP="003C5DE4">
            <w:pPr>
              <w:spacing w:before="120" w:after="120"/>
              <w:jc w:val="center"/>
              <w:rPr>
                <w:rFonts w:cs="Arial"/>
                <w:b/>
                <w:bCs/>
                <w:color w:val="000000"/>
                <w:sz w:val="16"/>
                <w:szCs w:val="16"/>
              </w:rPr>
            </w:pPr>
            <w:r>
              <w:rPr>
                <w:rFonts w:cs="Arial"/>
                <w:b/>
                <w:bCs/>
                <w:color w:val="000000"/>
                <w:sz w:val="16"/>
                <w:szCs w:val="16"/>
              </w:rPr>
              <w:t>7,191</w:t>
            </w:r>
          </w:p>
        </w:tc>
        <w:tc>
          <w:tcPr>
            <w:tcW w:w="1701" w:type="dxa"/>
            <w:tcBorders>
              <w:top w:val="nil"/>
              <w:left w:val="nil"/>
              <w:bottom w:val="single" w:sz="4" w:space="0" w:color="auto"/>
              <w:right w:val="single" w:sz="4" w:space="0" w:color="auto"/>
            </w:tcBorders>
            <w:shd w:val="clear" w:color="auto" w:fill="auto"/>
            <w:vAlign w:val="center"/>
            <w:hideMark/>
          </w:tcPr>
          <w:p w:rsidR="00BE72D1" w:rsidRPr="003C5DE4" w:rsidRDefault="00BE72D1" w:rsidP="003C5DE4">
            <w:pPr>
              <w:spacing w:before="120" w:after="120"/>
              <w:jc w:val="center"/>
              <w:rPr>
                <w:rFonts w:cs="Arial"/>
                <w:b/>
                <w:bCs/>
                <w:color w:val="000000"/>
                <w:sz w:val="16"/>
                <w:szCs w:val="16"/>
              </w:rPr>
            </w:pPr>
            <w:r w:rsidRPr="003C5DE4">
              <w:rPr>
                <w:rFonts w:cs="Arial"/>
                <w:b/>
                <w:bCs/>
                <w:color w:val="000000"/>
                <w:sz w:val="16"/>
                <w:szCs w:val="16"/>
              </w:rPr>
              <w:t>77%</w:t>
            </w:r>
          </w:p>
        </w:tc>
      </w:tr>
    </w:tbl>
    <w:p w:rsidR="00BE72D1" w:rsidRDefault="00BE72D1" w:rsidP="00BE72D1">
      <w:pPr>
        <w:keepNext/>
        <w:autoSpaceDE w:val="0"/>
        <w:autoSpaceDN w:val="0"/>
        <w:rPr>
          <w:sz w:val="16"/>
          <w:szCs w:val="16"/>
        </w:rPr>
      </w:pPr>
    </w:p>
    <w:p w:rsidR="00BE72D1" w:rsidRDefault="00BE72D1" w:rsidP="00BE72D1">
      <w:pPr>
        <w:keepNext/>
        <w:autoSpaceDE w:val="0"/>
        <w:autoSpaceDN w:val="0"/>
        <w:rPr>
          <w:sz w:val="16"/>
          <w:szCs w:val="16"/>
        </w:rPr>
      </w:pPr>
      <w:r>
        <w:rPr>
          <w:sz w:val="16"/>
          <w:szCs w:val="16"/>
        </w:rPr>
        <w:t>NOTES:</w:t>
      </w:r>
    </w:p>
    <w:p w:rsidR="00BC6547" w:rsidRDefault="00BC6547" w:rsidP="00BE72D1">
      <w:pPr>
        <w:keepNext/>
        <w:autoSpaceDE w:val="0"/>
        <w:autoSpaceDN w:val="0"/>
        <w:rPr>
          <w:sz w:val="16"/>
          <w:szCs w:val="16"/>
        </w:rPr>
      </w:pPr>
    </w:p>
    <w:p w:rsidR="00BE72D1" w:rsidRDefault="00BE72D1" w:rsidP="00BE72D1">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3C5DE4" w:rsidRDefault="003C5DE4" w:rsidP="00BE72D1">
      <w:pPr>
        <w:keepNext/>
        <w:autoSpaceDE w:val="0"/>
        <w:autoSpaceDN w:val="0"/>
        <w:rPr>
          <w:sz w:val="16"/>
          <w:szCs w:val="16"/>
        </w:rPr>
      </w:pPr>
    </w:p>
    <w:p w:rsidR="00BE72D1" w:rsidRDefault="00DC2CFA" w:rsidP="00BE72D1">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BE72D1">
        <w:rPr>
          <w:sz w:val="16"/>
          <w:szCs w:val="16"/>
        </w:rPr>
        <w:t xml:space="preserve"> </w:t>
      </w:r>
    </w:p>
    <w:p w:rsidR="00BE72D1" w:rsidRDefault="00BE72D1" w:rsidP="00BE72D1">
      <w:pPr>
        <w:keepNext/>
        <w:autoSpaceDE w:val="0"/>
        <w:autoSpaceDN w:val="0"/>
        <w:rPr>
          <w:sz w:val="16"/>
          <w:szCs w:val="16"/>
        </w:rPr>
      </w:pPr>
    </w:p>
    <w:p w:rsidR="00BE72D1" w:rsidRDefault="00BE72D1" w:rsidP="00BE72D1">
      <w:pPr>
        <w:rPr>
          <w:rFonts w:cs="Arial"/>
          <w:szCs w:val="20"/>
        </w:rPr>
      </w:pPr>
    </w:p>
    <w:p w:rsidR="00BE72D1" w:rsidRPr="003C5DE4" w:rsidRDefault="00BE72D1" w:rsidP="003C5DE4">
      <w:pPr>
        <w:tabs>
          <w:tab w:val="left" w:pos="709"/>
        </w:tabs>
        <w:rPr>
          <w:rFonts w:cs="Arial"/>
          <w:szCs w:val="20"/>
        </w:rPr>
      </w:pPr>
      <w:r w:rsidRPr="00DD4059">
        <w:rPr>
          <w:rFonts w:cs="Arial"/>
          <w:szCs w:val="20"/>
        </w:rPr>
        <w:t>A.</w:t>
      </w:r>
      <w:r w:rsidR="003C5DE4">
        <w:rPr>
          <w:rFonts w:cs="Arial"/>
          <w:szCs w:val="20"/>
        </w:rPr>
        <w:tab/>
      </w:r>
      <w:r w:rsidRPr="00DD4059">
        <w:rPr>
          <w:rFonts w:cs="Arial"/>
          <w:szCs w:val="20"/>
          <w:u w:val="single"/>
        </w:rPr>
        <w:t xml:space="preserve">Budget after Transfers 2012/13 </w:t>
      </w:r>
    </w:p>
    <w:p w:rsidR="00BE72D1" w:rsidRPr="00DD4059" w:rsidRDefault="00BE72D1" w:rsidP="00BE72D1">
      <w:pPr>
        <w:rPr>
          <w:rFonts w:cs="Arial"/>
          <w:szCs w:val="20"/>
          <w:u w:val="single"/>
        </w:rPr>
      </w:pPr>
    </w:p>
    <w:p w:rsidR="00BE72D1" w:rsidRDefault="003C5DE4" w:rsidP="003C5DE4">
      <w:pPr>
        <w:tabs>
          <w:tab w:val="left" w:pos="709"/>
        </w:tabs>
        <w:jc w:val="both"/>
        <w:rPr>
          <w:rFonts w:cs="Arial"/>
          <w:szCs w:val="20"/>
        </w:rPr>
      </w:pPr>
      <w:r>
        <w:rPr>
          <w:rFonts w:cs="Arial"/>
          <w:szCs w:val="20"/>
        </w:rPr>
        <w:t>30.9.</w:t>
      </w:r>
      <w:r>
        <w:rPr>
          <w:rFonts w:cs="Arial"/>
          <w:szCs w:val="20"/>
        </w:rPr>
        <w:tab/>
      </w:r>
      <w:r w:rsidR="00BE72D1" w:rsidRPr="00DD4059">
        <w:rPr>
          <w:rFonts w:cs="Arial"/>
          <w:szCs w:val="20"/>
        </w:rPr>
        <w:t xml:space="preserve">The overall net decrease in resources allocated to the Program </w:t>
      </w:r>
      <w:r w:rsidR="00BE72D1">
        <w:rPr>
          <w:rFonts w:cs="Arial"/>
          <w:szCs w:val="20"/>
        </w:rPr>
        <w:t xml:space="preserve">reflects the combination of: </w:t>
      </w:r>
      <w:r w:rsidR="00BC6547">
        <w:rPr>
          <w:rFonts w:cs="Arial"/>
          <w:szCs w:val="20"/>
        </w:rPr>
        <w:t xml:space="preserve"> (</w:t>
      </w:r>
      <w:r w:rsidR="001B0411">
        <w:rPr>
          <w:rFonts w:cs="Arial"/>
          <w:szCs w:val="20"/>
        </w:rPr>
        <w:t>i</w:t>
      </w:r>
      <w:r w:rsidR="00BC6547">
        <w:rPr>
          <w:rFonts w:cs="Arial"/>
          <w:szCs w:val="20"/>
        </w:rPr>
        <w:t>) </w:t>
      </w:r>
      <w:r w:rsidR="00BE72D1" w:rsidRPr="00DD4059">
        <w:rPr>
          <w:rFonts w:cs="Arial"/>
          <w:szCs w:val="20"/>
        </w:rPr>
        <w:t>re-deployment of personnel to other Programs</w:t>
      </w:r>
      <w:r w:rsidR="00BE72D1">
        <w:rPr>
          <w:rFonts w:cs="Arial"/>
          <w:szCs w:val="20"/>
        </w:rPr>
        <w:t>;</w:t>
      </w:r>
      <w:r w:rsidR="00BE72D1" w:rsidRPr="00DD4059">
        <w:rPr>
          <w:rFonts w:cs="Arial"/>
          <w:szCs w:val="20"/>
        </w:rPr>
        <w:t xml:space="preserve"> </w:t>
      </w:r>
      <w:r w:rsidR="00BC6547">
        <w:rPr>
          <w:rFonts w:cs="Arial"/>
          <w:szCs w:val="20"/>
        </w:rPr>
        <w:t xml:space="preserve"> (</w:t>
      </w:r>
      <w:r w:rsidR="001B0411">
        <w:rPr>
          <w:rFonts w:cs="Arial"/>
          <w:szCs w:val="20"/>
        </w:rPr>
        <w:t>ii</w:t>
      </w:r>
      <w:r w:rsidR="00BE72D1">
        <w:rPr>
          <w:rFonts w:cs="Arial"/>
          <w:szCs w:val="20"/>
        </w:rPr>
        <w:t xml:space="preserve">) </w:t>
      </w:r>
      <w:r w:rsidR="00BE72D1" w:rsidRPr="00DD4059">
        <w:rPr>
          <w:rFonts w:cs="Arial"/>
          <w:szCs w:val="20"/>
        </w:rPr>
        <w:t>vacant posts and positions</w:t>
      </w:r>
      <w:r w:rsidR="00BE72D1">
        <w:rPr>
          <w:rFonts w:cs="Arial"/>
          <w:szCs w:val="20"/>
        </w:rPr>
        <w:t>;</w:t>
      </w:r>
      <w:r w:rsidR="00BE72D1" w:rsidRPr="00DD4059">
        <w:rPr>
          <w:rFonts w:cs="Arial"/>
          <w:szCs w:val="20"/>
        </w:rPr>
        <w:t xml:space="preserve"> </w:t>
      </w:r>
      <w:r w:rsidR="00BC6547">
        <w:rPr>
          <w:rFonts w:cs="Arial"/>
          <w:szCs w:val="20"/>
        </w:rPr>
        <w:t xml:space="preserve"> </w:t>
      </w:r>
      <w:r w:rsidR="00BE72D1" w:rsidRPr="00DD4059">
        <w:rPr>
          <w:rFonts w:cs="Arial"/>
          <w:szCs w:val="20"/>
        </w:rPr>
        <w:t xml:space="preserve">and </w:t>
      </w:r>
      <w:r w:rsidR="00BC6547">
        <w:rPr>
          <w:rFonts w:cs="Arial"/>
          <w:szCs w:val="20"/>
        </w:rPr>
        <w:t>(</w:t>
      </w:r>
      <w:r w:rsidR="001B0411">
        <w:rPr>
          <w:rFonts w:cs="Arial"/>
          <w:szCs w:val="20"/>
        </w:rPr>
        <w:t>iii</w:t>
      </w:r>
      <w:r w:rsidR="00BE72D1">
        <w:rPr>
          <w:rFonts w:cs="Arial"/>
          <w:szCs w:val="20"/>
        </w:rPr>
        <w:t xml:space="preserve">) </w:t>
      </w:r>
      <w:r w:rsidR="00BE72D1" w:rsidRPr="00DD4059">
        <w:rPr>
          <w:rFonts w:cs="Arial"/>
          <w:szCs w:val="20"/>
        </w:rPr>
        <w:t>an increase in non-personnel resources related to the DA project on IP and Technology Transfer: Common Challenges Building Solutions. This is reflected under Results III.2 (Enhanced human resource capacities), III.11 (Increased understanding/capacity of SMEs) and IV.2 (Enhanced access to, and use of, IP information and knowledge)</w:t>
      </w:r>
      <w:r w:rsidR="00BE72D1">
        <w:rPr>
          <w:rFonts w:cs="Arial"/>
          <w:szCs w:val="20"/>
        </w:rPr>
        <w:t>.</w:t>
      </w:r>
    </w:p>
    <w:p w:rsidR="00BE72D1" w:rsidRDefault="00BE72D1" w:rsidP="003C5DE4">
      <w:pPr>
        <w:tabs>
          <w:tab w:val="left" w:pos="709"/>
        </w:tabs>
        <w:jc w:val="both"/>
        <w:rPr>
          <w:rFonts w:cs="Arial"/>
          <w:szCs w:val="20"/>
        </w:rPr>
      </w:pPr>
    </w:p>
    <w:p w:rsidR="00BE72D1" w:rsidRDefault="003C5DE4" w:rsidP="003C5DE4">
      <w:pPr>
        <w:tabs>
          <w:tab w:val="left" w:pos="709"/>
        </w:tabs>
        <w:jc w:val="both"/>
        <w:rPr>
          <w:rFonts w:cs="Arial"/>
          <w:szCs w:val="20"/>
        </w:rPr>
      </w:pPr>
      <w:r>
        <w:rPr>
          <w:rFonts w:cs="Arial"/>
          <w:szCs w:val="20"/>
        </w:rPr>
        <w:t>30.10.</w:t>
      </w:r>
      <w:r>
        <w:rPr>
          <w:rFonts w:cs="Arial"/>
          <w:szCs w:val="20"/>
        </w:rPr>
        <w:tab/>
      </w:r>
      <w:r w:rsidR="00BE72D1">
        <w:rPr>
          <w:rFonts w:cs="Arial"/>
          <w:szCs w:val="20"/>
        </w:rPr>
        <w:t>The</w:t>
      </w:r>
      <w:r w:rsidR="00BE72D1" w:rsidRPr="00DD4059">
        <w:rPr>
          <w:rFonts w:cs="Arial"/>
          <w:szCs w:val="20"/>
        </w:rPr>
        <w:t xml:space="preserve"> increase </w:t>
      </w:r>
      <w:r w:rsidR="00BE72D1">
        <w:rPr>
          <w:rFonts w:cs="Arial"/>
          <w:szCs w:val="20"/>
        </w:rPr>
        <w:t>in</w:t>
      </w:r>
      <w:r w:rsidR="00BE72D1" w:rsidRPr="00DD4059">
        <w:rPr>
          <w:rFonts w:cs="Arial"/>
          <w:szCs w:val="20"/>
        </w:rPr>
        <w:t xml:space="preserve"> non-personnel resources under Result VII.3 (Usage of IP-based tools for technology transfer)</w:t>
      </w:r>
      <w:r w:rsidR="00BE72D1">
        <w:rPr>
          <w:rFonts w:cs="Arial"/>
          <w:szCs w:val="20"/>
        </w:rPr>
        <w:t xml:space="preserve"> was </w:t>
      </w:r>
      <w:r w:rsidR="00BE72D1" w:rsidRPr="00DD4059">
        <w:rPr>
          <w:rFonts w:cs="Arial"/>
          <w:szCs w:val="20"/>
        </w:rPr>
        <w:t>due to the reassignment of certain activities related to open collaborative projects and IP-based models under this Result, which were previously under Result IV.2 (Enhanced access to, and use of, IP information and knowledge).</w:t>
      </w:r>
    </w:p>
    <w:p w:rsidR="00BE72D1" w:rsidRPr="00DD4059" w:rsidRDefault="00BE72D1" w:rsidP="003C5DE4">
      <w:pPr>
        <w:tabs>
          <w:tab w:val="left" w:pos="709"/>
        </w:tabs>
        <w:rPr>
          <w:rFonts w:cs="Arial"/>
          <w:szCs w:val="20"/>
        </w:rPr>
      </w:pPr>
    </w:p>
    <w:p w:rsidR="00BE72D1" w:rsidRDefault="00BE72D1" w:rsidP="003C5DE4">
      <w:pPr>
        <w:tabs>
          <w:tab w:val="left" w:pos="709"/>
        </w:tabs>
        <w:rPr>
          <w:rFonts w:cs="Arial"/>
          <w:szCs w:val="20"/>
        </w:rPr>
      </w:pPr>
      <w:r w:rsidRPr="00DD4059">
        <w:rPr>
          <w:rFonts w:cs="Arial"/>
          <w:szCs w:val="20"/>
        </w:rPr>
        <w:t>B.</w:t>
      </w:r>
      <w:r w:rsidR="003C5DE4">
        <w:rPr>
          <w:rFonts w:cs="Arial"/>
          <w:szCs w:val="20"/>
        </w:rPr>
        <w:tab/>
      </w:r>
      <w:r w:rsidRPr="00DD4059">
        <w:rPr>
          <w:rFonts w:cs="Arial"/>
          <w:szCs w:val="20"/>
          <w:u w:val="single"/>
        </w:rPr>
        <w:t xml:space="preserve">Budget </w:t>
      </w:r>
      <w:r w:rsidR="00BC6547">
        <w:rPr>
          <w:rFonts w:cs="Arial"/>
          <w:szCs w:val="20"/>
          <w:u w:val="single"/>
        </w:rPr>
        <w:t>U</w:t>
      </w:r>
      <w:r w:rsidRPr="00DD4059">
        <w:rPr>
          <w:rFonts w:cs="Arial"/>
          <w:szCs w:val="20"/>
          <w:u w:val="single"/>
        </w:rPr>
        <w:t>tilization 2012/13</w:t>
      </w:r>
      <w:r w:rsidRPr="00DD4059">
        <w:rPr>
          <w:rFonts w:cs="Arial"/>
          <w:szCs w:val="20"/>
        </w:rPr>
        <w:t xml:space="preserve"> </w:t>
      </w:r>
    </w:p>
    <w:p w:rsidR="00BE72D1" w:rsidRPr="00DD4059" w:rsidRDefault="00BE72D1" w:rsidP="003C5DE4">
      <w:pPr>
        <w:tabs>
          <w:tab w:val="left" w:pos="709"/>
        </w:tabs>
        <w:rPr>
          <w:rFonts w:cs="Arial"/>
          <w:szCs w:val="20"/>
        </w:rPr>
      </w:pPr>
    </w:p>
    <w:p w:rsidR="00BE72D1" w:rsidRDefault="003C5DE4" w:rsidP="003C5DE4">
      <w:pPr>
        <w:tabs>
          <w:tab w:val="left" w:pos="709"/>
        </w:tabs>
        <w:jc w:val="both"/>
      </w:pPr>
      <w:r>
        <w:rPr>
          <w:rFonts w:cs="Arial"/>
          <w:color w:val="000000"/>
          <w:szCs w:val="20"/>
        </w:rPr>
        <w:t>30.11.</w:t>
      </w:r>
      <w:r>
        <w:rPr>
          <w:rFonts w:cs="Arial"/>
          <w:color w:val="000000"/>
          <w:szCs w:val="20"/>
        </w:rPr>
        <w:tab/>
      </w:r>
      <w:r w:rsidR="00BE72D1" w:rsidRPr="00DD4059">
        <w:rPr>
          <w:rFonts w:cs="Arial"/>
          <w:color w:val="000000"/>
          <w:szCs w:val="20"/>
        </w:rPr>
        <w:t>The low resource utilization under non-personnel re</w:t>
      </w:r>
      <w:r w:rsidR="00BE72D1">
        <w:rPr>
          <w:rFonts w:cs="Arial"/>
          <w:color w:val="000000"/>
          <w:szCs w:val="20"/>
        </w:rPr>
        <w:t>sources was primarily due to the overall</w:t>
      </w:r>
      <w:r w:rsidR="00BE72D1" w:rsidRPr="00DD4059">
        <w:rPr>
          <w:rFonts w:cs="Arial"/>
          <w:color w:val="000000"/>
          <w:szCs w:val="20"/>
        </w:rPr>
        <w:t xml:space="preserve"> slower than expected pace of implementation of activities due to the restructuring of the Innovation Division.  </w:t>
      </w:r>
      <w:r w:rsidR="00BE72D1">
        <w:rPr>
          <w:rFonts w:cs="Arial"/>
          <w:color w:val="000000"/>
          <w:szCs w:val="20"/>
        </w:rPr>
        <w:t>Also, i</w:t>
      </w:r>
      <w:r w:rsidR="00BE72D1" w:rsidRPr="00DD4059">
        <w:rPr>
          <w:rFonts w:cs="Arial"/>
          <w:color w:val="000000"/>
          <w:szCs w:val="20"/>
        </w:rPr>
        <w:t>mplementation of the activities related to DA projects under Results III.2 (Enhanced human resource capacities) and SMEs under Results III.11 (Increased understanding</w:t>
      </w:r>
      <w:r w:rsidR="00BE72D1">
        <w:rPr>
          <w:rFonts w:cs="Arial"/>
          <w:color w:val="000000"/>
          <w:szCs w:val="20"/>
        </w:rPr>
        <w:t>/</w:t>
      </w:r>
      <w:r w:rsidR="00BE72D1" w:rsidRPr="00DD4059">
        <w:rPr>
          <w:rFonts w:cs="Arial"/>
          <w:color w:val="000000"/>
          <w:szCs w:val="20"/>
        </w:rPr>
        <w:t xml:space="preserve">capacity of SMEs) </w:t>
      </w:r>
      <w:r w:rsidR="00BE72D1">
        <w:rPr>
          <w:rFonts w:cs="Arial"/>
          <w:color w:val="000000"/>
          <w:szCs w:val="20"/>
        </w:rPr>
        <w:t>was delayed</w:t>
      </w:r>
      <w:r w:rsidR="00BE72D1" w:rsidRPr="00DD4059">
        <w:rPr>
          <w:rFonts w:cs="Arial"/>
          <w:color w:val="000000"/>
          <w:szCs w:val="20"/>
        </w:rPr>
        <w:t>.  The WIPO Development Agenda Project on Intellectual Property and Technology Transfer:  “Common Challenges – Building Solutions” – Recommendations 19, 25, 26 and 28, and “</w:t>
      </w:r>
      <w:r w:rsidR="00BE72D1" w:rsidRPr="00E02CEF">
        <w:rPr>
          <w:rFonts w:cs="Arial"/>
          <w:color w:val="000000"/>
          <w:szCs w:val="20"/>
        </w:rPr>
        <w:t>Open Collaborative Projects and IP-Based Models</w:t>
      </w:r>
      <w:r w:rsidR="00BE72D1" w:rsidRPr="00DD4059">
        <w:rPr>
          <w:rFonts w:cs="Arial"/>
          <w:color w:val="000000"/>
          <w:szCs w:val="20"/>
        </w:rPr>
        <w:t>” –</w:t>
      </w:r>
      <w:r w:rsidR="00BE72D1">
        <w:rPr>
          <w:rFonts w:cs="Arial"/>
          <w:color w:val="000000"/>
          <w:szCs w:val="20"/>
        </w:rPr>
        <w:t xml:space="preserve"> Recommendation 36</w:t>
      </w:r>
      <w:r w:rsidR="00BE72D1" w:rsidRPr="00DD4059">
        <w:rPr>
          <w:rFonts w:cs="Arial"/>
          <w:color w:val="000000"/>
          <w:szCs w:val="20"/>
        </w:rPr>
        <w:t xml:space="preserve"> will con</w:t>
      </w:r>
      <w:r w:rsidR="00BE72D1">
        <w:rPr>
          <w:rFonts w:cs="Arial"/>
          <w:color w:val="000000"/>
          <w:szCs w:val="20"/>
        </w:rPr>
        <w:t xml:space="preserve">tinue to be implemented in 2014, but will be managed by </w:t>
      </w:r>
      <w:r w:rsidR="00BE72D1" w:rsidRPr="00DD4059">
        <w:rPr>
          <w:rFonts w:cs="Arial"/>
          <w:color w:val="000000"/>
          <w:szCs w:val="20"/>
        </w:rPr>
        <w:t>Program 5.</w:t>
      </w:r>
      <w:r w:rsidR="00BE72D1">
        <w:t xml:space="preserve"> </w:t>
      </w:r>
    </w:p>
    <w:p w:rsidR="00BE72D1" w:rsidRPr="00996F8B" w:rsidRDefault="00BE72D1" w:rsidP="00BE72D1">
      <w:pPr>
        <w:jc w:val="both"/>
        <w:rPr>
          <w:rFonts w:cs="Arial"/>
        </w:rPr>
      </w:pPr>
    </w:p>
    <w:p w:rsidR="00BE72D1" w:rsidRDefault="00BE72D1"/>
    <w:p w:rsidR="006F036E" w:rsidRDefault="006F036E">
      <w:pPr>
        <w:rPr>
          <w:rFonts w:ascii="Arial Bold" w:hAnsi="Arial Bold" w:cs="Arial"/>
          <w:b/>
          <w:bCs/>
          <w:iCs/>
          <w:caps/>
          <w:sz w:val="22"/>
          <w:szCs w:val="28"/>
        </w:rPr>
      </w:pPr>
      <w:r>
        <w:br w:type="page"/>
      </w:r>
    </w:p>
    <w:p w:rsidR="00121D79" w:rsidRPr="00681EDE" w:rsidRDefault="00121D79">
      <w:pPr>
        <w:pStyle w:val="Heading2"/>
      </w:pPr>
      <w:bookmarkStart w:id="36" w:name="_Toc301357255"/>
      <w:bookmarkStart w:id="37" w:name="_Toc393956057"/>
      <w:r w:rsidRPr="00CD26D6">
        <w:rPr>
          <w:rStyle w:val="StyleStyleHeading3ComplexItalicLatin12ptChar"/>
          <w:rFonts w:ascii="Arial Bold" w:hAnsi="Arial Bold"/>
          <w:b/>
          <w:iCs/>
          <w:caps/>
          <w:szCs w:val="28"/>
        </w:rPr>
        <w:lastRenderedPageBreak/>
        <w:t>S</w:t>
      </w:r>
      <w:r w:rsidRPr="00681EDE">
        <w:t xml:space="preserve">TRATEGIC GOAL IV </w:t>
      </w:r>
      <w:r w:rsidRPr="00681EDE">
        <w:br/>
      </w:r>
      <w:r w:rsidRPr="00681EDE">
        <w:br/>
        <w:t>Coordination and Development of Global IP Infrastructure</w:t>
      </w:r>
      <w:bookmarkEnd w:id="36"/>
      <w:bookmarkEnd w:id="37"/>
    </w:p>
    <w:p w:rsidR="00121D79" w:rsidRDefault="00121D79" w:rsidP="001525FC"/>
    <w:p w:rsidR="001525FC" w:rsidRDefault="001525FC" w:rsidP="001525FC"/>
    <w:p w:rsidR="006A6EC1" w:rsidRPr="00A522FE" w:rsidRDefault="006A6EC1" w:rsidP="001525FC"/>
    <w:p w:rsidR="00121D79" w:rsidRPr="0086702C" w:rsidRDefault="00121D79" w:rsidP="001525FC">
      <w:pPr>
        <w:jc w:val="center"/>
        <w:rPr>
          <w:szCs w:val="20"/>
        </w:rPr>
      </w:pPr>
      <w:r w:rsidRPr="0086702C">
        <w:rPr>
          <w:szCs w:val="20"/>
        </w:rPr>
        <w:t>BIENNIAL PERFORMANCE DASHBOARD</w:t>
      </w:r>
    </w:p>
    <w:p w:rsidR="00121D79" w:rsidRPr="00A522FE" w:rsidRDefault="00121D79" w:rsidP="001525FC"/>
    <w:p w:rsidR="006E397A" w:rsidRDefault="00121D79" w:rsidP="00121D79">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6A6EC1" w:rsidRDefault="006A6EC1" w:rsidP="00121D79">
      <w:pPr>
        <w:autoSpaceDE w:val="0"/>
        <w:autoSpaceDN w:val="0"/>
        <w:adjustRightInd w:val="0"/>
        <w:jc w:val="both"/>
        <w:rPr>
          <w:rFonts w:cs="Arial"/>
        </w:rPr>
      </w:pPr>
    </w:p>
    <w:p w:rsidR="006A6EC1" w:rsidRDefault="000445B7" w:rsidP="006A6EC1">
      <w:pPr>
        <w:autoSpaceDE w:val="0"/>
        <w:autoSpaceDN w:val="0"/>
        <w:adjustRightInd w:val="0"/>
        <w:jc w:val="center"/>
        <w:rPr>
          <w:rFonts w:cs="Arial"/>
        </w:rPr>
      </w:pPr>
      <w:r>
        <w:rPr>
          <w:noProof/>
        </w:rPr>
        <w:drawing>
          <wp:inline distT="0" distB="0" distL="0" distR="0" wp14:anchorId="5D0C3DBB" wp14:editId="39A90EFE">
            <wp:extent cx="3694176" cy="2029823"/>
            <wp:effectExtent l="0" t="0" r="1905" b="889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65"/>
                    <a:stretch>
                      <a:fillRect/>
                    </a:stretch>
                  </pic:blipFill>
                  <pic:spPr>
                    <a:xfrm>
                      <a:off x="0" y="0"/>
                      <a:ext cx="3694176" cy="2029823"/>
                    </a:xfrm>
                    <a:prstGeom prst="rect">
                      <a:avLst/>
                    </a:prstGeom>
                  </pic:spPr>
                </pic:pic>
              </a:graphicData>
            </a:graphic>
          </wp:inline>
        </w:drawing>
      </w:r>
    </w:p>
    <w:p w:rsidR="006E397A" w:rsidRDefault="006E397A" w:rsidP="00121D79">
      <w:pPr>
        <w:autoSpaceDE w:val="0"/>
        <w:autoSpaceDN w:val="0"/>
        <w:adjustRightInd w:val="0"/>
        <w:jc w:val="both"/>
        <w:rPr>
          <w:rFonts w:cs="Arial"/>
        </w:rPr>
      </w:pPr>
    </w:p>
    <w:tbl>
      <w:tblPr>
        <w:tblW w:w="0" w:type="auto"/>
        <w:tblInd w:w="9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26"/>
        <w:gridCol w:w="3588"/>
        <w:gridCol w:w="1418"/>
        <w:gridCol w:w="1162"/>
      </w:tblGrid>
      <w:tr w:rsidR="00581E25" w:rsidRPr="00697FC5" w:rsidTr="001C6013">
        <w:trPr>
          <w:tblHeader/>
        </w:trPr>
        <w:tc>
          <w:tcPr>
            <w:tcW w:w="3226" w:type="dxa"/>
            <w:tcBorders>
              <w:top w:val="single" w:sz="4" w:space="0" w:color="auto"/>
              <w:bottom w:val="single" w:sz="4" w:space="0" w:color="auto"/>
            </w:tcBorders>
            <w:shd w:val="clear" w:color="auto" w:fill="CCFFFF"/>
            <w:vAlign w:val="center"/>
          </w:tcPr>
          <w:p w:rsidR="00581E25" w:rsidRPr="00477A1D" w:rsidRDefault="00581E25" w:rsidP="00581E25">
            <w:pPr>
              <w:spacing w:before="120" w:after="120"/>
              <w:jc w:val="center"/>
              <w:rPr>
                <w:rFonts w:cs="Arial"/>
                <w:b/>
                <w:bCs/>
                <w:sz w:val="14"/>
                <w:szCs w:val="14"/>
              </w:rPr>
            </w:pPr>
            <w:r w:rsidRPr="00477A1D">
              <w:rPr>
                <w:rFonts w:cs="Arial"/>
                <w:b/>
                <w:bCs/>
                <w:sz w:val="14"/>
                <w:szCs w:val="14"/>
              </w:rPr>
              <w:t>Expected Results</w:t>
            </w:r>
          </w:p>
        </w:tc>
        <w:tc>
          <w:tcPr>
            <w:tcW w:w="3588" w:type="dxa"/>
            <w:tcBorders>
              <w:top w:val="single" w:sz="4" w:space="0" w:color="auto"/>
              <w:bottom w:val="single" w:sz="4" w:space="0" w:color="auto"/>
            </w:tcBorders>
            <w:shd w:val="clear" w:color="auto" w:fill="CCFFFF"/>
            <w:vAlign w:val="center"/>
          </w:tcPr>
          <w:p w:rsidR="00581E25" w:rsidRPr="00477A1D" w:rsidRDefault="00581E25" w:rsidP="00581E25">
            <w:pPr>
              <w:spacing w:before="120" w:after="120"/>
              <w:jc w:val="center"/>
              <w:rPr>
                <w:rFonts w:cs="Arial"/>
                <w:b/>
                <w:bCs/>
                <w:sz w:val="14"/>
                <w:szCs w:val="14"/>
              </w:rPr>
            </w:pPr>
            <w:r w:rsidRPr="00477A1D">
              <w:rPr>
                <w:rFonts w:cs="Arial"/>
                <w:b/>
                <w:bCs/>
                <w:sz w:val="14"/>
                <w:szCs w:val="14"/>
              </w:rPr>
              <w:t>Performance Indicators</w:t>
            </w:r>
          </w:p>
        </w:tc>
        <w:tc>
          <w:tcPr>
            <w:tcW w:w="1418" w:type="dxa"/>
            <w:tcBorders>
              <w:top w:val="single" w:sz="4" w:space="0" w:color="auto"/>
              <w:bottom w:val="single" w:sz="4" w:space="0" w:color="auto"/>
            </w:tcBorders>
            <w:shd w:val="clear" w:color="auto" w:fill="CCFFFF"/>
            <w:vAlign w:val="center"/>
          </w:tcPr>
          <w:p w:rsidR="00581E25" w:rsidRPr="00477A1D" w:rsidRDefault="00581E25" w:rsidP="00581E25">
            <w:pPr>
              <w:spacing w:before="120" w:after="120"/>
              <w:jc w:val="center"/>
              <w:rPr>
                <w:rFonts w:cs="Arial"/>
                <w:b/>
                <w:bCs/>
                <w:sz w:val="14"/>
                <w:szCs w:val="14"/>
              </w:rPr>
            </w:pPr>
            <w:r w:rsidRPr="00477A1D">
              <w:rPr>
                <w:rFonts w:cs="Arial"/>
                <w:b/>
                <w:bCs/>
                <w:sz w:val="14"/>
                <w:szCs w:val="14"/>
              </w:rPr>
              <w:t>Responsible Program(s)</w:t>
            </w:r>
          </w:p>
        </w:tc>
        <w:tc>
          <w:tcPr>
            <w:tcW w:w="1162" w:type="dxa"/>
            <w:tcBorders>
              <w:top w:val="single" w:sz="4" w:space="0" w:color="auto"/>
              <w:bottom w:val="single" w:sz="4" w:space="0" w:color="auto"/>
            </w:tcBorders>
            <w:shd w:val="clear" w:color="auto" w:fill="CCFFFF"/>
          </w:tcPr>
          <w:p w:rsidR="00581E25" w:rsidRPr="00477A1D" w:rsidRDefault="00581E25" w:rsidP="009B74BF">
            <w:pPr>
              <w:spacing w:before="120" w:after="120"/>
              <w:jc w:val="center"/>
              <w:rPr>
                <w:rFonts w:cs="Arial"/>
                <w:b/>
                <w:bCs/>
                <w:sz w:val="14"/>
                <w:szCs w:val="14"/>
              </w:rPr>
            </w:pPr>
            <w:r w:rsidRPr="00477A1D">
              <w:rPr>
                <w:rFonts w:cs="Arial"/>
                <w:b/>
                <w:bCs/>
                <w:sz w:val="14"/>
                <w:szCs w:val="14"/>
              </w:rPr>
              <w:t>TLS</w:t>
            </w:r>
          </w:p>
        </w:tc>
      </w:tr>
      <w:tr w:rsidR="00581E25" w:rsidRPr="00697FC5" w:rsidTr="001C6013">
        <w:tc>
          <w:tcPr>
            <w:tcW w:w="3226" w:type="dxa"/>
            <w:vMerge w:val="restart"/>
            <w:tcBorders>
              <w:top w:val="single" w:sz="4" w:space="0" w:color="auto"/>
            </w:tcBorders>
            <w:shd w:val="clear" w:color="auto" w:fill="auto"/>
            <w:tcMar>
              <w:top w:w="113" w:type="dxa"/>
            </w:tcMar>
          </w:tcPr>
          <w:p w:rsidR="00581E25" w:rsidRPr="00477A1D" w:rsidRDefault="00581E25" w:rsidP="00581E25">
            <w:pPr>
              <w:spacing w:before="80"/>
              <w:rPr>
                <w:rFonts w:cs="Arial"/>
                <w:sz w:val="14"/>
                <w:szCs w:val="14"/>
              </w:rPr>
            </w:pPr>
            <w:r w:rsidRPr="00477A1D">
              <w:rPr>
                <w:rFonts w:cs="Arial"/>
                <w:sz w:val="14"/>
                <w:szCs w:val="14"/>
              </w:rPr>
              <w:t>Updated and globally accepted system of international classifications and WIPO standards to facilitate access, use and dissemination of IP information among stakeholders in the world</w:t>
            </w:r>
          </w:p>
        </w:tc>
        <w:tc>
          <w:tcPr>
            <w:tcW w:w="3588" w:type="dxa"/>
            <w:tcBorders>
              <w:top w:val="single" w:sz="4" w:space="0" w:color="auto"/>
            </w:tcBorders>
            <w:shd w:val="clear" w:color="auto" w:fill="auto"/>
            <w:tcMar>
              <w:top w:w="113" w:type="dxa"/>
            </w:tcMar>
          </w:tcPr>
          <w:p w:rsidR="00581E25" w:rsidRPr="00477A1D" w:rsidRDefault="00581E25" w:rsidP="00581E25">
            <w:pPr>
              <w:spacing w:before="80"/>
              <w:rPr>
                <w:rFonts w:cs="Arial"/>
                <w:color w:val="000000"/>
                <w:sz w:val="14"/>
                <w:szCs w:val="14"/>
              </w:rPr>
            </w:pPr>
            <w:r w:rsidRPr="00477A1D">
              <w:rPr>
                <w:rFonts w:cs="Arial"/>
                <w:color w:val="000000"/>
                <w:sz w:val="14"/>
                <w:szCs w:val="14"/>
              </w:rPr>
              <w:t>No. of Offices using WIPO standards</w:t>
            </w:r>
          </w:p>
        </w:tc>
        <w:tc>
          <w:tcPr>
            <w:tcW w:w="1418" w:type="dxa"/>
            <w:tcBorders>
              <w:top w:val="single" w:sz="4" w:space="0" w:color="auto"/>
            </w:tcBorders>
            <w:shd w:val="clear" w:color="auto" w:fill="auto"/>
            <w:tcMar>
              <w:top w:w="113" w:type="dxa"/>
            </w:tcMar>
          </w:tcPr>
          <w:p w:rsidR="00581E25" w:rsidRPr="00477A1D" w:rsidRDefault="00581E25" w:rsidP="00581E25">
            <w:pPr>
              <w:spacing w:before="80"/>
              <w:ind w:left="175"/>
              <w:rPr>
                <w:rFonts w:cs="Arial"/>
                <w:sz w:val="14"/>
                <w:szCs w:val="14"/>
              </w:rPr>
            </w:pPr>
            <w:r w:rsidRPr="00477A1D">
              <w:rPr>
                <w:rFonts w:cs="Arial"/>
                <w:sz w:val="14"/>
                <w:szCs w:val="14"/>
              </w:rPr>
              <w:t>Program 12</w:t>
            </w:r>
          </w:p>
        </w:tc>
        <w:tc>
          <w:tcPr>
            <w:tcW w:w="1162" w:type="dxa"/>
            <w:tcBorders>
              <w:top w:val="single" w:sz="4" w:space="0" w:color="auto"/>
            </w:tcBorders>
          </w:tcPr>
          <w:p w:rsidR="00581E25" w:rsidRPr="00477A1D" w:rsidRDefault="00A35FF2" w:rsidP="009B74BF">
            <w:pPr>
              <w:spacing w:before="20"/>
              <w:jc w:val="center"/>
              <w:rPr>
                <w:rFonts w:cs="Arial"/>
                <w:sz w:val="22"/>
                <w:szCs w:val="22"/>
              </w:rPr>
            </w:pPr>
            <w:r w:rsidRPr="00477A1D">
              <w:rPr>
                <w:rFonts w:cs="Arial"/>
                <w:color w:val="A6A6A6" w:themeColor="background1" w:themeShade="A6"/>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color w:val="000000"/>
                <w:sz w:val="14"/>
                <w:szCs w:val="14"/>
              </w:rPr>
              <w:t>No. of amendments to the Nice Classification</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9B74BF" w:rsidP="009B74BF">
            <w:pPr>
              <w:spacing w:before="20"/>
              <w:jc w:val="center"/>
              <w:rPr>
                <w:sz w:val="22"/>
                <w:szCs w:val="22"/>
              </w:rPr>
            </w:pPr>
            <w:r w:rsidRPr="00477A1D">
              <w:rPr>
                <w:rFonts w:cs="Arial"/>
                <w:color w:val="FF0000"/>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color w:val="000000"/>
                <w:sz w:val="14"/>
                <w:szCs w:val="14"/>
              </w:rPr>
              <w:t>Unified ECLA and FI in the IPC</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9B74BF" w:rsidP="009B74BF">
            <w:pPr>
              <w:spacing w:before="20"/>
              <w:jc w:val="center"/>
              <w:rPr>
                <w:sz w:val="22"/>
                <w:szCs w:val="22"/>
              </w:rPr>
            </w:pPr>
            <w:r w:rsidRPr="00477A1D">
              <w:rPr>
                <w:rFonts w:cs="Arial"/>
                <w:color w:val="E36C0A" w:themeColor="accent6" w:themeShade="BF"/>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sz w:val="14"/>
                <w:szCs w:val="14"/>
              </w:rPr>
              <w:t>Integration</w:t>
            </w:r>
            <w:r w:rsidRPr="00477A1D">
              <w:rPr>
                <w:rFonts w:cs="Arial"/>
                <w:color w:val="000000"/>
                <w:sz w:val="14"/>
                <w:szCs w:val="14"/>
              </w:rPr>
              <w:t xml:space="preserve"> in Locarno Classification of a tool for searching visual features of design applications</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9B74BF" w:rsidP="009B74BF">
            <w:pPr>
              <w:spacing w:before="20"/>
              <w:jc w:val="center"/>
              <w:rPr>
                <w:sz w:val="22"/>
                <w:szCs w:val="22"/>
              </w:rPr>
            </w:pPr>
            <w:r w:rsidRPr="00477A1D">
              <w:rPr>
                <w:rFonts w:cs="Arial"/>
                <w:color w:val="FF0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sz w:val="14"/>
                <w:szCs w:val="14"/>
              </w:rPr>
              <w:t>No</w:t>
            </w:r>
            <w:r w:rsidRPr="00477A1D">
              <w:rPr>
                <w:rFonts w:cs="Arial"/>
                <w:color w:val="000000"/>
                <w:sz w:val="14"/>
                <w:szCs w:val="14"/>
              </w:rPr>
              <w:t>. of amended and new standards adopted</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A35FF2" w:rsidP="009B74BF">
            <w:pPr>
              <w:spacing w:before="20"/>
              <w:jc w:val="center"/>
              <w:rPr>
                <w:color w:val="A6A6A6" w:themeColor="background1" w:themeShade="A6"/>
                <w:sz w:val="22"/>
                <w:szCs w:val="22"/>
              </w:rPr>
            </w:pPr>
            <w:r w:rsidRPr="00477A1D">
              <w:rPr>
                <w:rFonts w:cs="Arial"/>
                <w:color w:val="A6A6A6" w:themeColor="background1" w:themeShade="A6"/>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sz w:val="14"/>
                <w:szCs w:val="14"/>
              </w:rPr>
              <w:t>No</w:t>
            </w:r>
            <w:r w:rsidRPr="00477A1D">
              <w:rPr>
                <w:rFonts w:cs="Arial"/>
                <w:color w:val="000000"/>
                <w:sz w:val="14"/>
                <w:szCs w:val="14"/>
              </w:rPr>
              <w:t>. of Offices indicating satisfaction following training to improve their skills in the use of classifications</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A35FF2" w:rsidP="009B74BF">
            <w:pPr>
              <w:spacing w:before="20"/>
              <w:jc w:val="center"/>
              <w:rPr>
                <w:color w:val="A6A6A6" w:themeColor="background1" w:themeShade="A6"/>
                <w:sz w:val="22"/>
                <w:szCs w:val="22"/>
              </w:rPr>
            </w:pPr>
            <w:r w:rsidRPr="00477A1D">
              <w:rPr>
                <w:rFonts w:cs="Arial"/>
                <w:color w:val="A6A6A6" w:themeColor="background1" w:themeShade="A6"/>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sz w:val="14"/>
                <w:szCs w:val="14"/>
              </w:rPr>
              <w:t>No</w:t>
            </w:r>
            <w:r w:rsidRPr="00477A1D">
              <w:rPr>
                <w:rFonts w:cs="Arial"/>
                <w:color w:val="000000"/>
                <w:sz w:val="14"/>
                <w:szCs w:val="14"/>
              </w:rPr>
              <w:t>. of users accessing the internet publications of international classifications and standards, in particular from developing countries</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12</w:t>
            </w:r>
          </w:p>
        </w:tc>
        <w:tc>
          <w:tcPr>
            <w:tcW w:w="1162" w:type="dxa"/>
          </w:tcPr>
          <w:p w:rsidR="009B74BF" w:rsidRPr="00477A1D" w:rsidRDefault="009B74BF" w:rsidP="009B74BF">
            <w:pPr>
              <w:spacing w:before="20"/>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vMerge w:val="restart"/>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Enhanced access to, and use of, IP information and knowledge by IP institutions and the public to promote innovation and increased access to protected creative works and creative works in the public domain</w:t>
            </w: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different users per quarter/system (PATENTSCOPE/Global Brand Database)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spacing w:before="20"/>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languages in which cross-lingual search is available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spacing w:before="20"/>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national TISC networks launched</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14</w:t>
            </w:r>
          </w:p>
          <w:p w:rsidR="009B74BF" w:rsidRPr="00477A1D" w:rsidRDefault="009B74BF" w:rsidP="009B74BF">
            <w:pPr>
              <w:spacing w:before="120"/>
              <w:ind w:left="176"/>
              <w:rPr>
                <w:rFonts w:cs="Arial"/>
                <w:sz w:val="14"/>
                <w:szCs w:val="14"/>
              </w:rPr>
            </w:pPr>
            <w:r w:rsidRPr="00477A1D">
              <w:rPr>
                <w:rFonts w:cs="Arial"/>
                <w:sz w:val="14"/>
                <w:szCs w:val="14"/>
              </w:rPr>
              <w:t xml:space="preserve">Program 9 </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477A1D" w:rsidRDefault="009B74BF" w:rsidP="009B74BF">
            <w:pPr>
              <w:spacing w:before="20"/>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sz w:val="22"/>
                <w:szCs w:val="22"/>
              </w:rPr>
            </w:pPr>
            <w:r w:rsidRPr="00477A1D">
              <w:rPr>
                <w:rFonts w:cs="Arial"/>
                <w:color w:val="FF0000"/>
                <w:sz w:val="22"/>
                <w:szCs w:val="22"/>
              </w:rPr>
              <w:sym w:font="Wingdings" w:char="F06C"/>
            </w:r>
          </w:p>
        </w:tc>
      </w:tr>
      <w:tr w:rsidR="009B74BF" w:rsidRPr="00697FC5" w:rsidTr="001C6013">
        <w:tc>
          <w:tcPr>
            <w:tcW w:w="3226" w:type="dxa"/>
            <w:vMerge/>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users serviced by TISCs per quarter and country</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14</w:t>
            </w:r>
          </w:p>
          <w:p w:rsidR="009B74BF" w:rsidRPr="00477A1D" w:rsidRDefault="009B74BF" w:rsidP="00A35FF2">
            <w:pPr>
              <w:spacing w:before="120"/>
              <w:ind w:left="176"/>
              <w:rPr>
                <w:rFonts w:cs="Arial"/>
                <w:sz w:val="14"/>
                <w:szCs w:val="14"/>
              </w:rPr>
            </w:pPr>
            <w:r w:rsidRPr="00477A1D">
              <w:rPr>
                <w:rFonts w:cs="Arial"/>
                <w:sz w:val="14"/>
                <w:szCs w:val="14"/>
              </w:rPr>
              <w:t xml:space="preserve">Program 9 </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A35FF2" w:rsidRPr="00477A1D" w:rsidRDefault="00A35FF2" w:rsidP="009B74BF">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0445B7" w:rsidRDefault="000445B7" w:rsidP="009B74BF">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9B74BF" w:rsidRPr="00477A1D" w:rsidRDefault="00A35FF2" w:rsidP="009B74BF">
            <w:pPr>
              <w:jc w:val="center"/>
              <w:rPr>
                <w:sz w:val="22"/>
                <w:szCs w:val="22"/>
              </w:rPr>
            </w:pPr>
            <w:r w:rsidRPr="00477A1D">
              <w:rPr>
                <w:rFonts w:cs="Arial"/>
                <w:color w:val="A6A6A6" w:themeColor="background1" w:themeShade="A6"/>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users of the value-added information services (technology search service, Patent Landscape Reports and ICE)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14</w:t>
            </w:r>
          </w:p>
        </w:tc>
        <w:tc>
          <w:tcPr>
            <w:tcW w:w="1162" w:type="dxa"/>
          </w:tcPr>
          <w:p w:rsidR="009B74BF" w:rsidRPr="00477A1D" w:rsidRDefault="001C6013" w:rsidP="009B74BF">
            <w:pPr>
              <w:jc w:val="center"/>
              <w:rPr>
                <w:sz w:val="22"/>
                <w:szCs w:val="22"/>
              </w:rPr>
            </w:pPr>
            <w:r w:rsidRPr="00477A1D">
              <w:rPr>
                <w:rFonts w:cs="Arial"/>
                <w:color w:val="A6A6A6" w:themeColor="background1" w:themeShade="A6"/>
                <w:sz w:val="22"/>
                <w:szCs w:val="22"/>
              </w:rPr>
              <w:sym w:font="Wingdings" w:char="F06C"/>
            </w:r>
            <w:r w:rsidR="009B0B70" w:rsidRPr="00477A1D">
              <w:rPr>
                <w:rFonts w:cs="Arial"/>
                <w:color w:val="A6A6A6" w:themeColor="background1" w:themeShade="A6"/>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 xml:space="preserve">% of recipients satisfied with the value-added information services (technology search service, Patent Landscape Reports and ICE)  </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14</w:t>
            </w:r>
          </w:p>
        </w:tc>
        <w:tc>
          <w:tcPr>
            <w:tcW w:w="1162" w:type="dxa"/>
          </w:tcPr>
          <w:p w:rsidR="009B74BF" w:rsidRPr="00477A1D" w:rsidRDefault="009B74BF" w:rsidP="009B74BF">
            <w:pPr>
              <w:jc w:val="center"/>
              <w:rPr>
                <w:sz w:val="22"/>
                <w:szCs w:val="22"/>
              </w:rPr>
            </w:pPr>
            <w:r w:rsidRPr="00477A1D">
              <w:rPr>
                <w:rFonts w:cs="Arial"/>
                <w:color w:val="FF0000"/>
                <w:sz w:val="22"/>
                <w:szCs w:val="22"/>
              </w:rPr>
              <w:sym w:font="Wingdings" w:char="F06C"/>
            </w: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 of users satisfied with TISC services</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14</w:t>
            </w:r>
          </w:p>
        </w:tc>
        <w:tc>
          <w:tcPr>
            <w:tcW w:w="1162" w:type="dxa"/>
          </w:tcPr>
          <w:p w:rsidR="009B74BF" w:rsidRPr="00477A1D" w:rsidRDefault="009B74BF" w:rsidP="009B74BF">
            <w:pPr>
              <w:jc w:val="center"/>
              <w:rPr>
                <w:sz w:val="22"/>
                <w:szCs w:val="22"/>
              </w:rPr>
            </w:pPr>
            <w:r w:rsidRPr="00477A1D">
              <w:rPr>
                <w:rFonts w:cs="Arial"/>
                <w:color w:val="FF0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Number of registered users of aRDI and ASPI</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14</w:t>
            </w:r>
          </w:p>
        </w:tc>
        <w:tc>
          <w:tcPr>
            <w:tcW w:w="1162" w:type="dxa"/>
          </w:tcPr>
          <w:p w:rsidR="009B74BF" w:rsidRPr="00477A1D" w:rsidRDefault="00A35FF2" w:rsidP="009B74BF">
            <w:pPr>
              <w:jc w:val="center"/>
              <w:rPr>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 xml:space="preserve">No. of Member States that have developed their IP framework and established TTOs </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 xml:space="preserve">Program </w:t>
            </w:r>
            <w:r w:rsidR="00A35FF2" w:rsidRPr="00477A1D">
              <w:rPr>
                <w:rFonts w:cs="Arial"/>
                <w:sz w:val="14"/>
                <w:szCs w:val="14"/>
              </w:rPr>
              <w:t>30</w:t>
            </w:r>
          </w:p>
          <w:p w:rsidR="009B74BF" w:rsidRPr="00477A1D" w:rsidRDefault="009B74BF" w:rsidP="009B74BF">
            <w:pPr>
              <w:spacing w:before="120"/>
              <w:ind w:left="176"/>
              <w:rPr>
                <w:rFonts w:cs="Arial"/>
                <w:sz w:val="14"/>
                <w:szCs w:val="14"/>
              </w:rPr>
            </w:pPr>
            <w:r w:rsidRPr="00477A1D">
              <w:rPr>
                <w:rFonts w:cs="Arial"/>
                <w:sz w:val="14"/>
                <w:szCs w:val="14"/>
              </w:rPr>
              <w:t>Program 9</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A35FF2" w:rsidRPr="00477A1D" w:rsidRDefault="00A35FF2" w:rsidP="009B74BF">
            <w:pPr>
              <w:jc w:val="center"/>
              <w:rPr>
                <w:rFonts w:cs="Arial"/>
                <w:color w:val="A6A6A6" w:themeColor="background1" w:themeShade="A6"/>
                <w:sz w:val="22"/>
                <w:szCs w:val="22"/>
              </w:rPr>
            </w:pPr>
            <w:r w:rsidRPr="00477A1D">
              <w:rPr>
                <w:rFonts w:cs="Arial"/>
                <w:color w:val="A6A6A6" w:themeColor="background1" w:themeShade="A6"/>
                <w:sz w:val="22"/>
                <w:szCs w:val="22"/>
              </w:rPr>
              <w:sym w:font="Wingdings" w:char="F06C"/>
            </w:r>
          </w:p>
          <w:p w:rsidR="009B74BF" w:rsidRPr="00477A1D" w:rsidRDefault="009B74BF" w:rsidP="009B74BF">
            <w:pPr>
              <w:jc w:val="center"/>
              <w:rPr>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keepNext/>
              <w:keepLines/>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1C6013">
            <w:pPr>
              <w:keepNext/>
              <w:keepLines/>
              <w:spacing w:before="80"/>
              <w:rPr>
                <w:rFonts w:cs="Arial"/>
                <w:sz w:val="14"/>
                <w:szCs w:val="14"/>
              </w:rPr>
            </w:pPr>
            <w:r w:rsidRPr="00477A1D">
              <w:rPr>
                <w:rFonts w:cs="Arial"/>
                <w:sz w:val="14"/>
                <w:szCs w:val="14"/>
              </w:rPr>
              <w:t>No. of trusted intermediaries (TIs) and rights holders (RHs) having joined the TIGAR system network, including from developing countries and LDCs</w:t>
            </w:r>
          </w:p>
        </w:tc>
        <w:tc>
          <w:tcPr>
            <w:tcW w:w="1418" w:type="dxa"/>
            <w:shd w:val="clear" w:color="auto" w:fill="auto"/>
            <w:tcMar>
              <w:top w:w="113" w:type="dxa"/>
            </w:tcMar>
          </w:tcPr>
          <w:p w:rsidR="009B74BF" w:rsidRPr="00477A1D" w:rsidRDefault="009B74BF" w:rsidP="001C6013">
            <w:pPr>
              <w:keepNext/>
              <w:keepLines/>
              <w:spacing w:before="80"/>
              <w:ind w:left="175"/>
              <w:rPr>
                <w:rFonts w:cs="Arial"/>
                <w:sz w:val="14"/>
                <w:szCs w:val="14"/>
              </w:rPr>
            </w:pPr>
            <w:r w:rsidRPr="00477A1D">
              <w:rPr>
                <w:rFonts w:cs="Arial"/>
                <w:sz w:val="14"/>
                <w:szCs w:val="14"/>
              </w:rPr>
              <w:t>Program 3</w:t>
            </w:r>
          </w:p>
        </w:tc>
        <w:tc>
          <w:tcPr>
            <w:tcW w:w="1162" w:type="dxa"/>
          </w:tcPr>
          <w:p w:rsidR="009B74BF" w:rsidRPr="00477A1D" w:rsidRDefault="009B74BF" w:rsidP="001C6013">
            <w:pPr>
              <w:keepNext/>
              <w:keepLines/>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 xml:space="preserve">No. of copyright protected works distributed among TIs and made accessible to VIPs across borders through the TIGAR system network </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Increased dissemination of digitized patent collections of national/regional offices of WIPO Member States</w:t>
            </w: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records in PATENTSCOPE/Global Brand Database which are not produced by the IB</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national collections in PATENTSCOPE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national collections in Global Brand Database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Timeliness of PATENTSCOPE updates regarding PCT applications</w:t>
            </w: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Delay (in months) in implementation of PCT rule changes concerning PATENTSCOPE</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weeks per year where publication is not available at 20:00 Geneva time on publication day</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13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581E25">
            <w:pPr>
              <w:spacing w:before="80"/>
              <w:rPr>
                <w:rFonts w:cs="Arial"/>
                <w:color w:val="000000"/>
                <w:sz w:val="14"/>
                <w:szCs w:val="14"/>
              </w:rPr>
            </w:pPr>
            <w:r w:rsidRPr="00477A1D">
              <w:rPr>
                <w:rFonts w:cs="Arial"/>
                <w:color w:val="000000"/>
                <w:sz w:val="14"/>
                <w:szCs w:val="14"/>
              </w:rPr>
              <w:t xml:space="preserve">Enhanced  technical and knowledge </w:t>
            </w:r>
            <w:r w:rsidRPr="00477A1D">
              <w:rPr>
                <w:rFonts w:cs="Arial"/>
                <w:sz w:val="14"/>
                <w:szCs w:val="14"/>
              </w:rPr>
              <w:t>infrastructure</w:t>
            </w:r>
            <w:r w:rsidRPr="00477A1D">
              <w:rPr>
                <w:rFonts w:cs="Arial"/>
                <w:color w:val="000000"/>
                <w:sz w:val="14"/>
                <w:szCs w:val="14"/>
              </w:rPr>
              <w:t xml:space="preserve"> for IP Offices and other IP institutions leading to better services (cheaper, faster, higher quality) to their stakeholders</w:t>
            </w: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Offices with fully automated versus partially automated IP administration systems provided by WIPO</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15</w:t>
            </w:r>
          </w:p>
          <w:p w:rsidR="009B74BF" w:rsidRPr="00477A1D" w:rsidRDefault="009B74BF" w:rsidP="009B74BF">
            <w:pPr>
              <w:spacing w:before="120"/>
              <w:ind w:left="176"/>
              <w:rPr>
                <w:rFonts w:cs="Arial"/>
                <w:sz w:val="14"/>
                <w:szCs w:val="14"/>
              </w:rPr>
            </w:pPr>
            <w:r w:rsidRPr="00477A1D">
              <w:rPr>
                <w:rFonts w:cs="Arial"/>
                <w:sz w:val="14"/>
                <w:szCs w:val="14"/>
              </w:rPr>
              <w:t>Program 9</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color w:val="000000"/>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Offices with IP data online in WIPO databases</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15</w:t>
            </w:r>
          </w:p>
          <w:p w:rsidR="009B74BF" w:rsidRPr="00477A1D" w:rsidRDefault="009B74BF" w:rsidP="009B74BF">
            <w:pPr>
              <w:spacing w:before="120"/>
              <w:ind w:left="176"/>
              <w:rPr>
                <w:rFonts w:cs="Arial"/>
                <w:sz w:val="14"/>
                <w:szCs w:val="14"/>
              </w:rPr>
            </w:pPr>
            <w:r w:rsidRPr="00477A1D">
              <w:rPr>
                <w:rFonts w:cs="Arial"/>
                <w:sz w:val="14"/>
                <w:szCs w:val="14"/>
              </w:rPr>
              <w:t>Program 9</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A35FF2" w:rsidP="009B74BF">
            <w:pPr>
              <w:jc w:val="center"/>
              <w:rPr>
                <w:rFonts w:cs="Arial"/>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Groups of Offices participating in a common platform</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15</w:t>
            </w:r>
          </w:p>
          <w:p w:rsidR="009B74BF" w:rsidRPr="00477A1D" w:rsidRDefault="009B74BF" w:rsidP="00A35FF2">
            <w:pPr>
              <w:spacing w:before="120"/>
              <w:ind w:left="176"/>
              <w:rPr>
                <w:rFonts w:cs="Arial"/>
                <w:sz w:val="14"/>
                <w:szCs w:val="14"/>
              </w:rPr>
            </w:pPr>
            <w:r w:rsidRPr="00477A1D">
              <w:rPr>
                <w:rFonts w:cs="Arial"/>
                <w:sz w:val="14"/>
                <w:szCs w:val="14"/>
              </w:rPr>
              <w:t>Program 9</w:t>
            </w:r>
          </w:p>
        </w:tc>
        <w:tc>
          <w:tcPr>
            <w:tcW w:w="1162" w:type="dxa"/>
          </w:tcPr>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A35FF2">
            <w:pPr>
              <w:jc w:val="center"/>
              <w:rPr>
                <w:rFonts w:cs="Arial"/>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Offices processing PCT and Madrid data with the support of WIPO supplied systems</w:t>
            </w:r>
          </w:p>
        </w:tc>
        <w:tc>
          <w:tcPr>
            <w:tcW w:w="1418" w:type="dxa"/>
            <w:shd w:val="clear" w:color="auto" w:fill="auto"/>
            <w:tcMar>
              <w:top w:w="113" w:type="dxa"/>
            </w:tcMar>
          </w:tcPr>
          <w:p w:rsidR="009B74BF" w:rsidRPr="00477A1D" w:rsidRDefault="009B74BF" w:rsidP="009B74BF">
            <w:pPr>
              <w:spacing w:before="80"/>
              <w:ind w:left="175"/>
              <w:rPr>
                <w:rFonts w:cs="Arial"/>
                <w:sz w:val="14"/>
                <w:szCs w:val="14"/>
              </w:rPr>
            </w:pPr>
            <w:r w:rsidRPr="00477A1D">
              <w:rPr>
                <w:rFonts w:cs="Arial"/>
                <w:sz w:val="14"/>
                <w:szCs w:val="14"/>
              </w:rPr>
              <w:t>Program 15</w:t>
            </w:r>
          </w:p>
          <w:p w:rsidR="009B74BF" w:rsidRPr="00477A1D" w:rsidRDefault="009B74BF" w:rsidP="009B74BF">
            <w:pPr>
              <w:spacing w:before="120"/>
              <w:ind w:left="176"/>
              <w:rPr>
                <w:rFonts w:cs="Arial"/>
                <w:sz w:val="14"/>
                <w:szCs w:val="14"/>
              </w:rPr>
            </w:pPr>
            <w:r w:rsidRPr="00477A1D">
              <w:rPr>
                <w:rFonts w:cs="Arial"/>
                <w:sz w:val="14"/>
                <w:szCs w:val="14"/>
              </w:rPr>
              <w:t>Program 9</w:t>
            </w:r>
          </w:p>
          <w:p w:rsidR="009B74BF" w:rsidRPr="00477A1D" w:rsidRDefault="009B74BF" w:rsidP="009B74BF">
            <w:pPr>
              <w:spacing w:before="120"/>
              <w:ind w:left="176"/>
              <w:rPr>
                <w:rFonts w:cs="Arial"/>
                <w:sz w:val="14"/>
                <w:szCs w:val="14"/>
              </w:rPr>
            </w:pPr>
            <w:r w:rsidRPr="00477A1D">
              <w:rPr>
                <w:rFonts w:cs="Arial"/>
                <w:sz w:val="14"/>
                <w:szCs w:val="14"/>
              </w:rPr>
              <w:t>Program 10</w:t>
            </w:r>
          </w:p>
        </w:tc>
        <w:tc>
          <w:tcPr>
            <w:tcW w:w="1162" w:type="dxa"/>
          </w:tcPr>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9B74BF" w:rsidP="009B74BF">
            <w:pPr>
              <w:jc w:val="center"/>
              <w:rPr>
                <w:rFonts w:cs="Arial"/>
                <w:color w:val="008000"/>
                <w:sz w:val="22"/>
                <w:szCs w:val="22"/>
              </w:rPr>
            </w:pPr>
            <w:r w:rsidRPr="00477A1D">
              <w:rPr>
                <w:rFonts w:cs="Arial"/>
                <w:color w:val="008000"/>
                <w:sz w:val="22"/>
                <w:szCs w:val="22"/>
              </w:rPr>
              <w:sym w:font="Wingdings" w:char="F06C"/>
            </w:r>
          </w:p>
          <w:p w:rsidR="009B74BF" w:rsidRPr="00477A1D" w:rsidRDefault="00A35FF2"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tcMar>
          </w:tcPr>
          <w:p w:rsidR="009B74BF" w:rsidRPr="00477A1D" w:rsidRDefault="009B74BF" w:rsidP="00581E25">
            <w:pPr>
              <w:spacing w:before="80"/>
              <w:rPr>
                <w:rFonts w:cs="Arial"/>
                <w:sz w:val="14"/>
                <w:szCs w:val="14"/>
              </w:rPr>
            </w:pPr>
            <w:r w:rsidRPr="00477A1D">
              <w:rPr>
                <w:rFonts w:cs="Arial"/>
                <w:sz w:val="14"/>
                <w:szCs w:val="14"/>
              </w:rPr>
              <w:t>No. of Institutions using WIPO copyright infrastructure systems (WIPOCOS and GDA)</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r w:rsidR="009B74BF" w:rsidRPr="00697FC5" w:rsidTr="001C6013">
        <w:tc>
          <w:tcPr>
            <w:tcW w:w="3226" w:type="dxa"/>
            <w:shd w:val="clear" w:color="auto" w:fill="auto"/>
            <w:tcMar>
              <w:top w:w="113" w:type="dxa"/>
            </w:tcMar>
          </w:tcPr>
          <w:p w:rsidR="009B74BF" w:rsidRPr="00477A1D" w:rsidRDefault="009B74BF" w:rsidP="00477A1D">
            <w:pPr>
              <w:spacing w:before="80"/>
              <w:ind w:firstLineChars="100" w:firstLine="140"/>
              <w:rPr>
                <w:rFonts w:cs="Arial"/>
                <w:sz w:val="14"/>
                <w:szCs w:val="14"/>
              </w:rPr>
            </w:pPr>
          </w:p>
        </w:tc>
        <w:tc>
          <w:tcPr>
            <w:tcW w:w="3588" w:type="dxa"/>
            <w:shd w:val="clear" w:color="auto" w:fill="auto"/>
            <w:tcMar>
              <w:top w:w="113" w:type="dxa"/>
              <w:bottom w:w="85" w:type="dxa"/>
            </w:tcMar>
          </w:tcPr>
          <w:p w:rsidR="009B74BF" w:rsidRPr="00477A1D" w:rsidRDefault="009B74BF" w:rsidP="00581E25">
            <w:pPr>
              <w:spacing w:before="80"/>
              <w:rPr>
                <w:rFonts w:cs="Arial"/>
                <w:sz w:val="14"/>
                <w:szCs w:val="14"/>
              </w:rPr>
            </w:pPr>
            <w:r w:rsidRPr="00477A1D">
              <w:rPr>
                <w:rFonts w:cs="Arial"/>
                <w:sz w:val="14"/>
                <w:szCs w:val="14"/>
              </w:rPr>
              <w:t>% of Governments that report positively on the effectiveness and governance of copyright institutions in the country</w:t>
            </w:r>
          </w:p>
        </w:tc>
        <w:tc>
          <w:tcPr>
            <w:tcW w:w="1418" w:type="dxa"/>
            <w:shd w:val="clear" w:color="auto" w:fill="auto"/>
            <w:tcMar>
              <w:top w:w="113" w:type="dxa"/>
            </w:tcMar>
          </w:tcPr>
          <w:p w:rsidR="009B74BF" w:rsidRPr="00477A1D" w:rsidRDefault="009B74BF" w:rsidP="00581E25">
            <w:pPr>
              <w:spacing w:before="80"/>
              <w:ind w:left="175"/>
              <w:rPr>
                <w:rFonts w:cs="Arial"/>
                <w:sz w:val="14"/>
                <w:szCs w:val="14"/>
              </w:rPr>
            </w:pPr>
            <w:r w:rsidRPr="00477A1D">
              <w:rPr>
                <w:rFonts w:cs="Arial"/>
                <w:sz w:val="14"/>
                <w:szCs w:val="14"/>
              </w:rPr>
              <w:t>Program 3</w:t>
            </w:r>
          </w:p>
        </w:tc>
        <w:tc>
          <w:tcPr>
            <w:tcW w:w="1162" w:type="dxa"/>
          </w:tcPr>
          <w:p w:rsidR="009B74BF" w:rsidRPr="00477A1D" w:rsidRDefault="009B74BF" w:rsidP="009B74BF">
            <w:pPr>
              <w:jc w:val="center"/>
              <w:rPr>
                <w:color w:val="008000"/>
                <w:sz w:val="22"/>
                <w:szCs w:val="22"/>
              </w:rPr>
            </w:pPr>
            <w:r w:rsidRPr="00477A1D">
              <w:rPr>
                <w:rFonts w:cs="Arial"/>
                <w:color w:val="008000"/>
                <w:sz w:val="22"/>
                <w:szCs w:val="22"/>
              </w:rPr>
              <w:sym w:font="Wingdings" w:char="F06C"/>
            </w:r>
          </w:p>
        </w:tc>
      </w:tr>
    </w:tbl>
    <w:p w:rsidR="006E397A" w:rsidRDefault="006E397A" w:rsidP="00121D79">
      <w:pPr>
        <w:autoSpaceDE w:val="0"/>
        <w:autoSpaceDN w:val="0"/>
        <w:adjustRightInd w:val="0"/>
        <w:jc w:val="both"/>
        <w:rPr>
          <w:rFonts w:cs="Arial"/>
        </w:rPr>
      </w:pPr>
    </w:p>
    <w:p w:rsidR="00121D79" w:rsidRPr="00A522FE" w:rsidRDefault="00121D79" w:rsidP="00121D79">
      <w:pPr>
        <w:tabs>
          <w:tab w:val="left" w:pos="1701"/>
        </w:tabs>
        <w:ind w:left="1701" w:hanging="1701"/>
        <w:jc w:val="center"/>
        <w:rPr>
          <w:rFonts w:cs="Arial"/>
          <w:b/>
          <w:bCs/>
          <w:caps/>
        </w:rPr>
      </w:pPr>
    </w:p>
    <w:p w:rsidR="00121D79" w:rsidRPr="00A522FE" w:rsidRDefault="00121D79" w:rsidP="00121D79">
      <w:pPr>
        <w:rPr>
          <w:rFonts w:cs="Arial"/>
        </w:rPr>
      </w:pPr>
    </w:p>
    <w:p w:rsidR="00121D79" w:rsidRDefault="00121D79">
      <w:pPr>
        <w:rPr>
          <w:rFonts w:ascii="Arial Bold" w:eastAsiaTheme="majorEastAsia" w:hAnsi="Arial Bold" w:cstheme="majorBidi"/>
          <w:b/>
          <w:bCs/>
          <w:sz w:val="22"/>
        </w:rPr>
      </w:pPr>
      <w:r>
        <w:br w:type="page"/>
      </w:r>
    </w:p>
    <w:p w:rsidR="0068151C" w:rsidRPr="00305272" w:rsidRDefault="00305272" w:rsidP="00305272">
      <w:pPr>
        <w:pStyle w:val="Heading3"/>
      </w:pPr>
      <w:bookmarkStart w:id="38" w:name="_Toc393956058"/>
      <w:r w:rsidRPr="00305272">
        <w:lastRenderedPageBreak/>
        <w:t>Program 12</w:t>
      </w:r>
      <w:r w:rsidRPr="00305272">
        <w:tab/>
        <w:t>International Classifications and Standards</w:t>
      </w:r>
      <w:bookmarkEnd w:id="38"/>
    </w:p>
    <w:p w:rsidR="0068151C" w:rsidRPr="0027745B" w:rsidRDefault="0068151C" w:rsidP="0068151C">
      <w:pPr>
        <w:rPr>
          <w:rFonts w:cs="Arial"/>
          <w:sz w:val="22"/>
          <w:szCs w:val="22"/>
        </w:rPr>
      </w:pPr>
    </w:p>
    <w:p w:rsidR="0068151C" w:rsidRPr="00DB21E9" w:rsidRDefault="0068151C" w:rsidP="0068151C">
      <w:pPr>
        <w:tabs>
          <w:tab w:val="left" w:pos="2268"/>
        </w:tabs>
        <w:rPr>
          <w:rFonts w:cs="Arial"/>
          <w:b/>
          <w:sz w:val="22"/>
          <w:szCs w:val="22"/>
        </w:rPr>
      </w:pPr>
      <w:r w:rsidRPr="00DB21E9">
        <w:rPr>
          <w:rFonts w:cs="Arial"/>
          <w:b/>
          <w:sz w:val="22"/>
          <w:szCs w:val="22"/>
        </w:rPr>
        <w:t>Program Manager</w:t>
      </w:r>
      <w:r w:rsidRPr="00DB21E9">
        <w:rPr>
          <w:rFonts w:cs="Arial"/>
          <w:b/>
          <w:sz w:val="22"/>
          <w:szCs w:val="22"/>
        </w:rPr>
        <w:tab/>
      </w:r>
      <w:r w:rsidRPr="00DB21E9">
        <w:rPr>
          <w:rFonts w:cs="Arial"/>
          <w:b/>
          <w:sz w:val="22"/>
          <w:szCs w:val="22"/>
        </w:rPr>
        <w:tab/>
      </w:r>
      <w:r w:rsidRPr="00F21199">
        <w:rPr>
          <w:rFonts w:cs="Arial"/>
          <w:b/>
          <w:sz w:val="22"/>
          <w:szCs w:val="22"/>
        </w:rPr>
        <w:t>Mr. Y Takagi</w:t>
      </w:r>
    </w:p>
    <w:p w:rsidR="0068151C" w:rsidRDefault="0068151C" w:rsidP="0068151C">
      <w:pPr>
        <w:rPr>
          <w:sz w:val="22"/>
          <w:szCs w:val="22"/>
        </w:rPr>
      </w:pPr>
    </w:p>
    <w:p w:rsidR="0068151C" w:rsidRPr="0027745B" w:rsidRDefault="0068151C" w:rsidP="0068151C">
      <w:pPr>
        <w:rPr>
          <w:bCs/>
          <w:sz w:val="22"/>
          <w:szCs w:val="22"/>
        </w:rPr>
      </w:pPr>
    </w:p>
    <w:p w:rsidR="0068151C" w:rsidRPr="005E6AFC" w:rsidRDefault="0068151C" w:rsidP="0068151C">
      <w:pPr>
        <w:jc w:val="both"/>
        <w:rPr>
          <w:rFonts w:cs="Arial"/>
          <w:sz w:val="22"/>
          <w:szCs w:val="22"/>
        </w:rPr>
      </w:pPr>
      <w:r w:rsidRPr="0068617A">
        <w:rPr>
          <w:bCs/>
          <w:sz w:val="22"/>
          <w:szCs w:val="22"/>
        </w:rPr>
        <w:t>ACHIEVEMENTS IN THE 2012/13 BIENNIUM</w:t>
      </w:r>
    </w:p>
    <w:p w:rsidR="0068151C" w:rsidRPr="00155D6F" w:rsidRDefault="0068151C" w:rsidP="0068151C">
      <w:pPr>
        <w:tabs>
          <w:tab w:val="left" w:pos="709"/>
        </w:tabs>
        <w:rPr>
          <w:szCs w:val="20"/>
        </w:rPr>
      </w:pPr>
    </w:p>
    <w:p w:rsidR="0068151C" w:rsidRPr="00DB21E9" w:rsidDel="007A5512" w:rsidRDefault="0068151C" w:rsidP="0068151C">
      <w:pPr>
        <w:tabs>
          <w:tab w:val="left" w:pos="709"/>
        </w:tabs>
        <w:autoSpaceDE w:val="0"/>
        <w:autoSpaceDN w:val="0"/>
        <w:adjustRightInd w:val="0"/>
        <w:jc w:val="both"/>
        <w:rPr>
          <w:szCs w:val="20"/>
        </w:rPr>
      </w:pPr>
      <w:r w:rsidRPr="00DB21E9">
        <w:rPr>
          <w:szCs w:val="20"/>
        </w:rPr>
        <w:t>12.1</w:t>
      </w:r>
      <w:r w:rsidR="00681EDE">
        <w:rPr>
          <w:szCs w:val="20"/>
        </w:rPr>
        <w:t>.</w:t>
      </w:r>
      <w:r w:rsidRPr="00DB21E9">
        <w:rPr>
          <w:szCs w:val="20"/>
        </w:rPr>
        <w:tab/>
      </w:r>
      <w:r w:rsidRPr="00DB21E9" w:rsidDel="007A5512">
        <w:rPr>
          <w:szCs w:val="20"/>
        </w:rPr>
        <w:t xml:space="preserve">Significant progress was made in the 2012/13 biennium as regards International Classifications and WIPO IP Standards. </w:t>
      </w:r>
    </w:p>
    <w:p w:rsidR="0068151C" w:rsidRPr="00DB21E9" w:rsidDel="007A5512" w:rsidRDefault="0068151C" w:rsidP="0068151C">
      <w:pPr>
        <w:tabs>
          <w:tab w:val="left" w:pos="709"/>
        </w:tabs>
        <w:jc w:val="both"/>
        <w:rPr>
          <w:szCs w:val="20"/>
        </w:rPr>
      </w:pPr>
    </w:p>
    <w:p w:rsidR="0068151C" w:rsidRPr="0027745B" w:rsidRDefault="0068151C" w:rsidP="0068151C">
      <w:pPr>
        <w:tabs>
          <w:tab w:val="left" w:pos="709"/>
        </w:tabs>
        <w:autoSpaceDE w:val="0"/>
        <w:autoSpaceDN w:val="0"/>
        <w:adjustRightInd w:val="0"/>
        <w:jc w:val="both"/>
        <w:rPr>
          <w:szCs w:val="20"/>
          <w:highlight w:val="yellow"/>
        </w:rPr>
      </w:pPr>
      <w:r w:rsidRPr="00DB21E9">
        <w:rPr>
          <w:szCs w:val="20"/>
        </w:rPr>
        <w:t>12.2</w:t>
      </w:r>
      <w:r w:rsidR="00681EDE">
        <w:rPr>
          <w:szCs w:val="20"/>
        </w:rPr>
        <w:t>.</w:t>
      </w:r>
      <w:r w:rsidRPr="00DB21E9">
        <w:rPr>
          <w:szCs w:val="20"/>
        </w:rPr>
        <w:tab/>
      </w:r>
      <w:r w:rsidRPr="00DB21E9" w:rsidDel="007A5512">
        <w:rPr>
          <w:szCs w:val="20"/>
        </w:rPr>
        <w:t>The reform of the</w:t>
      </w:r>
      <w:r w:rsidRPr="00155D6F" w:rsidDel="007A5512">
        <w:rPr>
          <w:szCs w:val="20"/>
        </w:rPr>
        <w:t xml:space="preserve"> Nice Classification was implemented and the Committee of Experts met for the first time in its annual session</w:t>
      </w:r>
      <w:r w:rsidRPr="0027745B" w:rsidDel="007A5512">
        <w:rPr>
          <w:szCs w:val="20"/>
        </w:rPr>
        <w:t xml:space="preserve">.  Adopted amendments were published in the </w:t>
      </w:r>
      <w:r w:rsidRPr="0027745B">
        <w:rPr>
          <w:szCs w:val="20"/>
        </w:rPr>
        <w:t xml:space="preserve">Classification, which from 2013 onwards will be annually revised.  The Committee adopted a new procedure for discussion of proposals to amend the Classification that allows one round of discussion on-line, using the electronic forum, before considering the proposals in plenary. </w:t>
      </w:r>
      <w:r w:rsidR="00681EDE">
        <w:rPr>
          <w:szCs w:val="20"/>
        </w:rPr>
        <w:t xml:space="preserve"> </w:t>
      </w:r>
      <w:r w:rsidRPr="0027745B">
        <w:rPr>
          <w:szCs w:val="20"/>
        </w:rPr>
        <w:t>It is expected that discussions during the plenary will thus be easier and more efficient.  A new publication platform for the Nice Classification, which accommodates the publication of annual new versions, was successfully put into production.  This new platform also integrates the taxonomy, which was finalized in 2012 in cooperation with OHIM.</w:t>
      </w:r>
    </w:p>
    <w:p w:rsidR="0068151C" w:rsidRPr="0027745B" w:rsidRDefault="0068151C" w:rsidP="0068151C">
      <w:pPr>
        <w:tabs>
          <w:tab w:val="left" w:pos="709"/>
        </w:tabs>
        <w:autoSpaceDE w:val="0"/>
        <w:autoSpaceDN w:val="0"/>
        <w:adjustRightInd w:val="0"/>
        <w:jc w:val="both"/>
        <w:rPr>
          <w:rFonts w:cs="Arial"/>
          <w:szCs w:val="20"/>
        </w:rPr>
      </w:pPr>
    </w:p>
    <w:p w:rsidR="0068151C" w:rsidRPr="0027745B" w:rsidRDefault="0068151C" w:rsidP="0068151C">
      <w:pPr>
        <w:tabs>
          <w:tab w:val="left" w:pos="709"/>
        </w:tabs>
        <w:autoSpaceDE w:val="0"/>
        <w:autoSpaceDN w:val="0"/>
        <w:adjustRightInd w:val="0"/>
        <w:jc w:val="both"/>
        <w:rPr>
          <w:szCs w:val="20"/>
        </w:rPr>
      </w:pPr>
      <w:r w:rsidRPr="00155D6F">
        <w:rPr>
          <w:szCs w:val="20"/>
        </w:rPr>
        <w:t>12.3</w:t>
      </w:r>
      <w:r w:rsidR="00681EDE">
        <w:rPr>
          <w:szCs w:val="20"/>
        </w:rPr>
        <w:t>.</w:t>
      </w:r>
      <w:r w:rsidRPr="00155D6F">
        <w:rPr>
          <w:szCs w:val="20"/>
        </w:rPr>
        <w:tab/>
        <w:t>The</w:t>
      </w:r>
      <w:r w:rsidRPr="0027745B">
        <w:rPr>
          <w:szCs w:val="20"/>
        </w:rPr>
        <w:t xml:space="preserve"> new seventh-edition of the Vienna Classification was published as scheduled in 2012.  The Committee of Experts for the Locarno Classification met in November 2012 and adopted the amendments for the tenth</w:t>
      </w:r>
      <w:r w:rsidR="00681EDE">
        <w:rPr>
          <w:szCs w:val="20"/>
        </w:rPr>
        <w:t xml:space="preserve"> </w:t>
      </w:r>
      <w:r w:rsidRPr="0027745B">
        <w:rPr>
          <w:szCs w:val="20"/>
        </w:rPr>
        <w:t>edition of the Classification, which was released in 2013.  The Locarno Committee acknowledged that, due to the lack of consensus, the Pilot Group working on the development of a tool for searching visual features of design applications did not meet during the biennium.  The project was thus delayed.</w:t>
      </w:r>
    </w:p>
    <w:p w:rsidR="0068151C" w:rsidRPr="0027745B" w:rsidRDefault="0068151C" w:rsidP="0068151C">
      <w:pPr>
        <w:tabs>
          <w:tab w:val="left" w:pos="709"/>
        </w:tabs>
        <w:autoSpaceDE w:val="0"/>
        <w:autoSpaceDN w:val="0"/>
        <w:adjustRightInd w:val="0"/>
        <w:jc w:val="both"/>
        <w:rPr>
          <w:rFonts w:cs="Arial"/>
          <w:szCs w:val="20"/>
        </w:rPr>
      </w:pPr>
    </w:p>
    <w:p w:rsidR="0068151C" w:rsidRPr="0027745B" w:rsidRDefault="0068151C" w:rsidP="0068151C">
      <w:pPr>
        <w:tabs>
          <w:tab w:val="left" w:pos="709"/>
        </w:tabs>
        <w:autoSpaceDE w:val="0"/>
        <w:autoSpaceDN w:val="0"/>
        <w:adjustRightInd w:val="0"/>
        <w:jc w:val="both"/>
        <w:rPr>
          <w:szCs w:val="20"/>
        </w:rPr>
      </w:pPr>
      <w:r w:rsidRPr="00155D6F">
        <w:rPr>
          <w:rFonts w:cs="Arial"/>
          <w:szCs w:val="20"/>
        </w:rPr>
        <w:t>12.4</w:t>
      </w:r>
      <w:r w:rsidR="00681EDE">
        <w:rPr>
          <w:rFonts w:cs="Arial"/>
          <w:szCs w:val="20"/>
        </w:rPr>
        <w:t>.</w:t>
      </w:r>
      <w:r w:rsidRPr="00155D6F">
        <w:rPr>
          <w:rFonts w:cs="Arial"/>
          <w:szCs w:val="20"/>
        </w:rPr>
        <w:tab/>
        <w:t xml:space="preserve">The number of revisions to the IPC decreased in 2012 due to the difficulties of the IP5 Offices to agree on the framework for the Common Hybrid Classification project.  </w:t>
      </w:r>
      <w:r w:rsidRPr="0027745B">
        <w:rPr>
          <w:rFonts w:cs="Arial"/>
          <w:szCs w:val="20"/>
        </w:rPr>
        <w:t xml:space="preserve">Interest in the IPC was renewed in 2013, following the approval of a road map by the IPC Committee of Experts, resulting in the reactivation of the IP5 Offices cooperation.  As a result, </w:t>
      </w:r>
      <w:r w:rsidRPr="0027745B">
        <w:rPr>
          <w:szCs w:val="20"/>
        </w:rPr>
        <w:t>the IPC received an increased number of revision requests, being submitted by a wider range of Offices.  Offices continued to actively use the new reclassification platform, which was put into production in 2012.  In order to further facilitate the use of the IPC, a modified publication platform including a new search tool and the IPC/CPC/FI parallel viewer were developed and tested internally.  The revised publication platform became publicly available in April 2014.</w:t>
      </w:r>
    </w:p>
    <w:p w:rsidR="0068151C" w:rsidRPr="0027745B" w:rsidRDefault="0068151C" w:rsidP="0068151C">
      <w:pPr>
        <w:autoSpaceDE w:val="0"/>
        <w:autoSpaceDN w:val="0"/>
        <w:adjustRightInd w:val="0"/>
        <w:jc w:val="both"/>
        <w:rPr>
          <w:rFonts w:cs="Arial"/>
          <w:szCs w:val="20"/>
        </w:rPr>
      </w:pPr>
    </w:p>
    <w:p w:rsidR="0068151C" w:rsidRPr="0027745B" w:rsidRDefault="0068151C" w:rsidP="0068151C">
      <w:pPr>
        <w:tabs>
          <w:tab w:val="left" w:pos="709"/>
        </w:tabs>
        <w:autoSpaceDE w:val="0"/>
        <w:autoSpaceDN w:val="0"/>
        <w:adjustRightInd w:val="0"/>
        <w:jc w:val="both"/>
        <w:rPr>
          <w:bCs/>
          <w:color w:val="000000"/>
          <w:szCs w:val="20"/>
        </w:rPr>
      </w:pPr>
      <w:r w:rsidRPr="00155D6F">
        <w:rPr>
          <w:rFonts w:cs="Arial"/>
          <w:szCs w:val="20"/>
        </w:rPr>
        <w:t>12.5</w:t>
      </w:r>
      <w:r w:rsidR="00681EDE">
        <w:rPr>
          <w:rFonts w:cs="Arial"/>
          <w:szCs w:val="20"/>
        </w:rPr>
        <w:t>.</w:t>
      </w:r>
      <w:r w:rsidRPr="00155D6F">
        <w:rPr>
          <w:rFonts w:cs="Arial"/>
          <w:szCs w:val="20"/>
        </w:rPr>
        <w:tab/>
        <w:t xml:space="preserve">The Committee on WIPO Standards (CWS) met at its regular second </w:t>
      </w:r>
      <w:r w:rsidRPr="0027745B">
        <w:rPr>
          <w:rFonts w:cs="Arial"/>
          <w:szCs w:val="20"/>
        </w:rPr>
        <w:t>and third sessions during the biennium</w:t>
      </w:r>
      <w:r w:rsidRPr="0027745B">
        <w:rPr>
          <w:szCs w:val="20"/>
        </w:rPr>
        <w:t xml:space="preserve"> and, in spite of institutional challenges, achieved good progress in its technical work, in particular, by adopting the first version of the XML for IP (ST.96) Standard. </w:t>
      </w:r>
      <w:r w:rsidR="00681EDE">
        <w:rPr>
          <w:szCs w:val="20"/>
        </w:rPr>
        <w:t xml:space="preserve"> </w:t>
      </w:r>
      <w:r w:rsidRPr="0027745B">
        <w:rPr>
          <w:szCs w:val="20"/>
        </w:rPr>
        <w:t>The consideration of a new Standard on legal status was initiated at the third session and showed good progress.  The WIPO Standards Administration Database (WIPOSTAD) was used for collecting replies and publishing surveys.</w:t>
      </w:r>
    </w:p>
    <w:p w:rsidR="0068151C" w:rsidRPr="0027745B" w:rsidRDefault="0068151C" w:rsidP="0068151C">
      <w:pPr>
        <w:rPr>
          <w:bCs/>
          <w:szCs w:val="20"/>
        </w:rPr>
      </w:pPr>
    </w:p>
    <w:p w:rsidR="0068151C" w:rsidRPr="002C4083" w:rsidRDefault="0068151C" w:rsidP="0068151C">
      <w:pPr>
        <w:keepNext/>
        <w:keepLines/>
        <w:jc w:val="both"/>
        <w:rPr>
          <w:rFonts w:cs="Arial"/>
          <w:bCs/>
          <w:szCs w:val="20"/>
        </w:rPr>
      </w:pPr>
      <w:r w:rsidRPr="002C4083">
        <w:rPr>
          <w:rFonts w:cs="Arial"/>
          <w:bCs/>
          <w:szCs w:val="20"/>
        </w:rPr>
        <w:t xml:space="preserve">IMPLEMENTATION OF THE DEVELOPMENT AGENDA </w:t>
      </w:r>
    </w:p>
    <w:p w:rsidR="0068151C" w:rsidRPr="00155D6F" w:rsidRDefault="0068151C" w:rsidP="0068151C">
      <w:pPr>
        <w:rPr>
          <w:szCs w:val="20"/>
        </w:rPr>
      </w:pPr>
    </w:p>
    <w:p w:rsidR="0068151C" w:rsidRPr="0027745B" w:rsidRDefault="0068151C" w:rsidP="0068151C">
      <w:pPr>
        <w:tabs>
          <w:tab w:val="left" w:pos="709"/>
        </w:tabs>
        <w:rPr>
          <w:rFonts w:eastAsia="MS Mincho"/>
          <w:szCs w:val="20"/>
          <w:lang w:eastAsia="ja-JP" w:bidi="th-TH"/>
        </w:rPr>
      </w:pPr>
      <w:r w:rsidRPr="00DB21E9">
        <w:rPr>
          <w:rFonts w:eastAsia="MS Mincho"/>
          <w:szCs w:val="20"/>
          <w:lang w:eastAsia="ja-JP" w:bidi="th-TH"/>
        </w:rPr>
        <w:t>12.6</w:t>
      </w:r>
      <w:r w:rsidR="00681EDE">
        <w:rPr>
          <w:rFonts w:eastAsia="MS Mincho"/>
          <w:szCs w:val="20"/>
          <w:lang w:eastAsia="ja-JP" w:bidi="th-TH"/>
        </w:rPr>
        <w:t>.</w:t>
      </w:r>
      <w:r w:rsidRPr="00DB21E9">
        <w:rPr>
          <w:rFonts w:eastAsia="MS Mincho"/>
          <w:szCs w:val="20"/>
          <w:lang w:eastAsia="ja-JP" w:bidi="th-TH"/>
        </w:rPr>
        <w:tab/>
      </w:r>
      <w:r w:rsidRPr="0027745B">
        <w:rPr>
          <w:rFonts w:eastAsia="MS Mincho"/>
          <w:szCs w:val="20"/>
          <w:lang w:eastAsia="ja-JP" w:bidi="th-TH"/>
        </w:rPr>
        <w:t>The work of Program 12 supports the implementation of DA Recommendations 8, 30 and 31 by facilitating access for developing countries to publicly available patent information.  In doing so, it also contributes to efforts related to the transfer of technologies.</w:t>
      </w:r>
    </w:p>
    <w:p w:rsidR="0068151C" w:rsidRPr="0027745B" w:rsidRDefault="0068151C" w:rsidP="0068151C">
      <w:pPr>
        <w:rPr>
          <w:rFonts w:eastAsia="MS Mincho"/>
          <w:szCs w:val="20"/>
          <w:lang w:eastAsia="ja-JP" w:bidi="th-TH"/>
        </w:rPr>
      </w:pPr>
    </w:p>
    <w:p w:rsidR="0068151C" w:rsidRDefault="0068151C" w:rsidP="0068151C">
      <w:pPr>
        <w:rPr>
          <w:rFonts w:cs="Arial"/>
          <w:sz w:val="22"/>
          <w:szCs w:val="22"/>
        </w:rPr>
      </w:pPr>
      <w:r>
        <w:rPr>
          <w:rFonts w:cs="Arial"/>
          <w:sz w:val="22"/>
          <w:szCs w:val="22"/>
        </w:rPr>
        <w:br w:type="page"/>
      </w:r>
    </w:p>
    <w:p w:rsidR="0068151C" w:rsidRDefault="0068151C" w:rsidP="0068151C">
      <w:pPr>
        <w:jc w:val="both"/>
        <w:rPr>
          <w:rFonts w:cs="Arial"/>
          <w:sz w:val="22"/>
          <w:szCs w:val="22"/>
        </w:rPr>
      </w:pPr>
      <w:r w:rsidRPr="005E6AFC">
        <w:rPr>
          <w:rFonts w:cs="Arial"/>
          <w:sz w:val="22"/>
          <w:szCs w:val="22"/>
        </w:rPr>
        <w:lastRenderedPageBreak/>
        <w:t>PERFORMANCE DATA</w:t>
      </w:r>
    </w:p>
    <w:p w:rsidR="0068151C" w:rsidRPr="00A8525E" w:rsidRDefault="0068151C" w:rsidP="0068151C"/>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7"/>
        <w:gridCol w:w="1937"/>
        <w:gridCol w:w="1258"/>
        <w:gridCol w:w="3279"/>
        <w:gridCol w:w="1276"/>
      </w:tblGrid>
      <w:tr w:rsidR="0068151C" w:rsidRPr="0068151C" w:rsidTr="0068151C">
        <w:tc>
          <w:tcPr>
            <w:tcW w:w="5000" w:type="pct"/>
            <w:gridSpan w:val="5"/>
            <w:tcBorders>
              <w:top w:val="single" w:sz="4" w:space="0" w:color="auto"/>
              <w:bottom w:val="single" w:sz="4" w:space="0" w:color="auto"/>
            </w:tcBorders>
            <w:shd w:val="clear" w:color="auto" w:fill="CCFFFF"/>
            <w:vAlign w:val="center"/>
          </w:tcPr>
          <w:p w:rsidR="0068151C" w:rsidRPr="0068151C" w:rsidRDefault="0068151C"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Updated and globally accepted system of international classifications and WIPO standards to facilitate access, use and dissemination of IP information among stakeholders in the world</w:t>
            </w:r>
          </w:p>
        </w:tc>
      </w:tr>
      <w:tr w:rsidR="0068151C" w:rsidRPr="0068151C" w:rsidTr="009C4AA7">
        <w:tc>
          <w:tcPr>
            <w:tcW w:w="859" w:type="pct"/>
            <w:tcBorders>
              <w:top w:val="single" w:sz="4" w:space="0" w:color="auto"/>
            </w:tcBorders>
            <w:shd w:val="clear" w:color="auto" w:fill="auto"/>
            <w:vAlign w:val="center"/>
          </w:tcPr>
          <w:p w:rsidR="0068151C" w:rsidRPr="0068151C" w:rsidRDefault="0068151C" w:rsidP="0068151C">
            <w:pPr>
              <w:rPr>
                <w:rFonts w:cs="Arial"/>
                <w:sz w:val="16"/>
                <w:szCs w:val="16"/>
              </w:rPr>
            </w:pPr>
            <w:r w:rsidRPr="0068151C">
              <w:rPr>
                <w:rFonts w:cs="Arial"/>
                <w:b/>
                <w:bCs/>
                <w:sz w:val="16"/>
                <w:szCs w:val="16"/>
              </w:rPr>
              <w:t>Performance Indicators</w:t>
            </w:r>
          </w:p>
        </w:tc>
        <w:tc>
          <w:tcPr>
            <w:tcW w:w="1035" w:type="pct"/>
            <w:tcBorders>
              <w:top w:val="single" w:sz="4" w:space="0" w:color="auto"/>
            </w:tcBorders>
            <w:shd w:val="clear" w:color="auto" w:fill="auto"/>
            <w:vAlign w:val="center"/>
          </w:tcPr>
          <w:p w:rsidR="0068151C" w:rsidRPr="0068151C" w:rsidRDefault="0068151C" w:rsidP="0068151C">
            <w:pPr>
              <w:rPr>
                <w:rFonts w:cs="Arial"/>
                <w:b/>
                <w:bCs/>
                <w:sz w:val="16"/>
                <w:szCs w:val="16"/>
              </w:rPr>
            </w:pPr>
            <w:r w:rsidRPr="0068151C">
              <w:rPr>
                <w:rFonts w:cs="Arial"/>
                <w:b/>
                <w:bCs/>
                <w:sz w:val="16"/>
                <w:szCs w:val="16"/>
              </w:rPr>
              <w:t>Baselines</w:t>
            </w:r>
          </w:p>
        </w:tc>
        <w:tc>
          <w:tcPr>
            <w:tcW w:w="672" w:type="pct"/>
            <w:tcBorders>
              <w:top w:val="single" w:sz="4" w:space="0" w:color="auto"/>
            </w:tcBorders>
            <w:shd w:val="clear" w:color="auto" w:fill="auto"/>
            <w:tcMar>
              <w:top w:w="110" w:type="dxa"/>
            </w:tcMar>
            <w:vAlign w:val="center"/>
          </w:tcPr>
          <w:p w:rsidR="0068151C" w:rsidRPr="0068151C" w:rsidRDefault="0068151C" w:rsidP="0068151C">
            <w:pPr>
              <w:rPr>
                <w:rFonts w:cs="Arial"/>
                <w:b/>
                <w:sz w:val="16"/>
                <w:szCs w:val="16"/>
              </w:rPr>
            </w:pPr>
            <w:r w:rsidRPr="0068151C">
              <w:rPr>
                <w:rFonts w:cs="Arial"/>
                <w:b/>
                <w:sz w:val="16"/>
                <w:szCs w:val="16"/>
              </w:rPr>
              <w:t>Target</w:t>
            </w:r>
            <w:r w:rsidR="00582788">
              <w:rPr>
                <w:rFonts w:cs="Arial"/>
                <w:b/>
                <w:sz w:val="16"/>
                <w:szCs w:val="16"/>
              </w:rPr>
              <w:t>s</w:t>
            </w:r>
          </w:p>
        </w:tc>
        <w:tc>
          <w:tcPr>
            <w:tcW w:w="1752" w:type="pct"/>
            <w:tcBorders>
              <w:top w:val="single" w:sz="4" w:space="0" w:color="auto"/>
            </w:tcBorders>
            <w:shd w:val="clear" w:color="auto" w:fill="FFFFFF"/>
            <w:tcMar>
              <w:top w:w="110" w:type="dxa"/>
            </w:tcMar>
            <w:vAlign w:val="center"/>
          </w:tcPr>
          <w:p w:rsidR="0068151C" w:rsidRPr="0068151C" w:rsidRDefault="0068151C" w:rsidP="0068151C">
            <w:pPr>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68151C" w:rsidRPr="0068151C" w:rsidRDefault="0068151C" w:rsidP="0068151C">
            <w:pPr>
              <w:keepNext/>
              <w:keepLines/>
              <w:jc w:val="center"/>
              <w:rPr>
                <w:rFonts w:cs="Arial"/>
                <w:b/>
                <w:bCs/>
                <w:sz w:val="16"/>
                <w:szCs w:val="16"/>
              </w:rPr>
            </w:pPr>
            <w:r w:rsidRPr="0068151C">
              <w:rPr>
                <w:rFonts w:cs="Arial"/>
                <w:b/>
                <w:bCs/>
                <w:sz w:val="16"/>
                <w:szCs w:val="16"/>
              </w:rPr>
              <w:t>TLS</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color w:val="000000"/>
                <w:sz w:val="16"/>
                <w:szCs w:val="16"/>
              </w:rPr>
              <w:t>No. o</w:t>
            </w:r>
            <w:r w:rsidR="00681EDE">
              <w:rPr>
                <w:rFonts w:cs="Arial"/>
                <w:color w:val="000000"/>
                <w:sz w:val="16"/>
                <w:szCs w:val="16"/>
              </w:rPr>
              <w:t>f Offices using WIPO standards</w:t>
            </w:r>
          </w:p>
        </w:tc>
        <w:tc>
          <w:tcPr>
            <w:tcW w:w="1035" w:type="pct"/>
            <w:shd w:val="clear" w:color="auto" w:fill="auto"/>
          </w:tcPr>
          <w:p w:rsidR="0068151C" w:rsidRPr="0068151C" w:rsidRDefault="0068151C" w:rsidP="0068151C">
            <w:pPr>
              <w:rPr>
                <w:rFonts w:cs="Arial"/>
                <w:i/>
                <w:color w:val="002060"/>
                <w:sz w:val="16"/>
                <w:szCs w:val="16"/>
              </w:rPr>
            </w:pPr>
            <w:r w:rsidRPr="0068151C">
              <w:rPr>
                <w:rFonts w:cs="Arial"/>
                <w:i/>
                <w:color w:val="002060"/>
                <w:sz w:val="16"/>
                <w:szCs w:val="16"/>
              </w:rPr>
              <w:t xml:space="preserve">Updated Baseline end 2011:  </w:t>
            </w:r>
            <w:r w:rsidRPr="0068151C">
              <w:rPr>
                <w:rFonts w:cs="Arial"/>
                <w:color w:val="002060"/>
                <w:sz w:val="16"/>
                <w:szCs w:val="16"/>
                <w:lang w:bidi="th-TH"/>
              </w:rPr>
              <w:t>65 Annual Technical Reports submitted</w:t>
            </w:r>
            <w:r w:rsidRPr="0068151C">
              <w:rPr>
                <w:rFonts w:cs="Arial"/>
                <w:i/>
                <w:color w:val="002060"/>
                <w:sz w:val="16"/>
                <w:szCs w:val="16"/>
              </w:rPr>
              <w:t xml:space="preserve">.  </w:t>
            </w:r>
            <w:r w:rsidRPr="0068151C">
              <w:rPr>
                <w:rFonts w:cs="Arial"/>
                <w:color w:val="002060"/>
                <w:sz w:val="16"/>
                <w:szCs w:val="16"/>
                <w:lang w:bidi="th-TH"/>
              </w:rPr>
              <w:t>30 Patent Offices participated in one survey</w:t>
            </w:r>
          </w:p>
          <w:p w:rsidR="0068151C" w:rsidRPr="0068151C" w:rsidRDefault="0068151C" w:rsidP="0068151C">
            <w:pPr>
              <w:rPr>
                <w:rFonts w:cs="Arial"/>
                <w:i/>
                <w:sz w:val="8"/>
                <w:szCs w:val="8"/>
              </w:rPr>
            </w:pPr>
          </w:p>
          <w:p w:rsidR="0068151C" w:rsidRPr="0068151C" w:rsidRDefault="0068151C" w:rsidP="0068151C">
            <w:pPr>
              <w:rPr>
                <w:rFonts w:cs="Arial"/>
                <w:sz w:val="16"/>
                <w:szCs w:val="16"/>
              </w:rPr>
            </w:pPr>
            <w:r w:rsidRPr="0068151C">
              <w:rPr>
                <w:rFonts w:cs="Arial"/>
                <w:i/>
                <w:sz w:val="16"/>
                <w:szCs w:val="16"/>
              </w:rPr>
              <w:t>Original Baseline P&amp;B 2012/13:</w:t>
            </w:r>
            <w:r w:rsidRPr="0068151C">
              <w:rPr>
                <w:rFonts w:cs="Arial"/>
                <w:sz w:val="16"/>
                <w:szCs w:val="16"/>
              </w:rPr>
              <w:t xml:space="preserve"> Tbd end 2011</w:t>
            </w:r>
          </w:p>
        </w:tc>
        <w:tc>
          <w:tcPr>
            <w:tcW w:w="672" w:type="pct"/>
            <w:shd w:val="clear" w:color="auto" w:fill="auto"/>
            <w:tcMar>
              <w:top w:w="110" w:type="dxa"/>
            </w:tcMar>
          </w:tcPr>
          <w:p w:rsidR="0068151C" w:rsidRPr="0068151C" w:rsidRDefault="0068151C" w:rsidP="0068151C">
            <w:pPr>
              <w:rPr>
                <w:rFonts w:cs="Arial"/>
                <w:sz w:val="16"/>
                <w:szCs w:val="16"/>
                <w:lang w:bidi="th-TH"/>
              </w:rPr>
            </w:pPr>
            <w:r w:rsidRPr="0068151C">
              <w:rPr>
                <w:rFonts w:cs="Arial"/>
                <w:sz w:val="16"/>
                <w:szCs w:val="16"/>
              </w:rPr>
              <w:t>Tbd end 2011</w:t>
            </w:r>
          </w:p>
        </w:tc>
        <w:tc>
          <w:tcPr>
            <w:tcW w:w="1752" w:type="pct"/>
            <w:shd w:val="clear" w:color="auto" w:fill="FFFFFF"/>
            <w:tcMar>
              <w:top w:w="110" w:type="dxa"/>
            </w:tcMar>
          </w:tcPr>
          <w:p w:rsidR="0068151C" w:rsidRPr="0068151C" w:rsidRDefault="0068151C" w:rsidP="0068151C">
            <w:pPr>
              <w:rPr>
                <w:rFonts w:cs="Arial"/>
                <w:sz w:val="16"/>
                <w:szCs w:val="16"/>
                <w:lang w:bidi="th-TH"/>
              </w:rPr>
            </w:pPr>
            <w:r w:rsidRPr="0068151C">
              <w:rPr>
                <w:rFonts w:cs="Arial"/>
                <w:sz w:val="16"/>
                <w:szCs w:val="16"/>
                <w:lang w:bidi="th-TH"/>
              </w:rPr>
              <w:t>82 Annual Technical Reports (2012) submitted</w:t>
            </w:r>
            <w:r w:rsidR="003F004E">
              <w:rPr>
                <w:rFonts w:cs="Arial"/>
                <w:sz w:val="16"/>
                <w:szCs w:val="16"/>
                <w:lang w:bidi="th-TH"/>
              </w:rPr>
              <w:t xml:space="preserve">; </w:t>
            </w:r>
            <w:r w:rsidRPr="0068151C">
              <w:rPr>
                <w:rFonts w:cs="Arial"/>
                <w:sz w:val="16"/>
                <w:szCs w:val="16"/>
                <w:lang w:bidi="th-TH"/>
              </w:rPr>
              <w:t>78 Annual Technical Reports (2013) submitted</w:t>
            </w:r>
            <w:r w:rsidR="00681EDE">
              <w:rPr>
                <w:rFonts w:cs="Arial"/>
                <w:sz w:val="16"/>
                <w:szCs w:val="16"/>
                <w:lang w:bidi="th-TH"/>
              </w:rPr>
              <w:t>.</w:t>
            </w:r>
          </w:p>
          <w:p w:rsidR="0068151C" w:rsidRPr="00681EDE" w:rsidRDefault="0068151C" w:rsidP="0068151C">
            <w:pPr>
              <w:rPr>
                <w:rFonts w:cs="Arial"/>
                <w:sz w:val="8"/>
                <w:szCs w:val="8"/>
                <w:lang w:bidi="th-TH"/>
              </w:rPr>
            </w:pPr>
          </w:p>
          <w:p w:rsidR="0068151C" w:rsidRPr="0068151C" w:rsidRDefault="0068151C" w:rsidP="0068151C">
            <w:pPr>
              <w:rPr>
                <w:rFonts w:cs="Arial"/>
                <w:sz w:val="16"/>
                <w:szCs w:val="16"/>
              </w:rPr>
            </w:pPr>
            <w:r w:rsidRPr="0068151C">
              <w:rPr>
                <w:rFonts w:cs="Arial"/>
                <w:sz w:val="16"/>
                <w:szCs w:val="16"/>
                <w:lang w:bidi="th-TH"/>
              </w:rPr>
              <w:t>35 Offices participated in the survey on numbering systems</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Style w:val="Style5"/>
                <w:rFonts w:ascii="Arial" w:hAnsi="Arial" w:cs="Arial"/>
                <w:sz w:val="16"/>
                <w:szCs w:val="16"/>
              </w:rPr>
              <w:t>Not Assessable</w:t>
            </w:r>
          </w:p>
        </w:tc>
      </w:tr>
      <w:tr w:rsidR="0068151C" w:rsidRPr="0068151C" w:rsidTr="009C4AA7">
        <w:tc>
          <w:tcPr>
            <w:tcW w:w="859" w:type="pct"/>
            <w:shd w:val="clear" w:color="auto" w:fill="auto"/>
          </w:tcPr>
          <w:p w:rsidR="0068151C" w:rsidRPr="0068151C" w:rsidRDefault="0068151C" w:rsidP="0068151C">
            <w:pPr>
              <w:rPr>
                <w:rFonts w:cs="Arial"/>
                <w:sz w:val="16"/>
                <w:szCs w:val="16"/>
              </w:rPr>
            </w:pPr>
            <w:r w:rsidRPr="0068151C">
              <w:rPr>
                <w:rFonts w:cs="Arial"/>
                <w:color w:val="000000"/>
                <w:sz w:val="16"/>
                <w:szCs w:val="16"/>
              </w:rPr>
              <w:t>No. of amendments to the Nice Classification</w:t>
            </w:r>
          </w:p>
        </w:tc>
        <w:tc>
          <w:tcPr>
            <w:tcW w:w="1035" w:type="pct"/>
            <w:shd w:val="clear" w:color="auto" w:fill="auto"/>
          </w:tcPr>
          <w:p w:rsidR="0068151C" w:rsidRPr="0068151C" w:rsidRDefault="0068151C" w:rsidP="0068151C">
            <w:pPr>
              <w:rPr>
                <w:rFonts w:cs="Arial"/>
                <w:sz w:val="16"/>
                <w:szCs w:val="16"/>
              </w:rPr>
            </w:pPr>
            <w:r w:rsidRPr="0068151C">
              <w:rPr>
                <w:rFonts w:cs="Arial"/>
                <w:sz w:val="16"/>
                <w:szCs w:val="16"/>
              </w:rPr>
              <w:t>300 modifications per year in the two languages (average of 2006-2010)</w:t>
            </w:r>
          </w:p>
        </w:tc>
        <w:tc>
          <w:tcPr>
            <w:tcW w:w="672" w:type="pct"/>
            <w:shd w:val="clear" w:color="auto" w:fill="auto"/>
            <w:tcMar>
              <w:top w:w="110" w:type="dxa"/>
            </w:tcMar>
          </w:tcPr>
          <w:p w:rsidR="0068151C" w:rsidRPr="0068151C" w:rsidRDefault="0068151C" w:rsidP="00681EDE">
            <w:pPr>
              <w:autoSpaceDE w:val="0"/>
              <w:autoSpaceDN w:val="0"/>
              <w:adjustRightInd w:val="0"/>
              <w:rPr>
                <w:rFonts w:cs="Arial"/>
                <w:sz w:val="16"/>
                <w:szCs w:val="16"/>
              </w:rPr>
            </w:pPr>
            <w:r w:rsidRPr="0068151C">
              <w:rPr>
                <w:rFonts w:cs="Arial"/>
                <w:sz w:val="16"/>
                <w:szCs w:val="16"/>
              </w:rPr>
              <w:t>Additional 2,000 terms from trilateral list and</w:t>
            </w:r>
            <w:r w:rsidR="00681EDE">
              <w:rPr>
                <w:rFonts w:cs="Arial"/>
                <w:sz w:val="16"/>
                <w:szCs w:val="16"/>
              </w:rPr>
              <w:t xml:space="preserve"> </w:t>
            </w:r>
            <w:r w:rsidRPr="0068151C">
              <w:rPr>
                <w:rFonts w:cs="Arial"/>
                <w:sz w:val="16"/>
                <w:szCs w:val="16"/>
              </w:rPr>
              <w:t>correction of 4,000 terms from linguistic</w:t>
            </w:r>
            <w:r w:rsidR="00681EDE">
              <w:rPr>
                <w:rFonts w:cs="Arial"/>
                <w:sz w:val="16"/>
                <w:szCs w:val="16"/>
              </w:rPr>
              <w:t xml:space="preserve"> </w:t>
            </w:r>
            <w:r w:rsidRPr="0068151C">
              <w:rPr>
                <w:rFonts w:cs="Arial"/>
                <w:sz w:val="16"/>
                <w:szCs w:val="16"/>
              </w:rPr>
              <w:t>improvement</w:t>
            </w:r>
          </w:p>
        </w:tc>
        <w:tc>
          <w:tcPr>
            <w:tcW w:w="1752" w:type="pct"/>
            <w:shd w:val="clear" w:color="auto" w:fill="FFFFFF"/>
            <w:tcMar>
              <w:top w:w="110" w:type="dxa"/>
            </w:tcMar>
          </w:tcPr>
          <w:p w:rsidR="0068151C" w:rsidRPr="0068151C" w:rsidRDefault="0068151C" w:rsidP="0068151C">
            <w:pPr>
              <w:rPr>
                <w:rFonts w:cs="Arial"/>
                <w:sz w:val="16"/>
                <w:szCs w:val="16"/>
              </w:rPr>
            </w:pPr>
            <w:r w:rsidRPr="0068151C">
              <w:rPr>
                <w:rFonts w:cs="Arial"/>
                <w:sz w:val="16"/>
                <w:szCs w:val="16"/>
                <w:lang w:bidi="th-TH"/>
              </w:rPr>
              <w:t>339 modifications in 2012</w:t>
            </w:r>
            <w:r w:rsidRPr="0068151C">
              <w:rPr>
                <w:rFonts w:cs="Arial"/>
                <w:sz w:val="16"/>
                <w:szCs w:val="16"/>
                <w:lang w:bidi="th-TH"/>
              </w:rPr>
              <w:br/>
              <w:t>423 modifications in 2013</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Fonts w:cs="Arial"/>
                <w:color w:val="FF0000"/>
                <w:sz w:val="16"/>
                <w:szCs w:val="16"/>
              </w:rPr>
              <w:t>Not</w:t>
            </w:r>
            <w:r w:rsidRPr="0068151C">
              <w:rPr>
                <w:rStyle w:val="Style5"/>
                <w:rFonts w:ascii="Arial" w:hAnsi="Arial" w:cs="Arial"/>
                <w:color w:val="FF0000"/>
                <w:sz w:val="16"/>
                <w:szCs w:val="16"/>
              </w:rPr>
              <w:br/>
              <w:t>Achieved</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sz w:val="16"/>
                <w:szCs w:val="16"/>
              </w:rPr>
              <w:t>Unified</w:t>
            </w:r>
            <w:r w:rsidRPr="0068151C">
              <w:rPr>
                <w:rFonts w:cs="Arial"/>
                <w:color w:val="000000"/>
                <w:sz w:val="16"/>
                <w:szCs w:val="16"/>
              </w:rPr>
              <w:t xml:space="preserve"> ECLA and FI in the IPC</w:t>
            </w:r>
          </w:p>
        </w:tc>
        <w:tc>
          <w:tcPr>
            <w:tcW w:w="1035" w:type="pct"/>
            <w:shd w:val="clear" w:color="auto" w:fill="auto"/>
          </w:tcPr>
          <w:p w:rsidR="0068151C" w:rsidRPr="0068151C" w:rsidRDefault="0068151C" w:rsidP="0068151C">
            <w:pPr>
              <w:rPr>
                <w:rFonts w:cs="Arial"/>
                <w:sz w:val="16"/>
                <w:szCs w:val="16"/>
              </w:rPr>
            </w:pPr>
            <w:r w:rsidRPr="0068151C">
              <w:rPr>
                <w:rFonts w:cs="Arial"/>
                <w:sz w:val="16"/>
                <w:szCs w:val="16"/>
              </w:rPr>
              <w:t>Separate publications of ECLA and FI in national databases</w:t>
            </w:r>
          </w:p>
        </w:tc>
        <w:tc>
          <w:tcPr>
            <w:tcW w:w="672" w:type="pct"/>
            <w:shd w:val="clear" w:color="auto" w:fill="auto"/>
            <w:tcMar>
              <w:top w:w="110" w:type="dxa"/>
            </w:tcMar>
          </w:tcPr>
          <w:p w:rsidR="0068151C" w:rsidRPr="0068151C" w:rsidRDefault="0068151C" w:rsidP="0068151C">
            <w:pPr>
              <w:autoSpaceDE w:val="0"/>
              <w:autoSpaceDN w:val="0"/>
              <w:adjustRightInd w:val="0"/>
              <w:rPr>
                <w:rFonts w:cs="Arial"/>
                <w:sz w:val="16"/>
                <w:szCs w:val="16"/>
              </w:rPr>
            </w:pPr>
            <w:r w:rsidRPr="0068151C">
              <w:rPr>
                <w:rFonts w:cs="Arial"/>
                <w:sz w:val="16"/>
                <w:szCs w:val="16"/>
              </w:rPr>
              <w:t>ECLA and FI included in</w:t>
            </w:r>
          </w:p>
          <w:p w:rsidR="0068151C" w:rsidRPr="0068151C" w:rsidRDefault="0068151C" w:rsidP="0068151C">
            <w:pPr>
              <w:rPr>
                <w:rFonts w:cs="Arial"/>
                <w:sz w:val="16"/>
                <w:szCs w:val="16"/>
                <w:lang w:bidi="th-TH"/>
              </w:rPr>
            </w:pPr>
            <w:r w:rsidRPr="0068151C">
              <w:rPr>
                <w:rFonts w:cs="Arial"/>
                <w:sz w:val="16"/>
                <w:szCs w:val="16"/>
              </w:rPr>
              <w:t>official IPC publications</w:t>
            </w:r>
            <w:r w:rsidRPr="0068151C" w:rsidDel="00617F0F">
              <w:rPr>
                <w:rFonts w:cs="Arial"/>
                <w:sz w:val="16"/>
                <w:szCs w:val="16"/>
              </w:rPr>
              <w:t xml:space="preserve"> </w:t>
            </w:r>
          </w:p>
        </w:tc>
        <w:tc>
          <w:tcPr>
            <w:tcW w:w="1752" w:type="pct"/>
            <w:shd w:val="clear" w:color="auto" w:fill="FFFFFF"/>
            <w:tcMar>
              <w:top w:w="110" w:type="dxa"/>
            </w:tcMar>
          </w:tcPr>
          <w:p w:rsidR="0068151C" w:rsidRPr="0068151C" w:rsidRDefault="0068151C" w:rsidP="003F004E">
            <w:pPr>
              <w:rPr>
                <w:rFonts w:cs="Arial"/>
                <w:sz w:val="16"/>
                <w:szCs w:val="16"/>
              </w:rPr>
            </w:pPr>
            <w:r w:rsidRPr="0068151C">
              <w:rPr>
                <w:rFonts w:cs="Arial"/>
                <w:sz w:val="16"/>
                <w:szCs w:val="16"/>
                <w:lang w:bidi="th-TH"/>
              </w:rPr>
              <w:t xml:space="preserve">The development of the IPC/CPC/FI </w:t>
            </w:r>
            <w:r w:rsidR="00681EDE">
              <w:rPr>
                <w:rFonts w:cs="Arial"/>
                <w:sz w:val="16"/>
                <w:szCs w:val="16"/>
                <w:lang w:bidi="th-TH"/>
              </w:rPr>
              <w:t xml:space="preserve">parallel viewer was completed.  </w:t>
            </w:r>
            <w:r w:rsidRPr="0068151C">
              <w:rPr>
                <w:rFonts w:cs="Arial"/>
                <w:sz w:val="16"/>
                <w:szCs w:val="16"/>
                <w:lang w:bidi="th-TH"/>
              </w:rPr>
              <w:t xml:space="preserve">Finalization and correction of minor errors were made prior to its </w:t>
            </w:r>
            <w:r w:rsidR="003F004E">
              <w:rPr>
                <w:rFonts w:cs="Arial"/>
                <w:sz w:val="16"/>
                <w:szCs w:val="16"/>
                <w:lang w:bidi="th-TH"/>
              </w:rPr>
              <w:t xml:space="preserve">entering into </w:t>
            </w:r>
            <w:r w:rsidRPr="0068151C">
              <w:rPr>
                <w:rFonts w:cs="Arial"/>
                <w:sz w:val="16"/>
                <w:szCs w:val="16"/>
                <w:lang w:bidi="th-TH"/>
              </w:rPr>
              <w:t>production in April</w:t>
            </w:r>
            <w:r w:rsidR="00681EDE">
              <w:rPr>
                <w:rFonts w:cs="Arial"/>
                <w:sz w:val="16"/>
                <w:szCs w:val="16"/>
                <w:lang w:bidi="th-TH"/>
              </w:rPr>
              <w:t> </w:t>
            </w:r>
            <w:r w:rsidRPr="0068151C">
              <w:rPr>
                <w:rFonts w:cs="Arial"/>
                <w:sz w:val="16"/>
                <w:szCs w:val="16"/>
                <w:lang w:bidi="th-TH"/>
              </w:rPr>
              <w:t>2014</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Fonts w:cs="Arial"/>
                <w:color w:val="E36C0A" w:themeColor="accent6" w:themeShade="BF"/>
                <w:sz w:val="16"/>
                <w:szCs w:val="16"/>
              </w:rPr>
              <w:t>Partially</w:t>
            </w:r>
            <w:r w:rsidRPr="0068151C">
              <w:rPr>
                <w:rStyle w:val="Style5"/>
                <w:rFonts w:ascii="Arial" w:hAnsi="Arial" w:cs="Arial"/>
                <w:color w:val="E36C0A" w:themeColor="accent6" w:themeShade="BF"/>
                <w:sz w:val="16"/>
                <w:szCs w:val="16"/>
              </w:rPr>
              <w:br/>
              <w:t>Achieved</w:t>
            </w:r>
            <w:r w:rsidRPr="0068151C" w:rsidDel="00617F0F">
              <w:rPr>
                <w:rStyle w:val="Style5"/>
                <w:rFonts w:ascii="Arial" w:hAnsi="Arial" w:cs="Arial"/>
                <w:color w:val="E36C0A" w:themeColor="accent6" w:themeShade="BF"/>
                <w:sz w:val="16"/>
                <w:szCs w:val="16"/>
              </w:rPr>
              <w:t xml:space="preserve"> </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sz w:val="16"/>
                <w:szCs w:val="16"/>
              </w:rPr>
              <w:t>Integration</w:t>
            </w:r>
            <w:r w:rsidRPr="0068151C">
              <w:rPr>
                <w:rFonts w:cs="Arial"/>
                <w:color w:val="000000"/>
                <w:sz w:val="16"/>
                <w:szCs w:val="16"/>
              </w:rPr>
              <w:t xml:space="preserve"> in Locarno Classification of a tool for searching visual features of design applications</w:t>
            </w:r>
          </w:p>
        </w:tc>
        <w:tc>
          <w:tcPr>
            <w:tcW w:w="1035" w:type="pct"/>
            <w:shd w:val="clear" w:color="auto" w:fill="auto"/>
          </w:tcPr>
          <w:p w:rsidR="0068151C" w:rsidRPr="0068151C" w:rsidRDefault="0068151C" w:rsidP="0068151C">
            <w:pPr>
              <w:rPr>
                <w:rFonts w:cs="Arial"/>
                <w:sz w:val="16"/>
                <w:szCs w:val="16"/>
              </w:rPr>
            </w:pPr>
            <w:r w:rsidRPr="0068151C">
              <w:rPr>
                <w:rFonts w:cs="Arial"/>
                <w:sz w:val="16"/>
                <w:szCs w:val="16"/>
              </w:rPr>
              <w:t>Absence of tool</w:t>
            </w:r>
          </w:p>
        </w:tc>
        <w:tc>
          <w:tcPr>
            <w:tcW w:w="672" w:type="pct"/>
            <w:shd w:val="clear" w:color="auto" w:fill="auto"/>
            <w:tcMar>
              <w:top w:w="110" w:type="dxa"/>
            </w:tcMar>
          </w:tcPr>
          <w:p w:rsidR="0068151C" w:rsidRPr="0068151C" w:rsidRDefault="0068151C" w:rsidP="0068151C">
            <w:pPr>
              <w:autoSpaceDE w:val="0"/>
              <w:autoSpaceDN w:val="0"/>
              <w:adjustRightInd w:val="0"/>
              <w:rPr>
                <w:rFonts w:cs="Arial"/>
                <w:sz w:val="16"/>
                <w:szCs w:val="16"/>
              </w:rPr>
            </w:pPr>
            <w:r w:rsidRPr="0068151C">
              <w:rPr>
                <w:rFonts w:cs="Arial"/>
                <w:sz w:val="16"/>
                <w:szCs w:val="16"/>
              </w:rPr>
              <w:t>Development of an indexing scheme for</w:t>
            </w:r>
          </w:p>
          <w:p w:rsidR="0068151C" w:rsidRPr="0068151C" w:rsidRDefault="0068151C" w:rsidP="0068151C">
            <w:pPr>
              <w:rPr>
                <w:rFonts w:cs="Arial"/>
                <w:sz w:val="16"/>
                <w:szCs w:val="16"/>
                <w:lang w:bidi="th-TH"/>
              </w:rPr>
            </w:pPr>
            <w:r w:rsidRPr="0068151C">
              <w:rPr>
                <w:rFonts w:cs="Arial"/>
                <w:sz w:val="16"/>
                <w:szCs w:val="16"/>
              </w:rPr>
              <w:t>Locarno</w:t>
            </w:r>
          </w:p>
        </w:tc>
        <w:tc>
          <w:tcPr>
            <w:tcW w:w="1752" w:type="pct"/>
            <w:shd w:val="clear" w:color="auto" w:fill="FFFFFF"/>
            <w:tcMar>
              <w:top w:w="110" w:type="dxa"/>
            </w:tcMar>
          </w:tcPr>
          <w:p w:rsidR="0068151C" w:rsidRPr="0068151C" w:rsidRDefault="0068151C" w:rsidP="0068151C">
            <w:pPr>
              <w:rPr>
                <w:rFonts w:cs="Arial"/>
                <w:sz w:val="16"/>
                <w:szCs w:val="16"/>
              </w:rPr>
            </w:pPr>
            <w:r w:rsidRPr="0068151C">
              <w:rPr>
                <w:rFonts w:cs="Arial"/>
                <w:sz w:val="16"/>
                <w:szCs w:val="16"/>
                <w:lang w:bidi="th-TH"/>
              </w:rPr>
              <w:t>The Pilot Group in charge of this development did not meet during the biennium</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Fonts w:cs="Arial"/>
                <w:color w:val="FF0000"/>
                <w:sz w:val="16"/>
                <w:szCs w:val="16"/>
              </w:rPr>
              <w:t>Not</w:t>
            </w:r>
            <w:r w:rsidRPr="0068151C">
              <w:rPr>
                <w:rStyle w:val="Style5"/>
                <w:rFonts w:ascii="Arial" w:hAnsi="Arial" w:cs="Arial"/>
                <w:color w:val="FF0000"/>
                <w:sz w:val="16"/>
                <w:szCs w:val="16"/>
              </w:rPr>
              <w:br/>
              <w:t>Achieved</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color w:val="000000"/>
                <w:sz w:val="16"/>
                <w:szCs w:val="16"/>
              </w:rPr>
              <w:t>N</w:t>
            </w:r>
            <w:r w:rsidRPr="0068151C">
              <w:rPr>
                <w:rFonts w:cs="Arial"/>
                <w:sz w:val="16"/>
                <w:szCs w:val="16"/>
              </w:rPr>
              <w:t>o</w:t>
            </w:r>
            <w:r w:rsidRPr="0068151C">
              <w:rPr>
                <w:rFonts w:cs="Arial"/>
                <w:color w:val="000000"/>
                <w:sz w:val="16"/>
                <w:szCs w:val="16"/>
              </w:rPr>
              <w:t>. of amended and new standards adopted</w:t>
            </w:r>
          </w:p>
        </w:tc>
        <w:tc>
          <w:tcPr>
            <w:tcW w:w="1035" w:type="pct"/>
            <w:shd w:val="clear" w:color="auto" w:fill="auto"/>
          </w:tcPr>
          <w:p w:rsidR="0068151C" w:rsidRPr="00681EDE" w:rsidRDefault="0068151C" w:rsidP="0068151C">
            <w:pPr>
              <w:rPr>
                <w:rFonts w:cs="Arial"/>
                <w:i/>
                <w:color w:val="002060"/>
                <w:sz w:val="16"/>
                <w:szCs w:val="16"/>
              </w:rPr>
            </w:pPr>
            <w:r w:rsidRPr="0068151C">
              <w:rPr>
                <w:rFonts w:cs="Arial"/>
                <w:i/>
                <w:color w:val="002060"/>
                <w:sz w:val="16"/>
                <w:szCs w:val="16"/>
              </w:rPr>
              <w:t>Updated Baseline end 2011:</w:t>
            </w:r>
            <w:r w:rsidR="00681EDE">
              <w:rPr>
                <w:rFonts w:cs="Arial"/>
                <w:i/>
                <w:color w:val="002060"/>
                <w:sz w:val="16"/>
                <w:szCs w:val="16"/>
              </w:rPr>
              <w:t xml:space="preserve">  </w:t>
            </w:r>
            <w:r w:rsidRPr="0068151C">
              <w:rPr>
                <w:rFonts w:cs="Arial"/>
                <w:color w:val="002060"/>
                <w:sz w:val="16"/>
                <w:szCs w:val="16"/>
                <w:lang w:bidi="th-TH"/>
              </w:rPr>
              <w:t>Two Standards</w:t>
            </w:r>
            <w:r w:rsidR="00681EDE">
              <w:rPr>
                <w:rFonts w:cs="Arial"/>
                <w:i/>
                <w:color w:val="002060"/>
                <w:sz w:val="16"/>
                <w:szCs w:val="16"/>
              </w:rPr>
              <w:t xml:space="preserve"> </w:t>
            </w:r>
            <w:r w:rsidRPr="0068151C">
              <w:rPr>
                <w:rFonts w:cs="Arial"/>
                <w:color w:val="002060"/>
                <w:sz w:val="16"/>
                <w:szCs w:val="16"/>
                <w:lang w:bidi="th-TH"/>
              </w:rPr>
              <w:t xml:space="preserve">amended. </w:t>
            </w:r>
            <w:r w:rsidR="00681EDE">
              <w:rPr>
                <w:rFonts w:cs="Arial"/>
                <w:color w:val="002060"/>
                <w:sz w:val="16"/>
                <w:szCs w:val="16"/>
                <w:lang w:bidi="th-TH"/>
              </w:rPr>
              <w:t xml:space="preserve"> </w:t>
            </w:r>
            <w:r w:rsidRPr="0068151C">
              <w:rPr>
                <w:rFonts w:cs="Arial"/>
                <w:color w:val="002060"/>
                <w:sz w:val="16"/>
                <w:szCs w:val="16"/>
                <w:lang w:bidi="th-TH"/>
              </w:rPr>
              <w:t>No new</w:t>
            </w:r>
            <w:r w:rsidR="00681EDE">
              <w:rPr>
                <w:rFonts w:cs="Arial"/>
                <w:i/>
                <w:color w:val="002060"/>
                <w:sz w:val="16"/>
                <w:szCs w:val="16"/>
              </w:rPr>
              <w:t xml:space="preserve"> </w:t>
            </w:r>
            <w:r w:rsidRPr="0068151C">
              <w:rPr>
                <w:rFonts w:cs="Arial"/>
                <w:color w:val="002060"/>
                <w:sz w:val="16"/>
                <w:szCs w:val="16"/>
                <w:lang w:bidi="th-TH"/>
              </w:rPr>
              <w:t>Standards</w:t>
            </w:r>
          </w:p>
          <w:p w:rsidR="0068151C" w:rsidRPr="0068151C" w:rsidRDefault="0068151C" w:rsidP="0068151C">
            <w:pPr>
              <w:rPr>
                <w:rFonts w:cs="Arial"/>
                <w:i/>
                <w:sz w:val="16"/>
                <w:szCs w:val="16"/>
              </w:rPr>
            </w:pPr>
          </w:p>
          <w:p w:rsidR="0068151C" w:rsidRPr="0068151C" w:rsidRDefault="0068151C" w:rsidP="0068151C">
            <w:pPr>
              <w:rPr>
                <w:rFonts w:cs="Arial"/>
                <w:sz w:val="16"/>
                <w:szCs w:val="16"/>
              </w:rPr>
            </w:pPr>
            <w:r w:rsidRPr="0068151C">
              <w:rPr>
                <w:rFonts w:cs="Arial"/>
                <w:i/>
                <w:sz w:val="16"/>
                <w:szCs w:val="16"/>
              </w:rPr>
              <w:t>Original Baseline P&amp;B 2012/13:</w:t>
            </w:r>
            <w:r w:rsidRPr="0068151C">
              <w:rPr>
                <w:rFonts w:cs="Arial"/>
                <w:sz w:val="16"/>
                <w:szCs w:val="16"/>
              </w:rPr>
              <w:br/>
              <w:t>Average 2010/11:  Tbd end 2011</w:t>
            </w:r>
          </w:p>
        </w:tc>
        <w:tc>
          <w:tcPr>
            <w:tcW w:w="672" w:type="pct"/>
            <w:shd w:val="clear" w:color="auto" w:fill="auto"/>
            <w:tcMar>
              <w:top w:w="110" w:type="dxa"/>
            </w:tcMar>
          </w:tcPr>
          <w:p w:rsidR="0068151C" w:rsidRPr="0068151C" w:rsidRDefault="0068151C" w:rsidP="0068151C">
            <w:pPr>
              <w:rPr>
                <w:rFonts w:cs="Arial"/>
                <w:sz w:val="16"/>
                <w:szCs w:val="16"/>
                <w:lang w:bidi="th-TH"/>
              </w:rPr>
            </w:pPr>
            <w:r w:rsidRPr="0068151C">
              <w:rPr>
                <w:rFonts w:cs="Arial"/>
                <w:sz w:val="16"/>
                <w:szCs w:val="16"/>
              </w:rPr>
              <w:t>Tbd end 2011</w:t>
            </w:r>
          </w:p>
        </w:tc>
        <w:tc>
          <w:tcPr>
            <w:tcW w:w="1752" w:type="pct"/>
            <w:shd w:val="clear" w:color="auto" w:fill="FFFFFF"/>
            <w:tcMar>
              <w:top w:w="110" w:type="dxa"/>
            </w:tcMar>
          </w:tcPr>
          <w:p w:rsidR="0068151C" w:rsidRPr="0068151C" w:rsidRDefault="0068151C" w:rsidP="0068151C">
            <w:pPr>
              <w:rPr>
                <w:rFonts w:cs="Arial"/>
                <w:sz w:val="16"/>
                <w:szCs w:val="16"/>
              </w:rPr>
            </w:pPr>
            <w:r w:rsidRPr="0068151C">
              <w:rPr>
                <w:rFonts w:cs="Arial"/>
                <w:sz w:val="16"/>
                <w:szCs w:val="16"/>
                <w:lang w:bidi="th-TH"/>
              </w:rPr>
              <w:t>One new Standard adopted and two amended in 2012</w:t>
            </w:r>
            <w:r w:rsidR="00681EDE">
              <w:rPr>
                <w:rFonts w:cs="Arial"/>
                <w:sz w:val="16"/>
                <w:szCs w:val="16"/>
                <w:lang w:bidi="th-TH"/>
              </w:rPr>
              <w:t xml:space="preserve">.  </w:t>
            </w:r>
            <w:r w:rsidRPr="0068151C">
              <w:rPr>
                <w:rFonts w:cs="Arial"/>
                <w:sz w:val="16"/>
                <w:szCs w:val="16"/>
                <w:lang w:bidi="th-TH"/>
              </w:rPr>
              <w:t>One Standard and the Glossary amended in 2013</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Style w:val="Style5"/>
                <w:rFonts w:ascii="Arial" w:hAnsi="Arial" w:cs="Arial"/>
                <w:sz w:val="16"/>
                <w:szCs w:val="16"/>
              </w:rPr>
              <w:t>Not Assessable</w:t>
            </w:r>
          </w:p>
        </w:tc>
      </w:tr>
      <w:tr w:rsidR="0068151C" w:rsidRPr="0068151C" w:rsidTr="009C4AA7">
        <w:tc>
          <w:tcPr>
            <w:tcW w:w="859" w:type="pct"/>
            <w:shd w:val="clear" w:color="auto" w:fill="auto"/>
          </w:tcPr>
          <w:p w:rsidR="0068151C" w:rsidRPr="0068151C" w:rsidRDefault="0068151C" w:rsidP="0068151C">
            <w:pPr>
              <w:rPr>
                <w:rFonts w:cs="Arial"/>
                <w:color w:val="000000"/>
                <w:sz w:val="16"/>
                <w:szCs w:val="16"/>
              </w:rPr>
            </w:pPr>
            <w:r w:rsidRPr="0068151C">
              <w:rPr>
                <w:rFonts w:cs="Arial"/>
                <w:color w:val="000000"/>
                <w:sz w:val="16"/>
                <w:szCs w:val="16"/>
              </w:rPr>
              <w:t>No. of Offices indicating satisfaction following training to improve their skills in the use of classifications</w:t>
            </w:r>
          </w:p>
        </w:tc>
        <w:tc>
          <w:tcPr>
            <w:tcW w:w="1035" w:type="pct"/>
            <w:shd w:val="clear" w:color="auto" w:fill="auto"/>
          </w:tcPr>
          <w:p w:rsidR="0068151C" w:rsidRPr="00681EDE" w:rsidRDefault="0068151C" w:rsidP="0068151C">
            <w:pPr>
              <w:rPr>
                <w:rFonts w:cs="Arial"/>
                <w:i/>
                <w:color w:val="002060"/>
                <w:sz w:val="16"/>
                <w:szCs w:val="16"/>
              </w:rPr>
            </w:pPr>
            <w:r w:rsidRPr="0068151C">
              <w:rPr>
                <w:rFonts w:cs="Arial"/>
                <w:i/>
                <w:color w:val="002060"/>
                <w:sz w:val="16"/>
                <w:szCs w:val="16"/>
              </w:rPr>
              <w:t>Updated Baseline end 2011:</w:t>
            </w:r>
            <w:r w:rsidR="00681EDE">
              <w:rPr>
                <w:rFonts w:cs="Arial"/>
                <w:i/>
                <w:color w:val="002060"/>
                <w:sz w:val="16"/>
                <w:szCs w:val="16"/>
              </w:rPr>
              <w:t xml:space="preserve">  </w:t>
            </w:r>
            <w:r w:rsidRPr="0068151C">
              <w:rPr>
                <w:rFonts w:cs="Arial"/>
                <w:color w:val="002060"/>
                <w:sz w:val="16"/>
                <w:szCs w:val="16"/>
                <w:lang w:bidi="th-TH"/>
              </w:rPr>
              <w:t>Based on five</w:t>
            </w:r>
            <w:r w:rsidR="00681EDE">
              <w:rPr>
                <w:rFonts w:cs="Arial"/>
                <w:i/>
                <w:color w:val="002060"/>
                <w:sz w:val="16"/>
                <w:szCs w:val="16"/>
              </w:rPr>
              <w:t xml:space="preserve"> </w:t>
            </w:r>
            <w:r w:rsidRPr="0068151C">
              <w:rPr>
                <w:rFonts w:cs="Arial"/>
                <w:color w:val="002060"/>
                <w:sz w:val="16"/>
                <w:szCs w:val="16"/>
                <w:lang w:bidi="th-TH"/>
              </w:rPr>
              <w:t>training courses</w:t>
            </w:r>
            <w:r w:rsidR="00681EDE">
              <w:rPr>
                <w:rFonts w:cs="Arial"/>
                <w:i/>
                <w:color w:val="002060"/>
                <w:sz w:val="16"/>
                <w:szCs w:val="16"/>
              </w:rPr>
              <w:t xml:space="preserve"> </w:t>
            </w:r>
            <w:r w:rsidRPr="0068151C">
              <w:rPr>
                <w:rFonts w:cs="Arial"/>
                <w:color w:val="002060"/>
                <w:sz w:val="16"/>
                <w:szCs w:val="16"/>
                <w:lang w:bidi="th-TH"/>
              </w:rPr>
              <w:t>undertaken, all</w:t>
            </w:r>
            <w:r w:rsidR="00681EDE">
              <w:rPr>
                <w:rFonts w:cs="Arial"/>
                <w:i/>
                <w:color w:val="002060"/>
                <w:sz w:val="16"/>
                <w:szCs w:val="16"/>
              </w:rPr>
              <w:t xml:space="preserve"> </w:t>
            </w:r>
            <w:r w:rsidRPr="0068151C">
              <w:rPr>
                <w:rFonts w:cs="Arial"/>
                <w:color w:val="002060"/>
                <w:sz w:val="16"/>
                <w:szCs w:val="16"/>
                <w:lang w:bidi="th-TH"/>
              </w:rPr>
              <w:t>evaluations gave the best score to all four questions</w:t>
            </w:r>
          </w:p>
          <w:p w:rsidR="0068151C" w:rsidRPr="0068151C" w:rsidRDefault="0068151C" w:rsidP="0068151C">
            <w:pPr>
              <w:rPr>
                <w:rFonts w:cs="Arial"/>
                <w:sz w:val="16"/>
                <w:szCs w:val="16"/>
                <w:lang w:bidi="th-TH"/>
              </w:rPr>
            </w:pPr>
          </w:p>
          <w:p w:rsidR="0068151C" w:rsidRPr="0068151C" w:rsidRDefault="0068151C" w:rsidP="0068151C">
            <w:pPr>
              <w:rPr>
                <w:rFonts w:cs="Arial"/>
                <w:sz w:val="16"/>
                <w:szCs w:val="16"/>
              </w:rPr>
            </w:pPr>
            <w:r w:rsidRPr="0068151C">
              <w:rPr>
                <w:rFonts w:cs="Arial"/>
                <w:i/>
                <w:sz w:val="16"/>
                <w:szCs w:val="16"/>
              </w:rPr>
              <w:t>Original Baseline P&amp;B 2012/13:</w:t>
            </w:r>
            <w:r w:rsidR="00681EDE">
              <w:rPr>
                <w:rFonts w:cs="Arial"/>
                <w:sz w:val="16"/>
                <w:szCs w:val="16"/>
              </w:rPr>
              <w:t xml:space="preserve">  </w:t>
            </w:r>
            <w:r w:rsidRPr="0068151C">
              <w:rPr>
                <w:rFonts w:cs="Arial"/>
                <w:sz w:val="16"/>
                <w:szCs w:val="16"/>
              </w:rPr>
              <w:t>Tbd end 2011</w:t>
            </w:r>
          </w:p>
        </w:tc>
        <w:tc>
          <w:tcPr>
            <w:tcW w:w="672" w:type="pct"/>
            <w:shd w:val="clear" w:color="auto" w:fill="auto"/>
            <w:tcMar>
              <w:top w:w="110" w:type="dxa"/>
            </w:tcMar>
          </w:tcPr>
          <w:p w:rsidR="0068151C" w:rsidRPr="0068151C" w:rsidRDefault="0068151C" w:rsidP="0068151C">
            <w:pPr>
              <w:rPr>
                <w:rFonts w:cs="Arial"/>
                <w:sz w:val="16"/>
                <w:szCs w:val="16"/>
                <w:lang w:bidi="th-TH"/>
              </w:rPr>
            </w:pPr>
            <w:r w:rsidRPr="0068151C">
              <w:rPr>
                <w:rFonts w:cs="Arial"/>
                <w:sz w:val="16"/>
                <w:szCs w:val="16"/>
              </w:rPr>
              <w:t>Tbd end 2011</w:t>
            </w:r>
          </w:p>
        </w:tc>
        <w:tc>
          <w:tcPr>
            <w:tcW w:w="1752" w:type="pct"/>
            <w:shd w:val="clear" w:color="auto" w:fill="FFFFFF"/>
            <w:tcMar>
              <w:top w:w="110" w:type="dxa"/>
            </w:tcMar>
          </w:tcPr>
          <w:p w:rsidR="0068151C" w:rsidRPr="0068151C" w:rsidRDefault="0068151C" w:rsidP="0068151C">
            <w:pPr>
              <w:rPr>
                <w:rFonts w:cs="Arial"/>
                <w:sz w:val="16"/>
                <w:szCs w:val="16"/>
              </w:rPr>
            </w:pPr>
            <w:r w:rsidRPr="0068151C">
              <w:rPr>
                <w:rFonts w:cs="Arial"/>
                <w:sz w:val="16"/>
                <w:szCs w:val="16"/>
                <w:lang w:bidi="th-TH"/>
              </w:rPr>
              <w:t>Six Offices responded to evaluation surveys indicating that they were either “Highly” or “Totally Satisfied” with the training provided</w:t>
            </w:r>
            <w:r w:rsidR="00681EDE">
              <w:rPr>
                <w:rFonts w:cs="Arial"/>
                <w:sz w:val="16"/>
                <w:szCs w:val="16"/>
                <w:lang w:bidi="th-TH"/>
              </w:rPr>
              <w:t>.</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Style w:val="Style5"/>
                <w:rFonts w:ascii="Arial" w:hAnsi="Arial" w:cs="Arial"/>
                <w:sz w:val="16"/>
                <w:szCs w:val="16"/>
              </w:rPr>
              <w:t>Not Assessable</w:t>
            </w:r>
          </w:p>
        </w:tc>
      </w:tr>
      <w:tr w:rsidR="0068151C" w:rsidRPr="0068151C" w:rsidTr="009C4AA7">
        <w:tc>
          <w:tcPr>
            <w:tcW w:w="859" w:type="pct"/>
            <w:shd w:val="clear" w:color="auto" w:fill="auto"/>
          </w:tcPr>
          <w:p w:rsidR="0068151C" w:rsidRPr="0068151C" w:rsidRDefault="0068151C" w:rsidP="0068151C">
            <w:pPr>
              <w:ind w:leftChars="-1" w:left="1" w:hangingChars="2" w:hanging="3"/>
              <w:rPr>
                <w:rFonts w:cs="Arial"/>
                <w:color w:val="000000"/>
                <w:sz w:val="16"/>
                <w:szCs w:val="16"/>
              </w:rPr>
            </w:pPr>
            <w:r w:rsidRPr="0068151C">
              <w:rPr>
                <w:rFonts w:cs="Arial"/>
                <w:color w:val="000000"/>
                <w:sz w:val="16"/>
                <w:szCs w:val="16"/>
              </w:rPr>
              <w:t>No. of users accessing  the internet publications of international classifications and standards, in particular from developing countries</w:t>
            </w:r>
          </w:p>
        </w:tc>
        <w:tc>
          <w:tcPr>
            <w:tcW w:w="1035" w:type="pct"/>
            <w:shd w:val="clear" w:color="auto" w:fill="auto"/>
          </w:tcPr>
          <w:p w:rsidR="0068151C" w:rsidRPr="0068151C" w:rsidRDefault="0068151C" w:rsidP="0068151C">
            <w:pPr>
              <w:rPr>
                <w:rFonts w:cs="Arial"/>
                <w:i/>
                <w:color w:val="002060"/>
                <w:sz w:val="16"/>
                <w:szCs w:val="16"/>
              </w:rPr>
            </w:pPr>
            <w:r w:rsidRPr="0068151C">
              <w:rPr>
                <w:rFonts w:cs="Arial"/>
                <w:i/>
                <w:color w:val="002060"/>
                <w:sz w:val="16"/>
                <w:szCs w:val="16"/>
              </w:rPr>
              <w:t>Updated Baseline end 2011:</w:t>
            </w:r>
          </w:p>
          <w:p w:rsidR="0068151C" w:rsidRPr="0068151C" w:rsidRDefault="0068151C" w:rsidP="0068151C">
            <w:pPr>
              <w:rPr>
                <w:rFonts w:cs="Arial"/>
                <w:color w:val="002060"/>
                <w:sz w:val="16"/>
                <w:szCs w:val="16"/>
              </w:rPr>
            </w:pPr>
            <w:r w:rsidRPr="0068151C">
              <w:rPr>
                <w:rFonts w:cs="Arial"/>
                <w:color w:val="002060"/>
                <w:sz w:val="16"/>
                <w:szCs w:val="16"/>
              </w:rPr>
              <w:t>IPC home: 341,583</w:t>
            </w:r>
          </w:p>
          <w:p w:rsidR="0068151C" w:rsidRPr="0068151C" w:rsidRDefault="0068151C" w:rsidP="0068151C">
            <w:pPr>
              <w:rPr>
                <w:rFonts w:cs="Arial"/>
                <w:color w:val="002060"/>
                <w:sz w:val="16"/>
                <w:szCs w:val="16"/>
              </w:rPr>
            </w:pPr>
            <w:r w:rsidRPr="0068151C">
              <w:rPr>
                <w:rFonts w:cs="Arial"/>
                <w:color w:val="002060"/>
                <w:sz w:val="16"/>
                <w:szCs w:val="16"/>
              </w:rPr>
              <w:t>Nice home: 307,403</w:t>
            </w:r>
          </w:p>
          <w:p w:rsidR="0068151C" w:rsidRPr="0068151C" w:rsidRDefault="0068151C" w:rsidP="0068151C">
            <w:pPr>
              <w:rPr>
                <w:rFonts w:cs="Arial"/>
                <w:color w:val="002060"/>
                <w:sz w:val="16"/>
                <w:szCs w:val="16"/>
              </w:rPr>
            </w:pPr>
            <w:r w:rsidRPr="0068151C">
              <w:rPr>
                <w:rFonts w:cs="Arial"/>
                <w:color w:val="002060"/>
                <w:sz w:val="16"/>
                <w:szCs w:val="16"/>
              </w:rPr>
              <w:t>Locarno home: 21,481</w:t>
            </w:r>
          </w:p>
          <w:p w:rsidR="0068151C" w:rsidRPr="0068151C" w:rsidRDefault="0068151C" w:rsidP="0068151C">
            <w:pPr>
              <w:rPr>
                <w:rFonts w:cs="Arial"/>
                <w:color w:val="002060"/>
                <w:sz w:val="16"/>
                <w:szCs w:val="16"/>
              </w:rPr>
            </w:pPr>
            <w:r w:rsidRPr="0068151C">
              <w:rPr>
                <w:rFonts w:cs="Arial"/>
                <w:color w:val="002060"/>
                <w:sz w:val="16"/>
                <w:szCs w:val="16"/>
              </w:rPr>
              <w:t>Vienna home: 19,691</w:t>
            </w:r>
          </w:p>
          <w:p w:rsidR="0068151C" w:rsidRPr="0068151C" w:rsidRDefault="0068151C" w:rsidP="0068151C">
            <w:pPr>
              <w:rPr>
                <w:rFonts w:cs="Arial"/>
                <w:color w:val="002060"/>
                <w:sz w:val="16"/>
                <w:szCs w:val="16"/>
              </w:rPr>
            </w:pPr>
            <w:r w:rsidRPr="0068151C">
              <w:rPr>
                <w:rFonts w:cs="Arial"/>
                <w:color w:val="002060"/>
                <w:sz w:val="16"/>
                <w:szCs w:val="16"/>
              </w:rPr>
              <w:t>IPC publication 55</w:t>
            </w:r>
            <w:r w:rsidR="00681EDE">
              <w:rPr>
                <w:rFonts w:cs="Arial"/>
                <w:color w:val="002060"/>
                <w:sz w:val="16"/>
                <w:szCs w:val="16"/>
              </w:rPr>
              <w:t>,</w:t>
            </w:r>
            <w:r w:rsidRPr="0068151C">
              <w:rPr>
                <w:rFonts w:cs="Arial"/>
                <w:color w:val="002060"/>
                <w:sz w:val="16"/>
                <w:szCs w:val="16"/>
              </w:rPr>
              <w:t>153</w:t>
            </w:r>
          </w:p>
          <w:p w:rsidR="0068151C" w:rsidRPr="0068151C" w:rsidRDefault="0068151C" w:rsidP="0068151C">
            <w:pPr>
              <w:rPr>
                <w:rFonts w:cs="Arial"/>
                <w:color w:val="002060"/>
                <w:sz w:val="16"/>
                <w:szCs w:val="16"/>
              </w:rPr>
            </w:pPr>
            <w:r w:rsidRPr="0068151C">
              <w:rPr>
                <w:rFonts w:cs="Arial"/>
                <w:color w:val="002060"/>
                <w:sz w:val="16"/>
                <w:szCs w:val="16"/>
              </w:rPr>
              <w:t>WIPO Standards</w:t>
            </w:r>
          </w:p>
          <w:p w:rsidR="0068151C" w:rsidRPr="0068151C" w:rsidRDefault="0068151C" w:rsidP="0068151C">
            <w:pPr>
              <w:rPr>
                <w:rFonts w:cs="Arial"/>
                <w:color w:val="002060"/>
                <w:sz w:val="16"/>
                <w:szCs w:val="16"/>
              </w:rPr>
            </w:pPr>
            <w:r w:rsidRPr="0068151C">
              <w:rPr>
                <w:rFonts w:cs="Arial"/>
                <w:color w:val="002060"/>
                <w:sz w:val="16"/>
                <w:szCs w:val="16"/>
              </w:rPr>
              <w:t>(Handbook) 95,323</w:t>
            </w:r>
          </w:p>
          <w:p w:rsidR="0068151C" w:rsidRPr="0068151C" w:rsidRDefault="0068151C" w:rsidP="0068151C">
            <w:pPr>
              <w:rPr>
                <w:rFonts w:cs="Arial"/>
                <w:i/>
                <w:sz w:val="16"/>
                <w:szCs w:val="16"/>
              </w:rPr>
            </w:pPr>
          </w:p>
          <w:p w:rsidR="0068151C" w:rsidRPr="0068151C" w:rsidRDefault="0068151C" w:rsidP="0068151C">
            <w:pPr>
              <w:rPr>
                <w:rFonts w:cs="Arial"/>
                <w:sz w:val="16"/>
                <w:szCs w:val="16"/>
              </w:rPr>
            </w:pPr>
            <w:r w:rsidRPr="0068151C">
              <w:rPr>
                <w:rFonts w:cs="Arial"/>
                <w:i/>
                <w:sz w:val="16"/>
                <w:szCs w:val="16"/>
              </w:rPr>
              <w:t>Original Baseline P&amp;B 2012/13:</w:t>
            </w:r>
            <w:r w:rsidR="00681EDE">
              <w:rPr>
                <w:rFonts w:cs="Arial"/>
                <w:sz w:val="16"/>
                <w:szCs w:val="16"/>
              </w:rPr>
              <w:t xml:space="preserve">  </w:t>
            </w:r>
            <w:r w:rsidRPr="0068151C">
              <w:rPr>
                <w:rFonts w:cs="Arial"/>
                <w:sz w:val="16"/>
                <w:szCs w:val="16"/>
              </w:rPr>
              <w:t>Tbd end 2011</w:t>
            </w:r>
          </w:p>
          <w:p w:rsidR="0068151C" w:rsidRPr="0068151C" w:rsidRDefault="0068151C" w:rsidP="0068151C">
            <w:pPr>
              <w:rPr>
                <w:rFonts w:cs="Arial"/>
                <w:sz w:val="16"/>
                <w:szCs w:val="16"/>
              </w:rPr>
            </w:pPr>
          </w:p>
        </w:tc>
        <w:tc>
          <w:tcPr>
            <w:tcW w:w="672" w:type="pct"/>
            <w:shd w:val="clear" w:color="auto" w:fill="auto"/>
            <w:tcMar>
              <w:top w:w="110" w:type="dxa"/>
            </w:tcMar>
          </w:tcPr>
          <w:p w:rsidR="0068151C" w:rsidRPr="0068151C" w:rsidRDefault="0068151C" w:rsidP="0068151C">
            <w:pPr>
              <w:rPr>
                <w:rFonts w:cs="Arial"/>
                <w:sz w:val="16"/>
                <w:szCs w:val="16"/>
              </w:rPr>
            </w:pPr>
            <w:r w:rsidRPr="0068151C">
              <w:rPr>
                <w:rFonts w:cs="Arial"/>
                <w:sz w:val="16"/>
                <w:szCs w:val="16"/>
              </w:rPr>
              <w:t>5% increase compared to baseline</w:t>
            </w:r>
          </w:p>
        </w:tc>
        <w:tc>
          <w:tcPr>
            <w:tcW w:w="1752" w:type="pct"/>
            <w:shd w:val="clear" w:color="auto" w:fill="FFFFFF"/>
            <w:tcMar>
              <w:top w:w="110" w:type="dxa"/>
            </w:tcMar>
          </w:tcPr>
          <w:p w:rsidR="0068151C" w:rsidRPr="0068151C" w:rsidRDefault="0068151C" w:rsidP="0068151C">
            <w:pPr>
              <w:rPr>
                <w:rFonts w:cs="Arial"/>
                <w:sz w:val="16"/>
                <w:szCs w:val="16"/>
                <w:u w:val="single"/>
                <w:lang w:bidi="th-TH"/>
              </w:rPr>
            </w:pPr>
            <w:r w:rsidRPr="0068151C">
              <w:rPr>
                <w:rFonts w:cs="Arial"/>
                <w:sz w:val="16"/>
                <w:szCs w:val="16"/>
                <w:u w:val="single"/>
                <w:lang w:bidi="th-TH"/>
              </w:rPr>
              <w:t>Visits 2012/2013</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IPC Home: 370,215 / 387,093</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NICE Home: 409,458 / 533,846</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LOCARNO Home: 27,327 / 36,727</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VIENNA home: 25,703 / 32,416</w:t>
            </w:r>
          </w:p>
          <w:p w:rsidR="0068151C" w:rsidRPr="0068151C" w:rsidRDefault="0068151C" w:rsidP="00681EDE">
            <w:pPr>
              <w:pStyle w:val="ListParagraph"/>
              <w:numPr>
                <w:ilvl w:val="0"/>
                <w:numId w:val="43"/>
              </w:numPr>
              <w:ind w:left="193" w:hanging="193"/>
              <w:rPr>
                <w:rFonts w:cs="Arial"/>
                <w:sz w:val="16"/>
                <w:szCs w:val="16"/>
                <w:lang w:bidi="th-TH"/>
              </w:rPr>
            </w:pPr>
            <w:r w:rsidRPr="0068151C">
              <w:rPr>
                <w:rFonts w:cs="Arial"/>
                <w:sz w:val="16"/>
                <w:szCs w:val="16"/>
                <w:lang w:bidi="th-TH"/>
              </w:rPr>
              <w:t>IPC publication:  66,628 / 79,005 (extrapolated from data Jan-May 2013)</w:t>
            </w:r>
          </w:p>
          <w:p w:rsidR="0068151C" w:rsidRPr="0068151C" w:rsidRDefault="0068151C" w:rsidP="00681EDE">
            <w:pPr>
              <w:pStyle w:val="ListParagraph"/>
              <w:numPr>
                <w:ilvl w:val="0"/>
                <w:numId w:val="43"/>
              </w:numPr>
              <w:ind w:left="193" w:hanging="193"/>
              <w:rPr>
                <w:rFonts w:cs="Arial"/>
              </w:rPr>
            </w:pPr>
            <w:r w:rsidRPr="0068151C">
              <w:rPr>
                <w:rFonts w:cs="Arial"/>
                <w:sz w:val="16"/>
                <w:szCs w:val="16"/>
                <w:lang w:bidi="th-TH"/>
              </w:rPr>
              <w:t>WI</w:t>
            </w:r>
            <w:r w:rsidR="00681EDE">
              <w:rPr>
                <w:rFonts w:cs="Arial"/>
                <w:sz w:val="16"/>
                <w:szCs w:val="16"/>
                <w:lang w:bidi="th-TH"/>
              </w:rPr>
              <w:t>PO Standards(Handbook):  90,189/</w:t>
            </w:r>
            <w:r w:rsidR="00681EDE">
              <w:rPr>
                <w:rFonts w:cs="Arial"/>
                <w:sz w:val="16"/>
                <w:szCs w:val="16"/>
                <w:lang w:bidi="th-TH"/>
              </w:rPr>
              <w:br/>
            </w:r>
            <w:r w:rsidRPr="0068151C">
              <w:rPr>
                <w:rFonts w:cs="Arial"/>
                <w:sz w:val="16"/>
                <w:szCs w:val="16"/>
                <w:lang w:bidi="th-TH"/>
              </w:rPr>
              <w:t>94,463</w:t>
            </w:r>
          </w:p>
        </w:tc>
        <w:tc>
          <w:tcPr>
            <w:tcW w:w="682" w:type="pct"/>
            <w:shd w:val="clear" w:color="auto" w:fill="auto"/>
            <w:tcMar>
              <w:top w:w="110" w:type="dxa"/>
            </w:tcMar>
          </w:tcPr>
          <w:p w:rsidR="0068151C" w:rsidRPr="0068151C" w:rsidRDefault="0068151C"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bl>
    <w:p w:rsidR="0068151C" w:rsidRPr="002A56E1" w:rsidRDefault="0068151C" w:rsidP="0068151C"/>
    <w:p w:rsidR="00681EDE" w:rsidRDefault="00681EDE">
      <w:pPr>
        <w:rPr>
          <w:rFonts w:cs="Arial"/>
          <w:sz w:val="22"/>
          <w:szCs w:val="22"/>
        </w:rPr>
      </w:pPr>
      <w:r>
        <w:rPr>
          <w:rFonts w:cs="Arial"/>
          <w:sz w:val="22"/>
          <w:szCs w:val="22"/>
        </w:rPr>
        <w:br w:type="page"/>
      </w:r>
    </w:p>
    <w:p w:rsidR="0068151C" w:rsidRDefault="0068151C" w:rsidP="0068151C">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68151C" w:rsidRDefault="0068151C" w:rsidP="0068151C">
      <w:pPr>
        <w:keepNext/>
        <w:keepLines/>
        <w:rPr>
          <w:rFonts w:cs="Arial"/>
          <w:sz w:val="22"/>
          <w:szCs w:val="22"/>
        </w:rPr>
      </w:pPr>
    </w:p>
    <w:p w:rsidR="0068151C" w:rsidRPr="0027745B" w:rsidRDefault="0068151C" w:rsidP="0068151C">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68151C" w:rsidRPr="0027745B" w:rsidRDefault="0068151C" w:rsidP="0068151C">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68151C" w:rsidRDefault="0068151C" w:rsidP="0068151C">
      <w:pPr>
        <w:rPr>
          <w:rFonts w:cs="Arial"/>
          <w:b/>
          <w:bCs/>
          <w:color w:val="000000"/>
          <w:sz w:val="18"/>
          <w:szCs w:val="18"/>
        </w:rPr>
      </w:pPr>
    </w:p>
    <w:tbl>
      <w:tblPr>
        <w:tblW w:w="0" w:type="auto"/>
        <w:tblInd w:w="103" w:type="dxa"/>
        <w:tblLayout w:type="fixed"/>
        <w:tblLook w:val="04A0" w:firstRow="1" w:lastRow="0" w:firstColumn="1" w:lastColumn="0" w:noHBand="0" w:noVBand="1"/>
      </w:tblPr>
      <w:tblGrid>
        <w:gridCol w:w="537"/>
        <w:gridCol w:w="4430"/>
        <w:gridCol w:w="1558"/>
        <w:gridCol w:w="1418"/>
        <w:gridCol w:w="1418"/>
      </w:tblGrid>
      <w:tr w:rsidR="0068151C" w:rsidRPr="009C4AA7" w:rsidTr="00681EDE">
        <w:tc>
          <w:tcPr>
            <w:tcW w:w="4967"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8151C" w:rsidRPr="009C4AA7" w:rsidRDefault="0068151C" w:rsidP="009C4AA7">
            <w:pPr>
              <w:spacing w:before="120" w:after="120"/>
              <w:jc w:val="center"/>
              <w:rPr>
                <w:rFonts w:cs="Arial"/>
                <w:bCs/>
                <w:color w:val="000000"/>
                <w:sz w:val="16"/>
                <w:szCs w:val="16"/>
              </w:rPr>
            </w:pPr>
            <w:r w:rsidRPr="009C4AA7">
              <w:rPr>
                <w:rFonts w:cs="Arial"/>
                <w:bCs/>
                <w:color w:val="000000"/>
                <w:sz w:val="16"/>
                <w:szCs w:val="16"/>
              </w:rPr>
              <w:t>Expected Result No. and Description</w:t>
            </w:r>
          </w:p>
        </w:tc>
        <w:tc>
          <w:tcPr>
            <w:tcW w:w="1558" w:type="dxa"/>
            <w:tcBorders>
              <w:top w:val="single" w:sz="4" w:space="0" w:color="auto"/>
              <w:left w:val="nil"/>
              <w:bottom w:val="single" w:sz="4" w:space="0" w:color="auto"/>
              <w:right w:val="single" w:sz="4" w:space="0" w:color="auto"/>
            </w:tcBorders>
            <w:shd w:val="clear" w:color="000000" w:fill="CCFFFF"/>
            <w:vAlign w:val="center"/>
            <w:hideMark/>
          </w:tcPr>
          <w:p w:rsidR="0068151C" w:rsidRPr="009C4AA7" w:rsidRDefault="0068151C" w:rsidP="009C4AA7">
            <w:pPr>
              <w:spacing w:before="120" w:after="120"/>
              <w:jc w:val="center"/>
              <w:rPr>
                <w:rFonts w:cs="Arial"/>
                <w:bCs/>
                <w:color w:val="000000"/>
                <w:sz w:val="16"/>
                <w:szCs w:val="16"/>
              </w:rPr>
            </w:pPr>
            <w:r w:rsidRPr="009C4AA7">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8151C" w:rsidRPr="009C4AA7" w:rsidRDefault="0068151C" w:rsidP="009C4AA7">
            <w:pPr>
              <w:spacing w:before="120" w:after="120"/>
              <w:jc w:val="center"/>
              <w:rPr>
                <w:rFonts w:cs="Arial"/>
                <w:bCs/>
                <w:color w:val="000000"/>
                <w:sz w:val="16"/>
                <w:szCs w:val="16"/>
              </w:rPr>
            </w:pPr>
            <w:r w:rsidRPr="009C4AA7">
              <w:rPr>
                <w:rFonts w:cs="Arial"/>
                <w:bCs/>
                <w:color w:val="000000"/>
                <w:sz w:val="16"/>
                <w:szCs w:val="16"/>
              </w:rPr>
              <w:t xml:space="preserve">2012/13 Budget </w:t>
            </w:r>
            <w:r w:rsidRPr="009C4AA7">
              <w:rPr>
                <w:rFonts w:cs="Arial"/>
                <w:bCs/>
                <w:color w:val="000000"/>
                <w:sz w:val="16"/>
                <w:szCs w:val="16"/>
              </w:rPr>
              <w:br/>
              <w:t>After Transfers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68151C" w:rsidRPr="009C4AA7" w:rsidRDefault="0068151C" w:rsidP="009C4AA7">
            <w:pPr>
              <w:spacing w:before="120" w:after="120"/>
              <w:jc w:val="center"/>
              <w:rPr>
                <w:rFonts w:cs="Arial"/>
                <w:bCs/>
                <w:color w:val="000000"/>
                <w:sz w:val="16"/>
                <w:szCs w:val="16"/>
              </w:rPr>
            </w:pPr>
            <w:r w:rsidRPr="009C4AA7">
              <w:rPr>
                <w:rFonts w:cs="Arial"/>
                <w:bCs/>
                <w:color w:val="000000"/>
                <w:sz w:val="16"/>
                <w:szCs w:val="16"/>
              </w:rPr>
              <w:t xml:space="preserve">2012/13 </w:t>
            </w:r>
            <w:r w:rsidRPr="009C4AA7">
              <w:rPr>
                <w:rFonts w:cs="Arial"/>
                <w:bCs/>
                <w:color w:val="000000"/>
                <w:sz w:val="16"/>
                <w:szCs w:val="16"/>
              </w:rPr>
              <w:br/>
              <w:t>Expenditure</w:t>
            </w:r>
          </w:p>
        </w:tc>
      </w:tr>
      <w:tr w:rsidR="0068151C" w:rsidRPr="008263D2" w:rsidTr="00681EDE">
        <w:tc>
          <w:tcPr>
            <w:tcW w:w="537" w:type="dxa"/>
            <w:tcBorders>
              <w:top w:val="nil"/>
              <w:left w:val="single" w:sz="4" w:space="0" w:color="auto"/>
              <w:bottom w:val="single" w:sz="4" w:space="0" w:color="auto"/>
              <w:right w:val="nil"/>
            </w:tcBorders>
            <w:shd w:val="clear" w:color="000000" w:fill="FFFFFF"/>
            <w:noWrap/>
            <w:hideMark/>
          </w:tcPr>
          <w:p w:rsidR="0068151C" w:rsidRPr="0027745B" w:rsidRDefault="0068151C" w:rsidP="009C4AA7">
            <w:pPr>
              <w:spacing w:before="120" w:after="120"/>
              <w:jc w:val="center"/>
              <w:rPr>
                <w:rFonts w:cs="Arial"/>
                <w:color w:val="000000"/>
                <w:sz w:val="16"/>
                <w:szCs w:val="16"/>
              </w:rPr>
            </w:pPr>
            <w:r w:rsidRPr="0027745B">
              <w:rPr>
                <w:rFonts w:cs="Arial"/>
                <w:color w:val="000000"/>
                <w:sz w:val="16"/>
                <w:szCs w:val="16"/>
              </w:rPr>
              <w:t>IV.1</w:t>
            </w:r>
          </w:p>
        </w:tc>
        <w:tc>
          <w:tcPr>
            <w:tcW w:w="4430" w:type="dxa"/>
            <w:tcBorders>
              <w:top w:val="nil"/>
              <w:left w:val="nil"/>
              <w:bottom w:val="single" w:sz="4" w:space="0" w:color="auto"/>
              <w:right w:val="nil"/>
            </w:tcBorders>
            <w:shd w:val="clear" w:color="000000" w:fill="FFFFFF"/>
            <w:hideMark/>
          </w:tcPr>
          <w:p w:rsidR="0068151C" w:rsidRPr="0027745B" w:rsidRDefault="0068151C" w:rsidP="009C4AA7">
            <w:pPr>
              <w:spacing w:before="120" w:after="120"/>
              <w:rPr>
                <w:rFonts w:cs="Arial"/>
                <w:color w:val="000000"/>
                <w:sz w:val="16"/>
                <w:szCs w:val="16"/>
              </w:rPr>
            </w:pPr>
            <w:r w:rsidRPr="0027745B">
              <w:rPr>
                <w:rFonts w:cs="Arial"/>
                <w:color w:val="000000"/>
                <w:sz w:val="16"/>
                <w:szCs w:val="16"/>
              </w:rPr>
              <w:t>Updated and globally accepted system of international classifications and WIPO standards to facilitate access, use and dissemination of IP information among stakeholders in the world</w:t>
            </w:r>
          </w:p>
        </w:tc>
        <w:tc>
          <w:tcPr>
            <w:tcW w:w="1558" w:type="dxa"/>
            <w:tcBorders>
              <w:top w:val="nil"/>
              <w:left w:val="nil"/>
              <w:bottom w:val="single" w:sz="4" w:space="0" w:color="auto"/>
              <w:right w:val="nil"/>
            </w:tcBorders>
            <w:shd w:val="clear" w:color="000000" w:fill="FFFFFF"/>
            <w:vAlign w:val="center"/>
            <w:hideMark/>
          </w:tcPr>
          <w:p w:rsidR="0068151C" w:rsidRPr="0027745B" w:rsidRDefault="00681EDE" w:rsidP="009C4AA7">
            <w:pPr>
              <w:spacing w:before="120" w:after="120"/>
              <w:jc w:val="right"/>
              <w:rPr>
                <w:rFonts w:cs="Arial"/>
                <w:color w:val="000000"/>
                <w:sz w:val="16"/>
                <w:szCs w:val="16"/>
              </w:rPr>
            </w:pPr>
            <w:r>
              <w:rPr>
                <w:rFonts w:cs="Arial"/>
                <w:color w:val="000000"/>
                <w:sz w:val="16"/>
                <w:szCs w:val="16"/>
              </w:rPr>
              <w:t>6,932</w:t>
            </w:r>
          </w:p>
        </w:tc>
        <w:tc>
          <w:tcPr>
            <w:tcW w:w="1418" w:type="dxa"/>
            <w:tcBorders>
              <w:top w:val="nil"/>
              <w:left w:val="nil"/>
              <w:bottom w:val="single" w:sz="4" w:space="0" w:color="auto"/>
              <w:right w:val="nil"/>
            </w:tcBorders>
            <w:shd w:val="clear" w:color="000000" w:fill="FFFFFF"/>
            <w:vAlign w:val="center"/>
            <w:hideMark/>
          </w:tcPr>
          <w:p w:rsidR="0068151C" w:rsidRPr="0027745B" w:rsidRDefault="00681EDE" w:rsidP="009C4AA7">
            <w:pPr>
              <w:spacing w:before="120" w:after="120"/>
              <w:jc w:val="right"/>
              <w:rPr>
                <w:rFonts w:cs="Arial"/>
                <w:color w:val="000000"/>
                <w:sz w:val="16"/>
                <w:szCs w:val="16"/>
              </w:rPr>
            </w:pPr>
            <w:r>
              <w:rPr>
                <w:rFonts w:cs="Arial"/>
                <w:color w:val="000000"/>
                <w:sz w:val="16"/>
                <w:szCs w:val="16"/>
              </w:rPr>
              <w:t>7,291</w:t>
            </w:r>
          </w:p>
        </w:tc>
        <w:tc>
          <w:tcPr>
            <w:tcW w:w="1418" w:type="dxa"/>
            <w:tcBorders>
              <w:top w:val="nil"/>
              <w:left w:val="nil"/>
              <w:bottom w:val="single" w:sz="4" w:space="0" w:color="auto"/>
              <w:right w:val="single" w:sz="4" w:space="0" w:color="auto"/>
            </w:tcBorders>
            <w:shd w:val="clear" w:color="000000" w:fill="FFFFFF"/>
            <w:vAlign w:val="center"/>
            <w:hideMark/>
          </w:tcPr>
          <w:p w:rsidR="0068151C" w:rsidRPr="0027745B" w:rsidRDefault="00681EDE" w:rsidP="009C4AA7">
            <w:pPr>
              <w:spacing w:before="120" w:after="120"/>
              <w:jc w:val="right"/>
              <w:rPr>
                <w:rFonts w:cs="Arial"/>
                <w:color w:val="000000"/>
                <w:sz w:val="16"/>
                <w:szCs w:val="16"/>
              </w:rPr>
            </w:pPr>
            <w:r>
              <w:rPr>
                <w:rFonts w:cs="Arial"/>
                <w:color w:val="000000"/>
                <w:sz w:val="16"/>
                <w:szCs w:val="16"/>
              </w:rPr>
              <w:t>7,196</w:t>
            </w:r>
          </w:p>
        </w:tc>
      </w:tr>
      <w:tr w:rsidR="0068151C" w:rsidRPr="008263D2" w:rsidTr="00681EDE">
        <w:tc>
          <w:tcPr>
            <w:tcW w:w="537" w:type="dxa"/>
            <w:tcBorders>
              <w:top w:val="nil"/>
              <w:left w:val="single" w:sz="4" w:space="0" w:color="auto"/>
              <w:bottom w:val="single" w:sz="4" w:space="0" w:color="auto"/>
              <w:right w:val="nil"/>
            </w:tcBorders>
            <w:shd w:val="clear" w:color="000000" w:fill="CCFFFF"/>
            <w:noWrap/>
            <w:vAlign w:val="bottom"/>
            <w:hideMark/>
          </w:tcPr>
          <w:p w:rsidR="0068151C" w:rsidRPr="0027745B" w:rsidRDefault="0068151C" w:rsidP="009C4AA7">
            <w:pPr>
              <w:spacing w:before="120" w:after="120"/>
              <w:jc w:val="center"/>
              <w:rPr>
                <w:rFonts w:cs="Arial"/>
                <w:b/>
                <w:bCs/>
                <w:color w:val="000000"/>
                <w:sz w:val="16"/>
                <w:szCs w:val="16"/>
              </w:rPr>
            </w:pPr>
            <w:r w:rsidRPr="0027745B">
              <w:rPr>
                <w:rFonts w:cs="Arial"/>
                <w:b/>
                <w:bCs/>
                <w:color w:val="000000"/>
                <w:sz w:val="16"/>
                <w:szCs w:val="16"/>
              </w:rPr>
              <w:t> </w:t>
            </w:r>
          </w:p>
        </w:tc>
        <w:tc>
          <w:tcPr>
            <w:tcW w:w="4430" w:type="dxa"/>
            <w:tcBorders>
              <w:top w:val="nil"/>
              <w:left w:val="nil"/>
              <w:bottom w:val="single" w:sz="4" w:space="0" w:color="auto"/>
              <w:right w:val="nil"/>
            </w:tcBorders>
            <w:shd w:val="clear" w:color="000000" w:fill="CCFFFF"/>
            <w:noWrap/>
            <w:vAlign w:val="center"/>
            <w:hideMark/>
          </w:tcPr>
          <w:p w:rsidR="0068151C" w:rsidRPr="0027745B" w:rsidRDefault="0068151C" w:rsidP="009C4AA7">
            <w:pPr>
              <w:spacing w:before="120" w:after="120"/>
              <w:rPr>
                <w:rFonts w:cs="Arial"/>
                <w:b/>
                <w:bCs/>
                <w:color w:val="000000"/>
                <w:sz w:val="16"/>
                <w:szCs w:val="16"/>
              </w:rPr>
            </w:pPr>
            <w:r w:rsidRPr="0027745B">
              <w:rPr>
                <w:rFonts w:cs="Arial"/>
                <w:b/>
                <w:bCs/>
                <w:color w:val="000000"/>
                <w:sz w:val="16"/>
                <w:szCs w:val="16"/>
              </w:rPr>
              <w:t>Total</w:t>
            </w:r>
          </w:p>
        </w:tc>
        <w:tc>
          <w:tcPr>
            <w:tcW w:w="1558" w:type="dxa"/>
            <w:tcBorders>
              <w:top w:val="nil"/>
              <w:left w:val="single" w:sz="4" w:space="0" w:color="auto"/>
              <w:bottom w:val="single" w:sz="4" w:space="0" w:color="auto"/>
              <w:right w:val="single" w:sz="4" w:space="0" w:color="auto"/>
            </w:tcBorders>
            <w:shd w:val="clear" w:color="000000" w:fill="CCFFFF"/>
            <w:vAlign w:val="center"/>
            <w:hideMark/>
          </w:tcPr>
          <w:p w:rsidR="0068151C" w:rsidRPr="0027745B" w:rsidRDefault="0068151C" w:rsidP="009C4AA7">
            <w:pPr>
              <w:spacing w:before="120" w:after="120"/>
              <w:jc w:val="right"/>
              <w:rPr>
                <w:rFonts w:cs="Arial"/>
                <w:b/>
                <w:bCs/>
                <w:color w:val="000000"/>
                <w:sz w:val="16"/>
                <w:szCs w:val="16"/>
              </w:rPr>
            </w:pPr>
            <w:r w:rsidRPr="0027745B">
              <w:rPr>
                <w:rFonts w:cs="Arial"/>
                <w:b/>
                <w:bCs/>
                <w:color w:val="000000"/>
                <w:sz w:val="16"/>
                <w:szCs w:val="16"/>
              </w:rPr>
              <w:t>6,932</w:t>
            </w:r>
          </w:p>
        </w:tc>
        <w:tc>
          <w:tcPr>
            <w:tcW w:w="1418" w:type="dxa"/>
            <w:tcBorders>
              <w:top w:val="nil"/>
              <w:left w:val="nil"/>
              <w:bottom w:val="single" w:sz="4" w:space="0" w:color="auto"/>
              <w:right w:val="single" w:sz="4" w:space="0" w:color="auto"/>
            </w:tcBorders>
            <w:shd w:val="clear" w:color="000000" w:fill="CCFFFF"/>
            <w:noWrap/>
            <w:vAlign w:val="center"/>
            <w:hideMark/>
          </w:tcPr>
          <w:p w:rsidR="0068151C" w:rsidRPr="0027745B" w:rsidRDefault="0068151C" w:rsidP="009C4AA7">
            <w:pPr>
              <w:spacing w:before="120" w:after="120"/>
              <w:jc w:val="right"/>
              <w:rPr>
                <w:rFonts w:cs="Arial"/>
                <w:b/>
                <w:bCs/>
                <w:color w:val="000000"/>
                <w:sz w:val="16"/>
                <w:szCs w:val="16"/>
              </w:rPr>
            </w:pPr>
            <w:r w:rsidRPr="0027745B">
              <w:rPr>
                <w:rFonts w:cs="Arial"/>
                <w:b/>
                <w:bCs/>
                <w:color w:val="000000"/>
                <w:sz w:val="16"/>
                <w:szCs w:val="16"/>
              </w:rPr>
              <w:t>7,291</w:t>
            </w:r>
          </w:p>
        </w:tc>
        <w:tc>
          <w:tcPr>
            <w:tcW w:w="1418" w:type="dxa"/>
            <w:tcBorders>
              <w:top w:val="nil"/>
              <w:left w:val="nil"/>
              <w:bottom w:val="single" w:sz="4" w:space="0" w:color="auto"/>
              <w:right w:val="single" w:sz="4" w:space="0" w:color="auto"/>
            </w:tcBorders>
            <w:shd w:val="clear" w:color="000000" w:fill="CCFFFF"/>
            <w:vAlign w:val="center"/>
            <w:hideMark/>
          </w:tcPr>
          <w:p w:rsidR="0068151C" w:rsidRPr="0027745B" w:rsidRDefault="0068151C" w:rsidP="009C4AA7">
            <w:pPr>
              <w:spacing w:before="120" w:after="120"/>
              <w:jc w:val="right"/>
              <w:rPr>
                <w:rFonts w:cs="Arial"/>
                <w:b/>
                <w:bCs/>
                <w:color w:val="000000"/>
                <w:sz w:val="16"/>
                <w:szCs w:val="16"/>
              </w:rPr>
            </w:pPr>
            <w:r w:rsidRPr="0027745B">
              <w:rPr>
                <w:rFonts w:cs="Arial"/>
                <w:b/>
                <w:bCs/>
                <w:color w:val="000000"/>
                <w:sz w:val="16"/>
                <w:szCs w:val="16"/>
              </w:rPr>
              <w:t>7,196</w:t>
            </w:r>
          </w:p>
        </w:tc>
      </w:tr>
    </w:tbl>
    <w:p w:rsidR="0068151C" w:rsidRDefault="0068151C" w:rsidP="0068151C">
      <w:pPr>
        <w:rPr>
          <w:rFonts w:cs="Arial"/>
          <w:b/>
          <w:bCs/>
          <w:color w:val="000000"/>
          <w:sz w:val="18"/>
          <w:szCs w:val="18"/>
        </w:rPr>
      </w:pPr>
    </w:p>
    <w:p w:rsidR="0068151C" w:rsidRDefault="0068151C" w:rsidP="0068151C"/>
    <w:p w:rsidR="0068151C" w:rsidRPr="0027745B" w:rsidRDefault="0068151C" w:rsidP="0068151C">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68151C" w:rsidRPr="0027745B" w:rsidRDefault="0068151C" w:rsidP="0068151C">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68151C" w:rsidRDefault="0068151C" w:rsidP="0068151C"/>
    <w:tbl>
      <w:tblPr>
        <w:tblW w:w="9371" w:type="dxa"/>
        <w:tblInd w:w="93" w:type="dxa"/>
        <w:tblLook w:val="04A0" w:firstRow="1" w:lastRow="0" w:firstColumn="1" w:lastColumn="0" w:noHBand="0" w:noVBand="1"/>
      </w:tblPr>
      <w:tblGrid>
        <w:gridCol w:w="2425"/>
        <w:gridCol w:w="1736"/>
        <w:gridCol w:w="1737"/>
        <w:gridCol w:w="1736"/>
        <w:gridCol w:w="1737"/>
      </w:tblGrid>
      <w:tr w:rsidR="0068151C" w:rsidRPr="009C4AA7" w:rsidTr="00681EDE">
        <w:trPr>
          <w:trHeight w:val="477"/>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8151C" w:rsidRPr="009C4AA7" w:rsidRDefault="0068151C" w:rsidP="0068151C">
            <w:pPr>
              <w:rPr>
                <w:rFonts w:cs="Arial"/>
                <w:color w:val="000000"/>
                <w:sz w:val="16"/>
                <w:szCs w:val="16"/>
              </w:rPr>
            </w:pPr>
            <w:r w:rsidRPr="009C4AA7">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68151C" w:rsidRPr="009C4AA7" w:rsidRDefault="0068151C" w:rsidP="0068151C">
            <w:pPr>
              <w:jc w:val="center"/>
              <w:rPr>
                <w:rFonts w:cs="Arial"/>
                <w:bCs/>
                <w:color w:val="000000"/>
                <w:sz w:val="16"/>
                <w:szCs w:val="16"/>
              </w:rPr>
            </w:pPr>
            <w:r w:rsidRPr="009C4AA7">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68151C" w:rsidRPr="009C4AA7" w:rsidRDefault="0068151C" w:rsidP="0068151C">
            <w:pPr>
              <w:jc w:val="center"/>
              <w:rPr>
                <w:rFonts w:cs="Arial"/>
                <w:bCs/>
                <w:color w:val="000000"/>
                <w:sz w:val="16"/>
                <w:szCs w:val="16"/>
              </w:rPr>
            </w:pPr>
            <w:r w:rsidRPr="009C4AA7">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68151C" w:rsidRPr="009C4AA7" w:rsidRDefault="0068151C" w:rsidP="0068151C">
            <w:pPr>
              <w:jc w:val="center"/>
              <w:rPr>
                <w:rFonts w:cs="Arial"/>
                <w:bCs/>
                <w:color w:val="000000"/>
                <w:sz w:val="16"/>
                <w:szCs w:val="16"/>
              </w:rPr>
            </w:pPr>
            <w:r w:rsidRPr="009C4AA7">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68151C" w:rsidRPr="009C4AA7" w:rsidRDefault="0068151C" w:rsidP="0068151C">
            <w:pPr>
              <w:jc w:val="center"/>
              <w:rPr>
                <w:rFonts w:cs="Arial"/>
                <w:bCs/>
                <w:color w:val="000000"/>
                <w:sz w:val="16"/>
                <w:szCs w:val="16"/>
              </w:rPr>
            </w:pPr>
            <w:r w:rsidRPr="009C4AA7">
              <w:rPr>
                <w:rFonts w:cs="Arial"/>
                <w:bCs/>
                <w:color w:val="000000"/>
                <w:sz w:val="16"/>
                <w:szCs w:val="16"/>
              </w:rPr>
              <w:t>Utilization rate (%)</w:t>
            </w:r>
          </w:p>
        </w:tc>
      </w:tr>
      <w:tr w:rsidR="0068151C" w:rsidRPr="008263D2" w:rsidTr="00681EDE">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8151C" w:rsidRPr="0027745B" w:rsidRDefault="0068151C" w:rsidP="0068151C">
            <w:pPr>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5,302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5,833</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5,833</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100%</w:t>
            </w:r>
          </w:p>
        </w:tc>
      </w:tr>
      <w:tr w:rsidR="0068151C" w:rsidRPr="008263D2" w:rsidTr="00681EDE">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8151C" w:rsidRPr="0027745B" w:rsidRDefault="0068151C" w:rsidP="0068151C">
            <w:pPr>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1,630</w:t>
            </w:r>
          </w:p>
        </w:tc>
        <w:tc>
          <w:tcPr>
            <w:tcW w:w="1737"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1,458</w:t>
            </w:r>
          </w:p>
        </w:tc>
        <w:tc>
          <w:tcPr>
            <w:tcW w:w="1736"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1,363</w:t>
            </w:r>
          </w:p>
        </w:tc>
        <w:tc>
          <w:tcPr>
            <w:tcW w:w="1737"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color w:val="000000"/>
                <w:sz w:val="16"/>
                <w:szCs w:val="16"/>
              </w:rPr>
            </w:pPr>
            <w:r w:rsidRPr="0027745B">
              <w:rPr>
                <w:rFonts w:cs="Arial"/>
                <w:color w:val="000000"/>
                <w:sz w:val="16"/>
                <w:szCs w:val="16"/>
              </w:rPr>
              <w:t>93%</w:t>
            </w:r>
          </w:p>
        </w:tc>
      </w:tr>
      <w:tr w:rsidR="0068151C" w:rsidRPr="008263D2" w:rsidTr="00681EDE">
        <w:trPr>
          <w:trHeight w:val="521"/>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68151C" w:rsidRPr="0027745B" w:rsidRDefault="0068151C" w:rsidP="0068151C">
            <w:pPr>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b/>
                <w:bCs/>
                <w:color w:val="000000"/>
                <w:sz w:val="16"/>
                <w:szCs w:val="16"/>
              </w:rPr>
            </w:pPr>
            <w:r w:rsidRPr="0027745B">
              <w:rPr>
                <w:rFonts w:cs="Arial"/>
                <w:b/>
                <w:bCs/>
                <w:color w:val="000000"/>
                <w:sz w:val="16"/>
                <w:szCs w:val="16"/>
              </w:rPr>
              <w:t>6,932</w:t>
            </w:r>
          </w:p>
        </w:tc>
        <w:tc>
          <w:tcPr>
            <w:tcW w:w="1737"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b/>
                <w:bCs/>
                <w:color w:val="000000"/>
                <w:sz w:val="16"/>
                <w:szCs w:val="16"/>
              </w:rPr>
            </w:pPr>
            <w:r w:rsidRPr="0027745B">
              <w:rPr>
                <w:rFonts w:cs="Arial"/>
                <w:b/>
                <w:bCs/>
                <w:color w:val="000000"/>
                <w:sz w:val="16"/>
                <w:szCs w:val="16"/>
              </w:rPr>
              <w:t>7,291</w:t>
            </w:r>
          </w:p>
        </w:tc>
        <w:tc>
          <w:tcPr>
            <w:tcW w:w="1736"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b/>
                <w:bCs/>
                <w:color w:val="000000"/>
                <w:sz w:val="16"/>
                <w:szCs w:val="16"/>
              </w:rPr>
            </w:pPr>
            <w:r w:rsidRPr="0027745B">
              <w:rPr>
                <w:rFonts w:cs="Arial"/>
                <w:b/>
                <w:bCs/>
                <w:color w:val="000000"/>
                <w:sz w:val="16"/>
                <w:szCs w:val="16"/>
              </w:rPr>
              <w:t>7,196</w:t>
            </w:r>
          </w:p>
        </w:tc>
        <w:tc>
          <w:tcPr>
            <w:tcW w:w="1737" w:type="dxa"/>
            <w:tcBorders>
              <w:top w:val="nil"/>
              <w:left w:val="nil"/>
              <w:bottom w:val="single" w:sz="4" w:space="0" w:color="auto"/>
              <w:right w:val="single" w:sz="4" w:space="0" w:color="auto"/>
            </w:tcBorders>
            <w:shd w:val="clear" w:color="auto" w:fill="auto"/>
            <w:vAlign w:val="center"/>
            <w:hideMark/>
          </w:tcPr>
          <w:p w:rsidR="0068151C" w:rsidRPr="0027745B" w:rsidRDefault="0068151C" w:rsidP="0068151C">
            <w:pPr>
              <w:jc w:val="center"/>
              <w:rPr>
                <w:rFonts w:cs="Arial"/>
                <w:b/>
                <w:bCs/>
                <w:color w:val="000000"/>
                <w:sz w:val="16"/>
                <w:szCs w:val="16"/>
              </w:rPr>
            </w:pPr>
            <w:r w:rsidRPr="0027745B">
              <w:rPr>
                <w:rFonts w:cs="Arial"/>
                <w:b/>
                <w:bCs/>
                <w:color w:val="000000"/>
                <w:sz w:val="16"/>
                <w:szCs w:val="16"/>
              </w:rPr>
              <w:t>99%</w:t>
            </w:r>
          </w:p>
        </w:tc>
      </w:tr>
    </w:tbl>
    <w:p w:rsidR="0068151C" w:rsidRDefault="0068151C" w:rsidP="0068151C"/>
    <w:p w:rsidR="0068151C" w:rsidRDefault="0068151C" w:rsidP="0068151C">
      <w:pPr>
        <w:keepNext/>
        <w:autoSpaceDE w:val="0"/>
        <w:autoSpaceDN w:val="0"/>
        <w:rPr>
          <w:sz w:val="16"/>
          <w:szCs w:val="16"/>
        </w:rPr>
      </w:pPr>
      <w:r>
        <w:rPr>
          <w:sz w:val="16"/>
          <w:szCs w:val="16"/>
        </w:rPr>
        <w:t>NOTES:</w:t>
      </w:r>
    </w:p>
    <w:p w:rsidR="0068151C" w:rsidRDefault="0068151C" w:rsidP="0068151C">
      <w:pPr>
        <w:keepNext/>
        <w:autoSpaceDE w:val="0"/>
        <w:autoSpaceDN w:val="0"/>
        <w:rPr>
          <w:sz w:val="16"/>
          <w:szCs w:val="16"/>
        </w:rPr>
      </w:pPr>
    </w:p>
    <w:p w:rsidR="0068151C" w:rsidRDefault="0068151C" w:rsidP="0068151C">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68151C" w:rsidRDefault="0068151C" w:rsidP="0068151C">
      <w:pPr>
        <w:keepNext/>
        <w:autoSpaceDE w:val="0"/>
        <w:autoSpaceDN w:val="0"/>
        <w:rPr>
          <w:sz w:val="16"/>
          <w:szCs w:val="16"/>
        </w:rPr>
      </w:pPr>
    </w:p>
    <w:p w:rsidR="0068151C" w:rsidRDefault="00DC2CFA" w:rsidP="0068151C">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68151C">
        <w:rPr>
          <w:sz w:val="16"/>
          <w:szCs w:val="16"/>
        </w:rPr>
        <w:t xml:space="preserve"> </w:t>
      </w:r>
    </w:p>
    <w:p w:rsidR="0068151C" w:rsidRDefault="0068151C" w:rsidP="0068151C"/>
    <w:p w:rsidR="0068151C" w:rsidRDefault="0068151C" w:rsidP="0068151C"/>
    <w:p w:rsidR="0068151C" w:rsidRPr="0027745B" w:rsidRDefault="0068151C" w:rsidP="0068151C">
      <w:pPr>
        <w:tabs>
          <w:tab w:val="left" w:pos="709"/>
        </w:tabs>
        <w:autoSpaceDE w:val="0"/>
        <w:autoSpaceDN w:val="0"/>
        <w:adjustRightInd w:val="0"/>
        <w:rPr>
          <w:rFonts w:cs="Arial"/>
          <w:szCs w:val="20"/>
        </w:rPr>
      </w:pPr>
      <w:r w:rsidRPr="0027745B">
        <w:rPr>
          <w:rFonts w:cs="Arial"/>
          <w:szCs w:val="20"/>
        </w:rPr>
        <w:t xml:space="preserve">A. </w:t>
      </w:r>
      <w:r w:rsidRPr="0027745B">
        <w:rPr>
          <w:rFonts w:cs="Arial"/>
          <w:szCs w:val="20"/>
        </w:rPr>
        <w:tab/>
      </w:r>
      <w:r w:rsidRPr="0027745B">
        <w:rPr>
          <w:rFonts w:cs="Arial"/>
          <w:szCs w:val="20"/>
          <w:u w:val="single"/>
        </w:rPr>
        <w:t>Budget after Transfers 2012/13</w:t>
      </w:r>
    </w:p>
    <w:p w:rsidR="0068151C" w:rsidRPr="007E6BC1" w:rsidRDefault="0068151C" w:rsidP="0068151C">
      <w:pPr>
        <w:autoSpaceDE w:val="0"/>
        <w:autoSpaceDN w:val="0"/>
        <w:adjustRightInd w:val="0"/>
        <w:rPr>
          <w:rFonts w:cs="Arial"/>
          <w:sz w:val="22"/>
          <w:szCs w:val="22"/>
        </w:rPr>
      </w:pPr>
    </w:p>
    <w:p w:rsidR="0068151C" w:rsidRPr="00074E1F" w:rsidRDefault="0068151C" w:rsidP="00681EDE">
      <w:pPr>
        <w:keepNext/>
        <w:tabs>
          <w:tab w:val="left" w:pos="709"/>
        </w:tabs>
        <w:autoSpaceDE w:val="0"/>
        <w:autoSpaceDN w:val="0"/>
        <w:jc w:val="both"/>
        <w:rPr>
          <w:szCs w:val="20"/>
        </w:rPr>
      </w:pPr>
      <w:r>
        <w:rPr>
          <w:szCs w:val="20"/>
        </w:rPr>
        <w:t>12.7</w:t>
      </w:r>
      <w:r w:rsidR="00681EDE">
        <w:rPr>
          <w:szCs w:val="20"/>
        </w:rPr>
        <w:t>.</w:t>
      </w:r>
      <w:r>
        <w:rPr>
          <w:szCs w:val="20"/>
        </w:rPr>
        <w:tab/>
      </w:r>
      <w:r w:rsidRPr="00074E1F">
        <w:rPr>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68151C" w:rsidRPr="00074E1F" w:rsidRDefault="0068151C" w:rsidP="00681EDE">
      <w:pPr>
        <w:autoSpaceDE w:val="0"/>
        <w:autoSpaceDN w:val="0"/>
        <w:adjustRightInd w:val="0"/>
        <w:jc w:val="both"/>
        <w:rPr>
          <w:rFonts w:cs="Arial"/>
          <w:szCs w:val="20"/>
        </w:rPr>
      </w:pPr>
    </w:p>
    <w:p w:rsidR="0068151C" w:rsidRDefault="0068151C" w:rsidP="00681EDE">
      <w:pPr>
        <w:tabs>
          <w:tab w:val="left" w:pos="709"/>
        </w:tabs>
        <w:jc w:val="both"/>
        <w:rPr>
          <w:iCs/>
        </w:rPr>
      </w:pPr>
      <w:r>
        <w:rPr>
          <w:iCs/>
        </w:rPr>
        <w:t>12.8</w:t>
      </w:r>
      <w:r w:rsidR="00681EDE">
        <w:rPr>
          <w:iCs/>
        </w:rPr>
        <w:t>.</w:t>
      </w:r>
      <w:r>
        <w:rPr>
          <w:iCs/>
        </w:rPr>
        <w:tab/>
        <w:t>The increase in personnel resources stems from</w:t>
      </w:r>
      <w:r w:rsidR="00681EDE">
        <w:rPr>
          <w:rFonts w:cs="Arial"/>
          <w:szCs w:val="20"/>
        </w:rPr>
        <w:t>:  (</w:t>
      </w:r>
      <w:r>
        <w:rPr>
          <w:rFonts w:cs="Arial"/>
          <w:szCs w:val="20"/>
        </w:rPr>
        <w:t xml:space="preserve">i) the reclassification of a post; </w:t>
      </w:r>
      <w:r w:rsidR="00681EDE">
        <w:rPr>
          <w:rFonts w:cs="Arial"/>
          <w:szCs w:val="20"/>
        </w:rPr>
        <w:t>(</w:t>
      </w:r>
      <w:r>
        <w:rPr>
          <w:rFonts w:cs="Arial"/>
          <w:szCs w:val="20"/>
        </w:rPr>
        <w:t>ii</w:t>
      </w:r>
      <w:r w:rsidR="00681EDE">
        <w:rPr>
          <w:rFonts w:cs="Arial"/>
          <w:szCs w:val="20"/>
        </w:rPr>
        <w:t>) </w:t>
      </w:r>
      <w:r>
        <w:rPr>
          <w:rFonts w:cs="Arial"/>
          <w:szCs w:val="20"/>
        </w:rPr>
        <w:t xml:space="preserve">regularization of a long serving short termer; and </w:t>
      </w:r>
      <w:r w:rsidR="00681EDE">
        <w:rPr>
          <w:rFonts w:cs="Arial"/>
          <w:szCs w:val="20"/>
        </w:rPr>
        <w:t>(</w:t>
      </w:r>
      <w:r>
        <w:rPr>
          <w:rFonts w:cs="Arial"/>
          <w:szCs w:val="20"/>
        </w:rPr>
        <w:t xml:space="preserve">iii) </w:t>
      </w:r>
      <w:r>
        <w:rPr>
          <w:rFonts w:cs="Arial"/>
          <w:iCs/>
          <w:szCs w:val="20"/>
        </w:rPr>
        <w:t xml:space="preserve">the Organization’s commitment, in the event of a pick-up in projected income levels, to </w:t>
      </w:r>
      <w:r>
        <w:rPr>
          <w:iCs/>
        </w:rPr>
        <w:t xml:space="preserve">reinstate the </w:t>
      </w:r>
      <w:r>
        <w:rPr>
          <w:rFonts w:cs="Arial"/>
          <w:iCs/>
          <w:szCs w:val="20"/>
        </w:rPr>
        <w:t>provisions for after service employee benefits that were initially budgeted at a lower level than in the previous biennia.</w:t>
      </w:r>
    </w:p>
    <w:p w:rsidR="0068151C" w:rsidRPr="00074E1F" w:rsidRDefault="0068151C" w:rsidP="0068151C">
      <w:pPr>
        <w:autoSpaceDE w:val="0"/>
        <w:autoSpaceDN w:val="0"/>
        <w:adjustRightInd w:val="0"/>
        <w:rPr>
          <w:rFonts w:cs="Arial"/>
          <w:szCs w:val="20"/>
        </w:rPr>
      </w:pPr>
    </w:p>
    <w:p w:rsidR="0068151C" w:rsidRPr="00074E1F" w:rsidRDefault="0068151C" w:rsidP="0068151C">
      <w:pPr>
        <w:tabs>
          <w:tab w:val="left" w:pos="709"/>
        </w:tabs>
        <w:autoSpaceDE w:val="0"/>
        <w:autoSpaceDN w:val="0"/>
        <w:adjustRightInd w:val="0"/>
        <w:rPr>
          <w:rFonts w:cs="Arial"/>
          <w:szCs w:val="20"/>
          <w:u w:val="single"/>
        </w:rPr>
      </w:pPr>
      <w:r w:rsidRPr="00074E1F">
        <w:rPr>
          <w:rFonts w:cs="Arial"/>
          <w:szCs w:val="20"/>
        </w:rPr>
        <w:t xml:space="preserve">B. </w:t>
      </w:r>
      <w:r>
        <w:rPr>
          <w:rFonts w:cs="Arial"/>
          <w:szCs w:val="20"/>
        </w:rPr>
        <w:tab/>
      </w:r>
      <w:r w:rsidR="00D44A34">
        <w:rPr>
          <w:rFonts w:cs="Arial"/>
          <w:szCs w:val="20"/>
          <w:u w:val="single"/>
        </w:rPr>
        <w:t>Budget U</w:t>
      </w:r>
      <w:r w:rsidRPr="00074E1F">
        <w:rPr>
          <w:rFonts w:cs="Arial"/>
          <w:szCs w:val="20"/>
          <w:u w:val="single"/>
        </w:rPr>
        <w:t>tilization 2012/13</w:t>
      </w:r>
    </w:p>
    <w:p w:rsidR="0068151C" w:rsidRPr="00074E1F" w:rsidRDefault="0068151C" w:rsidP="0068151C">
      <w:pPr>
        <w:autoSpaceDE w:val="0"/>
        <w:autoSpaceDN w:val="0"/>
        <w:adjustRightInd w:val="0"/>
        <w:rPr>
          <w:rFonts w:cs="Arial"/>
          <w:szCs w:val="20"/>
          <w:u w:val="single"/>
        </w:rPr>
      </w:pPr>
    </w:p>
    <w:p w:rsidR="0068151C" w:rsidRPr="00074E1F" w:rsidRDefault="0068151C" w:rsidP="00681EDE">
      <w:pPr>
        <w:tabs>
          <w:tab w:val="left" w:pos="709"/>
        </w:tabs>
        <w:autoSpaceDE w:val="0"/>
        <w:autoSpaceDN w:val="0"/>
        <w:adjustRightInd w:val="0"/>
        <w:jc w:val="both"/>
        <w:rPr>
          <w:rFonts w:cs="Arial"/>
          <w:szCs w:val="20"/>
        </w:rPr>
      </w:pPr>
      <w:r>
        <w:rPr>
          <w:rFonts w:cs="Arial"/>
          <w:szCs w:val="20"/>
        </w:rPr>
        <w:t>12.9</w:t>
      </w:r>
      <w:r w:rsidR="00D44A34">
        <w:rPr>
          <w:rFonts w:cs="Arial"/>
          <w:szCs w:val="20"/>
        </w:rPr>
        <w:t>.</w:t>
      </w:r>
      <w:r>
        <w:rPr>
          <w:rFonts w:cs="Arial"/>
          <w:szCs w:val="20"/>
        </w:rPr>
        <w:tab/>
      </w:r>
      <w:r w:rsidRPr="00074E1F">
        <w:rPr>
          <w:rFonts w:cs="Arial"/>
          <w:szCs w:val="20"/>
        </w:rPr>
        <w:t xml:space="preserve">Budget utilization of 93 per cent </w:t>
      </w:r>
      <w:r>
        <w:rPr>
          <w:rFonts w:cs="Arial"/>
          <w:szCs w:val="20"/>
        </w:rPr>
        <w:t xml:space="preserve">reflects slightly lower than expected expenditure on IT support for the international classifications. </w:t>
      </w:r>
    </w:p>
    <w:p w:rsidR="0068151C" w:rsidRDefault="0068151C">
      <w:pPr>
        <w:rPr>
          <w:rFonts w:ascii="Arial Bold" w:hAnsi="Arial Bold" w:cs="Arial"/>
          <w:b/>
          <w:bCs/>
          <w:iCs/>
          <w:sz w:val="22"/>
          <w:szCs w:val="28"/>
        </w:rPr>
      </w:pPr>
      <w:r>
        <w:rPr>
          <w:rFonts w:ascii="Arial Bold" w:hAnsi="Arial Bold" w:cs="Arial"/>
          <w:b/>
          <w:bCs/>
          <w:iCs/>
          <w:sz w:val="22"/>
          <w:szCs w:val="28"/>
        </w:rPr>
        <w:br w:type="page"/>
      </w:r>
    </w:p>
    <w:p w:rsidR="005660B2" w:rsidRPr="00305272" w:rsidRDefault="00305272" w:rsidP="00305272">
      <w:pPr>
        <w:pStyle w:val="Heading3"/>
      </w:pPr>
      <w:bookmarkStart w:id="39" w:name="_Toc393956059"/>
      <w:r w:rsidRPr="00305272">
        <w:lastRenderedPageBreak/>
        <w:t>Program 13</w:t>
      </w:r>
      <w:r w:rsidRPr="00305272">
        <w:tab/>
        <w:t>Global Databases</w:t>
      </w:r>
      <w:bookmarkEnd w:id="39"/>
    </w:p>
    <w:p w:rsidR="005660B2" w:rsidRPr="00523BE7" w:rsidRDefault="005660B2" w:rsidP="005660B2">
      <w:pPr>
        <w:ind w:left="2268" w:hanging="2268"/>
        <w:rPr>
          <w:b/>
          <w:sz w:val="22"/>
          <w:szCs w:val="22"/>
        </w:rPr>
      </w:pPr>
    </w:p>
    <w:p w:rsidR="005660B2" w:rsidRPr="00523BE7" w:rsidRDefault="005660B2" w:rsidP="005660B2">
      <w:pPr>
        <w:ind w:left="2268" w:hanging="2268"/>
        <w:rPr>
          <w:rFonts w:cs="Arial"/>
          <w:b/>
          <w:sz w:val="22"/>
          <w:szCs w:val="22"/>
        </w:rPr>
      </w:pPr>
      <w:r w:rsidRPr="00523BE7">
        <w:rPr>
          <w:rFonts w:cs="Arial"/>
          <w:b/>
          <w:sz w:val="22"/>
          <w:szCs w:val="22"/>
        </w:rPr>
        <w:t>Program Manager</w:t>
      </w:r>
      <w:r w:rsidRPr="00523BE7">
        <w:rPr>
          <w:rFonts w:cs="Arial"/>
          <w:b/>
          <w:sz w:val="22"/>
          <w:szCs w:val="22"/>
        </w:rPr>
        <w:tab/>
      </w:r>
      <w:r w:rsidRPr="00523BE7">
        <w:rPr>
          <w:rFonts w:cs="Arial"/>
          <w:b/>
          <w:sz w:val="22"/>
          <w:szCs w:val="22"/>
        </w:rPr>
        <w:tab/>
      </w:r>
      <w:r w:rsidRPr="00523BE7">
        <w:rPr>
          <w:rFonts w:cs="Arial"/>
          <w:b/>
          <w:bCs/>
          <w:sz w:val="22"/>
          <w:szCs w:val="22"/>
        </w:rPr>
        <w:t>Mr. Y. Takagi</w:t>
      </w:r>
    </w:p>
    <w:p w:rsidR="005660B2" w:rsidRPr="00523BE7" w:rsidRDefault="005660B2" w:rsidP="005660B2">
      <w:pPr>
        <w:ind w:left="2268" w:hanging="2268"/>
        <w:rPr>
          <w:b/>
          <w:sz w:val="22"/>
          <w:szCs w:val="22"/>
        </w:rPr>
      </w:pPr>
    </w:p>
    <w:p w:rsidR="005660B2" w:rsidRPr="00523BE7" w:rsidRDefault="005660B2" w:rsidP="005660B2">
      <w:pPr>
        <w:ind w:left="2268" w:hanging="2268"/>
        <w:rPr>
          <w:b/>
          <w:bCs/>
          <w:sz w:val="22"/>
          <w:szCs w:val="22"/>
        </w:rPr>
      </w:pPr>
    </w:p>
    <w:p w:rsidR="005660B2" w:rsidRPr="00523BE7" w:rsidRDefault="005660B2" w:rsidP="005660B2">
      <w:pPr>
        <w:ind w:left="2268" w:hanging="2268"/>
        <w:rPr>
          <w:rFonts w:cs="Arial"/>
          <w:sz w:val="22"/>
          <w:szCs w:val="22"/>
        </w:rPr>
      </w:pPr>
      <w:r w:rsidRPr="00523BE7">
        <w:rPr>
          <w:bCs/>
          <w:sz w:val="22"/>
          <w:szCs w:val="22"/>
        </w:rPr>
        <w:t>ACHIEVEMENTS IN THE 2012/13 BIENNIUM</w:t>
      </w:r>
    </w:p>
    <w:p w:rsidR="005660B2" w:rsidRDefault="005660B2" w:rsidP="005660B2">
      <w:pPr>
        <w:autoSpaceDE w:val="0"/>
        <w:autoSpaceDN w:val="0"/>
        <w:adjustRightInd w:val="0"/>
        <w:rPr>
          <w:rFonts w:cs="Arial"/>
          <w:bCs/>
          <w:color w:val="000000"/>
          <w:sz w:val="22"/>
          <w:szCs w:val="22"/>
        </w:rPr>
      </w:pPr>
    </w:p>
    <w:p w:rsidR="005660B2" w:rsidRDefault="0068151C" w:rsidP="0068151C">
      <w:pPr>
        <w:pStyle w:val="Style1"/>
        <w:numPr>
          <w:ilvl w:val="0"/>
          <w:numId w:val="0"/>
        </w:numPr>
        <w:tabs>
          <w:tab w:val="left" w:pos="709"/>
        </w:tabs>
        <w:jc w:val="both"/>
      </w:pPr>
      <w:r>
        <w:t>13.1.</w:t>
      </w:r>
      <w:r>
        <w:tab/>
      </w:r>
      <w:r w:rsidR="005660B2">
        <w:t xml:space="preserve">The new PATENTSCOPE system introduced towards the end of the previous biennium continued to be developed to enhance and facilitate user access. </w:t>
      </w:r>
      <w:r w:rsidR="00F724C0">
        <w:t xml:space="preserve"> </w:t>
      </w:r>
      <w:r w:rsidR="005660B2">
        <w:t xml:space="preserve">This was achieved through the implementation of numerous services that include the improvement of the search syntax, the addition of user accounts, the ability for users to store their searches and the introduction of an IPC assistant, which provides information on the IPC code by hovering over the icon. </w:t>
      </w:r>
      <w:r w:rsidR="00F724C0">
        <w:t xml:space="preserve"> </w:t>
      </w:r>
      <w:r w:rsidR="005660B2">
        <w:t xml:space="preserve">Furthermore, the support of three new languages (Dutch, Italian and Swedish) </w:t>
      </w:r>
      <w:r w:rsidR="003F004E">
        <w:t>was</w:t>
      </w:r>
      <w:r w:rsidR="005660B2">
        <w:t xml:space="preserve"> added to the already existing nine languages in the Cross Lingual Information Retrieval (CLIR) multilingual searching system, bringing the total number of supported languages to twelve. </w:t>
      </w:r>
      <w:r w:rsidR="00F724C0">
        <w:t xml:space="preserve"> </w:t>
      </w:r>
      <w:r w:rsidR="005660B2">
        <w:t>In addition, t</w:t>
      </w:r>
      <w:r w:rsidR="005660B2" w:rsidRPr="00F2458D">
        <w:t>he Translation Assistant for Patent Titles and Abstracts (TAPTA), a statistical machine translation system developed in-house</w:t>
      </w:r>
      <w:r w:rsidR="005660B2">
        <w:t>,</w:t>
      </w:r>
      <w:r w:rsidR="005660B2" w:rsidRPr="00F2458D">
        <w:t xml:space="preserve"> </w:t>
      </w:r>
      <w:r w:rsidR="005660B2">
        <w:t xml:space="preserve">was </w:t>
      </w:r>
      <w:r w:rsidR="005660B2" w:rsidRPr="00F2458D">
        <w:t xml:space="preserve">extended to include two difficult language pairs: </w:t>
      </w:r>
      <w:r w:rsidR="00F03901">
        <w:t xml:space="preserve"> </w:t>
      </w:r>
      <w:r w:rsidR="005660B2" w:rsidRPr="00F2458D">
        <w:t>English and German and English and Japanese.</w:t>
      </w:r>
    </w:p>
    <w:p w:rsidR="005660B2" w:rsidRDefault="005660B2" w:rsidP="0068151C">
      <w:pPr>
        <w:tabs>
          <w:tab w:val="left" w:pos="709"/>
        </w:tabs>
        <w:autoSpaceDE w:val="0"/>
        <w:autoSpaceDN w:val="0"/>
        <w:adjustRightInd w:val="0"/>
        <w:jc w:val="both"/>
        <w:rPr>
          <w:rFonts w:cs="Arial"/>
          <w:bCs/>
          <w:color w:val="000000"/>
          <w:sz w:val="22"/>
          <w:szCs w:val="22"/>
        </w:rPr>
      </w:pPr>
    </w:p>
    <w:p w:rsidR="005660B2" w:rsidRDefault="0068151C" w:rsidP="0068151C">
      <w:pPr>
        <w:pStyle w:val="Style1"/>
        <w:numPr>
          <w:ilvl w:val="0"/>
          <w:numId w:val="0"/>
        </w:numPr>
        <w:tabs>
          <w:tab w:val="left" w:pos="709"/>
        </w:tabs>
        <w:jc w:val="both"/>
      </w:pPr>
      <w:r>
        <w:t>13.2.</w:t>
      </w:r>
      <w:r>
        <w:tab/>
      </w:r>
      <w:r w:rsidR="005660B2">
        <w:t xml:space="preserve">Use of PATENTSCOPE increased by </w:t>
      </w:r>
      <w:r w:rsidR="00EC1008">
        <w:t>ten</w:t>
      </w:r>
      <w:r w:rsidR="005660B2">
        <w:t xml:space="preserve"> per cent from 216,289 users per quarter in 2011 to 237,446 users per quarter in 2013, despite experiencing content delivery network problems during 2012. The number of collections held in PATENTSCOPE increased steadily from 28 in 2011 to 36 in 2013 and included the significant addition of the </w:t>
      </w:r>
      <w:r w:rsidR="003F004E">
        <w:t>United States of America</w:t>
      </w:r>
      <w:r w:rsidR="005660B2">
        <w:t xml:space="preserve">, Japanese and Chinese collections, more than tripling the number of records (documents) from </w:t>
      </w:r>
      <w:r w:rsidR="00EC1008">
        <w:t>ten</w:t>
      </w:r>
      <w:r w:rsidR="005660B2">
        <w:t xml:space="preserve"> million to 34 million.  Preparations for adding additional national and regional data collections (indicated as “non-PCT” in the graph below) are underway.</w:t>
      </w:r>
    </w:p>
    <w:p w:rsidR="005660B2" w:rsidRDefault="005660B2" w:rsidP="005660B2">
      <w:pPr>
        <w:autoSpaceDE w:val="0"/>
        <w:autoSpaceDN w:val="0"/>
        <w:adjustRightInd w:val="0"/>
        <w:rPr>
          <w:rFonts w:cs="Arial"/>
          <w:bCs/>
          <w:color w:val="000000"/>
          <w:sz w:val="22"/>
          <w:szCs w:val="22"/>
        </w:rPr>
      </w:pPr>
    </w:p>
    <w:p w:rsidR="005660B2" w:rsidRDefault="005660B2" w:rsidP="005660B2">
      <w:pPr>
        <w:autoSpaceDE w:val="0"/>
        <w:autoSpaceDN w:val="0"/>
        <w:adjustRightInd w:val="0"/>
        <w:jc w:val="center"/>
        <w:rPr>
          <w:rFonts w:cs="Arial"/>
          <w:bCs/>
          <w:color w:val="000000"/>
          <w:sz w:val="22"/>
          <w:szCs w:val="22"/>
        </w:rPr>
      </w:pPr>
      <w:r>
        <w:rPr>
          <w:rFonts w:cs="Arial"/>
          <w:bCs/>
          <w:color w:val="000000"/>
          <w:sz w:val="22"/>
          <w:szCs w:val="22"/>
        </w:rPr>
        <w:t>PATENTSCOPE Records 2012/13</w:t>
      </w:r>
    </w:p>
    <w:p w:rsidR="005660B2" w:rsidRDefault="005660B2" w:rsidP="005660B2">
      <w:pPr>
        <w:autoSpaceDE w:val="0"/>
        <w:autoSpaceDN w:val="0"/>
        <w:adjustRightInd w:val="0"/>
        <w:jc w:val="center"/>
        <w:rPr>
          <w:rFonts w:cs="Arial"/>
          <w:bCs/>
          <w:color w:val="000000"/>
          <w:sz w:val="22"/>
          <w:szCs w:val="22"/>
        </w:rPr>
      </w:pPr>
    </w:p>
    <w:p w:rsidR="005660B2" w:rsidRDefault="005660B2" w:rsidP="005660B2">
      <w:pPr>
        <w:autoSpaceDE w:val="0"/>
        <w:autoSpaceDN w:val="0"/>
        <w:adjustRightInd w:val="0"/>
        <w:jc w:val="center"/>
        <w:rPr>
          <w:rFonts w:cs="Arial"/>
          <w:bCs/>
          <w:color w:val="000000"/>
          <w:sz w:val="22"/>
          <w:szCs w:val="22"/>
        </w:rPr>
      </w:pPr>
      <w:r>
        <w:rPr>
          <w:noProof/>
        </w:rPr>
        <w:drawing>
          <wp:inline distT="0" distB="0" distL="0" distR="0" wp14:anchorId="3D7420E7" wp14:editId="2B1F12F7">
            <wp:extent cx="4480560" cy="3009900"/>
            <wp:effectExtent l="0" t="0" r="1524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5660B2" w:rsidRDefault="005660B2" w:rsidP="005660B2">
      <w:pPr>
        <w:autoSpaceDE w:val="0"/>
        <w:autoSpaceDN w:val="0"/>
        <w:adjustRightInd w:val="0"/>
        <w:jc w:val="both"/>
        <w:rPr>
          <w:rFonts w:cs="Arial"/>
          <w:bCs/>
          <w:color w:val="000000"/>
          <w:sz w:val="22"/>
          <w:szCs w:val="22"/>
        </w:rPr>
      </w:pPr>
    </w:p>
    <w:p w:rsidR="0068151C" w:rsidRDefault="0068151C" w:rsidP="0068151C">
      <w:pPr>
        <w:pStyle w:val="Style1"/>
        <w:numPr>
          <w:ilvl w:val="0"/>
          <w:numId w:val="0"/>
        </w:numPr>
        <w:tabs>
          <w:tab w:val="left" w:pos="709"/>
        </w:tabs>
        <w:jc w:val="both"/>
      </w:pPr>
    </w:p>
    <w:p w:rsidR="005660B2" w:rsidRDefault="0068151C" w:rsidP="0068151C">
      <w:pPr>
        <w:pStyle w:val="Style1"/>
        <w:numPr>
          <w:ilvl w:val="0"/>
          <w:numId w:val="0"/>
        </w:numPr>
        <w:tabs>
          <w:tab w:val="left" w:pos="709"/>
        </w:tabs>
        <w:jc w:val="both"/>
      </w:pPr>
      <w:r>
        <w:t>13.3.</w:t>
      </w:r>
      <w:r>
        <w:tab/>
      </w:r>
      <w:r w:rsidR="005660B2">
        <w:t>The Global Brand Database was launched in 2012 with the Madrid System, Lisbon System and Article 6</w:t>
      </w:r>
      <w:r w:rsidR="005660B2" w:rsidRPr="00C67742">
        <w:rPr>
          <w:i/>
        </w:rPr>
        <w:t>ter</w:t>
      </w:r>
      <w:r w:rsidR="005660B2">
        <w:t xml:space="preserve"> collections.  Use of the Database showed steady progress throughout 2012 and 2013, </w:t>
      </w:r>
      <w:r w:rsidR="005660B2" w:rsidRPr="00EE4E24">
        <w:rPr>
          <w:bCs/>
        </w:rPr>
        <w:t xml:space="preserve">with </w:t>
      </w:r>
      <w:r w:rsidR="005660B2">
        <w:rPr>
          <w:bCs/>
        </w:rPr>
        <w:t>13</w:t>
      </w:r>
      <w:r w:rsidR="005660B2" w:rsidRPr="00EE4E24">
        <w:rPr>
          <w:bCs/>
        </w:rPr>
        <w:t xml:space="preserve">,000 users and 23,000 users </w:t>
      </w:r>
      <w:r w:rsidR="005660B2">
        <w:rPr>
          <w:bCs/>
        </w:rPr>
        <w:t xml:space="preserve">per </w:t>
      </w:r>
      <w:r w:rsidR="005660B2" w:rsidRPr="00EE4E24">
        <w:rPr>
          <w:bCs/>
        </w:rPr>
        <w:t>quarter respectively</w:t>
      </w:r>
      <w:r w:rsidR="005660B2">
        <w:rPr>
          <w:bCs/>
        </w:rPr>
        <w:t xml:space="preserve"> as compared to 9,000 in 2011.  </w:t>
      </w:r>
      <w:r w:rsidR="005660B2">
        <w:t>The process of adding national col</w:t>
      </w:r>
      <w:r w:rsidR="005660B2" w:rsidRPr="00087F6B">
        <w:t>lections was initiated in 2012 with the addition of three national collections</w:t>
      </w:r>
      <w:r w:rsidR="003F004E">
        <w:t>,</w:t>
      </w:r>
      <w:r w:rsidR="005660B2" w:rsidRPr="00087F6B">
        <w:t xml:space="preserve"> </w:t>
      </w:r>
      <w:r w:rsidR="005660B2">
        <w:t xml:space="preserve">bringing the total number of </w:t>
      </w:r>
      <w:r w:rsidR="005660B2" w:rsidRPr="00087F6B">
        <w:t>national collections</w:t>
      </w:r>
      <w:r w:rsidR="005660B2">
        <w:t xml:space="preserve"> (</w:t>
      </w:r>
      <w:r w:rsidR="005660B2" w:rsidRPr="0087443E">
        <w:t>indicated as “non-Madrid” in the graph below)</w:t>
      </w:r>
      <w:r w:rsidR="005660B2" w:rsidRPr="00087F6B">
        <w:t xml:space="preserve"> </w:t>
      </w:r>
      <w:r w:rsidR="005660B2">
        <w:t xml:space="preserve">to 12 </w:t>
      </w:r>
      <w:r w:rsidR="005660B2" w:rsidRPr="00087F6B">
        <w:t xml:space="preserve">in 2013.  </w:t>
      </w:r>
      <w:r w:rsidR="005660B2">
        <w:t>T</w:t>
      </w:r>
      <w:r w:rsidR="005660B2" w:rsidRPr="00087F6B">
        <w:t xml:space="preserve">he number of records held in the system </w:t>
      </w:r>
      <w:r w:rsidR="005660B2">
        <w:t xml:space="preserve">increased significantly </w:t>
      </w:r>
      <w:r w:rsidR="005660B2" w:rsidRPr="00087F6B">
        <w:t xml:space="preserve">during the biennium, from 700,000 to </w:t>
      </w:r>
      <w:r w:rsidR="00F03901" w:rsidRPr="00087F6B">
        <w:t>12</w:t>
      </w:r>
      <w:r w:rsidR="00F03901">
        <w:t> </w:t>
      </w:r>
      <w:r w:rsidR="005660B2" w:rsidRPr="00087F6B">
        <w:t>million records.</w:t>
      </w:r>
    </w:p>
    <w:p w:rsidR="005660B2" w:rsidRDefault="005660B2" w:rsidP="0068151C">
      <w:pPr>
        <w:pStyle w:val="Style1"/>
        <w:numPr>
          <w:ilvl w:val="0"/>
          <w:numId w:val="0"/>
        </w:numPr>
        <w:tabs>
          <w:tab w:val="left" w:pos="709"/>
        </w:tabs>
        <w:ind w:left="720" w:hanging="360"/>
        <w:jc w:val="both"/>
      </w:pPr>
    </w:p>
    <w:p w:rsidR="005660B2" w:rsidRPr="001A6D6B" w:rsidRDefault="005660B2" w:rsidP="005660B2">
      <w:pPr>
        <w:pStyle w:val="Style1"/>
        <w:keepNext/>
        <w:keepLines/>
        <w:numPr>
          <w:ilvl w:val="0"/>
          <w:numId w:val="0"/>
        </w:numPr>
        <w:ind w:left="720"/>
        <w:jc w:val="center"/>
        <w:rPr>
          <w:sz w:val="22"/>
          <w:szCs w:val="22"/>
        </w:rPr>
      </w:pPr>
      <w:r w:rsidRPr="001A6D6B">
        <w:rPr>
          <w:sz w:val="22"/>
          <w:szCs w:val="22"/>
        </w:rPr>
        <w:lastRenderedPageBreak/>
        <w:t>Global Brand Database Records 2012/13</w:t>
      </w:r>
    </w:p>
    <w:p w:rsidR="005660B2" w:rsidRPr="00523BE7" w:rsidRDefault="005660B2" w:rsidP="005660B2">
      <w:pPr>
        <w:keepNext/>
        <w:keepLines/>
        <w:ind w:left="2268" w:hanging="2268"/>
        <w:jc w:val="center"/>
        <w:rPr>
          <w:b/>
          <w:bCs/>
          <w:sz w:val="22"/>
          <w:szCs w:val="22"/>
        </w:rPr>
      </w:pPr>
    </w:p>
    <w:p w:rsidR="005660B2" w:rsidRPr="00523BE7" w:rsidRDefault="005660B2" w:rsidP="005660B2">
      <w:pPr>
        <w:keepNext/>
        <w:keepLines/>
        <w:jc w:val="center"/>
        <w:rPr>
          <w:b/>
          <w:bCs/>
          <w:sz w:val="22"/>
          <w:szCs w:val="22"/>
        </w:rPr>
      </w:pPr>
      <w:r>
        <w:rPr>
          <w:noProof/>
        </w:rPr>
        <w:drawing>
          <wp:inline distT="0" distB="0" distL="0" distR="0" wp14:anchorId="6227476C" wp14:editId="17EBF532">
            <wp:extent cx="4549140" cy="2263140"/>
            <wp:effectExtent l="0" t="0" r="22860" b="228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5660B2" w:rsidRDefault="005660B2" w:rsidP="005660B2">
      <w:pPr>
        <w:ind w:left="2268" w:hanging="2268"/>
        <w:rPr>
          <w:b/>
          <w:bCs/>
          <w:sz w:val="22"/>
          <w:szCs w:val="22"/>
        </w:rPr>
      </w:pPr>
    </w:p>
    <w:p w:rsidR="005660B2" w:rsidRPr="00523BE7" w:rsidRDefault="005660B2" w:rsidP="005660B2">
      <w:pPr>
        <w:ind w:left="2268" w:hanging="2268"/>
        <w:rPr>
          <w:b/>
          <w:bCs/>
          <w:sz w:val="22"/>
          <w:szCs w:val="22"/>
        </w:rPr>
      </w:pPr>
    </w:p>
    <w:p w:rsidR="005660B2" w:rsidRPr="002C4083" w:rsidRDefault="005660B2" w:rsidP="005660B2">
      <w:pPr>
        <w:ind w:left="2268" w:hanging="2268"/>
        <w:rPr>
          <w:rFonts w:cs="Arial"/>
          <w:bCs/>
          <w:sz w:val="22"/>
          <w:szCs w:val="22"/>
        </w:rPr>
      </w:pPr>
      <w:r w:rsidRPr="002C4083">
        <w:rPr>
          <w:rFonts w:cs="Arial"/>
          <w:bCs/>
          <w:sz w:val="22"/>
          <w:szCs w:val="22"/>
        </w:rPr>
        <w:t xml:space="preserve">IMPLEMENTATION OF THE DEVELOPMENT AGENDA </w:t>
      </w:r>
    </w:p>
    <w:p w:rsidR="005660B2" w:rsidRPr="00523BE7" w:rsidRDefault="005660B2" w:rsidP="005660B2">
      <w:pPr>
        <w:ind w:left="2268" w:hanging="2268"/>
        <w:jc w:val="both"/>
        <w:rPr>
          <w:b/>
          <w:sz w:val="22"/>
          <w:szCs w:val="22"/>
        </w:rPr>
      </w:pPr>
    </w:p>
    <w:p w:rsidR="005660B2" w:rsidRPr="00CD26D6" w:rsidRDefault="005660B2" w:rsidP="005660B2">
      <w:pPr>
        <w:tabs>
          <w:tab w:val="left" w:pos="709"/>
        </w:tabs>
        <w:jc w:val="both"/>
        <w:rPr>
          <w:rFonts w:eastAsia="MS Mincho"/>
          <w:szCs w:val="20"/>
          <w:lang w:eastAsia="ja-JP" w:bidi="th-TH"/>
        </w:rPr>
      </w:pPr>
      <w:r w:rsidRPr="00CD26D6">
        <w:rPr>
          <w:rFonts w:eastAsia="MS Mincho"/>
          <w:szCs w:val="20"/>
          <w:lang w:eastAsia="ja-JP" w:bidi="th-TH"/>
        </w:rPr>
        <w:t>13.4</w:t>
      </w:r>
      <w:r w:rsidR="0068151C" w:rsidRPr="00CD26D6">
        <w:rPr>
          <w:rFonts w:eastAsia="MS Mincho"/>
          <w:szCs w:val="20"/>
          <w:lang w:eastAsia="ja-JP" w:bidi="th-TH"/>
        </w:rPr>
        <w:t>.</w:t>
      </w:r>
      <w:r w:rsidRPr="00CD26D6">
        <w:rPr>
          <w:rFonts w:eastAsia="MS Mincho"/>
          <w:szCs w:val="20"/>
          <w:lang w:eastAsia="ja-JP" w:bidi="th-TH"/>
        </w:rPr>
        <w:tab/>
        <w:t>This Program continued to contribute to DA Recommendations 24 and 31, bridging the digital divide and facilitating better access to publicly available patent information by continuing to increase the amount of IP records available for searching and extending search and multilingual support functionalities.</w:t>
      </w:r>
    </w:p>
    <w:p w:rsidR="005660B2" w:rsidRPr="00523BE7" w:rsidRDefault="005660B2" w:rsidP="005660B2">
      <w:pPr>
        <w:ind w:left="2268" w:hanging="2268"/>
        <w:rPr>
          <w:b/>
          <w:sz w:val="22"/>
          <w:szCs w:val="22"/>
        </w:rPr>
      </w:pPr>
    </w:p>
    <w:p w:rsidR="005660B2" w:rsidRPr="00523BE7" w:rsidRDefault="005660B2" w:rsidP="005660B2">
      <w:pPr>
        <w:ind w:left="2268" w:hanging="2268"/>
        <w:rPr>
          <w:b/>
          <w:sz w:val="22"/>
          <w:szCs w:val="22"/>
        </w:rPr>
      </w:pPr>
    </w:p>
    <w:p w:rsidR="005660B2" w:rsidRPr="00523BE7" w:rsidRDefault="005660B2" w:rsidP="005660B2">
      <w:pPr>
        <w:rPr>
          <w:rFonts w:cs="Arial"/>
          <w:sz w:val="22"/>
          <w:szCs w:val="22"/>
        </w:rPr>
      </w:pPr>
      <w:r>
        <w:rPr>
          <w:rFonts w:cs="Arial"/>
          <w:sz w:val="22"/>
          <w:szCs w:val="22"/>
        </w:rPr>
        <w:t>P</w:t>
      </w:r>
      <w:r w:rsidRPr="00523BE7">
        <w:rPr>
          <w:rFonts w:cs="Arial"/>
          <w:sz w:val="22"/>
          <w:szCs w:val="22"/>
        </w:rPr>
        <w:t>ERFORMANCE DATA</w:t>
      </w:r>
    </w:p>
    <w:p w:rsidR="005660B2" w:rsidRPr="00523BE7" w:rsidRDefault="005660B2" w:rsidP="005660B2">
      <w:pPr>
        <w:ind w:left="2268" w:hanging="2268"/>
        <w:rPr>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128"/>
        <w:gridCol w:w="1559"/>
        <w:gridCol w:w="6"/>
        <w:gridCol w:w="2141"/>
        <w:gridCol w:w="1256"/>
      </w:tblGrid>
      <w:tr w:rsidR="005660B2" w:rsidRPr="0068151C" w:rsidTr="0068151C">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Enhanced access to, and use of, IP information and knowledge by IP institutions and the public to promote innovation and increased access to protected creative works and creative works in the public domain</w:t>
            </w:r>
          </w:p>
        </w:tc>
      </w:tr>
      <w:tr w:rsidR="002B20E5" w:rsidRPr="0068151C" w:rsidTr="00FA28F8">
        <w:trPr>
          <w:cantSplit/>
        </w:trPr>
        <w:tc>
          <w:tcPr>
            <w:tcW w:w="1212" w:type="pct"/>
            <w:tcBorders>
              <w:top w:val="single" w:sz="4" w:space="0" w:color="auto"/>
              <w:left w:val="single" w:sz="4" w:space="0" w:color="auto"/>
              <w:bottom w:val="nil"/>
            </w:tcBorders>
            <w:shd w:val="clear" w:color="auto" w:fill="auto"/>
            <w:vAlign w:val="center"/>
          </w:tcPr>
          <w:p w:rsidR="005660B2" w:rsidRPr="0068151C" w:rsidRDefault="005660B2" w:rsidP="0068151C">
            <w:pPr>
              <w:rPr>
                <w:rFonts w:cs="Arial"/>
                <w:sz w:val="16"/>
                <w:szCs w:val="16"/>
              </w:rPr>
            </w:pPr>
            <w:r w:rsidRPr="0068151C">
              <w:rPr>
                <w:rFonts w:cs="Arial"/>
                <w:b/>
                <w:bCs/>
                <w:sz w:val="16"/>
                <w:szCs w:val="16"/>
              </w:rPr>
              <w:t>Performance Indicators</w:t>
            </w:r>
          </w:p>
        </w:tc>
        <w:tc>
          <w:tcPr>
            <w:tcW w:w="1137" w:type="pct"/>
            <w:tcBorders>
              <w:top w:val="single" w:sz="4" w:space="0" w:color="auto"/>
              <w:bottom w:val="nil"/>
            </w:tcBorders>
            <w:shd w:val="clear" w:color="auto" w:fill="auto"/>
            <w:vAlign w:val="center"/>
          </w:tcPr>
          <w:p w:rsidR="005660B2" w:rsidRPr="0068151C" w:rsidRDefault="005660B2" w:rsidP="0068151C">
            <w:pPr>
              <w:rPr>
                <w:rFonts w:cs="Arial"/>
                <w:b/>
                <w:bCs/>
                <w:sz w:val="16"/>
                <w:szCs w:val="16"/>
              </w:rPr>
            </w:pPr>
            <w:r w:rsidRPr="0068151C">
              <w:rPr>
                <w:rFonts w:cs="Arial"/>
                <w:b/>
                <w:bCs/>
                <w:sz w:val="16"/>
                <w:szCs w:val="16"/>
              </w:rPr>
              <w:t>Baselines</w:t>
            </w:r>
          </w:p>
        </w:tc>
        <w:tc>
          <w:tcPr>
            <w:tcW w:w="836" w:type="pct"/>
            <w:gridSpan w:val="2"/>
            <w:tcBorders>
              <w:top w:val="single" w:sz="4" w:space="0" w:color="auto"/>
              <w:bottom w:val="nil"/>
            </w:tcBorders>
            <w:shd w:val="clear" w:color="auto" w:fill="auto"/>
            <w:tcMar>
              <w:top w:w="110" w:type="dxa"/>
            </w:tcMar>
            <w:vAlign w:val="center"/>
          </w:tcPr>
          <w:p w:rsidR="005660B2" w:rsidRPr="0068151C" w:rsidRDefault="005660B2" w:rsidP="0068151C">
            <w:pPr>
              <w:rPr>
                <w:rFonts w:cs="Arial"/>
                <w:b/>
                <w:sz w:val="16"/>
                <w:szCs w:val="16"/>
              </w:rPr>
            </w:pPr>
            <w:r w:rsidRPr="0068151C">
              <w:rPr>
                <w:rFonts w:cs="Arial"/>
                <w:b/>
                <w:sz w:val="16"/>
                <w:szCs w:val="16"/>
              </w:rPr>
              <w:t>Target</w:t>
            </w:r>
            <w:r w:rsidR="00582788">
              <w:rPr>
                <w:rFonts w:cs="Arial"/>
                <w:b/>
                <w:sz w:val="16"/>
                <w:szCs w:val="16"/>
              </w:rPr>
              <w:t>s</w:t>
            </w:r>
          </w:p>
        </w:tc>
        <w:tc>
          <w:tcPr>
            <w:tcW w:w="1144" w:type="pct"/>
            <w:tcBorders>
              <w:top w:val="single" w:sz="4" w:space="0" w:color="auto"/>
              <w:bottom w:val="nil"/>
            </w:tcBorders>
            <w:shd w:val="clear" w:color="auto" w:fill="FFFFFF"/>
            <w:tcMar>
              <w:top w:w="110" w:type="dxa"/>
            </w:tcMar>
            <w:vAlign w:val="center"/>
          </w:tcPr>
          <w:p w:rsidR="005660B2" w:rsidRPr="0068151C" w:rsidRDefault="005660B2" w:rsidP="0068151C">
            <w:pPr>
              <w:rPr>
                <w:rFonts w:cs="Arial"/>
                <w:sz w:val="16"/>
                <w:szCs w:val="16"/>
              </w:rPr>
            </w:pPr>
            <w:r w:rsidRPr="0068151C">
              <w:rPr>
                <w:rFonts w:cs="Arial"/>
                <w:b/>
                <w:bCs/>
                <w:sz w:val="16"/>
                <w:szCs w:val="16"/>
              </w:rPr>
              <w:t>Performance Data</w:t>
            </w:r>
          </w:p>
        </w:tc>
        <w:tc>
          <w:tcPr>
            <w:tcW w:w="671" w:type="pct"/>
            <w:tcBorders>
              <w:top w:val="single" w:sz="4" w:space="0" w:color="auto"/>
              <w:bottom w:val="nil"/>
              <w:right w:val="single" w:sz="4" w:space="0" w:color="auto"/>
            </w:tcBorders>
            <w:shd w:val="clear" w:color="auto" w:fill="auto"/>
            <w:tcMar>
              <w:top w:w="110" w:type="dxa"/>
            </w:tcMar>
            <w:vAlign w:val="center"/>
          </w:tcPr>
          <w:p w:rsidR="005660B2" w:rsidRPr="0068151C" w:rsidRDefault="005660B2" w:rsidP="0068151C">
            <w:pPr>
              <w:keepNext/>
              <w:keepLines/>
              <w:jc w:val="center"/>
              <w:rPr>
                <w:rFonts w:cs="Arial"/>
                <w:b/>
                <w:bCs/>
                <w:sz w:val="16"/>
                <w:szCs w:val="16"/>
              </w:rPr>
            </w:pPr>
            <w:r w:rsidRPr="0068151C">
              <w:rPr>
                <w:rFonts w:cs="Arial"/>
                <w:b/>
                <w:bCs/>
                <w:sz w:val="16"/>
                <w:szCs w:val="16"/>
              </w:rPr>
              <w:t>TLS</w:t>
            </w:r>
          </w:p>
        </w:tc>
      </w:tr>
      <w:tr w:rsidR="002B20E5" w:rsidRPr="0068151C" w:rsidTr="00FA28F8">
        <w:trPr>
          <w:cantSplit/>
        </w:trPr>
        <w:tc>
          <w:tcPr>
            <w:tcW w:w="1212" w:type="pct"/>
            <w:tcBorders>
              <w:top w:val="nil"/>
              <w:left w:val="single" w:sz="4" w:space="0" w:color="auto"/>
              <w:bottom w:val="nil"/>
            </w:tcBorders>
            <w:shd w:val="clear" w:color="auto" w:fill="auto"/>
          </w:tcPr>
          <w:p w:rsidR="005660B2" w:rsidRPr="0068151C" w:rsidRDefault="005660B2" w:rsidP="0068151C">
            <w:pPr>
              <w:rPr>
                <w:rFonts w:cs="Arial"/>
                <w:sz w:val="16"/>
                <w:szCs w:val="16"/>
              </w:rPr>
            </w:pPr>
            <w:r w:rsidRPr="0068151C">
              <w:rPr>
                <w:rFonts w:cs="Arial"/>
                <w:sz w:val="16"/>
                <w:szCs w:val="16"/>
              </w:rPr>
              <w:t>No. of different users per quarter/system</w:t>
            </w:r>
            <w:r w:rsidRPr="0068151C">
              <w:rPr>
                <w:rFonts w:cs="Arial"/>
                <w:smallCaps/>
                <w:sz w:val="16"/>
                <w:szCs w:val="16"/>
              </w:rPr>
              <w:t xml:space="preserve"> (PATENTSCOPE</w:t>
            </w:r>
            <w:r w:rsidRPr="0068151C">
              <w:rPr>
                <w:rFonts w:cs="Arial"/>
                <w:sz w:val="16"/>
                <w:szCs w:val="16"/>
              </w:rPr>
              <w:t>/ Global Brand Database)</w:t>
            </w:r>
          </w:p>
        </w:tc>
        <w:tc>
          <w:tcPr>
            <w:tcW w:w="1137" w:type="pct"/>
            <w:tcBorders>
              <w:top w:val="nil"/>
              <w:bottom w:val="nil"/>
            </w:tcBorders>
            <w:shd w:val="clear" w:color="auto" w:fill="auto"/>
          </w:tcPr>
          <w:p w:rsidR="00F03901" w:rsidRDefault="005660B2" w:rsidP="0068151C">
            <w:pPr>
              <w:rPr>
                <w:rFonts w:cs="Arial"/>
                <w:color w:val="002060"/>
                <w:sz w:val="16"/>
                <w:szCs w:val="16"/>
              </w:rPr>
            </w:pPr>
            <w:r w:rsidRPr="0068151C">
              <w:rPr>
                <w:rFonts w:cs="Arial"/>
                <w:i/>
                <w:color w:val="002060"/>
                <w:sz w:val="16"/>
                <w:szCs w:val="16"/>
              </w:rPr>
              <w:t xml:space="preserve">Updated Baseline </w:t>
            </w:r>
            <w:r w:rsidR="00F03901">
              <w:rPr>
                <w:rFonts w:cs="Arial"/>
                <w:i/>
                <w:color w:val="002060"/>
                <w:sz w:val="16"/>
                <w:szCs w:val="16"/>
              </w:rPr>
              <w:br/>
            </w:r>
            <w:r w:rsidRPr="0068151C">
              <w:rPr>
                <w:rFonts w:cs="Arial"/>
                <w:i/>
                <w:color w:val="002060"/>
                <w:sz w:val="16"/>
                <w:szCs w:val="16"/>
              </w:rPr>
              <w:t>end 2011:</w:t>
            </w:r>
            <w:r w:rsidR="00F03901">
              <w:rPr>
                <w:rFonts w:cs="Arial"/>
                <w:i/>
                <w:color w:val="002060"/>
                <w:sz w:val="16"/>
                <w:szCs w:val="16"/>
              </w:rPr>
              <w:br/>
            </w:r>
          </w:p>
          <w:p w:rsidR="005660B2" w:rsidRPr="0068151C" w:rsidRDefault="005660B2" w:rsidP="0068151C">
            <w:pPr>
              <w:rPr>
                <w:rFonts w:cs="Arial"/>
                <w:color w:val="002060"/>
                <w:sz w:val="16"/>
                <w:szCs w:val="16"/>
                <w:lang w:bidi="th-TH"/>
              </w:rPr>
            </w:pPr>
            <w:r w:rsidRPr="0068151C">
              <w:rPr>
                <w:rFonts w:cs="Arial"/>
                <w:color w:val="002060"/>
                <w:sz w:val="16"/>
                <w:szCs w:val="16"/>
                <w:lang w:bidi="th-TH"/>
              </w:rPr>
              <w:t>PATENTSCOPE: 216,289</w:t>
            </w:r>
          </w:p>
          <w:p w:rsidR="005660B2" w:rsidRPr="009C4AA7" w:rsidRDefault="005660B2" w:rsidP="0068151C">
            <w:pPr>
              <w:rPr>
                <w:rFonts w:cs="Arial"/>
                <w:color w:val="002060"/>
                <w:sz w:val="8"/>
                <w:szCs w:val="8"/>
                <w:lang w:bidi="th-TH"/>
              </w:rPr>
            </w:pPr>
          </w:p>
          <w:p w:rsidR="00F03901" w:rsidRDefault="00F03901" w:rsidP="0068151C">
            <w:pPr>
              <w:rPr>
                <w:rFonts w:cs="Arial"/>
                <w:color w:val="002060"/>
                <w:sz w:val="16"/>
                <w:szCs w:val="16"/>
                <w:lang w:bidi="th-TH"/>
              </w:rPr>
            </w:pPr>
          </w:p>
          <w:p w:rsidR="00F03901" w:rsidRDefault="00F03901" w:rsidP="0068151C">
            <w:pPr>
              <w:rPr>
                <w:rFonts w:cs="Arial"/>
                <w:color w:val="002060"/>
                <w:sz w:val="16"/>
                <w:szCs w:val="16"/>
                <w:lang w:bidi="th-TH"/>
              </w:rPr>
            </w:pPr>
          </w:p>
          <w:p w:rsidR="00F03901" w:rsidRDefault="00F03901" w:rsidP="0068151C">
            <w:pPr>
              <w:rPr>
                <w:rFonts w:cs="Arial"/>
                <w:color w:val="002060"/>
                <w:sz w:val="16"/>
                <w:szCs w:val="16"/>
                <w:lang w:bidi="th-TH"/>
              </w:rPr>
            </w:pPr>
          </w:p>
          <w:p w:rsidR="005660B2" w:rsidRPr="0068151C" w:rsidRDefault="005660B2" w:rsidP="0068151C">
            <w:pPr>
              <w:rPr>
                <w:rFonts w:cs="Arial"/>
                <w:i/>
                <w:color w:val="002060"/>
                <w:sz w:val="16"/>
                <w:szCs w:val="16"/>
                <w:lang w:bidi="th-TH"/>
              </w:rPr>
            </w:pPr>
            <w:r w:rsidRPr="0068151C">
              <w:rPr>
                <w:rFonts w:cs="Arial"/>
                <w:color w:val="002060"/>
                <w:sz w:val="16"/>
                <w:szCs w:val="16"/>
                <w:lang w:bidi="th-TH"/>
              </w:rPr>
              <w:t xml:space="preserve">Global Brand </w:t>
            </w:r>
            <w:r w:rsidR="00F03901">
              <w:rPr>
                <w:rFonts w:cs="Arial"/>
                <w:color w:val="002060"/>
                <w:sz w:val="16"/>
                <w:szCs w:val="16"/>
                <w:lang w:bidi="th-TH"/>
              </w:rPr>
              <w:br/>
            </w:r>
            <w:r w:rsidRPr="0068151C">
              <w:rPr>
                <w:rFonts w:cs="Arial"/>
                <w:color w:val="002060"/>
                <w:sz w:val="16"/>
                <w:szCs w:val="16"/>
                <w:lang w:bidi="th-TH"/>
              </w:rPr>
              <w:t>Database:</w:t>
            </w:r>
            <w:r w:rsidR="00F03901">
              <w:rPr>
                <w:rFonts w:cs="Arial"/>
                <w:color w:val="002060"/>
                <w:sz w:val="16"/>
                <w:szCs w:val="16"/>
                <w:lang w:bidi="th-TH"/>
              </w:rPr>
              <w:t xml:space="preserve"> </w:t>
            </w:r>
            <w:r w:rsidR="00F03901" w:rsidRPr="0068151C">
              <w:rPr>
                <w:rFonts w:cs="Arial"/>
                <w:color w:val="002060"/>
                <w:sz w:val="16"/>
                <w:szCs w:val="16"/>
                <w:lang w:bidi="th-TH"/>
              </w:rPr>
              <w:t xml:space="preserve"> </w:t>
            </w:r>
            <w:r w:rsidRPr="0068151C">
              <w:rPr>
                <w:rFonts w:cs="Arial"/>
                <w:color w:val="002060"/>
                <w:sz w:val="16"/>
                <w:szCs w:val="16"/>
                <w:lang w:bidi="th-TH"/>
              </w:rPr>
              <w:t>9,000</w:t>
            </w:r>
          </w:p>
          <w:p w:rsidR="005660B2" w:rsidRPr="00A25763" w:rsidRDefault="005660B2" w:rsidP="0068151C">
            <w:pPr>
              <w:rPr>
                <w:rFonts w:cs="Arial"/>
                <w:i/>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r w:rsidRPr="0068151C">
              <w:rPr>
                <w:rFonts w:cs="Arial"/>
                <w:sz w:val="16"/>
                <w:szCs w:val="16"/>
              </w:rPr>
              <w:t xml:space="preserve">PATENTSCOPE: </w:t>
            </w:r>
            <w:r w:rsidR="00F03901">
              <w:rPr>
                <w:rFonts w:cs="Arial"/>
                <w:sz w:val="16"/>
                <w:szCs w:val="16"/>
              </w:rPr>
              <w:t xml:space="preserve"> </w:t>
            </w:r>
            <w:r w:rsidR="002B20E5">
              <w:rPr>
                <w:rFonts w:cs="Arial"/>
                <w:sz w:val="16"/>
                <w:szCs w:val="16"/>
              </w:rPr>
              <w:br/>
            </w:r>
            <w:r w:rsidRPr="0068151C">
              <w:rPr>
                <w:rFonts w:cs="Arial"/>
                <w:sz w:val="16"/>
                <w:szCs w:val="16"/>
              </w:rPr>
              <w:t xml:space="preserve">175’000 (beginning of 2011, new and old PATENTSCOPE systems) </w:t>
            </w:r>
          </w:p>
          <w:p w:rsidR="005660B2" w:rsidRPr="009C4AA7" w:rsidRDefault="005660B2" w:rsidP="0068151C">
            <w:pPr>
              <w:rPr>
                <w:rFonts w:cs="Arial"/>
                <w:sz w:val="8"/>
                <w:szCs w:val="8"/>
              </w:rPr>
            </w:pPr>
          </w:p>
          <w:p w:rsidR="00F03901" w:rsidRDefault="005660B2" w:rsidP="0068151C">
            <w:pPr>
              <w:rPr>
                <w:rFonts w:cs="Arial"/>
                <w:sz w:val="16"/>
                <w:szCs w:val="16"/>
              </w:rPr>
            </w:pPr>
            <w:r w:rsidRPr="0068151C">
              <w:rPr>
                <w:rFonts w:cs="Arial"/>
                <w:sz w:val="16"/>
                <w:szCs w:val="16"/>
              </w:rPr>
              <w:t xml:space="preserve">Global Brand </w:t>
            </w:r>
          </w:p>
          <w:p w:rsidR="005660B2" w:rsidRPr="0068151C" w:rsidRDefault="005660B2" w:rsidP="0068151C">
            <w:pPr>
              <w:rPr>
                <w:rFonts w:cs="Arial"/>
                <w:sz w:val="16"/>
                <w:szCs w:val="16"/>
              </w:rPr>
            </w:pPr>
            <w:r w:rsidRPr="0068151C">
              <w:rPr>
                <w:rFonts w:cs="Arial"/>
                <w:sz w:val="16"/>
                <w:szCs w:val="16"/>
              </w:rPr>
              <w:t>Database: Not applicable</w:t>
            </w:r>
          </w:p>
        </w:tc>
        <w:tc>
          <w:tcPr>
            <w:tcW w:w="836" w:type="pct"/>
            <w:gridSpan w:val="2"/>
            <w:tcBorders>
              <w:top w:val="nil"/>
              <w:bottom w:val="nil"/>
            </w:tcBorders>
            <w:shd w:val="clear" w:color="auto" w:fill="auto"/>
            <w:tcMar>
              <w:top w:w="110" w:type="dxa"/>
            </w:tcMar>
          </w:tcPr>
          <w:p w:rsidR="00F03901" w:rsidRDefault="00F03901" w:rsidP="0068151C">
            <w:pPr>
              <w:rPr>
                <w:rFonts w:cs="Arial"/>
                <w:sz w:val="16"/>
                <w:szCs w:val="16"/>
              </w:rPr>
            </w:pPr>
          </w:p>
          <w:p w:rsidR="00F03901" w:rsidRDefault="00F03901" w:rsidP="0068151C">
            <w:pPr>
              <w:rPr>
                <w:rFonts w:cs="Arial"/>
                <w:sz w:val="16"/>
                <w:szCs w:val="16"/>
              </w:rPr>
            </w:pPr>
          </w:p>
          <w:p w:rsidR="00F03901" w:rsidRDefault="00F03901" w:rsidP="0068151C">
            <w:pPr>
              <w:rPr>
                <w:rFonts w:cs="Arial"/>
                <w:sz w:val="16"/>
                <w:szCs w:val="16"/>
              </w:rPr>
            </w:pPr>
          </w:p>
          <w:p w:rsidR="005660B2" w:rsidRPr="00F03901" w:rsidRDefault="005660B2" w:rsidP="0068151C">
            <w:pPr>
              <w:rPr>
                <w:rFonts w:cs="Arial"/>
                <w:sz w:val="16"/>
                <w:szCs w:val="16"/>
              </w:rPr>
            </w:pPr>
            <w:r w:rsidRPr="0068151C">
              <w:rPr>
                <w:rFonts w:cs="Arial"/>
                <w:sz w:val="16"/>
                <w:szCs w:val="16"/>
              </w:rPr>
              <w:t>+</w:t>
            </w:r>
            <w:r w:rsidR="00EC1008">
              <w:rPr>
                <w:rFonts w:cs="Arial"/>
                <w:sz w:val="16"/>
                <w:szCs w:val="16"/>
              </w:rPr>
              <w:t>ten per cent</w:t>
            </w:r>
          </w:p>
        </w:tc>
        <w:tc>
          <w:tcPr>
            <w:tcW w:w="1144" w:type="pct"/>
            <w:tcBorders>
              <w:top w:val="nil"/>
              <w:bottom w:val="nil"/>
            </w:tcBorders>
            <w:shd w:val="clear" w:color="auto" w:fill="FFFFFF"/>
            <w:tcMar>
              <w:top w:w="110" w:type="dxa"/>
            </w:tcMar>
          </w:tcPr>
          <w:p w:rsidR="00F03901" w:rsidRDefault="00F03901" w:rsidP="0068151C">
            <w:pPr>
              <w:rPr>
                <w:rFonts w:cs="Arial"/>
                <w:sz w:val="16"/>
                <w:szCs w:val="16"/>
                <w:lang w:bidi="th-TH"/>
              </w:rPr>
            </w:pPr>
          </w:p>
          <w:p w:rsidR="00F03901" w:rsidRDefault="00F03901" w:rsidP="0068151C">
            <w:pPr>
              <w:rPr>
                <w:rFonts w:cs="Arial"/>
                <w:sz w:val="16"/>
                <w:szCs w:val="16"/>
                <w:lang w:bidi="th-TH"/>
              </w:rPr>
            </w:pPr>
          </w:p>
          <w:p w:rsidR="00F03901" w:rsidRDefault="00F03901" w:rsidP="0068151C">
            <w:pPr>
              <w:rPr>
                <w:rFonts w:cs="Arial"/>
                <w:sz w:val="16"/>
                <w:szCs w:val="16"/>
                <w:lang w:bidi="th-TH"/>
              </w:rPr>
            </w:pPr>
          </w:p>
          <w:p w:rsidR="005660B2" w:rsidRPr="0068151C" w:rsidRDefault="005660B2" w:rsidP="0068151C">
            <w:pPr>
              <w:rPr>
                <w:rFonts w:cs="Arial"/>
                <w:sz w:val="16"/>
                <w:szCs w:val="16"/>
                <w:lang w:bidi="th-TH"/>
              </w:rPr>
            </w:pPr>
            <w:r w:rsidRPr="0068151C">
              <w:rPr>
                <w:rFonts w:cs="Arial"/>
                <w:sz w:val="16"/>
                <w:szCs w:val="16"/>
                <w:lang w:bidi="th-TH"/>
              </w:rPr>
              <w:t>PATENTSCOPE:</w:t>
            </w:r>
          </w:p>
          <w:p w:rsidR="005660B2" w:rsidRPr="0068151C" w:rsidRDefault="005660B2" w:rsidP="0068151C">
            <w:pPr>
              <w:rPr>
                <w:rFonts w:cs="Arial"/>
                <w:sz w:val="16"/>
                <w:szCs w:val="16"/>
                <w:lang w:bidi="th-TH"/>
              </w:rPr>
            </w:pPr>
            <w:r w:rsidRPr="0068151C">
              <w:rPr>
                <w:rFonts w:cs="Arial"/>
                <w:sz w:val="16"/>
                <w:szCs w:val="16"/>
                <w:lang w:bidi="th-TH"/>
              </w:rPr>
              <w:t>219,000 (2012)</w:t>
            </w:r>
          </w:p>
          <w:p w:rsidR="005660B2" w:rsidRPr="0068151C" w:rsidRDefault="005660B2" w:rsidP="0068151C">
            <w:pPr>
              <w:rPr>
                <w:rFonts w:cs="Arial"/>
                <w:sz w:val="16"/>
                <w:szCs w:val="16"/>
                <w:lang w:bidi="th-TH"/>
              </w:rPr>
            </w:pPr>
            <w:r w:rsidRPr="0068151C">
              <w:rPr>
                <w:rFonts w:cs="Arial"/>
                <w:sz w:val="16"/>
                <w:szCs w:val="16"/>
                <w:lang w:bidi="th-TH"/>
              </w:rPr>
              <w:t>237,446 (2013)</w:t>
            </w:r>
          </w:p>
          <w:p w:rsidR="005660B2" w:rsidRPr="0068151C" w:rsidRDefault="005660B2" w:rsidP="0068151C">
            <w:pPr>
              <w:rPr>
                <w:rFonts w:cs="Arial"/>
                <w:sz w:val="16"/>
                <w:szCs w:val="16"/>
                <w:lang w:bidi="th-TH"/>
              </w:rPr>
            </w:pPr>
          </w:p>
          <w:p w:rsidR="005660B2" w:rsidRPr="0068151C" w:rsidRDefault="005660B2" w:rsidP="0068151C">
            <w:pPr>
              <w:rPr>
                <w:rFonts w:cs="Arial"/>
                <w:sz w:val="16"/>
                <w:szCs w:val="16"/>
                <w:lang w:bidi="th-TH"/>
              </w:rPr>
            </w:pPr>
            <w:r w:rsidRPr="0068151C">
              <w:rPr>
                <w:rFonts w:cs="Arial"/>
                <w:sz w:val="16"/>
                <w:szCs w:val="16"/>
                <w:lang w:bidi="th-TH"/>
              </w:rPr>
              <w:t>Global Brand Database:</w:t>
            </w:r>
            <w:r w:rsidRPr="0068151C">
              <w:rPr>
                <w:rFonts w:cs="Arial"/>
                <w:sz w:val="16"/>
                <w:szCs w:val="16"/>
                <w:lang w:bidi="th-TH"/>
              </w:rPr>
              <w:br/>
              <w:t>13,000 (2012)</w:t>
            </w:r>
          </w:p>
          <w:p w:rsidR="005660B2" w:rsidRPr="0068151C" w:rsidRDefault="005660B2" w:rsidP="00E907C9">
            <w:pPr>
              <w:rPr>
                <w:rFonts w:cs="Arial"/>
                <w:sz w:val="16"/>
                <w:szCs w:val="16"/>
              </w:rPr>
            </w:pPr>
            <w:r w:rsidRPr="0068151C">
              <w:rPr>
                <w:rFonts w:cs="Arial"/>
                <w:sz w:val="16"/>
                <w:szCs w:val="16"/>
                <w:lang w:bidi="th-TH"/>
              </w:rPr>
              <w:t>23,00</w:t>
            </w:r>
            <w:r w:rsidR="00E907C9">
              <w:rPr>
                <w:rFonts w:cs="Arial"/>
                <w:sz w:val="16"/>
                <w:szCs w:val="16"/>
                <w:lang w:bidi="th-TH"/>
              </w:rPr>
              <w:t>0</w:t>
            </w:r>
            <w:r w:rsidRPr="0068151C">
              <w:rPr>
                <w:rFonts w:cs="Arial"/>
                <w:sz w:val="16"/>
                <w:szCs w:val="16"/>
                <w:lang w:bidi="th-TH"/>
              </w:rPr>
              <w:t xml:space="preserve"> (2013)</w:t>
            </w:r>
          </w:p>
        </w:tc>
        <w:tc>
          <w:tcPr>
            <w:tcW w:w="671" w:type="pct"/>
            <w:tcBorders>
              <w:top w:val="nil"/>
              <w:bottom w:val="nil"/>
              <w:right w:val="single" w:sz="4" w:space="0" w:color="auto"/>
            </w:tcBorders>
            <w:shd w:val="clear" w:color="auto" w:fill="auto"/>
            <w:tcMar>
              <w:top w:w="110" w:type="dxa"/>
            </w:tcMar>
          </w:tcPr>
          <w:p w:rsidR="00F03901" w:rsidRDefault="00F03901" w:rsidP="0068151C">
            <w:pPr>
              <w:keepNext/>
              <w:keepLines/>
              <w:jc w:val="center"/>
              <w:rPr>
                <w:rStyle w:val="Style5"/>
                <w:rFonts w:ascii="Arial" w:hAnsi="Arial" w:cs="Arial"/>
                <w:color w:val="10862C"/>
                <w:sz w:val="16"/>
                <w:szCs w:val="16"/>
              </w:rPr>
            </w:pPr>
          </w:p>
          <w:p w:rsidR="00F03901" w:rsidRDefault="00F03901" w:rsidP="0068151C">
            <w:pPr>
              <w:keepNext/>
              <w:keepLines/>
              <w:jc w:val="center"/>
              <w:rPr>
                <w:rStyle w:val="Style5"/>
                <w:rFonts w:ascii="Arial" w:hAnsi="Arial" w:cs="Arial"/>
                <w:color w:val="10862C"/>
                <w:sz w:val="16"/>
                <w:szCs w:val="16"/>
              </w:rPr>
            </w:pPr>
          </w:p>
          <w:p w:rsidR="00F03901" w:rsidRDefault="00F03901" w:rsidP="0068151C">
            <w:pPr>
              <w:keepNext/>
              <w:keepLines/>
              <w:jc w:val="center"/>
              <w:rPr>
                <w:rStyle w:val="Style5"/>
                <w:rFonts w:ascii="Arial" w:hAnsi="Arial" w:cs="Arial"/>
                <w:color w:val="10862C"/>
                <w:sz w:val="16"/>
                <w:szCs w:val="16"/>
              </w:rPr>
            </w:pPr>
          </w:p>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2B20E5" w:rsidRPr="0068151C" w:rsidTr="00FA28F8">
        <w:trPr>
          <w:cantSplit/>
        </w:trPr>
        <w:tc>
          <w:tcPr>
            <w:tcW w:w="1212" w:type="pct"/>
            <w:tcBorders>
              <w:top w:val="nil"/>
              <w:left w:val="single" w:sz="4" w:space="0" w:color="auto"/>
              <w:bottom w:val="single" w:sz="4" w:space="0" w:color="auto"/>
            </w:tcBorders>
            <w:shd w:val="clear" w:color="auto" w:fill="FFFFFF"/>
          </w:tcPr>
          <w:p w:rsidR="005660B2" w:rsidRPr="0068151C" w:rsidRDefault="005660B2" w:rsidP="0068151C">
            <w:pPr>
              <w:rPr>
                <w:rFonts w:cs="Arial"/>
                <w:sz w:val="16"/>
                <w:szCs w:val="16"/>
                <w:lang w:bidi="th-TH"/>
              </w:rPr>
            </w:pPr>
            <w:r w:rsidRPr="0068151C">
              <w:rPr>
                <w:rFonts w:cs="Arial"/>
                <w:sz w:val="16"/>
                <w:szCs w:val="16"/>
              </w:rPr>
              <w:t>No. of languages in which cross-lingual search is available</w:t>
            </w:r>
          </w:p>
        </w:tc>
        <w:tc>
          <w:tcPr>
            <w:tcW w:w="1137" w:type="pct"/>
            <w:tcBorders>
              <w:top w:val="nil"/>
              <w:bottom w:val="single" w:sz="4" w:space="0" w:color="auto"/>
            </w:tcBorders>
            <w:shd w:val="clear" w:color="auto" w:fill="auto"/>
          </w:tcPr>
          <w:p w:rsidR="005660B2" w:rsidRPr="0068151C" w:rsidRDefault="005660B2" w:rsidP="0068151C">
            <w:pPr>
              <w:rPr>
                <w:rFonts w:cs="Arial"/>
                <w:color w:val="002060"/>
                <w:sz w:val="16"/>
                <w:szCs w:val="16"/>
                <w:lang w:bidi="th-TH"/>
              </w:rPr>
            </w:pPr>
            <w:r w:rsidRPr="0068151C">
              <w:rPr>
                <w:rFonts w:cs="Arial"/>
                <w:i/>
                <w:color w:val="002060"/>
                <w:sz w:val="16"/>
                <w:szCs w:val="16"/>
              </w:rPr>
              <w:t xml:space="preserve">Updated Baseline </w:t>
            </w:r>
            <w:r w:rsidR="00F03901">
              <w:rPr>
                <w:rFonts w:cs="Arial"/>
                <w:i/>
                <w:color w:val="002060"/>
                <w:sz w:val="16"/>
                <w:szCs w:val="16"/>
              </w:rPr>
              <w:br/>
            </w:r>
            <w:r w:rsidRPr="0068151C">
              <w:rPr>
                <w:rFonts w:cs="Arial"/>
                <w:i/>
                <w:color w:val="002060"/>
                <w:sz w:val="16"/>
                <w:szCs w:val="16"/>
              </w:rPr>
              <w:t>end 2011:</w:t>
            </w:r>
            <w:r w:rsidRPr="0068151C">
              <w:rPr>
                <w:rFonts w:cs="Arial"/>
                <w:color w:val="002060"/>
                <w:sz w:val="16"/>
                <w:szCs w:val="16"/>
                <w:lang w:bidi="th-TH"/>
              </w:rPr>
              <w:t xml:space="preserve">  9</w:t>
            </w:r>
          </w:p>
          <w:p w:rsidR="009C4AA7" w:rsidRPr="009C4AA7" w:rsidRDefault="009C4AA7" w:rsidP="0068151C">
            <w:pPr>
              <w:rPr>
                <w:rFonts w:cs="Arial"/>
                <w:color w:val="002060"/>
                <w:sz w:val="8"/>
                <w:szCs w:val="8"/>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r w:rsidRPr="0068151C">
              <w:rPr>
                <w:rFonts w:cs="Arial"/>
                <w:sz w:val="16"/>
                <w:szCs w:val="16"/>
              </w:rPr>
              <w:t xml:space="preserve">  5</w:t>
            </w:r>
          </w:p>
          <w:p w:rsidR="005660B2" w:rsidRPr="0068151C" w:rsidRDefault="005660B2" w:rsidP="0068151C">
            <w:pPr>
              <w:autoSpaceDE w:val="0"/>
              <w:autoSpaceDN w:val="0"/>
              <w:adjustRightInd w:val="0"/>
              <w:rPr>
                <w:rFonts w:cs="Arial"/>
                <w:sz w:val="16"/>
                <w:szCs w:val="16"/>
              </w:rPr>
            </w:pPr>
          </w:p>
        </w:tc>
        <w:tc>
          <w:tcPr>
            <w:tcW w:w="836" w:type="pct"/>
            <w:gridSpan w:val="2"/>
            <w:tcBorders>
              <w:top w:val="nil"/>
              <w:bottom w:val="single" w:sz="4" w:space="0" w:color="auto"/>
            </w:tcBorders>
            <w:shd w:val="clear" w:color="auto" w:fill="auto"/>
            <w:tcMar>
              <w:top w:w="110" w:type="dxa"/>
            </w:tcMar>
          </w:tcPr>
          <w:p w:rsidR="00F03901" w:rsidRDefault="00F03901" w:rsidP="0068151C">
            <w:pPr>
              <w:rPr>
                <w:rFonts w:cs="Arial"/>
                <w:sz w:val="16"/>
                <w:szCs w:val="16"/>
              </w:rPr>
            </w:pPr>
          </w:p>
          <w:p w:rsidR="005660B2" w:rsidRPr="0068151C" w:rsidRDefault="005660B2" w:rsidP="0068151C">
            <w:pPr>
              <w:rPr>
                <w:rFonts w:cs="Arial"/>
                <w:sz w:val="16"/>
                <w:szCs w:val="16"/>
                <w:lang w:bidi="th-TH"/>
              </w:rPr>
            </w:pPr>
            <w:r w:rsidRPr="0068151C">
              <w:rPr>
                <w:rFonts w:cs="Arial"/>
                <w:sz w:val="16"/>
                <w:szCs w:val="16"/>
              </w:rPr>
              <w:t>9 (cumulative)</w:t>
            </w:r>
          </w:p>
        </w:tc>
        <w:tc>
          <w:tcPr>
            <w:tcW w:w="1144" w:type="pct"/>
            <w:tcBorders>
              <w:top w:val="nil"/>
              <w:bottom w:val="single" w:sz="4" w:space="0" w:color="auto"/>
            </w:tcBorders>
            <w:shd w:val="clear" w:color="auto" w:fill="FFFFFF"/>
            <w:tcMar>
              <w:top w:w="110" w:type="dxa"/>
            </w:tcMar>
          </w:tcPr>
          <w:p w:rsidR="00F03901" w:rsidRDefault="00F03901" w:rsidP="0068151C">
            <w:pPr>
              <w:rPr>
                <w:rFonts w:cs="Arial"/>
                <w:sz w:val="16"/>
                <w:szCs w:val="16"/>
                <w:lang w:bidi="th-TH"/>
              </w:rPr>
            </w:pPr>
          </w:p>
          <w:p w:rsidR="005660B2" w:rsidRPr="0068151C" w:rsidRDefault="005660B2" w:rsidP="0068151C">
            <w:pPr>
              <w:rPr>
                <w:rFonts w:cs="Arial"/>
                <w:sz w:val="16"/>
                <w:szCs w:val="16"/>
                <w:lang w:bidi="th-TH"/>
              </w:rPr>
            </w:pPr>
            <w:r w:rsidRPr="0068151C">
              <w:rPr>
                <w:rFonts w:cs="Arial"/>
                <w:sz w:val="16"/>
                <w:szCs w:val="16"/>
                <w:lang w:bidi="th-TH"/>
              </w:rPr>
              <w:t>12 (cumulative)</w:t>
            </w:r>
          </w:p>
        </w:tc>
        <w:tc>
          <w:tcPr>
            <w:tcW w:w="671" w:type="pct"/>
            <w:tcBorders>
              <w:top w:val="nil"/>
              <w:bottom w:val="single" w:sz="4" w:space="0" w:color="auto"/>
              <w:right w:val="single" w:sz="4" w:space="0" w:color="auto"/>
            </w:tcBorders>
            <w:shd w:val="clear" w:color="auto" w:fill="auto"/>
            <w:tcMar>
              <w:top w:w="110" w:type="dxa"/>
            </w:tcMar>
          </w:tcPr>
          <w:p w:rsidR="00F03901" w:rsidRDefault="00F03901" w:rsidP="0068151C">
            <w:pPr>
              <w:keepNext/>
              <w:keepLines/>
              <w:jc w:val="center"/>
              <w:rPr>
                <w:rStyle w:val="Style5"/>
                <w:rFonts w:ascii="Arial" w:hAnsi="Arial" w:cs="Arial"/>
                <w:color w:val="10862C"/>
                <w:sz w:val="16"/>
                <w:szCs w:val="16"/>
              </w:rPr>
            </w:pPr>
          </w:p>
          <w:p w:rsidR="005660B2" w:rsidRPr="0068151C" w:rsidRDefault="005660B2" w:rsidP="0068151C">
            <w:pPr>
              <w:keepNext/>
              <w:keepLines/>
              <w:jc w:val="center"/>
              <w:rPr>
                <w:rFonts w:cs="Arial"/>
                <w:bCs/>
                <w:color w:val="00800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68151C">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5660B2" w:rsidRPr="0068151C" w:rsidRDefault="005660B2" w:rsidP="00F03901">
            <w:pPr>
              <w:keepNext/>
              <w:keepLines/>
              <w:tabs>
                <w:tab w:val="left" w:pos="1452"/>
              </w:tabs>
              <w:spacing w:before="120" w:after="120"/>
              <w:ind w:left="1452" w:hanging="1452"/>
              <w:rPr>
                <w:rFonts w:cs="Arial"/>
                <w:b/>
                <w:bCs/>
                <w:sz w:val="16"/>
                <w:szCs w:val="16"/>
              </w:rPr>
            </w:pPr>
            <w:r w:rsidRPr="0068151C">
              <w:rPr>
                <w:rFonts w:cs="Arial"/>
                <w:b/>
                <w:bCs/>
                <w:sz w:val="16"/>
                <w:szCs w:val="16"/>
              </w:rPr>
              <w:lastRenderedPageBreak/>
              <w:t>Expected Result:</w:t>
            </w:r>
            <w:r w:rsidRPr="0068151C">
              <w:rPr>
                <w:rFonts w:cs="Arial"/>
                <w:b/>
                <w:bCs/>
                <w:sz w:val="16"/>
                <w:szCs w:val="16"/>
              </w:rPr>
              <w:tab/>
            </w:r>
            <w:r w:rsidRPr="0068151C">
              <w:rPr>
                <w:rFonts w:cs="Arial"/>
                <w:sz w:val="16"/>
                <w:szCs w:val="16"/>
              </w:rPr>
              <w:t>Increased dissemination of digitized patent collections of national/regional offices of WIPO Member States</w:t>
            </w:r>
          </w:p>
        </w:tc>
      </w:tr>
      <w:tr w:rsidR="002B20E5" w:rsidRPr="0068151C" w:rsidTr="00FA28F8">
        <w:trPr>
          <w:cantSplit/>
        </w:trPr>
        <w:tc>
          <w:tcPr>
            <w:tcW w:w="1212" w:type="pct"/>
            <w:tcBorders>
              <w:top w:val="single" w:sz="4" w:space="0" w:color="auto"/>
              <w:left w:val="single" w:sz="4" w:space="0" w:color="auto"/>
              <w:bottom w:val="nil"/>
            </w:tcBorders>
            <w:shd w:val="clear" w:color="auto" w:fill="auto"/>
            <w:vAlign w:val="center"/>
          </w:tcPr>
          <w:p w:rsidR="005660B2" w:rsidRPr="0068151C" w:rsidRDefault="005660B2" w:rsidP="00F03901">
            <w:pPr>
              <w:keepNext/>
              <w:keepLines/>
              <w:rPr>
                <w:rFonts w:cs="Arial"/>
                <w:sz w:val="16"/>
                <w:szCs w:val="16"/>
              </w:rPr>
            </w:pPr>
            <w:r w:rsidRPr="0068151C">
              <w:rPr>
                <w:rFonts w:cs="Arial"/>
                <w:b/>
                <w:bCs/>
                <w:sz w:val="16"/>
                <w:szCs w:val="16"/>
              </w:rPr>
              <w:t>Performance Indicators</w:t>
            </w:r>
          </w:p>
        </w:tc>
        <w:tc>
          <w:tcPr>
            <w:tcW w:w="1137" w:type="pct"/>
            <w:tcBorders>
              <w:top w:val="single" w:sz="4" w:space="0" w:color="auto"/>
              <w:bottom w:val="nil"/>
            </w:tcBorders>
            <w:shd w:val="clear" w:color="auto" w:fill="auto"/>
            <w:vAlign w:val="center"/>
          </w:tcPr>
          <w:p w:rsidR="005660B2" w:rsidRPr="0068151C" w:rsidRDefault="005660B2" w:rsidP="00F03901">
            <w:pPr>
              <w:keepNext/>
              <w:keepLines/>
              <w:rPr>
                <w:rFonts w:cs="Arial"/>
                <w:b/>
                <w:bCs/>
                <w:sz w:val="16"/>
                <w:szCs w:val="16"/>
              </w:rPr>
            </w:pPr>
            <w:r w:rsidRPr="0068151C">
              <w:rPr>
                <w:rFonts w:cs="Arial"/>
                <w:b/>
                <w:bCs/>
                <w:sz w:val="16"/>
                <w:szCs w:val="16"/>
              </w:rPr>
              <w:t>Baselines</w:t>
            </w:r>
          </w:p>
        </w:tc>
        <w:tc>
          <w:tcPr>
            <w:tcW w:w="836" w:type="pct"/>
            <w:gridSpan w:val="2"/>
            <w:tcBorders>
              <w:top w:val="single" w:sz="4" w:space="0" w:color="auto"/>
              <w:bottom w:val="nil"/>
            </w:tcBorders>
            <w:shd w:val="clear" w:color="auto" w:fill="auto"/>
            <w:tcMar>
              <w:top w:w="110" w:type="dxa"/>
            </w:tcMar>
            <w:vAlign w:val="center"/>
          </w:tcPr>
          <w:p w:rsidR="005660B2" w:rsidRPr="0068151C" w:rsidRDefault="005660B2" w:rsidP="00F03901">
            <w:pPr>
              <w:keepNext/>
              <w:keepLines/>
              <w:rPr>
                <w:rFonts w:cs="Arial"/>
                <w:b/>
                <w:sz w:val="16"/>
                <w:szCs w:val="16"/>
              </w:rPr>
            </w:pPr>
            <w:r w:rsidRPr="0068151C">
              <w:rPr>
                <w:rFonts w:cs="Arial"/>
                <w:b/>
                <w:sz w:val="16"/>
                <w:szCs w:val="16"/>
              </w:rPr>
              <w:t>Target</w:t>
            </w:r>
            <w:r w:rsidR="00582788">
              <w:rPr>
                <w:rFonts w:cs="Arial"/>
                <w:b/>
                <w:sz w:val="16"/>
                <w:szCs w:val="16"/>
              </w:rPr>
              <w:t>s</w:t>
            </w:r>
          </w:p>
        </w:tc>
        <w:tc>
          <w:tcPr>
            <w:tcW w:w="1144" w:type="pct"/>
            <w:tcBorders>
              <w:top w:val="single" w:sz="4" w:space="0" w:color="auto"/>
              <w:bottom w:val="nil"/>
            </w:tcBorders>
            <w:shd w:val="clear" w:color="auto" w:fill="FFFFFF"/>
            <w:tcMar>
              <w:top w:w="110" w:type="dxa"/>
            </w:tcMar>
            <w:vAlign w:val="center"/>
          </w:tcPr>
          <w:p w:rsidR="005660B2" w:rsidRPr="0068151C" w:rsidRDefault="005660B2" w:rsidP="00F03901">
            <w:pPr>
              <w:keepNext/>
              <w:keepLines/>
              <w:rPr>
                <w:rFonts w:cs="Arial"/>
                <w:sz w:val="16"/>
                <w:szCs w:val="16"/>
              </w:rPr>
            </w:pPr>
            <w:r w:rsidRPr="0068151C">
              <w:rPr>
                <w:rFonts w:cs="Arial"/>
                <w:b/>
                <w:bCs/>
                <w:sz w:val="16"/>
                <w:szCs w:val="16"/>
              </w:rPr>
              <w:t>Performance Data</w:t>
            </w:r>
          </w:p>
        </w:tc>
        <w:tc>
          <w:tcPr>
            <w:tcW w:w="671" w:type="pct"/>
            <w:tcBorders>
              <w:top w:val="single" w:sz="4" w:space="0" w:color="auto"/>
              <w:bottom w:val="nil"/>
              <w:right w:val="single" w:sz="4" w:space="0" w:color="auto"/>
            </w:tcBorders>
            <w:shd w:val="clear" w:color="auto" w:fill="auto"/>
            <w:tcMar>
              <w:top w:w="110" w:type="dxa"/>
            </w:tcMar>
            <w:vAlign w:val="center"/>
          </w:tcPr>
          <w:p w:rsidR="005660B2" w:rsidRPr="0068151C" w:rsidRDefault="005660B2" w:rsidP="00F03901">
            <w:pPr>
              <w:keepNext/>
              <w:keepLines/>
              <w:jc w:val="center"/>
              <w:rPr>
                <w:rFonts w:cs="Arial"/>
                <w:b/>
                <w:bCs/>
                <w:sz w:val="16"/>
                <w:szCs w:val="16"/>
              </w:rPr>
            </w:pPr>
            <w:r w:rsidRPr="0068151C">
              <w:rPr>
                <w:rFonts w:cs="Arial"/>
                <w:b/>
                <w:bCs/>
                <w:sz w:val="16"/>
                <w:szCs w:val="16"/>
              </w:rPr>
              <w:t>TLS</w:t>
            </w:r>
          </w:p>
        </w:tc>
      </w:tr>
      <w:tr w:rsidR="002B20E5" w:rsidRPr="0068151C" w:rsidTr="00FA28F8">
        <w:trPr>
          <w:cantSplit/>
        </w:trPr>
        <w:tc>
          <w:tcPr>
            <w:tcW w:w="1212" w:type="pct"/>
            <w:tcBorders>
              <w:top w:val="nil"/>
              <w:left w:val="single" w:sz="4" w:space="0" w:color="auto"/>
              <w:bottom w:val="nil"/>
            </w:tcBorders>
            <w:shd w:val="clear" w:color="auto" w:fill="auto"/>
          </w:tcPr>
          <w:p w:rsidR="005660B2" w:rsidRPr="0068151C" w:rsidRDefault="005660B2" w:rsidP="00F03901">
            <w:pPr>
              <w:keepNext/>
              <w:keepLines/>
              <w:rPr>
                <w:rFonts w:cs="Arial"/>
                <w:sz w:val="16"/>
                <w:szCs w:val="16"/>
              </w:rPr>
            </w:pPr>
            <w:r w:rsidRPr="0068151C">
              <w:rPr>
                <w:rFonts w:cs="Arial"/>
                <w:sz w:val="16"/>
                <w:szCs w:val="16"/>
              </w:rPr>
              <w:t xml:space="preserve">No. of records in </w:t>
            </w:r>
            <w:r w:rsidRPr="0068151C">
              <w:rPr>
                <w:rFonts w:cs="Arial"/>
                <w:smallCaps/>
                <w:sz w:val="16"/>
                <w:szCs w:val="16"/>
              </w:rPr>
              <w:t>PATENTSCOPE</w:t>
            </w:r>
            <w:r w:rsidRPr="0068151C">
              <w:rPr>
                <w:rFonts w:cs="Arial"/>
                <w:sz w:val="16"/>
                <w:szCs w:val="16"/>
              </w:rPr>
              <w:t>/Global Brand Database which are not produced by the IB</w:t>
            </w:r>
          </w:p>
        </w:tc>
        <w:tc>
          <w:tcPr>
            <w:tcW w:w="1137" w:type="pct"/>
            <w:tcBorders>
              <w:top w:val="nil"/>
              <w:bottom w:val="nil"/>
            </w:tcBorders>
            <w:shd w:val="clear" w:color="auto" w:fill="auto"/>
          </w:tcPr>
          <w:p w:rsidR="005660B2" w:rsidRPr="00F03901" w:rsidRDefault="005660B2" w:rsidP="00F03901">
            <w:pPr>
              <w:keepNext/>
              <w:keepLines/>
              <w:rPr>
                <w:rFonts w:cs="Arial"/>
                <w:i/>
                <w:color w:val="002060"/>
                <w:sz w:val="16"/>
                <w:szCs w:val="16"/>
              </w:rPr>
            </w:pPr>
            <w:r w:rsidRPr="0068151C">
              <w:rPr>
                <w:rFonts w:cs="Arial"/>
                <w:i/>
                <w:color w:val="002060"/>
                <w:sz w:val="16"/>
                <w:szCs w:val="16"/>
              </w:rPr>
              <w:t xml:space="preserve">Updated Baseline </w:t>
            </w:r>
            <w:r w:rsidR="00F03901">
              <w:rPr>
                <w:rFonts w:cs="Arial"/>
                <w:i/>
                <w:color w:val="002060"/>
                <w:sz w:val="16"/>
                <w:szCs w:val="16"/>
              </w:rPr>
              <w:br/>
            </w:r>
            <w:r w:rsidRPr="0068151C">
              <w:rPr>
                <w:rFonts w:cs="Arial"/>
                <w:i/>
                <w:color w:val="002060"/>
                <w:sz w:val="16"/>
                <w:szCs w:val="16"/>
              </w:rPr>
              <w:t>end 2011:</w:t>
            </w:r>
            <w:r w:rsidRPr="0068151C">
              <w:rPr>
                <w:rFonts w:cs="Arial"/>
                <w:color w:val="002060"/>
                <w:sz w:val="16"/>
                <w:szCs w:val="16"/>
                <w:lang w:bidi="th-TH"/>
              </w:rPr>
              <w:t xml:space="preserve">  </w:t>
            </w:r>
          </w:p>
          <w:p w:rsidR="00F03901" w:rsidRPr="0068151C" w:rsidRDefault="00F03901" w:rsidP="00F03901">
            <w:pPr>
              <w:keepNext/>
              <w:keepLines/>
              <w:rPr>
                <w:rFonts w:cs="Arial"/>
                <w:color w:val="002060"/>
                <w:sz w:val="16"/>
                <w:szCs w:val="16"/>
                <w:lang w:bidi="th-TH"/>
              </w:rPr>
            </w:pPr>
          </w:p>
          <w:p w:rsidR="00F03901" w:rsidRDefault="005660B2" w:rsidP="00F03901">
            <w:pPr>
              <w:keepNext/>
              <w:keepLines/>
              <w:rPr>
                <w:rFonts w:cs="Arial"/>
                <w:color w:val="002060"/>
                <w:sz w:val="16"/>
                <w:szCs w:val="16"/>
                <w:lang w:bidi="th-TH"/>
              </w:rPr>
            </w:pPr>
            <w:r w:rsidRPr="0068151C">
              <w:rPr>
                <w:rFonts w:cs="Arial"/>
                <w:color w:val="002060"/>
                <w:sz w:val="16"/>
                <w:szCs w:val="16"/>
                <w:lang w:bidi="th-TH"/>
              </w:rPr>
              <w:t xml:space="preserve">PATENTSCOPE: </w:t>
            </w:r>
            <w:r w:rsidR="00F03901">
              <w:rPr>
                <w:rFonts w:cs="Arial"/>
                <w:color w:val="002060"/>
                <w:sz w:val="16"/>
                <w:szCs w:val="16"/>
                <w:lang w:bidi="th-TH"/>
              </w:rPr>
              <w:br/>
            </w:r>
            <w:r w:rsidRPr="0068151C">
              <w:rPr>
                <w:rFonts w:cs="Arial"/>
                <w:color w:val="002060"/>
                <w:sz w:val="16"/>
                <w:szCs w:val="16"/>
                <w:lang w:bidi="th-TH"/>
              </w:rPr>
              <w:t xml:space="preserve">10 million </w:t>
            </w:r>
            <w:r w:rsidR="00F03901">
              <w:rPr>
                <w:rFonts w:cs="Arial"/>
                <w:color w:val="002060"/>
                <w:sz w:val="16"/>
                <w:szCs w:val="16"/>
                <w:lang w:bidi="th-TH"/>
              </w:rPr>
              <w:br/>
            </w:r>
            <w:r w:rsidRPr="0068151C">
              <w:rPr>
                <w:rFonts w:cs="Arial"/>
                <w:color w:val="002060"/>
                <w:sz w:val="16"/>
                <w:szCs w:val="16"/>
                <w:lang w:bidi="th-TH"/>
              </w:rPr>
              <w:t>documents</w:t>
            </w:r>
          </w:p>
          <w:p w:rsidR="00F03901" w:rsidRPr="0068151C" w:rsidRDefault="00F03901" w:rsidP="00F03901">
            <w:pPr>
              <w:keepNext/>
              <w:keepLines/>
              <w:rPr>
                <w:rFonts w:cs="Arial"/>
                <w:color w:val="002060"/>
                <w:sz w:val="16"/>
                <w:szCs w:val="16"/>
                <w:lang w:bidi="th-TH"/>
              </w:rPr>
            </w:pPr>
          </w:p>
          <w:p w:rsidR="005660B2" w:rsidRPr="0068151C" w:rsidRDefault="005660B2" w:rsidP="00F03901">
            <w:pPr>
              <w:keepNext/>
              <w:keepLines/>
              <w:rPr>
                <w:rFonts w:cs="Arial"/>
                <w:i/>
                <w:sz w:val="16"/>
                <w:szCs w:val="16"/>
                <w:lang w:bidi="th-TH"/>
              </w:rPr>
            </w:pPr>
            <w:r w:rsidRPr="0068151C">
              <w:rPr>
                <w:rFonts w:cs="Arial"/>
                <w:color w:val="002060"/>
                <w:sz w:val="16"/>
                <w:szCs w:val="16"/>
                <w:lang w:bidi="th-TH"/>
              </w:rPr>
              <w:t xml:space="preserve">Global Brand </w:t>
            </w:r>
            <w:r w:rsidR="00F03901">
              <w:rPr>
                <w:rFonts w:cs="Arial"/>
                <w:color w:val="002060"/>
                <w:sz w:val="16"/>
                <w:szCs w:val="16"/>
                <w:lang w:bidi="th-TH"/>
              </w:rPr>
              <w:br/>
            </w:r>
            <w:r w:rsidRPr="0068151C">
              <w:rPr>
                <w:rFonts w:cs="Arial"/>
                <w:color w:val="002060"/>
                <w:sz w:val="16"/>
                <w:szCs w:val="16"/>
                <w:lang w:bidi="th-TH"/>
              </w:rPr>
              <w:t xml:space="preserve">Database: </w:t>
            </w:r>
            <w:r w:rsidR="00F03901">
              <w:rPr>
                <w:rFonts w:cs="Arial"/>
                <w:color w:val="002060"/>
                <w:sz w:val="16"/>
                <w:szCs w:val="16"/>
                <w:lang w:bidi="th-TH"/>
              </w:rPr>
              <w:t xml:space="preserve"> </w:t>
            </w:r>
            <w:r w:rsidR="00F03901">
              <w:rPr>
                <w:rFonts w:cs="Arial"/>
                <w:color w:val="002060"/>
                <w:sz w:val="16"/>
                <w:szCs w:val="16"/>
                <w:lang w:bidi="th-TH"/>
              </w:rPr>
              <w:br/>
            </w:r>
            <w:r w:rsidRPr="0068151C">
              <w:rPr>
                <w:rFonts w:cs="Arial"/>
                <w:color w:val="002060"/>
                <w:sz w:val="16"/>
                <w:szCs w:val="16"/>
                <w:lang w:bidi="th-TH"/>
              </w:rPr>
              <w:t>700’000</w:t>
            </w:r>
          </w:p>
          <w:p w:rsidR="005660B2" w:rsidRPr="00A25763" w:rsidRDefault="005660B2" w:rsidP="00F03901">
            <w:pPr>
              <w:keepNext/>
              <w:keepLines/>
              <w:rPr>
                <w:rFonts w:cs="Arial"/>
                <w:i/>
                <w:sz w:val="8"/>
                <w:szCs w:val="8"/>
                <w:lang w:bidi="th-TH"/>
              </w:rPr>
            </w:pPr>
          </w:p>
          <w:p w:rsidR="005660B2" w:rsidRPr="0068151C" w:rsidRDefault="005660B2" w:rsidP="00F03901">
            <w:pPr>
              <w:keepNext/>
              <w:keepLines/>
              <w:rPr>
                <w:rFonts w:cs="Arial"/>
                <w:sz w:val="16"/>
                <w:szCs w:val="16"/>
                <w:lang w:bidi="th-TH"/>
              </w:rPr>
            </w:pPr>
            <w:r w:rsidRPr="0068151C">
              <w:rPr>
                <w:rFonts w:cs="Arial"/>
                <w:i/>
                <w:sz w:val="16"/>
                <w:szCs w:val="16"/>
                <w:lang w:bidi="th-TH"/>
              </w:rPr>
              <w:t>Original Baseline</w:t>
            </w:r>
          </w:p>
          <w:p w:rsidR="005660B2" w:rsidRPr="0068151C" w:rsidRDefault="005660B2" w:rsidP="00F03901">
            <w:pPr>
              <w:keepNext/>
              <w:keepLines/>
              <w:rPr>
                <w:rFonts w:cs="Arial"/>
                <w:sz w:val="16"/>
                <w:szCs w:val="16"/>
              </w:rPr>
            </w:pPr>
            <w:r w:rsidRPr="0068151C">
              <w:rPr>
                <w:rFonts w:cs="Arial"/>
                <w:i/>
                <w:sz w:val="16"/>
                <w:szCs w:val="16"/>
              </w:rPr>
              <w:t>P&amp;B 2012/13:</w:t>
            </w:r>
          </w:p>
          <w:p w:rsidR="005660B2" w:rsidRPr="0068151C" w:rsidRDefault="005660B2" w:rsidP="00F03901">
            <w:pPr>
              <w:keepNext/>
              <w:keepLines/>
              <w:rPr>
                <w:rFonts w:cs="Arial"/>
                <w:sz w:val="16"/>
                <w:szCs w:val="16"/>
              </w:rPr>
            </w:pPr>
            <w:r w:rsidRPr="0068151C">
              <w:rPr>
                <w:rFonts w:cs="Arial"/>
                <w:smallCaps/>
                <w:sz w:val="16"/>
                <w:szCs w:val="16"/>
              </w:rPr>
              <w:t>PATENTSCOPE</w:t>
            </w:r>
            <w:r w:rsidRPr="0068151C">
              <w:rPr>
                <w:rFonts w:cs="Arial"/>
                <w:sz w:val="16"/>
                <w:szCs w:val="16"/>
              </w:rPr>
              <w:t xml:space="preserve">: </w:t>
            </w:r>
            <w:r w:rsidR="00F03901">
              <w:rPr>
                <w:rFonts w:cs="Arial"/>
                <w:sz w:val="16"/>
                <w:szCs w:val="16"/>
              </w:rPr>
              <w:t xml:space="preserve"> </w:t>
            </w:r>
            <w:r w:rsidRPr="0068151C">
              <w:rPr>
                <w:rFonts w:cs="Arial"/>
                <w:sz w:val="16"/>
                <w:szCs w:val="16"/>
              </w:rPr>
              <w:t>seven million documents (Feb 2011)</w:t>
            </w:r>
            <w:r w:rsidRPr="0068151C">
              <w:rPr>
                <w:rFonts w:cs="Arial"/>
                <w:sz w:val="16"/>
                <w:szCs w:val="16"/>
              </w:rPr>
              <w:br/>
              <w:t>Global Brand Database: 0</w:t>
            </w:r>
          </w:p>
        </w:tc>
        <w:tc>
          <w:tcPr>
            <w:tcW w:w="836" w:type="pct"/>
            <w:gridSpan w:val="2"/>
            <w:tcBorders>
              <w:top w:val="nil"/>
              <w:bottom w:val="nil"/>
            </w:tcBorders>
            <w:shd w:val="clear" w:color="auto" w:fill="auto"/>
            <w:tcMar>
              <w:top w:w="110" w:type="dxa"/>
            </w:tcMar>
          </w:tcPr>
          <w:p w:rsidR="00F03901" w:rsidRDefault="00F03901" w:rsidP="00F03901">
            <w:pPr>
              <w:keepNext/>
              <w:keepLines/>
              <w:autoSpaceDE w:val="0"/>
              <w:autoSpaceDN w:val="0"/>
              <w:adjustRightInd w:val="0"/>
              <w:rPr>
                <w:rFonts w:cs="Arial"/>
                <w:sz w:val="16"/>
                <w:szCs w:val="16"/>
              </w:rPr>
            </w:pPr>
          </w:p>
          <w:p w:rsidR="00F03901" w:rsidRDefault="00F03901" w:rsidP="00F03901">
            <w:pPr>
              <w:keepNext/>
              <w:keepLines/>
              <w:autoSpaceDE w:val="0"/>
              <w:autoSpaceDN w:val="0"/>
              <w:adjustRightInd w:val="0"/>
              <w:rPr>
                <w:rFonts w:cs="Arial"/>
                <w:sz w:val="16"/>
                <w:szCs w:val="16"/>
              </w:rPr>
            </w:pPr>
          </w:p>
          <w:p w:rsidR="00F03901" w:rsidRDefault="00F03901" w:rsidP="00F03901">
            <w:pPr>
              <w:keepNext/>
              <w:keepLines/>
              <w:autoSpaceDE w:val="0"/>
              <w:autoSpaceDN w:val="0"/>
              <w:adjustRightInd w:val="0"/>
              <w:rPr>
                <w:rFonts w:cs="Arial"/>
                <w:sz w:val="16"/>
                <w:szCs w:val="16"/>
              </w:rPr>
            </w:pP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PATENTSCOPE:</w:t>
            </w: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30 million documents</w:t>
            </w:r>
          </w:p>
          <w:p w:rsidR="005660B2" w:rsidRPr="0068151C" w:rsidRDefault="005660B2" w:rsidP="00F03901">
            <w:pPr>
              <w:keepNext/>
              <w:keepLines/>
              <w:autoSpaceDE w:val="0"/>
              <w:autoSpaceDN w:val="0"/>
              <w:adjustRightInd w:val="0"/>
              <w:rPr>
                <w:rFonts w:cs="Arial"/>
                <w:sz w:val="16"/>
                <w:szCs w:val="16"/>
              </w:rPr>
            </w:pP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Global Brand</w:t>
            </w:r>
          </w:p>
          <w:p w:rsidR="005660B2" w:rsidRPr="0068151C" w:rsidRDefault="005660B2" w:rsidP="00F03901">
            <w:pPr>
              <w:keepNext/>
              <w:keepLines/>
              <w:rPr>
                <w:rFonts w:cs="Arial"/>
                <w:sz w:val="16"/>
                <w:szCs w:val="16"/>
                <w:lang w:bidi="th-TH"/>
              </w:rPr>
            </w:pPr>
            <w:r w:rsidRPr="0068151C">
              <w:rPr>
                <w:rFonts w:cs="Arial"/>
                <w:sz w:val="16"/>
                <w:szCs w:val="16"/>
              </w:rPr>
              <w:t xml:space="preserve">Database: </w:t>
            </w:r>
            <w:r w:rsidRPr="0068151C">
              <w:rPr>
                <w:rFonts w:cs="Arial"/>
                <w:sz w:val="16"/>
                <w:szCs w:val="16"/>
              </w:rPr>
              <w:br/>
              <w:t>two million</w:t>
            </w:r>
            <w:r w:rsidRPr="0068151C" w:rsidDel="000B4DAD">
              <w:rPr>
                <w:rFonts w:cs="Arial"/>
                <w:sz w:val="16"/>
                <w:szCs w:val="16"/>
                <w:lang w:bidi="th-TH"/>
              </w:rPr>
              <w:t xml:space="preserve"> </w:t>
            </w:r>
          </w:p>
        </w:tc>
        <w:tc>
          <w:tcPr>
            <w:tcW w:w="1144" w:type="pct"/>
            <w:tcBorders>
              <w:top w:val="nil"/>
              <w:bottom w:val="nil"/>
            </w:tcBorders>
            <w:shd w:val="clear" w:color="auto" w:fill="FFFFFF"/>
            <w:tcMar>
              <w:top w:w="110" w:type="dxa"/>
            </w:tcMar>
          </w:tcPr>
          <w:p w:rsidR="00F03901" w:rsidRDefault="00F03901" w:rsidP="00F03901">
            <w:pPr>
              <w:keepNext/>
              <w:keepLines/>
              <w:rPr>
                <w:rFonts w:cs="Arial"/>
                <w:sz w:val="16"/>
                <w:szCs w:val="16"/>
                <w:lang w:bidi="th-TH"/>
              </w:rPr>
            </w:pPr>
          </w:p>
          <w:p w:rsidR="00F03901" w:rsidRDefault="00F03901" w:rsidP="00F03901">
            <w:pPr>
              <w:keepNext/>
              <w:keepLines/>
              <w:rPr>
                <w:rFonts w:cs="Arial"/>
                <w:sz w:val="16"/>
                <w:szCs w:val="16"/>
                <w:lang w:bidi="th-TH"/>
              </w:rPr>
            </w:pPr>
          </w:p>
          <w:p w:rsidR="00F03901" w:rsidRDefault="00F03901" w:rsidP="00F03901">
            <w:pPr>
              <w:keepNext/>
              <w:keepLines/>
              <w:rPr>
                <w:rFonts w:cs="Arial"/>
                <w:sz w:val="16"/>
                <w:szCs w:val="16"/>
                <w:lang w:bidi="th-TH"/>
              </w:rPr>
            </w:pPr>
          </w:p>
          <w:p w:rsidR="005660B2" w:rsidRPr="0068151C" w:rsidRDefault="005660B2" w:rsidP="00F03901">
            <w:pPr>
              <w:keepNext/>
              <w:keepLines/>
              <w:rPr>
                <w:rFonts w:cs="Arial"/>
                <w:sz w:val="16"/>
                <w:szCs w:val="16"/>
                <w:lang w:bidi="th-TH"/>
              </w:rPr>
            </w:pPr>
            <w:r w:rsidRPr="0068151C">
              <w:rPr>
                <w:rFonts w:cs="Arial"/>
                <w:sz w:val="16"/>
                <w:szCs w:val="16"/>
                <w:lang w:bidi="th-TH"/>
              </w:rPr>
              <w:t>PATENTSCOPE:</w:t>
            </w:r>
            <w:r w:rsidRPr="0068151C">
              <w:rPr>
                <w:rFonts w:cs="Arial"/>
                <w:sz w:val="16"/>
                <w:szCs w:val="16"/>
                <w:lang w:bidi="th-TH"/>
              </w:rPr>
              <w:br/>
              <w:t>34 million documents</w:t>
            </w:r>
          </w:p>
          <w:p w:rsidR="005660B2" w:rsidRPr="0068151C" w:rsidRDefault="005660B2" w:rsidP="00F03901">
            <w:pPr>
              <w:keepNext/>
              <w:keepLines/>
              <w:rPr>
                <w:rFonts w:cs="Arial"/>
                <w:sz w:val="16"/>
                <w:szCs w:val="16"/>
                <w:lang w:bidi="th-TH"/>
              </w:rPr>
            </w:pPr>
          </w:p>
          <w:p w:rsidR="005660B2" w:rsidRPr="0068151C" w:rsidRDefault="005660B2" w:rsidP="00F03901">
            <w:pPr>
              <w:keepNext/>
              <w:keepLines/>
              <w:rPr>
                <w:rFonts w:cs="Arial"/>
                <w:sz w:val="16"/>
                <w:szCs w:val="16"/>
                <w:lang w:bidi="th-TH"/>
              </w:rPr>
            </w:pP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Global Brand</w:t>
            </w:r>
          </w:p>
          <w:p w:rsidR="005660B2" w:rsidRPr="0068151C" w:rsidRDefault="005660B2" w:rsidP="00F03901">
            <w:pPr>
              <w:keepNext/>
              <w:keepLines/>
              <w:rPr>
                <w:rFonts w:cs="Arial"/>
                <w:sz w:val="16"/>
                <w:szCs w:val="16"/>
                <w:lang w:bidi="th-TH"/>
              </w:rPr>
            </w:pPr>
            <w:r w:rsidRPr="0068151C">
              <w:rPr>
                <w:rFonts w:cs="Arial"/>
                <w:sz w:val="16"/>
                <w:szCs w:val="16"/>
              </w:rPr>
              <w:t xml:space="preserve">Database: </w:t>
            </w:r>
          </w:p>
          <w:p w:rsidR="005660B2" w:rsidRPr="0068151C" w:rsidRDefault="005660B2" w:rsidP="00F03901">
            <w:pPr>
              <w:keepNext/>
              <w:keepLines/>
              <w:rPr>
                <w:rFonts w:cs="Arial"/>
                <w:sz w:val="16"/>
                <w:szCs w:val="16"/>
                <w:lang w:bidi="th-TH"/>
              </w:rPr>
            </w:pPr>
            <w:r w:rsidRPr="0068151C">
              <w:rPr>
                <w:rFonts w:cs="Arial"/>
                <w:sz w:val="16"/>
                <w:szCs w:val="16"/>
                <w:lang w:bidi="th-TH"/>
              </w:rPr>
              <w:t xml:space="preserve">12 million </w:t>
            </w:r>
          </w:p>
          <w:p w:rsidR="005660B2" w:rsidRPr="0068151C" w:rsidRDefault="005660B2" w:rsidP="00F03901">
            <w:pPr>
              <w:keepNext/>
              <w:keepLines/>
              <w:rPr>
                <w:rFonts w:cs="Arial"/>
                <w:sz w:val="16"/>
                <w:szCs w:val="16"/>
                <w:lang w:bidi="th-TH"/>
              </w:rPr>
            </w:pPr>
          </w:p>
          <w:p w:rsidR="005660B2" w:rsidRPr="0068151C" w:rsidRDefault="005660B2" w:rsidP="00F03901">
            <w:pPr>
              <w:keepNext/>
              <w:keepLines/>
              <w:rPr>
                <w:rFonts w:cs="Arial"/>
                <w:sz w:val="16"/>
                <w:szCs w:val="16"/>
              </w:rPr>
            </w:pPr>
          </w:p>
        </w:tc>
        <w:tc>
          <w:tcPr>
            <w:tcW w:w="671" w:type="pct"/>
            <w:tcBorders>
              <w:top w:val="nil"/>
              <w:bottom w:val="nil"/>
              <w:right w:val="single" w:sz="4" w:space="0" w:color="auto"/>
            </w:tcBorders>
            <w:shd w:val="clear" w:color="auto" w:fill="auto"/>
            <w:tcMar>
              <w:top w:w="110" w:type="dxa"/>
            </w:tcMar>
          </w:tcPr>
          <w:p w:rsidR="005660B2" w:rsidRPr="0068151C" w:rsidRDefault="005660B2" w:rsidP="00F03901">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2B20E5" w:rsidRPr="0068151C" w:rsidTr="00FA28F8">
        <w:trPr>
          <w:cantSplit/>
        </w:trPr>
        <w:tc>
          <w:tcPr>
            <w:tcW w:w="1212" w:type="pct"/>
            <w:tcBorders>
              <w:top w:val="nil"/>
              <w:left w:val="single" w:sz="4" w:space="0" w:color="auto"/>
              <w:bottom w:val="nil"/>
            </w:tcBorders>
            <w:shd w:val="clear" w:color="auto" w:fill="auto"/>
          </w:tcPr>
          <w:p w:rsidR="005660B2" w:rsidRPr="0068151C" w:rsidRDefault="005660B2" w:rsidP="00F03901">
            <w:pPr>
              <w:keepNext/>
              <w:keepLines/>
              <w:rPr>
                <w:rFonts w:cs="Arial"/>
                <w:sz w:val="16"/>
                <w:szCs w:val="16"/>
              </w:rPr>
            </w:pPr>
            <w:r w:rsidRPr="0068151C">
              <w:rPr>
                <w:rFonts w:cs="Arial"/>
                <w:sz w:val="16"/>
                <w:szCs w:val="16"/>
              </w:rPr>
              <w:t>No. of national collections in PATENTSCOPE</w:t>
            </w:r>
          </w:p>
        </w:tc>
        <w:tc>
          <w:tcPr>
            <w:tcW w:w="1137" w:type="pct"/>
            <w:tcBorders>
              <w:top w:val="nil"/>
              <w:bottom w:val="nil"/>
            </w:tcBorders>
            <w:shd w:val="clear" w:color="auto" w:fill="auto"/>
          </w:tcPr>
          <w:p w:rsidR="005660B2" w:rsidRPr="0068151C" w:rsidRDefault="005660B2" w:rsidP="00F03901">
            <w:pPr>
              <w:keepNext/>
              <w:keepLines/>
              <w:rPr>
                <w:rFonts w:cs="Arial"/>
                <w:color w:val="002060"/>
                <w:sz w:val="16"/>
                <w:szCs w:val="16"/>
                <w:lang w:bidi="th-TH"/>
              </w:rPr>
            </w:pPr>
            <w:r w:rsidRPr="0068151C">
              <w:rPr>
                <w:rFonts w:cs="Arial"/>
                <w:i/>
                <w:color w:val="002060"/>
                <w:sz w:val="16"/>
                <w:szCs w:val="16"/>
              </w:rPr>
              <w:t xml:space="preserve">Updated Baseline </w:t>
            </w:r>
            <w:r w:rsidR="00F03901">
              <w:rPr>
                <w:rFonts w:cs="Arial"/>
                <w:i/>
                <w:color w:val="002060"/>
                <w:sz w:val="16"/>
                <w:szCs w:val="16"/>
              </w:rPr>
              <w:br/>
            </w:r>
            <w:r w:rsidRPr="0068151C">
              <w:rPr>
                <w:rFonts w:cs="Arial"/>
                <w:i/>
                <w:color w:val="002060"/>
                <w:sz w:val="16"/>
                <w:szCs w:val="16"/>
              </w:rPr>
              <w:t>end 2011:</w:t>
            </w:r>
            <w:r w:rsidRPr="0068151C">
              <w:rPr>
                <w:rFonts w:cs="Arial"/>
                <w:color w:val="002060"/>
                <w:sz w:val="16"/>
                <w:szCs w:val="16"/>
                <w:lang w:bidi="th-TH"/>
              </w:rPr>
              <w:t xml:space="preserve">  28</w:t>
            </w:r>
          </w:p>
          <w:p w:rsidR="005660B2" w:rsidRPr="00A25763" w:rsidRDefault="005660B2" w:rsidP="00F03901">
            <w:pPr>
              <w:keepNext/>
              <w:keepLines/>
              <w:rPr>
                <w:rFonts w:cs="Arial"/>
                <w:i/>
                <w:sz w:val="8"/>
                <w:szCs w:val="8"/>
                <w:lang w:bidi="th-TH"/>
              </w:rPr>
            </w:pPr>
          </w:p>
          <w:p w:rsidR="005660B2" w:rsidRPr="0068151C" w:rsidRDefault="005660B2" w:rsidP="00F03901">
            <w:pPr>
              <w:keepNext/>
              <w:keepLines/>
              <w:rPr>
                <w:rFonts w:cs="Arial"/>
                <w:sz w:val="16"/>
                <w:szCs w:val="16"/>
                <w:lang w:bidi="th-TH"/>
              </w:rPr>
            </w:pPr>
            <w:r w:rsidRPr="0068151C">
              <w:rPr>
                <w:rFonts w:cs="Arial"/>
                <w:i/>
                <w:sz w:val="16"/>
                <w:szCs w:val="16"/>
                <w:lang w:bidi="th-TH"/>
              </w:rPr>
              <w:t>Original Baseline</w:t>
            </w:r>
            <w:r w:rsidR="00F03901">
              <w:rPr>
                <w:rFonts w:cs="Arial"/>
                <w:sz w:val="16"/>
                <w:szCs w:val="16"/>
                <w:lang w:bidi="th-TH"/>
              </w:rPr>
              <w:t xml:space="preserve"> </w:t>
            </w:r>
            <w:r w:rsidRPr="0068151C">
              <w:rPr>
                <w:rFonts w:cs="Arial"/>
                <w:i/>
                <w:sz w:val="16"/>
                <w:szCs w:val="16"/>
              </w:rPr>
              <w:t xml:space="preserve">P&amp;B </w:t>
            </w:r>
            <w:r w:rsidR="00F03901">
              <w:rPr>
                <w:rFonts w:cs="Arial"/>
                <w:i/>
                <w:sz w:val="16"/>
                <w:szCs w:val="16"/>
              </w:rPr>
              <w:br/>
            </w:r>
            <w:r w:rsidRPr="0068151C">
              <w:rPr>
                <w:rFonts w:cs="Arial"/>
                <w:i/>
                <w:sz w:val="16"/>
                <w:szCs w:val="16"/>
              </w:rPr>
              <w:t>2012/13:</w:t>
            </w:r>
            <w:r w:rsidRPr="0068151C">
              <w:rPr>
                <w:rFonts w:cs="Arial"/>
                <w:sz w:val="16"/>
                <w:szCs w:val="16"/>
              </w:rPr>
              <w:t xml:space="preserve"> 18</w:t>
            </w:r>
          </w:p>
        </w:tc>
        <w:tc>
          <w:tcPr>
            <w:tcW w:w="836" w:type="pct"/>
            <w:gridSpan w:val="2"/>
            <w:tcBorders>
              <w:top w:val="nil"/>
              <w:bottom w:val="nil"/>
            </w:tcBorders>
            <w:shd w:val="clear" w:color="auto" w:fill="auto"/>
            <w:tcMar>
              <w:top w:w="110" w:type="dxa"/>
            </w:tcMar>
          </w:tcPr>
          <w:p w:rsidR="00F03901" w:rsidRDefault="00F03901" w:rsidP="00F03901">
            <w:pPr>
              <w:keepNext/>
              <w:keepLines/>
              <w:autoSpaceDE w:val="0"/>
              <w:autoSpaceDN w:val="0"/>
              <w:adjustRightInd w:val="0"/>
              <w:rPr>
                <w:rFonts w:cs="Arial"/>
                <w:sz w:val="16"/>
                <w:szCs w:val="16"/>
              </w:rPr>
            </w:pPr>
          </w:p>
          <w:p w:rsidR="005660B2" w:rsidRPr="0068151C" w:rsidRDefault="005660B2" w:rsidP="00F03901">
            <w:pPr>
              <w:keepNext/>
              <w:keepLines/>
              <w:autoSpaceDE w:val="0"/>
              <w:autoSpaceDN w:val="0"/>
              <w:adjustRightInd w:val="0"/>
              <w:rPr>
                <w:rFonts w:cs="Arial"/>
                <w:sz w:val="16"/>
                <w:szCs w:val="16"/>
              </w:rPr>
            </w:pPr>
            <w:r w:rsidRPr="0068151C">
              <w:rPr>
                <w:rFonts w:cs="Arial"/>
                <w:sz w:val="16"/>
                <w:szCs w:val="16"/>
              </w:rPr>
              <w:t>40 (cumulative)</w:t>
            </w:r>
          </w:p>
        </w:tc>
        <w:tc>
          <w:tcPr>
            <w:tcW w:w="1144" w:type="pct"/>
            <w:tcBorders>
              <w:top w:val="nil"/>
              <w:bottom w:val="nil"/>
            </w:tcBorders>
            <w:shd w:val="clear" w:color="auto" w:fill="FFFFFF"/>
            <w:tcMar>
              <w:top w:w="110" w:type="dxa"/>
            </w:tcMar>
          </w:tcPr>
          <w:p w:rsidR="00F03901" w:rsidRDefault="00F03901" w:rsidP="00F03901">
            <w:pPr>
              <w:keepNext/>
              <w:keepLines/>
              <w:rPr>
                <w:rFonts w:cs="Arial"/>
                <w:sz w:val="16"/>
                <w:szCs w:val="16"/>
                <w:lang w:bidi="th-TH"/>
              </w:rPr>
            </w:pPr>
          </w:p>
          <w:p w:rsidR="005660B2" w:rsidRPr="0068151C" w:rsidRDefault="005660B2" w:rsidP="00F03901">
            <w:pPr>
              <w:keepNext/>
              <w:keepLines/>
              <w:rPr>
                <w:rFonts w:cs="Arial"/>
                <w:sz w:val="16"/>
                <w:szCs w:val="16"/>
              </w:rPr>
            </w:pPr>
            <w:r w:rsidRPr="0068151C">
              <w:rPr>
                <w:rFonts w:cs="Arial"/>
                <w:sz w:val="16"/>
                <w:szCs w:val="16"/>
                <w:lang w:bidi="th-TH"/>
              </w:rPr>
              <w:t>36 (cumulative)</w:t>
            </w:r>
          </w:p>
        </w:tc>
        <w:tc>
          <w:tcPr>
            <w:tcW w:w="671" w:type="pct"/>
            <w:tcBorders>
              <w:top w:val="nil"/>
              <w:bottom w:val="nil"/>
              <w:right w:val="single" w:sz="4" w:space="0" w:color="auto"/>
            </w:tcBorders>
            <w:shd w:val="clear" w:color="auto" w:fill="auto"/>
            <w:tcMar>
              <w:top w:w="110" w:type="dxa"/>
            </w:tcMar>
          </w:tcPr>
          <w:p w:rsidR="005660B2" w:rsidRPr="0068151C" w:rsidRDefault="005660B2" w:rsidP="00F03901">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2B20E5" w:rsidRPr="0068151C" w:rsidTr="00FA28F8">
        <w:trPr>
          <w:cantSplit/>
        </w:trPr>
        <w:tc>
          <w:tcPr>
            <w:tcW w:w="1212" w:type="pct"/>
            <w:tcBorders>
              <w:top w:val="nil"/>
              <w:left w:val="single" w:sz="4" w:space="0" w:color="auto"/>
              <w:bottom w:val="single" w:sz="4" w:space="0" w:color="auto"/>
            </w:tcBorders>
            <w:shd w:val="clear" w:color="auto" w:fill="auto"/>
          </w:tcPr>
          <w:p w:rsidR="005660B2" w:rsidRPr="0068151C" w:rsidRDefault="005660B2" w:rsidP="00F03901">
            <w:pPr>
              <w:keepNext/>
              <w:keepLines/>
              <w:rPr>
                <w:rFonts w:cs="Arial"/>
                <w:sz w:val="16"/>
                <w:szCs w:val="16"/>
              </w:rPr>
            </w:pPr>
            <w:r w:rsidRPr="0068151C">
              <w:rPr>
                <w:rFonts w:cs="Arial"/>
                <w:sz w:val="16"/>
                <w:szCs w:val="16"/>
              </w:rPr>
              <w:t>No. of national collections in Global Brand Database</w:t>
            </w:r>
          </w:p>
        </w:tc>
        <w:tc>
          <w:tcPr>
            <w:tcW w:w="1137" w:type="pct"/>
            <w:tcBorders>
              <w:top w:val="nil"/>
              <w:bottom w:val="single" w:sz="4" w:space="0" w:color="auto"/>
            </w:tcBorders>
            <w:shd w:val="clear" w:color="auto" w:fill="auto"/>
          </w:tcPr>
          <w:p w:rsidR="005660B2" w:rsidRPr="0068151C" w:rsidRDefault="005660B2" w:rsidP="00F03901">
            <w:pPr>
              <w:keepNext/>
              <w:keepLines/>
              <w:rPr>
                <w:rFonts w:cs="Arial"/>
                <w:color w:val="002060"/>
                <w:sz w:val="16"/>
                <w:szCs w:val="16"/>
                <w:lang w:bidi="th-TH"/>
              </w:rPr>
            </w:pPr>
            <w:r w:rsidRPr="00B44D3B">
              <w:rPr>
                <w:rFonts w:cs="Arial"/>
                <w:i/>
                <w:color w:val="002060"/>
                <w:sz w:val="16"/>
                <w:szCs w:val="16"/>
              </w:rPr>
              <w:t xml:space="preserve">Updated Baseline </w:t>
            </w:r>
            <w:r w:rsidR="00F03901" w:rsidRPr="00B44D3B">
              <w:rPr>
                <w:rFonts w:cs="Arial"/>
                <w:i/>
                <w:color w:val="002060"/>
                <w:sz w:val="16"/>
                <w:szCs w:val="16"/>
              </w:rPr>
              <w:br/>
            </w:r>
            <w:r w:rsidRPr="00B44D3B">
              <w:rPr>
                <w:rFonts w:cs="Arial"/>
                <w:i/>
                <w:color w:val="002060"/>
                <w:sz w:val="16"/>
                <w:szCs w:val="16"/>
              </w:rPr>
              <w:t>end 2011:</w:t>
            </w:r>
            <w:r w:rsidRPr="00B44D3B">
              <w:rPr>
                <w:rFonts w:cs="Arial"/>
                <w:color w:val="002060"/>
                <w:sz w:val="16"/>
                <w:szCs w:val="16"/>
                <w:lang w:bidi="th-TH"/>
              </w:rPr>
              <w:t xml:space="preserve">  0</w:t>
            </w:r>
          </w:p>
          <w:p w:rsidR="005660B2" w:rsidRPr="00A25763" w:rsidRDefault="005660B2" w:rsidP="00F03901">
            <w:pPr>
              <w:keepNext/>
              <w:keepLines/>
              <w:ind w:left="1" w:hanging="1"/>
              <w:rPr>
                <w:rFonts w:cs="Arial"/>
                <w:i/>
                <w:sz w:val="8"/>
                <w:szCs w:val="8"/>
              </w:rPr>
            </w:pPr>
          </w:p>
          <w:p w:rsidR="005660B2" w:rsidRPr="0068151C" w:rsidRDefault="005660B2" w:rsidP="00F03901">
            <w:pPr>
              <w:keepNext/>
              <w:keepLines/>
              <w:rPr>
                <w:rFonts w:cs="Arial"/>
                <w:sz w:val="16"/>
                <w:szCs w:val="16"/>
                <w:lang w:bidi="th-TH"/>
              </w:rPr>
            </w:pPr>
            <w:r w:rsidRPr="0068151C">
              <w:rPr>
                <w:rFonts w:cs="Arial"/>
                <w:i/>
                <w:sz w:val="16"/>
                <w:szCs w:val="16"/>
                <w:lang w:bidi="th-TH"/>
              </w:rPr>
              <w:t>Original Baseline</w:t>
            </w:r>
            <w:r w:rsidR="00F03901">
              <w:rPr>
                <w:rFonts w:cs="Arial"/>
                <w:sz w:val="16"/>
                <w:szCs w:val="16"/>
                <w:lang w:bidi="th-TH"/>
              </w:rPr>
              <w:t xml:space="preserve"> </w:t>
            </w:r>
            <w:r w:rsidR="00F03901">
              <w:rPr>
                <w:rFonts w:cs="Arial"/>
                <w:sz w:val="16"/>
                <w:szCs w:val="16"/>
                <w:lang w:bidi="th-TH"/>
              </w:rPr>
              <w:br/>
            </w:r>
            <w:r w:rsidRPr="0068151C">
              <w:rPr>
                <w:rFonts w:cs="Arial"/>
                <w:i/>
                <w:sz w:val="16"/>
                <w:szCs w:val="16"/>
              </w:rPr>
              <w:t>P&amp;B 2012/13:</w:t>
            </w:r>
            <w:r w:rsidRPr="0068151C">
              <w:rPr>
                <w:rFonts w:cs="Arial"/>
                <w:smallCaps/>
                <w:sz w:val="16"/>
                <w:szCs w:val="16"/>
              </w:rPr>
              <w:t xml:space="preserve">  </w:t>
            </w:r>
            <w:r w:rsidRPr="0068151C">
              <w:rPr>
                <w:rFonts w:cs="Arial"/>
                <w:sz w:val="16"/>
                <w:szCs w:val="16"/>
              </w:rPr>
              <w:t>n/a</w:t>
            </w:r>
          </w:p>
          <w:p w:rsidR="005660B2" w:rsidRPr="0068151C" w:rsidRDefault="005660B2" w:rsidP="00F03901">
            <w:pPr>
              <w:keepNext/>
              <w:keepLines/>
              <w:ind w:left="1" w:hanging="1"/>
              <w:rPr>
                <w:rFonts w:cs="Arial"/>
                <w:sz w:val="16"/>
                <w:szCs w:val="16"/>
              </w:rPr>
            </w:pPr>
          </w:p>
        </w:tc>
        <w:tc>
          <w:tcPr>
            <w:tcW w:w="836" w:type="pct"/>
            <w:gridSpan w:val="2"/>
            <w:tcBorders>
              <w:top w:val="nil"/>
              <w:bottom w:val="single" w:sz="4" w:space="0" w:color="auto"/>
            </w:tcBorders>
            <w:shd w:val="clear" w:color="auto" w:fill="auto"/>
            <w:tcMar>
              <w:top w:w="110" w:type="dxa"/>
            </w:tcMar>
          </w:tcPr>
          <w:p w:rsidR="005660B2" w:rsidRPr="0068151C" w:rsidRDefault="005660B2" w:rsidP="00F03901">
            <w:pPr>
              <w:keepNext/>
              <w:keepLines/>
              <w:rPr>
                <w:rFonts w:cs="Arial"/>
                <w:sz w:val="16"/>
                <w:szCs w:val="16"/>
                <w:lang w:bidi="th-TH"/>
              </w:rPr>
            </w:pPr>
            <w:r w:rsidRPr="0068151C">
              <w:rPr>
                <w:rFonts w:cs="Arial"/>
                <w:sz w:val="16"/>
                <w:szCs w:val="16"/>
              </w:rPr>
              <w:t>10</w:t>
            </w:r>
          </w:p>
        </w:tc>
        <w:tc>
          <w:tcPr>
            <w:tcW w:w="1144" w:type="pct"/>
            <w:tcBorders>
              <w:top w:val="nil"/>
              <w:bottom w:val="single" w:sz="4" w:space="0" w:color="auto"/>
            </w:tcBorders>
            <w:shd w:val="clear" w:color="auto" w:fill="FFFFFF"/>
            <w:tcMar>
              <w:top w:w="110" w:type="dxa"/>
            </w:tcMar>
          </w:tcPr>
          <w:p w:rsidR="005660B2" w:rsidRPr="0068151C" w:rsidRDefault="005660B2" w:rsidP="00F03901">
            <w:pPr>
              <w:keepNext/>
              <w:keepLines/>
              <w:rPr>
                <w:rFonts w:cs="Arial"/>
                <w:sz w:val="16"/>
                <w:szCs w:val="16"/>
              </w:rPr>
            </w:pPr>
            <w:r w:rsidRPr="0068151C">
              <w:rPr>
                <w:rFonts w:cs="Arial"/>
                <w:sz w:val="16"/>
                <w:szCs w:val="16"/>
                <w:lang w:bidi="th-TH"/>
              </w:rPr>
              <w:t>12</w:t>
            </w:r>
          </w:p>
        </w:tc>
        <w:tc>
          <w:tcPr>
            <w:tcW w:w="671" w:type="pct"/>
            <w:tcBorders>
              <w:top w:val="nil"/>
              <w:bottom w:val="single" w:sz="4" w:space="0" w:color="auto"/>
              <w:right w:val="single" w:sz="4" w:space="0" w:color="auto"/>
            </w:tcBorders>
            <w:shd w:val="clear" w:color="auto" w:fill="auto"/>
            <w:tcMar>
              <w:top w:w="110" w:type="dxa"/>
            </w:tcMar>
          </w:tcPr>
          <w:p w:rsidR="005660B2" w:rsidRPr="0068151C" w:rsidRDefault="005660B2" w:rsidP="00F03901">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68151C">
        <w:trPr>
          <w:cantSplit/>
        </w:trPr>
        <w:tc>
          <w:tcPr>
            <w:tcW w:w="5000" w:type="pct"/>
            <w:gridSpan w:val="6"/>
            <w:tcBorders>
              <w:top w:val="single" w:sz="4" w:space="0" w:color="auto"/>
              <w:left w:val="single" w:sz="4" w:space="0" w:color="auto"/>
              <w:bottom w:val="nil"/>
              <w:right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Timeliness of PATENSCOPE updates regarding PCT applications</w:t>
            </w:r>
          </w:p>
        </w:tc>
      </w:tr>
      <w:tr w:rsidR="00FA28F8" w:rsidRPr="0068151C" w:rsidTr="00FA28F8">
        <w:trPr>
          <w:cantSplit/>
        </w:trPr>
        <w:tc>
          <w:tcPr>
            <w:tcW w:w="1212" w:type="pct"/>
            <w:tcBorders>
              <w:top w:val="single" w:sz="4" w:space="0" w:color="auto"/>
              <w:left w:val="single" w:sz="4" w:space="0" w:color="auto"/>
              <w:bottom w:val="nil"/>
            </w:tcBorders>
            <w:shd w:val="clear" w:color="auto" w:fill="auto"/>
            <w:vAlign w:val="center"/>
          </w:tcPr>
          <w:p w:rsidR="005660B2" w:rsidRPr="0068151C" w:rsidRDefault="005660B2" w:rsidP="0068151C">
            <w:pPr>
              <w:spacing w:after="120"/>
              <w:rPr>
                <w:rFonts w:cs="Arial"/>
                <w:sz w:val="16"/>
                <w:szCs w:val="16"/>
              </w:rPr>
            </w:pPr>
            <w:r w:rsidRPr="0068151C">
              <w:rPr>
                <w:rFonts w:cs="Arial"/>
                <w:b/>
                <w:bCs/>
                <w:sz w:val="16"/>
                <w:szCs w:val="16"/>
              </w:rPr>
              <w:t>Performance Indicators</w:t>
            </w:r>
          </w:p>
        </w:tc>
        <w:tc>
          <w:tcPr>
            <w:tcW w:w="1137" w:type="pct"/>
            <w:tcBorders>
              <w:top w:val="single" w:sz="4" w:space="0" w:color="auto"/>
              <w:bottom w:val="nil"/>
            </w:tcBorders>
            <w:shd w:val="clear" w:color="auto" w:fill="auto"/>
            <w:vAlign w:val="center"/>
          </w:tcPr>
          <w:p w:rsidR="005660B2" w:rsidRPr="0068151C" w:rsidRDefault="005660B2" w:rsidP="0068151C">
            <w:pPr>
              <w:spacing w:after="120"/>
              <w:rPr>
                <w:rFonts w:cs="Arial"/>
                <w:b/>
                <w:bCs/>
                <w:sz w:val="16"/>
                <w:szCs w:val="16"/>
              </w:rPr>
            </w:pPr>
            <w:r w:rsidRPr="0068151C">
              <w:rPr>
                <w:rFonts w:cs="Arial"/>
                <w:b/>
                <w:bCs/>
                <w:sz w:val="16"/>
                <w:szCs w:val="16"/>
              </w:rPr>
              <w:t>Baselines</w:t>
            </w:r>
          </w:p>
        </w:tc>
        <w:tc>
          <w:tcPr>
            <w:tcW w:w="833" w:type="pct"/>
            <w:tcBorders>
              <w:top w:val="single" w:sz="4" w:space="0" w:color="auto"/>
              <w:bottom w:val="nil"/>
            </w:tcBorders>
            <w:shd w:val="clear" w:color="auto" w:fill="auto"/>
            <w:tcMar>
              <w:top w:w="110" w:type="dxa"/>
            </w:tcMar>
            <w:vAlign w:val="center"/>
          </w:tcPr>
          <w:p w:rsidR="005660B2" w:rsidRPr="0068151C" w:rsidRDefault="005660B2" w:rsidP="0068151C">
            <w:pPr>
              <w:spacing w:after="120"/>
              <w:rPr>
                <w:rFonts w:cs="Arial"/>
                <w:b/>
                <w:sz w:val="16"/>
                <w:szCs w:val="16"/>
              </w:rPr>
            </w:pPr>
            <w:r w:rsidRPr="0068151C">
              <w:rPr>
                <w:rFonts w:cs="Arial"/>
                <w:b/>
                <w:sz w:val="16"/>
                <w:szCs w:val="16"/>
              </w:rPr>
              <w:t>Target</w:t>
            </w:r>
            <w:r w:rsidR="00582788">
              <w:rPr>
                <w:rFonts w:cs="Arial"/>
                <w:b/>
                <w:sz w:val="16"/>
                <w:szCs w:val="16"/>
              </w:rPr>
              <w:t>s</w:t>
            </w:r>
          </w:p>
        </w:tc>
        <w:tc>
          <w:tcPr>
            <w:tcW w:w="1147" w:type="pct"/>
            <w:gridSpan w:val="2"/>
            <w:tcBorders>
              <w:top w:val="single" w:sz="4" w:space="0" w:color="auto"/>
              <w:bottom w:val="nil"/>
            </w:tcBorders>
            <w:shd w:val="clear" w:color="auto" w:fill="FFFFFF"/>
            <w:tcMar>
              <w:top w:w="110" w:type="dxa"/>
            </w:tcMar>
            <w:vAlign w:val="center"/>
          </w:tcPr>
          <w:p w:rsidR="005660B2" w:rsidRPr="0068151C" w:rsidRDefault="005660B2" w:rsidP="0068151C">
            <w:pPr>
              <w:spacing w:after="120"/>
              <w:rPr>
                <w:rFonts w:cs="Arial"/>
                <w:sz w:val="16"/>
                <w:szCs w:val="16"/>
              </w:rPr>
            </w:pPr>
            <w:r w:rsidRPr="0068151C">
              <w:rPr>
                <w:rFonts w:cs="Arial"/>
                <w:b/>
                <w:bCs/>
                <w:sz w:val="16"/>
                <w:szCs w:val="16"/>
              </w:rPr>
              <w:t>Performance Data</w:t>
            </w:r>
          </w:p>
        </w:tc>
        <w:tc>
          <w:tcPr>
            <w:tcW w:w="671" w:type="pct"/>
            <w:tcBorders>
              <w:top w:val="single" w:sz="4" w:space="0" w:color="auto"/>
              <w:bottom w:val="nil"/>
              <w:right w:val="single" w:sz="4" w:space="0" w:color="auto"/>
            </w:tcBorders>
            <w:shd w:val="clear" w:color="auto" w:fill="auto"/>
            <w:tcMar>
              <w:top w:w="110" w:type="dxa"/>
            </w:tcMar>
            <w:vAlign w:val="center"/>
          </w:tcPr>
          <w:p w:rsidR="005660B2" w:rsidRPr="0068151C" w:rsidRDefault="005660B2" w:rsidP="0068151C">
            <w:pPr>
              <w:keepNext/>
              <w:keepLines/>
              <w:spacing w:after="120"/>
              <w:jc w:val="center"/>
              <w:rPr>
                <w:rFonts w:cs="Arial"/>
                <w:b/>
                <w:bCs/>
                <w:sz w:val="16"/>
                <w:szCs w:val="16"/>
              </w:rPr>
            </w:pPr>
            <w:r w:rsidRPr="0068151C">
              <w:rPr>
                <w:rFonts w:cs="Arial"/>
                <w:b/>
                <w:bCs/>
                <w:sz w:val="16"/>
                <w:szCs w:val="16"/>
              </w:rPr>
              <w:t>TLS</w:t>
            </w:r>
          </w:p>
        </w:tc>
      </w:tr>
      <w:tr w:rsidR="00FA28F8" w:rsidRPr="0068151C" w:rsidTr="00FA28F8">
        <w:trPr>
          <w:cantSplit/>
        </w:trPr>
        <w:tc>
          <w:tcPr>
            <w:tcW w:w="1212" w:type="pct"/>
            <w:tcBorders>
              <w:top w:val="nil"/>
              <w:left w:val="single" w:sz="4" w:space="0" w:color="auto"/>
              <w:bottom w:val="nil"/>
            </w:tcBorders>
            <w:shd w:val="clear" w:color="auto" w:fill="auto"/>
          </w:tcPr>
          <w:p w:rsidR="005660B2" w:rsidRPr="0068151C" w:rsidRDefault="005660B2" w:rsidP="0068151C">
            <w:pPr>
              <w:rPr>
                <w:rFonts w:cs="Arial"/>
                <w:sz w:val="16"/>
                <w:szCs w:val="16"/>
              </w:rPr>
            </w:pPr>
            <w:r w:rsidRPr="0068151C">
              <w:rPr>
                <w:rFonts w:cs="Arial"/>
                <w:sz w:val="16"/>
                <w:szCs w:val="16"/>
              </w:rPr>
              <w:t>Delay (in months) in implementation of PCT rule changes concerning PATENTSCOPE</w:t>
            </w:r>
          </w:p>
        </w:tc>
        <w:tc>
          <w:tcPr>
            <w:tcW w:w="1137" w:type="pct"/>
            <w:tcBorders>
              <w:top w:val="nil"/>
              <w:bottom w:val="nil"/>
            </w:tcBorders>
            <w:shd w:val="clear" w:color="auto" w:fill="auto"/>
          </w:tcPr>
          <w:p w:rsidR="005660B2" w:rsidRPr="0068151C" w:rsidRDefault="005660B2" w:rsidP="0068151C">
            <w:pPr>
              <w:rPr>
                <w:rFonts w:cs="Arial"/>
                <w:sz w:val="16"/>
                <w:szCs w:val="16"/>
              </w:rPr>
            </w:pPr>
            <w:r w:rsidRPr="0068151C">
              <w:rPr>
                <w:rFonts w:cs="Arial"/>
                <w:sz w:val="16"/>
                <w:szCs w:val="16"/>
              </w:rPr>
              <w:t>0</w:t>
            </w:r>
          </w:p>
        </w:tc>
        <w:tc>
          <w:tcPr>
            <w:tcW w:w="833" w:type="pct"/>
            <w:tcBorders>
              <w:top w:val="nil"/>
              <w:bottom w:val="nil"/>
            </w:tcBorders>
            <w:shd w:val="clear" w:color="auto" w:fill="auto"/>
            <w:tcMar>
              <w:top w:w="110" w:type="dxa"/>
            </w:tcMar>
          </w:tcPr>
          <w:p w:rsidR="005660B2" w:rsidRPr="0068151C" w:rsidRDefault="005660B2" w:rsidP="0068151C">
            <w:pPr>
              <w:rPr>
                <w:rFonts w:cs="Arial"/>
                <w:sz w:val="16"/>
                <w:szCs w:val="16"/>
                <w:lang w:bidi="th-TH"/>
              </w:rPr>
            </w:pPr>
            <w:r w:rsidRPr="0068151C">
              <w:rPr>
                <w:rFonts w:cs="Arial"/>
                <w:sz w:val="16"/>
                <w:szCs w:val="16"/>
              </w:rPr>
              <w:t>0</w:t>
            </w:r>
          </w:p>
        </w:tc>
        <w:tc>
          <w:tcPr>
            <w:tcW w:w="1147" w:type="pct"/>
            <w:gridSpan w:val="2"/>
            <w:tcBorders>
              <w:top w:val="nil"/>
              <w:bottom w:val="nil"/>
            </w:tcBorders>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0</w:t>
            </w:r>
          </w:p>
        </w:tc>
        <w:tc>
          <w:tcPr>
            <w:tcW w:w="671" w:type="pct"/>
            <w:tcBorders>
              <w:top w:val="nil"/>
              <w:bottom w:val="nil"/>
              <w:right w:val="single" w:sz="4" w:space="0" w:color="auto"/>
            </w:tcBorders>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935C1E">
              <w:rPr>
                <w:rStyle w:val="Style5"/>
                <w:rFonts w:ascii="Arial" w:hAnsi="Arial" w:cs="Arial"/>
                <w:sz w:val="16"/>
                <w:szCs w:val="16"/>
              </w:rPr>
              <w:t xml:space="preserve"> </w:t>
            </w:r>
          </w:p>
        </w:tc>
      </w:tr>
      <w:tr w:rsidR="00FA28F8" w:rsidRPr="0068151C" w:rsidTr="00FA28F8">
        <w:trPr>
          <w:cantSplit/>
        </w:trPr>
        <w:tc>
          <w:tcPr>
            <w:tcW w:w="1212" w:type="pct"/>
            <w:tcBorders>
              <w:top w:val="nil"/>
              <w:left w:val="single" w:sz="4" w:space="0" w:color="auto"/>
              <w:bottom w:val="single" w:sz="4" w:space="0" w:color="auto"/>
            </w:tcBorders>
            <w:shd w:val="clear" w:color="auto" w:fill="auto"/>
          </w:tcPr>
          <w:p w:rsidR="005660B2" w:rsidRPr="0068151C" w:rsidRDefault="005660B2" w:rsidP="0068151C">
            <w:pPr>
              <w:rPr>
                <w:rFonts w:cs="Arial"/>
                <w:sz w:val="16"/>
                <w:szCs w:val="16"/>
              </w:rPr>
            </w:pPr>
            <w:r w:rsidRPr="0068151C">
              <w:rPr>
                <w:rFonts w:cs="Arial"/>
                <w:sz w:val="16"/>
                <w:szCs w:val="16"/>
              </w:rPr>
              <w:t>No. of weeks per year where publication is not available at 20:00 Geneva time on publication day</w:t>
            </w:r>
          </w:p>
          <w:p w:rsidR="005660B2" w:rsidRPr="0068151C" w:rsidRDefault="005660B2" w:rsidP="0068151C">
            <w:pPr>
              <w:rPr>
                <w:rFonts w:cs="Arial"/>
                <w:sz w:val="16"/>
                <w:szCs w:val="16"/>
              </w:rPr>
            </w:pPr>
          </w:p>
        </w:tc>
        <w:tc>
          <w:tcPr>
            <w:tcW w:w="1137" w:type="pct"/>
            <w:tcBorders>
              <w:top w:val="nil"/>
              <w:bottom w:val="single" w:sz="4" w:space="0" w:color="auto"/>
            </w:tcBorders>
            <w:shd w:val="clear" w:color="auto" w:fill="auto"/>
          </w:tcPr>
          <w:p w:rsidR="005660B2" w:rsidRPr="0068151C" w:rsidRDefault="005660B2" w:rsidP="0068151C">
            <w:pPr>
              <w:rPr>
                <w:rFonts w:cs="Arial"/>
                <w:i/>
                <w:sz w:val="16"/>
                <w:szCs w:val="16"/>
              </w:rPr>
            </w:pPr>
            <w:r w:rsidRPr="0068151C">
              <w:rPr>
                <w:rFonts w:cs="Arial"/>
                <w:sz w:val="16"/>
                <w:szCs w:val="16"/>
              </w:rPr>
              <w:t>0</w:t>
            </w:r>
          </w:p>
        </w:tc>
        <w:tc>
          <w:tcPr>
            <w:tcW w:w="833" w:type="pct"/>
            <w:tcBorders>
              <w:top w:val="nil"/>
              <w:bottom w:val="single" w:sz="4" w:space="0" w:color="auto"/>
            </w:tcBorders>
            <w:shd w:val="clear" w:color="auto" w:fill="auto"/>
            <w:tcMar>
              <w:top w:w="110" w:type="dxa"/>
            </w:tcMar>
          </w:tcPr>
          <w:p w:rsidR="005660B2" w:rsidRPr="0068151C" w:rsidRDefault="005660B2" w:rsidP="0068151C">
            <w:pPr>
              <w:rPr>
                <w:rFonts w:cs="Arial"/>
                <w:sz w:val="16"/>
                <w:szCs w:val="16"/>
                <w:lang w:bidi="th-TH"/>
              </w:rPr>
            </w:pPr>
            <w:r w:rsidRPr="0068151C">
              <w:rPr>
                <w:rFonts w:cs="Arial"/>
                <w:sz w:val="16"/>
                <w:szCs w:val="16"/>
              </w:rPr>
              <w:t>0</w:t>
            </w:r>
          </w:p>
        </w:tc>
        <w:tc>
          <w:tcPr>
            <w:tcW w:w="1147" w:type="pct"/>
            <w:gridSpan w:val="2"/>
            <w:tcBorders>
              <w:top w:val="nil"/>
              <w:bottom w:val="single" w:sz="4" w:space="0" w:color="auto"/>
            </w:tcBorders>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1</w:t>
            </w:r>
          </w:p>
        </w:tc>
        <w:tc>
          <w:tcPr>
            <w:tcW w:w="671" w:type="pct"/>
            <w:tcBorders>
              <w:top w:val="nil"/>
              <w:bottom w:val="single" w:sz="4" w:space="0" w:color="auto"/>
              <w:right w:val="single" w:sz="4" w:space="0" w:color="auto"/>
            </w:tcBorders>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r w:rsidRPr="0068151C" w:rsidDel="00935C1E">
              <w:rPr>
                <w:rStyle w:val="Style5"/>
                <w:rFonts w:ascii="Arial" w:hAnsi="Arial" w:cs="Arial"/>
                <w:sz w:val="16"/>
                <w:szCs w:val="16"/>
              </w:rPr>
              <w:t xml:space="preserve"> </w:t>
            </w:r>
          </w:p>
        </w:tc>
      </w:tr>
    </w:tbl>
    <w:p w:rsidR="005660B2" w:rsidRPr="002A56E1" w:rsidRDefault="005660B2" w:rsidP="005660B2"/>
    <w:p w:rsidR="005660B2" w:rsidRPr="002A56E1" w:rsidRDefault="005660B2" w:rsidP="005660B2">
      <w:pPr>
        <w:rPr>
          <w:rFonts w:cs="Arial"/>
        </w:rPr>
      </w:pPr>
    </w:p>
    <w:p w:rsidR="005660B2" w:rsidRDefault="005660B2" w:rsidP="005660B2">
      <w:pPr>
        <w:keepNext/>
        <w:keepLines/>
        <w:rPr>
          <w:rFonts w:cs="Arial"/>
          <w:sz w:val="22"/>
          <w:szCs w:val="22"/>
        </w:rPr>
      </w:pPr>
      <w:r w:rsidRPr="0098133B">
        <w:rPr>
          <w:rFonts w:cs="Arial"/>
          <w:sz w:val="22"/>
          <w:szCs w:val="22"/>
        </w:rPr>
        <w:t xml:space="preserve">BUDGET </w:t>
      </w:r>
      <w:r>
        <w:rPr>
          <w:rFonts w:cs="Arial"/>
          <w:sz w:val="22"/>
          <w:szCs w:val="22"/>
        </w:rPr>
        <w:t>AND ACTUAL EXPENDITURE</w:t>
      </w:r>
    </w:p>
    <w:p w:rsidR="005660B2" w:rsidRDefault="005660B2" w:rsidP="005660B2">
      <w:pPr>
        <w:keepNext/>
        <w:keepLines/>
        <w:rPr>
          <w:rFonts w:cs="Arial"/>
          <w:sz w:val="22"/>
          <w:szCs w:val="22"/>
        </w:rPr>
      </w:pPr>
    </w:p>
    <w:p w:rsidR="005660B2" w:rsidRPr="0027745B" w:rsidRDefault="005660B2" w:rsidP="005660B2">
      <w:pPr>
        <w:jc w:val="center"/>
        <w:rPr>
          <w:rFonts w:ascii="Times New Roman" w:eastAsiaTheme="minorEastAsia" w:hAnsi="Times New Roman"/>
          <w:szCs w:val="20"/>
        </w:rPr>
      </w:pPr>
      <w:r w:rsidRPr="0027745B">
        <w:rPr>
          <w:rFonts w:eastAsiaTheme="minorEastAsia" w:cs="Arial"/>
          <w:color w:val="000000"/>
          <w:szCs w:val="20"/>
        </w:rPr>
        <w:t xml:space="preserve">Budget and Actual Expenditure (by result) </w:t>
      </w:r>
    </w:p>
    <w:p w:rsidR="005660B2" w:rsidRPr="0027745B" w:rsidRDefault="005660B2" w:rsidP="005660B2">
      <w:pPr>
        <w:jc w:val="center"/>
        <w:rPr>
          <w:rFonts w:ascii="Times New Roman" w:eastAsiaTheme="minorEastAsia" w:hAnsi="Times New Roman"/>
          <w:szCs w:val="20"/>
        </w:rPr>
      </w:pPr>
      <w:r w:rsidRPr="0027745B">
        <w:rPr>
          <w:rFonts w:eastAsiaTheme="minorEastAsia" w:cs="Arial"/>
          <w:i/>
          <w:iCs/>
          <w:color w:val="000000"/>
          <w:szCs w:val="20"/>
        </w:rPr>
        <w:t>(</w:t>
      </w:r>
      <w:proofErr w:type="gramStart"/>
      <w:r w:rsidRPr="0027745B">
        <w:rPr>
          <w:rFonts w:eastAsiaTheme="minorEastAsia" w:cs="Arial"/>
          <w:i/>
          <w:iCs/>
          <w:color w:val="000000"/>
          <w:szCs w:val="20"/>
        </w:rPr>
        <w:t>in</w:t>
      </w:r>
      <w:proofErr w:type="gramEnd"/>
      <w:r w:rsidRPr="0027745B">
        <w:rPr>
          <w:rFonts w:eastAsiaTheme="minorEastAsia" w:cs="Arial"/>
          <w:i/>
          <w:iCs/>
          <w:color w:val="000000"/>
          <w:szCs w:val="20"/>
        </w:rPr>
        <w:t xml:space="preserve"> thousands of Swiss francs)</w:t>
      </w:r>
    </w:p>
    <w:p w:rsidR="005660B2" w:rsidRDefault="005660B2" w:rsidP="005660B2">
      <w:pPr>
        <w:keepNext/>
        <w:keepLines/>
        <w:rPr>
          <w:rFonts w:cs="Arial"/>
          <w:sz w:val="22"/>
          <w:szCs w:val="22"/>
        </w:rPr>
      </w:pPr>
    </w:p>
    <w:tbl>
      <w:tblPr>
        <w:tblW w:w="0" w:type="auto"/>
        <w:tblInd w:w="103" w:type="dxa"/>
        <w:tblLook w:val="04A0" w:firstRow="1" w:lastRow="0" w:firstColumn="1" w:lastColumn="0" w:noHBand="0" w:noVBand="1"/>
      </w:tblPr>
      <w:tblGrid>
        <w:gridCol w:w="532"/>
        <w:gridCol w:w="4293"/>
        <w:gridCol w:w="1512"/>
        <w:gridCol w:w="1512"/>
        <w:gridCol w:w="1512"/>
      </w:tblGrid>
      <w:tr w:rsidR="005660B2" w:rsidRPr="009C4AA7" w:rsidTr="009C4AA7">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 xml:space="preserve">2012/13 Budget </w:t>
            </w:r>
            <w:r w:rsidRPr="009C4AA7">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 xml:space="preserve">2012/13 </w:t>
            </w:r>
            <w:r w:rsidRPr="009C4AA7">
              <w:rPr>
                <w:rFonts w:cs="Arial"/>
                <w:bCs/>
                <w:color w:val="000000"/>
                <w:sz w:val="16"/>
                <w:szCs w:val="16"/>
              </w:rPr>
              <w:br/>
              <w:t>Expenditure</w:t>
            </w:r>
          </w:p>
        </w:tc>
      </w:tr>
      <w:tr w:rsidR="005660B2" w:rsidRPr="00935C1E" w:rsidTr="009C4AA7">
        <w:tc>
          <w:tcPr>
            <w:tcW w:w="532" w:type="dxa"/>
            <w:tcBorders>
              <w:top w:val="nil"/>
              <w:left w:val="single" w:sz="4" w:space="0" w:color="auto"/>
              <w:bottom w:val="nil"/>
              <w:right w:val="nil"/>
            </w:tcBorders>
            <w:shd w:val="clear" w:color="000000" w:fill="FFFFFF"/>
            <w:noWrap/>
            <w:hideMark/>
          </w:tcPr>
          <w:p w:rsidR="005660B2" w:rsidRPr="0027745B" w:rsidRDefault="005660B2" w:rsidP="009C4AA7">
            <w:pPr>
              <w:spacing w:before="120"/>
              <w:jc w:val="center"/>
              <w:rPr>
                <w:rFonts w:cs="Arial"/>
                <w:color w:val="000000"/>
                <w:sz w:val="16"/>
                <w:szCs w:val="16"/>
              </w:rPr>
            </w:pPr>
            <w:r w:rsidRPr="0027745B">
              <w:rPr>
                <w:rFonts w:cs="Arial"/>
                <w:color w:val="000000"/>
                <w:sz w:val="16"/>
                <w:szCs w:val="16"/>
              </w:rPr>
              <w:t>IV.2</w:t>
            </w:r>
          </w:p>
        </w:tc>
        <w:tc>
          <w:tcPr>
            <w:tcW w:w="4293" w:type="dxa"/>
            <w:tcBorders>
              <w:top w:val="nil"/>
              <w:left w:val="nil"/>
              <w:bottom w:val="nil"/>
              <w:right w:val="nil"/>
            </w:tcBorders>
            <w:shd w:val="clear" w:color="000000" w:fill="FFFFFF"/>
            <w:hideMark/>
          </w:tcPr>
          <w:p w:rsidR="005660B2" w:rsidRPr="0027745B" w:rsidRDefault="005660B2" w:rsidP="009C4AA7">
            <w:pPr>
              <w:spacing w:before="120"/>
              <w:rPr>
                <w:rFonts w:cs="Arial"/>
                <w:color w:val="000000"/>
                <w:sz w:val="16"/>
                <w:szCs w:val="16"/>
              </w:rPr>
            </w:pPr>
            <w:r w:rsidRPr="0027745B">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512" w:type="dxa"/>
            <w:tcBorders>
              <w:top w:val="nil"/>
              <w:left w:val="nil"/>
              <w:bottom w:val="nil"/>
              <w:right w:val="nil"/>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1,135</w:t>
            </w:r>
          </w:p>
        </w:tc>
        <w:tc>
          <w:tcPr>
            <w:tcW w:w="1512" w:type="dxa"/>
            <w:tcBorders>
              <w:top w:val="nil"/>
              <w:left w:val="nil"/>
              <w:bottom w:val="nil"/>
              <w:right w:val="nil"/>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2,238</w:t>
            </w:r>
          </w:p>
        </w:tc>
        <w:tc>
          <w:tcPr>
            <w:tcW w:w="1512" w:type="dxa"/>
            <w:tcBorders>
              <w:top w:val="nil"/>
              <w:left w:val="nil"/>
              <w:bottom w:val="nil"/>
              <w:right w:val="single" w:sz="4" w:space="0" w:color="auto"/>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1,973</w:t>
            </w:r>
          </w:p>
        </w:tc>
      </w:tr>
      <w:tr w:rsidR="005660B2" w:rsidRPr="00935C1E" w:rsidTr="009C4AA7">
        <w:tc>
          <w:tcPr>
            <w:tcW w:w="532" w:type="dxa"/>
            <w:tcBorders>
              <w:top w:val="nil"/>
              <w:left w:val="single" w:sz="4" w:space="0" w:color="auto"/>
              <w:bottom w:val="nil"/>
              <w:right w:val="nil"/>
            </w:tcBorders>
            <w:shd w:val="clear" w:color="000000" w:fill="FFFFFF"/>
            <w:noWrap/>
            <w:hideMark/>
          </w:tcPr>
          <w:p w:rsidR="005660B2" w:rsidRPr="0027745B" w:rsidRDefault="005660B2" w:rsidP="009C4AA7">
            <w:pPr>
              <w:spacing w:before="120"/>
              <w:jc w:val="center"/>
              <w:rPr>
                <w:rFonts w:cs="Arial"/>
                <w:color w:val="000000"/>
                <w:sz w:val="16"/>
                <w:szCs w:val="16"/>
              </w:rPr>
            </w:pPr>
            <w:r w:rsidRPr="0027745B">
              <w:rPr>
                <w:rFonts w:cs="Arial"/>
                <w:color w:val="000000"/>
                <w:sz w:val="16"/>
                <w:szCs w:val="16"/>
              </w:rPr>
              <w:t>IV.3</w:t>
            </w:r>
          </w:p>
        </w:tc>
        <w:tc>
          <w:tcPr>
            <w:tcW w:w="4293" w:type="dxa"/>
            <w:tcBorders>
              <w:top w:val="nil"/>
              <w:left w:val="nil"/>
              <w:bottom w:val="nil"/>
              <w:right w:val="nil"/>
            </w:tcBorders>
            <w:shd w:val="clear" w:color="000000" w:fill="FFFFFF"/>
            <w:hideMark/>
          </w:tcPr>
          <w:p w:rsidR="005660B2" w:rsidRPr="0027745B" w:rsidRDefault="005660B2" w:rsidP="009C4AA7">
            <w:pPr>
              <w:spacing w:before="120"/>
              <w:rPr>
                <w:rFonts w:cs="Arial"/>
                <w:color w:val="000000"/>
                <w:sz w:val="16"/>
                <w:szCs w:val="16"/>
              </w:rPr>
            </w:pPr>
            <w:r w:rsidRPr="0027745B">
              <w:rPr>
                <w:rFonts w:cs="Arial"/>
                <w:color w:val="000000"/>
                <w:sz w:val="16"/>
                <w:szCs w:val="16"/>
              </w:rPr>
              <w:t>Increased dissemination of digitized patent collections of national/regional offices of WIPO Member States</w:t>
            </w:r>
          </w:p>
        </w:tc>
        <w:tc>
          <w:tcPr>
            <w:tcW w:w="1512" w:type="dxa"/>
            <w:tcBorders>
              <w:top w:val="nil"/>
              <w:left w:val="nil"/>
              <w:bottom w:val="nil"/>
              <w:right w:val="nil"/>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1,210</w:t>
            </w:r>
          </w:p>
        </w:tc>
        <w:tc>
          <w:tcPr>
            <w:tcW w:w="1512" w:type="dxa"/>
            <w:tcBorders>
              <w:top w:val="nil"/>
              <w:left w:val="nil"/>
              <w:bottom w:val="nil"/>
              <w:right w:val="nil"/>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1,346</w:t>
            </w:r>
          </w:p>
        </w:tc>
        <w:tc>
          <w:tcPr>
            <w:tcW w:w="1512" w:type="dxa"/>
            <w:tcBorders>
              <w:top w:val="nil"/>
              <w:left w:val="nil"/>
              <w:bottom w:val="nil"/>
              <w:right w:val="single" w:sz="4" w:space="0" w:color="auto"/>
            </w:tcBorders>
            <w:shd w:val="clear" w:color="000000" w:fill="FFFFFF"/>
            <w:vAlign w:val="center"/>
            <w:hideMark/>
          </w:tcPr>
          <w:p w:rsidR="005660B2" w:rsidRPr="0027745B" w:rsidRDefault="005660B2" w:rsidP="009C4AA7">
            <w:pPr>
              <w:spacing w:before="120"/>
              <w:jc w:val="right"/>
              <w:rPr>
                <w:rFonts w:cs="Arial"/>
                <w:color w:val="000000"/>
                <w:sz w:val="16"/>
                <w:szCs w:val="16"/>
              </w:rPr>
            </w:pPr>
            <w:r w:rsidRPr="0027745B">
              <w:rPr>
                <w:rFonts w:cs="Arial"/>
                <w:color w:val="000000"/>
                <w:sz w:val="16"/>
                <w:szCs w:val="16"/>
              </w:rPr>
              <w:t>1,272</w:t>
            </w:r>
          </w:p>
        </w:tc>
      </w:tr>
      <w:tr w:rsidR="005660B2" w:rsidRPr="00935C1E" w:rsidTr="009C4AA7">
        <w:tc>
          <w:tcPr>
            <w:tcW w:w="532" w:type="dxa"/>
            <w:tcBorders>
              <w:top w:val="nil"/>
              <w:left w:val="single" w:sz="4" w:space="0" w:color="auto"/>
              <w:bottom w:val="single" w:sz="4" w:space="0" w:color="auto"/>
              <w:right w:val="nil"/>
            </w:tcBorders>
            <w:shd w:val="clear" w:color="000000" w:fill="FFFFFF"/>
            <w:noWrap/>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IV.4</w:t>
            </w:r>
          </w:p>
        </w:tc>
        <w:tc>
          <w:tcPr>
            <w:tcW w:w="4293" w:type="dxa"/>
            <w:tcBorders>
              <w:top w:val="nil"/>
              <w:left w:val="nil"/>
              <w:bottom w:val="single" w:sz="4" w:space="0" w:color="auto"/>
              <w:right w:val="nil"/>
            </w:tcBorders>
            <w:shd w:val="clear" w:color="000000" w:fill="FFFFFF"/>
            <w:hideMark/>
          </w:tcPr>
          <w:p w:rsidR="005660B2" w:rsidRPr="0027745B" w:rsidRDefault="005660B2" w:rsidP="009C4AA7">
            <w:pPr>
              <w:spacing w:before="120" w:after="120"/>
              <w:rPr>
                <w:rFonts w:cs="Arial"/>
                <w:color w:val="000000"/>
                <w:sz w:val="16"/>
                <w:szCs w:val="16"/>
              </w:rPr>
            </w:pPr>
            <w:r w:rsidRPr="0027745B">
              <w:rPr>
                <w:rFonts w:cs="Arial"/>
                <w:color w:val="000000"/>
                <w:sz w:val="16"/>
                <w:szCs w:val="16"/>
              </w:rPr>
              <w:t>Timeliness of PATENTSCOPE updates regarding PCT applications</w:t>
            </w:r>
          </w:p>
        </w:tc>
        <w:tc>
          <w:tcPr>
            <w:tcW w:w="1512" w:type="dxa"/>
            <w:tcBorders>
              <w:top w:val="nil"/>
              <w:left w:val="nil"/>
              <w:bottom w:val="single" w:sz="4" w:space="0" w:color="auto"/>
              <w:right w:val="nil"/>
            </w:tcBorders>
            <w:shd w:val="clear" w:color="000000" w:fill="FFFFFF"/>
            <w:vAlign w:val="center"/>
            <w:hideMark/>
          </w:tcPr>
          <w:p w:rsidR="005660B2" w:rsidRPr="0027745B" w:rsidRDefault="005660B2" w:rsidP="009C4AA7">
            <w:pPr>
              <w:spacing w:before="120" w:after="120"/>
              <w:jc w:val="right"/>
              <w:rPr>
                <w:rFonts w:cs="Arial"/>
                <w:color w:val="000000"/>
                <w:sz w:val="16"/>
                <w:szCs w:val="16"/>
              </w:rPr>
            </w:pPr>
            <w:r w:rsidRPr="0027745B">
              <w:rPr>
                <w:rFonts w:cs="Arial"/>
                <w:color w:val="000000"/>
                <w:sz w:val="16"/>
                <w:szCs w:val="16"/>
              </w:rPr>
              <w:t>2,159</w:t>
            </w:r>
          </w:p>
        </w:tc>
        <w:tc>
          <w:tcPr>
            <w:tcW w:w="1512" w:type="dxa"/>
            <w:tcBorders>
              <w:top w:val="nil"/>
              <w:left w:val="nil"/>
              <w:bottom w:val="single" w:sz="4" w:space="0" w:color="auto"/>
              <w:right w:val="nil"/>
            </w:tcBorders>
            <w:shd w:val="clear" w:color="000000" w:fill="FFFFFF"/>
            <w:vAlign w:val="center"/>
            <w:hideMark/>
          </w:tcPr>
          <w:p w:rsidR="005660B2" w:rsidRPr="0027745B" w:rsidRDefault="005660B2" w:rsidP="009C4AA7">
            <w:pPr>
              <w:spacing w:before="120" w:after="120"/>
              <w:jc w:val="right"/>
              <w:rPr>
                <w:rFonts w:cs="Arial"/>
                <w:color w:val="000000"/>
                <w:sz w:val="16"/>
                <w:szCs w:val="16"/>
              </w:rPr>
            </w:pPr>
            <w:r w:rsidRPr="0027745B">
              <w:rPr>
                <w:rFonts w:cs="Arial"/>
                <w:color w:val="000000"/>
                <w:sz w:val="16"/>
                <w:szCs w:val="16"/>
              </w:rPr>
              <w:t>732</w:t>
            </w:r>
          </w:p>
        </w:tc>
        <w:tc>
          <w:tcPr>
            <w:tcW w:w="1512" w:type="dxa"/>
            <w:tcBorders>
              <w:top w:val="nil"/>
              <w:left w:val="nil"/>
              <w:bottom w:val="single" w:sz="4" w:space="0" w:color="auto"/>
              <w:right w:val="single" w:sz="4" w:space="0" w:color="auto"/>
            </w:tcBorders>
            <w:shd w:val="clear" w:color="000000" w:fill="FFFFFF"/>
            <w:vAlign w:val="center"/>
            <w:hideMark/>
          </w:tcPr>
          <w:p w:rsidR="005660B2" w:rsidRPr="0027745B" w:rsidRDefault="005660B2" w:rsidP="009C4AA7">
            <w:pPr>
              <w:spacing w:before="120" w:after="120"/>
              <w:jc w:val="right"/>
              <w:rPr>
                <w:rFonts w:cs="Arial"/>
                <w:color w:val="000000"/>
                <w:sz w:val="16"/>
                <w:szCs w:val="16"/>
              </w:rPr>
            </w:pPr>
            <w:r w:rsidRPr="0027745B">
              <w:rPr>
                <w:rFonts w:cs="Arial"/>
                <w:color w:val="000000"/>
                <w:sz w:val="16"/>
                <w:szCs w:val="16"/>
              </w:rPr>
              <w:t>938</w:t>
            </w:r>
          </w:p>
        </w:tc>
      </w:tr>
      <w:tr w:rsidR="005660B2" w:rsidRPr="00935C1E" w:rsidTr="009C4AA7">
        <w:tc>
          <w:tcPr>
            <w:tcW w:w="532" w:type="dxa"/>
            <w:tcBorders>
              <w:top w:val="nil"/>
              <w:left w:val="single" w:sz="4" w:space="0" w:color="auto"/>
              <w:bottom w:val="single" w:sz="4" w:space="0" w:color="auto"/>
              <w:right w:val="nil"/>
            </w:tcBorders>
            <w:shd w:val="clear" w:color="000000" w:fill="CCFFFF"/>
            <w:noWrap/>
            <w:vAlign w:val="bottom"/>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 </w:t>
            </w:r>
          </w:p>
        </w:tc>
        <w:tc>
          <w:tcPr>
            <w:tcW w:w="4293" w:type="dxa"/>
            <w:tcBorders>
              <w:top w:val="nil"/>
              <w:left w:val="nil"/>
              <w:bottom w:val="single" w:sz="4" w:space="0" w:color="auto"/>
              <w:right w:val="nil"/>
            </w:tcBorders>
            <w:shd w:val="clear" w:color="000000" w:fill="CCFFFF"/>
            <w:noWrap/>
            <w:vAlign w:val="center"/>
            <w:hideMark/>
          </w:tcPr>
          <w:p w:rsidR="005660B2" w:rsidRPr="0027745B" w:rsidRDefault="005660B2" w:rsidP="009C4AA7">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nil"/>
              <w:left w:val="nil"/>
              <w:bottom w:val="single" w:sz="4" w:space="0" w:color="auto"/>
              <w:right w:val="nil"/>
            </w:tcBorders>
            <w:shd w:val="clear" w:color="000000" w:fill="CCFFFF"/>
            <w:vAlign w:val="center"/>
            <w:hideMark/>
          </w:tcPr>
          <w:p w:rsidR="005660B2" w:rsidRPr="0027745B" w:rsidRDefault="005660B2" w:rsidP="009C4AA7">
            <w:pPr>
              <w:spacing w:before="120" w:after="120"/>
              <w:jc w:val="right"/>
              <w:rPr>
                <w:rFonts w:cs="Arial"/>
                <w:b/>
                <w:bCs/>
                <w:color w:val="000000"/>
                <w:sz w:val="16"/>
                <w:szCs w:val="16"/>
              </w:rPr>
            </w:pPr>
            <w:r w:rsidRPr="0027745B">
              <w:rPr>
                <w:rFonts w:cs="Arial"/>
                <w:b/>
                <w:bCs/>
                <w:color w:val="000000"/>
                <w:sz w:val="16"/>
                <w:szCs w:val="16"/>
              </w:rPr>
              <w:t>4,503</w:t>
            </w:r>
          </w:p>
        </w:tc>
        <w:tc>
          <w:tcPr>
            <w:tcW w:w="1512" w:type="dxa"/>
            <w:tcBorders>
              <w:top w:val="nil"/>
              <w:left w:val="nil"/>
              <w:bottom w:val="single" w:sz="4" w:space="0" w:color="auto"/>
              <w:right w:val="nil"/>
            </w:tcBorders>
            <w:shd w:val="clear" w:color="000000" w:fill="CCFFFF"/>
            <w:noWrap/>
            <w:vAlign w:val="center"/>
            <w:hideMark/>
          </w:tcPr>
          <w:p w:rsidR="005660B2" w:rsidRPr="0027745B" w:rsidRDefault="005660B2" w:rsidP="009C4AA7">
            <w:pPr>
              <w:spacing w:before="120" w:after="120"/>
              <w:jc w:val="right"/>
              <w:rPr>
                <w:rFonts w:cs="Arial"/>
                <w:b/>
                <w:bCs/>
                <w:color w:val="000000"/>
                <w:sz w:val="16"/>
                <w:szCs w:val="16"/>
              </w:rPr>
            </w:pPr>
            <w:r w:rsidRPr="0027745B">
              <w:rPr>
                <w:rFonts w:cs="Arial"/>
                <w:b/>
                <w:bCs/>
                <w:color w:val="000000"/>
                <w:sz w:val="16"/>
                <w:szCs w:val="16"/>
              </w:rPr>
              <w:t>4,316</w:t>
            </w:r>
          </w:p>
        </w:tc>
        <w:tc>
          <w:tcPr>
            <w:tcW w:w="1512" w:type="dxa"/>
            <w:tcBorders>
              <w:top w:val="nil"/>
              <w:left w:val="nil"/>
              <w:bottom w:val="single" w:sz="4" w:space="0" w:color="auto"/>
              <w:right w:val="single" w:sz="4" w:space="0" w:color="auto"/>
            </w:tcBorders>
            <w:shd w:val="clear" w:color="000000" w:fill="CCFFFF"/>
            <w:vAlign w:val="center"/>
            <w:hideMark/>
          </w:tcPr>
          <w:p w:rsidR="005660B2" w:rsidRPr="0027745B" w:rsidRDefault="005660B2" w:rsidP="009C4AA7">
            <w:pPr>
              <w:spacing w:before="120" w:after="120"/>
              <w:jc w:val="right"/>
              <w:rPr>
                <w:rFonts w:cs="Arial"/>
                <w:b/>
                <w:bCs/>
                <w:color w:val="000000"/>
                <w:sz w:val="16"/>
                <w:szCs w:val="16"/>
              </w:rPr>
            </w:pPr>
            <w:r w:rsidRPr="0027745B">
              <w:rPr>
                <w:rFonts w:cs="Arial"/>
                <w:b/>
                <w:bCs/>
                <w:color w:val="000000"/>
                <w:sz w:val="16"/>
                <w:szCs w:val="16"/>
              </w:rPr>
              <w:t>4,183</w:t>
            </w:r>
          </w:p>
        </w:tc>
      </w:tr>
    </w:tbl>
    <w:p w:rsidR="005660B2" w:rsidRDefault="005660B2" w:rsidP="005660B2"/>
    <w:p w:rsidR="005660B2" w:rsidRDefault="005660B2" w:rsidP="005660B2"/>
    <w:p w:rsidR="00FA28F8" w:rsidRDefault="00FA28F8">
      <w:pPr>
        <w:rPr>
          <w:rFonts w:eastAsiaTheme="minorEastAsia" w:cs="Arial"/>
          <w:color w:val="000000"/>
          <w:szCs w:val="20"/>
        </w:rPr>
      </w:pPr>
      <w:r>
        <w:rPr>
          <w:rFonts w:eastAsiaTheme="minorEastAsia" w:cs="Arial"/>
          <w:color w:val="000000"/>
          <w:szCs w:val="20"/>
        </w:rPr>
        <w:br w:type="page"/>
      </w:r>
    </w:p>
    <w:p w:rsidR="005660B2" w:rsidRPr="0027745B" w:rsidRDefault="005660B2" w:rsidP="005660B2">
      <w:pPr>
        <w:jc w:val="center"/>
        <w:rPr>
          <w:rFonts w:ascii="Times New Roman" w:eastAsiaTheme="minorEastAsia" w:hAnsi="Times New Roman"/>
          <w:szCs w:val="20"/>
        </w:rPr>
      </w:pPr>
      <w:r w:rsidRPr="0027745B">
        <w:rPr>
          <w:rFonts w:eastAsiaTheme="minorEastAsia" w:cs="Arial"/>
          <w:color w:val="000000"/>
          <w:szCs w:val="20"/>
        </w:rPr>
        <w:lastRenderedPageBreak/>
        <w:t xml:space="preserve">Budget and Actual Expenditure (personnel and non-personnel) </w:t>
      </w:r>
    </w:p>
    <w:p w:rsidR="005660B2" w:rsidRPr="0027745B" w:rsidRDefault="005660B2" w:rsidP="005660B2">
      <w:pPr>
        <w:jc w:val="center"/>
        <w:rPr>
          <w:rFonts w:ascii="Times New Roman" w:eastAsiaTheme="minorEastAsia" w:hAnsi="Times New Roman"/>
          <w:szCs w:val="20"/>
        </w:rPr>
      </w:pPr>
      <w:r w:rsidRPr="0027745B">
        <w:rPr>
          <w:rFonts w:eastAsiaTheme="minorEastAsia" w:cs="Arial"/>
          <w:i/>
          <w:iCs/>
          <w:color w:val="000000"/>
          <w:szCs w:val="20"/>
        </w:rPr>
        <w:t>(</w:t>
      </w:r>
      <w:proofErr w:type="gramStart"/>
      <w:r w:rsidRPr="0027745B">
        <w:rPr>
          <w:rFonts w:eastAsiaTheme="minorEastAsia" w:cs="Arial"/>
          <w:i/>
          <w:iCs/>
          <w:color w:val="000000"/>
          <w:szCs w:val="20"/>
        </w:rPr>
        <w:t>in</w:t>
      </w:r>
      <w:proofErr w:type="gramEnd"/>
      <w:r w:rsidRPr="0027745B">
        <w:rPr>
          <w:rFonts w:eastAsiaTheme="minorEastAsia" w:cs="Arial"/>
          <w:i/>
          <w:iCs/>
          <w:color w:val="000000"/>
          <w:szCs w:val="20"/>
        </w:rPr>
        <w:t xml:space="preserve"> thousands of Swiss francs)</w:t>
      </w:r>
    </w:p>
    <w:p w:rsidR="005660B2" w:rsidRDefault="005660B2" w:rsidP="005660B2"/>
    <w:tbl>
      <w:tblPr>
        <w:tblW w:w="9371" w:type="dxa"/>
        <w:tblInd w:w="93" w:type="dxa"/>
        <w:tblLook w:val="04A0" w:firstRow="1" w:lastRow="0" w:firstColumn="1" w:lastColumn="0" w:noHBand="0" w:noVBand="1"/>
      </w:tblPr>
      <w:tblGrid>
        <w:gridCol w:w="2425"/>
        <w:gridCol w:w="1736"/>
        <w:gridCol w:w="1737"/>
        <w:gridCol w:w="1736"/>
        <w:gridCol w:w="1737"/>
      </w:tblGrid>
      <w:tr w:rsidR="005660B2" w:rsidRPr="009C4AA7" w:rsidTr="0068151C">
        <w:trPr>
          <w:trHeight w:val="452"/>
        </w:trPr>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9C4AA7" w:rsidRDefault="005660B2" w:rsidP="009C4AA7">
            <w:pPr>
              <w:spacing w:before="120" w:after="120"/>
              <w:rPr>
                <w:rFonts w:cs="Arial"/>
                <w:color w:val="000000"/>
                <w:sz w:val="16"/>
                <w:szCs w:val="16"/>
              </w:rPr>
            </w:pPr>
            <w:r w:rsidRPr="009C4AA7">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5660B2" w:rsidRPr="009C4AA7" w:rsidRDefault="005660B2" w:rsidP="009C4AA7">
            <w:pPr>
              <w:spacing w:before="120" w:after="120"/>
              <w:jc w:val="center"/>
              <w:rPr>
                <w:rFonts w:cs="Arial"/>
                <w:bCs/>
                <w:color w:val="000000"/>
                <w:sz w:val="16"/>
                <w:szCs w:val="16"/>
              </w:rPr>
            </w:pPr>
            <w:r w:rsidRPr="009C4AA7">
              <w:rPr>
                <w:rFonts w:cs="Arial"/>
                <w:bCs/>
                <w:color w:val="000000"/>
                <w:sz w:val="16"/>
                <w:szCs w:val="16"/>
              </w:rPr>
              <w:t>Utilization rate (%)</w:t>
            </w:r>
          </w:p>
        </w:tc>
      </w:tr>
      <w:tr w:rsidR="005660B2" w:rsidRPr="00935C1E" w:rsidTr="0068151C">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9C4AA7">
            <w:pPr>
              <w:spacing w:before="120" w:after="120"/>
              <w:rPr>
                <w:rFonts w:cs="Arial"/>
                <w:color w:val="000000"/>
                <w:sz w:val="16"/>
                <w:szCs w:val="16"/>
              </w:rPr>
            </w:pPr>
            <w:r w:rsidRPr="0027745B">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2,998</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3,061</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3,061</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100%</w:t>
            </w:r>
          </w:p>
        </w:tc>
      </w:tr>
      <w:tr w:rsidR="005660B2" w:rsidRPr="00935C1E" w:rsidTr="0068151C">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9C4AA7">
            <w:pPr>
              <w:spacing w:before="120" w:after="120"/>
              <w:rPr>
                <w:rFonts w:cs="Arial"/>
                <w:color w:val="000000"/>
                <w:sz w:val="16"/>
                <w:szCs w:val="16"/>
              </w:rPr>
            </w:pPr>
            <w:r w:rsidRPr="0027745B">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1,505</w:t>
            </w:r>
          </w:p>
        </w:tc>
        <w:tc>
          <w:tcPr>
            <w:tcW w:w="1737"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1,255</w:t>
            </w:r>
          </w:p>
        </w:tc>
        <w:tc>
          <w:tcPr>
            <w:tcW w:w="173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1,121</w:t>
            </w:r>
          </w:p>
        </w:tc>
        <w:tc>
          <w:tcPr>
            <w:tcW w:w="1737"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color w:val="000000"/>
                <w:sz w:val="16"/>
                <w:szCs w:val="16"/>
              </w:rPr>
            </w:pPr>
            <w:r w:rsidRPr="0027745B">
              <w:rPr>
                <w:rFonts w:cs="Arial"/>
                <w:color w:val="000000"/>
                <w:sz w:val="16"/>
                <w:szCs w:val="16"/>
              </w:rPr>
              <w:t>89%</w:t>
            </w:r>
          </w:p>
        </w:tc>
      </w:tr>
      <w:tr w:rsidR="005660B2" w:rsidRPr="00935C1E" w:rsidTr="0068151C">
        <w:trPr>
          <w:trHeight w:val="495"/>
        </w:trPr>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9C4AA7">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4,503</w:t>
            </w:r>
          </w:p>
        </w:tc>
        <w:tc>
          <w:tcPr>
            <w:tcW w:w="1737"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4,316</w:t>
            </w:r>
          </w:p>
        </w:tc>
        <w:tc>
          <w:tcPr>
            <w:tcW w:w="173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4,183</w:t>
            </w:r>
          </w:p>
        </w:tc>
        <w:tc>
          <w:tcPr>
            <w:tcW w:w="1737"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9C4AA7">
            <w:pPr>
              <w:spacing w:before="120" w:after="120"/>
              <w:jc w:val="center"/>
              <w:rPr>
                <w:rFonts w:cs="Arial"/>
                <w:b/>
                <w:bCs/>
                <w:color w:val="000000"/>
                <w:sz w:val="16"/>
                <w:szCs w:val="16"/>
              </w:rPr>
            </w:pPr>
            <w:r w:rsidRPr="0027745B">
              <w:rPr>
                <w:rFonts w:cs="Arial"/>
                <w:b/>
                <w:bCs/>
                <w:color w:val="000000"/>
                <w:sz w:val="16"/>
                <w:szCs w:val="16"/>
              </w:rPr>
              <w:t>97%</w:t>
            </w:r>
          </w:p>
        </w:tc>
      </w:tr>
    </w:tbl>
    <w:p w:rsidR="005660B2" w:rsidRDefault="005660B2" w:rsidP="005660B2"/>
    <w:p w:rsidR="005660B2" w:rsidRDefault="005660B2" w:rsidP="005660B2">
      <w:pPr>
        <w:keepNext/>
        <w:autoSpaceDE w:val="0"/>
        <w:autoSpaceDN w:val="0"/>
        <w:rPr>
          <w:sz w:val="16"/>
          <w:szCs w:val="16"/>
        </w:rPr>
      </w:pPr>
      <w:r>
        <w:rPr>
          <w:sz w:val="16"/>
          <w:szCs w:val="16"/>
        </w:rPr>
        <w:t>NOTES:</w:t>
      </w:r>
    </w:p>
    <w:p w:rsidR="005660B2" w:rsidRDefault="005660B2" w:rsidP="005660B2">
      <w:pPr>
        <w:keepNext/>
        <w:autoSpaceDE w:val="0"/>
        <w:autoSpaceDN w:val="0"/>
        <w:rPr>
          <w:sz w:val="16"/>
          <w:szCs w:val="16"/>
        </w:rPr>
      </w:pPr>
    </w:p>
    <w:p w:rsidR="005660B2" w:rsidRDefault="005660B2" w:rsidP="005660B2">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5660B2" w:rsidRDefault="005660B2" w:rsidP="005660B2">
      <w:pPr>
        <w:keepNext/>
        <w:autoSpaceDE w:val="0"/>
        <w:autoSpaceDN w:val="0"/>
        <w:rPr>
          <w:sz w:val="16"/>
          <w:szCs w:val="16"/>
        </w:rPr>
      </w:pPr>
    </w:p>
    <w:p w:rsidR="005660B2" w:rsidRDefault="00DC2CFA" w:rsidP="005660B2">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5660B2">
        <w:rPr>
          <w:sz w:val="16"/>
          <w:szCs w:val="16"/>
        </w:rPr>
        <w:t xml:space="preserve"> </w:t>
      </w:r>
    </w:p>
    <w:p w:rsidR="005660B2" w:rsidRDefault="005660B2" w:rsidP="005660B2">
      <w:pPr>
        <w:autoSpaceDE w:val="0"/>
        <w:autoSpaceDN w:val="0"/>
        <w:adjustRightInd w:val="0"/>
        <w:rPr>
          <w:rFonts w:cs="Arial"/>
          <w:sz w:val="19"/>
          <w:szCs w:val="19"/>
        </w:rPr>
      </w:pPr>
    </w:p>
    <w:p w:rsidR="005660B2" w:rsidRDefault="005660B2" w:rsidP="005660B2">
      <w:pPr>
        <w:autoSpaceDE w:val="0"/>
        <w:autoSpaceDN w:val="0"/>
        <w:adjustRightInd w:val="0"/>
        <w:rPr>
          <w:rFonts w:cs="Arial"/>
          <w:sz w:val="19"/>
          <w:szCs w:val="19"/>
        </w:rPr>
      </w:pPr>
    </w:p>
    <w:p w:rsidR="005660B2" w:rsidRPr="009C4AA7" w:rsidRDefault="005660B2" w:rsidP="00CD26D6">
      <w:pPr>
        <w:tabs>
          <w:tab w:val="left" w:pos="709"/>
        </w:tabs>
        <w:autoSpaceDE w:val="0"/>
        <w:autoSpaceDN w:val="0"/>
        <w:adjustRightInd w:val="0"/>
        <w:rPr>
          <w:rFonts w:cs="Arial"/>
          <w:szCs w:val="20"/>
        </w:rPr>
      </w:pPr>
      <w:r w:rsidRPr="009C4AA7">
        <w:rPr>
          <w:rFonts w:cs="Arial"/>
          <w:szCs w:val="20"/>
        </w:rPr>
        <w:t xml:space="preserve">A. </w:t>
      </w:r>
      <w:r w:rsidRPr="009C4AA7">
        <w:rPr>
          <w:rFonts w:cs="Arial"/>
          <w:szCs w:val="20"/>
        </w:rPr>
        <w:tab/>
      </w:r>
      <w:r w:rsidRPr="009C4AA7">
        <w:rPr>
          <w:rFonts w:cs="Arial"/>
          <w:szCs w:val="20"/>
          <w:u w:val="single"/>
        </w:rPr>
        <w:t>Budget after Transfers 2012/13</w:t>
      </w:r>
    </w:p>
    <w:p w:rsidR="005660B2" w:rsidRPr="009C4AA7" w:rsidRDefault="005660B2" w:rsidP="005660B2">
      <w:pPr>
        <w:autoSpaceDE w:val="0"/>
        <w:autoSpaceDN w:val="0"/>
        <w:adjustRightInd w:val="0"/>
        <w:jc w:val="both"/>
        <w:rPr>
          <w:rFonts w:cs="Arial"/>
          <w:szCs w:val="20"/>
        </w:rPr>
      </w:pPr>
    </w:p>
    <w:p w:rsidR="005660B2" w:rsidRPr="009C4AA7" w:rsidRDefault="005660B2" w:rsidP="005660B2">
      <w:pPr>
        <w:keepNext/>
        <w:tabs>
          <w:tab w:val="left" w:pos="709"/>
        </w:tabs>
        <w:autoSpaceDE w:val="0"/>
        <w:autoSpaceDN w:val="0"/>
        <w:jc w:val="both"/>
        <w:rPr>
          <w:szCs w:val="20"/>
        </w:rPr>
      </w:pPr>
      <w:r w:rsidRPr="009C4AA7">
        <w:rPr>
          <w:rFonts w:cs="Arial"/>
          <w:szCs w:val="20"/>
        </w:rPr>
        <w:t xml:space="preserve">13.5. </w:t>
      </w:r>
      <w:r w:rsidRPr="009C4AA7">
        <w:rPr>
          <w:rFonts w:cs="Arial"/>
          <w:szCs w:val="20"/>
        </w:rPr>
        <w:tab/>
      </w:r>
      <w:r w:rsidRPr="009C4AA7">
        <w:rPr>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5660B2" w:rsidRPr="009C4AA7" w:rsidRDefault="005660B2" w:rsidP="005660B2">
      <w:pPr>
        <w:keepNext/>
        <w:autoSpaceDE w:val="0"/>
        <w:autoSpaceDN w:val="0"/>
        <w:jc w:val="both"/>
        <w:rPr>
          <w:szCs w:val="20"/>
        </w:rPr>
      </w:pPr>
    </w:p>
    <w:p w:rsidR="005660B2" w:rsidRPr="009C4AA7" w:rsidRDefault="005660B2" w:rsidP="009C4AA7">
      <w:pPr>
        <w:tabs>
          <w:tab w:val="left" w:pos="709"/>
        </w:tabs>
        <w:autoSpaceDE w:val="0"/>
        <w:autoSpaceDN w:val="0"/>
        <w:adjustRightInd w:val="0"/>
        <w:jc w:val="both"/>
        <w:rPr>
          <w:rFonts w:cs="Arial"/>
          <w:szCs w:val="20"/>
        </w:rPr>
      </w:pPr>
      <w:r w:rsidRPr="009C4AA7">
        <w:rPr>
          <w:rFonts w:cs="Arial"/>
          <w:szCs w:val="20"/>
        </w:rPr>
        <w:t>13.6</w:t>
      </w:r>
      <w:r w:rsidRPr="009C4AA7">
        <w:rPr>
          <w:rFonts w:cs="Arial"/>
          <w:szCs w:val="20"/>
        </w:rPr>
        <w:tab/>
        <w:t>The adjustments across Results reflect the more appropriate recognition of the specific activities under the respective Results. Increase in resources under Result IV.2 (Enhanced access to, and use of, IP</w:t>
      </w:r>
      <w:r w:rsidR="009C4AA7" w:rsidRPr="009C4AA7">
        <w:rPr>
          <w:rFonts w:cs="Arial"/>
          <w:szCs w:val="20"/>
        </w:rPr>
        <w:t xml:space="preserve"> </w:t>
      </w:r>
      <w:r w:rsidRPr="009C4AA7">
        <w:rPr>
          <w:rFonts w:cs="Arial"/>
          <w:szCs w:val="20"/>
        </w:rPr>
        <w:t>information and knowledge) was due to the reassignment of certain activities from Result IV.3</w:t>
      </w:r>
    </w:p>
    <w:p w:rsidR="005660B2" w:rsidRPr="009C4AA7" w:rsidRDefault="005660B2" w:rsidP="005660B2">
      <w:pPr>
        <w:autoSpaceDE w:val="0"/>
        <w:autoSpaceDN w:val="0"/>
        <w:adjustRightInd w:val="0"/>
        <w:jc w:val="both"/>
        <w:rPr>
          <w:rFonts w:cs="Arial"/>
          <w:szCs w:val="20"/>
        </w:rPr>
      </w:pPr>
      <w:proofErr w:type="gramStart"/>
      <w:r w:rsidRPr="009C4AA7">
        <w:rPr>
          <w:rFonts w:cs="Arial"/>
          <w:szCs w:val="20"/>
        </w:rPr>
        <w:t>(Dissemination of patent collections) to Result IV.4 (Timeliness of PATENTSCOPE updates).</w:t>
      </w:r>
      <w:proofErr w:type="gramEnd"/>
    </w:p>
    <w:p w:rsidR="005660B2" w:rsidRPr="009C4AA7" w:rsidRDefault="005660B2" w:rsidP="005660B2">
      <w:pPr>
        <w:autoSpaceDE w:val="0"/>
        <w:autoSpaceDN w:val="0"/>
        <w:adjustRightInd w:val="0"/>
        <w:jc w:val="both"/>
        <w:rPr>
          <w:rFonts w:cs="Arial"/>
          <w:szCs w:val="20"/>
        </w:rPr>
      </w:pPr>
    </w:p>
    <w:p w:rsidR="005660B2" w:rsidRPr="009C4AA7" w:rsidRDefault="005660B2" w:rsidP="00D44A34">
      <w:pPr>
        <w:tabs>
          <w:tab w:val="left" w:pos="709"/>
        </w:tabs>
        <w:autoSpaceDE w:val="0"/>
        <w:autoSpaceDN w:val="0"/>
        <w:adjustRightInd w:val="0"/>
        <w:jc w:val="both"/>
        <w:rPr>
          <w:rFonts w:cs="Arial"/>
          <w:szCs w:val="20"/>
        </w:rPr>
      </w:pPr>
      <w:r w:rsidRPr="009C4AA7">
        <w:rPr>
          <w:rFonts w:cs="Arial"/>
          <w:szCs w:val="20"/>
        </w:rPr>
        <w:t xml:space="preserve">B. </w:t>
      </w:r>
      <w:r w:rsidRPr="009C4AA7">
        <w:rPr>
          <w:rFonts w:cs="Arial"/>
          <w:szCs w:val="20"/>
        </w:rPr>
        <w:tab/>
      </w:r>
      <w:r w:rsidR="00D44A34">
        <w:rPr>
          <w:rFonts w:cs="Arial"/>
          <w:szCs w:val="20"/>
          <w:u w:val="single"/>
        </w:rPr>
        <w:t>Budget U</w:t>
      </w:r>
      <w:r w:rsidRPr="009C4AA7">
        <w:rPr>
          <w:rFonts w:cs="Arial"/>
          <w:szCs w:val="20"/>
          <w:u w:val="single"/>
        </w:rPr>
        <w:t>tilization 2012/13</w:t>
      </w:r>
    </w:p>
    <w:p w:rsidR="005660B2" w:rsidRPr="009C4AA7" w:rsidRDefault="005660B2" w:rsidP="00D44A34">
      <w:pPr>
        <w:tabs>
          <w:tab w:val="left" w:pos="709"/>
        </w:tabs>
        <w:autoSpaceDE w:val="0"/>
        <w:autoSpaceDN w:val="0"/>
        <w:adjustRightInd w:val="0"/>
        <w:jc w:val="both"/>
        <w:rPr>
          <w:rFonts w:cs="Arial"/>
          <w:szCs w:val="20"/>
        </w:rPr>
      </w:pPr>
    </w:p>
    <w:p w:rsidR="005660B2" w:rsidRPr="009C4AA7" w:rsidRDefault="005660B2" w:rsidP="00D44A34">
      <w:pPr>
        <w:tabs>
          <w:tab w:val="left" w:pos="709"/>
        </w:tabs>
        <w:autoSpaceDE w:val="0"/>
        <w:autoSpaceDN w:val="0"/>
        <w:adjustRightInd w:val="0"/>
        <w:jc w:val="both"/>
        <w:rPr>
          <w:rFonts w:cs="Arial"/>
          <w:szCs w:val="20"/>
        </w:rPr>
      </w:pPr>
      <w:r w:rsidRPr="009C4AA7">
        <w:rPr>
          <w:rFonts w:cs="Arial"/>
          <w:szCs w:val="20"/>
        </w:rPr>
        <w:t>13.7</w:t>
      </w:r>
      <w:r w:rsidR="00D44A34">
        <w:rPr>
          <w:rFonts w:cs="Arial"/>
          <w:szCs w:val="20"/>
        </w:rPr>
        <w:t>.</w:t>
      </w:r>
      <w:r w:rsidR="00D44A34">
        <w:rPr>
          <w:rFonts w:cs="Arial"/>
          <w:szCs w:val="20"/>
        </w:rPr>
        <w:tab/>
      </w:r>
      <w:r w:rsidRPr="009C4AA7">
        <w:rPr>
          <w:rFonts w:cs="Arial"/>
          <w:szCs w:val="20"/>
        </w:rPr>
        <w:t xml:space="preserve">Non-personnel budget utilization was slightly lower than expected primarily due to lower than expected expenditure on database servers, which were procured centrally by Program 25. </w:t>
      </w:r>
    </w:p>
    <w:p w:rsidR="005660B2" w:rsidRDefault="005660B2">
      <w:r>
        <w:br w:type="page"/>
      </w:r>
    </w:p>
    <w:p w:rsidR="005660B2" w:rsidRPr="00305272" w:rsidRDefault="00305272" w:rsidP="00305272">
      <w:pPr>
        <w:pStyle w:val="Heading3"/>
      </w:pPr>
      <w:bookmarkStart w:id="40" w:name="_Toc393956060"/>
      <w:r w:rsidRPr="00305272">
        <w:lastRenderedPageBreak/>
        <w:t>Program 14</w:t>
      </w:r>
      <w:r w:rsidRPr="00305272">
        <w:tab/>
        <w:t>Services for Access to Information and Knowledge</w:t>
      </w:r>
      <w:bookmarkEnd w:id="40"/>
    </w:p>
    <w:p w:rsidR="005660B2" w:rsidRPr="002D3C7F" w:rsidRDefault="005660B2" w:rsidP="005660B2">
      <w:pPr>
        <w:ind w:left="2268" w:hanging="2268"/>
        <w:rPr>
          <w:rFonts w:cs="Arial"/>
          <w:sz w:val="22"/>
          <w:szCs w:val="22"/>
        </w:rPr>
      </w:pPr>
    </w:p>
    <w:p w:rsidR="005660B2" w:rsidRPr="002D3C7F" w:rsidRDefault="005660B2" w:rsidP="005660B2">
      <w:pPr>
        <w:ind w:left="2268" w:hanging="2268"/>
        <w:rPr>
          <w:rFonts w:cs="Arial"/>
          <w:b/>
          <w:sz w:val="22"/>
          <w:szCs w:val="22"/>
        </w:rPr>
      </w:pPr>
      <w:r w:rsidRPr="002D3C7F">
        <w:rPr>
          <w:rFonts w:cs="Arial"/>
          <w:b/>
          <w:sz w:val="22"/>
          <w:szCs w:val="22"/>
        </w:rPr>
        <w:t>Program Manager</w:t>
      </w:r>
      <w:r w:rsidRPr="002D3C7F">
        <w:rPr>
          <w:rFonts w:cs="Arial"/>
          <w:b/>
          <w:sz w:val="22"/>
          <w:szCs w:val="22"/>
        </w:rPr>
        <w:tab/>
      </w:r>
      <w:r w:rsidRPr="002D3C7F">
        <w:rPr>
          <w:rFonts w:cs="Arial"/>
          <w:b/>
          <w:sz w:val="22"/>
          <w:szCs w:val="22"/>
        </w:rPr>
        <w:tab/>
      </w:r>
      <w:r w:rsidRPr="002D3C7F">
        <w:rPr>
          <w:rFonts w:cs="Arial"/>
          <w:b/>
          <w:bCs/>
          <w:sz w:val="22"/>
          <w:szCs w:val="22"/>
        </w:rPr>
        <w:t>Mr. Y. Takagi</w:t>
      </w:r>
    </w:p>
    <w:p w:rsidR="005660B2" w:rsidRPr="002D3C7F" w:rsidRDefault="005660B2" w:rsidP="005660B2">
      <w:pPr>
        <w:ind w:left="2268" w:hanging="2268"/>
        <w:rPr>
          <w:sz w:val="22"/>
          <w:szCs w:val="22"/>
        </w:rPr>
      </w:pPr>
    </w:p>
    <w:p w:rsidR="005660B2" w:rsidRPr="002D3C7F" w:rsidRDefault="005660B2" w:rsidP="005660B2">
      <w:pPr>
        <w:ind w:left="2268" w:hanging="2268"/>
        <w:rPr>
          <w:bCs/>
          <w:sz w:val="22"/>
          <w:szCs w:val="22"/>
        </w:rPr>
      </w:pPr>
    </w:p>
    <w:p w:rsidR="005660B2" w:rsidRPr="002D3C7F" w:rsidRDefault="005660B2" w:rsidP="005660B2">
      <w:pPr>
        <w:ind w:left="2268" w:hanging="2268"/>
        <w:jc w:val="both"/>
        <w:rPr>
          <w:bCs/>
          <w:sz w:val="22"/>
          <w:szCs w:val="22"/>
        </w:rPr>
      </w:pPr>
      <w:r>
        <w:rPr>
          <w:bCs/>
          <w:sz w:val="22"/>
          <w:szCs w:val="22"/>
        </w:rPr>
        <w:t>ACHIEVEMENTS IN THE 2012/</w:t>
      </w:r>
      <w:r w:rsidRPr="002D3C7F">
        <w:rPr>
          <w:bCs/>
          <w:sz w:val="22"/>
          <w:szCs w:val="22"/>
        </w:rPr>
        <w:t xml:space="preserve"> 201</w:t>
      </w:r>
      <w:r>
        <w:rPr>
          <w:bCs/>
          <w:sz w:val="22"/>
          <w:szCs w:val="22"/>
        </w:rPr>
        <w:t>3 BIENNIUM</w:t>
      </w:r>
    </w:p>
    <w:p w:rsidR="005660B2" w:rsidRDefault="005660B2" w:rsidP="005660B2">
      <w:pPr>
        <w:keepNext/>
        <w:keepLines/>
        <w:jc w:val="both"/>
        <w:rPr>
          <w:rFonts w:cs="Arial"/>
          <w:sz w:val="22"/>
          <w:szCs w:val="22"/>
        </w:rPr>
      </w:pPr>
    </w:p>
    <w:p w:rsidR="005660B2" w:rsidRPr="00CA3F49" w:rsidRDefault="005660B2" w:rsidP="005660B2">
      <w:pPr>
        <w:pStyle w:val="Style1"/>
        <w:numPr>
          <w:ilvl w:val="0"/>
          <w:numId w:val="0"/>
        </w:numPr>
        <w:tabs>
          <w:tab w:val="left" w:pos="709"/>
        </w:tabs>
        <w:jc w:val="both"/>
        <w:rPr>
          <w:rFonts w:cs="Arial"/>
          <w:bCs/>
          <w:sz w:val="22"/>
          <w:szCs w:val="22"/>
        </w:rPr>
      </w:pPr>
      <w:r>
        <w:t>14.1.</w:t>
      </w:r>
      <w:r>
        <w:tab/>
        <w:t>The biennium 2012/13 brought the number of Member States</w:t>
      </w:r>
      <w:r w:rsidR="00FA28F8">
        <w:t xml:space="preserve"> that</w:t>
      </w:r>
      <w:r>
        <w:t xml:space="preserve"> have established </w:t>
      </w:r>
      <w:r w:rsidRPr="00222121">
        <w:t xml:space="preserve">Technology and Innovation Support Centers (TISCs) </w:t>
      </w:r>
      <w:r>
        <w:t>in their countries to a total of 39.  A</w:t>
      </w:r>
      <w:r w:rsidRPr="00222121">
        <w:rPr>
          <w:bCs/>
        </w:rPr>
        <w:t xml:space="preserve"> total of </w:t>
      </w:r>
      <w:r>
        <w:rPr>
          <w:bCs/>
        </w:rPr>
        <w:t>55</w:t>
      </w:r>
      <w:r w:rsidRPr="00222121">
        <w:rPr>
          <w:bCs/>
        </w:rPr>
        <w:t xml:space="preserve"> national training events </w:t>
      </w:r>
      <w:r>
        <w:rPr>
          <w:bCs/>
        </w:rPr>
        <w:t xml:space="preserve">and eight regional conferences for TISC staff </w:t>
      </w:r>
      <w:r w:rsidRPr="00222121">
        <w:rPr>
          <w:bCs/>
        </w:rPr>
        <w:t>were carried out</w:t>
      </w:r>
      <w:r>
        <w:rPr>
          <w:bCs/>
        </w:rPr>
        <w:t xml:space="preserve"> during the biennium.</w:t>
      </w:r>
    </w:p>
    <w:p w:rsidR="005660B2" w:rsidRDefault="005660B2" w:rsidP="005660B2">
      <w:pPr>
        <w:pStyle w:val="Style1"/>
        <w:numPr>
          <w:ilvl w:val="0"/>
          <w:numId w:val="0"/>
        </w:numPr>
        <w:tabs>
          <w:tab w:val="left" w:pos="709"/>
        </w:tabs>
        <w:jc w:val="both"/>
      </w:pPr>
    </w:p>
    <w:p w:rsidR="005660B2" w:rsidRDefault="005660B2" w:rsidP="005660B2">
      <w:pPr>
        <w:pStyle w:val="Style1"/>
        <w:numPr>
          <w:ilvl w:val="0"/>
          <w:numId w:val="0"/>
        </w:numPr>
        <w:tabs>
          <w:tab w:val="left" w:pos="709"/>
        </w:tabs>
        <w:jc w:val="both"/>
      </w:pPr>
      <w:r>
        <w:t>14.2.</w:t>
      </w:r>
      <w:r>
        <w:tab/>
        <w:t>The Program focused on reinforcing the long-term sustainability of the networks through a structured program of capacity building at the local level, including onsite awareness</w:t>
      </w:r>
      <w:r w:rsidR="00FC59CA">
        <w:noBreakHyphen/>
      </w:r>
      <w:r>
        <w:t xml:space="preserve">raising and training events, additional training-of-trainers and project planning sessions, and development of new training materials. </w:t>
      </w:r>
    </w:p>
    <w:p w:rsidR="005660B2" w:rsidRPr="005F34C0" w:rsidRDefault="005660B2" w:rsidP="005660B2">
      <w:pPr>
        <w:pStyle w:val="Style1"/>
        <w:numPr>
          <w:ilvl w:val="0"/>
          <w:numId w:val="0"/>
        </w:numPr>
        <w:tabs>
          <w:tab w:val="left" w:pos="709"/>
        </w:tabs>
        <w:jc w:val="both"/>
      </w:pPr>
      <w:r>
        <w:t xml:space="preserve"> </w:t>
      </w:r>
    </w:p>
    <w:p w:rsidR="005660B2" w:rsidRDefault="005660B2" w:rsidP="005660B2">
      <w:pPr>
        <w:pStyle w:val="Style1"/>
        <w:numPr>
          <w:ilvl w:val="0"/>
          <w:numId w:val="0"/>
        </w:numPr>
        <w:tabs>
          <w:tab w:val="left" w:pos="709"/>
        </w:tabs>
        <w:jc w:val="both"/>
      </w:pPr>
      <w:r>
        <w:t>14.3.</w:t>
      </w:r>
      <w:r>
        <w:tab/>
        <w:t>The development of online networks through the “eTISC” knowledge management and social media platform</w:t>
      </w:r>
      <w:r w:rsidRPr="00153D80">
        <w:rPr>
          <w:vertAlign w:val="superscript"/>
        </w:rPr>
        <w:footnoteReference w:id="25"/>
      </w:r>
      <w:r>
        <w:t xml:space="preserve">, launched at the end of 2012, further encouraged the online exchange of experiences and best practices with nearly 700 users registered by the end of 2013.  The first six webinars, reproducing the onsite training presentations and including live question-and-answer sessions, started in mid-2013, and the Program is being rapidly expanded.  A regional approach to developing TISC networks in cooperation with intergovernmental organizations in Africa (ARIPO and OAPI), Asia (ASEAN) and the Arab countries (Organization of Islamic Cooperation) was also started in 2013. </w:t>
      </w:r>
    </w:p>
    <w:p w:rsidR="005660B2" w:rsidRDefault="005660B2" w:rsidP="005660B2">
      <w:pPr>
        <w:pStyle w:val="Style1"/>
        <w:numPr>
          <w:ilvl w:val="0"/>
          <w:numId w:val="0"/>
        </w:numPr>
        <w:tabs>
          <w:tab w:val="left" w:pos="709"/>
        </w:tabs>
        <w:jc w:val="both"/>
      </w:pPr>
    </w:p>
    <w:p w:rsidR="005660B2" w:rsidRPr="005F34C0" w:rsidRDefault="005660B2" w:rsidP="005660B2">
      <w:pPr>
        <w:pStyle w:val="Style1"/>
        <w:numPr>
          <w:ilvl w:val="0"/>
          <w:numId w:val="0"/>
        </w:numPr>
        <w:tabs>
          <w:tab w:val="left" w:pos="709"/>
        </w:tabs>
        <w:jc w:val="both"/>
      </w:pPr>
      <w:r>
        <w:t>14.4.</w:t>
      </w:r>
      <w:r>
        <w:tab/>
        <w:t xml:space="preserve">An interactive e-Tutorial on using and exploiting patent information was launched at the end of 2012. </w:t>
      </w:r>
      <w:r w:rsidR="00FC59CA">
        <w:t xml:space="preserve"> </w:t>
      </w:r>
      <w:r>
        <w:t>The tutorial is available both on CD-ROM and online</w:t>
      </w:r>
      <w:r w:rsidRPr="00B91745">
        <w:rPr>
          <w:vertAlign w:val="superscript"/>
        </w:rPr>
        <w:footnoteReference w:id="26"/>
      </w:r>
      <w:r>
        <w:t xml:space="preserve"> and comprises sections on Patent Basics, Patent Search and Retrieval, and Patent Analysis.  The initial English language version was followed by a French version</w:t>
      </w:r>
      <w:r w:rsidRPr="00B91745">
        <w:rPr>
          <w:vertAlign w:val="superscript"/>
        </w:rPr>
        <w:footnoteReference w:id="27"/>
      </w:r>
      <w:r>
        <w:t xml:space="preserve"> launched at the end of 2013. </w:t>
      </w:r>
    </w:p>
    <w:p w:rsidR="005660B2" w:rsidRPr="005F34C0" w:rsidRDefault="005660B2" w:rsidP="005660B2">
      <w:pPr>
        <w:pStyle w:val="Style1"/>
        <w:numPr>
          <w:ilvl w:val="0"/>
          <w:numId w:val="0"/>
        </w:numPr>
        <w:tabs>
          <w:tab w:val="left" w:pos="709"/>
        </w:tabs>
        <w:jc w:val="both"/>
      </w:pPr>
    </w:p>
    <w:p w:rsidR="005660B2" w:rsidRPr="005F34C0" w:rsidRDefault="005660B2" w:rsidP="005660B2">
      <w:pPr>
        <w:pStyle w:val="Style1"/>
        <w:numPr>
          <w:ilvl w:val="0"/>
          <w:numId w:val="0"/>
        </w:numPr>
        <w:tabs>
          <w:tab w:val="left" w:pos="709"/>
        </w:tabs>
        <w:jc w:val="both"/>
      </w:pPr>
      <w:r>
        <w:t>14.5.</w:t>
      </w:r>
      <w:r>
        <w:tab/>
      </w:r>
      <w:r w:rsidRPr="005F34C0">
        <w:t xml:space="preserve">The volume of accessible content of </w:t>
      </w:r>
      <w:r>
        <w:t>scientific and technical journals</w:t>
      </w:r>
      <w:r w:rsidRPr="005F34C0">
        <w:t xml:space="preserve"> in the </w:t>
      </w:r>
      <w:r>
        <w:t xml:space="preserve">Access to Research for Development and Innovation (ARDI) program increased dramatically during the biennium from </w:t>
      </w:r>
      <w:r w:rsidR="00FC59CA">
        <w:t>250 </w:t>
      </w:r>
      <w:r>
        <w:t xml:space="preserve">journals in 2012 to 13,000 journals and 22,000 e-books in 2013 with over 250 </w:t>
      </w:r>
      <w:r w:rsidRPr="005F34C0">
        <w:t xml:space="preserve">institutional users registered. </w:t>
      </w:r>
      <w:r w:rsidR="00FC59CA">
        <w:t xml:space="preserve"> </w:t>
      </w:r>
      <w:r w:rsidRPr="005F34C0">
        <w:t xml:space="preserve">The number of registered active users of the </w:t>
      </w:r>
      <w:r>
        <w:t>Access to Specialized Patent Information (ASPI) program, which facilitates access to specialized commercial patent databases, also continued to rise steadily, albeit at a more modest level to 20 active institutional users.</w:t>
      </w:r>
      <w:r w:rsidRPr="005F34C0">
        <w:t xml:space="preserve">   </w:t>
      </w:r>
    </w:p>
    <w:p w:rsidR="005660B2" w:rsidRPr="00A63E34" w:rsidRDefault="005660B2" w:rsidP="005660B2">
      <w:pPr>
        <w:tabs>
          <w:tab w:val="left" w:pos="709"/>
        </w:tabs>
        <w:jc w:val="both"/>
        <w:rPr>
          <w:rFonts w:cs="Arial"/>
          <w:sz w:val="22"/>
          <w:szCs w:val="22"/>
        </w:rPr>
      </w:pPr>
    </w:p>
    <w:p w:rsidR="005660B2" w:rsidRDefault="005660B2" w:rsidP="005660B2">
      <w:pPr>
        <w:tabs>
          <w:tab w:val="left" w:pos="709"/>
        </w:tabs>
        <w:jc w:val="both"/>
      </w:pPr>
      <w:r>
        <w:t>14.6.</w:t>
      </w:r>
      <w:r>
        <w:tab/>
        <w:t xml:space="preserve">For over 30 years, WIPO has provided developing countries and LDCs with two patent information services, namely, Patent Information Services (WPIS) and International Cooperation for the Examination of Inventions (ICE, formerly ICSEI).  These services deliver technology search reports in response to requests from private sector and public institutions and search and examination reports for pending patent applications in response to requests from patent offices in developing countries. </w:t>
      </w:r>
      <w:r w:rsidR="00FC59CA">
        <w:t xml:space="preserve"> </w:t>
      </w:r>
      <w:r>
        <w:t>The demand for technology search reports decreased during the biennium by 16.4 per cent in comparison to the previous biennium, partly due to the implementation of TISC networks, which will gradually become the delivery mechanism for such services.  A total of 214 requests related to search and examination were received for ICE service, which represent</w:t>
      </w:r>
      <w:r w:rsidR="00E907C9">
        <w:t>s</w:t>
      </w:r>
      <w:r>
        <w:t xml:space="preserve"> an 8.6 per cent increase in demand.  The ICE continued to provide training workshops for patent examiners from patent offices in developing countries.  Three sub-regional workshops on utilization of patent examination results from other national prosecution phases were held in Harare (July 2012), Yaoundé (January 2013) and Riyadh (December 2013) for </w:t>
      </w:r>
      <w:r w:rsidR="00FC59CA">
        <w:t>25 </w:t>
      </w:r>
      <w:r>
        <w:t xml:space="preserve">participants from English and French speaking IPOs, and 12 participants from ten Arab countries, respectively.  Additionally, three national workshops were organized for the patent offices of Cambodia (three participants), Thailand (35 participants) and Viet Nam (60 participants). </w:t>
      </w:r>
    </w:p>
    <w:p w:rsidR="005660B2" w:rsidRDefault="005660B2" w:rsidP="005660B2">
      <w:pPr>
        <w:tabs>
          <w:tab w:val="left" w:pos="709"/>
        </w:tabs>
        <w:jc w:val="both"/>
      </w:pPr>
    </w:p>
    <w:p w:rsidR="005660B2" w:rsidRPr="0027745B" w:rsidRDefault="005660B2" w:rsidP="005660B2">
      <w:pPr>
        <w:keepNext/>
        <w:keepLines/>
        <w:tabs>
          <w:tab w:val="left" w:pos="709"/>
        </w:tabs>
        <w:jc w:val="both"/>
        <w:rPr>
          <w:rFonts w:eastAsia="MS Mincho" w:cs="ArialMT"/>
          <w:sz w:val="22"/>
          <w:szCs w:val="22"/>
          <w:lang w:eastAsia="ja-JP" w:bidi="th-TH"/>
        </w:rPr>
      </w:pPr>
      <w:r>
        <w:lastRenderedPageBreak/>
        <w:t>14.7.</w:t>
      </w:r>
      <w:r>
        <w:tab/>
        <w:t>Initiated in 2011, WPIS completed four new Patent Landscape Reports (PLR) in the biennium:  E</w:t>
      </w:r>
      <w:r w:rsidR="00FC59CA">
        <w:noBreakHyphen/>
      </w:r>
      <w:r>
        <w:t>waste Recycling Technologies</w:t>
      </w:r>
      <w:r>
        <w:rPr>
          <w:rStyle w:val="FootnoteReference"/>
        </w:rPr>
        <w:footnoteReference w:id="28"/>
      </w:r>
      <w:r>
        <w:t xml:space="preserve"> in cooperation with the United Nations Environment Programme (UNEP) and the Secretariat of the Basel Convention (SBC); </w:t>
      </w:r>
      <w:r w:rsidR="00FC59CA">
        <w:t xml:space="preserve"> </w:t>
      </w:r>
      <w:r>
        <w:t xml:space="preserve">patenting activity related to animal genetic resources; </w:t>
      </w:r>
      <w:r w:rsidR="00FC59CA">
        <w:t xml:space="preserve"> </w:t>
      </w:r>
      <w:r>
        <w:t xml:space="preserve">particle accelerator technologies and their industrial and medical uses in collaboration with  the European Organization for Nuclear Research (CERN); </w:t>
      </w:r>
      <w:r w:rsidR="00FC59CA">
        <w:t xml:space="preserve"> </w:t>
      </w:r>
      <w:r>
        <w:t xml:space="preserve">and on assistive devices and technologies for visually and hearing impaired persons.  Two already completed and published PLRs on Ritonavir and on selected neglected diseases have been updated.  The website on PLRs was enhanced with the addition of 51 PLRs.  Infographics were prepared to visualize key findings for eight PLRs. </w:t>
      </w:r>
      <w:r w:rsidR="00FC59CA">
        <w:t xml:space="preserve"> </w:t>
      </w:r>
      <w:r>
        <w:t>Methodology Guidelines for the preparation of PLRs were drafted in collaboration with an external expert and is expected to be published during the second quarter of 2014.  The Guidelines were discussed in the framework of two Regional Workshops on Patent Analytics organized in 2013 in Brazil</w:t>
      </w:r>
      <w:r w:rsidR="00E907C9">
        <w:t xml:space="preserve"> (Rio de Janeiro)</w:t>
      </w:r>
      <w:r>
        <w:t xml:space="preserve"> and the Philippines</w:t>
      </w:r>
      <w:r w:rsidR="00E907C9">
        <w:t xml:space="preserve"> (Manila)</w:t>
      </w:r>
      <w:r>
        <w:t xml:space="preserve"> in collaboration with the National Institute of Industrial Property (INPI) of Brazil and the Intellectual Property Office of the Philippines (IPOPHL), respectively.  Additionally, two national workshops on patent analytics were organized in 2013 in the Philippines (Cebu and Manila) for a total of 100 participants from Philippine Innovation and Technology Support Offices (ITSOs).</w:t>
      </w:r>
    </w:p>
    <w:p w:rsidR="005660B2" w:rsidRPr="002D3C7F" w:rsidRDefault="005660B2" w:rsidP="005660B2">
      <w:pPr>
        <w:ind w:left="2268" w:hanging="2268"/>
        <w:rPr>
          <w:bCs/>
          <w:sz w:val="22"/>
          <w:szCs w:val="22"/>
        </w:rPr>
      </w:pPr>
    </w:p>
    <w:p w:rsidR="005660B2" w:rsidRPr="002C4083" w:rsidRDefault="005660B2" w:rsidP="005660B2">
      <w:pPr>
        <w:rPr>
          <w:rFonts w:cs="Arial"/>
          <w:bCs/>
          <w:sz w:val="22"/>
          <w:szCs w:val="22"/>
        </w:rPr>
      </w:pPr>
      <w:r w:rsidRPr="002C4083">
        <w:rPr>
          <w:rFonts w:cs="Arial"/>
          <w:bCs/>
          <w:sz w:val="22"/>
          <w:szCs w:val="22"/>
        </w:rPr>
        <w:t xml:space="preserve">IMPLEMENTATION OF THE DEVELOPMENT AGENDA </w:t>
      </w:r>
    </w:p>
    <w:p w:rsidR="005660B2" w:rsidRPr="002D3C7F" w:rsidRDefault="005660B2" w:rsidP="005660B2">
      <w:pPr>
        <w:ind w:left="2268" w:hanging="2268"/>
        <w:rPr>
          <w:sz w:val="22"/>
          <w:szCs w:val="22"/>
        </w:rPr>
      </w:pPr>
    </w:p>
    <w:p w:rsidR="005660B2" w:rsidRPr="00D20B2E" w:rsidRDefault="005660B2" w:rsidP="005660B2">
      <w:pPr>
        <w:tabs>
          <w:tab w:val="left" w:pos="709"/>
        </w:tabs>
        <w:jc w:val="both"/>
        <w:rPr>
          <w:rFonts w:cs="Arial"/>
          <w:szCs w:val="20"/>
        </w:rPr>
      </w:pPr>
      <w:r>
        <w:rPr>
          <w:rFonts w:cs="Arial"/>
          <w:bCs/>
          <w:szCs w:val="20"/>
        </w:rPr>
        <w:t>14.8.</w:t>
      </w:r>
      <w:r>
        <w:rPr>
          <w:rFonts w:cs="Arial"/>
          <w:bCs/>
          <w:szCs w:val="20"/>
        </w:rPr>
        <w:tab/>
      </w:r>
      <w:r w:rsidRPr="00B91745">
        <w:rPr>
          <w:rFonts w:cs="Arial"/>
          <w:bCs/>
          <w:szCs w:val="20"/>
        </w:rPr>
        <w:t>The design, planning and implementation of activities undertaken by Program 14 were informed by the relevant DA Recommendations, in particular Recommendations 1, 8, 19, 30 and 31.  A major part of the Program’s work during the period under review consisted of the implementation of two DA projects</w:t>
      </w:r>
      <w:r>
        <w:rPr>
          <w:rFonts w:cs="Arial"/>
          <w:bCs/>
          <w:szCs w:val="20"/>
        </w:rPr>
        <w:t>,</w:t>
      </w:r>
      <w:r w:rsidRPr="00B91745">
        <w:rPr>
          <w:rFonts w:cs="Arial"/>
          <w:bCs/>
          <w:szCs w:val="20"/>
        </w:rPr>
        <w:t xml:space="preserve"> namely:  Specialized Databases’ Access and Support and Developing Tools for Access to Patent Information. </w:t>
      </w:r>
      <w:r w:rsidR="00FC59CA">
        <w:rPr>
          <w:rFonts w:cs="Arial"/>
          <w:bCs/>
          <w:szCs w:val="20"/>
        </w:rPr>
        <w:t xml:space="preserve"> </w:t>
      </w:r>
      <w:r w:rsidRPr="00B91745">
        <w:rPr>
          <w:rFonts w:cs="Arial"/>
          <w:bCs/>
          <w:szCs w:val="20"/>
        </w:rPr>
        <w:t>These two projects were completed and evaluated in 2012.  Evaluation reports were reviewed</w:t>
      </w:r>
      <w:r>
        <w:rPr>
          <w:rFonts w:cs="Arial"/>
          <w:bCs/>
          <w:szCs w:val="20"/>
        </w:rPr>
        <w:t xml:space="preserve"> and</w:t>
      </w:r>
      <w:r w:rsidRPr="00B91745">
        <w:rPr>
          <w:rFonts w:cs="Arial"/>
          <w:bCs/>
          <w:szCs w:val="20"/>
        </w:rPr>
        <w:t xml:space="preserve"> considered by the CDIP.  The CDIP also approved a Phase II </w:t>
      </w:r>
      <w:r>
        <w:rPr>
          <w:rFonts w:cs="Arial"/>
          <w:bCs/>
          <w:szCs w:val="20"/>
        </w:rPr>
        <w:t>for</w:t>
      </w:r>
      <w:r w:rsidRPr="00B91745">
        <w:rPr>
          <w:rFonts w:cs="Arial"/>
          <w:bCs/>
          <w:szCs w:val="20"/>
        </w:rPr>
        <w:t xml:space="preserve"> each of the two projects, which were completed in 2013.  </w:t>
      </w:r>
    </w:p>
    <w:p w:rsidR="005660B2" w:rsidRPr="002D3C7F" w:rsidRDefault="005660B2" w:rsidP="005660B2">
      <w:pPr>
        <w:rPr>
          <w:rFonts w:eastAsia="MS Mincho"/>
          <w:sz w:val="22"/>
          <w:szCs w:val="22"/>
          <w:lang w:eastAsia="ja-JP" w:bidi="th-TH"/>
        </w:rPr>
      </w:pPr>
    </w:p>
    <w:p w:rsidR="005660B2" w:rsidRPr="002D3C7F" w:rsidRDefault="005660B2" w:rsidP="005660B2">
      <w:pPr>
        <w:ind w:left="2268" w:hanging="2268"/>
        <w:rPr>
          <w:sz w:val="22"/>
          <w:szCs w:val="22"/>
        </w:rPr>
      </w:pPr>
    </w:p>
    <w:p w:rsidR="005660B2" w:rsidRPr="002D3C7F" w:rsidRDefault="005660B2" w:rsidP="005660B2">
      <w:pPr>
        <w:ind w:left="2268" w:hanging="2268"/>
        <w:rPr>
          <w:rFonts w:cs="Arial"/>
          <w:sz w:val="22"/>
          <w:szCs w:val="22"/>
        </w:rPr>
      </w:pPr>
      <w:r w:rsidRPr="002D3C7F">
        <w:rPr>
          <w:rFonts w:cs="Arial"/>
          <w:sz w:val="22"/>
          <w:szCs w:val="22"/>
        </w:rPr>
        <w:t>PERFORMANCE DATA</w:t>
      </w:r>
    </w:p>
    <w:p w:rsidR="005660B2" w:rsidRPr="002D3C7F" w:rsidRDefault="005660B2" w:rsidP="005660B2">
      <w:pPr>
        <w:ind w:left="2268" w:hanging="2268"/>
        <w:rPr>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5"/>
        <w:gridCol w:w="1710"/>
        <w:gridCol w:w="1636"/>
        <w:gridCol w:w="3180"/>
        <w:gridCol w:w="1276"/>
      </w:tblGrid>
      <w:tr w:rsidR="005660B2" w:rsidRPr="0068151C" w:rsidTr="0068151C">
        <w:trPr>
          <w:cantSplit/>
        </w:trPr>
        <w:tc>
          <w:tcPr>
            <w:tcW w:w="5000" w:type="pct"/>
            <w:gridSpan w:val="5"/>
            <w:tcBorders>
              <w:top w:val="single" w:sz="4" w:space="0" w:color="auto"/>
              <w:bottom w:val="single" w:sz="4" w:space="0" w:color="auto"/>
            </w:tcBorders>
            <w:shd w:val="clear" w:color="auto" w:fill="CCFFFF"/>
            <w:vAlign w:val="center"/>
          </w:tcPr>
          <w:p w:rsidR="005660B2" w:rsidRPr="0068151C" w:rsidRDefault="005660B2" w:rsidP="0068151C">
            <w:pPr>
              <w:keepNext/>
              <w:keepLines/>
              <w:tabs>
                <w:tab w:val="left" w:pos="1452"/>
              </w:tabs>
              <w:spacing w:before="120" w:after="120"/>
              <w:ind w:left="1452" w:hanging="1452"/>
              <w:rPr>
                <w:rFonts w:cs="Arial"/>
                <w:b/>
                <w:bCs/>
                <w:sz w:val="16"/>
                <w:szCs w:val="16"/>
              </w:rPr>
            </w:pPr>
            <w:r w:rsidRPr="0068151C">
              <w:rPr>
                <w:rFonts w:cs="Arial"/>
                <w:b/>
                <w:bCs/>
                <w:sz w:val="16"/>
                <w:szCs w:val="16"/>
              </w:rPr>
              <w:t>Expected Result:</w:t>
            </w:r>
            <w:r w:rsidRPr="0068151C">
              <w:rPr>
                <w:rFonts w:cs="Arial"/>
                <w:b/>
                <w:bCs/>
                <w:sz w:val="16"/>
                <w:szCs w:val="16"/>
              </w:rPr>
              <w:tab/>
            </w:r>
            <w:r w:rsidRPr="0068151C">
              <w:rPr>
                <w:rFonts w:cs="Arial"/>
                <w:sz w:val="16"/>
                <w:szCs w:val="16"/>
              </w:rPr>
              <w:t>Enhanced access to, and use of, IP information and knowledge by IP institutions and the public to promote innovation and increased access to protected creative works and creative works in the public domain</w:t>
            </w:r>
          </w:p>
        </w:tc>
      </w:tr>
      <w:tr w:rsidR="005660B2" w:rsidRPr="0068151C" w:rsidTr="000B3714">
        <w:trPr>
          <w:cantSplit/>
        </w:trPr>
        <w:tc>
          <w:tcPr>
            <w:tcW w:w="831" w:type="pct"/>
            <w:tcBorders>
              <w:top w:val="single" w:sz="4" w:space="0" w:color="auto"/>
            </w:tcBorders>
            <w:shd w:val="clear" w:color="auto" w:fill="auto"/>
            <w:vAlign w:val="center"/>
          </w:tcPr>
          <w:p w:rsidR="005660B2" w:rsidRPr="0068151C" w:rsidRDefault="005660B2" w:rsidP="0068151C">
            <w:pPr>
              <w:rPr>
                <w:rFonts w:cs="Arial"/>
                <w:sz w:val="16"/>
                <w:szCs w:val="16"/>
              </w:rPr>
            </w:pPr>
            <w:r w:rsidRPr="0068151C">
              <w:rPr>
                <w:rFonts w:cs="Arial"/>
                <w:b/>
                <w:bCs/>
                <w:sz w:val="16"/>
                <w:szCs w:val="16"/>
              </w:rPr>
              <w:t>Performance Indicators</w:t>
            </w:r>
          </w:p>
        </w:tc>
        <w:tc>
          <w:tcPr>
            <w:tcW w:w="914" w:type="pct"/>
            <w:tcBorders>
              <w:top w:val="single" w:sz="4" w:space="0" w:color="auto"/>
            </w:tcBorders>
            <w:shd w:val="clear" w:color="auto" w:fill="auto"/>
            <w:vAlign w:val="center"/>
          </w:tcPr>
          <w:p w:rsidR="005660B2" w:rsidRPr="0068151C" w:rsidRDefault="005660B2" w:rsidP="0068151C">
            <w:pPr>
              <w:rPr>
                <w:rFonts w:cs="Arial"/>
                <w:b/>
                <w:bCs/>
                <w:sz w:val="16"/>
                <w:szCs w:val="16"/>
              </w:rPr>
            </w:pPr>
            <w:r w:rsidRPr="0068151C">
              <w:rPr>
                <w:rFonts w:cs="Arial"/>
                <w:b/>
                <w:bCs/>
                <w:sz w:val="16"/>
                <w:szCs w:val="16"/>
              </w:rPr>
              <w:t>Baselines</w:t>
            </w:r>
          </w:p>
        </w:tc>
        <w:tc>
          <w:tcPr>
            <w:tcW w:w="874" w:type="pct"/>
            <w:tcBorders>
              <w:top w:val="single" w:sz="4" w:space="0" w:color="auto"/>
            </w:tcBorders>
            <w:shd w:val="clear" w:color="auto" w:fill="auto"/>
            <w:tcMar>
              <w:top w:w="110" w:type="dxa"/>
            </w:tcMar>
            <w:vAlign w:val="center"/>
          </w:tcPr>
          <w:p w:rsidR="005660B2" w:rsidRPr="0068151C" w:rsidRDefault="005660B2" w:rsidP="0068151C">
            <w:pPr>
              <w:rPr>
                <w:rFonts w:cs="Arial"/>
                <w:b/>
                <w:sz w:val="16"/>
                <w:szCs w:val="16"/>
              </w:rPr>
            </w:pPr>
            <w:r w:rsidRPr="0068151C">
              <w:rPr>
                <w:rFonts w:cs="Arial"/>
                <w:b/>
                <w:sz w:val="16"/>
                <w:szCs w:val="16"/>
              </w:rPr>
              <w:t>Target</w:t>
            </w:r>
            <w:r w:rsidR="00582788">
              <w:rPr>
                <w:rFonts w:cs="Arial"/>
                <w:b/>
                <w:sz w:val="16"/>
                <w:szCs w:val="16"/>
              </w:rPr>
              <w:t>s</w:t>
            </w:r>
          </w:p>
        </w:tc>
        <w:tc>
          <w:tcPr>
            <w:tcW w:w="1699" w:type="pct"/>
            <w:tcBorders>
              <w:top w:val="single" w:sz="4" w:space="0" w:color="auto"/>
            </w:tcBorders>
            <w:shd w:val="clear" w:color="auto" w:fill="FFFFFF"/>
            <w:tcMar>
              <w:top w:w="110" w:type="dxa"/>
            </w:tcMar>
            <w:vAlign w:val="center"/>
          </w:tcPr>
          <w:p w:rsidR="005660B2" w:rsidRPr="0068151C" w:rsidRDefault="005660B2" w:rsidP="0068151C">
            <w:pPr>
              <w:rPr>
                <w:rFonts w:cs="Arial"/>
                <w:sz w:val="16"/>
                <w:szCs w:val="16"/>
              </w:rPr>
            </w:pPr>
            <w:r w:rsidRPr="0068151C">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5660B2" w:rsidRPr="0068151C" w:rsidRDefault="005660B2" w:rsidP="0068151C">
            <w:pPr>
              <w:keepNext/>
              <w:keepLines/>
              <w:jc w:val="center"/>
              <w:rPr>
                <w:rFonts w:cs="Arial"/>
                <w:b/>
                <w:bCs/>
                <w:sz w:val="16"/>
                <w:szCs w:val="16"/>
              </w:rPr>
            </w:pPr>
            <w:r w:rsidRPr="0068151C">
              <w:rPr>
                <w:rFonts w:cs="Arial"/>
                <w:b/>
                <w:bCs/>
                <w:sz w:val="16"/>
                <w:szCs w:val="16"/>
              </w:rPr>
              <w:t>TLS</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t>No. of national TISC networks launched</w:t>
            </w:r>
          </w:p>
        </w:tc>
        <w:tc>
          <w:tcPr>
            <w:tcW w:w="914" w:type="pct"/>
            <w:shd w:val="clear" w:color="auto" w:fill="auto"/>
          </w:tcPr>
          <w:p w:rsidR="00FC59CA" w:rsidRPr="0068151C" w:rsidRDefault="00FC59CA" w:rsidP="00FC59CA">
            <w:pPr>
              <w:rPr>
                <w:rFonts w:cs="Arial"/>
                <w:color w:val="002060"/>
                <w:sz w:val="16"/>
                <w:szCs w:val="16"/>
                <w:lang w:bidi="th-TH"/>
              </w:rPr>
            </w:pPr>
            <w:r w:rsidRPr="0068151C">
              <w:rPr>
                <w:rFonts w:cs="Arial"/>
                <w:i/>
                <w:color w:val="002060"/>
                <w:sz w:val="16"/>
                <w:szCs w:val="16"/>
              </w:rPr>
              <w:t>Updated Baseline end 2011:</w:t>
            </w:r>
            <w:r w:rsidRPr="0068151C">
              <w:rPr>
                <w:rFonts w:cs="Arial"/>
                <w:color w:val="002060"/>
                <w:sz w:val="16"/>
                <w:szCs w:val="16"/>
              </w:rPr>
              <w:br/>
            </w:r>
            <w:r w:rsidRPr="0068151C">
              <w:rPr>
                <w:rFonts w:cs="Arial"/>
                <w:color w:val="002060"/>
                <w:sz w:val="16"/>
                <w:szCs w:val="16"/>
                <w:lang w:bidi="th-TH"/>
              </w:rPr>
              <w:t>20 TISC networks</w:t>
            </w:r>
            <w:r w:rsidRPr="0068151C">
              <w:rPr>
                <w:rStyle w:val="FootnoteReference"/>
                <w:rFonts w:cs="Arial"/>
                <w:color w:val="002060"/>
                <w:sz w:val="16"/>
                <w:szCs w:val="16"/>
                <w:lang w:bidi="th-TH"/>
              </w:rPr>
              <w:footnoteReference w:id="29"/>
            </w:r>
            <w:r w:rsidRPr="0068151C">
              <w:rPr>
                <w:rFonts w:cs="Arial"/>
                <w:color w:val="002060"/>
                <w:sz w:val="16"/>
                <w:szCs w:val="16"/>
                <w:lang w:bidi="th-TH"/>
              </w:rPr>
              <w:t xml:space="preserve"> Africa (7)</w:t>
            </w:r>
          </w:p>
          <w:p w:rsidR="00FC59CA" w:rsidRPr="0068151C" w:rsidRDefault="00FC59CA" w:rsidP="00FC59CA">
            <w:pPr>
              <w:rPr>
                <w:rFonts w:cs="Arial"/>
                <w:color w:val="002060"/>
                <w:sz w:val="16"/>
                <w:szCs w:val="16"/>
                <w:lang w:bidi="th-TH"/>
              </w:rPr>
            </w:pPr>
            <w:r w:rsidRPr="0068151C">
              <w:rPr>
                <w:rFonts w:cs="Arial"/>
                <w:color w:val="002060"/>
                <w:sz w:val="16"/>
                <w:szCs w:val="16"/>
                <w:lang w:bidi="th-TH"/>
              </w:rPr>
              <w:t>Arab region (4)</w:t>
            </w:r>
          </w:p>
          <w:p w:rsidR="00FC59CA" w:rsidRPr="0068151C" w:rsidRDefault="00FC59CA" w:rsidP="00FC59CA">
            <w:pPr>
              <w:rPr>
                <w:rFonts w:cs="Arial"/>
                <w:color w:val="002060"/>
                <w:sz w:val="16"/>
                <w:szCs w:val="16"/>
                <w:lang w:bidi="th-TH"/>
              </w:rPr>
            </w:pPr>
            <w:r w:rsidRPr="0068151C">
              <w:rPr>
                <w:rFonts w:cs="Arial"/>
                <w:color w:val="002060"/>
                <w:sz w:val="16"/>
                <w:szCs w:val="16"/>
                <w:lang w:bidi="th-TH"/>
              </w:rPr>
              <w:t>Asia and Pacific (2)</w:t>
            </w:r>
          </w:p>
          <w:p w:rsidR="00FC59CA" w:rsidRPr="0068151C" w:rsidRDefault="00FC59CA" w:rsidP="00FC59CA">
            <w:pPr>
              <w:rPr>
                <w:rFonts w:cs="Arial"/>
                <w:color w:val="002060"/>
                <w:sz w:val="16"/>
                <w:szCs w:val="16"/>
                <w:lang w:bidi="th-TH"/>
              </w:rPr>
            </w:pPr>
            <w:r w:rsidRPr="0068151C">
              <w:rPr>
                <w:rFonts w:cs="Arial"/>
                <w:color w:val="002060"/>
                <w:sz w:val="16"/>
                <w:szCs w:val="16"/>
                <w:lang w:bidi="th-TH"/>
              </w:rPr>
              <w:t>Latin America and the Caribbean (5)</w:t>
            </w:r>
          </w:p>
          <w:p w:rsidR="00FC59CA" w:rsidRDefault="00FC59CA" w:rsidP="00FC59CA">
            <w:pPr>
              <w:rPr>
                <w:rFonts w:cs="Arial"/>
                <w:color w:val="002060"/>
                <w:sz w:val="16"/>
                <w:szCs w:val="16"/>
                <w:lang w:bidi="th-TH"/>
              </w:rPr>
            </w:pPr>
            <w:r w:rsidRPr="0068151C">
              <w:rPr>
                <w:rFonts w:cs="Arial"/>
                <w:color w:val="002060"/>
                <w:sz w:val="16"/>
                <w:szCs w:val="16"/>
                <w:lang w:bidi="th-TH"/>
              </w:rPr>
              <w:t>Certain Countries in Europe and Asia (2)</w:t>
            </w:r>
          </w:p>
          <w:p w:rsidR="00FC59CA" w:rsidRPr="00CD26D6" w:rsidRDefault="00FC59CA" w:rsidP="00FC59CA">
            <w:pPr>
              <w:rPr>
                <w:rFonts w:cs="Arial"/>
                <w:color w:val="002060"/>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r w:rsidRPr="0068151C">
              <w:rPr>
                <w:rFonts w:cs="Arial"/>
                <w:sz w:val="16"/>
                <w:szCs w:val="16"/>
              </w:rPr>
              <w:t xml:space="preserve">12 national TISC networks launched </w:t>
            </w:r>
            <w:r w:rsidRPr="0068151C">
              <w:rPr>
                <w:rFonts w:cs="Arial"/>
                <w:sz w:val="16"/>
                <w:szCs w:val="16"/>
              </w:rPr>
              <w:br/>
              <w:t>(1 quarter 2011):</w:t>
            </w:r>
            <w:r w:rsidRPr="0068151C">
              <w:rPr>
                <w:rFonts w:cs="Arial"/>
                <w:sz w:val="16"/>
                <w:szCs w:val="16"/>
              </w:rPr>
              <w:br/>
              <w:t xml:space="preserve">Africa (4) </w:t>
            </w:r>
            <w:r w:rsidRPr="0068151C">
              <w:rPr>
                <w:rFonts w:cs="Arial"/>
                <w:sz w:val="16"/>
                <w:szCs w:val="16"/>
              </w:rPr>
              <w:br/>
              <w:t xml:space="preserve">Arab region (3) </w:t>
            </w:r>
            <w:r w:rsidRPr="0068151C">
              <w:rPr>
                <w:rFonts w:cs="Arial"/>
                <w:sz w:val="16"/>
                <w:szCs w:val="16"/>
              </w:rPr>
              <w:br/>
              <w:t xml:space="preserve">Asia and Pacific (2) </w:t>
            </w:r>
            <w:r w:rsidRPr="0068151C">
              <w:rPr>
                <w:rFonts w:cs="Arial"/>
                <w:sz w:val="16"/>
                <w:szCs w:val="16"/>
              </w:rPr>
              <w:br/>
              <w:t xml:space="preserve">Latin America and the Caribbean (2) </w:t>
            </w:r>
            <w:r w:rsidRPr="0068151C">
              <w:rPr>
                <w:rFonts w:cs="Arial"/>
                <w:sz w:val="16"/>
                <w:szCs w:val="16"/>
              </w:rPr>
              <w:br/>
              <w:t>Certain Countries in Europe and Asia (1)</w:t>
            </w:r>
          </w:p>
          <w:p w:rsidR="005660B2" w:rsidRPr="0068151C" w:rsidRDefault="005660B2">
            <w:pPr>
              <w:rPr>
                <w:rFonts w:cs="Arial"/>
                <w:sz w:val="16"/>
                <w:szCs w:val="16"/>
              </w:rPr>
            </w:pPr>
          </w:p>
        </w:tc>
        <w:tc>
          <w:tcPr>
            <w:tcW w:w="874" w:type="pct"/>
            <w:shd w:val="clear" w:color="auto" w:fill="auto"/>
            <w:tcMar>
              <w:top w:w="110" w:type="dxa"/>
            </w:tcMar>
          </w:tcPr>
          <w:p w:rsidR="005660B2" w:rsidRPr="0068151C" w:rsidRDefault="005660B2" w:rsidP="0068151C">
            <w:pPr>
              <w:rPr>
                <w:rFonts w:cs="Arial"/>
                <w:sz w:val="16"/>
                <w:szCs w:val="16"/>
              </w:rPr>
            </w:pPr>
            <w:r w:rsidRPr="0068151C">
              <w:rPr>
                <w:rFonts w:cs="Arial"/>
                <w:sz w:val="16"/>
                <w:szCs w:val="16"/>
              </w:rPr>
              <w:t>22* additional national TISC networks launched:  Africa (9)</w:t>
            </w:r>
          </w:p>
          <w:p w:rsidR="005660B2" w:rsidRPr="0068151C" w:rsidRDefault="005660B2" w:rsidP="0068151C">
            <w:pPr>
              <w:rPr>
                <w:rFonts w:cs="Arial"/>
                <w:sz w:val="16"/>
                <w:szCs w:val="16"/>
              </w:rPr>
            </w:pPr>
            <w:r w:rsidRPr="0068151C">
              <w:rPr>
                <w:rFonts w:cs="Arial"/>
                <w:sz w:val="16"/>
                <w:szCs w:val="16"/>
              </w:rPr>
              <w:t>Arab region (2)</w:t>
            </w:r>
          </w:p>
          <w:p w:rsidR="005660B2" w:rsidRPr="0068151C" w:rsidRDefault="005660B2" w:rsidP="0068151C">
            <w:pPr>
              <w:rPr>
                <w:rFonts w:cs="Arial"/>
                <w:sz w:val="16"/>
                <w:szCs w:val="16"/>
              </w:rPr>
            </w:pPr>
            <w:r w:rsidRPr="0068151C">
              <w:rPr>
                <w:rFonts w:cs="Arial"/>
                <w:sz w:val="16"/>
                <w:szCs w:val="16"/>
              </w:rPr>
              <w:t>Asia and Pacific (3)</w:t>
            </w:r>
          </w:p>
          <w:p w:rsidR="005660B2" w:rsidRPr="0068151C" w:rsidRDefault="005660B2" w:rsidP="0068151C">
            <w:pPr>
              <w:rPr>
                <w:rFonts w:cs="Arial"/>
                <w:sz w:val="16"/>
                <w:szCs w:val="16"/>
              </w:rPr>
            </w:pPr>
            <w:r w:rsidRPr="0068151C">
              <w:rPr>
                <w:rFonts w:cs="Arial"/>
                <w:sz w:val="16"/>
                <w:szCs w:val="16"/>
              </w:rPr>
              <w:t>Latin America and the Caribbean (4)</w:t>
            </w:r>
          </w:p>
          <w:p w:rsidR="005660B2" w:rsidRPr="0068151C" w:rsidRDefault="005660B2" w:rsidP="0068151C">
            <w:pPr>
              <w:rPr>
                <w:rFonts w:cs="Arial"/>
                <w:i/>
                <w:sz w:val="16"/>
                <w:szCs w:val="16"/>
              </w:rPr>
            </w:pPr>
            <w:r w:rsidRPr="0068151C">
              <w:rPr>
                <w:rFonts w:cs="Arial"/>
                <w:sz w:val="16"/>
                <w:szCs w:val="16"/>
              </w:rPr>
              <w:t xml:space="preserve">Certain Countries in Europe and </w:t>
            </w:r>
            <w:r w:rsidRPr="0068151C">
              <w:rPr>
                <w:rFonts w:cs="Arial"/>
                <w:sz w:val="16"/>
                <w:szCs w:val="16"/>
              </w:rPr>
              <w:br/>
              <w:t>Asia (4)</w:t>
            </w:r>
          </w:p>
        </w:tc>
        <w:tc>
          <w:tcPr>
            <w:tcW w:w="1699"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rPr>
              <w:t xml:space="preserve">19 additional TISC networks launched in 2012/13: </w:t>
            </w:r>
            <w:r w:rsidR="00FC59CA">
              <w:rPr>
                <w:rFonts w:cs="Arial"/>
                <w:sz w:val="16"/>
                <w:szCs w:val="16"/>
              </w:rPr>
              <w:t xml:space="preserve"> </w:t>
            </w:r>
            <w:r w:rsidRPr="0068151C">
              <w:rPr>
                <w:rFonts w:cs="Arial"/>
                <w:sz w:val="16"/>
                <w:szCs w:val="16"/>
              </w:rPr>
              <w:t>Africa (12), Arab (2), Latin America and the Caribbean (4) and Certain Countries in Europe and Asia (1)</w:t>
            </w:r>
            <w:r w:rsidR="00FC59CA">
              <w:rPr>
                <w:rFonts w:cs="Arial"/>
                <w:sz w:val="16"/>
                <w:szCs w:val="16"/>
              </w:rPr>
              <w:t>.</w:t>
            </w:r>
          </w:p>
          <w:p w:rsidR="005660B2" w:rsidRPr="0068151C" w:rsidRDefault="005660B2" w:rsidP="0068151C">
            <w:pPr>
              <w:rPr>
                <w:rFonts w:cs="Arial"/>
                <w:sz w:val="16"/>
                <w:szCs w:val="16"/>
              </w:rPr>
            </w:pPr>
          </w:p>
          <w:p w:rsidR="005660B2" w:rsidRPr="0068151C" w:rsidRDefault="005660B2">
            <w:pPr>
              <w:rPr>
                <w:rFonts w:cs="Arial"/>
                <w:sz w:val="16"/>
                <w:szCs w:val="16"/>
              </w:rPr>
            </w:pPr>
            <w:r w:rsidRPr="0068151C">
              <w:rPr>
                <w:rFonts w:cs="Arial"/>
                <w:sz w:val="16"/>
                <w:szCs w:val="16"/>
              </w:rPr>
              <w:t xml:space="preserve">39 TISC networks established: </w:t>
            </w:r>
            <w:r w:rsidR="00FC59CA">
              <w:rPr>
                <w:rFonts w:cs="Arial"/>
                <w:sz w:val="16"/>
                <w:szCs w:val="16"/>
              </w:rPr>
              <w:t xml:space="preserve"> </w:t>
            </w:r>
            <w:r w:rsidR="00FC59CA" w:rsidRPr="0068151C">
              <w:rPr>
                <w:rFonts w:cs="Arial"/>
                <w:sz w:val="16"/>
                <w:szCs w:val="16"/>
              </w:rPr>
              <w:t>Africa</w:t>
            </w:r>
            <w:r w:rsidR="00FC59CA">
              <w:rPr>
                <w:rFonts w:cs="Arial"/>
                <w:sz w:val="16"/>
                <w:szCs w:val="16"/>
              </w:rPr>
              <w:t> </w:t>
            </w:r>
            <w:r w:rsidRPr="0068151C">
              <w:rPr>
                <w:rFonts w:cs="Arial"/>
                <w:sz w:val="16"/>
                <w:szCs w:val="16"/>
              </w:rPr>
              <w:t>(19), Arab region (6), Asia and Pacific (2), Latin America and the Caribbean (9) and Certain Countries in Europe and Asia (3) (cumulative)</w:t>
            </w:r>
            <w:r w:rsidR="00FC59CA">
              <w:rPr>
                <w:rFonts w:cs="Arial"/>
                <w:sz w:val="16"/>
                <w:szCs w:val="16"/>
              </w:rPr>
              <w:t>.</w:t>
            </w:r>
          </w:p>
        </w:tc>
        <w:tc>
          <w:tcPr>
            <w:tcW w:w="682" w:type="pct"/>
            <w:shd w:val="clear" w:color="auto" w:fill="auto"/>
            <w:tcMar>
              <w:top w:w="110" w:type="dxa"/>
            </w:tcMar>
          </w:tcPr>
          <w:p w:rsidR="005660B2" w:rsidRPr="0068151C" w:rsidRDefault="005660B2" w:rsidP="0068151C">
            <w:pPr>
              <w:keepNext/>
              <w:keepLines/>
              <w:jc w:val="center"/>
              <w:rPr>
                <w:rFonts w:cs="Arial"/>
                <w:b/>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lastRenderedPageBreak/>
              <w:t>No. of users serviced by TISCs per quarter and country</w:t>
            </w:r>
          </w:p>
        </w:tc>
        <w:tc>
          <w:tcPr>
            <w:tcW w:w="914" w:type="pct"/>
            <w:shd w:val="clear" w:color="auto" w:fill="auto"/>
          </w:tcPr>
          <w:p w:rsidR="005660B2" w:rsidRPr="0068151C" w:rsidRDefault="005660B2" w:rsidP="0068151C">
            <w:pPr>
              <w:rPr>
                <w:rFonts w:cs="Arial"/>
                <w:color w:val="002060"/>
                <w:sz w:val="16"/>
                <w:szCs w:val="16"/>
              </w:rPr>
            </w:pPr>
            <w:r w:rsidRPr="0068151C">
              <w:rPr>
                <w:rFonts w:cs="Arial"/>
                <w:i/>
                <w:color w:val="002060"/>
                <w:sz w:val="16"/>
                <w:szCs w:val="16"/>
              </w:rPr>
              <w:t>Updated Baseline end 2011:</w:t>
            </w:r>
            <w:r w:rsidRPr="0068151C">
              <w:rPr>
                <w:rFonts w:cs="Arial"/>
                <w:color w:val="002060"/>
                <w:sz w:val="16"/>
                <w:szCs w:val="16"/>
              </w:rPr>
              <w:br/>
              <w:t>200 (min.) – 630 (max.) average no. of users serviced by TISCs per day</w:t>
            </w:r>
          </w:p>
          <w:p w:rsidR="005660B2" w:rsidRPr="000B3714" w:rsidRDefault="005660B2" w:rsidP="0068151C">
            <w:pPr>
              <w:rPr>
                <w:rFonts w:cs="Arial"/>
                <w:i/>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r w:rsidRPr="0068151C">
              <w:rPr>
                <w:rFonts w:cs="Arial"/>
                <w:sz w:val="16"/>
                <w:szCs w:val="16"/>
              </w:rPr>
              <w:t>Tbd by end 2011</w:t>
            </w:r>
          </w:p>
        </w:tc>
        <w:tc>
          <w:tcPr>
            <w:tcW w:w="874" w:type="pct"/>
            <w:shd w:val="clear" w:color="auto" w:fill="auto"/>
            <w:tcMar>
              <w:top w:w="110" w:type="dxa"/>
            </w:tcMar>
          </w:tcPr>
          <w:p w:rsidR="005660B2" w:rsidRPr="0068151C" w:rsidRDefault="005660B2" w:rsidP="0068151C">
            <w:pPr>
              <w:rPr>
                <w:rFonts w:cs="Arial"/>
                <w:i/>
                <w:sz w:val="16"/>
                <w:szCs w:val="16"/>
              </w:rPr>
            </w:pPr>
            <w:r w:rsidRPr="0068151C">
              <w:rPr>
                <w:rFonts w:cs="Arial"/>
                <w:sz w:val="16"/>
                <w:szCs w:val="16"/>
              </w:rPr>
              <w:t>Tbd by end 2011</w:t>
            </w:r>
          </w:p>
        </w:tc>
        <w:tc>
          <w:tcPr>
            <w:tcW w:w="1699"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532 (min.) to 1370 (max.) average no. of users serviced by TISCs per day during 2013</w:t>
            </w:r>
            <w:r w:rsidR="00C961E8">
              <w:rPr>
                <w:rFonts w:cs="Arial"/>
                <w:sz w:val="16"/>
                <w:szCs w:val="16"/>
                <w:lang w:bidi="th-TH"/>
              </w:rPr>
              <w:t>.</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C961E8">
              <w:rPr>
                <w:rFonts w:cs="Arial"/>
                <w:bCs/>
                <w:color w:val="404040" w:themeColor="text1" w:themeTint="BF"/>
                <w:sz w:val="16"/>
                <w:szCs w:val="16"/>
              </w:rPr>
              <w:t>Not Assessable</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t>% of users satisfied with TISC services</w:t>
            </w:r>
          </w:p>
        </w:tc>
        <w:tc>
          <w:tcPr>
            <w:tcW w:w="914" w:type="pct"/>
            <w:shd w:val="clear" w:color="auto" w:fill="auto"/>
          </w:tcPr>
          <w:p w:rsidR="005660B2" w:rsidRPr="0068151C" w:rsidRDefault="005660B2" w:rsidP="0068151C">
            <w:pPr>
              <w:rPr>
                <w:rFonts w:cs="Arial"/>
                <w:sz w:val="16"/>
                <w:szCs w:val="16"/>
              </w:rPr>
            </w:pPr>
            <w:r w:rsidRPr="0068151C">
              <w:rPr>
                <w:rFonts w:cs="Arial"/>
                <w:sz w:val="16"/>
                <w:szCs w:val="16"/>
              </w:rPr>
              <w:t>n/a</w:t>
            </w:r>
          </w:p>
        </w:tc>
        <w:tc>
          <w:tcPr>
            <w:tcW w:w="874" w:type="pct"/>
            <w:shd w:val="clear" w:color="auto" w:fill="auto"/>
            <w:tcMar>
              <w:top w:w="110" w:type="dxa"/>
            </w:tcMar>
          </w:tcPr>
          <w:p w:rsidR="005660B2" w:rsidRPr="0068151C" w:rsidRDefault="005660B2" w:rsidP="0068151C">
            <w:pPr>
              <w:rPr>
                <w:rFonts w:cs="Arial"/>
                <w:sz w:val="16"/>
                <w:szCs w:val="16"/>
              </w:rPr>
            </w:pPr>
            <w:r w:rsidRPr="0068151C">
              <w:rPr>
                <w:rFonts w:cs="Arial"/>
                <w:sz w:val="16"/>
                <w:szCs w:val="16"/>
              </w:rPr>
              <w:t>70%</w:t>
            </w:r>
          </w:p>
        </w:tc>
        <w:tc>
          <w:tcPr>
            <w:tcW w:w="1699" w:type="pct"/>
            <w:shd w:val="clear" w:color="auto" w:fill="FFFFFF"/>
            <w:tcMar>
              <w:top w:w="110" w:type="dxa"/>
            </w:tcMar>
          </w:tcPr>
          <w:p w:rsidR="005660B2" w:rsidRPr="0068151C" w:rsidRDefault="005660B2" w:rsidP="0068151C">
            <w:pPr>
              <w:rPr>
                <w:rFonts w:cs="Arial"/>
                <w:sz w:val="16"/>
                <w:szCs w:val="16"/>
              </w:rPr>
            </w:pPr>
            <w:r w:rsidRPr="0068151C">
              <w:rPr>
                <w:rFonts w:cs="Arial"/>
                <w:sz w:val="16"/>
                <w:szCs w:val="16"/>
                <w:lang w:bidi="th-TH"/>
              </w:rPr>
              <w:t>No data provided by TISCs in time for publication</w:t>
            </w:r>
            <w:r w:rsidR="00C961E8">
              <w:rPr>
                <w:rFonts w:cs="Arial"/>
                <w:sz w:val="16"/>
                <w:szCs w:val="16"/>
                <w:lang w:bidi="th-TH"/>
              </w:rPr>
              <w:t>.</w:t>
            </w:r>
          </w:p>
        </w:tc>
        <w:tc>
          <w:tcPr>
            <w:tcW w:w="682" w:type="pct"/>
            <w:shd w:val="clear" w:color="auto" w:fill="auto"/>
            <w:tcMar>
              <w:top w:w="110" w:type="dxa"/>
            </w:tcMar>
          </w:tcPr>
          <w:p w:rsidR="005660B2" w:rsidRPr="0068151C" w:rsidRDefault="005660B2" w:rsidP="0068151C">
            <w:pPr>
              <w:keepNext/>
              <w:keepLines/>
              <w:jc w:val="center"/>
              <w:rPr>
                <w:rFonts w:cs="Arial"/>
                <w:bCs/>
                <w:color w:val="FF0000"/>
                <w:sz w:val="16"/>
                <w:szCs w:val="16"/>
              </w:rPr>
            </w:pPr>
            <w:r w:rsidRPr="0068151C">
              <w:rPr>
                <w:rFonts w:cs="Arial"/>
                <w:bCs/>
                <w:color w:val="FF0000"/>
                <w:sz w:val="16"/>
                <w:szCs w:val="16"/>
              </w:rPr>
              <w:t>Not</w:t>
            </w:r>
          </w:p>
          <w:p w:rsidR="005660B2" w:rsidRPr="0068151C" w:rsidRDefault="005660B2" w:rsidP="0068151C">
            <w:pPr>
              <w:keepNext/>
              <w:keepLines/>
              <w:jc w:val="center"/>
              <w:rPr>
                <w:rFonts w:cs="Arial"/>
                <w:bCs/>
                <w:color w:val="808080"/>
                <w:sz w:val="16"/>
                <w:szCs w:val="16"/>
              </w:rPr>
            </w:pPr>
            <w:r w:rsidRPr="0068151C">
              <w:rPr>
                <w:rFonts w:cs="Arial"/>
                <w:bCs/>
                <w:color w:val="FF0000"/>
                <w:sz w:val="16"/>
                <w:szCs w:val="16"/>
              </w:rPr>
              <w:t>Achieved</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t>No. of users of the value-added information services (technology search service, Patent Landscape Reports and ICE)</w:t>
            </w:r>
          </w:p>
        </w:tc>
        <w:tc>
          <w:tcPr>
            <w:tcW w:w="914" w:type="pct"/>
            <w:shd w:val="clear" w:color="auto" w:fill="auto"/>
          </w:tcPr>
          <w:p w:rsidR="005660B2" w:rsidRPr="0068151C" w:rsidRDefault="005660B2" w:rsidP="0068151C">
            <w:pPr>
              <w:rPr>
                <w:rFonts w:cs="Arial"/>
                <w:color w:val="002060"/>
                <w:sz w:val="16"/>
                <w:szCs w:val="16"/>
                <w:lang w:bidi="th-TH"/>
              </w:rPr>
            </w:pPr>
            <w:r w:rsidRPr="0068151C">
              <w:rPr>
                <w:rFonts w:cs="Arial"/>
                <w:i/>
                <w:color w:val="002060"/>
                <w:sz w:val="16"/>
                <w:szCs w:val="16"/>
              </w:rPr>
              <w:t>Updated Baseline end 2011:</w:t>
            </w:r>
            <w:r w:rsidRPr="0068151C">
              <w:rPr>
                <w:rFonts w:cs="Arial"/>
                <w:color w:val="002060"/>
                <w:sz w:val="16"/>
                <w:szCs w:val="16"/>
              </w:rPr>
              <w:br/>
            </w:r>
            <w:r w:rsidRPr="0068151C">
              <w:rPr>
                <w:rFonts w:cs="Arial"/>
                <w:color w:val="002060"/>
                <w:sz w:val="16"/>
                <w:szCs w:val="16"/>
                <w:lang w:bidi="th-TH"/>
              </w:rPr>
              <w:t>For ICE/WPIS service:</w:t>
            </w:r>
          </w:p>
          <w:p w:rsidR="005660B2" w:rsidRPr="0068151C" w:rsidRDefault="005660B2" w:rsidP="0068151C">
            <w:pPr>
              <w:rPr>
                <w:rFonts w:cs="Arial"/>
                <w:color w:val="002060"/>
                <w:sz w:val="16"/>
                <w:szCs w:val="16"/>
                <w:lang w:bidi="th-TH"/>
              </w:rPr>
            </w:pPr>
            <w:r w:rsidRPr="0068151C">
              <w:rPr>
                <w:rFonts w:cs="Arial"/>
                <w:color w:val="002060"/>
                <w:sz w:val="16"/>
                <w:szCs w:val="16"/>
                <w:lang w:bidi="th-TH"/>
              </w:rPr>
              <w:t>284 search requests received in 2011 from 16 countries, including 107 ICE examination requests</w:t>
            </w:r>
          </w:p>
          <w:p w:rsidR="005660B2" w:rsidRPr="000B3714" w:rsidRDefault="005660B2" w:rsidP="0068151C">
            <w:pPr>
              <w:rPr>
                <w:rFonts w:cs="Arial"/>
                <w:color w:val="002060"/>
                <w:sz w:val="8"/>
                <w:szCs w:val="8"/>
                <w:lang w:bidi="th-TH"/>
              </w:rPr>
            </w:pPr>
          </w:p>
          <w:p w:rsidR="005660B2" w:rsidRPr="0068151C" w:rsidRDefault="005660B2" w:rsidP="0068151C">
            <w:pPr>
              <w:rPr>
                <w:rFonts w:cs="Arial"/>
                <w:color w:val="002060"/>
                <w:sz w:val="16"/>
                <w:szCs w:val="16"/>
                <w:lang w:bidi="th-TH"/>
              </w:rPr>
            </w:pPr>
            <w:r w:rsidRPr="0068151C">
              <w:rPr>
                <w:rFonts w:cs="Arial"/>
                <w:color w:val="002060"/>
                <w:sz w:val="16"/>
                <w:szCs w:val="16"/>
                <w:lang w:bidi="th-TH"/>
              </w:rPr>
              <w:t>For PLRs:</w:t>
            </w:r>
          </w:p>
          <w:p w:rsidR="005660B2" w:rsidRPr="0068151C" w:rsidRDefault="005660B2" w:rsidP="0068151C">
            <w:pPr>
              <w:rPr>
                <w:rFonts w:cs="Arial"/>
                <w:i/>
                <w:sz w:val="16"/>
                <w:szCs w:val="16"/>
                <w:lang w:bidi="th-TH"/>
              </w:rPr>
            </w:pPr>
            <w:r w:rsidRPr="0068151C">
              <w:rPr>
                <w:rFonts w:cs="Arial"/>
                <w:color w:val="002060"/>
                <w:sz w:val="16"/>
                <w:szCs w:val="16"/>
                <w:lang w:bidi="th-TH"/>
              </w:rPr>
              <w:t>Cooperation partners:  around 20 No. of unique page views 2,000 hits;  No. of downloads 1,500</w:t>
            </w:r>
          </w:p>
          <w:p w:rsidR="005660B2" w:rsidRPr="000B3714" w:rsidRDefault="005660B2" w:rsidP="0068151C">
            <w:pPr>
              <w:rPr>
                <w:rFonts w:cs="Arial"/>
                <w:i/>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r w:rsidRPr="0068151C">
              <w:rPr>
                <w:rFonts w:cs="Arial"/>
                <w:sz w:val="16"/>
                <w:szCs w:val="16"/>
              </w:rPr>
              <w:t>Tbd by end 2011</w:t>
            </w:r>
          </w:p>
        </w:tc>
        <w:tc>
          <w:tcPr>
            <w:tcW w:w="874" w:type="pct"/>
            <w:shd w:val="clear" w:color="auto" w:fill="auto"/>
            <w:tcMar>
              <w:top w:w="110" w:type="dxa"/>
            </w:tcMar>
          </w:tcPr>
          <w:p w:rsidR="005660B2" w:rsidRPr="0068151C" w:rsidRDefault="005660B2" w:rsidP="0068151C">
            <w:pPr>
              <w:rPr>
                <w:rFonts w:cs="Arial"/>
                <w:i/>
                <w:sz w:val="16"/>
                <w:szCs w:val="16"/>
              </w:rPr>
            </w:pPr>
            <w:r w:rsidRPr="0068151C">
              <w:rPr>
                <w:rFonts w:cs="Arial"/>
                <w:sz w:val="16"/>
                <w:szCs w:val="16"/>
              </w:rPr>
              <w:t>Tbd by end 2011</w:t>
            </w:r>
          </w:p>
        </w:tc>
        <w:tc>
          <w:tcPr>
            <w:tcW w:w="1699"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lang w:bidi="th-TH"/>
              </w:rPr>
              <w:t xml:space="preserve">For ICE/WPIS service: </w:t>
            </w:r>
            <w:r w:rsidR="00C961E8">
              <w:rPr>
                <w:rFonts w:cs="Arial"/>
                <w:sz w:val="16"/>
                <w:szCs w:val="16"/>
                <w:lang w:bidi="th-TH"/>
              </w:rPr>
              <w:t xml:space="preserve"> </w:t>
            </w:r>
            <w:r w:rsidRPr="0068151C">
              <w:rPr>
                <w:rFonts w:cs="Arial"/>
                <w:sz w:val="16"/>
                <w:szCs w:val="16"/>
                <w:lang w:bidi="th-TH"/>
              </w:rPr>
              <w:t xml:space="preserve">435 search requests received in 2012/13 from </w:t>
            </w:r>
            <w:r w:rsidR="00C961E8" w:rsidRPr="0068151C">
              <w:rPr>
                <w:rFonts w:cs="Arial"/>
                <w:sz w:val="16"/>
                <w:szCs w:val="16"/>
                <w:lang w:bidi="th-TH"/>
              </w:rPr>
              <w:t>19</w:t>
            </w:r>
            <w:r w:rsidR="00C961E8">
              <w:rPr>
                <w:rFonts w:cs="Arial"/>
                <w:sz w:val="16"/>
                <w:szCs w:val="16"/>
                <w:lang w:bidi="th-TH"/>
              </w:rPr>
              <w:t> </w:t>
            </w:r>
            <w:r w:rsidRPr="0068151C">
              <w:rPr>
                <w:rFonts w:cs="Arial"/>
                <w:sz w:val="16"/>
                <w:szCs w:val="16"/>
                <w:lang w:bidi="th-TH"/>
              </w:rPr>
              <w:t>countries, including 214 ICE examination requests.</w:t>
            </w:r>
          </w:p>
          <w:p w:rsidR="005660B2" w:rsidRPr="0068151C" w:rsidRDefault="005660B2" w:rsidP="0068151C">
            <w:pPr>
              <w:rPr>
                <w:rFonts w:cs="Arial"/>
                <w:sz w:val="16"/>
                <w:szCs w:val="16"/>
                <w:lang w:bidi="th-TH"/>
              </w:rPr>
            </w:pPr>
          </w:p>
          <w:p w:rsidR="005660B2" w:rsidRPr="0068151C" w:rsidRDefault="005660B2" w:rsidP="0068151C">
            <w:pPr>
              <w:rPr>
                <w:rFonts w:cs="Arial"/>
                <w:sz w:val="16"/>
                <w:szCs w:val="16"/>
              </w:rPr>
            </w:pPr>
            <w:r w:rsidRPr="0068151C">
              <w:rPr>
                <w:rFonts w:cs="Arial"/>
                <w:sz w:val="16"/>
                <w:szCs w:val="16"/>
              </w:rPr>
              <w:t xml:space="preserve">For PLRs:  </w:t>
            </w:r>
          </w:p>
          <w:p w:rsidR="005660B2" w:rsidRPr="0068151C" w:rsidRDefault="005660B2" w:rsidP="0068151C">
            <w:pPr>
              <w:rPr>
                <w:rFonts w:cs="Arial"/>
                <w:sz w:val="16"/>
                <w:szCs w:val="16"/>
              </w:rPr>
            </w:pPr>
            <w:r w:rsidRPr="0068151C">
              <w:rPr>
                <w:rFonts w:cs="Arial"/>
                <w:sz w:val="16"/>
                <w:szCs w:val="16"/>
              </w:rPr>
              <w:t>Cooperation partners: around 20</w:t>
            </w:r>
          </w:p>
          <w:p w:rsidR="005660B2" w:rsidRPr="0068151C" w:rsidRDefault="005660B2" w:rsidP="005703CF">
            <w:pPr>
              <w:pStyle w:val="ListParagraph"/>
              <w:numPr>
                <w:ilvl w:val="0"/>
                <w:numId w:val="41"/>
              </w:numPr>
              <w:rPr>
                <w:rFonts w:cs="Arial"/>
                <w:sz w:val="16"/>
                <w:szCs w:val="16"/>
              </w:rPr>
            </w:pPr>
            <w:r w:rsidRPr="0068151C">
              <w:rPr>
                <w:rFonts w:cs="Arial"/>
                <w:sz w:val="16"/>
                <w:szCs w:val="16"/>
              </w:rPr>
              <w:t xml:space="preserve">No. of page views 19,401 (unique clicks) </w:t>
            </w:r>
          </w:p>
          <w:p w:rsidR="005660B2" w:rsidRPr="0068151C" w:rsidRDefault="005660B2" w:rsidP="005703CF">
            <w:pPr>
              <w:pStyle w:val="ListParagraph"/>
              <w:numPr>
                <w:ilvl w:val="0"/>
                <w:numId w:val="41"/>
              </w:numPr>
              <w:rPr>
                <w:rFonts w:cs="Arial"/>
                <w:sz w:val="16"/>
                <w:szCs w:val="16"/>
              </w:rPr>
            </w:pPr>
            <w:r w:rsidRPr="0068151C">
              <w:rPr>
                <w:rFonts w:cs="Arial"/>
                <w:sz w:val="16"/>
                <w:szCs w:val="16"/>
              </w:rPr>
              <w:t xml:space="preserve">No. of downloads 26,487 (PDF) </w:t>
            </w:r>
          </w:p>
          <w:p w:rsidR="005660B2" w:rsidRPr="0068151C" w:rsidRDefault="005660B2" w:rsidP="005703CF">
            <w:pPr>
              <w:pStyle w:val="ListParagraph"/>
              <w:numPr>
                <w:ilvl w:val="0"/>
                <w:numId w:val="41"/>
              </w:numPr>
              <w:rPr>
                <w:rFonts w:cs="Arial"/>
                <w:sz w:val="16"/>
                <w:szCs w:val="16"/>
              </w:rPr>
            </w:pPr>
            <w:r w:rsidRPr="0068151C">
              <w:rPr>
                <w:rFonts w:cs="Arial"/>
                <w:sz w:val="16"/>
                <w:szCs w:val="16"/>
              </w:rPr>
              <w:t>E-waste PLR, published on</w:t>
            </w:r>
            <w:r w:rsidRPr="0068151C">
              <w:rPr>
                <w:rFonts w:cs="Arial"/>
                <w:sz w:val="16"/>
                <w:szCs w:val="16"/>
              </w:rPr>
              <w:br/>
              <w:t>December 12, 2013, received 1,000 hits in two weeks.</w:t>
            </w:r>
          </w:p>
        </w:tc>
        <w:tc>
          <w:tcPr>
            <w:tcW w:w="682" w:type="pct"/>
            <w:shd w:val="clear" w:color="auto" w:fill="auto"/>
            <w:tcMar>
              <w:top w:w="110" w:type="dxa"/>
            </w:tcMar>
          </w:tcPr>
          <w:p w:rsidR="005660B2" w:rsidRPr="00C961E8" w:rsidRDefault="005660B2" w:rsidP="0068151C">
            <w:pPr>
              <w:keepNext/>
              <w:keepLines/>
              <w:jc w:val="center"/>
              <w:rPr>
                <w:rFonts w:cs="Arial"/>
                <w:bCs/>
                <w:color w:val="404040" w:themeColor="text1" w:themeTint="BF"/>
                <w:sz w:val="16"/>
                <w:szCs w:val="16"/>
              </w:rPr>
            </w:pPr>
            <w:r w:rsidRPr="00C961E8">
              <w:rPr>
                <w:rFonts w:cs="Arial"/>
                <w:bCs/>
                <w:color w:val="404040" w:themeColor="text1" w:themeTint="BF"/>
                <w:sz w:val="16"/>
                <w:szCs w:val="16"/>
              </w:rPr>
              <w:t>Not Assessable</w:t>
            </w:r>
            <w:r w:rsidRPr="00C961E8" w:rsidDel="003E3A37">
              <w:rPr>
                <w:rFonts w:cs="Arial"/>
                <w:bCs/>
                <w:color w:val="404040" w:themeColor="text1" w:themeTint="BF"/>
                <w:sz w:val="16"/>
                <w:szCs w:val="16"/>
              </w:rPr>
              <w:t xml:space="preserve"> </w:t>
            </w:r>
          </w:p>
          <w:p w:rsidR="005660B2" w:rsidRPr="00C961E8" w:rsidRDefault="005660B2" w:rsidP="0068151C">
            <w:pPr>
              <w:keepNext/>
              <w:keepLines/>
              <w:jc w:val="center"/>
              <w:rPr>
                <w:rFonts w:cs="Arial"/>
                <w:bCs/>
                <w:color w:val="404040" w:themeColor="text1" w:themeTint="BF"/>
                <w:sz w:val="16"/>
                <w:szCs w:val="16"/>
              </w:rPr>
            </w:pPr>
          </w:p>
          <w:p w:rsidR="005660B2" w:rsidRPr="00C961E8" w:rsidRDefault="005660B2" w:rsidP="0068151C">
            <w:pPr>
              <w:keepNext/>
              <w:keepLines/>
              <w:jc w:val="center"/>
              <w:rPr>
                <w:rFonts w:cs="Arial"/>
                <w:bCs/>
                <w:color w:val="404040" w:themeColor="text1" w:themeTint="BF"/>
                <w:sz w:val="16"/>
                <w:szCs w:val="16"/>
              </w:rPr>
            </w:pPr>
          </w:p>
          <w:p w:rsidR="005660B2" w:rsidRPr="0068151C" w:rsidRDefault="005660B2" w:rsidP="0068151C">
            <w:pPr>
              <w:keepNext/>
              <w:keepLines/>
              <w:jc w:val="center"/>
              <w:rPr>
                <w:rFonts w:cs="Arial"/>
                <w:bCs/>
                <w:color w:val="808080"/>
                <w:sz w:val="16"/>
                <w:szCs w:val="16"/>
              </w:rPr>
            </w:pPr>
            <w:r w:rsidRPr="00C961E8">
              <w:rPr>
                <w:rFonts w:cs="Arial"/>
                <w:bCs/>
                <w:color w:val="404040" w:themeColor="text1" w:themeTint="BF"/>
                <w:sz w:val="16"/>
                <w:szCs w:val="16"/>
              </w:rPr>
              <w:t>Not Assessable</w:t>
            </w:r>
          </w:p>
        </w:tc>
      </w:tr>
      <w:tr w:rsidR="005660B2" w:rsidRPr="0068151C" w:rsidTr="000B3714">
        <w:trPr>
          <w:cantSplit/>
        </w:trPr>
        <w:tc>
          <w:tcPr>
            <w:tcW w:w="831" w:type="pct"/>
            <w:shd w:val="clear" w:color="auto" w:fill="auto"/>
          </w:tcPr>
          <w:p w:rsidR="005660B2" w:rsidRPr="0068151C" w:rsidRDefault="005660B2" w:rsidP="0068151C">
            <w:pPr>
              <w:rPr>
                <w:rFonts w:cs="Arial"/>
                <w:sz w:val="16"/>
                <w:szCs w:val="16"/>
              </w:rPr>
            </w:pPr>
            <w:r w:rsidRPr="0068151C">
              <w:rPr>
                <w:rFonts w:cs="Arial"/>
                <w:sz w:val="16"/>
                <w:szCs w:val="16"/>
              </w:rPr>
              <w:t>% of recipients satisfied with the value-added information services (technology search service, Patent Landscape Reports and ICE)</w:t>
            </w:r>
          </w:p>
        </w:tc>
        <w:tc>
          <w:tcPr>
            <w:tcW w:w="914" w:type="pct"/>
            <w:shd w:val="clear" w:color="auto" w:fill="auto"/>
          </w:tcPr>
          <w:p w:rsidR="005660B2" w:rsidRPr="0068151C" w:rsidRDefault="005660B2" w:rsidP="0068151C">
            <w:pPr>
              <w:rPr>
                <w:rFonts w:cs="Arial"/>
                <w:color w:val="002060"/>
                <w:sz w:val="16"/>
                <w:szCs w:val="16"/>
                <w:lang w:bidi="th-TH"/>
              </w:rPr>
            </w:pPr>
            <w:r w:rsidRPr="0068151C">
              <w:rPr>
                <w:rFonts w:cs="Arial"/>
                <w:i/>
                <w:color w:val="002060"/>
                <w:sz w:val="16"/>
                <w:szCs w:val="16"/>
              </w:rPr>
              <w:t>Updated Baseline end 2011:</w:t>
            </w:r>
            <w:r w:rsidRPr="0068151C">
              <w:rPr>
                <w:rFonts w:cs="Arial"/>
                <w:color w:val="002060"/>
                <w:sz w:val="16"/>
                <w:szCs w:val="16"/>
              </w:rPr>
              <w:br/>
            </w:r>
            <w:r w:rsidRPr="0068151C">
              <w:rPr>
                <w:rFonts w:cs="Arial"/>
                <w:color w:val="002060"/>
                <w:sz w:val="16"/>
                <w:szCs w:val="16"/>
                <w:lang w:bidi="th-TH"/>
              </w:rPr>
              <w:t>For ICE/WPIS: 70%</w:t>
            </w:r>
          </w:p>
          <w:p w:rsidR="005660B2" w:rsidRPr="0068151C" w:rsidRDefault="005660B2" w:rsidP="0068151C">
            <w:pPr>
              <w:rPr>
                <w:rFonts w:cs="Arial"/>
                <w:color w:val="002060"/>
                <w:sz w:val="16"/>
                <w:szCs w:val="16"/>
                <w:lang w:bidi="th-TH"/>
              </w:rPr>
            </w:pPr>
            <w:r w:rsidRPr="0068151C">
              <w:rPr>
                <w:rFonts w:cs="Arial"/>
                <w:color w:val="002060"/>
                <w:sz w:val="16"/>
                <w:szCs w:val="16"/>
                <w:lang w:bidi="th-TH"/>
              </w:rPr>
              <w:t>For PLR:</w:t>
            </w:r>
          </w:p>
          <w:p w:rsidR="005660B2" w:rsidRPr="0068151C" w:rsidRDefault="005660B2" w:rsidP="0068151C">
            <w:pPr>
              <w:rPr>
                <w:rFonts w:cs="Arial"/>
                <w:color w:val="002060"/>
                <w:sz w:val="16"/>
                <w:szCs w:val="16"/>
                <w:lang w:bidi="th-TH"/>
              </w:rPr>
            </w:pPr>
            <w:r w:rsidRPr="0068151C">
              <w:rPr>
                <w:rFonts w:cs="Arial"/>
                <w:color w:val="002060"/>
                <w:sz w:val="16"/>
                <w:szCs w:val="16"/>
                <w:lang w:bidi="th-TH"/>
              </w:rPr>
              <w:t>For first level users 70%</w:t>
            </w:r>
          </w:p>
          <w:p w:rsidR="005660B2" w:rsidRPr="0068151C" w:rsidRDefault="005660B2" w:rsidP="0068151C">
            <w:pPr>
              <w:rPr>
                <w:rFonts w:cs="Arial"/>
                <w:i/>
                <w:color w:val="002060"/>
                <w:sz w:val="16"/>
                <w:szCs w:val="16"/>
                <w:lang w:bidi="th-TH"/>
              </w:rPr>
            </w:pPr>
            <w:r w:rsidRPr="0068151C">
              <w:rPr>
                <w:rFonts w:cs="Arial"/>
                <w:color w:val="002060"/>
                <w:sz w:val="16"/>
                <w:szCs w:val="16"/>
                <w:lang w:bidi="th-TH"/>
              </w:rPr>
              <w:t>For second level users 50%</w:t>
            </w:r>
          </w:p>
          <w:p w:rsidR="005660B2" w:rsidRPr="000B3714" w:rsidRDefault="005660B2" w:rsidP="0068151C">
            <w:pPr>
              <w:rPr>
                <w:rFonts w:cs="Arial"/>
                <w:i/>
                <w:sz w:val="8"/>
                <w:szCs w:val="8"/>
                <w:lang w:bidi="th-TH"/>
              </w:rPr>
            </w:pPr>
          </w:p>
          <w:p w:rsidR="005660B2" w:rsidRPr="0068151C" w:rsidRDefault="005660B2" w:rsidP="0068151C">
            <w:pPr>
              <w:rPr>
                <w:rFonts w:cs="Arial"/>
                <w:sz w:val="16"/>
                <w:szCs w:val="16"/>
                <w:lang w:bidi="th-TH"/>
              </w:rPr>
            </w:pPr>
            <w:r w:rsidRPr="0068151C">
              <w:rPr>
                <w:rFonts w:cs="Arial"/>
                <w:i/>
                <w:sz w:val="16"/>
                <w:szCs w:val="16"/>
                <w:lang w:bidi="th-TH"/>
              </w:rPr>
              <w:t>Original Baseline</w:t>
            </w:r>
          </w:p>
          <w:p w:rsidR="005660B2" w:rsidRPr="0068151C" w:rsidRDefault="005660B2" w:rsidP="0068151C">
            <w:pPr>
              <w:rPr>
                <w:rFonts w:cs="Arial"/>
                <w:sz w:val="16"/>
                <w:szCs w:val="16"/>
              </w:rPr>
            </w:pPr>
            <w:r w:rsidRPr="0068151C">
              <w:rPr>
                <w:rFonts w:cs="Arial"/>
                <w:i/>
                <w:sz w:val="16"/>
                <w:szCs w:val="16"/>
              </w:rPr>
              <w:t>P&amp;B 2012/13:</w:t>
            </w:r>
          </w:p>
          <w:p w:rsidR="005660B2" w:rsidRPr="0068151C" w:rsidRDefault="005660B2" w:rsidP="0068151C">
            <w:pPr>
              <w:rPr>
                <w:rFonts w:cs="Arial"/>
                <w:sz w:val="16"/>
                <w:szCs w:val="16"/>
              </w:rPr>
            </w:pPr>
            <w:r w:rsidRPr="0068151C">
              <w:rPr>
                <w:rFonts w:cs="Arial"/>
                <w:sz w:val="16"/>
                <w:szCs w:val="16"/>
              </w:rPr>
              <w:t>n/a</w:t>
            </w:r>
          </w:p>
        </w:tc>
        <w:tc>
          <w:tcPr>
            <w:tcW w:w="874" w:type="pct"/>
            <w:shd w:val="clear" w:color="auto" w:fill="auto"/>
            <w:tcMar>
              <w:top w:w="110" w:type="dxa"/>
            </w:tcMar>
          </w:tcPr>
          <w:p w:rsidR="005660B2" w:rsidRPr="0068151C" w:rsidRDefault="005660B2" w:rsidP="0068151C">
            <w:pPr>
              <w:rPr>
                <w:rFonts w:cs="Arial"/>
                <w:i/>
                <w:sz w:val="16"/>
                <w:szCs w:val="16"/>
              </w:rPr>
            </w:pPr>
            <w:r w:rsidRPr="0068151C">
              <w:rPr>
                <w:rFonts w:cs="Arial"/>
                <w:sz w:val="16"/>
                <w:szCs w:val="16"/>
              </w:rPr>
              <w:t>70%</w:t>
            </w:r>
          </w:p>
        </w:tc>
        <w:tc>
          <w:tcPr>
            <w:tcW w:w="1699" w:type="pct"/>
            <w:shd w:val="clear" w:color="auto" w:fill="FFFFFF"/>
            <w:tcMar>
              <w:top w:w="110" w:type="dxa"/>
            </w:tcMar>
          </w:tcPr>
          <w:p w:rsidR="005660B2" w:rsidRPr="0068151C" w:rsidRDefault="005660B2" w:rsidP="0068151C">
            <w:pPr>
              <w:rPr>
                <w:rFonts w:cs="Arial"/>
                <w:sz w:val="16"/>
                <w:szCs w:val="16"/>
                <w:lang w:bidi="th-TH"/>
              </w:rPr>
            </w:pPr>
            <w:r w:rsidRPr="0068151C">
              <w:rPr>
                <w:rFonts w:cs="Arial"/>
                <w:sz w:val="16"/>
                <w:szCs w:val="16"/>
              </w:rPr>
              <w:t xml:space="preserve">No satisfaction surveys for WPIS and ICE were conducted. </w:t>
            </w:r>
            <w:r w:rsidR="00C961E8">
              <w:rPr>
                <w:rFonts w:cs="Arial"/>
                <w:sz w:val="16"/>
                <w:szCs w:val="16"/>
              </w:rPr>
              <w:t xml:space="preserve"> </w:t>
            </w:r>
            <w:r w:rsidRPr="0068151C">
              <w:rPr>
                <w:rFonts w:cs="Arial"/>
                <w:sz w:val="16"/>
                <w:szCs w:val="16"/>
              </w:rPr>
              <w:t>Discussions with donor offices on how to evaluate and retrieve feedback for the work carried out are under way.</w:t>
            </w:r>
          </w:p>
          <w:p w:rsidR="005660B2" w:rsidRPr="0068151C" w:rsidRDefault="005660B2" w:rsidP="0068151C">
            <w:pPr>
              <w:rPr>
                <w:rFonts w:cs="Arial"/>
                <w:sz w:val="16"/>
                <w:szCs w:val="16"/>
                <w:lang w:bidi="th-TH"/>
              </w:rPr>
            </w:pPr>
          </w:p>
          <w:p w:rsidR="005660B2" w:rsidRPr="0068151C" w:rsidRDefault="005660B2" w:rsidP="0068151C">
            <w:pPr>
              <w:rPr>
                <w:rFonts w:cs="Arial"/>
                <w:sz w:val="16"/>
                <w:szCs w:val="16"/>
                <w:lang w:bidi="th-TH"/>
              </w:rPr>
            </w:pPr>
            <w:r w:rsidRPr="0068151C">
              <w:rPr>
                <w:rFonts w:cs="Arial"/>
                <w:sz w:val="16"/>
                <w:szCs w:val="16"/>
                <w:lang w:bidi="th-TH"/>
              </w:rPr>
              <w:t>A satisfaction survey for the PLR was carried out in March 2014 and received 39 responses (3 first level users</w:t>
            </w:r>
            <w:proofErr w:type="gramStart"/>
            <w:r w:rsidRPr="0068151C">
              <w:rPr>
                <w:rFonts w:cs="Arial"/>
                <w:sz w:val="16"/>
                <w:szCs w:val="16"/>
                <w:lang w:bidi="th-TH"/>
              </w:rPr>
              <w:t xml:space="preserve">; </w:t>
            </w:r>
            <w:r w:rsidR="00C961E8">
              <w:rPr>
                <w:rFonts w:cs="Arial"/>
                <w:sz w:val="16"/>
                <w:szCs w:val="16"/>
                <w:lang w:bidi="th-TH"/>
              </w:rPr>
              <w:t xml:space="preserve"> </w:t>
            </w:r>
            <w:r w:rsidR="00C961E8" w:rsidRPr="0068151C">
              <w:rPr>
                <w:rFonts w:cs="Arial"/>
                <w:sz w:val="16"/>
                <w:szCs w:val="16"/>
                <w:lang w:bidi="th-TH"/>
              </w:rPr>
              <w:t>36</w:t>
            </w:r>
            <w:proofErr w:type="gramEnd"/>
            <w:r w:rsidR="00C961E8">
              <w:rPr>
                <w:rFonts w:cs="Arial"/>
                <w:sz w:val="16"/>
                <w:szCs w:val="16"/>
                <w:lang w:bidi="th-TH"/>
              </w:rPr>
              <w:t> </w:t>
            </w:r>
            <w:r w:rsidRPr="0068151C">
              <w:rPr>
                <w:rFonts w:cs="Arial"/>
                <w:sz w:val="16"/>
                <w:szCs w:val="16"/>
                <w:lang w:bidi="th-TH"/>
              </w:rPr>
              <w:t>second level users).  The results showed that approximately 70% of the users were satisfied with the quality of the reports:</w:t>
            </w:r>
          </w:p>
          <w:p w:rsidR="005660B2" w:rsidRPr="0068151C" w:rsidRDefault="005660B2" w:rsidP="005703CF">
            <w:pPr>
              <w:pStyle w:val="ListParagraph"/>
              <w:numPr>
                <w:ilvl w:val="0"/>
                <w:numId w:val="42"/>
              </w:numPr>
              <w:rPr>
                <w:rFonts w:cs="Arial"/>
                <w:sz w:val="16"/>
                <w:szCs w:val="16"/>
                <w:lang w:bidi="th-TH"/>
              </w:rPr>
            </w:pPr>
            <w:r w:rsidRPr="0068151C">
              <w:rPr>
                <w:rFonts w:cs="Arial"/>
                <w:sz w:val="16"/>
                <w:szCs w:val="16"/>
                <w:lang w:bidi="th-TH"/>
              </w:rPr>
              <w:t>78% found the presentation of the technical issues excellent or very good</w:t>
            </w:r>
          </w:p>
          <w:p w:rsidR="005660B2" w:rsidRPr="0068151C" w:rsidRDefault="005660B2" w:rsidP="005703CF">
            <w:pPr>
              <w:pStyle w:val="ListParagraph"/>
              <w:numPr>
                <w:ilvl w:val="0"/>
                <w:numId w:val="42"/>
              </w:numPr>
              <w:rPr>
                <w:rFonts w:cs="Arial"/>
                <w:sz w:val="16"/>
                <w:szCs w:val="16"/>
                <w:lang w:bidi="th-TH"/>
              </w:rPr>
            </w:pPr>
            <w:r w:rsidRPr="0068151C">
              <w:rPr>
                <w:rFonts w:cs="Arial"/>
                <w:sz w:val="16"/>
                <w:szCs w:val="16"/>
                <w:lang w:bidi="th-TH"/>
              </w:rPr>
              <w:t xml:space="preserve">69.% found the presentation of the results excellent or very good </w:t>
            </w:r>
          </w:p>
          <w:p w:rsidR="005660B2" w:rsidRPr="000B3714" w:rsidRDefault="005660B2" w:rsidP="005703CF">
            <w:pPr>
              <w:pStyle w:val="ListParagraph"/>
              <w:numPr>
                <w:ilvl w:val="0"/>
                <w:numId w:val="42"/>
              </w:numPr>
              <w:rPr>
                <w:rFonts w:cs="Arial"/>
                <w:lang w:bidi="th-TH"/>
              </w:rPr>
            </w:pPr>
            <w:r w:rsidRPr="0068151C">
              <w:rPr>
                <w:rFonts w:cs="Arial"/>
                <w:sz w:val="16"/>
                <w:szCs w:val="16"/>
                <w:lang w:bidi="th-TH"/>
              </w:rPr>
              <w:t>69% found the reports very closely or closely related to their work</w:t>
            </w:r>
          </w:p>
        </w:tc>
        <w:tc>
          <w:tcPr>
            <w:tcW w:w="682" w:type="pct"/>
            <w:shd w:val="clear" w:color="auto" w:fill="auto"/>
            <w:tcMar>
              <w:top w:w="110" w:type="dxa"/>
            </w:tcMar>
          </w:tcPr>
          <w:p w:rsidR="005660B2" w:rsidRPr="0068151C" w:rsidRDefault="005660B2" w:rsidP="0068151C">
            <w:pPr>
              <w:keepNext/>
              <w:keepLines/>
              <w:jc w:val="center"/>
              <w:rPr>
                <w:rFonts w:cs="Arial"/>
                <w:bCs/>
                <w:color w:val="FF0000"/>
                <w:sz w:val="16"/>
                <w:szCs w:val="16"/>
              </w:rPr>
            </w:pPr>
            <w:r w:rsidRPr="0068151C">
              <w:rPr>
                <w:rFonts w:cs="Arial"/>
                <w:bCs/>
                <w:color w:val="FF0000"/>
                <w:sz w:val="16"/>
                <w:szCs w:val="16"/>
              </w:rPr>
              <w:t xml:space="preserve">Not </w:t>
            </w:r>
          </w:p>
          <w:p w:rsidR="005660B2" w:rsidRPr="0068151C" w:rsidRDefault="005660B2" w:rsidP="0068151C">
            <w:pPr>
              <w:keepNext/>
              <w:keepLines/>
              <w:jc w:val="center"/>
              <w:rPr>
                <w:rFonts w:cs="Arial"/>
                <w:bCs/>
                <w:color w:val="808080"/>
                <w:sz w:val="16"/>
                <w:szCs w:val="16"/>
              </w:rPr>
            </w:pPr>
            <w:r w:rsidRPr="0068151C">
              <w:rPr>
                <w:rFonts w:cs="Arial"/>
                <w:bCs/>
                <w:color w:val="FF0000"/>
                <w:sz w:val="16"/>
                <w:szCs w:val="16"/>
              </w:rPr>
              <w:t>Achieved</w:t>
            </w:r>
          </w:p>
          <w:p w:rsidR="005660B2" w:rsidRPr="0068151C" w:rsidRDefault="005660B2" w:rsidP="0068151C">
            <w:pPr>
              <w:keepNext/>
              <w:keepLines/>
              <w:jc w:val="center"/>
              <w:rPr>
                <w:rFonts w:cs="Arial"/>
                <w:bCs/>
                <w:sz w:val="16"/>
                <w:szCs w:val="16"/>
              </w:rPr>
            </w:pPr>
          </w:p>
          <w:p w:rsidR="005660B2" w:rsidRPr="0068151C" w:rsidRDefault="005660B2" w:rsidP="0068151C">
            <w:pPr>
              <w:keepNext/>
              <w:keepLines/>
              <w:jc w:val="center"/>
              <w:rPr>
                <w:rFonts w:cs="Arial"/>
                <w:bCs/>
                <w:sz w:val="16"/>
                <w:szCs w:val="16"/>
              </w:rPr>
            </w:pPr>
          </w:p>
          <w:p w:rsidR="005660B2" w:rsidRPr="0068151C" w:rsidRDefault="005660B2" w:rsidP="0068151C">
            <w:pPr>
              <w:keepNext/>
              <w:keepLines/>
              <w:jc w:val="center"/>
              <w:rPr>
                <w:rFonts w:cs="Arial"/>
                <w:bCs/>
                <w:sz w:val="16"/>
                <w:szCs w:val="16"/>
              </w:rPr>
            </w:pPr>
          </w:p>
          <w:p w:rsidR="005660B2" w:rsidRPr="0068151C" w:rsidRDefault="005660B2" w:rsidP="0068151C">
            <w:pPr>
              <w:keepNext/>
              <w:keepLines/>
              <w:jc w:val="center"/>
              <w:rPr>
                <w:rFonts w:cs="Arial"/>
                <w:bCs/>
                <w:sz w:val="16"/>
                <w:szCs w:val="16"/>
              </w:rPr>
            </w:pPr>
          </w:p>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r w:rsidR="005660B2" w:rsidRPr="0068151C" w:rsidTr="000B3714">
        <w:trPr>
          <w:cantSplit/>
        </w:trPr>
        <w:tc>
          <w:tcPr>
            <w:tcW w:w="831" w:type="pct"/>
            <w:shd w:val="clear" w:color="auto" w:fill="auto"/>
          </w:tcPr>
          <w:p w:rsidR="005660B2" w:rsidRPr="0068151C" w:rsidRDefault="005660B2">
            <w:pPr>
              <w:rPr>
                <w:rFonts w:cs="Arial"/>
                <w:sz w:val="16"/>
                <w:szCs w:val="16"/>
              </w:rPr>
            </w:pPr>
            <w:r w:rsidRPr="0068151C">
              <w:rPr>
                <w:rFonts w:cs="Arial"/>
                <w:sz w:val="16"/>
                <w:szCs w:val="16"/>
              </w:rPr>
              <w:t xml:space="preserve">Number of registered users of  </w:t>
            </w:r>
            <w:r w:rsidR="00FC59CA">
              <w:rPr>
                <w:rFonts w:cs="Arial"/>
                <w:sz w:val="16"/>
                <w:szCs w:val="16"/>
              </w:rPr>
              <w:t>a</w:t>
            </w:r>
            <w:r w:rsidR="00FC59CA" w:rsidRPr="0068151C">
              <w:rPr>
                <w:rFonts w:cs="Arial"/>
                <w:sz w:val="16"/>
                <w:szCs w:val="16"/>
              </w:rPr>
              <w:t xml:space="preserve">RDI </w:t>
            </w:r>
            <w:r w:rsidRPr="0068151C">
              <w:rPr>
                <w:rFonts w:cs="Arial"/>
                <w:sz w:val="16"/>
                <w:szCs w:val="16"/>
              </w:rPr>
              <w:t>and ASPI</w:t>
            </w:r>
          </w:p>
        </w:tc>
        <w:tc>
          <w:tcPr>
            <w:tcW w:w="914" w:type="pct"/>
            <w:shd w:val="clear" w:color="auto" w:fill="auto"/>
          </w:tcPr>
          <w:p w:rsidR="005660B2" w:rsidRPr="0068151C" w:rsidRDefault="00FC59CA" w:rsidP="0068151C">
            <w:pPr>
              <w:rPr>
                <w:rFonts w:cs="Arial"/>
                <w:sz w:val="16"/>
                <w:szCs w:val="16"/>
              </w:rPr>
            </w:pPr>
            <w:r>
              <w:rPr>
                <w:rFonts w:cs="Arial"/>
                <w:sz w:val="16"/>
                <w:szCs w:val="16"/>
              </w:rPr>
              <w:t>a</w:t>
            </w:r>
            <w:r w:rsidRPr="0068151C">
              <w:rPr>
                <w:rFonts w:cs="Arial"/>
                <w:sz w:val="16"/>
                <w:szCs w:val="16"/>
              </w:rPr>
              <w:t>RDI</w:t>
            </w:r>
            <w:r w:rsidR="005660B2" w:rsidRPr="0068151C">
              <w:rPr>
                <w:rFonts w:cs="Arial"/>
                <w:sz w:val="16"/>
                <w:szCs w:val="16"/>
              </w:rPr>
              <w:t xml:space="preserve">(24), </w:t>
            </w:r>
          </w:p>
          <w:p w:rsidR="005660B2" w:rsidRPr="0068151C" w:rsidRDefault="005660B2" w:rsidP="0068151C">
            <w:pPr>
              <w:rPr>
                <w:rFonts w:cs="Arial"/>
                <w:sz w:val="16"/>
                <w:szCs w:val="16"/>
              </w:rPr>
            </w:pPr>
            <w:r w:rsidRPr="0068151C">
              <w:rPr>
                <w:rFonts w:cs="Arial"/>
                <w:sz w:val="16"/>
                <w:szCs w:val="16"/>
              </w:rPr>
              <w:t>ASPI (6)</w:t>
            </w:r>
          </w:p>
          <w:p w:rsidR="005660B2" w:rsidRPr="0068151C" w:rsidRDefault="005660B2" w:rsidP="0068151C">
            <w:pPr>
              <w:rPr>
                <w:rFonts w:cs="Arial"/>
                <w:sz w:val="16"/>
                <w:szCs w:val="16"/>
              </w:rPr>
            </w:pPr>
          </w:p>
        </w:tc>
        <w:tc>
          <w:tcPr>
            <w:tcW w:w="874" w:type="pct"/>
            <w:shd w:val="clear" w:color="auto" w:fill="auto"/>
            <w:tcMar>
              <w:top w:w="110" w:type="dxa"/>
            </w:tcMar>
          </w:tcPr>
          <w:p w:rsidR="005660B2" w:rsidRPr="0068151C" w:rsidRDefault="00FC59CA" w:rsidP="0068151C">
            <w:pPr>
              <w:rPr>
                <w:rFonts w:cs="Arial"/>
                <w:sz w:val="16"/>
                <w:szCs w:val="16"/>
              </w:rPr>
            </w:pPr>
            <w:r>
              <w:rPr>
                <w:rFonts w:cs="Arial"/>
                <w:sz w:val="16"/>
                <w:szCs w:val="16"/>
              </w:rPr>
              <w:t>a</w:t>
            </w:r>
            <w:r w:rsidRPr="0068151C">
              <w:rPr>
                <w:rFonts w:cs="Arial"/>
                <w:sz w:val="16"/>
                <w:szCs w:val="16"/>
              </w:rPr>
              <w:t xml:space="preserve">RDI </w:t>
            </w:r>
            <w:r w:rsidR="005660B2" w:rsidRPr="0068151C">
              <w:rPr>
                <w:rFonts w:cs="Arial"/>
                <w:sz w:val="16"/>
                <w:szCs w:val="16"/>
              </w:rPr>
              <w:t>50 before end 2013, ASPI 20 before end 2013</w:t>
            </w:r>
          </w:p>
          <w:p w:rsidR="005660B2" w:rsidRPr="0068151C" w:rsidRDefault="005660B2" w:rsidP="0068151C">
            <w:pPr>
              <w:rPr>
                <w:rFonts w:cs="Arial"/>
                <w:i/>
                <w:sz w:val="16"/>
                <w:szCs w:val="16"/>
              </w:rPr>
            </w:pPr>
          </w:p>
        </w:tc>
        <w:tc>
          <w:tcPr>
            <w:tcW w:w="1699" w:type="pct"/>
            <w:shd w:val="clear" w:color="auto" w:fill="FFFFFF"/>
            <w:tcMar>
              <w:top w:w="110" w:type="dxa"/>
            </w:tcMar>
          </w:tcPr>
          <w:p w:rsidR="005660B2" w:rsidRPr="0068151C" w:rsidRDefault="00FC59CA" w:rsidP="0068151C">
            <w:pPr>
              <w:rPr>
                <w:rFonts w:cs="Arial"/>
                <w:sz w:val="16"/>
                <w:szCs w:val="16"/>
                <w:lang w:bidi="th-TH"/>
              </w:rPr>
            </w:pPr>
            <w:r>
              <w:rPr>
                <w:rFonts w:cs="Arial"/>
                <w:sz w:val="16"/>
                <w:szCs w:val="16"/>
                <w:lang w:bidi="th-TH"/>
              </w:rPr>
              <w:t>a</w:t>
            </w:r>
            <w:r w:rsidRPr="0068151C">
              <w:rPr>
                <w:rFonts w:cs="Arial"/>
                <w:sz w:val="16"/>
                <w:szCs w:val="16"/>
                <w:lang w:bidi="th-TH"/>
              </w:rPr>
              <w:t xml:space="preserve">RDI </w:t>
            </w:r>
            <w:r w:rsidR="005660B2" w:rsidRPr="0068151C">
              <w:rPr>
                <w:rFonts w:cs="Arial"/>
                <w:sz w:val="16"/>
                <w:szCs w:val="16"/>
                <w:lang w:bidi="th-TH"/>
              </w:rPr>
              <w:t>(207 active users)</w:t>
            </w:r>
          </w:p>
          <w:p w:rsidR="005660B2" w:rsidRPr="0068151C" w:rsidRDefault="005660B2" w:rsidP="0068151C">
            <w:pPr>
              <w:rPr>
                <w:rFonts w:cs="Arial"/>
                <w:sz w:val="16"/>
                <w:szCs w:val="16"/>
              </w:rPr>
            </w:pPr>
            <w:r w:rsidRPr="0068151C">
              <w:rPr>
                <w:rFonts w:cs="Arial"/>
                <w:sz w:val="16"/>
                <w:szCs w:val="16"/>
                <w:lang w:bidi="th-TH"/>
              </w:rPr>
              <w:t>ASPI (20 active users)</w:t>
            </w:r>
          </w:p>
        </w:tc>
        <w:tc>
          <w:tcPr>
            <w:tcW w:w="682" w:type="pct"/>
            <w:shd w:val="clear" w:color="auto" w:fill="auto"/>
            <w:tcMar>
              <w:top w:w="110" w:type="dxa"/>
            </w:tcMar>
          </w:tcPr>
          <w:p w:rsidR="005660B2" w:rsidRPr="0068151C" w:rsidRDefault="005660B2" w:rsidP="0068151C">
            <w:pPr>
              <w:keepNext/>
              <w:keepLines/>
              <w:jc w:val="center"/>
              <w:rPr>
                <w:rFonts w:cs="Arial"/>
                <w:bCs/>
                <w:color w:val="808080"/>
                <w:sz w:val="16"/>
                <w:szCs w:val="16"/>
              </w:rPr>
            </w:pPr>
            <w:r w:rsidRPr="0068151C">
              <w:rPr>
                <w:rStyle w:val="Style5"/>
                <w:rFonts w:ascii="Arial" w:hAnsi="Arial" w:cs="Arial"/>
                <w:color w:val="10862C"/>
                <w:sz w:val="16"/>
                <w:szCs w:val="16"/>
              </w:rPr>
              <w:t>Fully</w:t>
            </w:r>
            <w:r w:rsidRPr="0068151C">
              <w:rPr>
                <w:rStyle w:val="Style5"/>
                <w:rFonts w:ascii="Arial" w:hAnsi="Arial" w:cs="Arial"/>
                <w:color w:val="10862C"/>
                <w:sz w:val="16"/>
                <w:szCs w:val="16"/>
              </w:rPr>
              <w:br/>
              <w:t>Achieved</w:t>
            </w:r>
          </w:p>
        </w:tc>
      </w:tr>
    </w:tbl>
    <w:p w:rsidR="005660B2" w:rsidRPr="002A56E1" w:rsidRDefault="005660B2" w:rsidP="005660B2"/>
    <w:p w:rsidR="005660B2" w:rsidRPr="002A56E1" w:rsidRDefault="005660B2" w:rsidP="005660B2">
      <w:pPr>
        <w:rPr>
          <w:rFonts w:cs="Arial"/>
        </w:rPr>
      </w:pPr>
    </w:p>
    <w:p w:rsidR="005660B2" w:rsidRPr="002A56E1" w:rsidRDefault="005660B2" w:rsidP="005660B2">
      <w:pPr>
        <w:rPr>
          <w:rFonts w:cs="Arial"/>
        </w:rPr>
      </w:pPr>
    </w:p>
    <w:p w:rsidR="005660B2" w:rsidRDefault="005660B2" w:rsidP="005660B2">
      <w:pPr>
        <w:rPr>
          <w:rFonts w:cs="Arial"/>
          <w:sz w:val="22"/>
          <w:szCs w:val="22"/>
        </w:rPr>
      </w:pPr>
      <w:r>
        <w:rPr>
          <w:rFonts w:cs="Arial"/>
          <w:sz w:val="22"/>
          <w:szCs w:val="22"/>
        </w:rPr>
        <w:br w:type="page"/>
      </w:r>
    </w:p>
    <w:p w:rsidR="005660B2" w:rsidRDefault="005660B2" w:rsidP="005660B2">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5660B2" w:rsidRDefault="005660B2" w:rsidP="005660B2">
      <w:pPr>
        <w:keepNext/>
        <w:keepLines/>
        <w:rPr>
          <w:rFonts w:cs="Arial"/>
          <w:sz w:val="22"/>
          <w:szCs w:val="22"/>
        </w:rPr>
      </w:pPr>
    </w:p>
    <w:p w:rsidR="005660B2" w:rsidRPr="0027745B" w:rsidRDefault="005660B2" w:rsidP="005660B2">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5660B2" w:rsidRPr="0027745B" w:rsidRDefault="005660B2" w:rsidP="005660B2">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5660B2" w:rsidRDefault="005660B2" w:rsidP="005660B2">
      <w:pPr>
        <w:keepNext/>
        <w:keepLines/>
        <w:rPr>
          <w:rFonts w:cs="Arial"/>
          <w:sz w:val="22"/>
          <w:szCs w:val="22"/>
        </w:rPr>
      </w:pPr>
    </w:p>
    <w:tbl>
      <w:tblPr>
        <w:tblW w:w="0" w:type="auto"/>
        <w:tblInd w:w="103" w:type="dxa"/>
        <w:tblLook w:val="04A0" w:firstRow="1" w:lastRow="0" w:firstColumn="1" w:lastColumn="0" w:noHBand="0" w:noVBand="1"/>
      </w:tblPr>
      <w:tblGrid>
        <w:gridCol w:w="537"/>
        <w:gridCol w:w="4146"/>
        <w:gridCol w:w="1559"/>
        <w:gridCol w:w="1559"/>
        <w:gridCol w:w="1560"/>
      </w:tblGrid>
      <w:tr w:rsidR="005660B2" w:rsidRPr="000B3714" w:rsidTr="00C961E8">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5660B2" w:rsidRPr="000B3714" w:rsidRDefault="00C961E8" w:rsidP="000B3714">
            <w:pPr>
              <w:spacing w:before="120" w:after="120"/>
              <w:jc w:val="center"/>
              <w:rPr>
                <w:rFonts w:cs="Arial"/>
                <w:bCs/>
                <w:color w:val="000000"/>
                <w:sz w:val="16"/>
                <w:szCs w:val="16"/>
              </w:rPr>
            </w:pPr>
            <w:r>
              <w:rPr>
                <w:rFonts w:cs="Arial"/>
                <w:bCs/>
                <w:color w:val="000000"/>
                <w:sz w:val="16"/>
                <w:szCs w:val="16"/>
              </w:rPr>
              <w:t xml:space="preserve">2012/13 </w:t>
            </w:r>
            <w:r w:rsidR="005660B2" w:rsidRPr="000B3714">
              <w:rPr>
                <w:rFonts w:cs="Arial"/>
                <w:bCs/>
                <w:color w:val="000000"/>
                <w:sz w:val="16"/>
                <w:szCs w:val="16"/>
              </w:rPr>
              <w:t xml:space="preserve">Budget </w:t>
            </w:r>
            <w:r w:rsidR="005660B2" w:rsidRPr="000B3714">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 xml:space="preserve">2012/13 </w:t>
            </w:r>
            <w:r w:rsidRPr="000B3714">
              <w:rPr>
                <w:rFonts w:cs="Arial"/>
                <w:bCs/>
                <w:color w:val="000000"/>
                <w:sz w:val="16"/>
                <w:szCs w:val="16"/>
              </w:rPr>
              <w:br/>
              <w:t>Expenditure</w:t>
            </w:r>
          </w:p>
        </w:tc>
      </w:tr>
      <w:tr w:rsidR="005660B2" w:rsidRPr="008B231D" w:rsidTr="00C961E8">
        <w:tc>
          <w:tcPr>
            <w:tcW w:w="537" w:type="dxa"/>
            <w:tcBorders>
              <w:top w:val="nil"/>
              <w:left w:val="single" w:sz="4" w:space="0" w:color="auto"/>
              <w:bottom w:val="single" w:sz="4" w:space="0" w:color="auto"/>
              <w:right w:val="nil"/>
            </w:tcBorders>
            <w:shd w:val="clear" w:color="000000" w:fill="FFFFFF"/>
            <w:noWrap/>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IV.2</w:t>
            </w:r>
          </w:p>
        </w:tc>
        <w:tc>
          <w:tcPr>
            <w:tcW w:w="4146" w:type="dxa"/>
            <w:tcBorders>
              <w:top w:val="nil"/>
              <w:left w:val="nil"/>
              <w:bottom w:val="single" w:sz="4" w:space="0" w:color="auto"/>
              <w:right w:val="nil"/>
            </w:tcBorders>
            <w:shd w:val="clear" w:color="000000" w:fill="FFFFFF"/>
            <w:hideMark/>
          </w:tcPr>
          <w:p w:rsidR="005660B2" w:rsidRPr="0027745B" w:rsidRDefault="005660B2" w:rsidP="000B3714">
            <w:pPr>
              <w:spacing w:before="120" w:after="120"/>
              <w:rPr>
                <w:rFonts w:cs="Arial"/>
                <w:color w:val="000000"/>
                <w:sz w:val="16"/>
                <w:szCs w:val="16"/>
              </w:rPr>
            </w:pPr>
            <w:r w:rsidRPr="0027745B">
              <w:rPr>
                <w:rFonts w:cs="Arial"/>
                <w:color w:val="000000"/>
                <w:sz w:val="16"/>
                <w:szCs w:val="16"/>
              </w:rPr>
              <w:t>Enhanced access to, and use of, IP information and knowledge by IP institutions and the public to promote innovation and increased access to protected creative works and creative works in the public domain</w:t>
            </w:r>
          </w:p>
        </w:tc>
        <w:tc>
          <w:tcPr>
            <w:tcW w:w="1559" w:type="dxa"/>
            <w:tcBorders>
              <w:top w:val="nil"/>
              <w:left w:val="nil"/>
              <w:bottom w:val="single" w:sz="4" w:space="0" w:color="auto"/>
              <w:right w:val="nil"/>
            </w:tcBorders>
            <w:shd w:val="clear" w:color="000000" w:fill="FFFFFF"/>
            <w:vAlign w:val="center"/>
            <w:hideMark/>
          </w:tcPr>
          <w:p w:rsidR="005660B2" w:rsidRPr="0027745B" w:rsidRDefault="005660B2" w:rsidP="000B3714">
            <w:pPr>
              <w:spacing w:before="120" w:after="120"/>
              <w:jc w:val="right"/>
              <w:rPr>
                <w:rFonts w:cs="Arial"/>
                <w:color w:val="000000"/>
                <w:sz w:val="16"/>
                <w:szCs w:val="16"/>
              </w:rPr>
            </w:pPr>
            <w:r w:rsidRPr="0027745B">
              <w:rPr>
                <w:rFonts w:cs="Arial"/>
                <w:color w:val="000000"/>
                <w:sz w:val="16"/>
                <w:szCs w:val="16"/>
              </w:rPr>
              <w:t>7,038</w:t>
            </w:r>
          </w:p>
        </w:tc>
        <w:tc>
          <w:tcPr>
            <w:tcW w:w="1559" w:type="dxa"/>
            <w:tcBorders>
              <w:top w:val="nil"/>
              <w:left w:val="nil"/>
              <w:bottom w:val="single" w:sz="4" w:space="0" w:color="auto"/>
              <w:right w:val="nil"/>
            </w:tcBorders>
            <w:shd w:val="clear" w:color="000000" w:fill="FFFFFF"/>
            <w:vAlign w:val="center"/>
            <w:hideMark/>
          </w:tcPr>
          <w:p w:rsidR="005660B2" w:rsidRPr="0027745B" w:rsidRDefault="005660B2" w:rsidP="000B3714">
            <w:pPr>
              <w:spacing w:before="120" w:after="120"/>
              <w:jc w:val="right"/>
              <w:rPr>
                <w:rFonts w:cs="Arial"/>
                <w:color w:val="000000"/>
                <w:sz w:val="16"/>
                <w:szCs w:val="16"/>
              </w:rPr>
            </w:pPr>
            <w:r w:rsidRPr="0027745B">
              <w:rPr>
                <w:rFonts w:cs="Arial"/>
                <w:color w:val="000000"/>
                <w:sz w:val="16"/>
                <w:szCs w:val="16"/>
              </w:rPr>
              <w:t>7,855</w:t>
            </w:r>
          </w:p>
        </w:tc>
        <w:tc>
          <w:tcPr>
            <w:tcW w:w="1560" w:type="dxa"/>
            <w:tcBorders>
              <w:top w:val="nil"/>
              <w:left w:val="nil"/>
              <w:bottom w:val="single" w:sz="4" w:space="0" w:color="auto"/>
              <w:right w:val="single" w:sz="4" w:space="0" w:color="auto"/>
            </w:tcBorders>
            <w:shd w:val="clear" w:color="000000" w:fill="FFFFFF"/>
            <w:vAlign w:val="center"/>
            <w:hideMark/>
          </w:tcPr>
          <w:p w:rsidR="005660B2" w:rsidRPr="0027745B" w:rsidRDefault="005660B2" w:rsidP="000B3714">
            <w:pPr>
              <w:spacing w:before="120" w:after="120"/>
              <w:jc w:val="right"/>
              <w:rPr>
                <w:rFonts w:cs="Arial"/>
                <w:color w:val="000000"/>
                <w:sz w:val="16"/>
                <w:szCs w:val="16"/>
              </w:rPr>
            </w:pPr>
            <w:r w:rsidRPr="0027745B">
              <w:rPr>
                <w:rFonts w:cs="Arial"/>
                <w:color w:val="000000"/>
                <w:sz w:val="16"/>
                <w:szCs w:val="16"/>
              </w:rPr>
              <w:t>7,755</w:t>
            </w:r>
          </w:p>
        </w:tc>
      </w:tr>
      <w:tr w:rsidR="005660B2" w:rsidRPr="008B231D" w:rsidTr="00C961E8">
        <w:tc>
          <w:tcPr>
            <w:tcW w:w="537" w:type="dxa"/>
            <w:tcBorders>
              <w:top w:val="nil"/>
              <w:left w:val="single" w:sz="4" w:space="0" w:color="auto"/>
              <w:bottom w:val="single" w:sz="4" w:space="0" w:color="auto"/>
              <w:right w:val="nil"/>
            </w:tcBorders>
            <w:shd w:val="clear" w:color="000000" w:fill="CCFFFF"/>
            <w:noWrap/>
            <w:vAlign w:val="bottom"/>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 </w:t>
            </w:r>
          </w:p>
        </w:tc>
        <w:tc>
          <w:tcPr>
            <w:tcW w:w="4146" w:type="dxa"/>
            <w:tcBorders>
              <w:top w:val="nil"/>
              <w:left w:val="nil"/>
              <w:bottom w:val="single" w:sz="4" w:space="0" w:color="auto"/>
              <w:right w:val="nil"/>
            </w:tcBorders>
            <w:shd w:val="clear" w:color="000000" w:fill="CCFFFF"/>
            <w:noWrap/>
            <w:vAlign w:val="center"/>
            <w:hideMark/>
          </w:tcPr>
          <w:p w:rsidR="005660B2" w:rsidRPr="0027745B" w:rsidRDefault="005660B2" w:rsidP="000B3714">
            <w:pPr>
              <w:spacing w:before="120" w:after="120"/>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5660B2" w:rsidRPr="0027745B" w:rsidRDefault="005660B2" w:rsidP="000B3714">
            <w:pPr>
              <w:spacing w:before="120" w:after="120"/>
              <w:jc w:val="right"/>
              <w:rPr>
                <w:rFonts w:cs="Arial"/>
                <w:b/>
                <w:bCs/>
                <w:color w:val="000000"/>
                <w:sz w:val="16"/>
                <w:szCs w:val="16"/>
              </w:rPr>
            </w:pPr>
            <w:r w:rsidRPr="0027745B">
              <w:rPr>
                <w:rFonts w:cs="Arial"/>
                <w:b/>
                <w:bCs/>
                <w:color w:val="000000"/>
                <w:sz w:val="16"/>
                <w:szCs w:val="16"/>
              </w:rPr>
              <w:t>7,038</w:t>
            </w:r>
          </w:p>
        </w:tc>
        <w:tc>
          <w:tcPr>
            <w:tcW w:w="1559" w:type="dxa"/>
            <w:tcBorders>
              <w:top w:val="nil"/>
              <w:left w:val="nil"/>
              <w:bottom w:val="single" w:sz="4" w:space="0" w:color="auto"/>
              <w:right w:val="single" w:sz="4" w:space="0" w:color="auto"/>
            </w:tcBorders>
            <w:shd w:val="clear" w:color="000000" w:fill="CCFFFF"/>
            <w:noWrap/>
            <w:vAlign w:val="center"/>
            <w:hideMark/>
          </w:tcPr>
          <w:p w:rsidR="005660B2" w:rsidRPr="0027745B" w:rsidRDefault="005660B2" w:rsidP="000B3714">
            <w:pPr>
              <w:spacing w:before="120" w:after="120"/>
              <w:jc w:val="right"/>
              <w:rPr>
                <w:rFonts w:cs="Arial"/>
                <w:b/>
                <w:bCs/>
                <w:color w:val="000000"/>
                <w:sz w:val="16"/>
                <w:szCs w:val="16"/>
              </w:rPr>
            </w:pPr>
            <w:r w:rsidRPr="0027745B">
              <w:rPr>
                <w:rFonts w:cs="Arial"/>
                <w:b/>
                <w:bCs/>
                <w:color w:val="000000"/>
                <w:sz w:val="16"/>
                <w:szCs w:val="16"/>
              </w:rPr>
              <w:t>7,855</w:t>
            </w:r>
          </w:p>
        </w:tc>
        <w:tc>
          <w:tcPr>
            <w:tcW w:w="1560" w:type="dxa"/>
            <w:tcBorders>
              <w:top w:val="nil"/>
              <w:left w:val="nil"/>
              <w:bottom w:val="single" w:sz="4" w:space="0" w:color="auto"/>
              <w:right w:val="single" w:sz="4" w:space="0" w:color="auto"/>
            </w:tcBorders>
            <w:shd w:val="clear" w:color="000000" w:fill="CCFFFF"/>
            <w:vAlign w:val="center"/>
            <w:hideMark/>
          </w:tcPr>
          <w:p w:rsidR="005660B2" w:rsidRPr="0027745B" w:rsidRDefault="005660B2" w:rsidP="000B3714">
            <w:pPr>
              <w:spacing w:before="120" w:after="120"/>
              <w:jc w:val="right"/>
              <w:rPr>
                <w:rFonts w:cs="Arial"/>
                <w:b/>
                <w:bCs/>
                <w:color w:val="000000"/>
                <w:sz w:val="16"/>
                <w:szCs w:val="16"/>
              </w:rPr>
            </w:pPr>
            <w:r w:rsidRPr="0027745B">
              <w:rPr>
                <w:rFonts w:cs="Arial"/>
                <w:b/>
                <w:bCs/>
                <w:color w:val="000000"/>
                <w:sz w:val="16"/>
                <w:szCs w:val="16"/>
              </w:rPr>
              <w:t>7,755</w:t>
            </w:r>
          </w:p>
        </w:tc>
      </w:tr>
    </w:tbl>
    <w:p w:rsidR="005660B2" w:rsidRDefault="005660B2" w:rsidP="005660B2">
      <w:pPr>
        <w:rPr>
          <w:rFonts w:cs="Arial"/>
          <w:sz w:val="22"/>
          <w:szCs w:val="22"/>
        </w:rPr>
      </w:pPr>
    </w:p>
    <w:p w:rsidR="005660B2" w:rsidRDefault="005660B2" w:rsidP="005660B2">
      <w:pPr>
        <w:rPr>
          <w:rFonts w:cs="Arial"/>
          <w:sz w:val="22"/>
          <w:szCs w:val="22"/>
        </w:rPr>
      </w:pPr>
    </w:p>
    <w:p w:rsidR="005660B2" w:rsidRPr="0027745B" w:rsidRDefault="005660B2" w:rsidP="005660B2">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5660B2" w:rsidRPr="0027745B" w:rsidRDefault="005660B2" w:rsidP="005660B2">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5660B2" w:rsidRDefault="005660B2" w:rsidP="005660B2">
      <w:pPr>
        <w:rPr>
          <w:rFonts w:cs="Arial"/>
          <w:sz w:val="22"/>
          <w:szCs w:val="22"/>
        </w:rPr>
      </w:pPr>
    </w:p>
    <w:tbl>
      <w:tblPr>
        <w:tblW w:w="9371" w:type="dxa"/>
        <w:tblInd w:w="93" w:type="dxa"/>
        <w:tblLook w:val="04A0" w:firstRow="1" w:lastRow="0" w:firstColumn="1" w:lastColumn="0" w:noHBand="0" w:noVBand="1"/>
      </w:tblPr>
      <w:tblGrid>
        <w:gridCol w:w="2709"/>
        <w:gridCol w:w="1665"/>
        <w:gridCol w:w="1666"/>
        <w:gridCol w:w="1665"/>
        <w:gridCol w:w="1666"/>
      </w:tblGrid>
      <w:tr w:rsidR="005660B2" w:rsidRPr="000B3714" w:rsidTr="0068151C">
        <w:trPr>
          <w:trHeight w:val="440"/>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660B2" w:rsidRPr="000B3714" w:rsidRDefault="005660B2" w:rsidP="000B3714">
            <w:pPr>
              <w:spacing w:before="120" w:after="120"/>
              <w:rPr>
                <w:rFonts w:cs="Arial"/>
                <w:color w:val="000000"/>
                <w:sz w:val="16"/>
                <w:szCs w:val="16"/>
              </w:rPr>
            </w:pPr>
            <w:r w:rsidRPr="000B3714">
              <w:rPr>
                <w:rFonts w:cs="Arial"/>
                <w:color w:val="000000"/>
                <w:sz w:val="16"/>
                <w:szCs w:val="16"/>
              </w:rPr>
              <w:t> </w:t>
            </w:r>
          </w:p>
        </w:tc>
        <w:tc>
          <w:tcPr>
            <w:tcW w:w="1665" w:type="dxa"/>
            <w:tcBorders>
              <w:top w:val="single" w:sz="4" w:space="0" w:color="auto"/>
              <w:left w:val="nil"/>
              <w:bottom w:val="nil"/>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Approved Budget 2012/13</w:t>
            </w:r>
          </w:p>
        </w:tc>
        <w:tc>
          <w:tcPr>
            <w:tcW w:w="1666" w:type="dxa"/>
            <w:tcBorders>
              <w:top w:val="single" w:sz="4" w:space="0" w:color="auto"/>
              <w:left w:val="nil"/>
              <w:bottom w:val="nil"/>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Budget after transfers 2012/13</w:t>
            </w:r>
          </w:p>
        </w:tc>
        <w:tc>
          <w:tcPr>
            <w:tcW w:w="1665" w:type="dxa"/>
            <w:tcBorders>
              <w:top w:val="single" w:sz="4" w:space="0" w:color="auto"/>
              <w:left w:val="nil"/>
              <w:bottom w:val="nil"/>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Expenditures 2012/13</w:t>
            </w:r>
          </w:p>
        </w:tc>
        <w:tc>
          <w:tcPr>
            <w:tcW w:w="1666" w:type="dxa"/>
            <w:tcBorders>
              <w:top w:val="single" w:sz="4" w:space="0" w:color="auto"/>
              <w:left w:val="nil"/>
              <w:bottom w:val="nil"/>
              <w:right w:val="single" w:sz="4" w:space="0" w:color="auto"/>
            </w:tcBorders>
            <w:shd w:val="clear" w:color="000000" w:fill="CCFFFF"/>
            <w:vAlign w:val="center"/>
            <w:hideMark/>
          </w:tcPr>
          <w:p w:rsidR="005660B2" w:rsidRPr="000B3714" w:rsidRDefault="005660B2" w:rsidP="000B3714">
            <w:pPr>
              <w:spacing w:before="120" w:after="120"/>
              <w:jc w:val="center"/>
              <w:rPr>
                <w:rFonts w:cs="Arial"/>
                <w:bCs/>
                <w:color w:val="000000"/>
                <w:sz w:val="16"/>
                <w:szCs w:val="16"/>
              </w:rPr>
            </w:pPr>
            <w:r w:rsidRPr="000B3714">
              <w:rPr>
                <w:rFonts w:cs="Arial"/>
                <w:bCs/>
                <w:color w:val="000000"/>
                <w:sz w:val="16"/>
                <w:szCs w:val="16"/>
              </w:rPr>
              <w:t>Utilization rate (%)</w:t>
            </w:r>
          </w:p>
        </w:tc>
      </w:tr>
      <w:tr w:rsidR="005660B2" w:rsidRPr="008B231D" w:rsidTr="0068151C">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0B3714">
            <w:pPr>
              <w:spacing w:before="120" w:after="120"/>
              <w:rPr>
                <w:rFonts w:cs="Arial"/>
                <w:color w:val="000000"/>
                <w:sz w:val="16"/>
                <w:szCs w:val="16"/>
              </w:rPr>
            </w:pPr>
            <w:r w:rsidRPr="0027745B">
              <w:rPr>
                <w:rFonts w:cs="Arial"/>
                <w:color w:val="000000"/>
                <w:sz w:val="16"/>
                <w:szCs w:val="16"/>
              </w:rPr>
              <w:t xml:space="preserve"> Personnel Resources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5,650</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6,585</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6,585</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100%</w:t>
            </w:r>
          </w:p>
        </w:tc>
      </w:tr>
      <w:tr w:rsidR="005660B2" w:rsidRPr="008B231D" w:rsidTr="0068151C">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0B3714">
            <w:pPr>
              <w:spacing w:before="120" w:after="120"/>
              <w:rPr>
                <w:rFonts w:cs="Arial"/>
                <w:color w:val="000000"/>
                <w:sz w:val="16"/>
                <w:szCs w:val="16"/>
              </w:rPr>
            </w:pPr>
            <w:r w:rsidRPr="0027745B">
              <w:rPr>
                <w:rFonts w:cs="Arial"/>
                <w:color w:val="000000"/>
                <w:sz w:val="16"/>
                <w:szCs w:val="16"/>
              </w:rPr>
              <w:t xml:space="preserve"> Non-personnel Resources </w:t>
            </w:r>
          </w:p>
        </w:tc>
        <w:tc>
          <w:tcPr>
            <w:tcW w:w="1665"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1,388</w:t>
            </w:r>
          </w:p>
        </w:tc>
        <w:tc>
          <w:tcPr>
            <w:tcW w:w="166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1,270</w:t>
            </w:r>
          </w:p>
        </w:tc>
        <w:tc>
          <w:tcPr>
            <w:tcW w:w="1665"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1,170</w:t>
            </w:r>
          </w:p>
        </w:tc>
        <w:tc>
          <w:tcPr>
            <w:tcW w:w="166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color w:val="000000"/>
                <w:sz w:val="16"/>
                <w:szCs w:val="16"/>
              </w:rPr>
            </w:pPr>
            <w:r w:rsidRPr="0027745B">
              <w:rPr>
                <w:rFonts w:cs="Arial"/>
                <w:color w:val="000000"/>
                <w:sz w:val="16"/>
                <w:szCs w:val="16"/>
              </w:rPr>
              <w:t>92%</w:t>
            </w:r>
          </w:p>
        </w:tc>
      </w:tr>
      <w:tr w:rsidR="005660B2" w:rsidRPr="008B231D" w:rsidTr="0068151C">
        <w:trPr>
          <w:trHeight w:val="495"/>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660B2" w:rsidRPr="0027745B" w:rsidRDefault="005660B2" w:rsidP="000B3714">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665"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7,038</w:t>
            </w:r>
          </w:p>
        </w:tc>
        <w:tc>
          <w:tcPr>
            <w:tcW w:w="166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7,855</w:t>
            </w:r>
          </w:p>
        </w:tc>
        <w:tc>
          <w:tcPr>
            <w:tcW w:w="1665"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7,755</w:t>
            </w:r>
          </w:p>
        </w:tc>
        <w:tc>
          <w:tcPr>
            <w:tcW w:w="1666" w:type="dxa"/>
            <w:tcBorders>
              <w:top w:val="nil"/>
              <w:left w:val="nil"/>
              <w:bottom w:val="single" w:sz="4" w:space="0" w:color="auto"/>
              <w:right w:val="single" w:sz="4" w:space="0" w:color="auto"/>
            </w:tcBorders>
            <w:shd w:val="clear" w:color="auto" w:fill="auto"/>
            <w:vAlign w:val="center"/>
            <w:hideMark/>
          </w:tcPr>
          <w:p w:rsidR="005660B2" w:rsidRPr="0027745B" w:rsidRDefault="005660B2" w:rsidP="000B3714">
            <w:pPr>
              <w:spacing w:before="120" w:after="120"/>
              <w:jc w:val="center"/>
              <w:rPr>
                <w:rFonts w:cs="Arial"/>
                <w:b/>
                <w:bCs/>
                <w:color w:val="000000"/>
                <w:sz w:val="16"/>
                <w:szCs w:val="16"/>
              </w:rPr>
            </w:pPr>
            <w:r w:rsidRPr="0027745B">
              <w:rPr>
                <w:rFonts w:cs="Arial"/>
                <w:b/>
                <w:bCs/>
                <w:color w:val="000000"/>
                <w:sz w:val="16"/>
                <w:szCs w:val="16"/>
              </w:rPr>
              <w:t>99%</w:t>
            </w:r>
          </w:p>
        </w:tc>
      </w:tr>
    </w:tbl>
    <w:p w:rsidR="005660B2" w:rsidRDefault="005660B2" w:rsidP="005660B2">
      <w:pPr>
        <w:autoSpaceDE w:val="0"/>
        <w:autoSpaceDN w:val="0"/>
        <w:rPr>
          <w:sz w:val="16"/>
          <w:szCs w:val="16"/>
        </w:rPr>
      </w:pPr>
    </w:p>
    <w:p w:rsidR="005660B2" w:rsidRDefault="005660B2" w:rsidP="005660B2">
      <w:pPr>
        <w:autoSpaceDE w:val="0"/>
        <w:autoSpaceDN w:val="0"/>
        <w:rPr>
          <w:sz w:val="16"/>
          <w:szCs w:val="16"/>
        </w:rPr>
      </w:pPr>
      <w:r>
        <w:rPr>
          <w:sz w:val="16"/>
          <w:szCs w:val="16"/>
        </w:rPr>
        <w:t>NOTES:</w:t>
      </w:r>
    </w:p>
    <w:p w:rsidR="005660B2" w:rsidRDefault="005660B2" w:rsidP="005660B2">
      <w:pPr>
        <w:autoSpaceDE w:val="0"/>
        <w:autoSpaceDN w:val="0"/>
        <w:rPr>
          <w:sz w:val="16"/>
          <w:szCs w:val="16"/>
        </w:rPr>
      </w:pPr>
    </w:p>
    <w:p w:rsidR="005660B2" w:rsidRDefault="005660B2" w:rsidP="005660B2">
      <w:pPr>
        <w:autoSpaceDE w:val="0"/>
        <w:autoSpaceDN w:val="0"/>
        <w:rPr>
          <w:sz w:val="16"/>
          <w:szCs w:val="16"/>
        </w:rPr>
      </w:pPr>
      <w:r>
        <w:rPr>
          <w:sz w:val="16"/>
          <w:szCs w:val="16"/>
        </w:rPr>
        <w:t>(1)  Budget after transfers reflects the adjusted budget of Programs, following transfers during 2012/13 in line with Financial Regulation 5.5.</w:t>
      </w:r>
    </w:p>
    <w:p w:rsidR="005660B2" w:rsidRDefault="005660B2" w:rsidP="005660B2">
      <w:pPr>
        <w:autoSpaceDE w:val="0"/>
        <w:autoSpaceDN w:val="0"/>
        <w:rPr>
          <w:sz w:val="16"/>
          <w:szCs w:val="16"/>
        </w:rPr>
      </w:pPr>
    </w:p>
    <w:p w:rsidR="005660B2" w:rsidRDefault="00DC2CFA" w:rsidP="005660B2">
      <w:pPr>
        <w:autoSpaceDE w:val="0"/>
        <w:autoSpaceDN w:val="0"/>
        <w:rPr>
          <w:sz w:val="16"/>
          <w:szCs w:val="16"/>
        </w:rPr>
      </w:pPr>
      <w:r>
        <w:rPr>
          <w:sz w:val="16"/>
          <w:szCs w:val="16"/>
        </w:rPr>
        <w:t xml:space="preserve">(2)  The personnel allocation for the 2012/13 Budget after transfers represents actual expenditures incurred in the biennium. </w:t>
      </w:r>
      <w:r w:rsidR="005660B2">
        <w:rPr>
          <w:sz w:val="16"/>
          <w:szCs w:val="16"/>
        </w:rPr>
        <w:t xml:space="preserve"> </w:t>
      </w:r>
    </w:p>
    <w:p w:rsidR="005660B2" w:rsidRPr="0027745B" w:rsidRDefault="005660B2" w:rsidP="005660B2">
      <w:pPr>
        <w:autoSpaceDE w:val="0"/>
        <w:autoSpaceDN w:val="0"/>
        <w:rPr>
          <w:szCs w:val="20"/>
        </w:rPr>
      </w:pPr>
    </w:p>
    <w:p w:rsidR="005660B2" w:rsidRPr="0027745B" w:rsidRDefault="005660B2" w:rsidP="005660B2">
      <w:pPr>
        <w:autoSpaceDE w:val="0"/>
        <w:autoSpaceDN w:val="0"/>
        <w:rPr>
          <w:szCs w:val="20"/>
        </w:rPr>
      </w:pPr>
    </w:p>
    <w:p w:rsidR="005660B2" w:rsidRPr="000B3714" w:rsidRDefault="005660B2" w:rsidP="005660B2">
      <w:pPr>
        <w:tabs>
          <w:tab w:val="left" w:pos="709"/>
        </w:tabs>
        <w:autoSpaceDE w:val="0"/>
        <w:autoSpaceDN w:val="0"/>
        <w:adjustRightInd w:val="0"/>
        <w:rPr>
          <w:rFonts w:cs="Arial"/>
          <w:szCs w:val="20"/>
          <w:u w:val="single"/>
        </w:rPr>
      </w:pPr>
      <w:r w:rsidRPr="000B3714">
        <w:rPr>
          <w:rFonts w:cs="Arial"/>
          <w:szCs w:val="20"/>
        </w:rPr>
        <w:t xml:space="preserve">A. </w:t>
      </w:r>
      <w:r w:rsidRPr="000B3714">
        <w:rPr>
          <w:rFonts w:cs="Arial"/>
          <w:szCs w:val="20"/>
        </w:rPr>
        <w:tab/>
      </w:r>
      <w:r w:rsidRPr="000B3714">
        <w:rPr>
          <w:rFonts w:cs="Arial"/>
          <w:szCs w:val="20"/>
          <w:u w:val="single"/>
        </w:rPr>
        <w:t>Budget after Transfers 2012/13</w:t>
      </w:r>
    </w:p>
    <w:p w:rsidR="005660B2" w:rsidRPr="000B3714" w:rsidRDefault="005660B2" w:rsidP="005660B2">
      <w:pPr>
        <w:autoSpaceDE w:val="0"/>
        <w:autoSpaceDN w:val="0"/>
        <w:adjustRightInd w:val="0"/>
        <w:rPr>
          <w:rFonts w:cs="Arial"/>
          <w:szCs w:val="20"/>
        </w:rPr>
      </w:pPr>
    </w:p>
    <w:p w:rsidR="005660B2" w:rsidRPr="000B3714" w:rsidRDefault="005660B2" w:rsidP="005660B2">
      <w:pPr>
        <w:keepNext/>
        <w:keepLines/>
        <w:tabs>
          <w:tab w:val="left" w:pos="709"/>
        </w:tabs>
        <w:jc w:val="both"/>
        <w:rPr>
          <w:rFonts w:eastAsia="Batang" w:cs="Arial"/>
          <w:szCs w:val="20"/>
          <w:lang w:eastAsia="ko-KR"/>
        </w:rPr>
      </w:pPr>
      <w:r w:rsidRPr="000B3714">
        <w:rPr>
          <w:rFonts w:eastAsia="Batang"/>
          <w:szCs w:val="20"/>
          <w:lang w:eastAsia="ko-KR"/>
        </w:rPr>
        <w:t>14.9</w:t>
      </w:r>
      <w:r w:rsidR="003D7E83">
        <w:rPr>
          <w:rFonts w:eastAsia="Batang"/>
          <w:szCs w:val="20"/>
          <w:lang w:eastAsia="ko-KR"/>
        </w:rPr>
        <w:t>.</w:t>
      </w:r>
      <w:r w:rsidRPr="000B3714">
        <w:rPr>
          <w:rFonts w:eastAsia="Batang"/>
          <w:szCs w:val="20"/>
          <w:lang w:eastAsia="ko-KR"/>
        </w:rPr>
        <w:tab/>
        <w:t xml:space="preserve">The Budget after Transfers reflects: </w:t>
      </w:r>
      <w:r w:rsidR="00C961E8">
        <w:rPr>
          <w:rFonts w:eastAsia="Batang"/>
          <w:szCs w:val="20"/>
          <w:lang w:eastAsia="ko-KR"/>
        </w:rPr>
        <w:t xml:space="preserve"> (</w:t>
      </w:r>
      <w:r w:rsidR="001B0411">
        <w:rPr>
          <w:rFonts w:eastAsia="Batang"/>
          <w:szCs w:val="20"/>
          <w:lang w:eastAsia="ko-KR"/>
        </w:rPr>
        <w:t>i</w:t>
      </w:r>
      <w:r w:rsidRPr="000B3714">
        <w:rPr>
          <w:rFonts w:eastAsia="Batang"/>
          <w:szCs w:val="20"/>
          <w:lang w:eastAsia="ko-KR"/>
        </w:rPr>
        <w:t>) an increase in personnel resources resulting from internal re-deployment to support work related to seminars/workshops on access to IP information and knowledge, content and access to web and paper publications and TISCs in member States</w:t>
      </w:r>
      <w:proofErr w:type="gramStart"/>
      <w:r w:rsidRPr="000B3714">
        <w:rPr>
          <w:rFonts w:eastAsia="Batang"/>
          <w:szCs w:val="20"/>
          <w:lang w:eastAsia="ko-KR"/>
        </w:rPr>
        <w:t xml:space="preserve">; </w:t>
      </w:r>
      <w:r w:rsidR="00C961E8">
        <w:rPr>
          <w:rFonts w:eastAsia="Batang"/>
          <w:szCs w:val="20"/>
          <w:lang w:eastAsia="ko-KR"/>
        </w:rPr>
        <w:t xml:space="preserve"> </w:t>
      </w:r>
      <w:r w:rsidRPr="000B3714">
        <w:rPr>
          <w:rFonts w:eastAsia="Batang"/>
          <w:szCs w:val="20"/>
          <w:lang w:eastAsia="ko-KR"/>
        </w:rPr>
        <w:t>and</w:t>
      </w:r>
      <w:proofErr w:type="gramEnd"/>
      <w:r w:rsidRPr="000B3714">
        <w:rPr>
          <w:rFonts w:eastAsia="Batang"/>
          <w:szCs w:val="20"/>
          <w:lang w:eastAsia="ko-KR"/>
        </w:rPr>
        <w:t xml:space="preserve"> </w:t>
      </w:r>
      <w:r w:rsidR="00C961E8">
        <w:rPr>
          <w:rFonts w:eastAsia="Batang"/>
          <w:szCs w:val="20"/>
          <w:lang w:eastAsia="ko-KR"/>
        </w:rPr>
        <w:t>(</w:t>
      </w:r>
      <w:r w:rsidR="001B0411">
        <w:rPr>
          <w:rFonts w:eastAsia="Batang"/>
          <w:szCs w:val="20"/>
          <w:lang w:eastAsia="ko-KR"/>
        </w:rPr>
        <w:t>ii</w:t>
      </w:r>
      <w:r w:rsidRPr="000B3714">
        <w:rPr>
          <w:rFonts w:eastAsia="Batang"/>
          <w:szCs w:val="20"/>
          <w:lang w:eastAsia="ko-KR"/>
        </w:rPr>
        <w:t xml:space="preserve">) </w:t>
      </w:r>
      <w:r w:rsidRPr="000B3714">
        <w:rPr>
          <w:rFonts w:eastAsia="Batang" w:cs="Arial"/>
          <w:szCs w:val="20"/>
          <w:lang w:eastAsia="ko-KR"/>
        </w:rPr>
        <w:t xml:space="preserve">the regularization of several long-serving temporary employees in the Program performing continuing functions.  </w:t>
      </w:r>
    </w:p>
    <w:p w:rsidR="005660B2" w:rsidRPr="000B3714" w:rsidRDefault="005660B2" w:rsidP="005660B2">
      <w:pPr>
        <w:autoSpaceDE w:val="0"/>
        <w:autoSpaceDN w:val="0"/>
        <w:adjustRightInd w:val="0"/>
        <w:jc w:val="both"/>
        <w:rPr>
          <w:rFonts w:cs="Arial"/>
          <w:szCs w:val="20"/>
        </w:rPr>
      </w:pPr>
    </w:p>
    <w:p w:rsidR="005660B2" w:rsidRPr="000B3714" w:rsidRDefault="005660B2" w:rsidP="005660B2">
      <w:pPr>
        <w:keepNext/>
        <w:tabs>
          <w:tab w:val="left" w:pos="709"/>
        </w:tabs>
        <w:autoSpaceDE w:val="0"/>
        <w:autoSpaceDN w:val="0"/>
        <w:jc w:val="both"/>
        <w:rPr>
          <w:szCs w:val="20"/>
        </w:rPr>
      </w:pPr>
      <w:r w:rsidRPr="000B3714">
        <w:rPr>
          <w:szCs w:val="20"/>
        </w:rPr>
        <w:t>14.10</w:t>
      </w:r>
      <w:r w:rsidR="003D7E83">
        <w:rPr>
          <w:szCs w:val="20"/>
        </w:rPr>
        <w:t>.</w:t>
      </w:r>
      <w:r w:rsidRPr="000B3714">
        <w:rPr>
          <w:szCs w:val="20"/>
        </w:rPr>
        <w:tab/>
        <w:t>The non-personnel allocation for the 2012/13 Budget after Transfers reflects downward adjustments made for cost efficiency gains, in accordance with the Organization’s commitment to reduce expenditures by 10.2 million Swiss francs in the 2012/13 biennium.</w:t>
      </w:r>
    </w:p>
    <w:p w:rsidR="005660B2" w:rsidRPr="000B3714" w:rsidRDefault="005660B2" w:rsidP="005660B2">
      <w:pPr>
        <w:autoSpaceDE w:val="0"/>
        <w:autoSpaceDN w:val="0"/>
        <w:adjustRightInd w:val="0"/>
        <w:jc w:val="both"/>
        <w:rPr>
          <w:rFonts w:cs="Arial"/>
          <w:szCs w:val="20"/>
        </w:rPr>
      </w:pPr>
    </w:p>
    <w:p w:rsidR="005660B2" w:rsidRPr="000B3714" w:rsidRDefault="005660B2" w:rsidP="005660B2">
      <w:pPr>
        <w:tabs>
          <w:tab w:val="left" w:pos="709"/>
        </w:tabs>
        <w:autoSpaceDE w:val="0"/>
        <w:autoSpaceDN w:val="0"/>
        <w:adjustRightInd w:val="0"/>
        <w:jc w:val="both"/>
        <w:rPr>
          <w:rFonts w:cs="Arial"/>
          <w:szCs w:val="20"/>
          <w:u w:val="single"/>
        </w:rPr>
      </w:pPr>
      <w:r w:rsidRPr="000B3714">
        <w:rPr>
          <w:rFonts w:cs="Arial"/>
          <w:szCs w:val="20"/>
        </w:rPr>
        <w:t xml:space="preserve">B. </w:t>
      </w:r>
      <w:r w:rsidRPr="000B3714">
        <w:rPr>
          <w:rFonts w:cs="Arial"/>
          <w:szCs w:val="20"/>
        </w:rPr>
        <w:tab/>
      </w:r>
      <w:r w:rsidR="00D44A34">
        <w:rPr>
          <w:rFonts w:cs="Arial"/>
          <w:szCs w:val="20"/>
          <w:u w:val="single"/>
        </w:rPr>
        <w:t>Budget U</w:t>
      </w:r>
      <w:r w:rsidRPr="000B3714">
        <w:rPr>
          <w:rFonts w:cs="Arial"/>
          <w:szCs w:val="20"/>
          <w:u w:val="single"/>
        </w:rPr>
        <w:t>tilization 2012/13</w:t>
      </w:r>
    </w:p>
    <w:p w:rsidR="005660B2" w:rsidRPr="000B3714" w:rsidRDefault="005660B2" w:rsidP="005660B2">
      <w:pPr>
        <w:autoSpaceDE w:val="0"/>
        <w:autoSpaceDN w:val="0"/>
        <w:adjustRightInd w:val="0"/>
        <w:jc w:val="both"/>
        <w:rPr>
          <w:rFonts w:cs="Arial"/>
          <w:szCs w:val="20"/>
        </w:rPr>
      </w:pPr>
    </w:p>
    <w:p w:rsidR="005660B2" w:rsidRPr="000B3714" w:rsidRDefault="005660B2" w:rsidP="005660B2">
      <w:pPr>
        <w:tabs>
          <w:tab w:val="left" w:pos="709"/>
        </w:tabs>
        <w:autoSpaceDE w:val="0"/>
        <w:autoSpaceDN w:val="0"/>
        <w:adjustRightInd w:val="0"/>
        <w:jc w:val="both"/>
        <w:rPr>
          <w:rFonts w:cs="Arial"/>
          <w:szCs w:val="20"/>
        </w:rPr>
      </w:pPr>
      <w:r w:rsidRPr="000B3714">
        <w:rPr>
          <w:rFonts w:cs="Arial"/>
          <w:szCs w:val="20"/>
        </w:rPr>
        <w:t>14.11</w:t>
      </w:r>
      <w:r w:rsidR="00D44A34">
        <w:rPr>
          <w:rFonts w:cs="Arial"/>
          <w:szCs w:val="20"/>
        </w:rPr>
        <w:t>.</w:t>
      </w:r>
      <w:r w:rsidRPr="000B3714">
        <w:rPr>
          <w:rFonts w:cs="Arial"/>
          <w:szCs w:val="20"/>
        </w:rPr>
        <w:tab/>
        <w:t xml:space="preserve">The budget utilization of 92 per cent reflects a slightly lower than expected expenditure primarily due to:  </w:t>
      </w:r>
      <w:r w:rsidR="00C961E8">
        <w:rPr>
          <w:rFonts w:cs="Arial"/>
          <w:szCs w:val="20"/>
        </w:rPr>
        <w:t>(</w:t>
      </w:r>
      <w:r w:rsidR="006C0510">
        <w:rPr>
          <w:rFonts w:cs="Arial"/>
          <w:szCs w:val="20"/>
        </w:rPr>
        <w:t>i</w:t>
      </w:r>
      <w:r w:rsidRPr="000B3714">
        <w:rPr>
          <w:rFonts w:cs="Arial"/>
          <w:szCs w:val="20"/>
        </w:rPr>
        <w:t xml:space="preserve">) the approval of the Phase II of the DA project on Access to Patent Information by the tenth session of the CDIP in November 2012 only; </w:t>
      </w:r>
      <w:r w:rsidR="00C961E8">
        <w:rPr>
          <w:rFonts w:cs="Arial"/>
          <w:szCs w:val="20"/>
        </w:rPr>
        <w:t xml:space="preserve"> </w:t>
      </w:r>
      <w:r w:rsidRPr="000B3714">
        <w:rPr>
          <w:rFonts w:cs="Arial"/>
          <w:szCs w:val="20"/>
        </w:rPr>
        <w:t xml:space="preserve">and </w:t>
      </w:r>
      <w:r w:rsidR="00C961E8">
        <w:rPr>
          <w:rFonts w:cs="Arial"/>
          <w:szCs w:val="20"/>
        </w:rPr>
        <w:t>(</w:t>
      </w:r>
      <w:r w:rsidR="006C0510">
        <w:rPr>
          <w:rFonts w:cs="Arial"/>
          <w:szCs w:val="20"/>
        </w:rPr>
        <w:t>ii</w:t>
      </w:r>
      <w:r w:rsidRPr="000B3714">
        <w:rPr>
          <w:rFonts w:cs="Arial"/>
          <w:szCs w:val="20"/>
        </w:rPr>
        <w:t xml:space="preserve">) cost savings on travel and contractual services on the same project. </w:t>
      </w:r>
    </w:p>
    <w:p w:rsidR="0068151C" w:rsidRPr="006F08EA" w:rsidRDefault="005660B2" w:rsidP="006F08EA">
      <w:pPr>
        <w:pStyle w:val="Heading3"/>
      </w:pPr>
      <w:r>
        <w:br w:type="page"/>
      </w:r>
      <w:bookmarkStart w:id="41" w:name="_Toc393956061"/>
      <w:r w:rsidR="00305272" w:rsidRPr="006F08EA">
        <w:lastRenderedPageBreak/>
        <w:t>Program 15</w:t>
      </w:r>
      <w:r w:rsidR="00305272" w:rsidRPr="006F08EA">
        <w:tab/>
        <w:t>Business Solutions f</w:t>
      </w:r>
      <w:r w:rsidR="006F08EA" w:rsidRPr="006F08EA">
        <w:t>or IP</w:t>
      </w:r>
      <w:r w:rsidR="00305272" w:rsidRPr="006F08EA">
        <w:t xml:space="preserve"> Offices</w:t>
      </w:r>
      <w:bookmarkEnd w:id="41"/>
    </w:p>
    <w:p w:rsidR="0068151C" w:rsidRPr="007855E4" w:rsidRDefault="0068151C" w:rsidP="0068151C">
      <w:pPr>
        <w:ind w:left="2268" w:hanging="2268"/>
        <w:rPr>
          <w:sz w:val="22"/>
          <w:szCs w:val="22"/>
        </w:rPr>
      </w:pPr>
    </w:p>
    <w:p w:rsidR="00B16DCB" w:rsidRPr="007855E4" w:rsidRDefault="00B16DCB" w:rsidP="00B16DCB">
      <w:pPr>
        <w:ind w:left="2268" w:hanging="2268"/>
        <w:rPr>
          <w:rFonts w:cs="Arial"/>
          <w:b/>
          <w:sz w:val="22"/>
          <w:szCs w:val="22"/>
        </w:rPr>
      </w:pPr>
      <w:r w:rsidRPr="007855E4">
        <w:rPr>
          <w:rFonts w:cs="Arial"/>
          <w:b/>
          <w:sz w:val="22"/>
          <w:szCs w:val="22"/>
        </w:rPr>
        <w:t>Program Manager</w:t>
      </w:r>
      <w:r w:rsidRPr="007855E4">
        <w:rPr>
          <w:rFonts w:cs="Arial"/>
          <w:b/>
          <w:sz w:val="22"/>
          <w:szCs w:val="22"/>
        </w:rPr>
        <w:tab/>
      </w:r>
      <w:r w:rsidRPr="007855E4">
        <w:rPr>
          <w:rFonts w:cs="Arial"/>
          <w:b/>
          <w:sz w:val="22"/>
          <w:szCs w:val="22"/>
        </w:rPr>
        <w:tab/>
      </w:r>
      <w:r w:rsidRPr="007855E4">
        <w:rPr>
          <w:rFonts w:cs="Arial"/>
          <w:b/>
          <w:bCs/>
          <w:sz w:val="22"/>
          <w:szCs w:val="22"/>
        </w:rPr>
        <w:t>Mr. Y. Takagi</w:t>
      </w:r>
    </w:p>
    <w:p w:rsidR="00B16DCB" w:rsidRPr="007855E4" w:rsidRDefault="00B16DCB" w:rsidP="00B16DCB">
      <w:pPr>
        <w:ind w:left="2268" w:hanging="2268"/>
        <w:rPr>
          <w:sz w:val="22"/>
          <w:szCs w:val="22"/>
        </w:rPr>
      </w:pPr>
    </w:p>
    <w:p w:rsidR="00B16DCB" w:rsidRPr="007855E4" w:rsidRDefault="00B16DCB" w:rsidP="00B16DCB">
      <w:pPr>
        <w:ind w:left="2268" w:hanging="2268"/>
        <w:rPr>
          <w:bCs/>
          <w:sz w:val="22"/>
          <w:szCs w:val="22"/>
        </w:rPr>
      </w:pPr>
    </w:p>
    <w:p w:rsidR="00B16DCB" w:rsidRPr="007855E4" w:rsidRDefault="00B16DCB" w:rsidP="00B16DCB">
      <w:pPr>
        <w:ind w:left="2268" w:hanging="2268"/>
        <w:rPr>
          <w:sz w:val="22"/>
          <w:szCs w:val="22"/>
        </w:rPr>
      </w:pPr>
      <w:r w:rsidRPr="007855E4">
        <w:rPr>
          <w:bCs/>
          <w:sz w:val="22"/>
          <w:szCs w:val="22"/>
        </w:rPr>
        <w:t>ACHIEVEMENTS IN THE 2012/13 BIENNIUM</w:t>
      </w:r>
    </w:p>
    <w:p w:rsidR="00B16DCB" w:rsidRPr="007855E4" w:rsidRDefault="00B16DCB" w:rsidP="00B16DCB">
      <w:pPr>
        <w:rPr>
          <w:sz w:val="22"/>
          <w:szCs w:val="22"/>
        </w:rPr>
      </w:pPr>
    </w:p>
    <w:p w:rsidR="00B16DCB" w:rsidRPr="00D342F4" w:rsidRDefault="00B16DCB" w:rsidP="00B16DCB">
      <w:pPr>
        <w:tabs>
          <w:tab w:val="left" w:pos="709"/>
        </w:tabs>
        <w:jc w:val="both"/>
        <w:rPr>
          <w:bCs/>
          <w:color w:val="000000"/>
          <w:szCs w:val="20"/>
        </w:rPr>
      </w:pPr>
      <w:r w:rsidRPr="00D342F4">
        <w:rPr>
          <w:bCs/>
          <w:color w:val="000000"/>
          <w:szCs w:val="20"/>
        </w:rPr>
        <w:t>15.1</w:t>
      </w:r>
      <w:r>
        <w:rPr>
          <w:bCs/>
          <w:color w:val="000000"/>
          <w:szCs w:val="20"/>
        </w:rPr>
        <w:t>.</w:t>
      </w:r>
      <w:r w:rsidRPr="00D342F4">
        <w:rPr>
          <w:bCs/>
          <w:color w:val="000000"/>
          <w:szCs w:val="20"/>
        </w:rPr>
        <w:tab/>
        <w:t xml:space="preserve">The biennium confirmed a change in the structural conditions under which the Program operated, in particular to support the growing demand, not only for basic WIPO IP Office systems, but also for additional and more complex WIPO IP Office systems, all of which provide IP Offices with both business solutions and the supporting technical tools and platforms for cost-effective and efficient administration of IP applications.  The Program’s existing deployment and support model had been built with a smaller WIPO team, to service fewer Offices with less advanced office needs.  During the biennium 2012/13, increased demand for WIPO IP Office systems, as well as more complex user needs were identified. </w:t>
      </w:r>
      <w:r w:rsidR="00C961E8">
        <w:rPr>
          <w:bCs/>
          <w:color w:val="000000"/>
          <w:szCs w:val="20"/>
        </w:rPr>
        <w:t xml:space="preserve"> </w:t>
      </w:r>
      <w:r w:rsidRPr="00D342F4">
        <w:rPr>
          <w:bCs/>
          <w:color w:val="000000"/>
          <w:szCs w:val="20"/>
        </w:rPr>
        <w:t xml:space="preserve">In order to address these needs and provide an enabling environment to WIPO’s user community, a new support strategy was defined, focusing on more systematic software support procedures, enhanced ownership by the users of the systems, knowledge transfer at a national and regional level and more input into the systems development priorities from the user community, always considering the specific needs and capacity of each Office.  The change to the support strategy is an ongoing process that will continue to be implemented in 2014/15.  </w:t>
      </w:r>
    </w:p>
    <w:p w:rsidR="00B16DCB" w:rsidRPr="00D342F4" w:rsidRDefault="00B16DCB" w:rsidP="00B16DCB">
      <w:pPr>
        <w:tabs>
          <w:tab w:val="left" w:pos="709"/>
        </w:tabs>
        <w:jc w:val="both"/>
        <w:rPr>
          <w:bCs/>
          <w:color w:val="000000"/>
          <w:szCs w:val="20"/>
        </w:rPr>
      </w:pPr>
    </w:p>
    <w:p w:rsidR="00B16DCB" w:rsidRPr="00D342F4" w:rsidRDefault="00B16DCB" w:rsidP="00B16DCB">
      <w:pPr>
        <w:tabs>
          <w:tab w:val="left" w:pos="709"/>
        </w:tabs>
        <w:jc w:val="both"/>
        <w:rPr>
          <w:bCs/>
          <w:szCs w:val="20"/>
        </w:rPr>
      </w:pPr>
      <w:r>
        <w:rPr>
          <w:bCs/>
          <w:szCs w:val="20"/>
        </w:rPr>
        <w:t>15.2.</w:t>
      </w:r>
      <w:r>
        <w:rPr>
          <w:bCs/>
          <w:szCs w:val="20"/>
        </w:rPr>
        <w:tab/>
      </w:r>
      <w:r w:rsidRPr="00D342F4">
        <w:rPr>
          <w:bCs/>
          <w:szCs w:val="20"/>
        </w:rPr>
        <w:t xml:space="preserve">The development started on new modules adaptable to the WIPO IP Office systems proposed for the core business of IP Offices, namely WIPO File, a system enabling online submission of IP applications and supporting documents by applicants and agents, and the WIPO Publication Server to help Offices provide online access to published documents and easily exchange published data and documents. </w:t>
      </w:r>
    </w:p>
    <w:p w:rsidR="00B16DCB" w:rsidRPr="00D342F4" w:rsidRDefault="00B16DCB" w:rsidP="00B16DCB">
      <w:pPr>
        <w:tabs>
          <w:tab w:val="left" w:pos="709"/>
        </w:tabs>
        <w:jc w:val="both"/>
        <w:rPr>
          <w:bCs/>
          <w:szCs w:val="20"/>
        </w:rPr>
      </w:pPr>
    </w:p>
    <w:p w:rsidR="00B16DCB" w:rsidRPr="00D342F4" w:rsidRDefault="00B16DCB" w:rsidP="00B16DCB">
      <w:pPr>
        <w:tabs>
          <w:tab w:val="left" w:pos="709"/>
        </w:tabs>
        <w:jc w:val="both"/>
        <w:rPr>
          <w:bCs/>
          <w:szCs w:val="20"/>
        </w:rPr>
      </w:pPr>
      <w:r>
        <w:rPr>
          <w:bCs/>
          <w:szCs w:val="20"/>
        </w:rPr>
        <w:t>15.3.</w:t>
      </w:r>
      <w:r>
        <w:rPr>
          <w:bCs/>
          <w:szCs w:val="20"/>
        </w:rPr>
        <w:tab/>
      </w:r>
      <w:r w:rsidRPr="00D342F4">
        <w:rPr>
          <w:bCs/>
          <w:szCs w:val="20"/>
        </w:rPr>
        <w:t>Major upgrades were completed on the following WIPO IP Office systems:</w:t>
      </w:r>
    </w:p>
    <w:p w:rsidR="00B16DCB" w:rsidRPr="00D342F4" w:rsidRDefault="00B16DCB" w:rsidP="00B16DCB">
      <w:pPr>
        <w:tabs>
          <w:tab w:val="left" w:pos="709"/>
        </w:tabs>
        <w:jc w:val="both"/>
        <w:rPr>
          <w:bCs/>
          <w:szCs w:val="20"/>
        </w:rPr>
      </w:pPr>
    </w:p>
    <w:p w:rsidR="00B16DCB" w:rsidRPr="00D342F4" w:rsidRDefault="00B16DCB" w:rsidP="005703CF">
      <w:pPr>
        <w:pStyle w:val="ListParagraph"/>
        <w:numPr>
          <w:ilvl w:val="0"/>
          <w:numId w:val="44"/>
        </w:numPr>
        <w:ind w:left="1134" w:hanging="283"/>
        <w:jc w:val="both"/>
      </w:pPr>
      <w:r w:rsidRPr="00D342F4">
        <w:rPr>
          <w:bCs/>
        </w:rPr>
        <w:t xml:space="preserve">The WIPO Industrial Property Administration System (IPAS) </w:t>
      </w:r>
      <w:r w:rsidRPr="00D342F4">
        <w:t xml:space="preserve">supporting all the major business processes of an IP Office, from registration of IP records to publication: </w:t>
      </w:r>
      <w:r w:rsidR="00C961E8">
        <w:t xml:space="preserve"> </w:t>
      </w:r>
      <w:r w:rsidRPr="00D342F4">
        <w:t xml:space="preserve">ongoing development led to a major enhancement released in 2012 and the WIPO Electronic Document Management System (EDMS) was successfully integrated with IPAS. </w:t>
      </w:r>
    </w:p>
    <w:p w:rsidR="00B16DCB" w:rsidRPr="00D342F4" w:rsidRDefault="00B16DCB" w:rsidP="00B16DCB">
      <w:pPr>
        <w:ind w:left="1134" w:hanging="283"/>
        <w:jc w:val="both"/>
        <w:rPr>
          <w:bCs/>
          <w:szCs w:val="20"/>
        </w:rPr>
      </w:pPr>
    </w:p>
    <w:p w:rsidR="00B16DCB" w:rsidRPr="00D342F4" w:rsidRDefault="00B16DCB" w:rsidP="005703CF">
      <w:pPr>
        <w:pStyle w:val="ListParagraph"/>
        <w:numPr>
          <w:ilvl w:val="0"/>
          <w:numId w:val="44"/>
        </w:numPr>
        <w:ind w:left="1134" w:hanging="283"/>
        <w:jc w:val="both"/>
        <w:rPr>
          <w:bCs/>
        </w:rPr>
      </w:pPr>
      <w:r w:rsidRPr="00D342F4">
        <w:rPr>
          <w:bCs/>
        </w:rPr>
        <w:t xml:space="preserve">The WIPO Digital Access Service (DAS) allowing priority documents and similar documents to be securely exchanged between participating IP Offices: </w:t>
      </w:r>
      <w:r w:rsidR="00C961E8">
        <w:rPr>
          <w:bCs/>
        </w:rPr>
        <w:t xml:space="preserve"> </w:t>
      </w:r>
      <w:r w:rsidRPr="00D342F4">
        <w:rPr>
          <w:bCs/>
        </w:rPr>
        <w:t>a new version of the system was released mid-2012, implementing a simplified procedure for exchange of priority documents between participating Offices, to support the secure exchange of priority documents related to patents, utility models, industrial designs and trademarks, and other enhancements agreed at the DAS working group in 2011.</w:t>
      </w:r>
    </w:p>
    <w:p w:rsidR="00B16DCB" w:rsidRPr="00D342F4" w:rsidRDefault="00B16DCB" w:rsidP="00B16DCB">
      <w:pPr>
        <w:ind w:left="1134" w:hanging="283"/>
        <w:jc w:val="both"/>
        <w:rPr>
          <w:bCs/>
          <w:szCs w:val="20"/>
        </w:rPr>
      </w:pPr>
    </w:p>
    <w:p w:rsidR="00B16DCB" w:rsidRPr="00D342F4" w:rsidRDefault="00B16DCB" w:rsidP="005703CF">
      <w:pPr>
        <w:pStyle w:val="ListParagraph"/>
        <w:numPr>
          <w:ilvl w:val="0"/>
          <w:numId w:val="44"/>
        </w:numPr>
        <w:ind w:left="1134" w:hanging="283"/>
        <w:jc w:val="both"/>
        <w:rPr>
          <w:bCs/>
        </w:rPr>
      </w:pPr>
      <w:r w:rsidRPr="00D342F4">
        <w:rPr>
          <w:bCs/>
        </w:rPr>
        <w:t xml:space="preserve">The WIPO Centralized Access to Search an Examination (CASE) allowing secure exchange of search and examination documents to facilitate work sharing between patent Offices: </w:t>
      </w:r>
      <w:r w:rsidR="00C961E8">
        <w:rPr>
          <w:bCs/>
        </w:rPr>
        <w:t xml:space="preserve"> </w:t>
      </w:r>
      <w:r w:rsidR="00C961E8" w:rsidRPr="00D342F4">
        <w:rPr>
          <w:bCs/>
        </w:rPr>
        <w:t>a</w:t>
      </w:r>
      <w:r w:rsidR="00C961E8">
        <w:rPr>
          <w:bCs/>
        </w:rPr>
        <w:t> </w:t>
      </w:r>
      <w:r w:rsidRPr="00D342F4">
        <w:rPr>
          <w:bCs/>
        </w:rPr>
        <w:t>major upgrade was completed mid-2012, adding a patent family search function as well as remote access to IP Office digital libraries, which allows Offices to make their documents available over the internet.</w:t>
      </w:r>
    </w:p>
    <w:p w:rsidR="00B16DCB" w:rsidRPr="00D342F4" w:rsidRDefault="00B16DCB" w:rsidP="00B16DCB">
      <w:pPr>
        <w:jc w:val="both"/>
        <w:rPr>
          <w:bCs/>
          <w:szCs w:val="20"/>
        </w:rPr>
      </w:pPr>
    </w:p>
    <w:p w:rsidR="00B16DCB" w:rsidRPr="00D342F4" w:rsidRDefault="00B16DCB" w:rsidP="00B16DCB">
      <w:pPr>
        <w:tabs>
          <w:tab w:val="left" w:pos="709"/>
        </w:tabs>
        <w:jc w:val="both"/>
        <w:rPr>
          <w:rFonts w:cs="Arial"/>
          <w:noProof/>
          <w:szCs w:val="20"/>
          <w:lang w:eastAsia="ko-KR"/>
        </w:rPr>
      </w:pPr>
      <w:r>
        <w:rPr>
          <w:szCs w:val="20"/>
        </w:rPr>
        <w:t>15.4.</w:t>
      </w:r>
      <w:r>
        <w:rPr>
          <w:szCs w:val="20"/>
        </w:rPr>
        <w:tab/>
      </w:r>
      <w:r w:rsidRPr="00D342F4">
        <w:rPr>
          <w:szCs w:val="20"/>
        </w:rPr>
        <w:t xml:space="preserve">With the assistance of the Japan Patent Office (JPO), two major training events were organized focusing on sharing knowledge and experience in the area of office modernization. </w:t>
      </w:r>
      <w:r w:rsidR="00C961E8">
        <w:rPr>
          <w:szCs w:val="20"/>
        </w:rPr>
        <w:t xml:space="preserve"> </w:t>
      </w:r>
      <w:r w:rsidRPr="00D342F4">
        <w:rPr>
          <w:szCs w:val="20"/>
        </w:rPr>
        <w:t xml:space="preserve">The first workshop targeted the Africa region and was defined in cooperation with the African Regional Intellectual Property Organization (ARIPO) to build the </w:t>
      </w:r>
      <w:r w:rsidRPr="00D342F4">
        <w:rPr>
          <w:snapToGrid w:val="0"/>
          <w:szCs w:val="20"/>
          <w:lang w:eastAsia="ko-KR"/>
        </w:rPr>
        <w:t>capacity and technical skills of IPAS focal points among ARIPO member states</w:t>
      </w:r>
      <w:r w:rsidRPr="00D342F4">
        <w:rPr>
          <w:snapToGrid w:val="0"/>
          <w:szCs w:val="20"/>
        </w:rPr>
        <w:t xml:space="preserve">, </w:t>
      </w:r>
      <w:r w:rsidRPr="00D342F4">
        <w:rPr>
          <w:szCs w:val="20"/>
          <w:lang w:eastAsia="ko-KR"/>
        </w:rPr>
        <w:t>deepen</w:t>
      </w:r>
      <w:r w:rsidRPr="00D342F4">
        <w:rPr>
          <w:szCs w:val="20"/>
        </w:rPr>
        <w:t xml:space="preserve"> their understanding of the architecture of the system, build a regional support network for the system</w:t>
      </w:r>
      <w:r w:rsidRPr="00D342F4">
        <w:rPr>
          <w:snapToGrid w:val="0"/>
          <w:szCs w:val="20"/>
        </w:rPr>
        <w:t xml:space="preserve"> and share knowledge and experience on IPAS support and troubleshooting in the region.  The second workshop targeted the Association of South East Asian Nations (ASEAN) member states and was defined in cooperation </w:t>
      </w:r>
      <w:r w:rsidRPr="00D342F4">
        <w:rPr>
          <w:rFonts w:cs="Arial"/>
          <w:szCs w:val="20"/>
        </w:rPr>
        <w:t>with the</w:t>
      </w:r>
      <w:r w:rsidRPr="00D342F4">
        <w:rPr>
          <w:rFonts w:eastAsia="Batang" w:cs="Arial"/>
          <w:szCs w:val="20"/>
          <w:lang w:eastAsia="ko-KR"/>
        </w:rPr>
        <w:t xml:space="preserve"> Intellectual Property Office of the Philippines (IPOPHL). </w:t>
      </w:r>
      <w:r w:rsidR="00C961E8">
        <w:rPr>
          <w:rFonts w:eastAsia="Batang" w:cs="Arial"/>
          <w:szCs w:val="20"/>
          <w:lang w:eastAsia="ko-KR"/>
        </w:rPr>
        <w:t xml:space="preserve"> </w:t>
      </w:r>
      <w:r w:rsidR="00C961E8" w:rsidRPr="00D342F4">
        <w:rPr>
          <w:rFonts w:eastAsia="Batang" w:cs="Arial"/>
          <w:szCs w:val="20"/>
          <w:lang w:eastAsia="ko-KR"/>
        </w:rPr>
        <w:t>It</w:t>
      </w:r>
      <w:r w:rsidR="00C961E8">
        <w:rPr>
          <w:rFonts w:eastAsia="Batang" w:cs="Arial"/>
          <w:szCs w:val="20"/>
          <w:lang w:eastAsia="ko-KR"/>
        </w:rPr>
        <w:t> </w:t>
      </w:r>
      <w:r w:rsidRPr="00D342F4">
        <w:rPr>
          <w:rFonts w:eastAsia="Batang" w:cs="Arial"/>
          <w:szCs w:val="20"/>
          <w:lang w:eastAsia="ko-KR"/>
        </w:rPr>
        <w:t xml:space="preserve">aimed at </w:t>
      </w:r>
      <w:r w:rsidRPr="00D342F4">
        <w:rPr>
          <w:rFonts w:cs="Arial"/>
          <w:noProof/>
          <w:szCs w:val="20"/>
          <w:lang w:eastAsia="ko-KR"/>
        </w:rPr>
        <w:t>sharing knowledge and experience among the ASEAN Member States, raising awareness on work-sharing initiatives, facilitating regional networking and facilitating the IT Roadmap for the ASEAN.  The evaluation of both events confirmed their value-add in terms of capacity building.</w:t>
      </w:r>
    </w:p>
    <w:p w:rsidR="00B16DCB" w:rsidRPr="00D342F4" w:rsidRDefault="00B16DCB" w:rsidP="00B16DCB">
      <w:pPr>
        <w:tabs>
          <w:tab w:val="left" w:pos="709"/>
        </w:tabs>
        <w:jc w:val="both"/>
        <w:rPr>
          <w:szCs w:val="20"/>
        </w:rPr>
      </w:pPr>
    </w:p>
    <w:p w:rsidR="00B16DCB" w:rsidRPr="00D342F4" w:rsidRDefault="00B16DCB" w:rsidP="00B16DCB">
      <w:pPr>
        <w:tabs>
          <w:tab w:val="left" w:pos="709"/>
        </w:tabs>
        <w:jc w:val="both"/>
        <w:rPr>
          <w:bCs/>
          <w:szCs w:val="20"/>
        </w:rPr>
      </w:pPr>
      <w:r>
        <w:rPr>
          <w:szCs w:val="20"/>
        </w:rPr>
        <w:lastRenderedPageBreak/>
        <w:t>15.5.</w:t>
      </w:r>
      <w:r>
        <w:rPr>
          <w:szCs w:val="20"/>
        </w:rPr>
        <w:tab/>
      </w:r>
      <w:r w:rsidRPr="00D342F4">
        <w:rPr>
          <w:szCs w:val="20"/>
        </w:rPr>
        <w:t xml:space="preserve">A technical workshop was also organized at the WIPO headquarters in Geneva for IPAS and WIPOScan administrators from various regions leading to </w:t>
      </w:r>
      <w:r w:rsidRPr="00D342F4">
        <w:rPr>
          <w:bCs/>
          <w:color w:val="000000"/>
          <w:szCs w:val="20"/>
        </w:rPr>
        <w:t>enhanced ownership by the users of the systems</w:t>
      </w:r>
      <w:r w:rsidRPr="00D342F4">
        <w:rPr>
          <w:szCs w:val="20"/>
        </w:rPr>
        <w:t xml:space="preserve">. </w:t>
      </w:r>
    </w:p>
    <w:p w:rsidR="00B16DCB" w:rsidRPr="00D342F4" w:rsidRDefault="00B16DCB" w:rsidP="00B16DCB">
      <w:pPr>
        <w:tabs>
          <w:tab w:val="left" w:pos="709"/>
        </w:tabs>
        <w:jc w:val="both"/>
        <w:rPr>
          <w:bCs/>
          <w:szCs w:val="20"/>
        </w:rPr>
      </w:pPr>
    </w:p>
    <w:p w:rsidR="00B16DCB" w:rsidRPr="00D342F4" w:rsidRDefault="00B16DCB" w:rsidP="00B16DCB">
      <w:pPr>
        <w:tabs>
          <w:tab w:val="left" w:pos="709"/>
        </w:tabs>
        <w:jc w:val="both"/>
        <w:rPr>
          <w:bCs/>
          <w:szCs w:val="20"/>
        </w:rPr>
      </w:pPr>
      <w:r>
        <w:rPr>
          <w:bCs/>
          <w:szCs w:val="20"/>
        </w:rPr>
        <w:t>15.6.</w:t>
      </w:r>
      <w:r>
        <w:rPr>
          <w:bCs/>
          <w:szCs w:val="20"/>
        </w:rPr>
        <w:tab/>
      </w:r>
      <w:r w:rsidRPr="00D342F4">
        <w:rPr>
          <w:bCs/>
          <w:szCs w:val="20"/>
        </w:rPr>
        <w:t>The chart below provides an overview of the level of usage of the WIPO IP Office systems over the past five years. It clearly highlights an increase in usage from the biennium 2010/11 to the biennium 2012/13.</w:t>
      </w:r>
    </w:p>
    <w:p w:rsidR="00B16DCB" w:rsidRPr="00D342F4" w:rsidRDefault="00B16DCB" w:rsidP="00B16DCB">
      <w:pPr>
        <w:rPr>
          <w:bCs/>
          <w:szCs w:val="20"/>
        </w:rPr>
      </w:pPr>
    </w:p>
    <w:p w:rsidR="00B16DCB" w:rsidRPr="007855E4" w:rsidRDefault="00B16DCB" w:rsidP="00B16DCB">
      <w:pPr>
        <w:ind w:left="2268" w:hanging="2268"/>
        <w:rPr>
          <w:bCs/>
          <w:sz w:val="22"/>
          <w:szCs w:val="22"/>
        </w:rPr>
      </w:pPr>
      <w:r>
        <w:rPr>
          <w:noProof/>
        </w:rPr>
        <w:drawing>
          <wp:inline distT="0" distB="0" distL="0" distR="0" wp14:anchorId="64A52AB8" wp14:editId="2F64B01C">
            <wp:extent cx="5760083" cy="3363889"/>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descr="cid:image001.png@01CF2CCD.30EE86D0"/>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5760083" cy="3363889"/>
                    </a:xfrm>
                    <a:prstGeom prst="rect">
                      <a:avLst/>
                    </a:prstGeom>
                    <a:noFill/>
                    <a:ln>
                      <a:noFill/>
                    </a:ln>
                  </pic:spPr>
                </pic:pic>
              </a:graphicData>
            </a:graphic>
          </wp:inline>
        </w:drawing>
      </w:r>
    </w:p>
    <w:p w:rsidR="00B16DCB" w:rsidRPr="007855E4" w:rsidRDefault="00B16DCB" w:rsidP="00B16DCB">
      <w:pPr>
        <w:ind w:left="2268" w:hanging="2268"/>
        <w:rPr>
          <w:bCs/>
          <w:sz w:val="22"/>
          <w:szCs w:val="22"/>
        </w:rPr>
      </w:pPr>
    </w:p>
    <w:p w:rsidR="00B16DCB" w:rsidRPr="00D342F4" w:rsidRDefault="00B16DCB" w:rsidP="00B16DCB">
      <w:pPr>
        <w:tabs>
          <w:tab w:val="left" w:pos="709"/>
        </w:tabs>
        <w:jc w:val="both"/>
        <w:rPr>
          <w:bCs/>
          <w:szCs w:val="20"/>
        </w:rPr>
      </w:pPr>
      <w:r>
        <w:rPr>
          <w:bCs/>
          <w:szCs w:val="20"/>
        </w:rPr>
        <w:t>15.7.</w:t>
      </w:r>
      <w:r>
        <w:rPr>
          <w:bCs/>
          <w:szCs w:val="20"/>
        </w:rPr>
        <w:tab/>
      </w:r>
      <w:r w:rsidRPr="00D342F4">
        <w:rPr>
          <w:bCs/>
          <w:szCs w:val="20"/>
        </w:rPr>
        <w:t>Some 6</w:t>
      </w:r>
      <w:r>
        <w:rPr>
          <w:bCs/>
          <w:szCs w:val="20"/>
        </w:rPr>
        <w:t>4</w:t>
      </w:r>
      <w:r w:rsidRPr="00D342F4">
        <w:rPr>
          <w:bCs/>
          <w:szCs w:val="20"/>
        </w:rPr>
        <w:t xml:space="preserve"> IP Offices were using WIPO IP Office systems at the end of the 2012/13 biennium (comprising IPAS, the WIPO Arab Industrial Property Management System (AIPMS), EDMS, WIPOScan and the WIPO Madrid Module).</w:t>
      </w:r>
    </w:p>
    <w:p w:rsidR="00B16DCB" w:rsidRPr="00D342F4" w:rsidRDefault="00B16DCB" w:rsidP="00B16DCB">
      <w:pPr>
        <w:tabs>
          <w:tab w:val="left" w:pos="709"/>
        </w:tabs>
        <w:jc w:val="both"/>
        <w:rPr>
          <w:bCs/>
          <w:szCs w:val="20"/>
        </w:rPr>
      </w:pPr>
    </w:p>
    <w:p w:rsidR="00B16DCB" w:rsidRPr="00D342F4" w:rsidRDefault="00B16DCB" w:rsidP="00B16DCB">
      <w:pPr>
        <w:tabs>
          <w:tab w:val="left" w:pos="709"/>
        </w:tabs>
        <w:jc w:val="both"/>
        <w:rPr>
          <w:bCs/>
          <w:szCs w:val="20"/>
        </w:rPr>
      </w:pPr>
      <w:r>
        <w:rPr>
          <w:bCs/>
          <w:szCs w:val="20"/>
        </w:rPr>
        <w:t>15.8.</w:t>
      </w:r>
      <w:r>
        <w:rPr>
          <w:bCs/>
          <w:szCs w:val="20"/>
        </w:rPr>
        <w:tab/>
      </w:r>
      <w:r w:rsidRPr="00D342F4">
        <w:rPr>
          <w:bCs/>
          <w:szCs w:val="20"/>
        </w:rPr>
        <w:t xml:space="preserve">In addition, seven IP Offices were using the WIPO Centralized Access to Search and Examination (CASE) and 11 IP Offices were using DAS. </w:t>
      </w:r>
    </w:p>
    <w:p w:rsidR="00B16DCB" w:rsidRPr="00D342F4" w:rsidRDefault="00B16DCB" w:rsidP="00B16DCB">
      <w:pPr>
        <w:tabs>
          <w:tab w:val="left" w:pos="709"/>
        </w:tabs>
        <w:jc w:val="both"/>
        <w:rPr>
          <w:bCs/>
          <w:szCs w:val="20"/>
        </w:rPr>
      </w:pPr>
    </w:p>
    <w:p w:rsidR="00B16DCB" w:rsidRPr="00D342F4" w:rsidRDefault="00B16DCB" w:rsidP="00B16DCB">
      <w:pPr>
        <w:tabs>
          <w:tab w:val="left" w:pos="709"/>
        </w:tabs>
        <w:jc w:val="both"/>
        <w:rPr>
          <w:bCs/>
          <w:szCs w:val="20"/>
        </w:rPr>
      </w:pPr>
      <w:r>
        <w:rPr>
          <w:bCs/>
          <w:szCs w:val="20"/>
        </w:rPr>
        <w:t>15.9.</w:t>
      </w:r>
      <w:r>
        <w:rPr>
          <w:bCs/>
          <w:szCs w:val="20"/>
        </w:rPr>
        <w:tab/>
      </w:r>
      <w:r w:rsidRPr="00D342F4">
        <w:rPr>
          <w:bCs/>
          <w:szCs w:val="20"/>
        </w:rPr>
        <w:t xml:space="preserve">Collaboration and partnership was reinforced though the signature of 17 new Cooperation Agreements for the development of IP Office Business Services over the biennium. </w:t>
      </w:r>
    </w:p>
    <w:p w:rsidR="00B16DCB" w:rsidRPr="007855E4" w:rsidRDefault="00B16DCB" w:rsidP="00B16DCB">
      <w:pPr>
        <w:ind w:left="2268" w:hanging="2268"/>
        <w:rPr>
          <w:bCs/>
          <w:sz w:val="22"/>
          <w:szCs w:val="22"/>
        </w:rPr>
      </w:pPr>
    </w:p>
    <w:p w:rsidR="00B16DCB" w:rsidRPr="00B61AFA" w:rsidRDefault="00B16DCB" w:rsidP="00B16DCB">
      <w:pPr>
        <w:ind w:left="2268" w:hanging="2268"/>
        <w:rPr>
          <w:rFonts w:cs="Arial"/>
          <w:bCs/>
          <w:sz w:val="22"/>
          <w:szCs w:val="22"/>
        </w:rPr>
      </w:pPr>
    </w:p>
    <w:p w:rsidR="00B16DCB" w:rsidRPr="002C4083" w:rsidRDefault="00B16DCB" w:rsidP="00B16DCB">
      <w:pPr>
        <w:ind w:left="2268" w:hanging="2268"/>
        <w:rPr>
          <w:rFonts w:cs="Arial"/>
          <w:bCs/>
          <w:sz w:val="22"/>
          <w:szCs w:val="22"/>
        </w:rPr>
      </w:pPr>
      <w:r w:rsidRPr="002C4083">
        <w:rPr>
          <w:rFonts w:cs="Arial"/>
          <w:bCs/>
          <w:sz w:val="22"/>
          <w:szCs w:val="22"/>
        </w:rPr>
        <w:t xml:space="preserve">IMPLEMENTATION OF THE DEVELOPMENT AGENDA </w:t>
      </w:r>
    </w:p>
    <w:p w:rsidR="00B16DCB" w:rsidRPr="007855E4" w:rsidRDefault="00B16DCB" w:rsidP="00B16DCB">
      <w:pPr>
        <w:ind w:left="2268" w:hanging="2268"/>
        <w:rPr>
          <w:sz w:val="22"/>
          <w:szCs w:val="22"/>
        </w:rPr>
      </w:pPr>
    </w:p>
    <w:p w:rsidR="00B16DCB" w:rsidRPr="00D342F4" w:rsidRDefault="00B16DCB">
      <w:pPr>
        <w:tabs>
          <w:tab w:val="left" w:pos="709"/>
        </w:tabs>
        <w:jc w:val="both"/>
        <w:rPr>
          <w:rFonts w:cs="Arial"/>
          <w:bCs/>
          <w:szCs w:val="20"/>
        </w:rPr>
      </w:pPr>
      <w:r>
        <w:rPr>
          <w:rFonts w:cs="Arial"/>
          <w:bCs/>
          <w:szCs w:val="20"/>
        </w:rPr>
        <w:t>15.10.</w:t>
      </w:r>
      <w:r>
        <w:rPr>
          <w:rFonts w:cs="Arial"/>
          <w:bCs/>
          <w:szCs w:val="20"/>
        </w:rPr>
        <w:tab/>
      </w:r>
      <w:r w:rsidRPr="00D342F4">
        <w:rPr>
          <w:rFonts w:cs="Arial"/>
          <w:bCs/>
          <w:szCs w:val="20"/>
        </w:rPr>
        <w:t xml:space="preserve">The design, planning and implementation of activities undertaken by Program 15 were informed and guided by the relevant DA Recommendations in particular 1, 2 and 10.  In addition, the Program was engaged in the implementation of the DA project on Smart IP Institutions and the project on Information and Communication Technologies (ICTs), the Digital Divide and Access to Knowledge. </w:t>
      </w:r>
      <w:r>
        <w:rPr>
          <w:rFonts w:cs="Arial"/>
          <w:bCs/>
          <w:szCs w:val="20"/>
        </w:rPr>
        <w:t xml:space="preserve"> </w:t>
      </w:r>
      <w:r w:rsidRPr="00D342F4">
        <w:rPr>
          <w:rFonts w:cs="Arial"/>
          <w:bCs/>
          <w:szCs w:val="20"/>
        </w:rPr>
        <w:t xml:space="preserve">These two projects were completed at the end of 2011 and evaluated in 2012. Evaluation reports were discussed by the CDIP.  </w:t>
      </w:r>
    </w:p>
    <w:p w:rsidR="00B16DCB" w:rsidRPr="00D342F4" w:rsidRDefault="00B16DCB" w:rsidP="00B16DCB">
      <w:pPr>
        <w:tabs>
          <w:tab w:val="left" w:pos="709"/>
        </w:tabs>
        <w:jc w:val="both"/>
        <w:rPr>
          <w:rFonts w:cs="Arial"/>
          <w:bCs/>
          <w:szCs w:val="20"/>
        </w:rPr>
      </w:pPr>
    </w:p>
    <w:p w:rsidR="00B16DCB" w:rsidRPr="00D342F4" w:rsidRDefault="00B16DCB" w:rsidP="00B16DCB">
      <w:pPr>
        <w:tabs>
          <w:tab w:val="left" w:pos="709"/>
        </w:tabs>
        <w:jc w:val="both"/>
        <w:rPr>
          <w:rFonts w:cs="Arial"/>
          <w:bCs/>
          <w:szCs w:val="20"/>
        </w:rPr>
      </w:pPr>
      <w:r>
        <w:rPr>
          <w:rFonts w:cs="Arial"/>
          <w:bCs/>
          <w:szCs w:val="20"/>
        </w:rPr>
        <w:t>15.11.</w:t>
      </w:r>
      <w:r>
        <w:rPr>
          <w:rFonts w:cs="Arial"/>
          <w:bCs/>
          <w:szCs w:val="20"/>
        </w:rPr>
        <w:tab/>
      </w:r>
      <w:r w:rsidRPr="00D342F4">
        <w:rPr>
          <w:rFonts w:cs="Arial"/>
          <w:bCs/>
          <w:szCs w:val="20"/>
        </w:rPr>
        <w:t>In addition, with a view to enhancing the technical and knowledge infrastructure of IP Offices and other IP institutions to provide improved services to their stakeholders, the Program continued providing technical assistance to IP Offices in developing countries and LDCs to improve their ICT-based business systems for reception, administration, examination, registration and publication of IP titles</w:t>
      </w:r>
      <w:r w:rsidR="00C961E8">
        <w:rPr>
          <w:rFonts w:cs="Arial"/>
          <w:bCs/>
          <w:szCs w:val="20"/>
        </w:rPr>
        <w:t>.</w:t>
      </w:r>
    </w:p>
    <w:p w:rsidR="00B16DCB" w:rsidRDefault="00B16DCB" w:rsidP="00B16DCB">
      <w:pPr>
        <w:rPr>
          <w:rFonts w:cs="Arial"/>
          <w:sz w:val="22"/>
          <w:szCs w:val="22"/>
        </w:rPr>
      </w:pPr>
    </w:p>
    <w:p w:rsidR="00B16DCB" w:rsidRDefault="00B16DCB" w:rsidP="00B16DCB">
      <w:pPr>
        <w:rPr>
          <w:rFonts w:cs="Arial"/>
          <w:sz w:val="22"/>
          <w:szCs w:val="22"/>
        </w:rPr>
      </w:pPr>
    </w:p>
    <w:p w:rsidR="00B16DCB" w:rsidRDefault="00B16DCB" w:rsidP="00B16DCB">
      <w:pPr>
        <w:rPr>
          <w:rFonts w:cs="Arial"/>
          <w:sz w:val="22"/>
          <w:szCs w:val="22"/>
        </w:rPr>
      </w:pPr>
      <w:r>
        <w:rPr>
          <w:rFonts w:cs="Arial"/>
          <w:sz w:val="22"/>
          <w:szCs w:val="22"/>
        </w:rPr>
        <w:br w:type="page"/>
      </w:r>
    </w:p>
    <w:p w:rsidR="00B16DCB" w:rsidRPr="007855E4" w:rsidRDefault="00B16DCB" w:rsidP="00B16DCB">
      <w:pPr>
        <w:ind w:left="2268" w:hanging="2268"/>
        <w:rPr>
          <w:rFonts w:cs="Arial"/>
          <w:sz w:val="22"/>
          <w:szCs w:val="22"/>
        </w:rPr>
      </w:pPr>
      <w:r w:rsidRPr="007855E4">
        <w:rPr>
          <w:rFonts w:cs="Arial"/>
          <w:sz w:val="22"/>
          <w:szCs w:val="22"/>
        </w:rPr>
        <w:lastRenderedPageBreak/>
        <w:t>PERFORMANCE DATA</w:t>
      </w:r>
    </w:p>
    <w:p w:rsidR="00B16DCB" w:rsidRPr="007855E4" w:rsidRDefault="00B16DCB" w:rsidP="00B16DCB">
      <w:pPr>
        <w:ind w:left="2268" w:hanging="2268"/>
        <w:rPr>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02"/>
        <w:gridCol w:w="1731"/>
        <w:gridCol w:w="1482"/>
        <w:gridCol w:w="3206"/>
        <w:gridCol w:w="1536"/>
      </w:tblGrid>
      <w:tr w:rsidR="00B16DCB" w:rsidRPr="00B16DCB" w:rsidTr="002249F8">
        <w:trPr>
          <w:cantSplit/>
          <w:trHeight w:val="136"/>
        </w:trPr>
        <w:tc>
          <w:tcPr>
            <w:tcW w:w="5000" w:type="pct"/>
            <w:gridSpan w:val="5"/>
            <w:tcBorders>
              <w:top w:val="single" w:sz="4" w:space="0" w:color="auto"/>
              <w:bottom w:val="single" w:sz="4" w:space="0" w:color="auto"/>
            </w:tcBorders>
            <w:shd w:val="clear" w:color="auto" w:fill="CCFFFF"/>
            <w:vAlign w:val="center"/>
          </w:tcPr>
          <w:p w:rsidR="00B16DCB" w:rsidRPr="00B16DCB" w:rsidRDefault="00B16DCB" w:rsidP="002249F8">
            <w:pPr>
              <w:keepNext/>
              <w:keepLines/>
              <w:tabs>
                <w:tab w:val="left" w:pos="1452"/>
              </w:tabs>
              <w:spacing w:before="120" w:after="120"/>
              <w:ind w:left="1452" w:hanging="1452"/>
              <w:rPr>
                <w:rFonts w:cs="Arial"/>
                <w:b/>
                <w:bCs/>
                <w:sz w:val="16"/>
                <w:szCs w:val="16"/>
              </w:rPr>
            </w:pPr>
            <w:r w:rsidRPr="00B16DCB">
              <w:rPr>
                <w:rFonts w:cs="Arial"/>
                <w:b/>
                <w:bCs/>
                <w:sz w:val="16"/>
                <w:szCs w:val="16"/>
              </w:rPr>
              <w:t>Expected Result:</w:t>
            </w:r>
            <w:r w:rsidRPr="00B16DCB">
              <w:rPr>
                <w:rFonts w:cs="Arial"/>
                <w:b/>
                <w:bCs/>
                <w:sz w:val="16"/>
                <w:szCs w:val="16"/>
              </w:rPr>
              <w:tab/>
            </w:r>
            <w:r w:rsidRPr="00B16DCB">
              <w:rPr>
                <w:rFonts w:cs="Arial"/>
                <w:color w:val="000000"/>
                <w:sz w:val="16"/>
                <w:szCs w:val="16"/>
                <w:lang w:bidi="th-TH"/>
              </w:rPr>
              <w:t>Enhanced  technical and knowledge infrastructure for IP Offices and other IP institutions leading to better services (cheaper, faster, higher quality) to their stakeholders</w:t>
            </w:r>
          </w:p>
        </w:tc>
      </w:tr>
      <w:tr w:rsidR="00B16DCB" w:rsidRPr="00B16DCB" w:rsidTr="002249F8">
        <w:trPr>
          <w:cantSplit/>
          <w:trHeight w:val="136"/>
        </w:trPr>
        <w:tc>
          <w:tcPr>
            <w:tcW w:w="749" w:type="pct"/>
            <w:tcBorders>
              <w:top w:val="single" w:sz="4" w:space="0" w:color="auto"/>
            </w:tcBorders>
            <w:shd w:val="clear" w:color="auto" w:fill="auto"/>
            <w:vAlign w:val="center"/>
          </w:tcPr>
          <w:p w:rsidR="00B16DCB" w:rsidRPr="00B16DCB" w:rsidRDefault="00B16DCB" w:rsidP="002249F8">
            <w:pPr>
              <w:rPr>
                <w:rFonts w:cs="Arial"/>
                <w:sz w:val="16"/>
                <w:szCs w:val="16"/>
              </w:rPr>
            </w:pPr>
            <w:r w:rsidRPr="00B16DCB">
              <w:rPr>
                <w:rFonts w:cs="Arial"/>
                <w:b/>
                <w:bCs/>
                <w:sz w:val="16"/>
                <w:szCs w:val="16"/>
              </w:rPr>
              <w:t>Performance Indicators</w:t>
            </w:r>
          </w:p>
        </w:tc>
        <w:tc>
          <w:tcPr>
            <w:tcW w:w="925" w:type="pct"/>
            <w:tcBorders>
              <w:top w:val="single" w:sz="4" w:space="0" w:color="auto"/>
            </w:tcBorders>
            <w:shd w:val="clear" w:color="auto" w:fill="auto"/>
            <w:vAlign w:val="center"/>
          </w:tcPr>
          <w:p w:rsidR="00B16DCB" w:rsidRPr="00B16DCB" w:rsidRDefault="00B16DCB" w:rsidP="002249F8">
            <w:pPr>
              <w:rPr>
                <w:rFonts w:cs="Arial"/>
                <w:b/>
                <w:bCs/>
                <w:sz w:val="16"/>
                <w:szCs w:val="16"/>
              </w:rPr>
            </w:pPr>
            <w:r w:rsidRPr="00B16DCB">
              <w:rPr>
                <w:rFonts w:cs="Arial"/>
                <w:b/>
                <w:bCs/>
                <w:sz w:val="16"/>
                <w:szCs w:val="16"/>
              </w:rPr>
              <w:t>Baselines</w:t>
            </w:r>
          </w:p>
        </w:tc>
        <w:tc>
          <w:tcPr>
            <w:tcW w:w="792" w:type="pct"/>
            <w:tcBorders>
              <w:top w:val="single" w:sz="4" w:space="0" w:color="auto"/>
            </w:tcBorders>
            <w:shd w:val="clear" w:color="auto" w:fill="auto"/>
            <w:tcMar>
              <w:top w:w="110" w:type="dxa"/>
            </w:tcMar>
            <w:vAlign w:val="center"/>
          </w:tcPr>
          <w:p w:rsidR="00B16DCB" w:rsidRPr="00B16DCB" w:rsidRDefault="00B16DCB" w:rsidP="002249F8">
            <w:pPr>
              <w:rPr>
                <w:rFonts w:cs="Arial"/>
                <w:b/>
                <w:sz w:val="16"/>
                <w:szCs w:val="16"/>
              </w:rPr>
            </w:pPr>
            <w:r w:rsidRPr="00B16DCB">
              <w:rPr>
                <w:rFonts w:cs="Arial"/>
                <w:b/>
                <w:sz w:val="16"/>
                <w:szCs w:val="16"/>
              </w:rPr>
              <w:t>Target</w:t>
            </w:r>
            <w:r w:rsidR="00E41397">
              <w:rPr>
                <w:rFonts w:cs="Arial"/>
                <w:b/>
                <w:sz w:val="16"/>
                <w:szCs w:val="16"/>
              </w:rPr>
              <w:t>s</w:t>
            </w:r>
          </w:p>
        </w:tc>
        <w:tc>
          <w:tcPr>
            <w:tcW w:w="1713" w:type="pct"/>
            <w:tcBorders>
              <w:top w:val="single" w:sz="4" w:space="0" w:color="auto"/>
            </w:tcBorders>
            <w:shd w:val="clear" w:color="auto" w:fill="FFFFFF"/>
            <w:tcMar>
              <w:top w:w="110" w:type="dxa"/>
            </w:tcMar>
            <w:vAlign w:val="center"/>
          </w:tcPr>
          <w:p w:rsidR="00B16DCB" w:rsidRPr="00B16DCB" w:rsidRDefault="00B16DCB" w:rsidP="002249F8">
            <w:pPr>
              <w:rPr>
                <w:rFonts w:cs="Arial"/>
                <w:sz w:val="16"/>
                <w:szCs w:val="16"/>
              </w:rPr>
            </w:pPr>
            <w:r w:rsidRPr="00B16DCB">
              <w:rPr>
                <w:rFonts w:cs="Arial"/>
                <w:b/>
                <w:bCs/>
                <w:sz w:val="16"/>
                <w:szCs w:val="16"/>
              </w:rPr>
              <w:t>Performance Data</w:t>
            </w:r>
          </w:p>
        </w:tc>
        <w:tc>
          <w:tcPr>
            <w:tcW w:w="821" w:type="pct"/>
            <w:tcBorders>
              <w:top w:val="single" w:sz="4" w:space="0" w:color="auto"/>
            </w:tcBorders>
            <w:shd w:val="clear" w:color="auto" w:fill="auto"/>
            <w:tcMar>
              <w:top w:w="110" w:type="dxa"/>
            </w:tcMar>
            <w:vAlign w:val="center"/>
          </w:tcPr>
          <w:p w:rsidR="00B16DCB" w:rsidRPr="00B16DCB" w:rsidRDefault="00B16DCB" w:rsidP="002249F8">
            <w:pPr>
              <w:keepNext/>
              <w:keepLines/>
              <w:jc w:val="center"/>
              <w:rPr>
                <w:rFonts w:cs="Arial"/>
                <w:b/>
                <w:bCs/>
                <w:sz w:val="16"/>
                <w:szCs w:val="16"/>
              </w:rPr>
            </w:pPr>
            <w:r w:rsidRPr="00B16DCB">
              <w:rPr>
                <w:rFonts w:cs="Arial"/>
                <w:b/>
                <w:bCs/>
                <w:sz w:val="16"/>
                <w:szCs w:val="16"/>
              </w:rPr>
              <w:t>TLS</w:t>
            </w:r>
          </w:p>
        </w:tc>
      </w:tr>
      <w:tr w:rsidR="00B16DCB" w:rsidRPr="00B16DCB" w:rsidTr="002249F8">
        <w:trPr>
          <w:cantSplit/>
          <w:trHeight w:val="136"/>
        </w:trPr>
        <w:tc>
          <w:tcPr>
            <w:tcW w:w="749" w:type="pct"/>
            <w:shd w:val="clear" w:color="auto" w:fill="auto"/>
          </w:tcPr>
          <w:p w:rsidR="00B16DCB" w:rsidRPr="00B16DCB" w:rsidRDefault="00B16DCB" w:rsidP="002249F8">
            <w:pPr>
              <w:rPr>
                <w:rFonts w:cs="Arial"/>
                <w:sz w:val="16"/>
                <w:szCs w:val="16"/>
                <w:lang w:bidi="th-TH"/>
              </w:rPr>
            </w:pPr>
            <w:r w:rsidRPr="00B16DCB">
              <w:rPr>
                <w:rFonts w:cs="Arial"/>
                <w:sz w:val="16"/>
                <w:szCs w:val="16"/>
                <w:lang w:bidi="th-TH"/>
              </w:rPr>
              <w:t xml:space="preserve">No. of Offices with fully automated vs partially automated IP administration systems provided by WIPO </w:t>
            </w:r>
          </w:p>
          <w:p w:rsidR="00B16DCB" w:rsidRPr="00B16DCB" w:rsidRDefault="00B16DCB" w:rsidP="002249F8">
            <w:pPr>
              <w:rPr>
                <w:rFonts w:cs="Arial"/>
                <w:sz w:val="16"/>
                <w:szCs w:val="16"/>
              </w:rPr>
            </w:pPr>
          </w:p>
        </w:tc>
        <w:tc>
          <w:tcPr>
            <w:tcW w:w="925" w:type="pct"/>
            <w:shd w:val="clear" w:color="auto" w:fill="auto"/>
          </w:tcPr>
          <w:p w:rsidR="00B16DCB" w:rsidRPr="00B16DCB" w:rsidRDefault="00B16DCB" w:rsidP="002249F8">
            <w:pPr>
              <w:rPr>
                <w:rFonts w:cs="Arial"/>
                <w:i/>
                <w:color w:val="002060"/>
                <w:sz w:val="16"/>
                <w:szCs w:val="16"/>
              </w:rPr>
            </w:pPr>
            <w:r w:rsidRPr="00B16DCB">
              <w:rPr>
                <w:rFonts w:cs="Arial"/>
                <w:i/>
                <w:color w:val="002060"/>
                <w:sz w:val="16"/>
                <w:szCs w:val="16"/>
              </w:rPr>
              <w:t xml:space="preserve">Updated Baseline end 2011:  </w:t>
            </w:r>
            <w:r w:rsidRPr="00B16DCB">
              <w:rPr>
                <w:rFonts w:cs="Arial"/>
                <w:color w:val="002060"/>
                <w:sz w:val="16"/>
                <w:szCs w:val="16"/>
                <w:lang w:bidi="th-TH"/>
              </w:rPr>
              <w:t>181,900</w:t>
            </w:r>
          </w:p>
          <w:p w:rsidR="00B16DCB" w:rsidRPr="00B16DCB" w:rsidRDefault="00B16DCB" w:rsidP="002249F8">
            <w:pPr>
              <w:rPr>
                <w:rFonts w:cs="Arial"/>
                <w:color w:val="002060"/>
                <w:sz w:val="16"/>
                <w:szCs w:val="16"/>
                <w:lang w:bidi="th-TH"/>
              </w:rPr>
            </w:pPr>
            <w:r w:rsidRPr="00B16DCB">
              <w:rPr>
                <w:rFonts w:cs="Arial"/>
                <w:color w:val="002060"/>
                <w:sz w:val="16"/>
                <w:szCs w:val="16"/>
                <w:lang w:bidi="th-TH"/>
              </w:rPr>
              <w:t xml:space="preserve">No. of fully automated offices at the end of 2011:  33 </w:t>
            </w:r>
          </w:p>
          <w:p w:rsidR="00B16DCB" w:rsidRPr="00B16DCB" w:rsidRDefault="00B16DCB" w:rsidP="002249F8">
            <w:pPr>
              <w:rPr>
                <w:rFonts w:cs="Arial"/>
                <w:color w:val="002060"/>
                <w:sz w:val="16"/>
                <w:szCs w:val="16"/>
                <w:lang w:bidi="th-TH"/>
              </w:rPr>
            </w:pPr>
            <w:r w:rsidRPr="00B16DCB">
              <w:rPr>
                <w:rFonts w:cs="Arial"/>
                <w:color w:val="002060"/>
                <w:sz w:val="16"/>
                <w:szCs w:val="16"/>
                <w:lang w:bidi="th-TH"/>
              </w:rPr>
              <w:t>No. of partially automated offices at the end of 2011:  25</w:t>
            </w:r>
          </w:p>
          <w:p w:rsidR="00B16DCB" w:rsidRPr="00B16DCB" w:rsidRDefault="00B16DCB" w:rsidP="002249F8">
            <w:pPr>
              <w:rPr>
                <w:rFonts w:cs="Arial"/>
                <w:color w:val="002060"/>
                <w:sz w:val="16"/>
                <w:szCs w:val="16"/>
                <w:lang w:bidi="th-TH"/>
              </w:rPr>
            </w:pPr>
            <w:r w:rsidRPr="00B16DCB">
              <w:rPr>
                <w:rFonts w:cs="Arial"/>
                <w:color w:val="002060"/>
                <w:sz w:val="16"/>
                <w:szCs w:val="16"/>
                <w:lang w:bidi="th-TH"/>
              </w:rPr>
              <w:t>Total:  58 offices using WIPO IP administration systems (end 2011)</w:t>
            </w:r>
          </w:p>
          <w:p w:rsidR="00B16DCB" w:rsidRPr="00B16DCB" w:rsidRDefault="00B16DCB" w:rsidP="002249F8">
            <w:pPr>
              <w:rPr>
                <w:rFonts w:cs="Arial"/>
                <w:i/>
                <w:sz w:val="16"/>
                <w:szCs w:val="16"/>
                <w:lang w:bidi="th-TH"/>
              </w:rPr>
            </w:pPr>
          </w:p>
          <w:p w:rsidR="00B16DCB" w:rsidRPr="00B16DCB" w:rsidRDefault="00B16DCB" w:rsidP="002249F8">
            <w:pPr>
              <w:rPr>
                <w:rFonts w:cs="Arial"/>
                <w:sz w:val="16"/>
                <w:szCs w:val="16"/>
              </w:rPr>
            </w:pPr>
            <w:r w:rsidRPr="00B16DCB">
              <w:rPr>
                <w:rFonts w:cs="Arial"/>
                <w:i/>
                <w:sz w:val="16"/>
                <w:szCs w:val="16"/>
                <w:lang w:bidi="th-TH"/>
              </w:rPr>
              <w:t>Original Baseline P&amp;B 2012/13:</w:t>
            </w:r>
          </w:p>
          <w:p w:rsidR="00B16DCB" w:rsidRPr="00B16DCB" w:rsidRDefault="00B16DCB" w:rsidP="002249F8">
            <w:pPr>
              <w:rPr>
                <w:rFonts w:cs="Arial"/>
                <w:sz w:val="16"/>
                <w:szCs w:val="16"/>
              </w:rPr>
            </w:pPr>
            <w:r w:rsidRPr="00B16DCB">
              <w:rPr>
                <w:rFonts w:cs="Arial"/>
                <w:sz w:val="16"/>
                <w:szCs w:val="16"/>
              </w:rPr>
              <w:t>38 offices fully automated vs. 25 offices partially automated.  Total of 58 offices using WIPO IP administration systems</w:t>
            </w:r>
          </w:p>
        </w:tc>
        <w:tc>
          <w:tcPr>
            <w:tcW w:w="792" w:type="pct"/>
            <w:shd w:val="clear" w:color="auto" w:fill="auto"/>
            <w:tcMar>
              <w:top w:w="110" w:type="dxa"/>
            </w:tcMar>
          </w:tcPr>
          <w:p w:rsidR="00B16DCB" w:rsidRPr="00B16DCB" w:rsidRDefault="00B16DCB" w:rsidP="002249F8">
            <w:pPr>
              <w:rPr>
                <w:rFonts w:cs="Arial"/>
                <w:i/>
                <w:sz w:val="16"/>
                <w:szCs w:val="16"/>
              </w:rPr>
            </w:pPr>
            <w:r w:rsidRPr="00B16DCB">
              <w:rPr>
                <w:rFonts w:cs="Arial"/>
                <w:sz w:val="16"/>
                <w:szCs w:val="16"/>
              </w:rPr>
              <w:t>50/80</w:t>
            </w:r>
            <w:r w:rsidRPr="00B16DCB">
              <w:rPr>
                <w:rStyle w:val="FootnoteReference"/>
                <w:rFonts w:cs="Arial"/>
                <w:sz w:val="16"/>
                <w:szCs w:val="16"/>
              </w:rPr>
              <w:footnoteReference w:id="30"/>
            </w:r>
          </w:p>
        </w:tc>
        <w:tc>
          <w:tcPr>
            <w:tcW w:w="1713" w:type="pct"/>
            <w:shd w:val="clear" w:color="auto" w:fill="FFFFFF"/>
            <w:tcMar>
              <w:top w:w="110" w:type="dxa"/>
            </w:tcMar>
          </w:tcPr>
          <w:p w:rsidR="00B16DCB" w:rsidRPr="00B16DCB" w:rsidRDefault="00B16DCB" w:rsidP="002249F8">
            <w:pPr>
              <w:rPr>
                <w:rFonts w:cs="Arial"/>
                <w:sz w:val="16"/>
                <w:szCs w:val="16"/>
                <w:lang w:bidi="th-TH"/>
              </w:rPr>
            </w:pPr>
            <w:r w:rsidRPr="00B16DCB">
              <w:rPr>
                <w:rFonts w:cs="Arial"/>
                <w:sz w:val="16"/>
                <w:szCs w:val="16"/>
                <w:lang w:bidi="th-TH"/>
              </w:rPr>
              <w:t>No. of fully automated Offices end 2012/13 biennium:  43</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Africa (10)</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Arab (10)</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Asia and Pacific (9)</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Certain Countries in Europe and Asia (4)</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Latin America and the Caribbean (9)</w:t>
            </w:r>
          </w:p>
          <w:p w:rsidR="00B16DCB" w:rsidRPr="00B16DCB" w:rsidRDefault="00B16DCB" w:rsidP="005703CF">
            <w:pPr>
              <w:pStyle w:val="ListParagraph"/>
              <w:numPr>
                <w:ilvl w:val="0"/>
                <w:numId w:val="45"/>
              </w:numPr>
              <w:rPr>
                <w:rFonts w:cs="Arial"/>
                <w:sz w:val="16"/>
                <w:szCs w:val="16"/>
                <w:lang w:bidi="th-TH"/>
              </w:rPr>
            </w:pPr>
            <w:r w:rsidRPr="00B16DCB">
              <w:rPr>
                <w:rFonts w:cs="Arial"/>
                <w:sz w:val="16"/>
                <w:szCs w:val="16"/>
                <w:lang w:bidi="th-TH"/>
              </w:rPr>
              <w:t>Other (1)</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No. of partially automated offices end 2012/13 biennium:  21</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Africa (9)</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Arab (4)</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Asia and Pacific (2)</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Certain Countries in Europe and Asia (1)</w:t>
            </w:r>
          </w:p>
          <w:p w:rsidR="00B16DCB" w:rsidRPr="00B16DCB" w:rsidRDefault="00B16DCB" w:rsidP="005703CF">
            <w:pPr>
              <w:pStyle w:val="ListParagraph"/>
              <w:numPr>
                <w:ilvl w:val="0"/>
                <w:numId w:val="46"/>
              </w:numPr>
              <w:rPr>
                <w:rFonts w:cs="Arial"/>
                <w:sz w:val="16"/>
                <w:szCs w:val="16"/>
                <w:lang w:bidi="th-TH"/>
              </w:rPr>
            </w:pPr>
            <w:r w:rsidRPr="00B16DCB">
              <w:rPr>
                <w:rFonts w:cs="Arial"/>
                <w:sz w:val="16"/>
                <w:szCs w:val="16"/>
                <w:lang w:bidi="th-TH"/>
              </w:rPr>
              <w:t>Latin America and the Caribbean (5)</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 xml:space="preserve">Total:  64 offices using WIPO IP administration systems end 2012/13 biennium </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Africa (19)</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Arab (14)</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Asia and the Pacific region (11)</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Certain Countries in Europe and Asia (5)</w:t>
            </w:r>
          </w:p>
          <w:p w:rsidR="00B16DCB" w:rsidRPr="00B16DCB" w:rsidRDefault="00B16DCB" w:rsidP="005703CF">
            <w:pPr>
              <w:pStyle w:val="ListParagraph"/>
              <w:numPr>
                <w:ilvl w:val="0"/>
                <w:numId w:val="21"/>
              </w:numPr>
              <w:ind w:left="360"/>
              <w:rPr>
                <w:rFonts w:cs="Arial"/>
                <w:sz w:val="16"/>
                <w:szCs w:val="16"/>
                <w:lang w:bidi="th-TH"/>
              </w:rPr>
            </w:pPr>
            <w:r w:rsidRPr="00B16DCB">
              <w:rPr>
                <w:rFonts w:cs="Arial"/>
                <w:sz w:val="16"/>
                <w:szCs w:val="16"/>
                <w:lang w:bidi="th-TH"/>
              </w:rPr>
              <w:t>Latin America and the Caribbean (14)</w:t>
            </w:r>
          </w:p>
          <w:p w:rsidR="00B16DCB" w:rsidRPr="00B16DCB" w:rsidRDefault="00B16DCB" w:rsidP="005703CF">
            <w:pPr>
              <w:pStyle w:val="ListParagraph"/>
              <w:numPr>
                <w:ilvl w:val="0"/>
                <w:numId w:val="21"/>
              </w:numPr>
              <w:ind w:left="360"/>
              <w:rPr>
                <w:rFonts w:cs="Arial"/>
              </w:rPr>
            </w:pPr>
            <w:r w:rsidRPr="00B16DCB">
              <w:rPr>
                <w:rFonts w:cs="Arial"/>
                <w:sz w:val="16"/>
                <w:szCs w:val="16"/>
                <w:lang w:bidi="th-TH"/>
              </w:rPr>
              <w:t>Other (1)</w:t>
            </w:r>
          </w:p>
        </w:tc>
        <w:tc>
          <w:tcPr>
            <w:tcW w:w="821" w:type="pct"/>
            <w:shd w:val="clear" w:color="auto" w:fill="auto"/>
            <w:tcMar>
              <w:top w:w="110" w:type="dxa"/>
            </w:tcMar>
          </w:tcPr>
          <w:p w:rsidR="00B16DCB" w:rsidRPr="00B16DCB" w:rsidRDefault="00B16DCB" w:rsidP="00B16DCB">
            <w:pPr>
              <w:keepNext/>
              <w:keepLines/>
              <w:jc w:val="center"/>
              <w:rPr>
                <w:rFonts w:cs="Arial"/>
                <w:bCs/>
                <w:color w:val="00B050"/>
                <w:sz w:val="16"/>
                <w:szCs w:val="16"/>
              </w:rPr>
            </w:pPr>
            <w:r w:rsidRPr="00B16DCB">
              <w:rPr>
                <w:rFonts w:cs="Arial"/>
                <w:bCs/>
                <w:color w:val="008000"/>
                <w:sz w:val="16"/>
                <w:szCs w:val="16"/>
              </w:rPr>
              <w:t>Fully</w:t>
            </w:r>
            <w:r w:rsidRPr="00B16DCB">
              <w:rPr>
                <w:rFonts w:cs="Arial"/>
                <w:bCs/>
                <w:color w:val="008000"/>
                <w:sz w:val="16"/>
                <w:szCs w:val="16"/>
              </w:rPr>
              <w:br/>
              <w:t>Achieved</w:t>
            </w:r>
          </w:p>
        </w:tc>
      </w:tr>
      <w:tr w:rsidR="00B16DCB" w:rsidRPr="00B16DCB" w:rsidTr="002249F8">
        <w:trPr>
          <w:cantSplit/>
          <w:trHeight w:val="136"/>
        </w:trPr>
        <w:tc>
          <w:tcPr>
            <w:tcW w:w="749" w:type="pct"/>
            <w:shd w:val="clear" w:color="auto" w:fill="auto"/>
          </w:tcPr>
          <w:p w:rsidR="00B16DCB" w:rsidRPr="00B16DCB" w:rsidRDefault="00B16DCB" w:rsidP="002249F8">
            <w:pPr>
              <w:rPr>
                <w:rFonts w:cs="Arial"/>
                <w:sz w:val="16"/>
                <w:szCs w:val="16"/>
              </w:rPr>
            </w:pPr>
            <w:r w:rsidRPr="00B16DCB">
              <w:rPr>
                <w:rFonts w:cs="Arial"/>
                <w:sz w:val="16"/>
                <w:szCs w:val="16"/>
                <w:lang w:bidi="th-TH"/>
              </w:rPr>
              <w:t>No. of Offices with IP data online in WIPO databases</w:t>
            </w:r>
          </w:p>
        </w:tc>
        <w:tc>
          <w:tcPr>
            <w:tcW w:w="925" w:type="pct"/>
            <w:shd w:val="clear" w:color="auto" w:fill="auto"/>
          </w:tcPr>
          <w:p w:rsidR="00B16DCB" w:rsidRPr="00B16DCB" w:rsidRDefault="00B16DCB" w:rsidP="002249F8">
            <w:pPr>
              <w:rPr>
                <w:rFonts w:cs="Arial"/>
                <w:sz w:val="16"/>
                <w:szCs w:val="16"/>
              </w:rPr>
            </w:pPr>
            <w:r w:rsidRPr="00B16DCB">
              <w:rPr>
                <w:rFonts w:cs="Arial"/>
                <w:sz w:val="16"/>
                <w:szCs w:val="16"/>
                <w:lang w:bidi="th-TH"/>
              </w:rPr>
              <w:t>20</w:t>
            </w:r>
          </w:p>
        </w:tc>
        <w:tc>
          <w:tcPr>
            <w:tcW w:w="792" w:type="pct"/>
            <w:shd w:val="clear" w:color="auto" w:fill="auto"/>
            <w:tcMar>
              <w:top w:w="110" w:type="dxa"/>
            </w:tcMar>
          </w:tcPr>
          <w:p w:rsidR="00B16DCB" w:rsidRPr="00B16DCB" w:rsidRDefault="00B16DCB" w:rsidP="002249F8">
            <w:pPr>
              <w:rPr>
                <w:rFonts w:cs="Arial"/>
                <w:i/>
                <w:sz w:val="16"/>
                <w:szCs w:val="16"/>
              </w:rPr>
            </w:pPr>
            <w:r w:rsidRPr="00B16DCB">
              <w:rPr>
                <w:rFonts w:cs="Arial"/>
                <w:sz w:val="16"/>
                <w:szCs w:val="16"/>
              </w:rPr>
              <w:t>40 (cumulative)</w:t>
            </w:r>
          </w:p>
        </w:tc>
        <w:tc>
          <w:tcPr>
            <w:tcW w:w="1713" w:type="pct"/>
            <w:shd w:val="clear" w:color="auto" w:fill="FFFFFF"/>
            <w:tcMar>
              <w:top w:w="110" w:type="dxa"/>
            </w:tcMar>
          </w:tcPr>
          <w:p w:rsidR="00B16DCB" w:rsidRPr="00B16DCB" w:rsidRDefault="00B16DCB" w:rsidP="002249F8">
            <w:pPr>
              <w:rPr>
                <w:rFonts w:cs="Arial"/>
                <w:sz w:val="16"/>
                <w:szCs w:val="16"/>
                <w:lang w:bidi="th-TH"/>
              </w:rPr>
            </w:pPr>
            <w:r w:rsidRPr="00B16DCB">
              <w:rPr>
                <w:rFonts w:cs="Arial"/>
                <w:sz w:val="16"/>
                <w:szCs w:val="16"/>
                <w:lang w:bidi="th-TH"/>
              </w:rPr>
              <w:t>48 (36 in PATENTSCOPE and 12 in Global Brand Database) Offices with IP data online in WIPO databases (cumulative)</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PATENTSCOPE:</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Africa (3)</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Arab (5)</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Asia and Pacific (4)</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Certain Countries in Europe and Asia (3)</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Latin America and the Caribbean (16)</w:t>
            </w:r>
          </w:p>
          <w:p w:rsidR="00B16DCB" w:rsidRPr="00B16DCB" w:rsidRDefault="00B16DCB" w:rsidP="005703CF">
            <w:pPr>
              <w:pStyle w:val="ListParagraph"/>
              <w:numPr>
                <w:ilvl w:val="0"/>
                <w:numId w:val="22"/>
              </w:numPr>
              <w:ind w:left="360"/>
              <w:rPr>
                <w:rFonts w:cs="Arial"/>
                <w:sz w:val="16"/>
                <w:szCs w:val="16"/>
                <w:lang w:bidi="th-TH"/>
              </w:rPr>
            </w:pPr>
            <w:r w:rsidRPr="00B16DCB">
              <w:rPr>
                <w:rFonts w:cs="Arial"/>
                <w:sz w:val="16"/>
                <w:szCs w:val="16"/>
                <w:lang w:bidi="th-TH"/>
              </w:rPr>
              <w:t>Other (5)</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Global Brand Database:</w:t>
            </w:r>
          </w:p>
          <w:p w:rsidR="00B16DCB" w:rsidRPr="00B16DCB" w:rsidRDefault="00B16DCB" w:rsidP="005703CF">
            <w:pPr>
              <w:pStyle w:val="ListParagraph"/>
              <w:numPr>
                <w:ilvl w:val="0"/>
                <w:numId w:val="23"/>
              </w:numPr>
              <w:ind w:left="360"/>
              <w:rPr>
                <w:rFonts w:cs="Arial"/>
                <w:sz w:val="16"/>
                <w:szCs w:val="16"/>
                <w:lang w:bidi="th-TH"/>
              </w:rPr>
            </w:pPr>
            <w:r w:rsidRPr="00B16DCB">
              <w:rPr>
                <w:rFonts w:cs="Arial"/>
                <w:sz w:val="16"/>
                <w:szCs w:val="16"/>
                <w:lang w:bidi="th-TH"/>
              </w:rPr>
              <w:t>Arab (4)</w:t>
            </w:r>
          </w:p>
          <w:p w:rsidR="00B16DCB" w:rsidRPr="00B16DCB" w:rsidRDefault="00B16DCB" w:rsidP="005703CF">
            <w:pPr>
              <w:pStyle w:val="ListParagraph"/>
              <w:numPr>
                <w:ilvl w:val="0"/>
                <w:numId w:val="23"/>
              </w:numPr>
              <w:ind w:left="360"/>
              <w:rPr>
                <w:rFonts w:cs="Arial"/>
                <w:sz w:val="16"/>
                <w:szCs w:val="16"/>
                <w:lang w:bidi="th-TH"/>
              </w:rPr>
            </w:pPr>
            <w:r w:rsidRPr="00B16DCB">
              <w:rPr>
                <w:rFonts w:cs="Arial"/>
                <w:sz w:val="16"/>
                <w:szCs w:val="16"/>
                <w:lang w:bidi="th-TH"/>
              </w:rPr>
              <w:t>Asia and Pacific (2)</w:t>
            </w:r>
          </w:p>
          <w:p w:rsidR="00B16DCB" w:rsidRPr="00B16DCB" w:rsidRDefault="00B16DCB" w:rsidP="005703CF">
            <w:pPr>
              <w:pStyle w:val="ListParagraph"/>
              <w:numPr>
                <w:ilvl w:val="0"/>
                <w:numId w:val="23"/>
              </w:numPr>
              <w:ind w:left="360"/>
              <w:rPr>
                <w:rFonts w:cs="Arial"/>
                <w:sz w:val="16"/>
                <w:szCs w:val="16"/>
                <w:lang w:bidi="th-TH"/>
              </w:rPr>
            </w:pPr>
            <w:r w:rsidRPr="00B16DCB">
              <w:rPr>
                <w:rFonts w:cs="Arial"/>
                <w:sz w:val="16"/>
                <w:szCs w:val="16"/>
                <w:lang w:bidi="th-TH"/>
              </w:rPr>
              <w:t>Certain Countries in Europe and Asia (1)</w:t>
            </w:r>
          </w:p>
          <w:p w:rsidR="00B16DCB" w:rsidRPr="00B16DCB" w:rsidRDefault="00B16DCB" w:rsidP="005703CF">
            <w:pPr>
              <w:pStyle w:val="ListParagraph"/>
              <w:numPr>
                <w:ilvl w:val="0"/>
                <w:numId w:val="23"/>
              </w:numPr>
              <w:ind w:left="360"/>
              <w:rPr>
                <w:rFonts w:cs="Arial"/>
              </w:rPr>
            </w:pPr>
            <w:r w:rsidRPr="00B16DCB">
              <w:rPr>
                <w:rFonts w:cs="Arial"/>
                <w:sz w:val="16"/>
                <w:szCs w:val="16"/>
                <w:lang w:bidi="th-TH"/>
              </w:rPr>
              <w:t>Other (5)</w:t>
            </w:r>
          </w:p>
        </w:tc>
        <w:tc>
          <w:tcPr>
            <w:tcW w:w="821" w:type="pct"/>
            <w:shd w:val="clear" w:color="auto" w:fill="auto"/>
            <w:tcMar>
              <w:top w:w="110" w:type="dxa"/>
            </w:tcMar>
          </w:tcPr>
          <w:p w:rsidR="00B16DCB" w:rsidRPr="00B16DCB" w:rsidRDefault="00B16DCB" w:rsidP="002249F8">
            <w:pPr>
              <w:keepNext/>
              <w:keepLines/>
              <w:jc w:val="center"/>
              <w:rPr>
                <w:rFonts w:cs="Arial"/>
                <w:bCs/>
                <w:color w:val="808080"/>
                <w:sz w:val="16"/>
                <w:szCs w:val="16"/>
              </w:rPr>
            </w:pPr>
            <w:r w:rsidRPr="00B16DCB">
              <w:rPr>
                <w:rFonts w:cs="Arial"/>
                <w:bCs/>
                <w:color w:val="008000"/>
                <w:sz w:val="16"/>
                <w:szCs w:val="16"/>
              </w:rPr>
              <w:t>Fully</w:t>
            </w:r>
            <w:r w:rsidRPr="00B16DCB">
              <w:rPr>
                <w:rFonts w:cs="Arial"/>
                <w:bCs/>
                <w:color w:val="008000"/>
                <w:sz w:val="16"/>
                <w:szCs w:val="16"/>
              </w:rPr>
              <w:br/>
              <w:t>Achieved</w:t>
            </w:r>
          </w:p>
        </w:tc>
      </w:tr>
      <w:tr w:rsidR="00B16DCB" w:rsidRPr="00B16DCB" w:rsidTr="002249F8">
        <w:trPr>
          <w:cantSplit/>
          <w:trHeight w:val="1311"/>
        </w:trPr>
        <w:tc>
          <w:tcPr>
            <w:tcW w:w="749" w:type="pct"/>
            <w:shd w:val="clear" w:color="auto" w:fill="auto"/>
          </w:tcPr>
          <w:p w:rsidR="00B16DCB" w:rsidRPr="00B16DCB" w:rsidRDefault="00B16DCB" w:rsidP="002249F8">
            <w:pPr>
              <w:rPr>
                <w:rFonts w:cs="Arial"/>
                <w:sz w:val="16"/>
                <w:szCs w:val="16"/>
              </w:rPr>
            </w:pPr>
            <w:r w:rsidRPr="00B16DCB">
              <w:rPr>
                <w:rFonts w:cs="Arial"/>
                <w:sz w:val="16"/>
                <w:szCs w:val="16"/>
                <w:lang w:bidi="th-TH"/>
              </w:rPr>
              <w:t>No. of Groups of Offices participating in a common platform</w:t>
            </w:r>
          </w:p>
        </w:tc>
        <w:tc>
          <w:tcPr>
            <w:tcW w:w="925" w:type="pct"/>
            <w:shd w:val="clear" w:color="auto" w:fill="auto"/>
          </w:tcPr>
          <w:p w:rsidR="00B16DCB" w:rsidRPr="00B16DCB" w:rsidRDefault="00B16DCB" w:rsidP="002249F8">
            <w:pPr>
              <w:rPr>
                <w:rFonts w:cs="Arial"/>
                <w:sz w:val="16"/>
                <w:szCs w:val="16"/>
              </w:rPr>
            </w:pPr>
            <w:r w:rsidRPr="00B16DCB">
              <w:rPr>
                <w:rFonts w:cs="Arial"/>
                <w:sz w:val="16"/>
                <w:szCs w:val="16"/>
                <w:lang w:bidi="th-TH"/>
              </w:rPr>
              <w:t>1</w:t>
            </w:r>
          </w:p>
        </w:tc>
        <w:tc>
          <w:tcPr>
            <w:tcW w:w="792" w:type="pct"/>
            <w:shd w:val="clear" w:color="auto" w:fill="auto"/>
            <w:tcMar>
              <w:top w:w="110" w:type="dxa"/>
            </w:tcMar>
          </w:tcPr>
          <w:p w:rsidR="00B16DCB" w:rsidRPr="00B16DCB" w:rsidRDefault="00B16DCB" w:rsidP="002249F8">
            <w:pPr>
              <w:rPr>
                <w:rFonts w:cs="Arial"/>
                <w:i/>
                <w:sz w:val="16"/>
                <w:szCs w:val="16"/>
              </w:rPr>
            </w:pPr>
            <w:r w:rsidRPr="00B16DCB">
              <w:rPr>
                <w:rFonts w:cs="Arial"/>
                <w:sz w:val="16"/>
                <w:szCs w:val="16"/>
              </w:rPr>
              <w:t>3 (cumulative)</w:t>
            </w:r>
          </w:p>
        </w:tc>
        <w:tc>
          <w:tcPr>
            <w:tcW w:w="1713" w:type="pct"/>
            <w:shd w:val="clear" w:color="auto" w:fill="FFFFFF"/>
            <w:tcMar>
              <w:top w:w="110" w:type="dxa"/>
            </w:tcMar>
          </w:tcPr>
          <w:p w:rsidR="00B16DCB" w:rsidRPr="00B16DCB" w:rsidRDefault="00B16DCB" w:rsidP="002249F8">
            <w:pPr>
              <w:rPr>
                <w:rFonts w:cs="Arial"/>
                <w:sz w:val="16"/>
                <w:szCs w:val="16"/>
              </w:rPr>
            </w:pPr>
            <w:r w:rsidRPr="00B16DCB">
              <w:rPr>
                <w:rFonts w:cs="Arial"/>
                <w:sz w:val="16"/>
                <w:szCs w:val="16"/>
                <w:lang w:bidi="th-TH"/>
              </w:rPr>
              <w:t>7 participating Offices from different regions. The question of having different groups of offices is no longer relevant. Offices adhere to the common platform from all over the world and not in regional groups</w:t>
            </w:r>
          </w:p>
        </w:tc>
        <w:tc>
          <w:tcPr>
            <w:tcW w:w="821" w:type="pct"/>
            <w:shd w:val="clear" w:color="auto" w:fill="auto"/>
            <w:tcMar>
              <w:top w:w="110" w:type="dxa"/>
            </w:tcMar>
          </w:tcPr>
          <w:p w:rsidR="00B16DCB" w:rsidRPr="00B16DCB" w:rsidRDefault="00B16DCB" w:rsidP="002249F8">
            <w:pPr>
              <w:keepNext/>
              <w:keepLines/>
              <w:jc w:val="center"/>
              <w:rPr>
                <w:rFonts w:cs="Arial"/>
                <w:bCs/>
                <w:color w:val="808080"/>
                <w:sz w:val="16"/>
                <w:szCs w:val="16"/>
              </w:rPr>
            </w:pPr>
            <w:r w:rsidRPr="00B16DCB">
              <w:rPr>
                <w:rFonts w:cs="Arial"/>
                <w:bCs/>
                <w:color w:val="008000"/>
                <w:sz w:val="16"/>
                <w:szCs w:val="16"/>
              </w:rPr>
              <w:t>Fully</w:t>
            </w:r>
            <w:r w:rsidRPr="00B16DCB">
              <w:rPr>
                <w:rFonts w:cs="Arial"/>
                <w:bCs/>
                <w:color w:val="008000"/>
                <w:sz w:val="16"/>
                <w:szCs w:val="16"/>
              </w:rPr>
              <w:br/>
              <w:t>Achieved</w:t>
            </w:r>
            <w:r w:rsidRPr="00B16DCB" w:rsidDel="00D342F4">
              <w:rPr>
                <w:rStyle w:val="Style5"/>
                <w:rFonts w:ascii="Arial" w:hAnsi="Arial" w:cs="Arial"/>
                <w:color w:val="008000"/>
                <w:sz w:val="16"/>
                <w:szCs w:val="16"/>
              </w:rPr>
              <w:t xml:space="preserve"> </w:t>
            </w:r>
          </w:p>
        </w:tc>
      </w:tr>
      <w:tr w:rsidR="00B16DCB" w:rsidRPr="00B16DCB" w:rsidTr="002249F8">
        <w:trPr>
          <w:cantSplit/>
          <w:trHeight w:val="1569"/>
        </w:trPr>
        <w:tc>
          <w:tcPr>
            <w:tcW w:w="749" w:type="pct"/>
            <w:shd w:val="clear" w:color="auto" w:fill="auto"/>
          </w:tcPr>
          <w:p w:rsidR="00B16DCB" w:rsidRPr="00B16DCB" w:rsidRDefault="00B16DCB" w:rsidP="002249F8">
            <w:pPr>
              <w:rPr>
                <w:rFonts w:cs="Arial"/>
                <w:sz w:val="16"/>
                <w:szCs w:val="16"/>
              </w:rPr>
            </w:pPr>
            <w:r w:rsidRPr="00B16DCB">
              <w:rPr>
                <w:rFonts w:cs="Arial"/>
                <w:sz w:val="16"/>
                <w:szCs w:val="16"/>
                <w:lang w:bidi="th-TH"/>
              </w:rPr>
              <w:lastRenderedPageBreak/>
              <w:t>No. of Offices processing PCT and Madrid data with the support of WIPO supplied systems</w:t>
            </w:r>
          </w:p>
        </w:tc>
        <w:tc>
          <w:tcPr>
            <w:tcW w:w="925" w:type="pct"/>
            <w:shd w:val="clear" w:color="auto" w:fill="auto"/>
          </w:tcPr>
          <w:p w:rsidR="00B16DCB" w:rsidRPr="00B16DCB" w:rsidRDefault="00B16DCB" w:rsidP="002249F8">
            <w:pPr>
              <w:rPr>
                <w:rFonts w:cs="Arial"/>
                <w:sz w:val="16"/>
                <w:szCs w:val="16"/>
              </w:rPr>
            </w:pPr>
            <w:r w:rsidRPr="00B16DCB">
              <w:rPr>
                <w:rFonts w:cs="Arial"/>
                <w:sz w:val="16"/>
                <w:szCs w:val="16"/>
                <w:lang w:bidi="th-TH"/>
              </w:rPr>
              <w:t>5</w:t>
            </w:r>
          </w:p>
        </w:tc>
        <w:tc>
          <w:tcPr>
            <w:tcW w:w="792" w:type="pct"/>
            <w:shd w:val="clear" w:color="auto" w:fill="auto"/>
            <w:tcMar>
              <w:top w:w="110" w:type="dxa"/>
            </w:tcMar>
          </w:tcPr>
          <w:p w:rsidR="00B16DCB" w:rsidRPr="00B16DCB" w:rsidRDefault="00B16DCB" w:rsidP="002249F8">
            <w:pPr>
              <w:rPr>
                <w:rFonts w:cs="Arial"/>
                <w:i/>
                <w:sz w:val="16"/>
                <w:szCs w:val="16"/>
              </w:rPr>
            </w:pPr>
            <w:r w:rsidRPr="00B16DCB">
              <w:rPr>
                <w:rFonts w:cs="Arial"/>
                <w:sz w:val="16"/>
                <w:szCs w:val="16"/>
              </w:rPr>
              <w:t>20 (cumulative)</w:t>
            </w:r>
            <w:r w:rsidRPr="00B16DCB">
              <w:rPr>
                <w:rFonts w:cs="Arial"/>
                <w:sz w:val="16"/>
                <w:szCs w:val="16"/>
                <w:lang w:bidi="th-TH"/>
              </w:rPr>
              <w:t xml:space="preserve"> </w:t>
            </w:r>
          </w:p>
        </w:tc>
        <w:tc>
          <w:tcPr>
            <w:tcW w:w="1713" w:type="pct"/>
            <w:shd w:val="clear" w:color="auto" w:fill="FFFFFF"/>
            <w:tcMar>
              <w:top w:w="110" w:type="dxa"/>
            </w:tcMar>
          </w:tcPr>
          <w:p w:rsidR="00B16DCB" w:rsidRPr="00B16DCB" w:rsidRDefault="00B16DCB" w:rsidP="002249F8">
            <w:pPr>
              <w:rPr>
                <w:rFonts w:cs="Arial"/>
                <w:sz w:val="16"/>
                <w:szCs w:val="16"/>
                <w:lang w:bidi="th-TH"/>
              </w:rPr>
            </w:pPr>
            <w:r w:rsidRPr="00B16DCB">
              <w:rPr>
                <w:rFonts w:cs="Arial"/>
                <w:sz w:val="16"/>
                <w:szCs w:val="16"/>
                <w:lang w:bidi="th-TH"/>
              </w:rPr>
              <w:t>40 Offices processing PCT and Madrid data with the support of WIPO supplied systems</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Regional breakdown processing of PCT data:</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Africa (6)</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Arab (5)</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Asia and Pacific (4)</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Certain Countries in Europe and Asia (5)</w:t>
            </w:r>
          </w:p>
          <w:p w:rsidR="00B16DCB" w:rsidRPr="00B16DCB" w:rsidRDefault="00B16DCB" w:rsidP="005703CF">
            <w:pPr>
              <w:pStyle w:val="ListParagraph"/>
              <w:numPr>
                <w:ilvl w:val="0"/>
                <w:numId w:val="24"/>
              </w:numPr>
              <w:ind w:left="360"/>
              <w:rPr>
                <w:rFonts w:cs="Arial"/>
                <w:sz w:val="16"/>
                <w:szCs w:val="16"/>
                <w:lang w:bidi="th-TH"/>
              </w:rPr>
            </w:pPr>
            <w:r w:rsidRPr="00B16DCB">
              <w:rPr>
                <w:rFonts w:cs="Arial"/>
                <w:sz w:val="16"/>
                <w:szCs w:val="16"/>
                <w:lang w:bidi="th-TH"/>
              </w:rPr>
              <w:t>Latin America and the Caribbean (7)</w:t>
            </w:r>
          </w:p>
          <w:p w:rsidR="00B16DCB" w:rsidRPr="00B16DCB" w:rsidRDefault="00B16DCB" w:rsidP="002249F8">
            <w:pPr>
              <w:rPr>
                <w:rFonts w:cs="Arial"/>
                <w:sz w:val="16"/>
                <w:szCs w:val="16"/>
                <w:lang w:bidi="th-TH"/>
              </w:rPr>
            </w:pPr>
            <w:r w:rsidRPr="00B16DCB">
              <w:rPr>
                <w:rFonts w:cs="Arial"/>
                <w:sz w:val="16"/>
                <w:szCs w:val="16"/>
                <w:lang w:bidi="th-TH"/>
              </w:rPr>
              <w:t>TOTAL:  27</w:t>
            </w:r>
          </w:p>
          <w:p w:rsidR="00B16DCB" w:rsidRPr="00B16DCB" w:rsidRDefault="00B16DCB" w:rsidP="002249F8">
            <w:pPr>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Regional breakdown for processing Madrid data:</w:t>
            </w:r>
          </w:p>
          <w:p w:rsidR="00B16DCB" w:rsidRP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Africa  (7)</w:t>
            </w:r>
          </w:p>
          <w:p w:rsidR="00B16DCB" w:rsidRP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Arab (1)</w:t>
            </w:r>
          </w:p>
          <w:p w:rsidR="00B16DCB" w:rsidRP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Asia and Pacific (1)</w:t>
            </w:r>
          </w:p>
          <w:p w:rsidR="00B16DCB" w:rsidRP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Certain Countries in Europe and Asia (3)</w:t>
            </w:r>
          </w:p>
          <w:p w:rsidR="00B16DCB" w:rsidRDefault="00B16DCB" w:rsidP="005703CF">
            <w:pPr>
              <w:pStyle w:val="ListParagraph"/>
              <w:numPr>
                <w:ilvl w:val="0"/>
                <w:numId w:val="25"/>
              </w:numPr>
              <w:ind w:left="360"/>
              <w:rPr>
                <w:rFonts w:cs="Arial"/>
                <w:sz w:val="16"/>
                <w:szCs w:val="16"/>
                <w:lang w:bidi="th-TH"/>
              </w:rPr>
            </w:pPr>
            <w:r w:rsidRPr="00B16DCB">
              <w:rPr>
                <w:rFonts w:cs="Arial"/>
                <w:sz w:val="16"/>
                <w:szCs w:val="16"/>
                <w:lang w:bidi="th-TH"/>
              </w:rPr>
              <w:t>Latin America and the Caribbean (1)</w:t>
            </w:r>
          </w:p>
          <w:p w:rsidR="00C961E8" w:rsidRPr="00B16DCB" w:rsidRDefault="00C961E8" w:rsidP="005703CF">
            <w:pPr>
              <w:pStyle w:val="ListParagraph"/>
              <w:numPr>
                <w:ilvl w:val="0"/>
                <w:numId w:val="25"/>
              </w:numPr>
              <w:ind w:left="360"/>
              <w:rPr>
                <w:rFonts w:cs="Arial"/>
                <w:sz w:val="16"/>
                <w:szCs w:val="16"/>
                <w:lang w:bidi="th-TH"/>
              </w:rPr>
            </w:pPr>
          </w:p>
          <w:p w:rsidR="00B16DCB" w:rsidRPr="00B16DCB" w:rsidRDefault="00B16DCB" w:rsidP="002249F8">
            <w:pPr>
              <w:rPr>
                <w:rFonts w:cs="Arial"/>
                <w:sz w:val="16"/>
                <w:szCs w:val="16"/>
                <w:lang w:bidi="th-TH"/>
              </w:rPr>
            </w:pPr>
            <w:r w:rsidRPr="00B16DCB">
              <w:rPr>
                <w:rFonts w:cs="Arial"/>
                <w:sz w:val="16"/>
                <w:szCs w:val="16"/>
                <w:lang w:bidi="th-TH"/>
              </w:rPr>
              <w:t>TOTAL:  13</w:t>
            </w:r>
          </w:p>
          <w:p w:rsidR="00B16DCB" w:rsidRPr="00B16DCB" w:rsidRDefault="00B16DCB" w:rsidP="002249F8">
            <w:pPr>
              <w:rPr>
                <w:rFonts w:cs="Arial"/>
                <w:sz w:val="16"/>
                <w:szCs w:val="16"/>
              </w:rPr>
            </w:pPr>
          </w:p>
        </w:tc>
        <w:tc>
          <w:tcPr>
            <w:tcW w:w="821" w:type="pct"/>
            <w:shd w:val="clear" w:color="auto" w:fill="auto"/>
            <w:tcMar>
              <w:top w:w="110" w:type="dxa"/>
            </w:tcMar>
          </w:tcPr>
          <w:p w:rsidR="00B16DCB" w:rsidRPr="00B16DCB" w:rsidRDefault="00B16DCB" w:rsidP="002249F8">
            <w:pPr>
              <w:keepNext/>
              <w:keepLines/>
              <w:jc w:val="center"/>
              <w:rPr>
                <w:rFonts w:cs="Arial"/>
                <w:bCs/>
                <w:color w:val="808080"/>
                <w:sz w:val="16"/>
                <w:szCs w:val="16"/>
              </w:rPr>
            </w:pPr>
            <w:r w:rsidRPr="00B16DCB">
              <w:rPr>
                <w:rFonts w:cs="Arial"/>
                <w:bCs/>
                <w:color w:val="008000"/>
                <w:sz w:val="16"/>
                <w:szCs w:val="16"/>
              </w:rPr>
              <w:t>Fully</w:t>
            </w:r>
            <w:r w:rsidRPr="00B16DCB">
              <w:rPr>
                <w:rFonts w:cs="Arial"/>
                <w:bCs/>
                <w:color w:val="008000"/>
                <w:sz w:val="16"/>
                <w:szCs w:val="16"/>
              </w:rPr>
              <w:br/>
              <w:t>Achieved</w:t>
            </w:r>
            <w:r w:rsidRPr="00B16DCB" w:rsidDel="00D342F4">
              <w:rPr>
                <w:rStyle w:val="Style5"/>
                <w:rFonts w:ascii="Arial" w:hAnsi="Arial" w:cs="Arial"/>
                <w:sz w:val="16"/>
                <w:szCs w:val="16"/>
              </w:rPr>
              <w:t xml:space="preserve"> </w:t>
            </w:r>
          </w:p>
        </w:tc>
      </w:tr>
    </w:tbl>
    <w:p w:rsidR="00B16DCB" w:rsidRDefault="00B16DCB" w:rsidP="00B16DCB">
      <w:pPr>
        <w:keepNext/>
        <w:keepLines/>
        <w:rPr>
          <w:rFonts w:cs="Arial"/>
          <w:sz w:val="22"/>
          <w:szCs w:val="22"/>
        </w:rPr>
      </w:pPr>
    </w:p>
    <w:p w:rsidR="00B16DCB" w:rsidRDefault="00B16DCB" w:rsidP="00B16DCB">
      <w:pPr>
        <w:keepNext/>
        <w:keepLines/>
        <w:rPr>
          <w:rFonts w:cs="Arial"/>
          <w:sz w:val="22"/>
          <w:szCs w:val="22"/>
        </w:rPr>
      </w:pPr>
    </w:p>
    <w:p w:rsidR="00B16DCB" w:rsidRPr="0098133B" w:rsidRDefault="00B16DCB" w:rsidP="00B16DCB">
      <w:pPr>
        <w:keepNext/>
        <w:keepLines/>
        <w:rPr>
          <w:rFonts w:cs="Arial"/>
          <w:sz w:val="22"/>
          <w:szCs w:val="22"/>
        </w:rPr>
      </w:pPr>
      <w:r w:rsidRPr="0098133B">
        <w:rPr>
          <w:rFonts w:cs="Arial"/>
          <w:sz w:val="22"/>
          <w:szCs w:val="22"/>
        </w:rPr>
        <w:t xml:space="preserve">BUDGET </w:t>
      </w:r>
      <w:r>
        <w:rPr>
          <w:rFonts w:cs="Arial"/>
          <w:sz w:val="22"/>
          <w:szCs w:val="22"/>
        </w:rPr>
        <w:t>AND ACTUAL EXPENDITURE</w:t>
      </w:r>
    </w:p>
    <w:p w:rsidR="00B16DCB" w:rsidRPr="00BB171F" w:rsidRDefault="00B16DCB" w:rsidP="00B16DCB">
      <w:pPr>
        <w:rPr>
          <w:sz w:val="22"/>
          <w:szCs w:val="22"/>
        </w:rPr>
      </w:pPr>
    </w:p>
    <w:p w:rsidR="00B16DCB" w:rsidRPr="00083772" w:rsidRDefault="00B16DCB" w:rsidP="00B16DCB">
      <w:pPr>
        <w:jc w:val="center"/>
        <w:rPr>
          <w:rFonts w:ascii="Times New Roman" w:eastAsiaTheme="minorEastAsia" w:hAnsi="Times New Roman"/>
          <w:szCs w:val="20"/>
        </w:rPr>
      </w:pPr>
      <w:r w:rsidRPr="00083772">
        <w:rPr>
          <w:rFonts w:eastAsiaTheme="minorEastAsia" w:cs="Arial"/>
          <w:color w:val="000000"/>
          <w:szCs w:val="20"/>
        </w:rPr>
        <w:t xml:space="preserve">Budget and Actual Expenditure (by result) </w:t>
      </w:r>
    </w:p>
    <w:p w:rsidR="00B16DCB" w:rsidRPr="00083772" w:rsidRDefault="00B16DCB" w:rsidP="00B16DCB">
      <w:pPr>
        <w:jc w:val="center"/>
        <w:rPr>
          <w:rFonts w:ascii="Times New Roman" w:eastAsiaTheme="minorEastAsia" w:hAnsi="Times New Roman"/>
          <w:szCs w:val="20"/>
        </w:rPr>
      </w:pPr>
      <w:r w:rsidRPr="00083772">
        <w:rPr>
          <w:rFonts w:eastAsiaTheme="minorEastAsia" w:cs="Arial"/>
          <w:i/>
          <w:iCs/>
          <w:color w:val="000000"/>
          <w:szCs w:val="20"/>
        </w:rPr>
        <w:t>(</w:t>
      </w:r>
      <w:proofErr w:type="gramStart"/>
      <w:r w:rsidRPr="00083772">
        <w:rPr>
          <w:rFonts w:eastAsiaTheme="minorEastAsia" w:cs="Arial"/>
          <w:i/>
          <w:iCs/>
          <w:color w:val="000000"/>
          <w:szCs w:val="20"/>
        </w:rPr>
        <w:t>in</w:t>
      </w:r>
      <w:proofErr w:type="gramEnd"/>
      <w:r w:rsidRPr="00083772">
        <w:rPr>
          <w:rFonts w:eastAsiaTheme="minorEastAsia" w:cs="Arial"/>
          <w:i/>
          <w:iCs/>
          <w:color w:val="000000"/>
          <w:szCs w:val="20"/>
        </w:rPr>
        <w:t xml:space="preserve"> thousands of Swiss francs)</w:t>
      </w:r>
    </w:p>
    <w:p w:rsidR="00B16DCB" w:rsidRDefault="00B16DCB" w:rsidP="00B16DCB">
      <w:pPr>
        <w:rPr>
          <w:sz w:val="22"/>
          <w:szCs w:val="22"/>
        </w:rPr>
      </w:pPr>
    </w:p>
    <w:tbl>
      <w:tblPr>
        <w:tblW w:w="0" w:type="auto"/>
        <w:tblInd w:w="103" w:type="dxa"/>
        <w:tblLook w:val="04A0" w:firstRow="1" w:lastRow="0" w:firstColumn="1" w:lastColumn="0" w:noHBand="0" w:noVBand="1"/>
      </w:tblPr>
      <w:tblGrid>
        <w:gridCol w:w="557"/>
        <w:gridCol w:w="3984"/>
        <w:gridCol w:w="1606"/>
        <w:gridCol w:w="1607"/>
        <w:gridCol w:w="1607"/>
      </w:tblGrid>
      <w:tr w:rsidR="00B16DCB" w:rsidRPr="00B16DCB" w:rsidTr="00C961E8">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16DCB" w:rsidRPr="00B16DCB" w:rsidRDefault="00B16DCB" w:rsidP="00C961E8">
            <w:pPr>
              <w:spacing w:before="120" w:after="120"/>
              <w:jc w:val="center"/>
              <w:rPr>
                <w:rFonts w:cs="Arial"/>
                <w:bCs/>
                <w:color w:val="000000"/>
                <w:sz w:val="16"/>
                <w:szCs w:val="16"/>
              </w:rPr>
            </w:pPr>
            <w:r w:rsidRPr="00B16DCB">
              <w:rPr>
                <w:rFonts w:cs="Arial"/>
                <w:bCs/>
                <w:color w:val="000000"/>
                <w:sz w:val="16"/>
                <w:szCs w:val="16"/>
              </w:rPr>
              <w:t>Expected Result No. and Description</w:t>
            </w:r>
          </w:p>
        </w:tc>
        <w:tc>
          <w:tcPr>
            <w:tcW w:w="1606" w:type="dxa"/>
            <w:tcBorders>
              <w:top w:val="single" w:sz="4" w:space="0" w:color="auto"/>
              <w:left w:val="nil"/>
              <w:bottom w:val="single" w:sz="4" w:space="0" w:color="auto"/>
              <w:right w:val="single" w:sz="4" w:space="0" w:color="auto"/>
            </w:tcBorders>
            <w:shd w:val="clear" w:color="000000" w:fill="CCFFFF"/>
            <w:vAlign w:val="center"/>
            <w:hideMark/>
          </w:tcPr>
          <w:p w:rsidR="00B16DCB" w:rsidRPr="00B16DCB" w:rsidRDefault="00B16DCB" w:rsidP="00C961E8">
            <w:pPr>
              <w:spacing w:before="120" w:after="120"/>
              <w:jc w:val="center"/>
              <w:rPr>
                <w:rFonts w:cs="Arial"/>
                <w:bCs/>
                <w:color w:val="000000"/>
                <w:sz w:val="16"/>
                <w:szCs w:val="16"/>
              </w:rPr>
            </w:pPr>
            <w:r w:rsidRPr="00B16DCB">
              <w:rPr>
                <w:rFonts w:cs="Arial"/>
                <w:bCs/>
                <w:color w:val="000000"/>
                <w:sz w:val="16"/>
                <w:szCs w:val="16"/>
              </w:rPr>
              <w:t>2012/13 Approved Budget</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B16DCB" w:rsidRPr="00B16DCB" w:rsidRDefault="00B16DCB" w:rsidP="00C961E8">
            <w:pPr>
              <w:spacing w:before="120" w:after="120"/>
              <w:jc w:val="center"/>
              <w:rPr>
                <w:rFonts w:cs="Arial"/>
                <w:bCs/>
                <w:color w:val="000000"/>
                <w:sz w:val="16"/>
                <w:szCs w:val="16"/>
              </w:rPr>
            </w:pPr>
            <w:r w:rsidRPr="00B16DCB">
              <w:rPr>
                <w:rFonts w:cs="Arial"/>
                <w:bCs/>
                <w:color w:val="000000"/>
                <w:sz w:val="16"/>
                <w:szCs w:val="16"/>
              </w:rPr>
              <w:t xml:space="preserve">2012/13 Budget </w:t>
            </w:r>
            <w:r w:rsidRPr="00B16DCB">
              <w:rPr>
                <w:rFonts w:cs="Arial"/>
                <w:bCs/>
                <w:color w:val="000000"/>
                <w:sz w:val="16"/>
                <w:szCs w:val="16"/>
              </w:rPr>
              <w:br/>
              <w:t>After Transfers</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B16DCB" w:rsidRPr="00B16DCB" w:rsidRDefault="00B16DCB" w:rsidP="00C961E8">
            <w:pPr>
              <w:spacing w:before="120" w:after="120"/>
              <w:jc w:val="center"/>
              <w:rPr>
                <w:rFonts w:cs="Arial"/>
                <w:bCs/>
                <w:color w:val="000000"/>
                <w:sz w:val="16"/>
                <w:szCs w:val="16"/>
              </w:rPr>
            </w:pPr>
            <w:r w:rsidRPr="00B16DCB">
              <w:rPr>
                <w:rFonts w:cs="Arial"/>
                <w:bCs/>
                <w:color w:val="000000"/>
                <w:sz w:val="16"/>
                <w:szCs w:val="16"/>
              </w:rPr>
              <w:t xml:space="preserve">2012/13 </w:t>
            </w:r>
            <w:r w:rsidRPr="00B16DCB">
              <w:rPr>
                <w:rFonts w:cs="Arial"/>
                <w:bCs/>
                <w:color w:val="000000"/>
                <w:sz w:val="16"/>
                <w:szCs w:val="16"/>
              </w:rPr>
              <w:br/>
              <w:t>Expenditure</w:t>
            </w:r>
          </w:p>
        </w:tc>
      </w:tr>
      <w:tr w:rsidR="00B16DCB" w:rsidRPr="000038AE" w:rsidTr="00C961E8">
        <w:tc>
          <w:tcPr>
            <w:tcW w:w="557" w:type="dxa"/>
            <w:tcBorders>
              <w:top w:val="nil"/>
              <w:left w:val="single" w:sz="4" w:space="0" w:color="auto"/>
              <w:bottom w:val="single" w:sz="4" w:space="0" w:color="auto"/>
              <w:right w:val="nil"/>
            </w:tcBorders>
            <w:shd w:val="clear" w:color="000000" w:fill="FFFFFF"/>
            <w:noWrap/>
            <w:hideMark/>
          </w:tcPr>
          <w:p w:rsidR="00B16DCB" w:rsidRPr="00083772" w:rsidRDefault="00B16DCB" w:rsidP="00C961E8">
            <w:pPr>
              <w:spacing w:before="120" w:after="120"/>
              <w:jc w:val="center"/>
              <w:rPr>
                <w:rFonts w:cs="Arial"/>
                <w:color w:val="000000"/>
                <w:sz w:val="16"/>
                <w:szCs w:val="16"/>
              </w:rPr>
            </w:pPr>
            <w:r w:rsidRPr="00083772">
              <w:rPr>
                <w:rFonts w:cs="Arial"/>
                <w:color w:val="000000"/>
                <w:sz w:val="16"/>
                <w:szCs w:val="16"/>
              </w:rPr>
              <w:t>IV.5</w:t>
            </w:r>
          </w:p>
        </w:tc>
        <w:tc>
          <w:tcPr>
            <w:tcW w:w="3984" w:type="dxa"/>
            <w:tcBorders>
              <w:top w:val="nil"/>
              <w:left w:val="nil"/>
              <w:bottom w:val="single" w:sz="4" w:space="0" w:color="auto"/>
              <w:right w:val="nil"/>
            </w:tcBorders>
            <w:shd w:val="clear" w:color="000000" w:fill="FFFFFF"/>
            <w:hideMark/>
          </w:tcPr>
          <w:p w:rsidR="00B16DCB" w:rsidRPr="00083772" w:rsidRDefault="00B16DCB" w:rsidP="00C961E8">
            <w:pPr>
              <w:spacing w:before="120" w:after="120"/>
              <w:rPr>
                <w:rFonts w:cs="Arial"/>
                <w:color w:val="000000"/>
                <w:sz w:val="16"/>
                <w:szCs w:val="16"/>
              </w:rPr>
            </w:pPr>
            <w:r w:rsidRPr="00083772">
              <w:rPr>
                <w:rFonts w:cs="Arial"/>
                <w:color w:val="000000"/>
                <w:sz w:val="16"/>
                <w:szCs w:val="16"/>
              </w:rPr>
              <w:t>Enhanced technical and knowledge infrastructure for IP Offices and other IP institutions leading to better services (cheaper, faster, higher quality) to their stakeholders</w:t>
            </w:r>
          </w:p>
        </w:tc>
        <w:tc>
          <w:tcPr>
            <w:tcW w:w="1606" w:type="dxa"/>
            <w:tcBorders>
              <w:top w:val="nil"/>
              <w:left w:val="nil"/>
              <w:bottom w:val="single" w:sz="4" w:space="0" w:color="auto"/>
              <w:right w:val="nil"/>
            </w:tcBorders>
            <w:shd w:val="clear" w:color="000000" w:fill="FFFFFF"/>
            <w:vAlign w:val="center"/>
            <w:hideMark/>
          </w:tcPr>
          <w:p w:rsidR="00B16DCB" w:rsidRPr="00083772" w:rsidRDefault="00B16DCB" w:rsidP="00C961E8">
            <w:pPr>
              <w:spacing w:before="120" w:after="120"/>
              <w:jc w:val="right"/>
              <w:rPr>
                <w:rFonts w:cs="Arial"/>
                <w:color w:val="000000"/>
                <w:sz w:val="16"/>
                <w:szCs w:val="16"/>
              </w:rPr>
            </w:pPr>
            <w:r w:rsidRPr="00083772">
              <w:rPr>
                <w:rFonts w:cs="Arial"/>
                <w:color w:val="000000"/>
                <w:sz w:val="16"/>
                <w:szCs w:val="16"/>
              </w:rPr>
              <w:t>7,813</w:t>
            </w:r>
          </w:p>
        </w:tc>
        <w:tc>
          <w:tcPr>
            <w:tcW w:w="1607" w:type="dxa"/>
            <w:tcBorders>
              <w:top w:val="nil"/>
              <w:left w:val="nil"/>
              <w:bottom w:val="single" w:sz="4" w:space="0" w:color="auto"/>
              <w:right w:val="nil"/>
            </w:tcBorders>
            <w:shd w:val="clear" w:color="000000" w:fill="FFFFFF"/>
            <w:vAlign w:val="center"/>
            <w:hideMark/>
          </w:tcPr>
          <w:p w:rsidR="00B16DCB" w:rsidRPr="00083772" w:rsidRDefault="00B16DCB" w:rsidP="00C961E8">
            <w:pPr>
              <w:spacing w:before="120" w:after="120"/>
              <w:jc w:val="right"/>
              <w:rPr>
                <w:rFonts w:cs="Arial"/>
                <w:color w:val="000000"/>
                <w:sz w:val="16"/>
                <w:szCs w:val="16"/>
              </w:rPr>
            </w:pPr>
            <w:r w:rsidRPr="00083772">
              <w:rPr>
                <w:rFonts w:cs="Arial"/>
                <w:color w:val="000000"/>
                <w:sz w:val="16"/>
                <w:szCs w:val="16"/>
              </w:rPr>
              <w:t>8,269</w:t>
            </w:r>
          </w:p>
        </w:tc>
        <w:tc>
          <w:tcPr>
            <w:tcW w:w="1607" w:type="dxa"/>
            <w:tcBorders>
              <w:top w:val="nil"/>
              <w:left w:val="nil"/>
              <w:bottom w:val="single" w:sz="4" w:space="0" w:color="auto"/>
              <w:right w:val="single" w:sz="4" w:space="0" w:color="auto"/>
            </w:tcBorders>
            <w:shd w:val="clear" w:color="000000" w:fill="FFFFFF"/>
            <w:vAlign w:val="center"/>
            <w:hideMark/>
          </w:tcPr>
          <w:p w:rsidR="00B16DCB" w:rsidRPr="00083772" w:rsidRDefault="00B16DCB" w:rsidP="00C961E8">
            <w:pPr>
              <w:spacing w:before="120" w:after="120"/>
              <w:jc w:val="right"/>
              <w:rPr>
                <w:rFonts w:cs="Arial"/>
                <w:color w:val="000000"/>
                <w:sz w:val="16"/>
                <w:szCs w:val="16"/>
              </w:rPr>
            </w:pPr>
            <w:r w:rsidRPr="00083772">
              <w:rPr>
                <w:rFonts w:cs="Arial"/>
                <w:color w:val="000000"/>
                <w:sz w:val="16"/>
                <w:szCs w:val="16"/>
              </w:rPr>
              <w:t>8,042</w:t>
            </w:r>
          </w:p>
        </w:tc>
      </w:tr>
      <w:tr w:rsidR="00B16DCB" w:rsidRPr="000038AE" w:rsidTr="00C961E8">
        <w:tc>
          <w:tcPr>
            <w:tcW w:w="557" w:type="dxa"/>
            <w:tcBorders>
              <w:top w:val="nil"/>
              <w:left w:val="single" w:sz="4" w:space="0" w:color="auto"/>
              <w:bottom w:val="single" w:sz="4" w:space="0" w:color="auto"/>
              <w:right w:val="nil"/>
            </w:tcBorders>
            <w:shd w:val="clear" w:color="000000" w:fill="CCFFFF"/>
            <w:noWrap/>
            <w:vAlign w:val="bottom"/>
            <w:hideMark/>
          </w:tcPr>
          <w:p w:rsidR="00B16DCB" w:rsidRPr="00083772" w:rsidRDefault="00B16DCB" w:rsidP="00C961E8">
            <w:pPr>
              <w:spacing w:before="120" w:after="120"/>
              <w:jc w:val="center"/>
              <w:rPr>
                <w:rFonts w:cs="Arial"/>
                <w:b/>
                <w:bCs/>
                <w:color w:val="000000"/>
                <w:sz w:val="16"/>
                <w:szCs w:val="16"/>
              </w:rPr>
            </w:pPr>
            <w:r w:rsidRPr="00083772">
              <w:rPr>
                <w:rFonts w:cs="Arial"/>
                <w:b/>
                <w:bCs/>
                <w:color w:val="000000"/>
                <w:sz w:val="16"/>
                <w:szCs w:val="16"/>
              </w:rPr>
              <w:t> </w:t>
            </w:r>
          </w:p>
        </w:tc>
        <w:tc>
          <w:tcPr>
            <w:tcW w:w="3984" w:type="dxa"/>
            <w:tcBorders>
              <w:top w:val="nil"/>
              <w:left w:val="nil"/>
              <w:bottom w:val="single" w:sz="4" w:space="0" w:color="auto"/>
              <w:right w:val="nil"/>
            </w:tcBorders>
            <w:shd w:val="clear" w:color="000000" w:fill="CCFFFF"/>
            <w:noWrap/>
            <w:vAlign w:val="center"/>
            <w:hideMark/>
          </w:tcPr>
          <w:p w:rsidR="00B16DCB" w:rsidRPr="00083772" w:rsidRDefault="00B16DCB" w:rsidP="00C961E8">
            <w:pPr>
              <w:spacing w:before="120" w:after="120"/>
              <w:rPr>
                <w:rFonts w:cs="Arial"/>
                <w:b/>
                <w:bCs/>
                <w:color w:val="000000"/>
                <w:sz w:val="16"/>
                <w:szCs w:val="16"/>
              </w:rPr>
            </w:pPr>
            <w:r w:rsidRPr="00083772">
              <w:rPr>
                <w:rFonts w:cs="Arial"/>
                <w:b/>
                <w:bCs/>
                <w:color w:val="000000"/>
                <w:sz w:val="16"/>
                <w:szCs w:val="16"/>
              </w:rPr>
              <w:t>Total</w:t>
            </w:r>
          </w:p>
        </w:tc>
        <w:tc>
          <w:tcPr>
            <w:tcW w:w="1606" w:type="dxa"/>
            <w:tcBorders>
              <w:top w:val="nil"/>
              <w:left w:val="single" w:sz="4" w:space="0" w:color="auto"/>
              <w:bottom w:val="single" w:sz="4" w:space="0" w:color="auto"/>
              <w:right w:val="single" w:sz="4" w:space="0" w:color="auto"/>
            </w:tcBorders>
            <w:shd w:val="clear" w:color="000000" w:fill="CCFFFF"/>
            <w:vAlign w:val="center"/>
            <w:hideMark/>
          </w:tcPr>
          <w:p w:rsidR="00B16DCB" w:rsidRPr="00083772" w:rsidRDefault="00B16DCB" w:rsidP="00C961E8">
            <w:pPr>
              <w:spacing w:before="120" w:after="120"/>
              <w:jc w:val="right"/>
              <w:rPr>
                <w:rFonts w:cs="Arial"/>
                <w:b/>
                <w:bCs/>
                <w:color w:val="000000"/>
                <w:sz w:val="16"/>
                <w:szCs w:val="16"/>
              </w:rPr>
            </w:pPr>
            <w:r w:rsidRPr="00083772">
              <w:rPr>
                <w:rFonts w:cs="Arial"/>
                <w:b/>
                <w:bCs/>
                <w:color w:val="000000"/>
                <w:sz w:val="16"/>
                <w:szCs w:val="16"/>
              </w:rPr>
              <w:t>7,813</w:t>
            </w:r>
          </w:p>
        </w:tc>
        <w:tc>
          <w:tcPr>
            <w:tcW w:w="1607" w:type="dxa"/>
            <w:tcBorders>
              <w:top w:val="nil"/>
              <w:left w:val="nil"/>
              <w:bottom w:val="single" w:sz="4" w:space="0" w:color="auto"/>
              <w:right w:val="single" w:sz="4" w:space="0" w:color="auto"/>
            </w:tcBorders>
            <w:shd w:val="clear" w:color="000000" w:fill="CCFFFF"/>
            <w:noWrap/>
            <w:vAlign w:val="center"/>
            <w:hideMark/>
          </w:tcPr>
          <w:p w:rsidR="00B16DCB" w:rsidRPr="00083772" w:rsidRDefault="00B16DCB" w:rsidP="00C961E8">
            <w:pPr>
              <w:spacing w:before="120" w:after="120"/>
              <w:jc w:val="right"/>
              <w:rPr>
                <w:rFonts w:cs="Arial"/>
                <w:b/>
                <w:bCs/>
                <w:color w:val="000000"/>
                <w:sz w:val="16"/>
                <w:szCs w:val="16"/>
              </w:rPr>
            </w:pPr>
            <w:r w:rsidRPr="00083772">
              <w:rPr>
                <w:rFonts w:cs="Arial"/>
                <w:b/>
                <w:bCs/>
                <w:color w:val="000000"/>
                <w:sz w:val="16"/>
                <w:szCs w:val="16"/>
              </w:rPr>
              <w:t>8,269</w:t>
            </w:r>
          </w:p>
        </w:tc>
        <w:tc>
          <w:tcPr>
            <w:tcW w:w="1607" w:type="dxa"/>
            <w:tcBorders>
              <w:top w:val="nil"/>
              <w:left w:val="nil"/>
              <w:bottom w:val="single" w:sz="4" w:space="0" w:color="auto"/>
              <w:right w:val="single" w:sz="4" w:space="0" w:color="auto"/>
            </w:tcBorders>
            <w:shd w:val="clear" w:color="000000" w:fill="CCFFFF"/>
            <w:vAlign w:val="center"/>
            <w:hideMark/>
          </w:tcPr>
          <w:p w:rsidR="00B16DCB" w:rsidRPr="00083772" w:rsidRDefault="00B16DCB" w:rsidP="00C961E8">
            <w:pPr>
              <w:spacing w:before="120" w:after="120"/>
              <w:jc w:val="right"/>
              <w:rPr>
                <w:rFonts w:cs="Arial"/>
                <w:b/>
                <w:bCs/>
                <w:color w:val="000000"/>
                <w:sz w:val="16"/>
                <w:szCs w:val="16"/>
              </w:rPr>
            </w:pPr>
            <w:r w:rsidRPr="00083772">
              <w:rPr>
                <w:rFonts w:cs="Arial"/>
                <w:b/>
                <w:bCs/>
                <w:color w:val="000000"/>
                <w:sz w:val="16"/>
                <w:szCs w:val="16"/>
              </w:rPr>
              <w:t>8,042</w:t>
            </w:r>
          </w:p>
        </w:tc>
      </w:tr>
    </w:tbl>
    <w:p w:rsidR="00B16DCB" w:rsidRDefault="00B16DCB" w:rsidP="00B16DCB"/>
    <w:p w:rsidR="00B16DCB" w:rsidRPr="00083772" w:rsidRDefault="00B16DCB" w:rsidP="00B16DCB">
      <w:pPr>
        <w:pStyle w:val="NormalWeb"/>
        <w:spacing w:before="0" w:beforeAutospacing="0" w:after="0" w:afterAutospacing="0"/>
        <w:jc w:val="center"/>
        <w:rPr>
          <w:sz w:val="20"/>
          <w:szCs w:val="20"/>
        </w:rPr>
      </w:pPr>
      <w:r w:rsidRPr="00083772">
        <w:rPr>
          <w:color w:val="000000"/>
          <w:sz w:val="20"/>
          <w:szCs w:val="20"/>
        </w:rPr>
        <w:t xml:space="preserve">Budget and Actual Expenditure (personnel and non-personnel) </w:t>
      </w:r>
    </w:p>
    <w:p w:rsidR="00B16DCB" w:rsidRPr="00083772" w:rsidRDefault="00B16DCB" w:rsidP="00B16DCB">
      <w:pPr>
        <w:pStyle w:val="NormalWeb"/>
        <w:spacing w:before="0" w:beforeAutospacing="0" w:after="0" w:afterAutospacing="0"/>
        <w:jc w:val="center"/>
        <w:rPr>
          <w:sz w:val="20"/>
          <w:szCs w:val="20"/>
        </w:rPr>
      </w:pPr>
      <w:r w:rsidRPr="00083772">
        <w:rPr>
          <w:i/>
          <w:iCs/>
          <w:color w:val="000000"/>
          <w:sz w:val="20"/>
          <w:szCs w:val="20"/>
        </w:rPr>
        <w:t>(</w:t>
      </w:r>
      <w:proofErr w:type="gramStart"/>
      <w:r w:rsidRPr="00083772">
        <w:rPr>
          <w:i/>
          <w:iCs/>
          <w:color w:val="000000"/>
          <w:sz w:val="20"/>
          <w:szCs w:val="20"/>
        </w:rPr>
        <w:t>in</w:t>
      </w:r>
      <w:proofErr w:type="gramEnd"/>
      <w:r w:rsidRPr="00083772">
        <w:rPr>
          <w:i/>
          <w:iCs/>
          <w:color w:val="000000"/>
          <w:sz w:val="20"/>
          <w:szCs w:val="20"/>
        </w:rPr>
        <w:t xml:space="preserve"> thousands of Swiss francs)</w:t>
      </w:r>
    </w:p>
    <w:p w:rsidR="00B16DCB" w:rsidRDefault="00B16DCB" w:rsidP="00B16DCB"/>
    <w:tbl>
      <w:tblPr>
        <w:tblW w:w="0" w:type="auto"/>
        <w:tblInd w:w="93" w:type="dxa"/>
        <w:tblLook w:val="04A0" w:firstRow="1" w:lastRow="0" w:firstColumn="1" w:lastColumn="0" w:noHBand="0" w:noVBand="1"/>
      </w:tblPr>
      <w:tblGrid>
        <w:gridCol w:w="2567"/>
        <w:gridCol w:w="1701"/>
        <w:gridCol w:w="1701"/>
        <w:gridCol w:w="1701"/>
        <w:gridCol w:w="1701"/>
      </w:tblGrid>
      <w:tr w:rsidR="00B16DCB" w:rsidRPr="00B16DCB" w:rsidTr="00C961E8">
        <w:trPr>
          <w:trHeight w:val="483"/>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B16DCB" w:rsidRPr="00B16DCB" w:rsidRDefault="00B16DCB" w:rsidP="002249F8">
            <w:pPr>
              <w:rPr>
                <w:rFonts w:cs="Arial"/>
                <w:color w:val="000000"/>
                <w:sz w:val="16"/>
                <w:szCs w:val="16"/>
              </w:rPr>
            </w:pPr>
            <w:r w:rsidRPr="00B16DCB">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B16DCB" w:rsidRPr="00B16DCB" w:rsidRDefault="00B16DCB" w:rsidP="002249F8">
            <w:pPr>
              <w:jc w:val="center"/>
              <w:rPr>
                <w:rFonts w:cs="Arial"/>
                <w:bCs/>
                <w:color w:val="000000"/>
                <w:sz w:val="16"/>
                <w:szCs w:val="16"/>
              </w:rPr>
            </w:pPr>
            <w:r w:rsidRPr="00B16DCB">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B16DCB" w:rsidRPr="00B16DCB" w:rsidRDefault="00B16DCB" w:rsidP="002249F8">
            <w:pPr>
              <w:jc w:val="center"/>
              <w:rPr>
                <w:rFonts w:cs="Arial"/>
                <w:bCs/>
                <w:color w:val="000000"/>
                <w:sz w:val="16"/>
                <w:szCs w:val="16"/>
              </w:rPr>
            </w:pPr>
            <w:r w:rsidRPr="00B16DCB">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B16DCB" w:rsidRPr="00B16DCB" w:rsidRDefault="00B16DCB" w:rsidP="002249F8">
            <w:pPr>
              <w:jc w:val="center"/>
              <w:rPr>
                <w:rFonts w:cs="Arial"/>
                <w:bCs/>
                <w:color w:val="000000"/>
                <w:sz w:val="16"/>
                <w:szCs w:val="16"/>
              </w:rPr>
            </w:pPr>
            <w:r w:rsidRPr="00B16DCB">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B16DCB" w:rsidRPr="00B16DCB" w:rsidRDefault="00B16DCB" w:rsidP="002249F8">
            <w:pPr>
              <w:jc w:val="center"/>
              <w:rPr>
                <w:rFonts w:cs="Arial"/>
                <w:bCs/>
                <w:color w:val="000000"/>
                <w:sz w:val="16"/>
                <w:szCs w:val="16"/>
              </w:rPr>
            </w:pPr>
            <w:r w:rsidRPr="00B16DCB">
              <w:rPr>
                <w:rFonts w:cs="Arial"/>
                <w:bCs/>
                <w:color w:val="000000"/>
                <w:sz w:val="16"/>
                <w:szCs w:val="16"/>
              </w:rPr>
              <w:t>Utilization rate (%)</w:t>
            </w:r>
          </w:p>
        </w:tc>
      </w:tr>
      <w:tr w:rsidR="00B16DCB" w:rsidRPr="000038AE" w:rsidTr="00C961E8">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B16DCB" w:rsidRPr="00083772" w:rsidRDefault="00B16DCB" w:rsidP="002249F8">
            <w:pPr>
              <w:rPr>
                <w:rFonts w:cs="Arial"/>
                <w:color w:val="000000"/>
                <w:sz w:val="16"/>
                <w:szCs w:val="16"/>
              </w:rPr>
            </w:pPr>
            <w:r w:rsidRPr="00083772">
              <w:rPr>
                <w:rFonts w:cs="Arial"/>
                <w:color w:val="000000"/>
                <w:sz w:val="16"/>
                <w:szCs w:val="16"/>
              </w:rPr>
              <w:t xml:space="preserve"> 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3,893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4,596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4,596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100%</w:t>
            </w:r>
          </w:p>
        </w:tc>
      </w:tr>
      <w:tr w:rsidR="00B16DCB" w:rsidRPr="000038AE" w:rsidTr="00C961E8">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B16DCB" w:rsidRPr="00083772" w:rsidRDefault="00B16DCB" w:rsidP="002249F8">
            <w:pPr>
              <w:rPr>
                <w:rFonts w:cs="Arial"/>
                <w:color w:val="000000"/>
                <w:sz w:val="16"/>
                <w:szCs w:val="16"/>
              </w:rPr>
            </w:pPr>
            <w:r w:rsidRPr="00083772">
              <w:rPr>
                <w:rFonts w:cs="Arial"/>
                <w:color w:val="000000"/>
                <w:sz w:val="16"/>
                <w:szCs w:val="16"/>
              </w:rPr>
              <w:t xml:space="preserve"> 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3,919</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3,673</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3,446</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color w:val="000000"/>
                <w:sz w:val="16"/>
                <w:szCs w:val="16"/>
              </w:rPr>
            </w:pPr>
            <w:r w:rsidRPr="00083772">
              <w:rPr>
                <w:rFonts w:cs="Arial"/>
                <w:color w:val="000000"/>
                <w:sz w:val="16"/>
                <w:szCs w:val="16"/>
              </w:rPr>
              <w:t>94%</w:t>
            </w:r>
          </w:p>
        </w:tc>
      </w:tr>
      <w:tr w:rsidR="00B16DCB" w:rsidRPr="000038AE" w:rsidTr="00C961E8">
        <w:trPr>
          <w:trHeight w:val="544"/>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B16DCB" w:rsidRPr="00083772" w:rsidRDefault="00B16DCB" w:rsidP="002249F8">
            <w:pPr>
              <w:jc w:val="right"/>
              <w:rPr>
                <w:rFonts w:cs="Arial"/>
                <w:b/>
                <w:bCs/>
                <w:color w:val="000000"/>
                <w:sz w:val="16"/>
                <w:szCs w:val="16"/>
              </w:rPr>
            </w:pPr>
            <w:r w:rsidRPr="00083772">
              <w:rPr>
                <w:rFonts w:cs="Arial"/>
                <w:b/>
                <w:bCs/>
                <w:color w:val="000000"/>
                <w:sz w:val="16"/>
                <w:szCs w:val="16"/>
              </w:rPr>
              <w:t>TOTAL</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b/>
                <w:bCs/>
                <w:color w:val="000000"/>
                <w:sz w:val="16"/>
                <w:szCs w:val="16"/>
              </w:rPr>
            </w:pPr>
            <w:r w:rsidRPr="00083772">
              <w:rPr>
                <w:rFonts w:cs="Arial"/>
                <w:b/>
                <w:bCs/>
                <w:color w:val="000000"/>
                <w:sz w:val="16"/>
                <w:szCs w:val="16"/>
              </w:rPr>
              <w:t>7,813</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b/>
                <w:bCs/>
                <w:color w:val="000000"/>
                <w:sz w:val="16"/>
                <w:szCs w:val="16"/>
              </w:rPr>
            </w:pPr>
            <w:r w:rsidRPr="00083772">
              <w:rPr>
                <w:rFonts w:cs="Arial"/>
                <w:b/>
                <w:bCs/>
                <w:color w:val="000000"/>
                <w:sz w:val="16"/>
                <w:szCs w:val="16"/>
              </w:rPr>
              <w:t>8,269</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b/>
                <w:bCs/>
                <w:color w:val="000000"/>
                <w:sz w:val="16"/>
                <w:szCs w:val="16"/>
              </w:rPr>
            </w:pPr>
            <w:r w:rsidRPr="00083772">
              <w:rPr>
                <w:rFonts w:cs="Arial"/>
                <w:b/>
                <w:bCs/>
                <w:color w:val="000000"/>
                <w:sz w:val="16"/>
                <w:szCs w:val="16"/>
              </w:rPr>
              <w:t>8,042</w:t>
            </w:r>
          </w:p>
        </w:tc>
        <w:tc>
          <w:tcPr>
            <w:tcW w:w="1701" w:type="dxa"/>
            <w:tcBorders>
              <w:top w:val="nil"/>
              <w:left w:val="nil"/>
              <w:bottom w:val="single" w:sz="4" w:space="0" w:color="auto"/>
              <w:right w:val="single" w:sz="4" w:space="0" w:color="auto"/>
            </w:tcBorders>
            <w:shd w:val="clear" w:color="auto" w:fill="auto"/>
            <w:vAlign w:val="center"/>
            <w:hideMark/>
          </w:tcPr>
          <w:p w:rsidR="00B16DCB" w:rsidRPr="00083772" w:rsidRDefault="00B16DCB" w:rsidP="002249F8">
            <w:pPr>
              <w:jc w:val="center"/>
              <w:rPr>
                <w:rFonts w:cs="Arial"/>
                <w:b/>
                <w:bCs/>
                <w:color w:val="000000"/>
                <w:sz w:val="16"/>
                <w:szCs w:val="16"/>
              </w:rPr>
            </w:pPr>
            <w:r w:rsidRPr="00083772">
              <w:rPr>
                <w:rFonts w:cs="Arial"/>
                <w:b/>
                <w:bCs/>
                <w:color w:val="000000"/>
                <w:sz w:val="16"/>
                <w:szCs w:val="16"/>
              </w:rPr>
              <w:t>97%</w:t>
            </w:r>
          </w:p>
        </w:tc>
      </w:tr>
    </w:tbl>
    <w:p w:rsidR="00B16DCB" w:rsidRDefault="00B16DCB" w:rsidP="00B16DCB">
      <w:pPr>
        <w:keepNext/>
        <w:autoSpaceDE w:val="0"/>
        <w:autoSpaceDN w:val="0"/>
        <w:rPr>
          <w:sz w:val="16"/>
          <w:szCs w:val="16"/>
        </w:rPr>
      </w:pPr>
    </w:p>
    <w:p w:rsidR="00B16DCB" w:rsidRDefault="00B16DCB" w:rsidP="00B16DCB">
      <w:pPr>
        <w:keepNext/>
        <w:autoSpaceDE w:val="0"/>
        <w:autoSpaceDN w:val="0"/>
        <w:rPr>
          <w:sz w:val="16"/>
          <w:szCs w:val="16"/>
        </w:rPr>
      </w:pPr>
      <w:r>
        <w:rPr>
          <w:sz w:val="16"/>
          <w:szCs w:val="16"/>
        </w:rPr>
        <w:t>NOTES:</w:t>
      </w:r>
    </w:p>
    <w:p w:rsidR="00B16DCB" w:rsidRDefault="00B16DCB" w:rsidP="00B16DCB">
      <w:pPr>
        <w:keepNext/>
        <w:autoSpaceDE w:val="0"/>
        <w:autoSpaceDN w:val="0"/>
        <w:rPr>
          <w:sz w:val="16"/>
          <w:szCs w:val="16"/>
        </w:rPr>
      </w:pPr>
    </w:p>
    <w:p w:rsidR="00B16DCB" w:rsidRDefault="00B16DCB" w:rsidP="00B16DCB">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B16DCB" w:rsidRDefault="00B16DCB" w:rsidP="00B16DCB">
      <w:pPr>
        <w:keepNext/>
        <w:autoSpaceDE w:val="0"/>
        <w:autoSpaceDN w:val="0"/>
        <w:rPr>
          <w:sz w:val="16"/>
          <w:szCs w:val="16"/>
        </w:rPr>
      </w:pPr>
    </w:p>
    <w:p w:rsidR="00B16DCB" w:rsidRDefault="00DC2CFA" w:rsidP="00B16DCB">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B16DCB">
        <w:rPr>
          <w:sz w:val="16"/>
          <w:szCs w:val="16"/>
        </w:rPr>
        <w:t xml:space="preserve"> </w:t>
      </w:r>
    </w:p>
    <w:p w:rsidR="00B16DCB" w:rsidRDefault="00B16DCB" w:rsidP="00B16DCB">
      <w:pPr>
        <w:keepNext/>
        <w:autoSpaceDE w:val="0"/>
        <w:autoSpaceDN w:val="0"/>
        <w:rPr>
          <w:sz w:val="16"/>
          <w:szCs w:val="16"/>
        </w:rPr>
      </w:pPr>
    </w:p>
    <w:p w:rsidR="00B16DCB" w:rsidRDefault="00B16DCB" w:rsidP="00B16DCB">
      <w:pPr>
        <w:keepNext/>
        <w:autoSpaceDE w:val="0"/>
        <w:autoSpaceDN w:val="0"/>
        <w:rPr>
          <w:sz w:val="16"/>
          <w:szCs w:val="16"/>
        </w:rPr>
      </w:pPr>
      <w:r>
        <w:rPr>
          <w:sz w:val="16"/>
          <w:szCs w:val="16"/>
        </w:rPr>
        <w:t>(3)  The non-personnel allocation for the 2012/13 Budget after Transfers reflects downward adjustments made for cost efficiency gains, in accordance with the Organization’s commitment to reduce expenditures by 10.2 million Swiss francs in the 2012/13 biennium.</w:t>
      </w:r>
    </w:p>
    <w:p w:rsidR="00B16DCB" w:rsidRDefault="00B16DCB" w:rsidP="00B16DCB">
      <w:pPr>
        <w:rPr>
          <w:sz w:val="22"/>
          <w:szCs w:val="22"/>
        </w:rPr>
      </w:pPr>
    </w:p>
    <w:p w:rsidR="00B16DCB" w:rsidRDefault="00B16DCB">
      <w:pPr>
        <w:rPr>
          <w:szCs w:val="20"/>
        </w:rPr>
      </w:pPr>
      <w:r>
        <w:rPr>
          <w:szCs w:val="20"/>
        </w:rPr>
        <w:br w:type="page"/>
      </w:r>
    </w:p>
    <w:p w:rsidR="00B16DCB" w:rsidRPr="00C4169F" w:rsidRDefault="00B16DCB" w:rsidP="00C961E8">
      <w:pPr>
        <w:tabs>
          <w:tab w:val="left" w:pos="709"/>
        </w:tabs>
        <w:rPr>
          <w:szCs w:val="20"/>
        </w:rPr>
      </w:pPr>
      <w:r w:rsidRPr="00C4169F">
        <w:rPr>
          <w:szCs w:val="20"/>
        </w:rPr>
        <w:lastRenderedPageBreak/>
        <w:t xml:space="preserve">A. </w:t>
      </w:r>
      <w:r w:rsidR="00C961E8">
        <w:rPr>
          <w:szCs w:val="20"/>
        </w:rPr>
        <w:tab/>
      </w:r>
      <w:r w:rsidRPr="00C4169F">
        <w:rPr>
          <w:szCs w:val="20"/>
          <w:u w:val="single"/>
        </w:rPr>
        <w:t>Budget after Transfers 2012/13</w:t>
      </w:r>
    </w:p>
    <w:p w:rsidR="00B16DCB" w:rsidRPr="00C4169F" w:rsidRDefault="00B16DCB" w:rsidP="00C961E8">
      <w:pPr>
        <w:tabs>
          <w:tab w:val="left" w:pos="709"/>
        </w:tabs>
        <w:rPr>
          <w:szCs w:val="20"/>
        </w:rPr>
      </w:pPr>
    </w:p>
    <w:p w:rsidR="00B16DCB" w:rsidRPr="00C4169F" w:rsidRDefault="00B16DCB" w:rsidP="00C961E8">
      <w:pPr>
        <w:tabs>
          <w:tab w:val="left" w:pos="709"/>
        </w:tabs>
        <w:jc w:val="both"/>
        <w:rPr>
          <w:szCs w:val="20"/>
        </w:rPr>
      </w:pPr>
      <w:r w:rsidRPr="00C4169F">
        <w:rPr>
          <w:szCs w:val="20"/>
        </w:rPr>
        <w:t>15.</w:t>
      </w:r>
      <w:r>
        <w:rPr>
          <w:szCs w:val="20"/>
        </w:rPr>
        <w:t>12</w:t>
      </w:r>
      <w:r w:rsidR="00305F80">
        <w:rPr>
          <w:szCs w:val="20"/>
        </w:rPr>
        <w:t>.</w:t>
      </w:r>
      <w:r w:rsidRPr="00C4169F">
        <w:rPr>
          <w:szCs w:val="20"/>
        </w:rPr>
        <w:t xml:space="preserve"> </w:t>
      </w:r>
      <w:r>
        <w:rPr>
          <w:szCs w:val="20"/>
        </w:rPr>
        <w:tab/>
      </w:r>
      <w:r w:rsidRPr="00C4169F">
        <w:rPr>
          <w:szCs w:val="20"/>
        </w:rPr>
        <w:t xml:space="preserve">Additional personnel resources were allocated to the Program to support the design and upgrade of WIPO software solutions and the deployment of </w:t>
      </w:r>
      <w:r w:rsidRPr="00C4169F">
        <w:rPr>
          <w:bCs/>
          <w:szCs w:val="20"/>
        </w:rPr>
        <w:t xml:space="preserve">the WIPO Industrial Property Administration System (IPAS) </w:t>
      </w:r>
      <w:r w:rsidRPr="00C4169F">
        <w:rPr>
          <w:szCs w:val="20"/>
        </w:rPr>
        <w:t xml:space="preserve">supporting all the major business processes in IP Offices. </w:t>
      </w:r>
      <w:r w:rsidR="00C961E8">
        <w:rPr>
          <w:szCs w:val="20"/>
        </w:rPr>
        <w:t xml:space="preserve"> </w:t>
      </w:r>
      <w:r w:rsidRPr="00C4169F">
        <w:rPr>
          <w:szCs w:val="20"/>
        </w:rPr>
        <w:t>Based on the increased demand f</w:t>
      </w:r>
      <w:r w:rsidR="005D62C4">
        <w:rPr>
          <w:szCs w:val="20"/>
        </w:rPr>
        <w:t xml:space="preserve">or these services, a total </w:t>
      </w:r>
      <w:r w:rsidR="005D62C4" w:rsidRPr="00F84C73">
        <w:rPr>
          <w:szCs w:val="20"/>
        </w:rPr>
        <w:t>of 40</w:t>
      </w:r>
      <w:r w:rsidRPr="00F84C73">
        <w:rPr>
          <w:szCs w:val="20"/>
        </w:rPr>
        <w:t xml:space="preserve"> Offices</w:t>
      </w:r>
      <w:r w:rsidRPr="00C4169F">
        <w:rPr>
          <w:szCs w:val="20"/>
        </w:rPr>
        <w:t xml:space="preserve"> are now benefitting from WIPO supported systems instead of the biennial target of 20 Offices.  </w:t>
      </w:r>
    </w:p>
    <w:p w:rsidR="00B16DCB" w:rsidRPr="00C4169F" w:rsidRDefault="00B16DCB" w:rsidP="00C961E8">
      <w:pPr>
        <w:tabs>
          <w:tab w:val="left" w:pos="709"/>
        </w:tabs>
        <w:rPr>
          <w:szCs w:val="20"/>
        </w:rPr>
      </w:pPr>
    </w:p>
    <w:p w:rsidR="00B16DCB" w:rsidRPr="00C4169F" w:rsidRDefault="00B16DCB" w:rsidP="00C961E8">
      <w:pPr>
        <w:tabs>
          <w:tab w:val="left" w:pos="709"/>
        </w:tabs>
        <w:rPr>
          <w:szCs w:val="20"/>
          <w:u w:val="single"/>
        </w:rPr>
      </w:pPr>
      <w:r w:rsidRPr="00C4169F">
        <w:rPr>
          <w:szCs w:val="20"/>
        </w:rPr>
        <w:t xml:space="preserve">B. </w:t>
      </w:r>
      <w:r w:rsidR="00C961E8">
        <w:rPr>
          <w:szCs w:val="20"/>
        </w:rPr>
        <w:tab/>
      </w:r>
      <w:r w:rsidRPr="00CA3C9C">
        <w:rPr>
          <w:szCs w:val="20"/>
          <w:u w:val="single"/>
        </w:rPr>
        <w:t>Budget Utilization 2012/13</w:t>
      </w:r>
    </w:p>
    <w:p w:rsidR="00B16DCB" w:rsidRPr="00C4169F" w:rsidRDefault="00B16DCB" w:rsidP="00C961E8">
      <w:pPr>
        <w:tabs>
          <w:tab w:val="left" w:pos="709"/>
        </w:tabs>
        <w:rPr>
          <w:szCs w:val="20"/>
          <w:u w:val="single"/>
        </w:rPr>
      </w:pPr>
    </w:p>
    <w:p w:rsidR="00B16DCB" w:rsidRPr="00472C04" w:rsidRDefault="00B16DCB" w:rsidP="00C961E8">
      <w:pPr>
        <w:tabs>
          <w:tab w:val="left" w:pos="709"/>
        </w:tabs>
        <w:autoSpaceDE w:val="0"/>
        <w:autoSpaceDN w:val="0"/>
        <w:adjustRightInd w:val="0"/>
        <w:jc w:val="both"/>
        <w:rPr>
          <w:rFonts w:eastAsia="Batang" w:cs="Arial"/>
          <w:szCs w:val="20"/>
          <w:lang w:eastAsia="ko-KR"/>
        </w:rPr>
      </w:pPr>
      <w:r>
        <w:rPr>
          <w:rFonts w:eastAsia="Batang" w:cs="Arial"/>
          <w:szCs w:val="20"/>
          <w:lang w:eastAsia="ko-KR"/>
        </w:rPr>
        <w:t>15.13</w:t>
      </w:r>
      <w:r w:rsidR="00305F80">
        <w:rPr>
          <w:rFonts w:eastAsia="Batang" w:cs="Arial"/>
          <w:szCs w:val="20"/>
          <w:lang w:eastAsia="ko-KR"/>
        </w:rPr>
        <w:t>.</w:t>
      </w:r>
      <w:r>
        <w:rPr>
          <w:rFonts w:eastAsia="Batang" w:cs="Arial"/>
          <w:szCs w:val="20"/>
          <w:lang w:eastAsia="ko-KR"/>
        </w:rPr>
        <w:tab/>
      </w:r>
      <w:r w:rsidRPr="00472C04">
        <w:rPr>
          <w:rFonts w:eastAsia="Batang" w:cs="Arial"/>
          <w:szCs w:val="20"/>
          <w:lang w:eastAsia="ko-KR"/>
        </w:rPr>
        <w:t>Budget utilization of 9</w:t>
      </w:r>
      <w:r>
        <w:rPr>
          <w:rFonts w:eastAsia="Batang" w:cs="Arial"/>
          <w:szCs w:val="20"/>
          <w:lang w:eastAsia="ko-KR"/>
        </w:rPr>
        <w:t>4</w:t>
      </w:r>
      <w:r w:rsidRPr="00472C04">
        <w:rPr>
          <w:rFonts w:eastAsia="Batang" w:cs="Arial"/>
          <w:szCs w:val="20"/>
          <w:lang w:eastAsia="ko-KR"/>
        </w:rPr>
        <w:t xml:space="preserve"> per cent reflects a slightly lower than expected expenditure </w:t>
      </w:r>
      <w:r>
        <w:rPr>
          <w:rFonts w:cs="Arial"/>
          <w:bCs/>
          <w:color w:val="000000"/>
          <w:szCs w:val="20"/>
        </w:rPr>
        <w:t>due to cost savin</w:t>
      </w:r>
      <w:r w:rsidRPr="00472C04">
        <w:rPr>
          <w:rFonts w:cs="Arial"/>
          <w:bCs/>
          <w:color w:val="000000"/>
          <w:szCs w:val="20"/>
        </w:rPr>
        <w:t>gs on travel</w:t>
      </w:r>
      <w:r>
        <w:rPr>
          <w:rFonts w:cs="Arial"/>
          <w:bCs/>
          <w:color w:val="000000"/>
          <w:szCs w:val="20"/>
        </w:rPr>
        <w:t xml:space="preserve"> (staff missions) and contractual services</w:t>
      </w:r>
      <w:r w:rsidRPr="00472C04">
        <w:rPr>
          <w:rFonts w:cs="Arial"/>
          <w:bCs/>
          <w:color w:val="000000"/>
          <w:szCs w:val="20"/>
        </w:rPr>
        <w:t>.</w:t>
      </w:r>
      <w:r w:rsidRPr="00472C04">
        <w:rPr>
          <w:rFonts w:eastAsia="Batang" w:cs="Arial"/>
          <w:szCs w:val="20"/>
          <w:lang w:eastAsia="ko-KR"/>
        </w:rPr>
        <w:t xml:space="preserve"> </w:t>
      </w:r>
    </w:p>
    <w:p w:rsidR="00B16DCB" w:rsidRPr="00C4169F" w:rsidRDefault="00B16DCB" w:rsidP="00B16DCB">
      <w:pPr>
        <w:pStyle w:val="CommentText"/>
      </w:pPr>
    </w:p>
    <w:p w:rsidR="00B16DCB" w:rsidRDefault="00B16DCB" w:rsidP="00B16DCB">
      <w:pPr>
        <w:rPr>
          <w:sz w:val="22"/>
          <w:szCs w:val="22"/>
        </w:rPr>
      </w:pPr>
    </w:p>
    <w:p w:rsidR="0068151C" w:rsidRDefault="0068151C">
      <w:r>
        <w:br w:type="page"/>
      </w:r>
    </w:p>
    <w:p w:rsidR="00121D79" w:rsidRPr="00A522FE" w:rsidRDefault="00121D79" w:rsidP="00121D79">
      <w:pPr>
        <w:pStyle w:val="Heading2"/>
      </w:pPr>
      <w:bookmarkStart w:id="42" w:name="_Toc301357261"/>
      <w:bookmarkStart w:id="43" w:name="_Toc393956062"/>
      <w:r w:rsidRPr="00A522FE">
        <w:lastRenderedPageBreak/>
        <w:t>STRATEGIC GOAL V</w:t>
      </w:r>
      <w:r>
        <w:t xml:space="preserve"> </w:t>
      </w:r>
      <w:r w:rsidRPr="00A522FE">
        <w:br/>
      </w:r>
      <w:r w:rsidRPr="00A522FE">
        <w:br/>
        <w:t>World Reference Source for IP Information and Analysis</w:t>
      </w:r>
      <w:bookmarkEnd w:id="42"/>
      <w:bookmarkEnd w:id="43"/>
      <w:r w:rsidRPr="00A522FE">
        <w:t xml:space="preserve"> </w:t>
      </w:r>
    </w:p>
    <w:p w:rsidR="00121D79" w:rsidRDefault="00121D79" w:rsidP="001525FC">
      <w:pPr>
        <w:jc w:val="center"/>
      </w:pPr>
    </w:p>
    <w:p w:rsidR="006A6EC1" w:rsidRDefault="006A6EC1" w:rsidP="001525FC">
      <w:pPr>
        <w:jc w:val="center"/>
      </w:pPr>
    </w:p>
    <w:p w:rsidR="001525FC" w:rsidRPr="00A522FE" w:rsidRDefault="001525FC" w:rsidP="001525FC">
      <w:pPr>
        <w:jc w:val="center"/>
      </w:pPr>
    </w:p>
    <w:p w:rsidR="00121D79" w:rsidRPr="0086702C" w:rsidRDefault="00121D79" w:rsidP="001525FC">
      <w:pPr>
        <w:jc w:val="center"/>
        <w:rPr>
          <w:szCs w:val="20"/>
        </w:rPr>
      </w:pPr>
      <w:r w:rsidRPr="0086702C">
        <w:rPr>
          <w:szCs w:val="20"/>
        </w:rPr>
        <w:t>BIENNIAL PERFORMANCE DASHBOARD</w:t>
      </w:r>
    </w:p>
    <w:p w:rsidR="00121D79" w:rsidRPr="00A522FE" w:rsidRDefault="00121D79" w:rsidP="001525FC">
      <w:pPr>
        <w:jc w:val="center"/>
      </w:pPr>
    </w:p>
    <w:p w:rsidR="00121D79" w:rsidRPr="00FA331B" w:rsidRDefault="00121D79" w:rsidP="00121D79">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121D79" w:rsidRDefault="00121D79" w:rsidP="00121D79">
      <w:pPr>
        <w:tabs>
          <w:tab w:val="left" w:pos="1701"/>
        </w:tabs>
        <w:ind w:left="1701" w:hanging="1701"/>
        <w:jc w:val="center"/>
        <w:rPr>
          <w:rFonts w:cs="Arial"/>
          <w:b/>
          <w:bCs/>
          <w:caps/>
        </w:rPr>
      </w:pPr>
    </w:p>
    <w:p w:rsidR="006A6EC1" w:rsidRPr="00A522FE" w:rsidRDefault="006A6EC1" w:rsidP="00121D79">
      <w:pPr>
        <w:tabs>
          <w:tab w:val="left" w:pos="1701"/>
        </w:tabs>
        <w:ind w:left="1701" w:hanging="1701"/>
        <w:jc w:val="center"/>
        <w:rPr>
          <w:rFonts w:cs="Arial"/>
          <w:b/>
          <w:bCs/>
          <w:caps/>
        </w:rPr>
      </w:pPr>
      <w:r>
        <w:rPr>
          <w:noProof/>
        </w:rPr>
        <w:drawing>
          <wp:inline distT="0" distB="0" distL="0" distR="0" wp14:anchorId="5DD46FBA" wp14:editId="39CF24FD">
            <wp:extent cx="3694176" cy="2033770"/>
            <wp:effectExtent l="0" t="0" r="1905" b="508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69"/>
                    <a:stretch>
                      <a:fillRect/>
                    </a:stretch>
                  </pic:blipFill>
                  <pic:spPr>
                    <a:xfrm>
                      <a:off x="0" y="0"/>
                      <a:ext cx="3694176" cy="2033770"/>
                    </a:xfrm>
                    <a:prstGeom prst="rect">
                      <a:avLst/>
                    </a:prstGeom>
                  </pic:spPr>
                </pic:pic>
              </a:graphicData>
            </a:graphic>
          </wp:inline>
        </w:drawing>
      </w:r>
    </w:p>
    <w:p w:rsidR="00121D79" w:rsidRPr="0089773D" w:rsidRDefault="00121D79" w:rsidP="00121D79">
      <w:pPr>
        <w:tabs>
          <w:tab w:val="left" w:pos="1701"/>
        </w:tabs>
        <w:ind w:left="1701" w:hanging="1701"/>
        <w:jc w:val="center"/>
        <w:rPr>
          <w:rFonts w:cs="Arial"/>
          <w:b/>
          <w:bCs/>
          <w:caps/>
        </w:rPr>
      </w:pPr>
    </w:p>
    <w:tbl>
      <w:tblPr>
        <w:tblW w:w="0" w:type="auto"/>
        <w:tblInd w:w="98" w:type="dxa"/>
        <w:tblLook w:val="0000" w:firstRow="0" w:lastRow="0" w:firstColumn="0" w:lastColumn="0" w:noHBand="0" w:noVBand="0"/>
      </w:tblPr>
      <w:tblGrid>
        <w:gridCol w:w="3206"/>
        <w:gridCol w:w="3223"/>
        <w:gridCol w:w="1479"/>
        <w:gridCol w:w="1281"/>
      </w:tblGrid>
      <w:tr w:rsidR="00121D79" w:rsidRPr="0089773D" w:rsidTr="00073773">
        <w:tc>
          <w:tcPr>
            <w:tcW w:w="3206" w:type="dxa"/>
            <w:tcBorders>
              <w:top w:val="single" w:sz="4" w:space="0" w:color="auto"/>
              <w:left w:val="single" w:sz="4" w:space="0" w:color="auto"/>
              <w:bottom w:val="single" w:sz="4" w:space="0" w:color="auto"/>
            </w:tcBorders>
            <w:shd w:val="clear" w:color="auto" w:fill="CCFFFF"/>
            <w:vAlign w:val="center"/>
          </w:tcPr>
          <w:p w:rsidR="00121D79" w:rsidRPr="000B4241" w:rsidRDefault="00121D79" w:rsidP="00073773">
            <w:pPr>
              <w:spacing w:before="120" w:after="120"/>
              <w:jc w:val="center"/>
              <w:rPr>
                <w:rFonts w:cs="Arial"/>
                <w:b/>
                <w:bCs/>
                <w:sz w:val="14"/>
                <w:szCs w:val="14"/>
              </w:rPr>
            </w:pPr>
            <w:bookmarkStart w:id="44" w:name="RANGE!A1:C3"/>
            <w:r w:rsidRPr="000B4241">
              <w:rPr>
                <w:rFonts w:cs="Arial"/>
                <w:b/>
                <w:bCs/>
                <w:sz w:val="14"/>
                <w:szCs w:val="14"/>
              </w:rPr>
              <w:t>Expected Results</w:t>
            </w:r>
            <w:bookmarkEnd w:id="44"/>
          </w:p>
        </w:tc>
        <w:tc>
          <w:tcPr>
            <w:tcW w:w="3223" w:type="dxa"/>
            <w:tcBorders>
              <w:top w:val="single" w:sz="4" w:space="0" w:color="auto"/>
              <w:bottom w:val="single" w:sz="4" w:space="0" w:color="auto"/>
            </w:tcBorders>
            <w:shd w:val="clear" w:color="auto" w:fill="CCFFFF"/>
            <w:vAlign w:val="center"/>
          </w:tcPr>
          <w:p w:rsidR="00121D79" w:rsidRPr="000B4241" w:rsidRDefault="00121D79" w:rsidP="00073773">
            <w:pPr>
              <w:spacing w:before="120" w:after="120"/>
              <w:jc w:val="center"/>
              <w:rPr>
                <w:rFonts w:cs="Arial"/>
                <w:b/>
                <w:bCs/>
                <w:sz w:val="14"/>
                <w:szCs w:val="14"/>
              </w:rPr>
            </w:pPr>
            <w:r w:rsidRPr="000B4241">
              <w:rPr>
                <w:rFonts w:cs="Arial"/>
                <w:b/>
                <w:bCs/>
                <w:sz w:val="14"/>
                <w:szCs w:val="14"/>
              </w:rPr>
              <w:t>Performance Indicators</w:t>
            </w:r>
          </w:p>
        </w:tc>
        <w:tc>
          <w:tcPr>
            <w:tcW w:w="1479" w:type="dxa"/>
            <w:tcBorders>
              <w:top w:val="single" w:sz="4" w:space="0" w:color="auto"/>
              <w:bottom w:val="single" w:sz="4" w:space="0" w:color="auto"/>
            </w:tcBorders>
            <w:shd w:val="clear" w:color="auto" w:fill="CCFFFF"/>
            <w:vAlign w:val="center"/>
          </w:tcPr>
          <w:p w:rsidR="00121D79" w:rsidRPr="000B4241" w:rsidRDefault="00121D79" w:rsidP="00073773">
            <w:pPr>
              <w:spacing w:before="120" w:after="120"/>
              <w:jc w:val="center"/>
              <w:rPr>
                <w:rFonts w:cs="Arial"/>
                <w:b/>
                <w:bCs/>
                <w:sz w:val="14"/>
                <w:szCs w:val="14"/>
              </w:rPr>
            </w:pPr>
            <w:r w:rsidRPr="000B4241">
              <w:rPr>
                <w:rFonts w:cs="Arial"/>
                <w:b/>
                <w:bCs/>
                <w:sz w:val="14"/>
                <w:szCs w:val="14"/>
              </w:rPr>
              <w:t>Responsible Program(s)</w:t>
            </w:r>
          </w:p>
        </w:tc>
        <w:tc>
          <w:tcPr>
            <w:tcW w:w="1281" w:type="dxa"/>
            <w:tcBorders>
              <w:top w:val="single" w:sz="4" w:space="0" w:color="auto"/>
              <w:left w:val="nil"/>
              <w:bottom w:val="single" w:sz="4" w:space="0" w:color="auto"/>
              <w:right w:val="single" w:sz="4" w:space="0" w:color="auto"/>
            </w:tcBorders>
            <w:shd w:val="clear" w:color="auto" w:fill="CCFFFF"/>
            <w:vAlign w:val="center"/>
          </w:tcPr>
          <w:p w:rsidR="00121D79" w:rsidRPr="000B4241" w:rsidRDefault="00121D79" w:rsidP="00073773">
            <w:pPr>
              <w:spacing w:before="120" w:after="120"/>
              <w:jc w:val="center"/>
              <w:rPr>
                <w:rFonts w:cs="Arial"/>
                <w:b/>
                <w:bCs/>
                <w:sz w:val="14"/>
                <w:szCs w:val="14"/>
              </w:rPr>
            </w:pPr>
            <w:r w:rsidRPr="000B4241">
              <w:rPr>
                <w:rFonts w:cs="Arial"/>
                <w:b/>
                <w:bCs/>
                <w:sz w:val="14"/>
                <w:szCs w:val="14"/>
              </w:rPr>
              <w:t>TLS</w:t>
            </w:r>
          </w:p>
        </w:tc>
      </w:tr>
      <w:tr w:rsidR="00C019FF" w:rsidRPr="0089773D" w:rsidTr="006E397A">
        <w:tc>
          <w:tcPr>
            <w:tcW w:w="3206" w:type="dxa"/>
            <w:vMerge w:val="restart"/>
            <w:tcBorders>
              <w:top w:val="single" w:sz="4" w:space="0" w:color="auto"/>
              <w:left w:val="single" w:sz="4" w:space="0" w:color="auto"/>
              <w:right w:val="nil"/>
            </w:tcBorders>
            <w:shd w:val="clear" w:color="auto" w:fill="auto"/>
            <w:tcMar>
              <w:top w:w="113" w:type="dxa"/>
            </w:tcMar>
          </w:tcPr>
          <w:p w:rsidR="00C019FF" w:rsidRPr="000B4241" w:rsidRDefault="00C019FF" w:rsidP="00073773">
            <w:pPr>
              <w:spacing w:before="80"/>
              <w:rPr>
                <w:rFonts w:cs="Arial"/>
                <w:sz w:val="14"/>
                <w:szCs w:val="14"/>
              </w:rPr>
            </w:pPr>
            <w:r w:rsidRPr="000B4241">
              <w:rPr>
                <w:rFonts w:cs="Arial"/>
                <w:sz w:val="14"/>
                <w:szCs w:val="14"/>
              </w:rPr>
              <w:t>Increased usage of WIPO statistical information on the performance of the international IP system</w:t>
            </w:r>
          </w:p>
        </w:tc>
        <w:tc>
          <w:tcPr>
            <w:tcW w:w="3223" w:type="dxa"/>
            <w:tcBorders>
              <w:top w:val="single" w:sz="4" w:space="0" w:color="auto"/>
              <w:left w:val="nil"/>
              <w:bottom w:val="nil"/>
              <w:right w:val="nil"/>
            </w:tcBorders>
            <w:shd w:val="clear" w:color="auto" w:fill="auto"/>
            <w:tcMar>
              <w:top w:w="113" w:type="dxa"/>
            </w:tcMar>
          </w:tcPr>
          <w:p w:rsidR="00C019FF" w:rsidRPr="000B4241" w:rsidRDefault="00C019FF" w:rsidP="00073773">
            <w:pPr>
              <w:spacing w:before="80"/>
              <w:rPr>
                <w:rFonts w:cs="Arial"/>
                <w:sz w:val="14"/>
                <w:szCs w:val="14"/>
              </w:rPr>
            </w:pPr>
            <w:r w:rsidRPr="000B4241">
              <w:rPr>
                <w:rFonts w:cs="Arial"/>
                <w:sz w:val="14"/>
                <w:szCs w:val="14"/>
              </w:rPr>
              <w:t>No. of downloads of two main statistical reports</w:t>
            </w:r>
          </w:p>
        </w:tc>
        <w:tc>
          <w:tcPr>
            <w:tcW w:w="1479" w:type="dxa"/>
            <w:tcBorders>
              <w:top w:val="single" w:sz="4" w:space="0" w:color="auto"/>
              <w:left w:val="nil"/>
              <w:bottom w:val="nil"/>
            </w:tcBorders>
            <w:shd w:val="clear" w:color="auto" w:fill="auto"/>
            <w:tcMar>
              <w:top w:w="113" w:type="dxa"/>
            </w:tcMar>
          </w:tcPr>
          <w:p w:rsidR="00C019FF" w:rsidRPr="000B4241" w:rsidRDefault="00C019FF" w:rsidP="00073773">
            <w:pPr>
              <w:spacing w:before="80"/>
              <w:jc w:val="center"/>
              <w:rPr>
                <w:rFonts w:cs="Arial"/>
                <w:sz w:val="14"/>
                <w:szCs w:val="14"/>
              </w:rPr>
            </w:pPr>
            <w:r w:rsidRPr="000B4241">
              <w:rPr>
                <w:rFonts w:cs="Arial"/>
                <w:sz w:val="14"/>
                <w:szCs w:val="14"/>
              </w:rPr>
              <w:t>Program 16</w:t>
            </w:r>
          </w:p>
        </w:tc>
        <w:tc>
          <w:tcPr>
            <w:tcW w:w="1281" w:type="dxa"/>
            <w:tcBorders>
              <w:top w:val="single" w:sz="4" w:space="0" w:color="auto"/>
              <w:left w:val="nil"/>
              <w:bottom w:val="nil"/>
              <w:right w:val="single" w:sz="4" w:space="0" w:color="auto"/>
            </w:tcBorders>
          </w:tcPr>
          <w:p w:rsidR="00C019FF" w:rsidRPr="000B4241" w:rsidRDefault="00811B82" w:rsidP="00305272">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811B82" w:rsidRPr="0089773D" w:rsidTr="00073773">
        <w:tc>
          <w:tcPr>
            <w:tcW w:w="3206" w:type="dxa"/>
            <w:vMerge/>
            <w:tcBorders>
              <w:left w:val="single" w:sz="4" w:space="0" w:color="auto"/>
              <w:bottom w:val="nil"/>
              <w:right w:val="nil"/>
            </w:tcBorders>
            <w:shd w:val="clear" w:color="auto" w:fill="auto"/>
            <w:tcMar>
              <w:top w:w="113" w:type="dxa"/>
            </w:tcMar>
          </w:tcPr>
          <w:p w:rsidR="00811B82" w:rsidRPr="000B4241" w:rsidRDefault="00811B82" w:rsidP="00073773">
            <w:pPr>
              <w:spacing w:before="80"/>
              <w:rPr>
                <w:rFonts w:cs="Arial"/>
                <w:sz w:val="14"/>
                <w:szCs w:val="14"/>
              </w:rPr>
            </w:pPr>
          </w:p>
        </w:tc>
        <w:tc>
          <w:tcPr>
            <w:tcW w:w="3223" w:type="dxa"/>
            <w:tcBorders>
              <w:left w:val="nil"/>
              <w:bottom w:val="nil"/>
              <w:right w:val="nil"/>
            </w:tcBorders>
            <w:shd w:val="clear" w:color="auto" w:fill="auto"/>
            <w:tcMar>
              <w:top w:w="113" w:type="dxa"/>
            </w:tcMar>
          </w:tcPr>
          <w:p w:rsidR="00811B82" w:rsidRPr="000B4241" w:rsidRDefault="00811B82" w:rsidP="00073773">
            <w:pPr>
              <w:spacing w:before="80"/>
              <w:rPr>
                <w:rFonts w:cs="Arial"/>
                <w:sz w:val="14"/>
                <w:szCs w:val="14"/>
              </w:rPr>
            </w:pPr>
            <w:r w:rsidRPr="000B4241">
              <w:rPr>
                <w:rFonts w:cs="Arial"/>
                <w:sz w:val="14"/>
                <w:szCs w:val="14"/>
              </w:rPr>
              <w:t>No. of data downloads</w:t>
            </w:r>
          </w:p>
        </w:tc>
        <w:tc>
          <w:tcPr>
            <w:tcW w:w="1479" w:type="dxa"/>
            <w:tcBorders>
              <w:left w:val="nil"/>
              <w:bottom w:val="nil"/>
            </w:tcBorders>
            <w:shd w:val="clear" w:color="auto" w:fill="auto"/>
            <w:tcMar>
              <w:top w:w="113" w:type="dxa"/>
            </w:tcMar>
          </w:tcPr>
          <w:p w:rsidR="00811B82" w:rsidRPr="000B4241" w:rsidRDefault="00811B82" w:rsidP="00073773">
            <w:pPr>
              <w:spacing w:before="80"/>
              <w:jc w:val="center"/>
              <w:rPr>
                <w:rFonts w:cs="Arial"/>
                <w:sz w:val="14"/>
                <w:szCs w:val="14"/>
              </w:rPr>
            </w:pPr>
            <w:r w:rsidRPr="000B4241">
              <w:rPr>
                <w:rFonts w:cs="Arial"/>
                <w:sz w:val="14"/>
                <w:szCs w:val="14"/>
              </w:rPr>
              <w:t>Program 16</w:t>
            </w:r>
          </w:p>
        </w:tc>
        <w:tc>
          <w:tcPr>
            <w:tcW w:w="1281" w:type="dxa"/>
            <w:tcBorders>
              <w:left w:val="nil"/>
              <w:bottom w:val="nil"/>
              <w:right w:val="single" w:sz="4" w:space="0" w:color="auto"/>
            </w:tcBorders>
          </w:tcPr>
          <w:p w:rsidR="00811B82" w:rsidRPr="000B4241" w:rsidRDefault="00811B82" w:rsidP="00811B82">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811B82" w:rsidRPr="0089773D" w:rsidTr="006E397A">
        <w:tc>
          <w:tcPr>
            <w:tcW w:w="3206" w:type="dxa"/>
            <w:vMerge w:val="restart"/>
            <w:tcBorders>
              <w:top w:val="nil"/>
              <w:left w:val="single" w:sz="4" w:space="0" w:color="auto"/>
              <w:right w:val="nil"/>
            </w:tcBorders>
            <w:shd w:val="clear" w:color="auto" w:fill="auto"/>
            <w:tcMar>
              <w:top w:w="113" w:type="dxa"/>
            </w:tcMar>
          </w:tcPr>
          <w:p w:rsidR="00811B82" w:rsidRPr="000B4241" w:rsidRDefault="00811B82" w:rsidP="00073773">
            <w:pPr>
              <w:spacing w:before="80"/>
              <w:rPr>
                <w:rFonts w:cs="Arial"/>
                <w:sz w:val="14"/>
                <w:szCs w:val="14"/>
              </w:rPr>
            </w:pPr>
            <w:r w:rsidRPr="000B4241">
              <w:rPr>
                <w:rFonts w:cs="Arial"/>
                <w:sz w:val="14"/>
                <w:szCs w:val="14"/>
              </w:rPr>
              <w:t>Take-up of WIPO economic analysis as an input into the formulation of IP policy</w:t>
            </w:r>
          </w:p>
        </w:tc>
        <w:tc>
          <w:tcPr>
            <w:tcW w:w="3223" w:type="dxa"/>
            <w:tcBorders>
              <w:top w:val="nil"/>
              <w:left w:val="nil"/>
              <w:bottom w:val="nil"/>
              <w:right w:val="nil"/>
            </w:tcBorders>
            <w:shd w:val="clear" w:color="auto" w:fill="auto"/>
            <w:tcMar>
              <w:top w:w="113" w:type="dxa"/>
            </w:tcMar>
          </w:tcPr>
          <w:p w:rsidR="00811B82" w:rsidRPr="000B4241" w:rsidRDefault="00114E27" w:rsidP="00073773">
            <w:pPr>
              <w:spacing w:before="80"/>
              <w:rPr>
                <w:rFonts w:cs="Arial"/>
                <w:sz w:val="14"/>
                <w:szCs w:val="14"/>
              </w:rPr>
            </w:pPr>
            <w:r w:rsidRPr="000B4241">
              <w:rPr>
                <w:rFonts w:cs="Arial"/>
                <w:sz w:val="14"/>
                <w:szCs w:val="14"/>
              </w:rPr>
              <w:t>No. of citations in economic publications and government policy reports</w:t>
            </w:r>
          </w:p>
        </w:tc>
        <w:tc>
          <w:tcPr>
            <w:tcW w:w="1479" w:type="dxa"/>
            <w:tcBorders>
              <w:top w:val="nil"/>
              <w:left w:val="nil"/>
              <w:bottom w:val="nil"/>
            </w:tcBorders>
            <w:shd w:val="clear" w:color="auto" w:fill="auto"/>
            <w:tcMar>
              <w:top w:w="113" w:type="dxa"/>
            </w:tcMar>
          </w:tcPr>
          <w:p w:rsidR="00811B82" w:rsidRPr="000B4241" w:rsidRDefault="00811B82" w:rsidP="00073773">
            <w:pPr>
              <w:spacing w:before="80"/>
              <w:jc w:val="center"/>
              <w:rPr>
                <w:rFonts w:cs="Arial"/>
                <w:sz w:val="14"/>
                <w:szCs w:val="14"/>
              </w:rPr>
            </w:pPr>
            <w:r w:rsidRPr="000B4241">
              <w:rPr>
                <w:rFonts w:cs="Arial"/>
                <w:sz w:val="14"/>
                <w:szCs w:val="14"/>
              </w:rPr>
              <w:t>Program 16</w:t>
            </w:r>
          </w:p>
        </w:tc>
        <w:tc>
          <w:tcPr>
            <w:tcW w:w="1281" w:type="dxa"/>
            <w:tcBorders>
              <w:top w:val="nil"/>
              <w:left w:val="nil"/>
              <w:bottom w:val="nil"/>
              <w:right w:val="single" w:sz="4" w:space="0" w:color="auto"/>
            </w:tcBorders>
          </w:tcPr>
          <w:p w:rsidR="00811B82" w:rsidRPr="000B4241" w:rsidRDefault="00811B82" w:rsidP="00811B82">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811B82" w:rsidRPr="0089773D" w:rsidTr="006E397A">
        <w:tc>
          <w:tcPr>
            <w:tcW w:w="3206" w:type="dxa"/>
            <w:vMerge/>
            <w:tcBorders>
              <w:left w:val="single" w:sz="4" w:space="0" w:color="auto"/>
              <w:bottom w:val="nil"/>
              <w:right w:val="nil"/>
            </w:tcBorders>
            <w:shd w:val="clear" w:color="auto" w:fill="auto"/>
            <w:tcMar>
              <w:top w:w="113" w:type="dxa"/>
            </w:tcMar>
          </w:tcPr>
          <w:p w:rsidR="00811B82" w:rsidRPr="000B4241" w:rsidRDefault="00811B82" w:rsidP="00073773">
            <w:pPr>
              <w:spacing w:before="80"/>
              <w:rPr>
                <w:rFonts w:cs="Arial"/>
                <w:sz w:val="14"/>
                <w:szCs w:val="14"/>
              </w:rPr>
            </w:pPr>
          </w:p>
        </w:tc>
        <w:tc>
          <w:tcPr>
            <w:tcW w:w="3223" w:type="dxa"/>
            <w:tcBorders>
              <w:top w:val="nil"/>
              <w:left w:val="nil"/>
              <w:bottom w:val="nil"/>
              <w:right w:val="nil"/>
            </w:tcBorders>
            <w:shd w:val="clear" w:color="auto" w:fill="auto"/>
            <w:tcMar>
              <w:top w:w="113" w:type="dxa"/>
            </w:tcMar>
          </w:tcPr>
          <w:p w:rsidR="00811B82" w:rsidRPr="000B4241" w:rsidRDefault="00811B82" w:rsidP="00073773">
            <w:pPr>
              <w:spacing w:before="80"/>
              <w:rPr>
                <w:rFonts w:cs="Arial"/>
                <w:sz w:val="14"/>
                <w:szCs w:val="14"/>
              </w:rPr>
            </w:pPr>
            <w:r w:rsidRPr="000B4241">
              <w:rPr>
                <w:rFonts w:cs="Arial"/>
                <w:sz w:val="14"/>
                <w:szCs w:val="14"/>
              </w:rPr>
              <w:t>No. of developing countries which find WIPO economic studies useful and degree of usefulness</w:t>
            </w:r>
          </w:p>
        </w:tc>
        <w:tc>
          <w:tcPr>
            <w:tcW w:w="1479" w:type="dxa"/>
            <w:tcBorders>
              <w:top w:val="nil"/>
              <w:left w:val="nil"/>
              <w:bottom w:val="nil"/>
            </w:tcBorders>
            <w:shd w:val="clear" w:color="auto" w:fill="auto"/>
            <w:tcMar>
              <w:top w:w="113" w:type="dxa"/>
            </w:tcMar>
          </w:tcPr>
          <w:p w:rsidR="00811B82" w:rsidRPr="000B4241" w:rsidRDefault="00811B82" w:rsidP="00073773">
            <w:pPr>
              <w:spacing w:before="80"/>
              <w:jc w:val="center"/>
              <w:rPr>
                <w:rFonts w:cs="Arial"/>
                <w:sz w:val="14"/>
                <w:szCs w:val="14"/>
              </w:rPr>
            </w:pPr>
            <w:r w:rsidRPr="000B4241">
              <w:rPr>
                <w:rFonts w:cs="Arial"/>
                <w:sz w:val="14"/>
                <w:szCs w:val="14"/>
              </w:rPr>
              <w:t>Program 16</w:t>
            </w:r>
          </w:p>
        </w:tc>
        <w:tc>
          <w:tcPr>
            <w:tcW w:w="1281" w:type="dxa"/>
            <w:tcBorders>
              <w:top w:val="nil"/>
              <w:left w:val="nil"/>
              <w:bottom w:val="nil"/>
              <w:right w:val="single" w:sz="4" w:space="0" w:color="auto"/>
            </w:tcBorders>
          </w:tcPr>
          <w:p w:rsidR="00811B82" w:rsidRPr="000B4241" w:rsidRDefault="00811B82" w:rsidP="00811B82">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121D79" w:rsidRPr="0089773D" w:rsidTr="00073773">
        <w:tc>
          <w:tcPr>
            <w:tcW w:w="3206" w:type="dxa"/>
            <w:tcBorders>
              <w:top w:val="nil"/>
              <w:left w:val="single" w:sz="4" w:space="0" w:color="auto"/>
              <w:bottom w:val="single" w:sz="4" w:space="0" w:color="auto"/>
              <w:right w:val="nil"/>
            </w:tcBorders>
            <w:shd w:val="clear" w:color="auto" w:fill="auto"/>
            <w:tcMar>
              <w:top w:w="113" w:type="dxa"/>
            </w:tcMar>
          </w:tcPr>
          <w:p w:rsidR="00121D79" w:rsidRPr="000B4241" w:rsidRDefault="00121D79" w:rsidP="00073773">
            <w:pPr>
              <w:spacing w:before="80"/>
              <w:rPr>
                <w:rFonts w:cs="Arial"/>
                <w:sz w:val="14"/>
                <w:szCs w:val="14"/>
              </w:rPr>
            </w:pPr>
            <w:r w:rsidRPr="000B4241">
              <w:rPr>
                <w:rFonts w:cs="Arial"/>
                <w:sz w:val="14"/>
                <w:szCs w:val="14"/>
              </w:rPr>
              <w:t>Enhanced access to, and use of, IP related legal information</w:t>
            </w:r>
          </w:p>
        </w:tc>
        <w:tc>
          <w:tcPr>
            <w:tcW w:w="3223" w:type="dxa"/>
            <w:tcBorders>
              <w:top w:val="nil"/>
              <w:left w:val="nil"/>
              <w:bottom w:val="single" w:sz="4" w:space="0" w:color="auto"/>
              <w:right w:val="nil"/>
            </w:tcBorders>
            <w:shd w:val="clear" w:color="auto" w:fill="auto"/>
            <w:tcMar>
              <w:top w:w="113" w:type="dxa"/>
            </w:tcMar>
          </w:tcPr>
          <w:p w:rsidR="00121D79" w:rsidRPr="000B4241" w:rsidRDefault="00121D79" w:rsidP="00073773">
            <w:pPr>
              <w:spacing w:before="80"/>
              <w:rPr>
                <w:rFonts w:cs="Arial"/>
                <w:sz w:val="14"/>
                <w:szCs w:val="14"/>
              </w:rPr>
            </w:pPr>
            <w:r w:rsidRPr="000B4241">
              <w:rPr>
                <w:rFonts w:cs="Arial"/>
                <w:sz w:val="14"/>
                <w:szCs w:val="14"/>
              </w:rPr>
              <w:t>Enhanced coverage in WIPO Lex database of IP related legal information</w:t>
            </w:r>
          </w:p>
          <w:p w:rsidR="00073773" w:rsidRPr="000B4241" w:rsidRDefault="00073773" w:rsidP="00073773">
            <w:pPr>
              <w:spacing w:before="80"/>
              <w:rPr>
                <w:rFonts w:cs="Arial"/>
                <w:sz w:val="14"/>
                <w:szCs w:val="14"/>
              </w:rPr>
            </w:pPr>
          </w:p>
        </w:tc>
        <w:tc>
          <w:tcPr>
            <w:tcW w:w="1479" w:type="dxa"/>
            <w:tcBorders>
              <w:top w:val="nil"/>
              <w:left w:val="nil"/>
              <w:bottom w:val="single" w:sz="4" w:space="0" w:color="auto"/>
            </w:tcBorders>
            <w:shd w:val="clear" w:color="auto" w:fill="auto"/>
            <w:tcMar>
              <w:top w:w="113" w:type="dxa"/>
            </w:tcMar>
          </w:tcPr>
          <w:p w:rsidR="00121D79" w:rsidRPr="000B4241" w:rsidRDefault="00121D79" w:rsidP="00073773">
            <w:pPr>
              <w:spacing w:before="80"/>
              <w:jc w:val="center"/>
              <w:rPr>
                <w:rFonts w:cs="Arial"/>
                <w:sz w:val="14"/>
                <w:szCs w:val="14"/>
              </w:rPr>
            </w:pPr>
            <w:r w:rsidRPr="000B4241">
              <w:rPr>
                <w:rFonts w:cs="Arial"/>
                <w:sz w:val="14"/>
                <w:szCs w:val="14"/>
              </w:rPr>
              <w:t>Program 21</w:t>
            </w:r>
          </w:p>
        </w:tc>
        <w:tc>
          <w:tcPr>
            <w:tcW w:w="1281" w:type="dxa"/>
            <w:tcBorders>
              <w:top w:val="nil"/>
              <w:left w:val="nil"/>
              <w:bottom w:val="single" w:sz="4" w:space="0" w:color="auto"/>
              <w:right w:val="single" w:sz="4" w:space="0" w:color="auto"/>
            </w:tcBorders>
          </w:tcPr>
          <w:p w:rsidR="00121D79" w:rsidRPr="000B4241" w:rsidRDefault="00073773" w:rsidP="00305272">
            <w:pPr>
              <w:jc w:val="center"/>
              <w:rPr>
                <w:rFonts w:cs="Arial"/>
                <w:sz w:val="22"/>
                <w:szCs w:val="22"/>
              </w:rPr>
            </w:pPr>
            <w:r w:rsidRPr="000B4241">
              <w:rPr>
                <w:rFonts w:cs="Arial"/>
                <w:color w:val="008000"/>
                <w:sz w:val="22"/>
                <w:szCs w:val="22"/>
              </w:rPr>
              <w:sym w:font="Wingdings" w:char="F06C"/>
            </w:r>
          </w:p>
        </w:tc>
      </w:tr>
    </w:tbl>
    <w:p w:rsidR="00121D79" w:rsidRPr="0089773D" w:rsidRDefault="00121D79" w:rsidP="00121D79">
      <w:pPr>
        <w:tabs>
          <w:tab w:val="left" w:pos="0"/>
        </w:tabs>
        <w:rPr>
          <w:rFonts w:cs="Arial"/>
          <w:i/>
        </w:rPr>
      </w:pPr>
    </w:p>
    <w:p w:rsidR="00121D79" w:rsidRDefault="00121D79">
      <w:pPr>
        <w:rPr>
          <w:rFonts w:ascii="Arial Bold" w:eastAsiaTheme="majorEastAsia" w:hAnsi="Arial Bold" w:cstheme="majorBidi"/>
          <w:b/>
          <w:bCs/>
          <w:sz w:val="22"/>
        </w:rPr>
      </w:pPr>
      <w:r>
        <w:br w:type="page"/>
      </w:r>
    </w:p>
    <w:p w:rsidR="00E07DEB" w:rsidRPr="006F08EA" w:rsidRDefault="006F08EA" w:rsidP="006F08EA">
      <w:pPr>
        <w:pStyle w:val="Heading3"/>
      </w:pPr>
      <w:bookmarkStart w:id="45" w:name="_Toc393956063"/>
      <w:r w:rsidRPr="006F08EA">
        <w:lastRenderedPageBreak/>
        <w:t>Program 16</w:t>
      </w:r>
      <w:r w:rsidRPr="006F08EA">
        <w:tab/>
      </w:r>
      <w:r w:rsidRPr="006F08EA">
        <w:rPr>
          <w:rStyle w:val="StyleStyleHeading3ComplexItalicLatin12ptChar"/>
          <w:rFonts w:ascii="Arial Bold" w:hAnsi="Arial Bold"/>
          <w:b/>
          <w:iCs w:val="0"/>
          <w:caps/>
          <w:szCs w:val="24"/>
        </w:rPr>
        <w:t>Economics and Statistics</w:t>
      </w:r>
      <w:bookmarkEnd w:id="45"/>
    </w:p>
    <w:p w:rsidR="00E07DEB" w:rsidRPr="0047788F" w:rsidRDefault="00E07DEB" w:rsidP="00E07DEB">
      <w:pPr>
        <w:ind w:left="2268" w:hanging="2268"/>
        <w:rPr>
          <w:rFonts w:cs="Arial"/>
          <w:b/>
          <w:sz w:val="22"/>
          <w:szCs w:val="22"/>
        </w:rPr>
      </w:pPr>
    </w:p>
    <w:p w:rsidR="00E07DEB" w:rsidRPr="0047788F" w:rsidRDefault="00E07DEB" w:rsidP="00E07DEB">
      <w:pPr>
        <w:ind w:left="2268" w:hanging="2268"/>
        <w:rPr>
          <w:rFonts w:cs="Arial"/>
          <w:b/>
          <w:sz w:val="22"/>
          <w:szCs w:val="22"/>
        </w:rPr>
      </w:pPr>
      <w:r w:rsidRPr="0047788F">
        <w:rPr>
          <w:rFonts w:cs="Arial"/>
          <w:b/>
          <w:sz w:val="22"/>
          <w:szCs w:val="22"/>
        </w:rPr>
        <w:t>Program Manager</w:t>
      </w:r>
      <w:r w:rsidRPr="0047788F">
        <w:rPr>
          <w:rFonts w:cs="Arial"/>
          <w:b/>
          <w:sz w:val="22"/>
          <w:szCs w:val="22"/>
        </w:rPr>
        <w:tab/>
      </w:r>
      <w:r w:rsidRPr="0047788F">
        <w:rPr>
          <w:rFonts w:cs="Arial"/>
          <w:b/>
          <w:sz w:val="22"/>
          <w:szCs w:val="22"/>
        </w:rPr>
        <w:tab/>
        <w:t>Director General</w:t>
      </w:r>
    </w:p>
    <w:p w:rsidR="00E07DEB" w:rsidRPr="0047788F" w:rsidRDefault="00E07DEB" w:rsidP="00E07DEB">
      <w:pPr>
        <w:ind w:left="2268" w:hanging="2268"/>
        <w:rPr>
          <w:rFonts w:cs="Arial"/>
          <w:sz w:val="22"/>
          <w:szCs w:val="22"/>
        </w:rPr>
      </w:pPr>
    </w:p>
    <w:p w:rsidR="00E07DEB" w:rsidRPr="0047788F" w:rsidRDefault="00E07DEB" w:rsidP="00E07DEB">
      <w:pPr>
        <w:ind w:left="2268" w:hanging="2268"/>
        <w:rPr>
          <w:rFonts w:cs="Arial"/>
          <w:bCs/>
          <w:sz w:val="22"/>
          <w:szCs w:val="22"/>
        </w:rPr>
      </w:pPr>
    </w:p>
    <w:p w:rsidR="00E07DEB" w:rsidRPr="0047788F" w:rsidRDefault="00E07DEB" w:rsidP="00E07DEB">
      <w:pPr>
        <w:ind w:left="2268" w:hanging="2268"/>
        <w:rPr>
          <w:rFonts w:cs="Arial"/>
          <w:sz w:val="22"/>
          <w:szCs w:val="22"/>
        </w:rPr>
      </w:pPr>
      <w:r w:rsidRPr="0047788F">
        <w:rPr>
          <w:rFonts w:cs="Arial"/>
          <w:bCs/>
          <w:sz w:val="22"/>
          <w:szCs w:val="22"/>
        </w:rPr>
        <w:t>ACHIEVEMENTS IN THE 2012/13 BIENNIUM</w:t>
      </w:r>
    </w:p>
    <w:p w:rsidR="00E07DEB" w:rsidRPr="0047788F" w:rsidRDefault="00E07DEB" w:rsidP="00E07DEB">
      <w:pPr>
        <w:ind w:left="2268" w:hanging="2268"/>
        <w:rPr>
          <w:rFonts w:cs="Arial"/>
          <w:sz w:val="22"/>
          <w:szCs w:val="22"/>
        </w:rPr>
      </w:pPr>
    </w:p>
    <w:p w:rsidR="00E07DEB" w:rsidRPr="00A6377D" w:rsidRDefault="00E07DEB" w:rsidP="00E07DEB">
      <w:pPr>
        <w:tabs>
          <w:tab w:val="left" w:pos="709"/>
        </w:tabs>
        <w:jc w:val="both"/>
        <w:rPr>
          <w:rFonts w:cs="Arial"/>
          <w:bCs/>
          <w:color w:val="000000"/>
          <w:szCs w:val="20"/>
        </w:rPr>
      </w:pPr>
      <w:r>
        <w:rPr>
          <w:rFonts w:cs="Arial"/>
          <w:bCs/>
          <w:color w:val="000000"/>
          <w:szCs w:val="20"/>
        </w:rPr>
        <w:t>16.1.</w:t>
      </w:r>
      <w:r>
        <w:rPr>
          <w:rFonts w:cs="Arial"/>
          <w:bCs/>
          <w:color w:val="000000"/>
          <w:szCs w:val="20"/>
        </w:rPr>
        <w:tab/>
      </w:r>
      <w:r w:rsidRPr="00A6377D">
        <w:rPr>
          <w:rFonts w:cs="Arial"/>
          <w:bCs/>
          <w:color w:val="000000"/>
          <w:szCs w:val="20"/>
        </w:rPr>
        <w:t>The statistical work fully achieved its objective in promoting the availability of accurate, comprehensive, and timely statistical information on the performance of the IP system worldwide.  As in previous years, the Program conducted comprehensive annual surveys of national and regional IP Offices.  Data coverage continued to include the largest IP-using jurisdictions, and improved slightly compared to the previous biennium.  One major achievement of the biennium was the establishment of a new IP Statistics Data Center that allows for more tailor-made access to WIPO’s IP statistics.  In addition, the Program developed new statistical r</w:t>
      </w:r>
      <w:r w:rsidR="00601859">
        <w:rPr>
          <w:rFonts w:cs="Arial"/>
          <w:bCs/>
          <w:color w:val="000000"/>
          <w:szCs w:val="20"/>
        </w:rPr>
        <w:t>eports on the Madrid and Hague S</w:t>
      </w:r>
      <w:r w:rsidRPr="00A6377D">
        <w:rPr>
          <w:rFonts w:cs="Arial"/>
          <w:bCs/>
          <w:color w:val="000000"/>
          <w:szCs w:val="20"/>
        </w:rPr>
        <w:t>ystems, complementing the Program’s long-standing statistical reporting tools – in particular, the Statistical Country Profiles, the World Intellectual Property Indicators, the IP Facts &amp; Figures and the PCT reports.  Overall, the Program’s expanded offerings served the data and statistical analysis needs of a wide range of users – from specialists in IP Offices and academia to more general users outside of the IP community.  While difficult to consistently track over time, WIPO’s IP statistics and statistical reports continue to be widely used and cited in academic studies, policy reports, media articles and other publications worldwide.</w:t>
      </w:r>
    </w:p>
    <w:p w:rsidR="00E07DEB" w:rsidRPr="00A6377D" w:rsidRDefault="00E07DEB" w:rsidP="00E07DEB">
      <w:pPr>
        <w:tabs>
          <w:tab w:val="left" w:pos="709"/>
        </w:tabs>
        <w:ind w:firstLine="720"/>
        <w:jc w:val="both"/>
        <w:rPr>
          <w:rFonts w:cs="Arial"/>
          <w:bCs/>
          <w:color w:val="000000"/>
          <w:szCs w:val="20"/>
        </w:rPr>
      </w:pPr>
    </w:p>
    <w:p w:rsidR="00E07DEB" w:rsidRPr="00A6377D" w:rsidRDefault="00E07DEB" w:rsidP="00E07DEB">
      <w:pPr>
        <w:tabs>
          <w:tab w:val="left" w:pos="709"/>
        </w:tabs>
        <w:jc w:val="both"/>
        <w:rPr>
          <w:rFonts w:cs="Arial"/>
          <w:bCs/>
          <w:color w:val="000000"/>
          <w:szCs w:val="20"/>
        </w:rPr>
      </w:pPr>
      <w:r>
        <w:rPr>
          <w:rFonts w:cs="Arial"/>
          <w:bCs/>
          <w:color w:val="000000"/>
          <w:szCs w:val="20"/>
        </w:rPr>
        <w:t>16.2.</w:t>
      </w:r>
      <w:r>
        <w:rPr>
          <w:rFonts w:cs="Arial"/>
          <w:bCs/>
          <w:color w:val="000000"/>
          <w:szCs w:val="20"/>
        </w:rPr>
        <w:tab/>
      </w:r>
      <w:r w:rsidRPr="00A6377D">
        <w:rPr>
          <w:rFonts w:cs="Arial"/>
          <w:bCs/>
          <w:color w:val="000000"/>
          <w:szCs w:val="20"/>
        </w:rPr>
        <w:t>The Program’s economic analysis work has matured and expanded into new directions.  One major achievement was the publication of the second World IP Report on the role of brands in the global economy, which generated a large number of news reports and interest from policymakers and academia.  In addition, WIPO assumed the role of co-publisher of the Global Innovation Index (GII), along with INSEAD and Cornell University.  The yearly launches of the GII, in 2013 in the presence of the UN Secretary General, attracted significant media attention.  In addition, national governments and international organizations, including in the UN system, are increasingly using the GII as a reference source for analyzing national innovation performance, as evidenced by citations, data inquiries, and requests for advisory services.</w:t>
      </w:r>
    </w:p>
    <w:p w:rsidR="00E07DEB" w:rsidRPr="00A6377D" w:rsidRDefault="00E07DEB" w:rsidP="00E07DEB">
      <w:pPr>
        <w:tabs>
          <w:tab w:val="left" w:pos="709"/>
        </w:tabs>
        <w:ind w:firstLine="720"/>
        <w:jc w:val="both"/>
        <w:rPr>
          <w:rFonts w:cs="Arial"/>
          <w:bCs/>
          <w:color w:val="000000"/>
          <w:szCs w:val="20"/>
        </w:rPr>
      </w:pPr>
    </w:p>
    <w:p w:rsidR="00E07DEB" w:rsidRPr="00A6377D" w:rsidRDefault="00E07DEB" w:rsidP="00E07DEB">
      <w:pPr>
        <w:tabs>
          <w:tab w:val="left" w:pos="709"/>
        </w:tabs>
        <w:jc w:val="both"/>
        <w:rPr>
          <w:rFonts w:cs="Arial"/>
          <w:bCs/>
          <w:color w:val="000000"/>
          <w:szCs w:val="20"/>
        </w:rPr>
      </w:pPr>
      <w:r>
        <w:rPr>
          <w:rFonts w:cs="Arial"/>
          <w:bCs/>
          <w:color w:val="000000"/>
          <w:szCs w:val="20"/>
        </w:rPr>
        <w:t>16.3.</w:t>
      </w:r>
      <w:r>
        <w:rPr>
          <w:rFonts w:cs="Arial"/>
          <w:bCs/>
          <w:color w:val="000000"/>
          <w:szCs w:val="20"/>
        </w:rPr>
        <w:tab/>
      </w:r>
      <w:r w:rsidRPr="00A6377D">
        <w:rPr>
          <w:rFonts w:cs="Arial"/>
          <w:bCs/>
          <w:color w:val="000000"/>
          <w:szCs w:val="20"/>
        </w:rPr>
        <w:t>The Program also contributed to mainstreaming economic analysis in IP policy discussions at WIPO and elsewhere.  In particular, it supported Member States’ discussions on the proposed design law treaty by contributing a study, jointly with Program 2, on the likely effects of such a treaty on users and IP Offices.  Similarly, the evidence generated as part of three CDIP projects, on IP and socioeconomic development, IP and the informal economy, and IP and brain drain, informed Member States’ discussions on the development dimension of IP.  Those projects, along with the Program’s long-standing seminar series and its engagement within the network of IP Office economists, helped strengthen WIPO’s role in fostering and facilitating empirical and scientifically rigorous economic research on IP.</w:t>
      </w:r>
    </w:p>
    <w:p w:rsidR="00E07DEB" w:rsidRDefault="00E07DEB" w:rsidP="00E07DEB">
      <w:pPr>
        <w:rPr>
          <w:rFonts w:cs="Arial"/>
          <w:bCs/>
          <w:color w:val="000000"/>
          <w:sz w:val="22"/>
          <w:szCs w:val="22"/>
        </w:rPr>
      </w:pPr>
    </w:p>
    <w:p w:rsidR="00E07DEB" w:rsidRPr="002C4083" w:rsidRDefault="00E07DEB" w:rsidP="00E07DEB">
      <w:pPr>
        <w:ind w:left="2268" w:hanging="2268"/>
        <w:rPr>
          <w:rFonts w:cs="Arial"/>
          <w:bCs/>
          <w:sz w:val="22"/>
          <w:szCs w:val="22"/>
        </w:rPr>
      </w:pPr>
      <w:r w:rsidRPr="002C4083">
        <w:rPr>
          <w:rFonts w:cs="Arial"/>
          <w:bCs/>
          <w:sz w:val="22"/>
          <w:szCs w:val="22"/>
        </w:rPr>
        <w:t xml:space="preserve">IMPLEMENTATION OF THE DEVELOPMENT AGENDA </w:t>
      </w:r>
    </w:p>
    <w:p w:rsidR="00E07DEB" w:rsidRPr="0047788F" w:rsidRDefault="00E07DEB" w:rsidP="00E07DEB">
      <w:pPr>
        <w:ind w:left="2268" w:hanging="2268"/>
        <w:rPr>
          <w:rFonts w:cs="Arial"/>
          <w:sz w:val="22"/>
          <w:szCs w:val="22"/>
        </w:rPr>
      </w:pPr>
    </w:p>
    <w:p w:rsidR="00E07DEB" w:rsidRPr="00A6377D" w:rsidRDefault="00E07DEB" w:rsidP="00E07DEB">
      <w:pPr>
        <w:tabs>
          <w:tab w:val="left" w:pos="709"/>
        </w:tabs>
        <w:jc w:val="both"/>
        <w:rPr>
          <w:rFonts w:eastAsiaTheme="minorHAnsi" w:cs="Arial"/>
          <w:bCs/>
          <w:szCs w:val="20"/>
        </w:rPr>
      </w:pPr>
      <w:r>
        <w:rPr>
          <w:rFonts w:eastAsiaTheme="minorHAnsi" w:cs="Arial"/>
          <w:bCs/>
          <w:szCs w:val="20"/>
        </w:rPr>
        <w:t>16.4.</w:t>
      </w:r>
      <w:r>
        <w:rPr>
          <w:rFonts w:eastAsiaTheme="minorHAnsi" w:cs="Arial"/>
          <w:bCs/>
          <w:szCs w:val="20"/>
        </w:rPr>
        <w:tab/>
      </w:r>
      <w:r w:rsidRPr="00A6377D">
        <w:rPr>
          <w:rFonts w:eastAsiaTheme="minorHAnsi" w:cs="Arial"/>
          <w:bCs/>
          <w:szCs w:val="20"/>
        </w:rPr>
        <w:t xml:space="preserve">The design, planning and implementation of activities undertaken by Program 16 were informed by the relevant DA Recommendations, in particular Recommendations 1, 35 and 37.  In addition, the Program was engaged in the implementation of three DA projects: </w:t>
      </w:r>
      <w:r w:rsidR="008D63A6">
        <w:rPr>
          <w:rFonts w:eastAsiaTheme="minorHAnsi" w:cs="Arial"/>
          <w:bCs/>
          <w:szCs w:val="20"/>
        </w:rPr>
        <w:t xml:space="preserve"> </w:t>
      </w:r>
      <w:r w:rsidRPr="00A6377D">
        <w:rPr>
          <w:rFonts w:eastAsiaTheme="minorHAnsi" w:cs="Arial"/>
          <w:bCs/>
          <w:szCs w:val="20"/>
        </w:rPr>
        <w:t xml:space="preserve">Project on IP and Economic and Social Development, Project on IP and Brain Drain, and Project on IP and the Informal Economy. </w:t>
      </w:r>
      <w:r w:rsidR="008D63A6">
        <w:rPr>
          <w:rFonts w:eastAsiaTheme="minorHAnsi" w:cs="Arial"/>
          <w:bCs/>
          <w:szCs w:val="20"/>
        </w:rPr>
        <w:t xml:space="preserve"> </w:t>
      </w:r>
      <w:r w:rsidRPr="00A6377D">
        <w:rPr>
          <w:rFonts w:eastAsiaTheme="minorHAnsi" w:cs="Arial"/>
          <w:bCs/>
          <w:szCs w:val="20"/>
        </w:rPr>
        <w:t>These projects were completed in 2013, under which the following activities were carried out:</w:t>
      </w:r>
    </w:p>
    <w:p w:rsidR="00E07DEB" w:rsidRPr="00A6377D" w:rsidRDefault="00E07DEB" w:rsidP="00E07DEB">
      <w:pPr>
        <w:tabs>
          <w:tab w:val="left" w:pos="709"/>
        </w:tabs>
        <w:jc w:val="both"/>
        <w:rPr>
          <w:rFonts w:eastAsiaTheme="minorHAnsi" w:cs="Arial"/>
          <w:bCs/>
          <w:szCs w:val="20"/>
        </w:rPr>
      </w:pPr>
    </w:p>
    <w:p w:rsidR="00E07DEB" w:rsidRPr="0027745B" w:rsidRDefault="00E07DEB" w:rsidP="005703CF">
      <w:pPr>
        <w:pStyle w:val="ListParagraph"/>
        <w:numPr>
          <w:ilvl w:val="0"/>
          <w:numId w:val="48"/>
        </w:numPr>
        <w:tabs>
          <w:tab w:val="left" w:pos="709"/>
        </w:tabs>
        <w:jc w:val="both"/>
        <w:rPr>
          <w:rFonts w:eastAsiaTheme="minorHAnsi" w:cs="Arial"/>
          <w:bCs/>
        </w:rPr>
      </w:pPr>
      <w:r w:rsidRPr="0027745B">
        <w:rPr>
          <w:rFonts w:eastAsiaTheme="minorHAnsi" w:cs="Arial"/>
          <w:bCs/>
        </w:rPr>
        <w:t xml:space="preserve">Under the Project on IP and Economic and Social Development, country studies in Brazil, Chile, Thailand and Uruguay were presented at the eleventh and twelfth sessions of the CDIP. </w:t>
      </w:r>
      <w:r w:rsidR="008D63A6">
        <w:rPr>
          <w:rFonts w:eastAsiaTheme="minorHAnsi" w:cs="Arial"/>
          <w:bCs/>
        </w:rPr>
        <w:t xml:space="preserve"> </w:t>
      </w:r>
      <w:r w:rsidRPr="0027745B">
        <w:rPr>
          <w:rFonts w:eastAsiaTheme="minorHAnsi" w:cs="Arial"/>
          <w:bCs/>
        </w:rPr>
        <w:t>Having created new data resources, the research teams employed the data to investigate patterns of IP use at the micro level.  An Expert Meeting on IP and Socio-Economic Development was also held in December 2013.  Key contributors to the six country studies and selected international experts discussed the main lessons learned from the different studies, their broader applicability, and their implications for policymaking at the national and international levels.</w:t>
      </w:r>
    </w:p>
    <w:p w:rsidR="00E07DEB" w:rsidRPr="00A6377D" w:rsidRDefault="00E07DEB" w:rsidP="00E07DEB">
      <w:pPr>
        <w:tabs>
          <w:tab w:val="left" w:pos="709"/>
        </w:tabs>
        <w:ind w:left="993" w:hanging="284"/>
        <w:jc w:val="both"/>
        <w:rPr>
          <w:rFonts w:eastAsiaTheme="minorHAnsi" w:cs="Arial"/>
          <w:bCs/>
          <w:szCs w:val="20"/>
        </w:rPr>
      </w:pPr>
    </w:p>
    <w:p w:rsidR="00E07DEB" w:rsidRDefault="00E07DEB" w:rsidP="005703CF">
      <w:pPr>
        <w:pStyle w:val="ListParagraph"/>
        <w:numPr>
          <w:ilvl w:val="0"/>
          <w:numId w:val="48"/>
        </w:numPr>
        <w:tabs>
          <w:tab w:val="left" w:pos="709"/>
        </w:tabs>
        <w:jc w:val="both"/>
        <w:rPr>
          <w:rFonts w:eastAsiaTheme="minorHAnsi" w:cs="Arial"/>
          <w:bCs/>
        </w:rPr>
      </w:pPr>
      <w:r w:rsidRPr="0027745B">
        <w:rPr>
          <w:rFonts w:eastAsiaTheme="minorHAnsi" w:cs="Arial"/>
          <w:bCs/>
        </w:rPr>
        <w:t xml:space="preserve">Under the Project on IP and Brain Drain, a mapping study of inventor migration flows was prepared and presented to the twelfth session of the CDIP. </w:t>
      </w:r>
      <w:r w:rsidR="008D63A6">
        <w:rPr>
          <w:rFonts w:eastAsiaTheme="minorHAnsi" w:cs="Arial"/>
          <w:bCs/>
        </w:rPr>
        <w:t xml:space="preserve"> </w:t>
      </w:r>
      <w:r w:rsidRPr="0027745B">
        <w:rPr>
          <w:rFonts w:eastAsiaTheme="minorHAnsi" w:cs="Arial"/>
          <w:bCs/>
        </w:rPr>
        <w:t>This study builds on a new database of inventor migration flows.  In addition, an Expert Workshop on Intellectual Property (IP), the International Mobility of Knowledge Workers and the Brai</w:t>
      </w:r>
      <w:r w:rsidR="008D63A6">
        <w:rPr>
          <w:rFonts w:eastAsiaTheme="minorHAnsi" w:cs="Arial"/>
          <w:bCs/>
        </w:rPr>
        <w:t>n Drain was held in April 2013.</w:t>
      </w:r>
      <w:r w:rsidRPr="0027745B">
        <w:rPr>
          <w:rFonts w:eastAsiaTheme="minorHAnsi" w:cs="Arial"/>
          <w:bCs/>
        </w:rPr>
        <w:t xml:space="preserve"> A</w:t>
      </w:r>
      <w:r w:rsidR="008D63A6">
        <w:rPr>
          <w:rFonts w:eastAsiaTheme="minorHAnsi" w:cs="Arial"/>
          <w:bCs/>
        </w:rPr>
        <w:t> </w:t>
      </w:r>
      <w:r w:rsidRPr="0027745B">
        <w:rPr>
          <w:rFonts w:eastAsiaTheme="minorHAnsi" w:cs="Arial"/>
          <w:bCs/>
        </w:rPr>
        <w:t>summary of this workshop was presented to the twelfth session of the Committee.</w:t>
      </w:r>
    </w:p>
    <w:p w:rsidR="00E07DEB" w:rsidRPr="0027745B" w:rsidRDefault="00E07DEB" w:rsidP="00E07DEB">
      <w:pPr>
        <w:pStyle w:val="ListParagraph"/>
        <w:tabs>
          <w:tab w:val="left" w:pos="709"/>
        </w:tabs>
        <w:jc w:val="both"/>
        <w:rPr>
          <w:rFonts w:eastAsiaTheme="minorHAnsi" w:cs="Arial"/>
          <w:bCs/>
        </w:rPr>
      </w:pPr>
    </w:p>
    <w:p w:rsidR="00E07DEB" w:rsidRPr="0027745B" w:rsidRDefault="00E07DEB" w:rsidP="005703CF">
      <w:pPr>
        <w:pStyle w:val="ListParagraph"/>
        <w:numPr>
          <w:ilvl w:val="0"/>
          <w:numId w:val="48"/>
        </w:numPr>
        <w:tabs>
          <w:tab w:val="left" w:pos="709"/>
        </w:tabs>
        <w:jc w:val="both"/>
        <w:rPr>
          <w:rFonts w:eastAsiaTheme="minorHAnsi" w:cs="Arial"/>
        </w:rPr>
      </w:pPr>
      <w:r w:rsidRPr="0027745B">
        <w:rPr>
          <w:rFonts w:eastAsiaTheme="minorHAnsi" w:cs="Arial"/>
          <w:bCs/>
        </w:rPr>
        <w:t>Under the Project on IP and the Informal Economy, the internal draft of the conceptual study on Innovation, IP and the Informal Economy was completed and presented to the eleventh session of the CDIP, and the first International Workshop on Innovation, IP and the Informal Economy, organized by WIPO and the Institute for Economic Research on Innovation, was held in Pretoria, South Africa from November 19 to 21, 2012.</w:t>
      </w:r>
    </w:p>
    <w:p w:rsidR="00E07DEB" w:rsidRDefault="00E07DEB" w:rsidP="00E07DEB">
      <w:pPr>
        <w:ind w:left="2268" w:hanging="2268"/>
        <w:rPr>
          <w:rFonts w:cs="Arial"/>
          <w:sz w:val="22"/>
          <w:szCs w:val="22"/>
        </w:rPr>
      </w:pPr>
    </w:p>
    <w:p w:rsidR="00E07DEB" w:rsidRDefault="00E07DEB" w:rsidP="00E07DEB">
      <w:pPr>
        <w:ind w:left="2268" w:hanging="2268"/>
        <w:rPr>
          <w:rFonts w:cs="Arial"/>
          <w:sz w:val="22"/>
          <w:szCs w:val="22"/>
        </w:rPr>
      </w:pPr>
    </w:p>
    <w:p w:rsidR="00E07DEB" w:rsidRPr="0047788F" w:rsidRDefault="00E07DEB" w:rsidP="00E07DEB">
      <w:pPr>
        <w:ind w:left="2268" w:hanging="2268"/>
        <w:rPr>
          <w:rFonts w:cs="Arial"/>
          <w:sz w:val="22"/>
          <w:szCs w:val="22"/>
        </w:rPr>
      </w:pPr>
      <w:r w:rsidRPr="0047788F">
        <w:rPr>
          <w:rFonts w:cs="Arial"/>
          <w:sz w:val="22"/>
          <w:szCs w:val="22"/>
        </w:rPr>
        <w:t>PERFORMANCE DATA</w:t>
      </w:r>
      <w:r>
        <w:rPr>
          <w:rStyle w:val="FootnoteReference"/>
          <w:bCs/>
          <w:color w:val="808080"/>
          <w:sz w:val="16"/>
          <w:szCs w:val="16"/>
        </w:rPr>
        <w:footnoteReference w:id="31"/>
      </w:r>
    </w:p>
    <w:p w:rsidR="00E07DEB" w:rsidRPr="0047788F" w:rsidRDefault="00E07DEB" w:rsidP="00E07DEB">
      <w:pPr>
        <w:ind w:left="2268" w:hanging="2268"/>
        <w:rPr>
          <w:rFonts w:cs="Arial"/>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54"/>
        <w:gridCol w:w="1710"/>
        <w:gridCol w:w="1636"/>
        <w:gridCol w:w="3181"/>
        <w:gridCol w:w="1276"/>
      </w:tblGrid>
      <w:tr w:rsidR="00E07DEB" w:rsidTr="007C0423">
        <w:trPr>
          <w:cantSplit/>
        </w:trPr>
        <w:tc>
          <w:tcPr>
            <w:tcW w:w="5000" w:type="pct"/>
            <w:gridSpan w:val="5"/>
            <w:tcBorders>
              <w:top w:val="single" w:sz="4" w:space="0" w:color="auto"/>
              <w:bottom w:val="single" w:sz="4" w:space="0" w:color="auto"/>
            </w:tcBorders>
            <w:shd w:val="clear" w:color="auto" w:fill="CCFFFF"/>
            <w:vAlign w:val="center"/>
          </w:tcPr>
          <w:p w:rsidR="00E07DEB" w:rsidRDefault="00E07DEB"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746757">
              <w:rPr>
                <w:rFonts w:cs="Arial"/>
                <w:sz w:val="16"/>
                <w:szCs w:val="16"/>
              </w:rPr>
              <w:t>Increased usage of WIPO statistical information on the performance of the international IP system</w:t>
            </w:r>
          </w:p>
        </w:tc>
      </w:tr>
      <w:tr w:rsidR="00E07DEB" w:rsidRPr="008D63A6" w:rsidTr="0066507C">
        <w:trPr>
          <w:cantSplit/>
        </w:trPr>
        <w:tc>
          <w:tcPr>
            <w:tcW w:w="830" w:type="pct"/>
            <w:tcBorders>
              <w:top w:val="single" w:sz="4" w:space="0" w:color="auto"/>
            </w:tcBorders>
            <w:shd w:val="clear" w:color="auto" w:fill="auto"/>
            <w:vAlign w:val="center"/>
          </w:tcPr>
          <w:p w:rsidR="00E07DEB" w:rsidRPr="008D63A6" w:rsidRDefault="00E07DEB" w:rsidP="0066507C">
            <w:pPr>
              <w:rPr>
                <w:rFonts w:cs="Arial"/>
                <w:sz w:val="16"/>
                <w:szCs w:val="16"/>
              </w:rPr>
            </w:pPr>
            <w:r w:rsidRPr="008D63A6">
              <w:rPr>
                <w:rFonts w:cs="Arial"/>
                <w:b/>
                <w:bCs/>
                <w:sz w:val="16"/>
                <w:szCs w:val="16"/>
              </w:rPr>
              <w:t>Performance Indicators</w:t>
            </w:r>
          </w:p>
        </w:tc>
        <w:tc>
          <w:tcPr>
            <w:tcW w:w="914" w:type="pct"/>
            <w:tcBorders>
              <w:top w:val="single" w:sz="4" w:space="0" w:color="auto"/>
            </w:tcBorders>
            <w:shd w:val="clear" w:color="auto" w:fill="auto"/>
            <w:vAlign w:val="center"/>
          </w:tcPr>
          <w:p w:rsidR="00E07DEB" w:rsidRPr="008D63A6" w:rsidRDefault="00E07DEB" w:rsidP="0066507C">
            <w:pPr>
              <w:rPr>
                <w:rFonts w:cs="Arial"/>
                <w:b/>
                <w:bCs/>
                <w:sz w:val="16"/>
                <w:szCs w:val="16"/>
              </w:rPr>
            </w:pPr>
            <w:r w:rsidRPr="008D63A6">
              <w:rPr>
                <w:rFonts w:cs="Arial"/>
                <w:b/>
                <w:bCs/>
                <w:sz w:val="16"/>
                <w:szCs w:val="16"/>
              </w:rPr>
              <w:t>Baselines</w:t>
            </w:r>
          </w:p>
        </w:tc>
        <w:tc>
          <w:tcPr>
            <w:tcW w:w="874" w:type="pct"/>
            <w:tcBorders>
              <w:top w:val="single" w:sz="4" w:space="0" w:color="auto"/>
            </w:tcBorders>
            <w:shd w:val="clear" w:color="auto" w:fill="auto"/>
            <w:tcMar>
              <w:top w:w="110" w:type="dxa"/>
            </w:tcMar>
            <w:vAlign w:val="center"/>
          </w:tcPr>
          <w:p w:rsidR="00E07DEB" w:rsidRPr="008D63A6" w:rsidRDefault="00E07DEB" w:rsidP="0066507C">
            <w:pPr>
              <w:rPr>
                <w:rFonts w:cs="Arial"/>
                <w:b/>
                <w:sz w:val="16"/>
                <w:szCs w:val="16"/>
              </w:rPr>
            </w:pPr>
            <w:r w:rsidRPr="008D63A6">
              <w:rPr>
                <w:rFonts w:cs="Arial"/>
                <w:b/>
                <w:sz w:val="16"/>
                <w:szCs w:val="16"/>
              </w:rPr>
              <w:t>Targets</w:t>
            </w:r>
          </w:p>
        </w:tc>
        <w:tc>
          <w:tcPr>
            <w:tcW w:w="1700" w:type="pct"/>
            <w:tcBorders>
              <w:top w:val="single" w:sz="4" w:space="0" w:color="auto"/>
            </w:tcBorders>
            <w:shd w:val="clear" w:color="auto" w:fill="FFFFFF"/>
            <w:tcMar>
              <w:top w:w="110" w:type="dxa"/>
            </w:tcMar>
            <w:vAlign w:val="center"/>
          </w:tcPr>
          <w:p w:rsidR="00E07DEB" w:rsidRPr="008D63A6" w:rsidRDefault="00E07DEB" w:rsidP="0066507C">
            <w:pPr>
              <w:rPr>
                <w:rFonts w:cs="Arial"/>
                <w:sz w:val="16"/>
                <w:szCs w:val="16"/>
              </w:rPr>
            </w:pPr>
            <w:r w:rsidRPr="008D63A6">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E07DEB" w:rsidRPr="008D63A6" w:rsidRDefault="00E07DEB" w:rsidP="0066507C">
            <w:pPr>
              <w:keepNext/>
              <w:keepLines/>
              <w:jc w:val="center"/>
              <w:rPr>
                <w:rFonts w:cs="Arial"/>
                <w:b/>
                <w:bCs/>
                <w:sz w:val="16"/>
                <w:szCs w:val="16"/>
              </w:rPr>
            </w:pPr>
            <w:r w:rsidRPr="008D63A6">
              <w:rPr>
                <w:rFonts w:cs="Arial"/>
                <w:b/>
                <w:bCs/>
                <w:sz w:val="16"/>
                <w:szCs w:val="16"/>
              </w:rPr>
              <w:t>TLS</w:t>
            </w:r>
          </w:p>
        </w:tc>
      </w:tr>
      <w:tr w:rsidR="00E07DEB" w:rsidTr="0066507C">
        <w:trPr>
          <w:cantSplit/>
        </w:trPr>
        <w:tc>
          <w:tcPr>
            <w:tcW w:w="830" w:type="pct"/>
            <w:shd w:val="clear" w:color="auto" w:fill="auto"/>
          </w:tcPr>
          <w:p w:rsidR="00E07DEB" w:rsidRPr="00746757" w:rsidRDefault="00E07DEB" w:rsidP="007C0423">
            <w:pPr>
              <w:rPr>
                <w:rFonts w:cs="Arial"/>
                <w:sz w:val="16"/>
                <w:szCs w:val="16"/>
              </w:rPr>
            </w:pPr>
            <w:r w:rsidRPr="00746757">
              <w:rPr>
                <w:rFonts w:cs="Arial"/>
                <w:sz w:val="16"/>
                <w:szCs w:val="16"/>
              </w:rPr>
              <w:t>No. of downloads o</w:t>
            </w:r>
            <w:r w:rsidR="008D63A6">
              <w:rPr>
                <w:rFonts w:cs="Arial"/>
                <w:sz w:val="16"/>
                <w:szCs w:val="16"/>
              </w:rPr>
              <w:t>f two main statistical reports</w:t>
            </w:r>
          </w:p>
        </w:tc>
        <w:tc>
          <w:tcPr>
            <w:tcW w:w="914" w:type="pct"/>
            <w:shd w:val="clear" w:color="auto" w:fill="auto"/>
          </w:tcPr>
          <w:p w:rsidR="00E07DEB" w:rsidRPr="00812DE2" w:rsidRDefault="00E07DEB" w:rsidP="007C0423">
            <w:pPr>
              <w:rPr>
                <w:rFonts w:cs="Arial"/>
                <w:i/>
                <w:sz w:val="16"/>
                <w:szCs w:val="16"/>
              </w:rPr>
            </w:pPr>
            <w:r w:rsidRPr="00746757">
              <w:rPr>
                <w:rFonts w:cs="Arial"/>
                <w:sz w:val="16"/>
                <w:szCs w:val="16"/>
              </w:rPr>
              <w:t>Tbd</w:t>
            </w:r>
          </w:p>
        </w:tc>
        <w:tc>
          <w:tcPr>
            <w:tcW w:w="874" w:type="pct"/>
            <w:shd w:val="clear" w:color="auto" w:fill="auto"/>
            <w:tcMar>
              <w:top w:w="110" w:type="dxa"/>
            </w:tcMar>
          </w:tcPr>
          <w:p w:rsidR="00E07DEB" w:rsidRPr="008D63A6" w:rsidRDefault="00EC1008" w:rsidP="007C0423">
            <w:pPr>
              <w:rPr>
                <w:rFonts w:cs="Arial"/>
                <w:i/>
                <w:sz w:val="16"/>
                <w:szCs w:val="16"/>
              </w:rPr>
            </w:pPr>
            <w:r>
              <w:rPr>
                <w:rFonts w:ascii="ArialMT" w:hAnsi="ArialMT" w:cs="ArialMT"/>
                <w:sz w:val="16"/>
                <w:szCs w:val="16"/>
              </w:rPr>
              <w:t>ten per cent</w:t>
            </w:r>
            <w:r w:rsidR="00E07DEB" w:rsidRPr="008D63A6">
              <w:rPr>
                <w:rFonts w:ascii="ArialMT" w:hAnsi="ArialMT" w:cs="ArialMT"/>
                <w:sz w:val="16"/>
                <w:szCs w:val="16"/>
              </w:rPr>
              <w:t xml:space="preserve"> increase in usage</w:t>
            </w:r>
            <w:r w:rsidR="00E07DEB" w:rsidRPr="008D63A6" w:rsidDel="003C4C1D">
              <w:rPr>
                <w:rFonts w:cs="Arial"/>
                <w:sz w:val="16"/>
                <w:szCs w:val="16"/>
              </w:rPr>
              <w:t xml:space="preserve"> </w:t>
            </w:r>
          </w:p>
        </w:tc>
        <w:tc>
          <w:tcPr>
            <w:tcW w:w="1700" w:type="pct"/>
            <w:shd w:val="clear" w:color="auto" w:fill="FFFFFF"/>
            <w:tcMar>
              <w:top w:w="110" w:type="dxa"/>
            </w:tcMar>
          </w:tcPr>
          <w:p w:rsidR="00E07DEB" w:rsidRPr="008D63A6" w:rsidRDefault="00E07DEB" w:rsidP="007C0423">
            <w:pPr>
              <w:rPr>
                <w:rFonts w:cs="Arial"/>
                <w:sz w:val="16"/>
                <w:szCs w:val="16"/>
              </w:rPr>
            </w:pPr>
            <w:r w:rsidRPr="008D63A6">
              <w:rPr>
                <w:rFonts w:cs="Arial"/>
                <w:sz w:val="16"/>
                <w:szCs w:val="16"/>
              </w:rPr>
              <w:t>In 2013, the latest available editions (2012 and 2013 editions) of the World Intellectual Property Indicators (publication n°941)</w:t>
            </w:r>
            <w:r w:rsidRPr="008D63A6">
              <w:rPr>
                <w:rStyle w:val="FootnoteReference"/>
                <w:rFonts w:cs="Arial"/>
                <w:sz w:val="16"/>
                <w:szCs w:val="16"/>
              </w:rPr>
              <w:footnoteReference w:id="32"/>
            </w:r>
            <w:r w:rsidRPr="008D63A6">
              <w:rPr>
                <w:rFonts w:cs="Arial"/>
                <w:sz w:val="16"/>
                <w:szCs w:val="16"/>
              </w:rPr>
              <w:t xml:space="preserve"> and WIPO IP Facts and Figures (n°943)</w:t>
            </w:r>
            <w:r w:rsidRPr="008D63A6">
              <w:rPr>
                <w:rStyle w:val="FootnoteReference"/>
                <w:rFonts w:cs="Arial"/>
                <w:sz w:val="16"/>
                <w:szCs w:val="16"/>
              </w:rPr>
              <w:footnoteReference w:id="33"/>
            </w:r>
            <w:r w:rsidRPr="008D63A6">
              <w:rPr>
                <w:rFonts w:cs="Arial"/>
                <w:sz w:val="16"/>
                <w:szCs w:val="16"/>
              </w:rPr>
              <w:t xml:space="preserve"> were downloaded, altogether, 52,670 times.</w:t>
            </w:r>
          </w:p>
        </w:tc>
        <w:tc>
          <w:tcPr>
            <w:tcW w:w="682" w:type="pct"/>
            <w:shd w:val="clear" w:color="auto" w:fill="auto"/>
            <w:tcMar>
              <w:top w:w="110" w:type="dxa"/>
            </w:tcMar>
          </w:tcPr>
          <w:p w:rsidR="00E07DEB" w:rsidRPr="008D63A6" w:rsidRDefault="00E07DEB" w:rsidP="007C0423">
            <w:pPr>
              <w:keepNext/>
              <w:keepLines/>
              <w:jc w:val="center"/>
              <w:rPr>
                <w:rFonts w:cs="Arial"/>
                <w:bCs/>
                <w:color w:val="595959" w:themeColor="text1" w:themeTint="A6"/>
                <w:sz w:val="16"/>
                <w:szCs w:val="16"/>
              </w:rPr>
            </w:pPr>
            <w:r w:rsidRPr="008D63A6">
              <w:rPr>
                <w:bCs/>
                <w:color w:val="595959" w:themeColor="text1" w:themeTint="A6"/>
                <w:sz w:val="16"/>
                <w:szCs w:val="16"/>
              </w:rPr>
              <w:t>Not Assessable</w:t>
            </w:r>
          </w:p>
        </w:tc>
      </w:tr>
      <w:tr w:rsidR="00E07DEB" w:rsidTr="0066507C">
        <w:trPr>
          <w:cantSplit/>
        </w:trPr>
        <w:tc>
          <w:tcPr>
            <w:tcW w:w="830" w:type="pct"/>
            <w:tcBorders>
              <w:bottom w:val="single" w:sz="4" w:space="0" w:color="auto"/>
            </w:tcBorders>
            <w:shd w:val="clear" w:color="auto" w:fill="auto"/>
          </w:tcPr>
          <w:p w:rsidR="00E07DEB" w:rsidRPr="00746757" w:rsidRDefault="00E07DEB" w:rsidP="007C0423">
            <w:pPr>
              <w:spacing w:before="120"/>
              <w:rPr>
                <w:rFonts w:cs="Arial"/>
                <w:sz w:val="16"/>
                <w:szCs w:val="16"/>
              </w:rPr>
            </w:pPr>
            <w:r w:rsidRPr="00746757">
              <w:rPr>
                <w:rFonts w:cs="Arial"/>
                <w:sz w:val="16"/>
                <w:szCs w:val="16"/>
              </w:rPr>
              <w:t>No. of data downloads</w:t>
            </w:r>
          </w:p>
        </w:tc>
        <w:tc>
          <w:tcPr>
            <w:tcW w:w="914" w:type="pct"/>
            <w:tcBorders>
              <w:bottom w:val="single" w:sz="4" w:space="0" w:color="auto"/>
            </w:tcBorders>
            <w:shd w:val="clear" w:color="auto" w:fill="auto"/>
          </w:tcPr>
          <w:p w:rsidR="00E07DEB" w:rsidRPr="00746757" w:rsidRDefault="00E07DEB" w:rsidP="007C0423">
            <w:pPr>
              <w:spacing w:before="120"/>
              <w:rPr>
                <w:rFonts w:cs="Arial"/>
                <w:sz w:val="16"/>
                <w:szCs w:val="16"/>
              </w:rPr>
            </w:pPr>
            <w:r w:rsidRPr="00746757">
              <w:rPr>
                <w:rFonts w:cs="Arial"/>
                <w:sz w:val="16"/>
                <w:szCs w:val="16"/>
              </w:rPr>
              <w:t>Tbd</w:t>
            </w:r>
          </w:p>
        </w:tc>
        <w:tc>
          <w:tcPr>
            <w:tcW w:w="874" w:type="pct"/>
            <w:tcBorders>
              <w:bottom w:val="single" w:sz="4" w:space="0" w:color="auto"/>
            </w:tcBorders>
            <w:shd w:val="clear" w:color="auto" w:fill="auto"/>
            <w:tcMar>
              <w:top w:w="110" w:type="dxa"/>
            </w:tcMar>
          </w:tcPr>
          <w:p w:rsidR="00E07DEB" w:rsidRPr="008D63A6" w:rsidRDefault="00EC1008" w:rsidP="007C0423">
            <w:pPr>
              <w:rPr>
                <w:rFonts w:cs="Arial"/>
                <w:i/>
                <w:sz w:val="16"/>
                <w:szCs w:val="16"/>
              </w:rPr>
            </w:pPr>
            <w:r>
              <w:rPr>
                <w:rFonts w:ascii="ArialMT" w:hAnsi="ArialMT" w:cs="ArialMT"/>
                <w:sz w:val="16"/>
                <w:szCs w:val="16"/>
              </w:rPr>
              <w:t>ten per cent</w:t>
            </w:r>
            <w:r w:rsidR="00E07DEB" w:rsidRPr="008D63A6">
              <w:rPr>
                <w:rFonts w:ascii="ArialMT" w:hAnsi="ArialMT" w:cs="ArialMT"/>
                <w:sz w:val="16"/>
                <w:szCs w:val="16"/>
              </w:rPr>
              <w:t xml:space="preserve"> increase in usage</w:t>
            </w:r>
          </w:p>
        </w:tc>
        <w:tc>
          <w:tcPr>
            <w:tcW w:w="1700" w:type="pct"/>
            <w:tcBorders>
              <w:bottom w:val="single" w:sz="4" w:space="0" w:color="auto"/>
            </w:tcBorders>
            <w:shd w:val="clear" w:color="auto" w:fill="FFFFFF"/>
            <w:tcMar>
              <w:top w:w="110" w:type="dxa"/>
            </w:tcMar>
          </w:tcPr>
          <w:p w:rsidR="00E07DEB" w:rsidRPr="008D63A6" w:rsidRDefault="00E07DEB" w:rsidP="007C0423">
            <w:pPr>
              <w:pStyle w:val="Default"/>
              <w:rPr>
                <w:color w:val="auto"/>
                <w:sz w:val="16"/>
                <w:szCs w:val="16"/>
              </w:rPr>
            </w:pPr>
            <w:r w:rsidRPr="008D63A6">
              <w:rPr>
                <w:color w:val="auto"/>
                <w:sz w:val="16"/>
                <w:szCs w:val="16"/>
              </w:rPr>
              <w:t xml:space="preserve">In 2013, the WIPO Statistics Data Center was used by 23,496 unique visitors who viewed 162,463 pages. </w:t>
            </w:r>
          </w:p>
          <w:p w:rsidR="00E07DEB" w:rsidRPr="008D63A6" w:rsidRDefault="00E07DEB" w:rsidP="007C0423">
            <w:pPr>
              <w:rPr>
                <w:rFonts w:cs="Arial"/>
                <w:sz w:val="16"/>
                <w:szCs w:val="16"/>
              </w:rPr>
            </w:pPr>
          </w:p>
        </w:tc>
        <w:tc>
          <w:tcPr>
            <w:tcW w:w="682" w:type="pct"/>
            <w:tcBorders>
              <w:bottom w:val="single" w:sz="4" w:space="0" w:color="auto"/>
            </w:tcBorders>
            <w:shd w:val="clear" w:color="auto" w:fill="auto"/>
            <w:tcMar>
              <w:top w:w="110" w:type="dxa"/>
            </w:tcMar>
          </w:tcPr>
          <w:p w:rsidR="00E07DEB" w:rsidRPr="008D63A6" w:rsidRDefault="00E07DEB" w:rsidP="007C0423">
            <w:pPr>
              <w:keepNext/>
              <w:keepLines/>
              <w:jc w:val="center"/>
              <w:rPr>
                <w:rFonts w:cs="Arial"/>
                <w:bCs/>
                <w:color w:val="595959" w:themeColor="text1" w:themeTint="A6"/>
                <w:sz w:val="16"/>
                <w:szCs w:val="16"/>
              </w:rPr>
            </w:pPr>
            <w:r w:rsidRPr="008D63A6">
              <w:rPr>
                <w:bCs/>
                <w:color w:val="595959" w:themeColor="text1" w:themeTint="A6"/>
                <w:sz w:val="16"/>
                <w:szCs w:val="16"/>
              </w:rPr>
              <w:t>Not Assessable</w:t>
            </w:r>
          </w:p>
        </w:tc>
      </w:tr>
      <w:tr w:rsidR="00E07DEB" w:rsidTr="007C0423">
        <w:trPr>
          <w:cantSplit/>
        </w:trPr>
        <w:tc>
          <w:tcPr>
            <w:tcW w:w="5000" w:type="pct"/>
            <w:gridSpan w:val="5"/>
            <w:tcBorders>
              <w:top w:val="single" w:sz="4" w:space="0" w:color="auto"/>
              <w:bottom w:val="single" w:sz="4" w:space="0" w:color="auto"/>
            </w:tcBorders>
            <w:shd w:val="clear" w:color="auto" w:fill="CCFFFF"/>
            <w:vAlign w:val="center"/>
          </w:tcPr>
          <w:p w:rsidR="00E07DEB" w:rsidRDefault="00E07DEB"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746757">
              <w:rPr>
                <w:rFonts w:cs="Arial"/>
                <w:sz w:val="16"/>
                <w:szCs w:val="16"/>
              </w:rPr>
              <w:t>Take-up of WIPO economic analysis as an input into the formulation of IP policy</w:t>
            </w:r>
          </w:p>
        </w:tc>
      </w:tr>
      <w:tr w:rsidR="00E07DEB" w:rsidRPr="003C4C1D" w:rsidTr="0066507C">
        <w:trPr>
          <w:cantSplit/>
        </w:trPr>
        <w:tc>
          <w:tcPr>
            <w:tcW w:w="830" w:type="pct"/>
            <w:tcBorders>
              <w:top w:val="single" w:sz="4" w:space="0" w:color="auto"/>
            </w:tcBorders>
            <w:shd w:val="clear" w:color="auto" w:fill="auto"/>
            <w:vAlign w:val="center"/>
          </w:tcPr>
          <w:p w:rsidR="00E07DEB" w:rsidRPr="003C4C1D" w:rsidRDefault="00E07DEB" w:rsidP="0066507C">
            <w:pPr>
              <w:rPr>
                <w:rFonts w:cs="Arial"/>
                <w:sz w:val="16"/>
                <w:szCs w:val="16"/>
              </w:rPr>
            </w:pPr>
            <w:r w:rsidRPr="003C4C1D">
              <w:rPr>
                <w:rFonts w:cs="Arial"/>
                <w:b/>
                <w:bCs/>
                <w:sz w:val="16"/>
                <w:szCs w:val="16"/>
              </w:rPr>
              <w:t>Performance Indicators</w:t>
            </w:r>
          </w:p>
        </w:tc>
        <w:tc>
          <w:tcPr>
            <w:tcW w:w="914" w:type="pct"/>
            <w:tcBorders>
              <w:top w:val="single" w:sz="4" w:space="0" w:color="auto"/>
            </w:tcBorders>
            <w:shd w:val="clear" w:color="auto" w:fill="auto"/>
            <w:vAlign w:val="center"/>
          </w:tcPr>
          <w:p w:rsidR="00E07DEB" w:rsidRPr="003C4C1D" w:rsidRDefault="00E07DEB" w:rsidP="0066507C">
            <w:pPr>
              <w:rPr>
                <w:rFonts w:cs="Arial"/>
                <w:b/>
                <w:bCs/>
                <w:sz w:val="16"/>
                <w:szCs w:val="16"/>
              </w:rPr>
            </w:pPr>
            <w:r w:rsidRPr="003C4C1D">
              <w:rPr>
                <w:rFonts w:cs="Arial"/>
                <w:b/>
                <w:bCs/>
                <w:sz w:val="16"/>
                <w:szCs w:val="16"/>
              </w:rPr>
              <w:t>Baselines</w:t>
            </w:r>
          </w:p>
        </w:tc>
        <w:tc>
          <w:tcPr>
            <w:tcW w:w="874" w:type="pct"/>
            <w:tcBorders>
              <w:top w:val="single" w:sz="4" w:space="0" w:color="auto"/>
            </w:tcBorders>
            <w:shd w:val="clear" w:color="auto" w:fill="auto"/>
            <w:tcMar>
              <w:top w:w="110" w:type="dxa"/>
            </w:tcMar>
            <w:vAlign w:val="center"/>
          </w:tcPr>
          <w:p w:rsidR="00E07DEB" w:rsidRPr="0027745B" w:rsidRDefault="00E07DEB" w:rsidP="0066507C">
            <w:pPr>
              <w:rPr>
                <w:rFonts w:cs="Arial"/>
                <w:b/>
                <w:sz w:val="16"/>
                <w:szCs w:val="16"/>
              </w:rPr>
            </w:pPr>
            <w:r w:rsidRPr="003C4C1D">
              <w:rPr>
                <w:rFonts w:cs="Arial"/>
                <w:b/>
                <w:sz w:val="16"/>
                <w:szCs w:val="16"/>
              </w:rPr>
              <w:t>Targets</w:t>
            </w:r>
          </w:p>
        </w:tc>
        <w:tc>
          <w:tcPr>
            <w:tcW w:w="1700" w:type="pct"/>
            <w:tcBorders>
              <w:top w:val="single" w:sz="4" w:space="0" w:color="auto"/>
            </w:tcBorders>
            <w:shd w:val="clear" w:color="auto" w:fill="FFFFFF"/>
            <w:tcMar>
              <w:top w:w="110" w:type="dxa"/>
            </w:tcMar>
            <w:vAlign w:val="center"/>
          </w:tcPr>
          <w:p w:rsidR="00E07DEB" w:rsidRPr="003C4C1D" w:rsidRDefault="00E07DEB" w:rsidP="0066507C">
            <w:pPr>
              <w:rPr>
                <w:rFonts w:cs="Arial"/>
                <w:sz w:val="16"/>
                <w:szCs w:val="16"/>
              </w:rPr>
            </w:pPr>
            <w:r w:rsidRPr="003C4C1D">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E07DEB" w:rsidRPr="0027745B" w:rsidRDefault="00E07DEB" w:rsidP="0066507C">
            <w:pPr>
              <w:keepNext/>
              <w:keepLines/>
              <w:jc w:val="center"/>
              <w:rPr>
                <w:rFonts w:cs="Arial"/>
                <w:b/>
                <w:bCs/>
                <w:sz w:val="16"/>
                <w:szCs w:val="16"/>
              </w:rPr>
            </w:pPr>
            <w:r w:rsidRPr="003C4C1D">
              <w:rPr>
                <w:rFonts w:cs="Arial"/>
                <w:b/>
                <w:bCs/>
                <w:sz w:val="16"/>
                <w:szCs w:val="16"/>
              </w:rPr>
              <w:t>TLS</w:t>
            </w:r>
          </w:p>
        </w:tc>
      </w:tr>
      <w:tr w:rsidR="00E07DEB" w:rsidTr="0066507C">
        <w:trPr>
          <w:cantSplit/>
        </w:trPr>
        <w:tc>
          <w:tcPr>
            <w:tcW w:w="830" w:type="pct"/>
            <w:shd w:val="clear" w:color="auto" w:fill="auto"/>
          </w:tcPr>
          <w:p w:rsidR="00E07DEB" w:rsidRPr="00746757" w:rsidRDefault="00E07DEB" w:rsidP="007C0423">
            <w:pPr>
              <w:rPr>
                <w:rFonts w:cs="Arial"/>
                <w:sz w:val="16"/>
                <w:szCs w:val="16"/>
              </w:rPr>
            </w:pPr>
            <w:r w:rsidRPr="00746757">
              <w:rPr>
                <w:rFonts w:cs="Arial"/>
                <w:sz w:val="16"/>
                <w:szCs w:val="16"/>
              </w:rPr>
              <w:t>No. of citations in economic publications and government policy reports</w:t>
            </w:r>
          </w:p>
        </w:tc>
        <w:tc>
          <w:tcPr>
            <w:tcW w:w="914" w:type="pct"/>
            <w:shd w:val="clear" w:color="auto" w:fill="auto"/>
          </w:tcPr>
          <w:p w:rsidR="00E07DEB" w:rsidRPr="0027745B" w:rsidRDefault="00E07DEB" w:rsidP="007C0423">
            <w:pPr>
              <w:rPr>
                <w:rFonts w:cs="Arial"/>
                <w:i/>
                <w:color w:val="002060"/>
                <w:sz w:val="16"/>
                <w:szCs w:val="16"/>
              </w:rPr>
            </w:pPr>
            <w:r w:rsidRPr="0027745B">
              <w:rPr>
                <w:rFonts w:cs="Arial"/>
                <w:i/>
                <w:color w:val="002060"/>
                <w:sz w:val="16"/>
                <w:szCs w:val="16"/>
              </w:rPr>
              <w:t xml:space="preserve">Updated Baseline end 2011: </w:t>
            </w:r>
          </w:p>
          <w:p w:rsidR="00E07DEB" w:rsidRDefault="00E07DEB" w:rsidP="007C0423">
            <w:pPr>
              <w:rPr>
                <w:rFonts w:cs="Arial"/>
                <w:color w:val="002060"/>
                <w:sz w:val="16"/>
                <w:szCs w:val="16"/>
                <w:lang w:bidi="th-TH"/>
              </w:rPr>
            </w:pPr>
            <w:r w:rsidRPr="0027745B">
              <w:rPr>
                <w:rFonts w:cs="Arial"/>
                <w:color w:val="002060"/>
                <w:sz w:val="16"/>
                <w:szCs w:val="16"/>
                <w:lang w:bidi="th-TH"/>
              </w:rPr>
              <w:t>The first World IP Report was published in November 2011, so it is too early to count citations as of end 2011</w:t>
            </w:r>
          </w:p>
          <w:p w:rsidR="00E07DEB" w:rsidRPr="000B3714" w:rsidRDefault="00E07DEB" w:rsidP="007C0423">
            <w:pPr>
              <w:rPr>
                <w:rFonts w:cs="Arial"/>
                <w:i/>
                <w:color w:val="002060"/>
                <w:sz w:val="8"/>
                <w:szCs w:val="8"/>
              </w:rPr>
            </w:pPr>
          </w:p>
          <w:p w:rsidR="00E07DEB" w:rsidRDefault="00E07DEB" w:rsidP="007C0423">
            <w:pPr>
              <w:rPr>
                <w:rFonts w:cs="Arial"/>
                <w:sz w:val="16"/>
                <w:szCs w:val="16"/>
              </w:rPr>
            </w:pPr>
            <w:r w:rsidRPr="003C4C1D">
              <w:rPr>
                <w:rFonts w:cs="Arial"/>
                <w:i/>
                <w:sz w:val="16"/>
                <w:szCs w:val="16"/>
              </w:rPr>
              <w:t>Original Baseline P&amp;B 2012/13:</w:t>
            </w:r>
          </w:p>
          <w:p w:rsidR="00E07DEB" w:rsidRPr="00746757" w:rsidRDefault="00E07DEB" w:rsidP="007C0423">
            <w:pPr>
              <w:rPr>
                <w:rFonts w:cs="Arial"/>
                <w:sz w:val="16"/>
                <w:szCs w:val="16"/>
              </w:rPr>
            </w:pPr>
            <w:r w:rsidRPr="00746757">
              <w:rPr>
                <w:rFonts w:cs="Arial"/>
                <w:sz w:val="16"/>
                <w:szCs w:val="16"/>
              </w:rPr>
              <w:t>Given novelty of program, baseline not available</w:t>
            </w:r>
          </w:p>
        </w:tc>
        <w:tc>
          <w:tcPr>
            <w:tcW w:w="874" w:type="pct"/>
            <w:shd w:val="clear" w:color="auto" w:fill="auto"/>
            <w:tcMar>
              <w:top w:w="110" w:type="dxa"/>
            </w:tcMar>
          </w:tcPr>
          <w:p w:rsidR="00E07DEB" w:rsidRPr="0027745B" w:rsidRDefault="00E07DEB" w:rsidP="007C0423">
            <w:pPr>
              <w:autoSpaceDE w:val="0"/>
              <w:autoSpaceDN w:val="0"/>
              <w:adjustRightInd w:val="0"/>
              <w:rPr>
                <w:rFonts w:ascii="ArialMT" w:hAnsi="ArialMT" w:cs="ArialMT"/>
                <w:sz w:val="16"/>
                <w:szCs w:val="16"/>
              </w:rPr>
            </w:pPr>
            <w:r w:rsidRPr="00FB2789">
              <w:rPr>
                <w:rFonts w:ascii="ArialMT" w:hAnsi="ArialMT" w:cs="ArialMT"/>
                <w:sz w:val="16"/>
                <w:szCs w:val="16"/>
              </w:rPr>
              <w:t>Given novelty of</w:t>
            </w:r>
            <w:r w:rsidR="008D63A6">
              <w:rPr>
                <w:rFonts w:ascii="ArialMT" w:hAnsi="ArialMT" w:cs="ArialMT"/>
                <w:sz w:val="16"/>
                <w:szCs w:val="16"/>
              </w:rPr>
              <w:t xml:space="preserve"> </w:t>
            </w:r>
            <w:r w:rsidRPr="00FB2789">
              <w:rPr>
                <w:rFonts w:ascii="ArialMT" w:hAnsi="ArialMT" w:cs="ArialMT"/>
                <w:sz w:val="16"/>
                <w:szCs w:val="16"/>
              </w:rPr>
              <w:t>program, not possible to</w:t>
            </w:r>
            <w:r w:rsidR="008D63A6">
              <w:rPr>
                <w:rFonts w:ascii="ArialMT" w:hAnsi="ArialMT" w:cs="ArialMT"/>
                <w:sz w:val="16"/>
                <w:szCs w:val="16"/>
              </w:rPr>
              <w:t xml:space="preserve"> </w:t>
            </w:r>
            <w:r w:rsidRPr="00FB2789">
              <w:rPr>
                <w:rFonts w:ascii="ArialMT" w:hAnsi="ArialMT" w:cs="ArialMT"/>
                <w:sz w:val="16"/>
                <w:szCs w:val="16"/>
              </w:rPr>
              <w:t>establish meaningful</w:t>
            </w:r>
            <w:r w:rsidR="008D63A6">
              <w:rPr>
                <w:rFonts w:ascii="ArialMT" w:hAnsi="ArialMT" w:cs="ArialMT"/>
                <w:sz w:val="16"/>
                <w:szCs w:val="16"/>
              </w:rPr>
              <w:t xml:space="preserve"> </w:t>
            </w:r>
            <w:r w:rsidRPr="00FB2789">
              <w:rPr>
                <w:rFonts w:ascii="ArialMT" w:hAnsi="ArialMT" w:cs="ArialMT"/>
                <w:sz w:val="16"/>
                <w:szCs w:val="16"/>
              </w:rPr>
              <w:t>targets</w:t>
            </w:r>
          </w:p>
        </w:tc>
        <w:tc>
          <w:tcPr>
            <w:tcW w:w="1700" w:type="pct"/>
            <w:shd w:val="clear" w:color="auto" w:fill="FFFFFF"/>
            <w:tcMar>
              <w:top w:w="110" w:type="dxa"/>
            </w:tcMar>
          </w:tcPr>
          <w:p w:rsidR="00E07DEB" w:rsidRDefault="00E07DEB" w:rsidP="007C0423">
            <w:pPr>
              <w:rPr>
                <w:rFonts w:cs="Arial"/>
                <w:sz w:val="16"/>
                <w:szCs w:val="16"/>
              </w:rPr>
            </w:pPr>
            <w:r w:rsidRPr="00C92721">
              <w:rPr>
                <w:rFonts w:cs="Arial"/>
                <w:sz w:val="16"/>
                <w:szCs w:val="16"/>
              </w:rPr>
              <w:t>In 201</w:t>
            </w:r>
            <w:r>
              <w:rPr>
                <w:rFonts w:cs="Arial"/>
                <w:sz w:val="16"/>
                <w:szCs w:val="16"/>
              </w:rPr>
              <w:t>3</w:t>
            </w:r>
            <w:r w:rsidRPr="00C92721">
              <w:rPr>
                <w:rFonts w:cs="Arial"/>
                <w:sz w:val="16"/>
                <w:szCs w:val="16"/>
              </w:rPr>
              <w:t>, the</w:t>
            </w:r>
            <w:r>
              <w:rPr>
                <w:rFonts w:cs="Arial"/>
                <w:sz w:val="16"/>
                <w:szCs w:val="16"/>
              </w:rPr>
              <w:t xml:space="preserve"> two editions (2011 and 2013</w:t>
            </w:r>
            <w:r w:rsidRPr="00C92721">
              <w:rPr>
                <w:rFonts w:cs="Arial"/>
                <w:sz w:val="16"/>
                <w:szCs w:val="16"/>
              </w:rPr>
              <w:t xml:space="preserve"> editions) of the World Intellectual Property </w:t>
            </w:r>
            <w:r>
              <w:rPr>
                <w:rFonts w:cs="Arial"/>
                <w:sz w:val="16"/>
                <w:szCs w:val="16"/>
              </w:rPr>
              <w:t>Report</w:t>
            </w:r>
            <w:r w:rsidRPr="00C92721">
              <w:rPr>
                <w:rFonts w:cs="Arial"/>
                <w:sz w:val="16"/>
                <w:szCs w:val="16"/>
              </w:rPr>
              <w:t xml:space="preserve"> (publication n°94</w:t>
            </w:r>
            <w:r>
              <w:rPr>
                <w:rFonts w:cs="Arial"/>
                <w:sz w:val="16"/>
                <w:szCs w:val="16"/>
              </w:rPr>
              <w:t>4</w:t>
            </w:r>
            <w:r w:rsidRPr="00C92721">
              <w:rPr>
                <w:rFonts w:cs="Arial"/>
                <w:sz w:val="16"/>
                <w:szCs w:val="16"/>
              </w:rPr>
              <w:t>)</w:t>
            </w:r>
            <w:r>
              <w:rPr>
                <w:rStyle w:val="FootnoteReference"/>
                <w:rFonts w:cs="Arial"/>
                <w:sz w:val="16"/>
                <w:szCs w:val="16"/>
                <w:lang w:bidi="th-TH"/>
              </w:rPr>
              <w:footnoteReference w:id="34"/>
            </w:r>
            <w:r w:rsidRPr="00C92721">
              <w:rPr>
                <w:rFonts w:cs="Arial"/>
                <w:sz w:val="16"/>
                <w:szCs w:val="16"/>
              </w:rPr>
              <w:t xml:space="preserve"> were downloaded, altogether, </w:t>
            </w:r>
            <w:r>
              <w:rPr>
                <w:rFonts w:cs="Arial"/>
                <w:sz w:val="16"/>
                <w:szCs w:val="16"/>
              </w:rPr>
              <w:t>17,536</w:t>
            </w:r>
            <w:r w:rsidRPr="00C92721">
              <w:rPr>
                <w:rFonts w:cs="Arial"/>
                <w:sz w:val="16"/>
                <w:szCs w:val="16"/>
              </w:rPr>
              <w:t xml:space="preserve"> times. </w:t>
            </w:r>
          </w:p>
          <w:p w:rsidR="00E07DEB" w:rsidRDefault="00E07DEB" w:rsidP="007C0423">
            <w:pPr>
              <w:rPr>
                <w:rFonts w:cs="Arial"/>
                <w:sz w:val="16"/>
                <w:szCs w:val="16"/>
                <w:lang w:bidi="th-TH"/>
              </w:rPr>
            </w:pPr>
          </w:p>
          <w:p w:rsidR="00E07DEB" w:rsidRPr="005E6AFC" w:rsidRDefault="00E07DEB" w:rsidP="007C0423">
            <w:pPr>
              <w:rPr>
                <w:rFonts w:cs="Arial"/>
                <w:sz w:val="16"/>
                <w:szCs w:val="16"/>
                <w:lang w:bidi="th-TH"/>
              </w:rPr>
            </w:pPr>
            <w:r>
              <w:rPr>
                <w:rFonts w:cs="Arial"/>
                <w:sz w:val="16"/>
                <w:szCs w:val="16"/>
                <w:lang w:bidi="th-TH"/>
              </w:rPr>
              <w:t>The second World IP Report was published in November 2013.</w:t>
            </w:r>
          </w:p>
        </w:tc>
        <w:tc>
          <w:tcPr>
            <w:tcW w:w="682" w:type="pct"/>
            <w:shd w:val="clear" w:color="auto" w:fill="auto"/>
            <w:tcMar>
              <w:top w:w="110" w:type="dxa"/>
            </w:tcMar>
          </w:tcPr>
          <w:p w:rsidR="00E07DEB" w:rsidRPr="008D63A6" w:rsidRDefault="00E07DEB" w:rsidP="007C0423">
            <w:pPr>
              <w:keepNext/>
              <w:keepLines/>
              <w:jc w:val="center"/>
              <w:rPr>
                <w:rFonts w:cs="Arial"/>
                <w:bCs/>
                <w:color w:val="595959" w:themeColor="text1" w:themeTint="A6"/>
                <w:sz w:val="16"/>
                <w:szCs w:val="16"/>
              </w:rPr>
            </w:pPr>
            <w:r w:rsidRPr="008D63A6">
              <w:rPr>
                <w:bCs/>
                <w:color w:val="595959" w:themeColor="text1" w:themeTint="A6"/>
                <w:sz w:val="16"/>
                <w:szCs w:val="16"/>
              </w:rPr>
              <w:t>Not Assessable</w:t>
            </w:r>
          </w:p>
        </w:tc>
      </w:tr>
      <w:tr w:rsidR="00E07DEB" w:rsidTr="0066507C">
        <w:trPr>
          <w:cantSplit/>
        </w:trPr>
        <w:tc>
          <w:tcPr>
            <w:tcW w:w="830" w:type="pct"/>
            <w:shd w:val="clear" w:color="auto" w:fill="auto"/>
          </w:tcPr>
          <w:p w:rsidR="00E07DEB" w:rsidRPr="00746757" w:rsidRDefault="00E07DEB" w:rsidP="007C0423">
            <w:pPr>
              <w:rPr>
                <w:rFonts w:cs="Arial"/>
                <w:sz w:val="16"/>
                <w:szCs w:val="16"/>
              </w:rPr>
            </w:pPr>
            <w:r w:rsidRPr="00746757">
              <w:rPr>
                <w:rFonts w:cs="Arial"/>
                <w:sz w:val="16"/>
                <w:szCs w:val="16"/>
              </w:rPr>
              <w:t>No. of developing countries which find WIPO economic studies useful and degree of usefulness</w:t>
            </w:r>
          </w:p>
        </w:tc>
        <w:tc>
          <w:tcPr>
            <w:tcW w:w="914" w:type="pct"/>
            <w:shd w:val="clear" w:color="auto" w:fill="auto"/>
          </w:tcPr>
          <w:p w:rsidR="00E07DEB" w:rsidRPr="005675B4" w:rsidRDefault="00E07DEB" w:rsidP="007C0423">
            <w:pPr>
              <w:rPr>
                <w:rFonts w:cs="Arial"/>
                <w:i/>
                <w:color w:val="002060"/>
                <w:sz w:val="16"/>
                <w:szCs w:val="16"/>
              </w:rPr>
            </w:pPr>
            <w:r w:rsidRPr="005675B4">
              <w:rPr>
                <w:rFonts w:cs="Arial"/>
                <w:i/>
                <w:color w:val="002060"/>
                <w:sz w:val="16"/>
                <w:szCs w:val="16"/>
              </w:rPr>
              <w:t xml:space="preserve">Updated Baseline end 2011: </w:t>
            </w:r>
          </w:p>
          <w:p w:rsidR="00E07DEB" w:rsidRDefault="00E07DEB" w:rsidP="007C0423">
            <w:pPr>
              <w:rPr>
                <w:rFonts w:cs="Arial"/>
                <w:i/>
                <w:sz w:val="16"/>
                <w:szCs w:val="16"/>
              </w:rPr>
            </w:pPr>
            <w:r w:rsidRPr="0027745B">
              <w:rPr>
                <w:rFonts w:cs="Arial"/>
                <w:color w:val="002060"/>
                <w:sz w:val="16"/>
                <w:szCs w:val="16"/>
                <w:lang w:bidi="th-TH"/>
              </w:rPr>
              <w:t>Since developing country studies will only be completed in 2013, no baseline available</w:t>
            </w:r>
          </w:p>
          <w:p w:rsidR="00E07DEB" w:rsidRPr="000B3714" w:rsidRDefault="00E07DEB" w:rsidP="007C0423">
            <w:pPr>
              <w:rPr>
                <w:rFonts w:cs="Arial"/>
                <w:i/>
                <w:sz w:val="8"/>
                <w:szCs w:val="8"/>
              </w:rPr>
            </w:pPr>
          </w:p>
          <w:p w:rsidR="00E07DEB" w:rsidRPr="00746757" w:rsidRDefault="00E07DEB" w:rsidP="007C0423">
            <w:pPr>
              <w:autoSpaceDE w:val="0"/>
              <w:autoSpaceDN w:val="0"/>
              <w:adjustRightInd w:val="0"/>
              <w:rPr>
                <w:rFonts w:cs="Arial"/>
                <w:sz w:val="16"/>
                <w:szCs w:val="16"/>
              </w:rPr>
            </w:pPr>
            <w:r w:rsidRPr="0027745B">
              <w:rPr>
                <w:rFonts w:cs="Arial"/>
                <w:i/>
                <w:sz w:val="16"/>
                <w:szCs w:val="16"/>
              </w:rPr>
              <w:t>Original Baseline P&amp;B 2012/13:</w:t>
            </w:r>
            <w:r>
              <w:rPr>
                <w:rFonts w:cs="Arial"/>
                <w:i/>
                <w:sz w:val="16"/>
                <w:szCs w:val="16"/>
              </w:rPr>
              <w:t xml:space="preserve"> </w:t>
            </w:r>
            <w:r w:rsidRPr="0027745B">
              <w:rPr>
                <w:rFonts w:cs="Arial"/>
                <w:i/>
                <w:sz w:val="16"/>
                <w:szCs w:val="16"/>
              </w:rPr>
              <w:br/>
            </w:r>
          </w:p>
        </w:tc>
        <w:tc>
          <w:tcPr>
            <w:tcW w:w="874" w:type="pct"/>
            <w:shd w:val="clear" w:color="auto" w:fill="auto"/>
            <w:tcMar>
              <w:top w:w="110" w:type="dxa"/>
            </w:tcMar>
          </w:tcPr>
          <w:p w:rsidR="00E07DEB" w:rsidRPr="0027745B" w:rsidRDefault="00E07DEB" w:rsidP="007C0423">
            <w:pPr>
              <w:autoSpaceDE w:val="0"/>
              <w:autoSpaceDN w:val="0"/>
              <w:adjustRightInd w:val="0"/>
              <w:rPr>
                <w:rFonts w:ascii="ArialMT" w:hAnsi="ArialMT" w:cs="ArialMT"/>
                <w:sz w:val="16"/>
                <w:szCs w:val="16"/>
              </w:rPr>
            </w:pPr>
            <w:r w:rsidRPr="00FB2789">
              <w:rPr>
                <w:rFonts w:ascii="ArialMT" w:hAnsi="ArialMT" w:cs="ArialMT"/>
                <w:sz w:val="16"/>
                <w:szCs w:val="16"/>
              </w:rPr>
              <w:t>Given novelty of</w:t>
            </w:r>
            <w:r w:rsidR="008D63A6">
              <w:rPr>
                <w:rFonts w:ascii="ArialMT" w:hAnsi="ArialMT" w:cs="ArialMT"/>
                <w:sz w:val="16"/>
                <w:szCs w:val="16"/>
              </w:rPr>
              <w:t xml:space="preserve"> </w:t>
            </w:r>
            <w:r w:rsidRPr="00FB2789">
              <w:rPr>
                <w:rFonts w:ascii="ArialMT" w:hAnsi="ArialMT" w:cs="ArialMT"/>
                <w:sz w:val="16"/>
                <w:szCs w:val="16"/>
              </w:rPr>
              <w:t>program, not possible to</w:t>
            </w:r>
            <w:r w:rsidR="008D63A6">
              <w:rPr>
                <w:rFonts w:ascii="ArialMT" w:hAnsi="ArialMT" w:cs="ArialMT"/>
                <w:sz w:val="16"/>
                <w:szCs w:val="16"/>
              </w:rPr>
              <w:t xml:space="preserve"> establish meaningful </w:t>
            </w:r>
            <w:r w:rsidRPr="00FB2789">
              <w:rPr>
                <w:rFonts w:ascii="ArialMT" w:hAnsi="ArialMT" w:cs="ArialMT"/>
                <w:sz w:val="16"/>
                <w:szCs w:val="16"/>
              </w:rPr>
              <w:t>targets</w:t>
            </w:r>
          </w:p>
        </w:tc>
        <w:tc>
          <w:tcPr>
            <w:tcW w:w="1700" w:type="pct"/>
            <w:shd w:val="clear" w:color="auto" w:fill="FFFFFF"/>
            <w:tcMar>
              <w:top w:w="110" w:type="dxa"/>
            </w:tcMar>
          </w:tcPr>
          <w:p w:rsidR="00E07DEB" w:rsidRDefault="00E07DEB" w:rsidP="007C0423">
            <w:pPr>
              <w:rPr>
                <w:rFonts w:cs="Arial"/>
                <w:sz w:val="16"/>
                <w:szCs w:val="16"/>
              </w:rPr>
            </w:pPr>
            <w:r>
              <w:rPr>
                <w:rFonts w:cs="Arial"/>
                <w:sz w:val="16"/>
                <w:szCs w:val="16"/>
              </w:rPr>
              <w:t xml:space="preserve">All six country study projects were completed by the end of 2013.  </w:t>
            </w:r>
          </w:p>
          <w:p w:rsidR="00E07DEB" w:rsidRDefault="00E07DEB" w:rsidP="005703CF">
            <w:pPr>
              <w:pStyle w:val="ListParagraph"/>
              <w:numPr>
                <w:ilvl w:val="0"/>
                <w:numId w:val="47"/>
              </w:numPr>
              <w:rPr>
                <w:rFonts w:cs="Arial"/>
                <w:sz w:val="16"/>
                <w:szCs w:val="16"/>
              </w:rPr>
            </w:pPr>
            <w:r>
              <w:rPr>
                <w:rFonts w:cs="Arial"/>
                <w:sz w:val="16"/>
                <w:szCs w:val="16"/>
              </w:rPr>
              <w:t>Three</w:t>
            </w:r>
            <w:r w:rsidRPr="00A6377D">
              <w:rPr>
                <w:rFonts w:cs="Arial"/>
                <w:sz w:val="16"/>
                <w:szCs w:val="16"/>
              </w:rPr>
              <w:t xml:space="preserve"> studies </w:t>
            </w:r>
            <w:r w:rsidR="009E5B4C">
              <w:rPr>
                <w:rFonts w:cs="Arial"/>
                <w:sz w:val="16"/>
                <w:szCs w:val="16"/>
              </w:rPr>
              <w:t>were presented at the eleventh s</w:t>
            </w:r>
            <w:r w:rsidRPr="00A6377D">
              <w:rPr>
                <w:rFonts w:cs="Arial"/>
                <w:sz w:val="16"/>
                <w:szCs w:val="16"/>
              </w:rPr>
              <w:t>ession of the CDIP</w:t>
            </w:r>
            <w:r>
              <w:rPr>
                <w:rFonts w:cs="Arial"/>
                <w:sz w:val="16"/>
                <w:szCs w:val="16"/>
              </w:rPr>
              <w:t xml:space="preserve"> </w:t>
            </w:r>
          </w:p>
          <w:p w:rsidR="00E07DEB" w:rsidRPr="008F499A" w:rsidRDefault="00E07DEB" w:rsidP="005703CF">
            <w:pPr>
              <w:pStyle w:val="ListParagraph"/>
              <w:numPr>
                <w:ilvl w:val="0"/>
                <w:numId w:val="47"/>
              </w:numPr>
              <w:rPr>
                <w:rFonts w:cs="Arial"/>
                <w:sz w:val="16"/>
                <w:szCs w:val="16"/>
              </w:rPr>
            </w:pPr>
            <w:r>
              <w:rPr>
                <w:rFonts w:cs="Arial"/>
                <w:sz w:val="16"/>
                <w:szCs w:val="16"/>
              </w:rPr>
              <w:t>One</w:t>
            </w:r>
            <w:r w:rsidRPr="00A6377D">
              <w:rPr>
                <w:rFonts w:cs="Arial"/>
                <w:sz w:val="16"/>
                <w:szCs w:val="16"/>
              </w:rPr>
              <w:t xml:space="preserve"> </w:t>
            </w:r>
            <w:r>
              <w:rPr>
                <w:rFonts w:cs="Arial"/>
                <w:sz w:val="16"/>
                <w:szCs w:val="16"/>
              </w:rPr>
              <w:t>study was</w:t>
            </w:r>
            <w:r w:rsidRPr="00A6377D">
              <w:rPr>
                <w:rFonts w:cs="Arial"/>
                <w:sz w:val="16"/>
                <w:szCs w:val="16"/>
              </w:rPr>
              <w:t xml:space="preserve"> presented at the </w:t>
            </w:r>
            <w:r w:rsidR="009E5B4C">
              <w:rPr>
                <w:rFonts w:cs="Arial"/>
                <w:sz w:val="16"/>
                <w:szCs w:val="16"/>
              </w:rPr>
              <w:t>t</w:t>
            </w:r>
            <w:r>
              <w:rPr>
                <w:rFonts w:cs="Arial"/>
                <w:sz w:val="16"/>
                <w:szCs w:val="16"/>
              </w:rPr>
              <w:t>welfth</w:t>
            </w:r>
            <w:r w:rsidRPr="00A6377D">
              <w:rPr>
                <w:rFonts w:cs="Arial"/>
                <w:sz w:val="16"/>
                <w:szCs w:val="16"/>
              </w:rPr>
              <w:t xml:space="preserve"> </w:t>
            </w:r>
            <w:r w:rsidR="009E5B4C">
              <w:rPr>
                <w:rFonts w:cs="Arial"/>
                <w:sz w:val="16"/>
                <w:szCs w:val="16"/>
              </w:rPr>
              <w:t>s</w:t>
            </w:r>
            <w:r w:rsidRPr="00A6377D">
              <w:rPr>
                <w:rFonts w:cs="Arial"/>
                <w:sz w:val="16"/>
                <w:szCs w:val="16"/>
              </w:rPr>
              <w:t>ession of the CDIP</w:t>
            </w:r>
            <w:r>
              <w:rPr>
                <w:rFonts w:cs="Arial"/>
                <w:sz w:val="16"/>
                <w:szCs w:val="16"/>
              </w:rPr>
              <w:t xml:space="preserve"> </w:t>
            </w:r>
          </w:p>
          <w:p w:rsidR="00E07DEB" w:rsidRPr="005E6AFC" w:rsidRDefault="00E07DEB" w:rsidP="009E5B4C">
            <w:pPr>
              <w:pStyle w:val="ListParagraph"/>
              <w:numPr>
                <w:ilvl w:val="0"/>
                <w:numId w:val="47"/>
              </w:numPr>
            </w:pPr>
            <w:r>
              <w:rPr>
                <w:rFonts w:cs="Arial"/>
                <w:sz w:val="16"/>
                <w:szCs w:val="16"/>
              </w:rPr>
              <w:t>Two</w:t>
            </w:r>
            <w:r w:rsidRPr="00A6377D">
              <w:rPr>
                <w:rFonts w:cs="Arial"/>
                <w:sz w:val="16"/>
                <w:szCs w:val="16"/>
              </w:rPr>
              <w:t xml:space="preserve"> studies</w:t>
            </w:r>
            <w:r>
              <w:rPr>
                <w:rFonts w:cs="Arial"/>
                <w:sz w:val="16"/>
                <w:szCs w:val="16"/>
              </w:rPr>
              <w:t>, which were completed at the end of 2013,</w:t>
            </w:r>
            <w:r w:rsidRPr="00A6377D">
              <w:rPr>
                <w:rFonts w:cs="Arial"/>
                <w:sz w:val="16"/>
                <w:szCs w:val="16"/>
              </w:rPr>
              <w:t xml:space="preserve"> </w:t>
            </w:r>
            <w:r w:rsidR="009E5B4C">
              <w:rPr>
                <w:rFonts w:cs="Arial"/>
                <w:sz w:val="16"/>
                <w:szCs w:val="16"/>
              </w:rPr>
              <w:t>will be</w:t>
            </w:r>
            <w:r w:rsidRPr="00A6377D">
              <w:rPr>
                <w:rFonts w:cs="Arial"/>
                <w:sz w:val="16"/>
                <w:szCs w:val="16"/>
              </w:rPr>
              <w:t xml:space="preserve"> presented at the </w:t>
            </w:r>
            <w:r w:rsidR="009E5B4C">
              <w:rPr>
                <w:rFonts w:cs="Arial"/>
                <w:sz w:val="16"/>
                <w:szCs w:val="16"/>
              </w:rPr>
              <w:t>t</w:t>
            </w:r>
            <w:r w:rsidRPr="00A6377D">
              <w:rPr>
                <w:rFonts w:cs="Arial"/>
                <w:sz w:val="16"/>
                <w:szCs w:val="16"/>
              </w:rPr>
              <w:t xml:space="preserve">hirteenth </w:t>
            </w:r>
            <w:r w:rsidR="009E5B4C">
              <w:rPr>
                <w:rFonts w:cs="Arial"/>
                <w:sz w:val="16"/>
                <w:szCs w:val="16"/>
              </w:rPr>
              <w:t>s</w:t>
            </w:r>
            <w:r w:rsidRPr="00A6377D">
              <w:rPr>
                <w:rFonts w:cs="Arial"/>
                <w:sz w:val="16"/>
                <w:szCs w:val="16"/>
              </w:rPr>
              <w:t>ession of the CDIP</w:t>
            </w:r>
          </w:p>
        </w:tc>
        <w:tc>
          <w:tcPr>
            <w:tcW w:w="682" w:type="pct"/>
            <w:shd w:val="clear" w:color="auto" w:fill="auto"/>
            <w:tcMar>
              <w:top w:w="110" w:type="dxa"/>
            </w:tcMar>
          </w:tcPr>
          <w:p w:rsidR="00E07DEB" w:rsidRPr="008D63A6" w:rsidRDefault="00E07DEB" w:rsidP="007C0423">
            <w:pPr>
              <w:keepNext/>
              <w:keepLines/>
              <w:jc w:val="center"/>
              <w:rPr>
                <w:rFonts w:cs="Arial"/>
                <w:bCs/>
                <w:color w:val="595959" w:themeColor="text1" w:themeTint="A6"/>
                <w:sz w:val="16"/>
                <w:szCs w:val="16"/>
              </w:rPr>
            </w:pPr>
            <w:r w:rsidRPr="008D63A6">
              <w:rPr>
                <w:bCs/>
                <w:color w:val="595959" w:themeColor="text1" w:themeTint="A6"/>
                <w:sz w:val="16"/>
                <w:szCs w:val="16"/>
              </w:rPr>
              <w:t>Not Assessable</w:t>
            </w:r>
          </w:p>
        </w:tc>
      </w:tr>
    </w:tbl>
    <w:p w:rsidR="00E07DEB" w:rsidRDefault="00E07DEB" w:rsidP="00E07DEB">
      <w:pPr>
        <w:rPr>
          <w:rFonts w:cs="Arial"/>
          <w:sz w:val="22"/>
          <w:szCs w:val="22"/>
        </w:rPr>
      </w:pPr>
    </w:p>
    <w:p w:rsidR="00E07DEB" w:rsidRDefault="00E07DEB" w:rsidP="00E07DEB">
      <w:pPr>
        <w:rPr>
          <w:rFonts w:cs="Arial"/>
          <w:sz w:val="22"/>
          <w:szCs w:val="22"/>
        </w:rPr>
      </w:pPr>
      <w:r>
        <w:rPr>
          <w:rFonts w:cs="Arial"/>
          <w:sz w:val="22"/>
          <w:szCs w:val="22"/>
        </w:rPr>
        <w:br w:type="page"/>
      </w:r>
    </w:p>
    <w:p w:rsidR="00E07DEB" w:rsidRPr="003C4C1D" w:rsidRDefault="00E07DEB" w:rsidP="00E07DEB">
      <w:pPr>
        <w:rPr>
          <w:b/>
          <w:sz w:val="18"/>
          <w:szCs w:val="18"/>
        </w:rPr>
      </w:pPr>
      <w:r w:rsidRPr="003C4C1D">
        <w:rPr>
          <w:rFonts w:cs="Arial"/>
          <w:color w:val="000000"/>
          <w:sz w:val="22"/>
          <w:szCs w:val="22"/>
        </w:rPr>
        <w:lastRenderedPageBreak/>
        <w:t>BUDGET AND ACTUAL EXPENDITURE</w:t>
      </w:r>
    </w:p>
    <w:p w:rsidR="00E07DEB" w:rsidRPr="003C4C1D" w:rsidRDefault="00E07DEB" w:rsidP="00E07DEB">
      <w:pPr>
        <w:rPr>
          <w:rFonts w:cs="Arial"/>
          <w:color w:val="000000"/>
          <w:sz w:val="22"/>
          <w:szCs w:val="22"/>
        </w:rPr>
      </w:pPr>
    </w:p>
    <w:p w:rsidR="00E07DEB" w:rsidRPr="003C4C1D" w:rsidRDefault="00E07DEB" w:rsidP="00E07DEB">
      <w:pPr>
        <w:jc w:val="center"/>
        <w:rPr>
          <w:rFonts w:cs="Arial"/>
          <w:szCs w:val="20"/>
        </w:rPr>
      </w:pPr>
      <w:r w:rsidRPr="003C4C1D">
        <w:rPr>
          <w:rFonts w:cs="Arial"/>
          <w:color w:val="000000"/>
          <w:szCs w:val="20"/>
        </w:rPr>
        <w:t xml:space="preserve">Budget and Actual Expenditure (by result) </w:t>
      </w:r>
    </w:p>
    <w:p w:rsidR="00E07DEB" w:rsidRPr="003C4C1D" w:rsidRDefault="00E07DEB" w:rsidP="00E07DEB">
      <w:pPr>
        <w:jc w:val="center"/>
        <w:rPr>
          <w:rFonts w:cs="Arial"/>
          <w:szCs w:val="20"/>
        </w:rPr>
      </w:pPr>
      <w:r w:rsidRPr="003C4C1D">
        <w:rPr>
          <w:rFonts w:cs="Arial"/>
          <w:i/>
          <w:iCs/>
          <w:color w:val="000000"/>
          <w:szCs w:val="20"/>
        </w:rPr>
        <w:t>(</w:t>
      </w:r>
      <w:proofErr w:type="gramStart"/>
      <w:r w:rsidRPr="003C4C1D">
        <w:rPr>
          <w:rFonts w:cs="Arial"/>
          <w:i/>
          <w:iCs/>
          <w:color w:val="000000"/>
          <w:szCs w:val="20"/>
        </w:rPr>
        <w:t>in</w:t>
      </w:r>
      <w:proofErr w:type="gramEnd"/>
      <w:r w:rsidRPr="003C4C1D">
        <w:rPr>
          <w:rFonts w:cs="Arial"/>
          <w:i/>
          <w:iCs/>
          <w:color w:val="000000"/>
          <w:szCs w:val="20"/>
        </w:rPr>
        <w:t xml:space="preserve"> thousands of Swiss francs)</w:t>
      </w:r>
    </w:p>
    <w:p w:rsidR="00E07DEB" w:rsidRDefault="00E07DEB" w:rsidP="00E07DEB"/>
    <w:tbl>
      <w:tblPr>
        <w:tblW w:w="0" w:type="auto"/>
        <w:tblInd w:w="103" w:type="dxa"/>
        <w:tblLayout w:type="fixed"/>
        <w:tblLook w:val="04A0" w:firstRow="1" w:lastRow="0" w:firstColumn="1" w:lastColumn="0" w:noHBand="0" w:noVBand="1"/>
      </w:tblPr>
      <w:tblGrid>
        <w:gridCol w:w="546"/>
        <w:gridCol w:w="4137"/>
        <w:gridCol w:w="1559"/>
        <w:gridCol w:w="1559"/>
        <w:gridCol w:w="1560"/>
      </w:tblGrid>
      <w:tr w:rsidR="00E07DEB" w:rsidRPr="000B3714" w:rsidTr="00073773">
        <w:tc>
          <w:tcPr>
            <w:tcW w:w="4683"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Expected Result No. and Description</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2012/13 Approved Budget</w:t>
            </w:r>
          </w:p>
        </w:tc>
        <w:tc>
          <w:tcPr>
            <w:tcW w:w="1559" w:type="dxa"/>
            <w:tcBorders>
              <w:top w:val="single" w:sz="4" w:space="0" w:color="auto"/>
              <w:left w:val="nil"/>
              <w:bottom w:val="single" w:sz="4" w:space="0" w:color="auto"/>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 xml:space="preserve">2012/13 Budget </w:t>
            </w:r>
            <w:r w:rsidRPr="000B3714">
              <w:rPr>
                <w:rFonts w:cs="Arial"/>
                <w:bCs/>
                <w:color w:val="000000"/>
                <w:sz w:val="16"/>
                <w:szCs w:val="16"/>
              </w:rPr>
              <w:br/>
              <w:t>After Transfers</w:t>
            </w:r>
          </w:p>
        </w:tc>
        <w:tc>
          <w:tcPr>
            <w:tcW w:w="1560" w:type="dxa"/>
            <w:tcBorders>
              <w:top w:val="single" w:sz="4" w:space="0" w:color="auto"/>
              <w:left w:val="nil"/>
              <w:bottom w:val="single" w:sz="4" w:space="0" w:color="auto"/>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 xml:space="preserve">2012/13 </w:t>
            </w:r>
            <w:r w:rsidRPr="000B3714">
              <w:rPr>
                <w:rFonts w:cs="Arial"/>
                <w:bCs/>
                <w:color w:val="000000"/>
                <w:sz w:val="16"/>
                <w:szCs w:val="16"/>
              </w:rPr>
              <w:br/>
              <w:t>Expenditure</w:t>
            </w:r>
          </w:p>
        </w:tc>
      </w:tr>
      <w:tr w:rsidR="00E07DEB" w:rsidRPr="003C4C1D" w:rsidTr="00073773">
        <w:tc>
          <w:tcPr>
            <w:tcW w:w="546" w:type="dxa"/>
            <w:tcBorders>
              <w:top w:val="nil"/>
              <w:left w:val="single" w:sz="4" w:space="0" w:color="auto"/>
              <w:bottom w:val="nil"/>
              <w:right w:val="nil"/>
            </w:tcBorders>
            <w:shd w:val="clear" w:color="000000" w:fill="FFFFFF"/>
            <w:noWrap/>
            <w:hideMark/>
          </w:tcPr>
          <w:p w:rsidR="00E07DEB" w:rsidRPr="0027745B" w:rsidRDefault="00E07DEB" w:rsidP="008D63A6">
            <w:pPr>
              <w:spacing w:before="120"/>
              <w:jc w:val="center"/>
              <w:rPr>
                <w:rFonts w:cs="Arial"/>
                <w:color w:val="000000"/>
                <w:sz w:val="16"/>
                <w:szCs w:val="16"/>
              </w:rPr>
            </w:pPr>
            <w:r w:rsidRPr="0027745B">
              <w:rPr>
                <w:rFonts w:cs="Arial"/>
                <w:color w:val="000000"/>
                <w:sz w:val="16"/>
                <w:szCs w:val="16"/>
              </w:rPr>
              <w:t>III.6</w:t>
            </w:r>
          </w:p>
        </w:tc>
        <w:tc>
          <w:tcPr>
            <w:tcW w:w="4137" w:type="dxa"/>
            <w:tcBorders>
              <w:top w:val="nil"/>
              <w:left w:val="nil"/>
              <w:bottom w:val="nil"/>
              <w:right w:val="nil"/>
            </w:tcBorders>
            <w:shd w:val="clear" w:color="000000" w:fill="FFFFFF"/>
            <w:hideMark/>
          </w:tcPr>
          <w:p w:rsidR="00E07DEB" w:rsidRPr="0027745B" w:rsidRDefault="00E07DEB" w:rsidP="008D63A6">
            <w:pPr>
              <w:spacing w:before="120"/>
              <w:rPr>
                <w:rFonts w:cs="Arial"/>
                <w:color w:val="000000"/>
                <w:sz w:val="16"/>
                <w:szCs w:val="16"/>
              </w:rPr>
            </w:pPr>
            <w:r w:rsidRPr="0027745B">
              <w:rPr>
                <w:rFonts w:cs="Arial"/>
                <w:color w:val="000000"/>
                <w:sz w:val="16"/>
                <w:szCs w:val="16"/>
              </w:rPr>
              <w:t>Development Agenda principles further mainstreamed into the Organization’s programs and activities</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276</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345</w:t>
            </w:r>
          </w:p>
        </w:tc>
        <w:tc>
          <w:tcPr>
            <w:tcW w:w="1560" w:type="dxa"/>
            <w:tcBorders>
              <w:top w:val="nil"/>
              <w:left w:val="nil"/>
              <w:bottom w:val="nil"/>
              <w:right w:val="single" w:sz="4" w:space="0" w:color="auto"/>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334</w:t>
            </w:r>
          </w:p>
        </w:tc>
      </w:tr>
      <w:tr w:rsidR="00E07DEB" w:rsidRPr="003C4C1D" w:rsidTr="00073773">
        <w:tc>
          <w:tcPr>
            <w:tcW w:w="546" w:type="dxa"/>
            <w:tcBorders>
              <w:top w:val="nil"/>
              <w:left w:val="single" w:sz="4" w:space="0" w:color="auto"/>
              <w:bottom w:val="nil"/>
              <w:right w:val="nil"/>
            </w:tcBorders>
            <w:shd w:val="clear" w:color="000000" w:fill="FFFFFF"/>
            <w:noWrap/>
            <w:hideMark/>
          </w:tcPr>
          <w:p w:rsidR="00E07DEB" w:rsidRPr="0027745B" w:rsidRDefault="00E07DEB" w:rsidP="008D63A6">
            <w:pPr>
              <w:spacing w:before="120"/>
              <w:jc w:val="center"/>
              <w:rPr>
                <w:rFonts w:cs="Arial"/>
                <w:color w:val="000000"/>
                <w:sz w:val="16"/>
                <w:szCs w:val="16"/>
              </w:rPr>
            </w:pPr>
            <w:r w:rsidRPr="0027745B">
              <w:rPr>
                <w:rFonts w:cs="Arial"/>
                <w:color w:val="000000"/>
                <w:sz w:val="16"/>
                <w:szCs w:val="16"/>
              </w:rPr>
              <w:t>V.1</w:t>
            </w:r>
          </w:p>
        </w:tc>
        <w:tc>
          <w:tcPr>
            <w:tcW w:w="4137" w:type="dxa"/>
            <w:tcBorders>
              <w:top w:val="nil"/>
              <w:left w:val="nil"/>
              <w:bottom w:val="nil"/>
              <w:right w:val="nil"/>
            </w:tcBorders>
            <w:shd w:val="clear" w:color="000000" w:fill="FFFFFF"/>
            <w:hideMark/>
          </w:tcPr>
          <w:p w:rsidR="00E07DEB" w:rsidRPr="0027745B" w:rsidRDefault="00E07DEB" w:rsidP="008D63A6">
            <w:pPr>
              <w:spacing w:before="120"/>
              <w:rPr>
                <w:rFonts w:cs="Arial"/>
                <w:color w:val="000000"/>
                <w:sz w:val="16"/>
                <w:szCs w:val="16"/>
              </w:rPr>
            </w:pPr>
            <w:r w:rsidRPr="0027745B">
              <w:rPr>
                <w:rFonts w:cs="Arial"/>
                <w:color w:val="000000"/>
                <w:sz w:val="16"/>
                <w:szCs w:val="16"/>
              </w:rPr>
              <w:t>Increased usage of WIPO statistical information on the performance of the international IP system</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1,569</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1,763</w:t>
            </w:r>
          </w:p>
        </w:tc>
        <w:tc>
          <w:tcPr>
            <w:tcW w:w="1560" w:type="dxa"/>
            <w:tcBorders>
              <w:top w:val="nil"/>
              <w:left w:val="nil"/>
              <w:bottom w:val="nil"/>
              <w:right w:val="single" w:sz="4" w:space="0" w:color="auto"/>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1,748</w:t>
            </w:r>
          </w:p>
        </w:tc>
      </w:tr>
      <w:tr w:rsidR="00E07DEB" w:rsidRPr="003C4C1D" w:rsidTr="00073773">
        <w:tc>
          <w:tcPr>
            <w:tcW w:w="546" w:type="dxa"/>
            <w:tcBorders>
              <w:top w:val="nil"/>
              <w:left w:val="single" w:sz="4" w:space="0" w:color="auto"/>
              <w:bottom w:val="nil"/>
              <w:right w:val="nil"/>
            </w:tcBorders>
            <w:shd w:val="clear" w:color="000000" w:fill="FFFFFF"/>
            <w:noWrap/>
            <w:hideMark/>
          </w:tcPr>
          <w:p w:rsidR="00E07DEB" w:rsidRPr="0027745B" w:rsidRDefault="00E07DEB" w:rsidP="008D63A6">
            <w:pPr>
              <w:spacing w:before="120"/>
              <w:jc w:val="center"/>
              <w:rPr>
                <w:rFonts w:cs="Arial"/>
                <w:color w:val="000000"/>
                <w:sz w:val="16"/>
                <w:szCs w:val="16"/>
              </w:rPr>
            </w:pPr>
            <w:r w:rsidRPr="0027745B">
              <w:rPr>
                <w:rFonts w:cs="Arial"/>
                <w:color w:val="000000"/>
                <w:sz w:val="16"/>
                <w:szCs w:val="16"/>
              </w:rPr>
              <w:t>V.2</w:t>
            </w:r>
          </w:p>
        </w:tc>
        <w:tc>
          <w:tcPr>
            <w:tcW w:w="4137" w:type="dxa"/>
            <w:tcBorders>
              <w:top w:val="nil"/>
              <w:left w:val="nil"/>
              <w:bottom w:val="nil"/>
              <w:right w:val="nil"/>
            </w:tcBorders>
            <w:shd w:val="clear" w:color="000000" w:fill="FFFFFF"/>
            <w:hideMark/>
          </w:tcPr>
          <w:p w:rsidR="00E07DEB" w:rsidRPr="0027745B" w:rsidRDefault="00E07DEB" w:rsidP="008D63A6">
            <w:pPr>
              <w:spacing w:before="120"/>
              <w:rPr>
                <w:rFonts w:cs="Arial"/>
                <w:color w:val="000000"/>
                <w:sz w:val="16"/>
                <w:szCs w:val="16"/>
              </w:rPr>
            </w:pPr>
            <w:r w:rsidRPr="0027745B">
              <w:rPr>
                <w:rFonts w:cs="Arial"/>
                <w:color w:val="000000"/>
                <w:sz w:val="16"/>
                <w:szCs w:val="16"/>
              </w:rPr>
              <w:t>Take-up of WIPO economic analysis as an input into the formulation of IP policy</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2,711</w:t>
            </w:r>
          </w:p>
        </w:tc>
        <w:tc>
          <w:tcPr>
            <w:tcW w:w="1559" w:type="dxa"/>
            <w:tcBorders>
              <w:top w:val="nil"/>
              <w:left w:val="nil"/>
              <w:bottom w:val="nil"/>
              <w:right w:val="nil"/>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3,044</w:t>
            </w:r>
          </w:p>
        </w:tc>
        <w:tc>
          <w:tcPr>
            <w:tcW w:w="1560" w:type="dxa"/>
            <w:tcBorders>
              <w:top w:val="nil"/>
              <w:left w:val="nil"/>
              <w:bottom w:val="nil"/>
              <w:right w:val="single" w:sz="4" w:space="0" w:color="auto"/>
            </w:tcBorders>
            <w:shd w:val="clear" w:color="000000" w:fill="FFFFFF"/>
            <w:vAlign w:val="center"/>
            <w:hideMark/>
          </w:tcPr>
          <w:p w:rsidR="00E07DEB" w:rsidRPr="0027745B" w:rsidRDefault="00E07DEB" w:rsidP="008D63A6">
            <w:pPr>
              <w:spacing w:before="120"/>
              <w:jc w:val="right"/>
              <w:rPr>
                <w:rFonts w:cs="Arial"/>
                <w:color w:val="000000"/>
                <w:sz w:val="16"/>
                <w:szCs w:val="16"/>
              </w:rPr>
            </w:pPr>
            <w:r w:rsidRPr="0027745B">
              <w:rPr>
                <w:rFonts w:cs="Arial"/>
                <w:color w:val="000000"/>
                <w:sz w:val="16"/>
                <w:szCs w:val="16"/>
              </w:rPr>
              <w:t>2,909</w:t>
            </w:r>
          </w:p>
        </w:tc>
      </w:tr>
      <w:tr w:rsidR="00E07DEB" w:rsidRPr="003C4C1D" w:rsidTr="00073773">
        <w:tc>
          <w:tcPr>
            <w:tcW w:w="546" w:type="dxa"/>
            <w:tcBorders>
              <w:top w:val="nil"/>
              <w:left w:val="single" w:sz="4" w:space="0" w:color="auto"/>
              <w:bottom w:val="single" w:sz="4" w:space="0" w:color="auto"/>
              <w:right w:val="nil"/>
            </w:tcBorders>
            <w:shd w:val="clear" w:color="000000" w:fill="FFFFFF"/>
            <w:noWrap/>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VII.3</w:t>
            </w:r>
          </w:p>
        </w:tc>
        <w:tc>
          <w:tcPr>
            <w:tcW w:w="4137" w:type="dxa"/>
            <w:tcBorders>
              <w:top w:val="nil"/>
              <w:left w:val="nil"/>
              <w:bottom w:val="single" w:sz="4" w:space="0" w:color="auto"/>
              <w:right w:val="nil"/>
            </w:tcBorders>
            <w:shd w:val="clear" w:color="000000" w:fill="FFFFFF"/>
            <w:hideMark/>
          </w:tcPr>
          <w:p w:rsidR="00E07DEB" w:rsidRPr="0027745B" w:rsidRDefault="00E07DEB" w:rsidP="000B3714">
            <w:pPr>
              <w:spacing w:before="120" w:after="120"/>
              <w:rPr>
                <w:rFonts w:cs="Arial"/>
                <w:color w:val="000000"/>
                <w:sz w:val="16"/>
                <w:szCs w:val="16"/>
              </w:rPr>
            </w:pPr>
            <w:r w:rsidRPr="0027745B">
              <w:rPr>
                <w:rFonts w:cs="Arial"/>
                <w:color w:val="000000"/>
                <w:sz w:val="16"/>
                <w:szCs w:val="16"/>
              </w:rPr>
              <w:t>IP-based tools are used for technology transfer from developed to developing countries, particularly least developed countries, to address global challenges</w:t>
            </w:r>
          </w:p>
        </w:tc>
        <w:tc>
          <w:tcPr>
            <w:tcW w:w="1559" w:type="dxa"/>
            <w:tcBorders>
              <w:top w:val="nil"/>
              <w:left w:val="nil"/>
              <w:bottom w:val="single" w:sz="4" w:space="0" w:color="auto"/>
              <w:right w:val="nil"/>
            </w:tcBorders>
            <w:shd w:val="clear" w:color="000000" w:fill="FFFFFF"/>
            <w:vAlign w:val="center"/>
            <w:hideMark/>
          </w:tcPr>
          <w:p w:rsidR="00E07DEB" w:rsidRPr="0027745B" w:rsidRDefault="00E07DEB" w:rsidP="000B3714">
            <w:pPr>
              <w:spacing w:before="120" w:after="120"/>
              <w:jc w:val="right"/>
              <w:rPr>
                <w:rFonts w:cs="Arial"/>
                <w:color w:val="000000"/>
                <w:sz w:val="16"/>
                <w:szCs w:val="16"/>
              </w:rPr>
            </w:pPr>
            <w:r w:rsidRPr="0027745B">
              <w:rPr>
                <w:rFonts w:cs="Arial"/>
                <w:color w:val="000000"/>
                <w:sz w:val="16"/>
                <w:szCs w:val="16"/>
              </w:rPr>
              <w:t>30</w:t>
            </w:r>
          </w:p>
        </w:tc>
        <w:tc>
          <w:tcPr>
            <w:tcW w:w="1559" w:type="dxa"/>
            <w:tcBorders>
              <w:top w:val="nil"/>
              <w:left w:val="nil"/>
              <w:bottom w:val="single" w:sz="4" w:space="0" w:color="auto"/>
              <w:right w:val="nil"/>
            </w:tcBorders>
            <w:shd w:val="clear" w:color="000000" w:fill="FFFFFF"/>
            <w:vAlign w:val="center"/>
            <w:hideMark/>
          </w:tcPr>
          <w:p w:rsidR="00E07DEB" w:rsidRPr="0027745B" w:rsidRDefault="00E07DEB" w:rsidP="000B3714">
            <w:pPr>
              <w:spacing w:before="120" w:after="120"/>
              <w:jc w:val="right"/>
              <w:rPr>
                <w:rFonts w:cs="Arial"/>
                <w:color w:val="000000"/>
                <w:sz w:val="16"/>
                <w:szCs w:val="16"/>
              </w:rPr>
            </w:pPr>
            <w:r w:rsidRPr="0027745B">
              <w:rPr>
                <w:rFonts w:cs="Arial"/>
                <w:color w:val="000000"/>
                <w:sz w:val="16"/>
                <w:szCs w:val="16"/>
              </w:rPr>
              <w:t>30</w:t>
            </w:r>
          </w:p>
        </w:tc>
        <w:tc>
          <w:tcPr>
            <w:tcW w:w="1560" w:type="dxa"/>
            <w:tcBorders>
              <w:top w:val="nil"/>
              <w:left w:val="nil"/>
              <w:bottom w:val="single" w:sz="4" w:space="0" w:color="auto"/>
              <w:right w:val="single" w:sz="4" w:space="0" w:color="auto"/>
            </w:tcBorders>
            <w:shd w:val="clear" w:color="000000" w:fill="FFFFFF"/>
            <w:vAlign w:val="center"/>
            <w:hideMark/>
          </w:tcPr>
          <w:p w:rsidR="00E07DEB" w:rsidRPr="0027745B" w:rsidRDefault="00E07DEB" w:rsidP="000B3714">
            <w:pPr>
              <w:spacing w:before="120" w:after="120"/>
              <w:jc w:val="right"/>
              <w:rPr>
                <w:rFonts w:cs="Arial"/>
                <w:color w:val="000000"/>
                <w:sz w:val="16"/>
                <w:szCs w:val="16"/>
              </w:rPr>
            </w:pPr>
            <w:r w:rsidRPr="0027745B">
              <w:rPr>
                <w:rFonts w:cs="Arial"/>
                <w:color w:val="000000"/>
                <w:sz w:val="16"/>
                <w:szCs w:val="16"/>
              </w:rPr>
              <w:t> </w:t>
            </w:r>
          </w:p>
        </w:tc>
      </w:tr>
      <w:tr w:rsidR="00E07DEB" w:rsidRPr="003C4C1D" w:rsidTr="00073773">
        <w:tc>
          <w:tcPr>
            <w:tcW w:w="546" w:type="dxa"/>
            <w:tcBorders>
              <w:top w:val="nil"/>
              <w:left w:val="single" w:sz="4" w:space="0" w:color="auto"/>
              <w:bottom w:val="single" w:sz="4" w:space="0" w:color="auto"/>
              <w:right w:val="nil"/>
            </w:tcBorders>
            <w:shd w:val="clear" w:color="000000" w:fill="CCFFFF"/>
            <w:noWrap/>
            <w:vAlign w:val="bottom"/>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 </w:t>
            </w:r>
          </w:p>
        </w:tc>
        <w:tc>
          <w:tcPr>
            <w:tcW w:w="4137" w:type="dxa"/>
            <w:tcBorders>
              <w:top w:val="nil"/>
              <w:left w:val="nil"/>
              <w:bottom w:val="single" w:sz="4" w:space="0" w:color="auto"/>
              <w:right w:val="nil"/>
            </w:tcBorders>
            <w:shd w:val="clear" w:color="000000" w:fill="CCFFFF"/>
            <w:noWrap/>
            <w:vAlign w:val="center"/>
            <w:hideMark/>
          </w:tcPr>
          <w:p w:rsidR="00E07DEB" w:rsidRPr="0027745B" w:rsidRDefault="00E07DEB" w:rsidP="000B3714">
            <w:pPr>
              <w:spacing w:before="120" w:after="120"/>
              <w:rPr>
                <w:rFonts w:cs="Arial"/>
                <w:b/>
                <w:bCs/>
                <w:color w:val="000000"/>
                <w:sz w:val="16"/>
                <w:szCs w:val="16"/>
              </w:rPr>
            </w:pPr>
            <w:r w:rsidRPr="0027745B">
              <w:rPr>
                <w:rFonts w:cs="Arial"/>
                <w:b/>
                <w:bCs/>
                <w:color w:val="000000"/>
                <w:sz w:val="16"/>
                <w:szCs w:val="16"/>
              </w:rPr>
              <w:t>Total</w:t>
            </w:r>
          </w:p>
        </w:tc>
        <w:tc>
          <w:tcPr>
            <w:tcW w:w="1559" w:type="dxa"/>
            <w:tcBorders>
              <w:top w:val="nil"/>
              <w:left w:val="single" w:sz="4" w:space="0" w:color="auto"/>
              <w:bottom w:val="single" w:sz="4" w:space="0" w:color="auto"/>
              <w:right w:val="single" w:sz="4" w:space="0" w:color="auto"/>
            </w:tcBorders>
            <w:shd w:val="clear" w:color="000000" w:fill="CCFFFF"/>
            <w:vAlign w:val="center"/>
            <w:hideMark/>
          </w:tcPr>
          <w:p w:rsidR="00E07DEB" w:rsidRPr="0027745B" w:rsidRDefault="00E07DEB" w:rsidP="000B3714">
            <w:pPr>
              <w:spacing w:before="120" w:after="120"/>
              <w:jc w:val="right"/>
              <w:rPr>
                <w:rFonts w:cs="Arial"/>
                <w:b/>
                <w:bCs/>
                <w:color w:val="000000"/>
                <w:sz w:val="16"/>
                <w:szCs w:val="16"/>
              </w:rPr>
            </w:pPr>
            <w:r w:rsidRPr="0027745B">
              <w:rPr>
                <w:rFonts w:cs="Arial"/>
                <w:b/>
                <w:bCs/>
                <w:color w:val="000000"/>
                <w:sz w:val="16"/>
                <w:szCs w:val="16"/>
              </w:rPr>
              <w:t>4,585</w:t>
            </w:r>
          </w:p>
        </w:tc>
        <w:tc>
          <w:tcPr>
            <w:tcW w:w="1559" w:type="dxa"/>
            <w:tcBorders>
              <w:top w:val="nil"/>
              <w:left w:val="nil"/>
              <w:bottom w:val="single" w:sz="4" w:space="0" w:color="auto"/>
              <w:right w:val="single" w:sz="4" w:space="0" w:color="auto"/>
            </w:tcBorders>
            <w:shd w:val="clear" w:color="000000" w:fill="CCFFFF"/>
            <w:noWrap/>
            <w:vAlign w:val="center"/>
            <w:hideMark/>
          </w:tcPr>
          <w:p w:rsidR="00E07DEB" w:rsidRPr="0027745B" w:rsidRDefault="00E07DEB" w:rsidP="000B3714">
            <w:pPr>
              <w:spacing w:before="120" w:after="120"/>
              <w:jc w:val="right"/>
              <w:rPr>
                <w:rFonts w:cs="Arial"/>
                <w:b/>
                <w:bCs/>
                <w:color w:val="000000"/>
                <w:sz w:val="16"/>
                <w:szCs w:val="16"/>
              </w:rPr>
            </w:pPr>
            <w:r w:rsidRPr="0027745B">
              <w:rPr>
                <w:rFonts w:cs="Arial"/>
                <w:b/>
                <w:bCs/>
                <w:color w:val="000000"/>
                <w:sz w:val="16"/>
                <w:szCs w:val="16"/>
              </w:rPr>
              <w:t>5,182</w:t>
            </w:r>
          </w:p>
        </w:tc>
        <w:tc>
          <w:tcPr>
            <w:tcW w:w="1560" w:type="dxa"/>
            <w:tcBorders>
              <w:top w:val="nil"/>
              <w:left w:val="nil"/>
              <w:bottom w:val="single" w:sz="4" w:space="0" w:color="auto"/>
              <w:right w:val="single" w:sz="4" w:space="0" w:color="auto"/>
            </w:tcBorders>
            <w:shd w:val="clear" w:color="000000" w:fill="CCFFFF"/>
            <w:vAlign w:val="center"/>
            <w:hideMark/>
          </w:tcPr>
          <w:p w:rsidR="00E07DEB" w:rsidRPr="0027745B" w:rsidRDefault="00E07DEB" w:rsidP="000B3714">
            <w:pPr>
              <w:spacing w:before="120" w:after="120"/>
              <w:jc w:val="right"/>
              <w:rPr>
                <w:rFonts w:cs="Arial"/>
                <w:b/>
                <w:bCs/>
                <w:color w:val="000000"/>
                <w:sz w:val="16"/>
                <w:szCs w:val="16"/>
              </w:rPr>
            </w:pPr>
            <w:r w:rsidRPr="0027745B">
              <w:rPr>
                <w:rFonts w:cs="Arial"/>
                <w:b/>
                <w:bCs/>
                <w:color w:val="000000"/>
                <w:sz w:val="16"/>
                <w:szCs w:val="16"/>
              </w:rPr>
              <w:t>4,990</w:t>
            </w:r>
          </w:p>
        </w:tc>
      </w:tr>
    </w:tbl>
    <w:p w:rsidR="00E07DEB" w:rsidRDefault="00E07DEB" w:rsidP="00E07DEB"/>
    <w:p w:rsidR="008D63A6" w:rsidRDefault="008D63A6" w:rsidP="00E07DEB"/>
    <w:p w:rsidR="00E07DEB" w:rsidRPr="0027745B" w:rsidRDefault="00E07DEB" w:rsidP="00E07DEB">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E07DEB" w:rsidRPr="0027745B" w:rsidRDefault="00E07DEB" w:rsidP="00E07D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E07DEB" w:rsidRDefault="00E07DEB" w:rsidP="00E07DEB"/>
    <w:tbl>
      <w:tblPr>
        <w:tblW w:w="0" w:type="auto"/>
        <w:tblInd w:w="93" w:type="dxa"/>
        <w:tblLook w:val="04A0" w:firstRow="1" w:lastRow="0" w:firstColumn="1" w:lastColumn="0" w:noHBand="0" w:noVBand="1"/>
      </w:tblPr>
      <w:tblGrid>
        <w:gridCol w:w="2567"/>
        <w:gridCol w:w="1630"/>
        <w:gridCol w:w="1630"/>
        <w:gridCol w:w="1630"/>
        <w:gridCol w:w="1914"/>
      </w:tblGrid>
      <w:tr w:rsidR="00E07DEB" w:rsidRPr="000B3714" w:rsidTr="00073773">
        <w:trPr>
          <w:trHeight w:val="444"/>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E07DEB" w:rsidRPr="000B3714" w:rsidRDefault="00E07DEB" w:rsidP="000B3714">
            <w:pPr>
              <w:spacing w:before="120" w:after="120"/>
              <w:rPr>
                <w:rFonts w:cs="Arial"/>
                <w:color w:val="000000"/>
                <w:sz w:val="16"/>
                <w:szCs w:val="16"/>
              </w:rPr>
            </w:pPr>
            <w:r w:rsidRPr="000B3714">
              <w:rPr>
                <w:rFonts w:cs="Arial"/>
                <w:color w:val="000000"/>
                <w:sz w:val="16"/>
                <w:szCs w:val="16"/>
              </w:rPr>
              <w:t> </w:t>
            </w:r>
          </w:p>
        </w:tc>
        <w:tc>
          <w:tcPr>
            <w:tcW w:w="1630" w:type="dxa"/>
            <w:tcBorders>
              <w:top w:val="single" w:sz="4" w:space="0" w:color="auto"/>
              <w:left w:val="nil"/>
              <w:bottom w:val="nil"/>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Approved Budget 2012/13</w:t>
            </w:r>
          </w:p>
        </w:tc>
        <w:tc>
          <w:tcPr>
            <w:tcW w:w="1630" w:type="dxa"/>
            <w:tcBorders>
              <w:top w:val="single" w:sz="4" w:space="0" w:color="auto"/>
              <w:left w:val="nil"/>
              <w:bottom w:val="nil"/>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Budget after transfers 2012/13</w:t>
            </w:r>
          </w:p>
        </w:tc>
        <w:tc>
          <w:tcPr>
            <w:tcW w:w="1630" w:type="dxa"/>
            <w:tcBorders>
              <w:top w:val="single" w:sz="4" w:space="0" w:color="auto"/>
              <w:left w:val="nil"/>
              <w:bottom w:val="nil"/>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Expenditures 2012/13</w:t>
            </w:r>
          </w:p>
        </w:tc>
        <w:tc>
          <w:tcPr>
            <w:tcW w:w="1914" w:type="dxa"/>
            <w:tcBorders>
              <w:top w:val="single" w:sz="4" w:space="0" w:color="auto"/>
              <w:left w:val="nil"/>
              <w:bottom w:val="nil"/>
              <w:right w:val="single" w:sz="4" w:space="0" w:color="auto"/>
            </w:tcBorders>
            <w:shd w:val="clear" w:color="000000" w:fill="CCFFFF"/>
            <w:vAlign w:val="center"/>
            <w:hideMark/>
          </w:tcPr>
          <w:p w:rsidR="00E07DEB" w:rsidRPr="000B3714" w:rsidRDefault="00E07DEB" w:rsidP="000B3714">
            <w:pPr>
              <w:spacing w:before="120" w:after="120"/>
              <w:jc w:val="center"/>
              <w:rPr>
                <w:rFonts w:cs="Arial"/>
                <w:bCs/>
                <w:color w:val="000000"/>
                <w:sz w:val="16"/>
                <w:szCs w:val="16"/>
              </w:rPr>
            </w:pPr>
            <w:r w:rsidRPr="000B3714">
              <w:rPr>
                <w:rFonts w:cs="Arial"/>
                <w:bCs/>
                <w:color w:val="000000"/>
                <w:sz w:val="16"/>
                <w:szCs w:val="16"/>
              </w:rPr>
              <w:t>Utilization rate (%)</w:t>
            </w:r>
          </w:p>
        </w:tc>
      </w:tr>
      <w:tr w:rsidR="00E07DEB" w:rsidRPr="003C4C1D" w:rsidTr="00073773">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7DEB" w:rsidRPr="0027745B" w:rsidRDefault="00E07DEB" w:rsidP="000B3714">
            <w:pPr>
              <w:spacing w:before="120" w:after="120"/>
              <w:rPr>
                <w:rFonts w:cs="Arial"/>
                <w:color w:val="000000"/>
                <w:sz w:val="16"/>
                <w:szCs w:val="16"/>
              </w:rPr>
            </w:pPr>
            <w:r w:rsidRPr="0027745B">
              <w:rPr>
                <w:rFonts w:cs="Arial"/>
                <w:color w:val="000000"/>
                <w:sz w:val="16"/>
                <w:szCs w:val="16"/>
              </w:rPr>
              <w:t xml:space="preserve">Personnel Resources  </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3,455</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3,776</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3,776</w:t>
            </w:r>
          </w:p>
        </w:tc>
        <w:tc>
          <w:tcPr>
            <w:tcW w:w="1914" w:type="dxa"/>
            <w:tcBorders>
              <w:top w:val="single" w:sz="4" w:space="0" w:color="auto"/>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100%</w:t>
            </w:r>
          </w:p>
        </w:tc>
      </w:tr>
      <w:tr w:rsidR="00E07DEB" w:rsidRPr="003C4C1D" w:rsidTr="00073773">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7DEB" w:rsidRPr="0027745B" w:rsidRDefault="00E07DEB" w:rsidP="000B3714">
            <w:pPr>
              <w:spacing w:before="120" w:after="120"/>
              <w:rPr>
                <w:rFonts w:cs="Arial"/>
                <w:color w:val="000000"/>
                <w:sz w:val="16"/>
                <w:szCs w:val="16"/>
              </w:rPr>
            </w:pPr>
            <w:r w:rsidRPr="0027745B">
              <w:rPr>
                <w:rFonts w:cs="Arial"/>
                <w:color w:val="000000"/>
                <w:sz w:val="16"/>
                <w:szCs w:val="16"/>
              </w:rPr>
              <w:t xml:space="preserve">Non-personnel Resources </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1,130</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1,407</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1,214</w:t>
            </w:r>
          </w:p>
        </w:tc>
        <w:tc>
          <w:tcPr>
            <w:tcW w:w="1914"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color w:val="000000"/>
                <w:sz w:val="16"/>
                <w:szCs w:val="16"/>
              </w:rPr>
            </w:pPr>
            <w:r w:rsidRPr="0027745B">
              <w:rPr>
                <w:rFonts w:cs="Arial"/>
                <w:color w:val="000000"/>
                <w:sz w:val="16"/>
                <w:szCs w:val="16"/>
              </w:rPr>
              <w:t>86%</w:t>
            </w:r>
          </w:p>
        </w:tc>
      </w:tr>
      <w:tr w:rsidR="00E07DEB" w:rsidRPr="003C4C1D" w:rsidTr="00073773">
        <w:trPr>
          <w:trHeight w:val="486"/>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E07DEB" w:rsidRPr="0027745B" w:rsidRDefault="00E07DEB" w:rsidP="000B3714">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4,585</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5,182</w:t>
            </w:r>
          </w:p>
        </w:tc>
        <w:tc>
          <w:tcPr>
            <w:tcW w:w="1630"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4,990</w:t>
            </w:r>
          </w:p>
        </w:tc>
        <w:tc>
          <w:tcPr>
            <w:tcW w:w="1914" w:type="dxa"/>
            <w:tcBorders>
              <w:top w:val="nil"/>
              <w:left w:val="nil"/>
              <w:bottom w:val="single" w:sz="4" w:space="0" w:color="auto"/>
              <w:right w:val="single" w:sz="4" w:space="0" w:color="auto"/>
            </w:tcBorders>
            <w:shd w:val="clear" w:color="auto" w:fill="auto"/>
            <w:vAlign w:val="center"/>
            <w:hideMark/>
          </w:tcPr>
          <w:p w:rsidR="00E07DEB" w:rsidRPr="0027745B" w:rsidRDefault="00E07DEB" w:rsidP="000B3714">
            <w:pPr>
              <w:spacing w:before="120" w:after="120"/>
              <w:jc w:val="center"/>
              <w:rPr>
                <w:rFonts w:cs="Arial"/>
                <w:b/>
                <w:bCs/>
                <w:color w:val="000000"/>
                <w:sz w:val="16"/>
                <w:szCs w:val="16"/>
              </w:rPr>
            </w:pPr>
            <w:r w:rsidRPr="0027745B">
              <w:rPr>
                <w:rFonts w:cs="Arial"/>
                <w:b/>
                <w:bCs/>
                <w:color w:val="000000"/>
                <w:sz w:val="16"/>
                <w:szCs w:val="16"/>
              </w:rPr>
              <w:t>96%</w:t>
            </w:r>
          </w:p>
        </w:tc>
      </w:tr>
    </w:tbl>
    <w:p w:rsidR="00E07DEB" w:rsidRPr="0027745B" w:rsidRDefault="00E07DEB" w:rsidP="00E07DEB">
      <w:pPr>
        <w:rPr>
          <w:rFonts w:cs="Arial"/>
        </w:rPr>
      </w:pPr>
    </w:p>
    <w:p w:rsidR="00E07DEB" w:rsidRPr="0027745B" w:rsidRDefault="00E07DEB" w:rsidP="00E07DEB">
      <w:pPr>
        <w:keepNext/>
        <w:autoSpaceDE w:val="0"/>
        <w:autoSpaceDN w:val="0"/>
        <w:rPr>
          <w:rFonts w:cs="Arial"/>
          <w:sz w:val="16"/>
          <w:szCs w:val="16"/>
        </w:rPr>
      </w:pPr>
      <w:r w:rsidRPr="0027745B">
        <w:rPr>
          <w:rFonts w:cs="Arial"/>
          <w:sz w:val="16"/>
          <w:szCs w:val="16"/>
        </w:rPr>
        <w:t>NOTES:</w:t>
      </w:r>
    </w:p>
    <w:p w:rsidR="00E07DEB" w:rsidRPr="0027745B" w:rsidRDefault="00E07DEB" w:rsidP="00E07DEB">
      <w:pPr>
        <w:keepNext/>
        <w:autoSpaceDE w:val="0"/>
        <w:autoSpaceDN w:val="0"/>
        <w:rPr>
          <w:rFonts w:cs="Arial"/>
          <w:sz w:val="16"/>
          <w:szCs w:val="16"/>
        </w:rPr>
      </w:pPr>
    </w:p>
    <w:p w:rsidR="00E07DEB" w:rsidRPr="0027745B" w:rsidRDefault="00E07DEB" w:rsidP="00E07DEB">
      <w:pPr>
        <w:keepNext/>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E07DEB" w:rsidRPr="0027745B" w:rsidRDefault="00E07DEB" w:rsidP="00E07DEB">
      <w:pPr>
        <w:keepNext/>
        <w:autoSpaceDE w:val="0"/>
        <w:autoSpaceDN w:val="0"/>
        <w:rPr>
          <w:rFonts w:cs="Arial"/>
          <w:sz w:val="16"/>
          <w:szCs w:val="16"/>
        </w:rPr>
      </w:pPr>
    </w:p>
    <w:p w:rsidR="00E07DEB" w:rsidRPr="0027745B" w:rsidRDefault="00DC2CFA" w:rsidP="00E07DEB">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E07DEB" w:rsidRPr="0027745B">
        <w:rPr>
          <w:rFonts w:cs="Arial"/>
          <w:sz w:val="16"/>
          <w:szCs w:val="16"/>
        </w:rPr>
        <w:t xml:space="preserve"> </w:t>
      </w:r>
    </w:p>
    <w:p w:rsidR="00E07DEB" w:rsidRPr="0027745B" w:rsidRDefault="00E07DEB" w:rsidP="00E07DEB">
      <w:pPr>
        <w:keepNext/>
        <w:autoSpaceDE w:val="0"/>
        <w:autoSpaceDN w:val="0"/>
        <w:rPr>
          <w:rFonts w:cs="Arial"/>
          <w:sz w:val="16"/>
          <w:szCs w:val="16"/>
        </w:rPr>
      </w:pPr>
    </w:p>
    <w:p w:rsidR="00E07DEB" w:rsidRPr="00A16298" w:rsidRDefault="00E07DEB" w:rsidP="00A16298">
      <w:pPr>
        <w:keepNext/>
        <w:autoSpaceDE w:val="0"/>
        <w:autoSpaceDN w:val="0"/>
        <w:rPr>
          <w:rFonts w:cs="Arial"/>
          <w:sz w:val="16"/>
          <w:szCs w:val="16"/>
        </w:rPr>
      </w:pPr>
      <w:r w:rsidRPr="0027745B">
        <w:rPr>
          <w:rFonts w:cs="Arial"/>
          <w:sz w:val="16"/>
          <w:szCs w:val="16"/>
        </w:rPr>
        <w:t>(3)  The non-personnel allocation for the 2012/13 Budget after Transfers reflects downward adjustments made for cost efficiency gains, in accordance with the Organization’s commitment to reduce expenditures by 10.2 million Swiss francs in the 2012/13 biennium.</w:t>
      </w:r>
    </w:p>
    <w:p w:rsidR="00E07DEB" w:rsidRDefault="00E07DEB" w:rsidP="00E07DEB">
      <w:pPr>
        <w:keepNext/>
        <w:keepLines/>
        <w:rPr>
          <w:rFonts w:cs="Arial"/>
          <w:sz w:val="22"/>
          <w:szCs w:val="22"/>
        </w:rPr>
      </w:pPr>
    </w:p>
    <w:p w:rsidR="00E07DEB" w:rsidRPr="002E214F" w:rsidRDefault="00E07DEB" w:rsidP="00E07DEB">
      <w:pPr>
        <w:tabs>
          <w:tab w:val="left" w:pos="709"/>
        </w:tabs>
        <w:rPr>
          <w:rFonts w:cs="Arial"/>
          <w:szCs w:val="20"/>
          <w:u w:val="single"/>
        </w:rPr>
      </w:pPr>
      <w:r w:rsidRPr="002E214F">
        <w:rPr>
          <w:rFonts w:cs="Arial"/>
          <w:szCs w:val="20"/>
        </w:rPr>
        <w:t>A.</w:t>
      </w:r>
      <w:r w:rsidRPr="002E214F">
        <w:rPr>
          <w:rFonts w:cs="Arial"/>
          <w:szCs w:val="20"/>
        </w:rPr>
        <w:tab/>
      </w:r>
      <w:r w:rsidRPr="002E214F">
        <w:rPr>
          <w:rFonts w:cs="Arial"/>
          <w:szCs w:val="20"/>
          <w:u w:val="single"/>
        </w:rPr>
        <w:t>Budget after Transfers 2012/13</w:t>
      </w:r>
    </w:p>
    <w:p w:rsidR="00E07DEB" w:rsidRPr="002E214F" w:rsidRDefault="00E07DEB" w:rsidP="00E07DEB">
      <w:pPr>
        <w:tabs>
          <w:tab w:val="left" w:pos="709"/>
        </w:tabs>
        <w:rPr>
          <w:rFonts w:cs="Arial"/>
          <w:szCs w:val="20"/>
          <w:u w:val="single"/>
        </w:rPr>
      </w:pPr>
    </w:p>
    <w:p w:rsidR="00E07DEB" w:rsidRPr="002E214F" w:rsidRDefault="00E07DEB" w:rsidP="00E07DEB">
      <w:pPr>
        <w:tabs>
          <w:tab w:val="left" w:pos="709"/>
        </w:tabs>
        <w:jc w:val="both"/>
        <w:rPr>
          <w:rFonts w:cs="Arial"/>
          <w:szCs w:val="20"/>
        </w:rPr>
      </w:pPr>
      <w:r>
        <w:rPr>
          <w:rFonts w:cs="Arial"/>
          <w:szCs w:val="20"/>
        </w:rPr>
        <w:t>16.5.</w:t>
      </w:r>
      <w:r>
        <w:rPr>
          <w:rFonts w:cs="Arial"/>
          <w:szCs w:val="20"/>
        </w:rPr>
        <w:tab/>
      </w:r>
      <w:r w:rsidRPr="002E214F">
        <w:rPr>
          <w:rFonts w:cs="Arial"/>
          <w:szCs w:val="20"/>
        </w:rPr>
        <w:t xml:space="preserve">Additional resources, including personnel resources, were allocated to Results V.1 (Increased usage of WIPO statistical information) for the revised project proposal for the DA project IP and Brain Drain and V.2 (Take-up of WIPO economic analysis) for enhanced emphasis on economic studies and analysis under the DA projects on IP and Socio-Economic Development and IP and the Informal Economy and the publication of the World IP Report and Global Innovation Index.  </w:t>
      </w:r>
    </w:p>
    <w:p w:rsidR="00E07DEB" w:rsidRPr="002E214F" w:rsidRDefault="00E07DEB" w:rsidP="00E07DEB">
      <w:pPr>
        <w:tabs>
          <w:tab w:val="left" w:pos="709"/>
        </w:tabs>
        <w:autoSpaceDE w:val="0"/>
        <w:autoSpaceDN w:val="0"/>
        <w:jc w:val="both"/>
        <w:rPr>
          <w:rFonts w:cs="Arial"/>
          <w:szCs w:val="20"/>
          <w:lang w:eastAsia="ko-KR"/>
        </w:rPr>
      </w:pPr>
    </w:p>
    <w:p w:rsidR="00E07DEB" w:rsidRPr="002E214F" w:rsidRDefault="00E07DEB" w:rsidP="00E07DEB">
      <w:pPr>
        <w:tabs>
          <w:tab w:val="left" w:pos="709"/>
        </w:tabs>
        <w:jc w:val="both"/>
        <w:rPr>
          <w:rFonts w:cs="Arial"/>
          <w:szCs w:val="20"/>
          <w:u w:val="single"/>
          <w:lang w:eastAsia="ko-KR"/>
        </w:rPr>
      </w:pPr>
      <w:r w:rsidRPr="002E214F">
        <w:rPr>
          <w:rFonts w:cs="Arial"/>
          <w:szCs w:val="20"/>
          <w:lang w:eastAsia="ko-KR"/>
        </w:rPr>
        <w:t>B.</w:t>
      </w:r>
      <w:r w:rsidRPr="002E214F">
        <w:rPr>
          <w:rFonts w:cs="Arial"/>
          <w:szCs w:val="20"/>
          <w:lang w:eastAsia="ko-KR"/>
        </w:rPr>
        <w:tab/>
        <w:t xml:space="preserve"> </w:t>
      </w:r>
      <w:r w:rsidR="00D44A34">
        <w:rPr>
          <w:rFonts w:cs="Arial"/>
          <w:szCs w:val="20"/>
          <w:u w:val="single"/>
          <w:lang w:eastAsia="ko-KR"/>
        </w:rPr>
        <w:t>Budget U</w:t>
      </w:r>
      <w:r w:rsidRPr="002E214F">
        <w:rPr>
          <w:rFonts w:cs="Arial"/>
          <w:szCs w:val="20"/>
          <w:u w:val="single"/>
          <w:lang w:eastAsia="ko-KR"/>
        </w:rPr>
        <w:t>tilization 2012/13</w:t>
      </w:r>
    </w:p>
    <w:p w:rsidR="00E07DEB" w:rsidRPr="002E214F" w:rsidRDefault="00E07DEB" w:rsidP="00E07DEB">
      <w:pPr>
        <w:keepNext/>
        <w:keepLines/>
        <w:tabs>
          <w:tab w:val="left" w:pos="709"/>
        </w:tabs>
        <w:jc w:val="both"/>
        <w:rPr>
          <w:rFonts w:cs="Arial"/>
          <w:szCs w:val="20"/>
        </w:rPr>
      </w:pPr>
    </w:p>
    <w:p w:rsidR="00E07DEB" w:rsidRPr="002E214F" w:rsidRDefault="00E07DEB" w:rsidP="00E07DEB">
      <w:pPr>
        <w:keepNext/>
        <w:keepLines/>
        <w:tabs>
          <w:tab w:val="left" w:pos="709"/>
        </w:tabs>
        <w:jc w:val="both"/>
        <w:rPr>
          <w:rFonts w:cs="Arial"/>
          <w:szCs w:val="20"/>
        </w:rPr>
      </w:pPr>
      <w:r>
        <w:rPr>
          <w:rFonts w:cs="Arial"/>
          <w:szCs w:val="20"/>
        </w:rPr>
        <w:t>16.6.</w:t>
      </w:r>
      <w:r>
        <w:rPr>
          <w:rFonts w:cs="Arial"/>
          <w:szCs w:val="20"/>
        </w:rPr>
        <w:tab/>
      </w:r>
      <w:r w:rsidRPr="002E214F">
        <w:rPr>
          <w:rFonts w:cs="Arial"/>
          <w:szCs w:val="20"/>
        </w:rPr>
        <w:t>The 86 per cent budget utilization for non-personnel was primarily related to</w:t>
      </w:r>
      <w:r>
        <w:rPr>
          <w:rFonts w:cs="Arial"/>
          <w:szCs w:val="20"/>
        </w:rPr>
        <w:t xml:space="preserve">: </w:t>
      </w:r>
      <w:r w:rsidR="008D63A6">
        <w:rPr>
          <w:rFonts w:cs="Arial"/>
          <w:szCs w:val="20"/>
        </w:rPr>
        <w:t xml:space="preserve"> (</w:t>
      </w:r>
      <w:r>
        <w:rPr>
          <w:rFonts w:cs="Arial"/>
          <w:szCs w:val="20"/>
        </w:rPr>
        <w:t>i)</w:t>
      </w:r>
      <w:r w:rsidRPr="002E214F">
        <w:rPr>
          <w:rFonts w:cs="Arial"/>
          <w:szCs w:val="20"/>
        </w:rPr>
        <w:t xml:space="preserve"> a slight delay in the implementation</w:t>
      </w:r>
      <w:r>
        <w:rPr>
          <w:rFonts w:cs="Arial"/>
          <w:szCs w:val="20"/>
        </w:rPr>
        <w:t xml:space="preserve"> </w:t>
      </w:r>
      <w:r w:rsidRPr="002E214F">
        <w:rPr>
          <w:rFonts w:cs="Arial"/>
          <w:szCs w:val="20"/>
        </w:rPr>
        <w:t xml:space="preserve">of </w:t>
      </w:r>
      <w:r>
        <w:rPr>
          <w:rFonts w:cs="Arial"/>
          <w:szCs w:val="20"/>
        </w:rPr>
        <w:t xml:space="preserve">two of </w:t>
      </w:r>
      <w:r w:rsidRPr="002E214F">
        <w:rPr>
          <w:rFonts w:cs="Arial"/>
          <w:szCs w:val="20"/>
        </w:rPr>
        <w:t xml:space="preserve">the </w:t>
      </w:r>
      <w:r>
        <w:rPr>
          <w:rFonts w:cs="Arial"/>
          <w:szCs w:val="20"/>
        </w:rPr>
        <w:t xml:space="preserve">six planned country study projects under the </w:t>
      </w:r>
      <w:r w:rsidRPr="002E214F">
        <w:rPr>
          <w:rFonts w:cs="Arial"/>
          <w:szCs w:val="20"/>
        </w:rPr>
        <w:t>DA Project on Socio-Economic Development</w:t>
      </w:r>
      <w:r w:rsidRPr="002D000F">
        <w:rPr>
          <w:rFonts w:cs="Arial"/>
          <w:szCs w:val="20"/>
        </w:rPr>
        <w:t xml:space="preserve"> </w:t>
      </w:r>
      <w:r w:rsidRPr="002E214F">
        <w:rPr>
          <w:rFonts w:cs="Arial"/>
          <w:szCs w:val="20"/>
        </w:rPr>
        <w:t>and IP</w:t>
      </w:r>
      <w:proofErr w:type="gramStart"/>
      <w:r>
        <w:rPr>
          <w:rFonts w:cs="Arial"/>
          <w:szCs w:val="20"/>
        </w:rPr>
        <w:t xml:space="preserve">; </w:t>
      </w:r>
      <w:r w:rsidR="008D63A6">
        <w:rPr>
          <w:rFonts w:cs="Arial"/>
          <w:szCs w:val="20"/>
        </w:rPr>
        <w:t xml:space="preserve"> </w:t>
      </w:r>
      <w:r w:rsidRPr="002E214F">
        <w:rPr>
          <w:rFonts w:cs="Arial"/>
          <w:szCs w:val="20"/>
        </w:rPr>
        <w:t>and</w:t>
      </w:r>
      <w:proofErr w:type="gramEnd"/>
      <w:r>
        <w:rPr>
          <w:rFonts w:cs="Arial"/>
          <w:szCs w:val="20"/>
        </w:rPr>
        <w:t xml:space="preserve"> </w:t>
      </w:r>
      <w:r w:rsidR="008D63A6">
        <w:rPr>
          <w:rFonts w:cs="Arial"/>
          <w:szCs w:val="20"/>
        </w:rPr>
        <w:t>(</w:t>
      </w:r>
      <w:r>
        <w:rPr>
          <w:rFonts w:cs="Arial"/>
          <w:szCs w:val="20"/>
        </w:rPr>
        <w:t>ii)</w:t>
      </w:r>
      <w:r w:rsidRPr="002E214F">
        <w:rPr>
          <w:rFonts w:cs="Arial"/>
          <w:szCs w:val="20"/>
        </w:rPr>
        <w:t xml:space="preserve"> cost-efficiency savings on the project</w:t>
      </w:r>
      <w:r>
        <w:rPr>
          <w:rFonts w:cs="Arial"/>
          <w:szCs w:val="20"/>
        </w:rPr>
        <w:t>,</w:t>
      </w:r>
      <w:r w:rsidRPr="002E214F">
        <w:rPr>
          <w:rFonts w:cs="Arial"/>
          <w:szCs w:val="20"/>
        </w:rPr>
        <w:t xml:space="preserve"> in particular on contractual services.  </w:t>
      </w:r>
    </w:p>
    <w:p w:rsidR="005660B2" w:rsidRDefault="005660B2">
      <w:pPr>
        <w:rPr>
          <w:szCs w:val="20"/>
        </w:rPr>
      </w:pPr>
      <w:r>
        <w:br w:type="page"/>
      </w:r>
    </w:p>
    <w:p w:rsidR="001525FC" w:rsidRPr="00A522FE" w:rsidRDefault="001525FC" w:rsidP="001525FC">
      <w:pPr>
        <w:pStyle w:val="Heading2"/>
      </w:pPr>
      <w:bookmarkStart w:id="46" w:name="_Toc301357263"/>
      <w:bookmarkStart w:id="47" w:name="_Toc393956064"/>
      <w:r w:rsidRPr="00A522FE">
        <w:lastRenderedPageBreak/>
        <w:t xml:space="preserve">STRATEGIC GOAL </w:t>
      </w:r>
      <w:proofErr w:type="gramStart"/>
      <w:r w:rsidRPr="00A522FE">
        <w:t xml:space="preserve">VI  </w:t>
      </w:r>
      <w:proofErr w:type="gramEnd"/>
      <w:r w:rsidRPr="00A522FE">
        <w:br/>
      </w:r>
      <w:r w:rsidRPr="00A522FE">
        <w:br/>
        <w:t>International Cooperation on Building Respect for IP</w:t>
      </w:r>
      <w:bookmarkEnd w:id="46"/>
      <w:bookmarkEnd w:id="47"/>
      <w:r w:rsidRPr="00A522FE">
        <w:t xml:space="preserve"> </w:t>
      </w:r>
    </w:p>
    <w:p w:rsidR="001525FC" w:rsidRDefault="001525FC" w:rsidP="001525FC">
      <w:pPr>
        <w:jc w:val="center"/>
      </w:pPr>
    </w:p>
    <w:p w:rsidR="006A6EC1" w:rsidRDefault="006A6EC1" w:rsidP="001525FC">
      <w:pPr>
        <w:jc w:val="center"/>
      </w:pPr>
    </w:p>
    <w:p w:rsidR="001525FC" w:rsidRPr="00A522FE" w:rsidRDefault="001525FC" w:rsidP="001525FC">
      <w:pPr>
        <w:jc w:val="center"/>
      </w:pPr>
    </w:p>
    <w:p w:rsidR="001525FC" w:rsidRPr="0086702C" w:rsidRDefault="001525FC" w:rsidP="001525FC">
      <w:pPr>
        <w:jc w:val="center"/>
        <w:rPr>
          <w:szCs w:val="20"/>
        </w:rPr>
      </w:pPr>
      <w:r w:rsidRPr="0086702C">
        <w:rPr>
          <w:szCs w:val="20"/>
        </w:rPr>
        <w:t>BIENNIAL PERFORMANCE DASHBOARD</w:t>
      </w:r>
    </w:p>
    <w:p w:rsidR="001525FC" w:rsidRPr="00A522FE" w:rsidRDefault="001525FC" w:rsidP="001525FC">
      <w:pPr>
        <w:jc w:val="center"/>
      </w:pPr>
    </w:p>
    <w:p w:rsidR="001525FC" w:rsidRDefault="001525FC" w:rsidP="001525FC">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6A6EC1" w:rsidRDefault="006A6EC1" w:rsidP="001525FC">
      <w:pPr>
        <w:autoSpaceDE w:val="0"/>
        <w:autoSpaceDN w:val="0"/>
        <w:adjustRightInd w:val="0"/>
        <w:jc w:val="both"/>
        <w:rPr>
          <w:rFonts w:cs="Arial"/>
        </w:rPr>
      </w:pPr>
    </w:p>
    <w:p w:rsidR="006A6EC1" w:rsidRDefault="00B504FF" w:rsidP="006A6EC1">
      <w:pPr>
        <w:autoSpaceDE w:val="0"/>
        <w:autoSpaceDN w:val="0"/>
        <w:adjustRightInd w:val="0"/>
        <w:jc w:val="center"/>
        <w:rPr>
          <w:rFonts w:cs="Arial"/>
        </w:rPr>
      </w:pPr>
      <w:r w:rsidRPr="00B504FF">
        <w:rPr>
          <w:noProof/>
        </w:rPr>
        <w:drawing>
          <wp:inline distT="0" distB="0" distL="0" distR="0" wp14:anchorId="2E9F57D2" wp14:editId="31F8D6CD">
            <wp:extent cx="3888188" cy="213505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90488" cy="2136317"/>
                    </a:xfrm>
                    <a:prstGeom prst="rect">
                      <a:avLst/>
                    </a:prstGeom>
                    <a:noFill/>
                    <a:ln>
                      <a:noFill/>
                    </a:ln>
                  </pic:spPr>
                </pic:pic>
              </a:graphicData>
            </a:graphic>
          </wp:inline>
        </w:drawing>
      </w:r>
    </w:p>
    <w:p w:rsidR="006A6EC1" w:rsidRPr="00FA331B" w:rsidRDefault="006A6EC1" w:rsidP="006A6EC1">
      <w:pPr>
        <w:autoSpaceDE w:val="0"/>
        <w:autoSpaceDN w:val="0"/>
        <w:adjustRightInd w:val="0"/>
        <w:jc w:val="center"/>
        <w:rPr>
          <w:rFonts w:cs="Arial"/>
        </w:rPr>
      </w:pPr>
    </w:p>
    <w:p w:rsidR="001525FC" w:rsidRPr="007E46D4" w:rsidRDefault="001525FC" w:rsidP="001525FC">
      <w:pPr>
        <w:tabs>
          <w:tab w:val="left" w:pos="1701"/>
        </w:tabs>
        <w:ind w:left="1701" w:hanging="1701"/>
        <w:jc w:val="center"/>
        <w:rPr>
          <w:rFonts w:cs="Arial"/>
          <w:b/>
          <w:bCs/>
          <w:caps/>
        </w:rPr>
      </w:pPr>
    </w:p>
    <w:tbl>
      <w:tblPr>
        <w:tblW w:w="0" w:type="auto"/>
        <w:tblInd w:w="98" w:type="dxa"/>
        <w:tblLook w:val="0000" w:firstRow="0" w:lastRow="0" w:firstColumn="0" w:lastColumn="0" w:noHBand="0" w:noVBand="0"/>
      </w:tblPr>
      <w:tblGrid>
        <w:gridCol w:w="3323"/>
        <w:gridCol w:w="3270"/>
        <w:gridCol w:w="1388"/>
        <w:gridCol w:w="1385"/>
      </w:tblGrid>
      <w:tr w:rsidR="001525FC" w:rsidRPr="007E46D4" w:rsidTr="00073773">
        <w:tc>
          <w:tcPr>
            <w:tcW w:w="3323" w:type="dxa"/>
            <w:tcBorders>
              <w:top w:val="single" w:sz="4" w:space="0" w:color="auto"/>
              <w:left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Expected Results</w:t>
            </w:r>
          </w:p>
        </w:tc>
        <w:tc>
          <w:tcPr>
            <w:tcW w:w="3270"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Performance Indicators</w:t>
            </w:r>
          </w:p>
        </w:tc>
        <w:tc>
          <w:tcPr>
            <w:tcW w:w="1388"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Responsible Program(s)</w:t>
            </w:r>
          </w:p>
        </w:tc>
        <w:tc>
          <w:tcPr>
            <w:tcW w:w="1385" w:type="dxa"/>
            <w:tcBorders>
              <w:top w:val="single" w:sz="4" w:space="0" w:color="auto"/>
              <w:left w:val="nil"/>
              <w:bottom w:val="single" w:sz="4" w:space="0" w:color="auto"/>
              <w:right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TLS</w:t>
            </w:r>
          </w:p>
        </w:tc>
      </w:tr>
      <w:tr w:rsidR="001525FC" w:rsidRPr="007E46D4" w:rsidTr="00073773">
        <w:tc>
          <w:tcPr>
            <w:tcW w:w="3323" w:type="dxa"/>
            <w:tcBorders>
              <w:top w:val="nil"/>
              <w:left w:val="single" w:sz="4" w:space="0" w:color="auto"/>
              <w:bottom w:val="nil"/>
              <w:right w:val="nil"/>
            </w:tcBorders>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Progress in the international policy dialogue among WIPO Member States on building respect for IP, guided by Recommendation 45 of the WIPO Development Agenda</w:t>
            </w:r>
          </w:p>
        </w:tc>
        <w:tc>
          <w:tcPr>
            <w:tcW w:w="3270" w:type="dxa"/>
            <w:tcBorders>
              <w:top w:val="nil"/>
              <w:left w:val="nil"/>
              <w:bottom w:val="nil"/>
              <w:right w:val="nil"/>
            </w:tcBorders>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Continued agreement by Member States on the substantive work of the WIPO Advisory Committee on Enforcement (ACE) in the biennium, incorporating development-oriented elements</w:t>
            </w:r>
          </w:p>
        </w:tc>
        <w:tc>
          <w:tcPr>
            <w:tcW w:w="1388" w:type="dxa"/>
            <w:tcBorders>
              <w:top w:val="nil"/>
              <w:left w:val="nil"/>
              <w:bottom w:val="nil"/>
            </w:tcBorders>
            <w:shd w:val="clear" w:color="auto" w:fill="auto"/>
            <w:tcMar>
              <w:top w:w="113" w:type="dxa"/>
            </w:tcMar>
          </w:tcPr>
          <w:p w:rsidR="001525FC" w:rsidRPr="000B4241" w:rsidRDefault="001525FC" w:rsidP="00620143">
            <w:pPr>
              <w:spacing w:before="80"/>
              <w:ind w:left="179"/>
              <w:rPr>
                <w:rFonts w:cs="Arial"/>
                <w:sz w:val="14"/>
                <w:szCs w:val="14"/>
              </w:rPr>
            </w:pPr>
            <w:r w:rsidRPr="000B4241">
              <w:rPr>
                <w:rFonts w:cs="Arial"/>
                <w:sz w:val="14"/>
                <w:szCs w:val="14"/>
              </w:rPr>
              <w:t>Program 17</w:t>
            </w:r>
          </w:p>
        </w:tc>
        <w:tc>
          <w:tcPr>
            <w:tcW w:w="1385" w:type="dxa"/>
            <w:tcBorders>
              <w:top w:val="nil"/>
              <w:left w:val="nil"/>
              <w:bottom w:val="nil"/>
              <w:right w:val="single" w:sz="4" w:space="0" w:color="auto"/>
            </w:tcBorders>
          </w:tcPr>
          <w:p w:rsidR="001525FC" w:rsidRPr="000B4241" w:rsidRDefault="00073773" w:rsidP="00620143">
            <w:pPr>
              <w:ind w:left="179"/>
              <w:jc w:val="center"/>
              <w:rPr>
                <w:rFonts w:cs="Arial"/>
                <w:color w:val="008000"/>
                <w:sz w:val="22"/>
                <w:szCs w:val="22"/>
              </w:rPr>
            </w:pPr>
            <w:r w:rsidRPr="000B4241">
              <w:rPr>
                <w:rFonts w:cs="Arial"/>
                <w:color w:val="008000"/>
                <w:sz w:val="22"/>
                <w:szCs w:val="22"/>
              </w:rPr>
              <w:sym w:font="Wingdings" w:char="F06C"/>
            </w:r>
          </w:p>
        </w:tc>
      </w:tr>
      <w:tr w:rsidR="00620143" w:rsidRPr="007E46D4" w:rsidTr="001A1334">
        <w:tc>
          <w:tcPr>
            <w:tcW w:w="3323" w:type="dxa"/>
            <w:vMerge w:val="restart"/>
            <w:tcBorders>
              <w:top w:val="nil"/>
              <w:left w:val="single" w:sz="4" w:space="0" w:color="auto"/>
              <w:right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 xml:space="preserve">Systematic and effective cooperation and coordination between the work of WIPO and other international organizations in the field of building respect for IP </w:t>
            </w:r>
          </w:p>
          <w:p w:rsidR="00620143" w:rsidRPr="000B4241" w:rsidRDefault="00620143" w:rsidP="00620143">
            <w:pPr>
              <w:spacing w:before="80"/>
              <w:rPr>
                <w:rFonts w:cs="Arial"/>
                <w:sz w:val="14"/>
                <w:szCs w:val="14"/>
              </w:rPr>
            </w:pPr>
          </w:p>
        </w:tc>
        <w:tc>
          <w:tcPr>
            <w:tcW w:w="3270" w:type="dxa"/>
            <w:tcBorders>
              <w:top w:val="nil"/>
              <w:left w:val="nil"/>
              <w:bottom w:val="nil"/>
              <w:right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No. of formal cooperation mechanisms in place</w:t>
            </w:r>
          </w:p>
        </w:tc>
        <w:tc>
          <w:tcPr>
            <w:tcW w:w="1388" w:type="dxa"/>
            <w:tcBorders>
              <w:top w:val="nil"/>
              <w:left w:val="nil"/>
              <w:bottom w:val="nil"/>
            </w:tcBorders>
            <w:shd w:val="clear" w:color="auto" w:fill="auto"/>
            <w:tcMar>
              <w:top w:w="113" w:type="dxa"/>
            </w:tcMar>
          </w:tcPr>
          <w:p w:rsidR="00620143" w:rsidRPr="000B4241" w:rsidRDefault="00620143" w:rsidP="00620143">
            <w:pPr>
              <w:spacing w:before="80"/>
              <w:ind w:left="179"/>
              <w:rPr>
                <w:rFonts w:cs="Arial"/>
                <w:sz w:val="14"/>
                <w:szCs w:val="14"/>
              </w:rPr>
            </w:pPr>
            <w:r w:rsidRPr="000B4241">
              <w:rPr>
                <w:rFonts w:cs="Arial"/>
                <w:sz w:val="14"/>
                <w:szCs w:val="14"/>
              </w:rPr>
              <w:t>Program 17</w:t>
            </w:r>
          </w:p>
        </w:tc>
        <w:tc>
          <w:tcPr>
            <w:tcW w:w="1385" w:type="dxa"/>
            <w:tcBorders>
              <w:top w:val="nil"/>
              <w:left w:val="nil"/>
              <w:bottom w:val="nil"/>
              <w:right w:val="single" w:sz="4" w:space="0" w:color="auto"/>
            </w:tcBorders>
          </w:tcPr>
          <w:p w:rsidR="00620143" w:rsidRPr="000B4241" w:rsidRDefault="00620143" w:rsidP="00620143">
            <w:pPr>
              <w:ind w:left="179"/>
              <w:jc w:val="center"/>
              <w:rPr>
                <w:rFonts w:cs="Arial"/>
                <w:color w:val="008000"/>
                <w:sz w:val="22"/>
                <w:szCs w:val="22"/>
              </w:rPr>
            </w:pPr>
            <w:r w:rsidRPr="000B4241">
              <w:rPr>
                <w:rFonts w:cs="Arial"/>
                <w:color w:val="008000"/>
                <w:sz w:val="22"/>
                <w:szCs w:val="22"/>
              </w:rPr>
              <w:sym w:font="Wingdings" w:char="F06C"/>
            </w:r>
          </w:p>
        </w:tc>
      </w:tr>
      <w:tr w:rsidR="00620143" w:rsidRPr="007E46D4" w:rsidTr="001A1334">
        <w:tc>
          <w:tcPr>
            <w:tcW w:w="3323" w:type="dxa"/>
            <w:vMerge/>
            <w:tcBorders>
              <w:left w:val="single" w:sz="4" w:space="0" w:color="auto"/>
              <w:bottom w:val="single" w:sz="4" w:space="0" w:color="auto"/>
              <w:right w:val="nil"/>
            </w:tcBorders>
            <w:shd w:val="clear" w:color="auto" w:fill="auto"/>
            <w:tcMar>
              <w:top w:w="113" w:type="dxa"/>
            </w:tcMar>
          </w:tcPr>
          <w:p w:rsidR="00620143" w:rsidRPr="000B4241" w:rsidRDefault="00620143" w:rsidP="00620143">
            <w:pPr>
              <w:spacing w:before="80"/>
              <w:rPr>
                <w:rFonts w:cs="Arial"/>
                <w:sz w:val="14"/>
                <w:szCs w:val="14"/>
              </w:rPr>
            </w:pPr>
          </w:p>
        </w:tc>
        <w:tc>
          <w:tcPr>
            <w:tcW w:w="3270" w:type="dxa"/>
            <w:tcBorders>
              <w:top w:val="nil"/>
              <w:left w:val="nil"/>
              <w:bottom w:val="single" w:sz="4" w:space="0" w:color="auto"/>
              <w:right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No. of joint activities</w:t>
            </w:r>
          </w:p>
        </w:tc>
        <w:tc>
          <w:tcPr>
            <w:tcW w:w="1388" w:type="dxa"/>
            <w:tcBorders>
              <w:top w:val="nil"/>
              <w:left w:val="nil"/>
              <w:bottom w:val="single" w:sz="4" w:space="0" w:color="auto"/>
            </w:tcBorders>
            <w:shd w:val="clear" w:color="auto" w:fill="auto"/>
            <w:tcMar>
              <w:top w:w="113" w:type="dxa"/>
            </w:tcMar>
          </w:tcPr>
          <w:p w:rsidR="00620143" w:rsidRPr="000B4241" w:rsidRDefault="00620143" w:rsidP="00620143">
            <w:pPr>
              <w:spacing w:before="80"/>
              <w:ind w:left="179"/>
              <w:rPr>
                <w:rFonts w:cs="Arial"/>
                <w:sz w:val="14"/>
                <w:szCs w:val="14"/>
              </w:rPr>
            </w:pPr>
            <w:r w:rsidRPr="000B4241">
              <w:rPr>
                <w:rFonts w:cs="Arial"/>
                <w:sz w:val="14"/>
                <w:szCs w:val="14"/>
              </w:rPr>
              <w:t>Program 17</w:t>
            </w:r>
          </w:p>
        </w:tc>
        <w:tc>
          <w:tcPr>
            <w:tcW w:w="1385" w:type="dxa"/>
            <w:tcBorders>
              <w:top w:val="nil"/>
              <w:left w:val="nil"/>
              <w:bottom w:val="single" w:sz="4" w:space="0" w:color="auto"/>
              <w:right w:val="single" w:sz="4" w:space="0" w:color="auto"/>
            </w:tcBorders>
          </w:tcPr>
          <w:p w:rsidR="00620143" w:rsidRPr="000B4241" w:rsidRDefault="00620143" w:rsidP="00620143">
            <w:pPr>
              <w:ind w:left="179"/>
              <w:jc w:val="center"/>
              <w:rPr>
                <w:rFonts w:cs="Arial"/>
                <w:color w:val="008000"/>
                <w:sz w:val="22"/>
                <w:szCs w:val="22"/>
              </w:rPr>
            </w:pPr>
            <w:r w:rsidRPr="000B4241">
              <w:rPr>
                <w:rFonts w:cs="Arial"/>
                <w:color w:val="008000"/>
                <w:sz w:val="22"/>
                <w:szCs w:val="22"/>
              </w:rPr>
              <w:sym w:font="Wingdings" w:char="F06C"/>
            </w:r>
          </w:p>
        </w:tc>
      </w:tr>
    </w:tbl>
    <w:p w:rsidR="001525FC" w:rsidRPr="00A522FE" w:rsidRDefault="001525FC" w:rsidP="001525FC">
      <w:pPr>
        <w:tabs>
          <w:tab w:val="left" w:pos="0"/>
        </w:tabs>
        <w:rPr>
          <w:rFonts w:cs="Arial"/>
          <w:i/>
          <w:sz w:val="22"/>
          <w:szCs w:val="22"/>
        </w:rPr>
      </w:pPr>
    </w:p>
    <w:p w:rsidR="001525FC" w:rsidRPr="00A522FE" w:rsidRDefault="001525FC" w:rsidP="001525FC">
      <w:pPr>
        <w:tabs>
          <w:tab w:val="left" w:pos="0"/>
        </w:tabs>
        <w:rPr>
          <w:rFonts w:cs="Arial"/>
          <w:iCs/>
        </w:rPr>
      </w:pPr>
    </w:p>
    <w:p w:rsidR="001525FC" w:rsidRDefault="001525FC">
      <w:pPr>
        <w:rPr>
          <w:rFonts w:ascii="Arial Bold" w:eastAsiaTheme="majorEastAsia" w:hAnsi="Arial Bold" w:cstheme="majorBidi"/>
          <w:b/>
          <w:bCs/>
          <w:sz w:val="22"/>
        </w:rPr>
      </w:pPr>
      <w:r>
        <w:br w:type="page"/>
      </w:r>
    </w:p>
    <w:p w:rsidR="00DD50EB" w:rsidRPr="006F08EA" w:rsidRDefault="006F08EA" w:rsidP="006F08EA">
      <w:pPr>
        <w:pStyle w:val="Heading3"/>
      </w:pPr>
      <w:bookmarkStart w:id="48" w:name="_Toc393956065"/>
      <w:r w:rsidRPr="006F08EA">
        <w:lastRenderedPageBreak/>
        <w:t>Program 17</w:t>
      </w:r>
      <w:r w:rsidRPr="006F08EA">
        <w:tab/>
        <w:t>Building Respect for IP</w:t>
      </w:r>
      <w:bookmarkEnd w:id="48"/>
    </w:p>
    <w:p w:rsidR="00DD50EB" w:rsidRPr="00FB32DC" w:rsidRDefault="00DD50EB" w:rsidP="00DD50EB">
      <w:pPr>
        <w:ind w:left="2268" w:hanging="2268"/>
        <w:rPr>
          <w:rFonts w:cs="Arial"/>
          <w:b/>
          <w:sz w:val="22"/>
          <w:szCs w:val="22"/>
        </w:rPr>
      </w:pPr>
    </w:p>
    <w:p w:rsidR="00DD50EB" w:rsidRPr="00FB32DC" w:rsidRDefault="00DD50EB" w:rsidP="00DD50EB">
      <w:pPr>
        <w:ind w:left="2268" w:hanging="2268"/>
        <w:rPr>
          <w:rFonts w:cs="Arial"/>
          <w:b/>
          <w:sz w:val="22"/>
          <w:szCs w:val="22"/>
        </w:rPr>
      </w:pPr>
      <w:r w:rsidRPr="00FB32DC">
        <w:rPr>
          <w:rFonts w:cs="Arial"/>
          <w:b/>
          <w:sz w:val="22"/>
          <w:szCs w:val="22"/>
        </w:rPr>
        <w:t>Program Manager</w:t>
      </w:r>
      <w:r w:rsidRPr="00FB32DC">
        <w:rPr>
          <w:rFonts w:cs="Arial"/>
          <w:b/>
          <w:sz w:val="22"/>
          <w:szCs w:val="22"/>
        </w:rPr>
        <w:tab/>
      </w:r>
      <w:r w:rsidRPr="00FB32DC">
        <w:rPr>
          <w:rFonts w:cs="Arial"/>
          <w:b/>
          <w:sz w:val="22"/>
          <w:szCs w:val="22"/>
        </w:rPr>
        <w:tab/>
      </w:r>
      <w:r w:rsidRPr="00FB32DC">
        <w:rPr>
          <w:rFonts w:cs="Arial"/>
          <w:b/>
          <w:bCs/>
          <w:sz w:val="22"/>
          <w:szCs w:val="22"/>
        </w:rPr>
        <w:t>Mr. J. C. Wichard</w:t>
      </w:r>
    </w:p>
    <w:p w:rsidR="00DD50EB" w:rsidRPr="00FB32DC" w:rsidRDefault="00DD50EB" w:rsidP="00DD50EB">
      <w:pPr>
        <w:ind w:left="2268" w:hanging="2268"/>
        <w:rPr>
          <w:rFonts w:cs="Arial"/>
          <w:sz w:val="22"/>
          <w:szCs w:val="22"/>
        </w:rPr>
      </w:pPr>
    </w:p>
    <w:p w:rsidR="00DD50EB" w:rsidRPr="00FB32DC" w:rsidRDefault="00DD50EB" w:rsidP="00DD50EB">
      <w:pPr>
        <w:ind w:left="2268" w:hanging="2268"/>
        <w:rPr>
          <w:rFonts w:cs="Arial"/>
          <w:bCs/>
          <w:sz w:val="22"/>
          <w:szCs w:val="22"/>
        </w:rPr>
      </w:pPr>
    </w:p>
    <w:p w:rsidR="00DD50EB" w:rsidRPr="00FB32DC" w:rsidRDefault="00DD50EB" w:rsidP="00DD50EB">
      <w:pPr>
        <w:ind w:left="2268" w:hanging="2268"/>
        <w:rPr>
          <w:rFonts w:cs="Arial"/>
          <w:sz w:val="22"/>
          <w:szCs w:val="22"/>
        </w:rPr>
      </w:pPr>
      <w:r w:rsidRPr="00FB32DC">
        <w:rPr>
          <w:rFonts w:cs="Arial"/>
          <w:bCs/>
          <w:sz w:val="22"/>
          <w:szCs w:val="22"/>
        </w:rPr>
        <w:t>ACHIEVEMENTS IN THE 2012/13 BIENNIUM</w:t>
      </w:r>
    </w:p>
    <w:p w:rsidR="00DD50EB" w:rsidRPr="00FB32DC" w:rsidRDefault="00DD50EB" w:rsidP="00DD50EB">
      <w:pPr>
        <w:ind w:left="2268" w:hanging="2268"/>
        <w:jc w:val="both"/>
        <w:rPr>
          <w:rFonts w:cs="Arial"/>
          <w:sz w:val="22"/>
          <w:szCs w:val="22"/>
        </w:rPr>
      </w:pPr>
    </w:p>
    <w:p w:rsidR="00DD50EB" w:rsidRPr="0027745B" w:rsidRDefault="00DD50EB" w:rsidP="00DD50EB">
      <w:pPr>
        <w:tabs>
          <w:tab w:val="left" w:pos="709"/>
        </w:tabs>
        <w:jc w:val="both"/>
        <w:rPr>
          <w:rFonts w:cs="Arial"/>
          <w:bCs/>
          <w:color w:val="000000"/>
          <w:szCs w:val="20"/>
        </w:rPr>
      </w:pPr>
      <w:r>
        <w:rPr>
          <w:rFonts w:cs="Arial"/>
          <w:bCs/>
          <w:color w:val="000000"/>
          <w:szCs w:val="20"/>
        </w:rPr>
        <w:t>17.1</w:t>
      </w:r>
      <w:r w:rsidR="00A16298">
        <w:rPr>
          <w:rFonts w:cs="Arial"/>
          <w:bCs/>
          <w:color w:val="000000"/>
          <w:szCs w:val="20"/>
        </w:rPr>
        <w:t>.</w:t>
      </w:r>
      <w:r>
        <w:rPr>
          <w:rFonts w:cs="Arial"/>
          <w:bCs/>
          <w:color w:val="000000"/>
          <w:szCs w:val="20"/>
        </w:rPr>
        <w:tab/>
      </w:r>
      <w:r w:rsidRPr="0027745B">
        <w:rPr>
          <w:rFonts w:cs="Arial"/>
          <w:bCs/>
          <w:color w:val="000000"/>
          <w:szCs w:val="20"/>
        </w:rPr>
        <w:t xml:space="preserve">Through a process of consultation, Program 17 reinforced the confidence of Member States and observers in the Advisory Committee on Enforcement (ACE) as a forum for constructive policy dialogue, and the exchange of information and experiences in the area of building respect for IP.  At its eighth session, the ACE worked towards identifying the motivations, including socio-economic variables for IP infringements; developing analytical methodologies that measure the impact of counterfeiting and piracy; and analyzing alternate models to address counterfeiting and piracy.  Member States agreed that the work program for the ninth session of the ACE would be dedicated to (i) alternative dispute resolution practices in the field of IP, and (ii) preventive actions, measures or successful experiences to complement enforcement measures.  </w:t>
      </w:r>
    </w:p>
    <w:p w:rsidR="00DD50EB" w:rsidRPr="0027745B" w:rsidRDefault="00DD50EB" w:rsidP="00DD50EB">
      <w:pPr>
        <w:tabs>
          <w:tab w:val="left" w:pos="709"/>
        </w:tabs>
        <w:ind w:left="2268" w:hanging="2268"/>
        <w:jc w:val="both"/>
        <w:rPr>
          <w:rFonts w:cs="Arial"/>
          <w:bCs/>
          <w:color w:val="000000"/>
          <w:szCs w:val="20"/>
        </w:rPr>
      </w:pPr>
    </w:p>
    <w:p w:rsidR="00DD50EB" w:rsidRPr="0027745B" w:rsidRDefault="00DD50EB" w:rsidP="00DD50EB">
      <w:pPr>
        <w:tabs>
          <w:tab w:val="left" w:pos="709"/>
        </w:tabs>
        <w:jc w:val="both"/>
        <w:rPr>
          <w:rFonts w:cs="Arial"/>
          <w:bCs/>
          <w:szCs w:val="20"/>
        </w:rPr>
      </w:pPr>
      <w:r>
        <w:rPr>
          <w:rFonts w:cs="Arial"/>
          <w:bCs/>
          <w:szCs w:val="20"/>
        </w:rPr>
        <w:t>17.2</w:t>
      </w:r>
      <w:r w:rsidR="00A16298">
        <w:rPr>
          <w:rFonts w:cs="Arial"/>
          <w:bCs/>
          <w:szCs w:val="20"/>
        </w:rPr>
        <w:t>.</w:t>
      </w:r>
      <w:r>
        <w:rPr>
          <w:rFonts w:cs="Arial"/>
          <w:bCs/>
          <w:szCs w:val="20"/>
        </w:rPr>
        <w:tab/>
      </w:r>
      <w:r w:rsidRPr="0027745B">
        <w:rPr>
          <w:rFonts w:cs="Arial"/>
          <w:bCs/>
          <w:szCs w:val="20"/>
        </w:rPr>
        <w:t xml:space="preserve">Program 17 dealt with an increasing demand from Member States (developing countries and LDCs) for technical assistance, which included legislative assistance in relation to adopting or strengthening national or regional legal frameworks that comply with the standards and obligations contained in Part III of the TRIPS Agreement and advising, where necessary, on the institutional architecture of IP enforcement.  In providing such assistance, Program 17 systematically indicated the options and flexibilities available in Part III of the TRIPS Agreement and, in accordance with Recommendation 45 of the Development Agenda, emphasized the broader development-oriented concerns to be taken into account in the implementation of enforcement-related provisions.  </w:t>
      </w:r>
    </w:p>
    <w:p w:rsidR="00DD50EB" w:rsidRPr="0027745B" w:rsidRDefault="00DD50EB" w:rsidP="00DD50EB">
      <w:pPr>
        <w:tabs>
          <w:tab w:val="left" w:pos="709"/>
        </w:tabs>
        <w:autoSpaceDE w:val="0"/>
        <w:autoSpaceDN w:val="0"/>
        <w:adjustRightInd w:val="0"/>
        <w:jc w:val="both"/>
        <w:rPr>
          <w:rFonts w:cs="Arial"/>
          <w:bCs/>
          <w:szCs w:val="20"/>
        </w:rPr>
      </w:pPr>
    </w:p>
    <w:p w:rsidR="00DD50EB" w:rsidRPr="0027745B" w:rsidRDefault="00DD50EB" w:rsidP="00DD50EB">
      <w:pPr>
        <w:tabs>
          <w:tab w:val="left" w:pos="709"/>
        </w:tabs>
        <w:jc w:val="both"/>
        <w:rPr>
          <w:rFonts w:cs="Arial"/>
          <w:bCs/>
          <w:szCs w:val="20"/>
        </w:rPr>
      </w:pPr>
      <w:r>
        <w:rPr>
          <w:rFonts w:cs="Arial"/>
          <w:bCs/>
          <w:szCs w:val="20"/>
        </w:rPr>
        <w:t>17.3</w:t>
      </w:r>
      <w:r w:rsidR="00A16298">
        <w:rPr>
          <w:rFonts w:cs="Arial"/>
          <w:bCs/>
          <w:szCs w:val="20"/>
        </w:rPr>
        <w:t>.</w:t>
      </w:r>
      <w:r>
        <w:rPr>
          <w:rFonts w:cs="Arial"/>
          <w:bCs/>
          <w:szCs w:val="20"/>
        </w:rPr>
        <w:tab/>
      </w:r>
      <w:r w:rsidRPr="0027745B">
        <w:rPr>
          <w:rFonts w:cs="Arial"/>
          <w:bCs/>
          <w:szCs w:val="20"/>
        </w:rPr>
        <w:t xml:space="preserve">A growing number of capacity-building activities were also undertaken in the area of building respect for IP, ensuring that the content of these activities adequately reflected the expressed needs and socio-economic realities of the participating Member States, as well as an appropriate balance between private rights and the public interest, in line with Recommendation 45 of the Development Agenda. </w:t>
      </w:r>
    </w:p>
    <w:p w:rsidR="00DD50EB" w:rsidRPr="0027745B" w:rsidRDefault="00DD50EB" w:rsidP="00DD50EB">
      <w:pPr>
        <w:tabs>
          <w:tab w:val="left" w:pos="709"/>
        </w:tabs>
        <w:jc w:val="both"/>
        <w:rPr>
          <w:rFonts w:cs="Arial"/>
          <w:bCs/>
          <w:szCs w:val="20"/>
        </w:rPr>
      </w:pPr>
    </w:p>
    <w:p w:rsidR="00DD50EB" w:rsidRPr="0027745B" w:rsidRDefault="00DD50EB" w:rsidP="00DD50EB">
      <w:pPr>
        <w:tabs>
          <w:tab w:val="left" w:pos="709"/>
        </w:tabs>
        <w:jc w:val="both"/>
        <w:rPr>
          <w:rFonts w:cs="Arial"/>
          <w:bCs/>
          <w:szCs w:val="20"/>
        </w:rPr>
      </w:pPr>
      <w:r>
        <w:rPr>
          <w:rFonts w:cs="Arial"/>
          <w:szCs w:val="20"/>
        </w:rPr>
        <w:t>17.4</w:t>
      </w:r>
      <w:r w:rsidR="00A16298">
        <w:rPr>
          <w:rFonts w:cs="Arial"/>
          <w:szCs w:val="20"/>
        </w:rPr>
        <w:t>.</w:t>
      </w:r>
      <w:r>
        <w:rPr>
          <w:rFonts w:cs="Arial"/>
          <w:szCs w:val="20"/>
        </w:rPr>
        <w:tab/>
      </w:r>
      <w:r w:rsidRPr="0027745B">
        <w:rPr>
          <w:rFonts w:cs="Arial"/>
          <w:szCs w:val="20"/>
        </w:rPr>
        <w:t>In response to an</w:t>
      </w:r>
      <w:r w:rsidRPr="0027745B">
        <w:rPr>
          <w:rFonts w:cs="Arial"/>
          <w:color w:val="000000"/>
          <w:szCs w:val="20"/>
        </w:rPr>
        <w:t xml:space="preserve"> increasing demand from Member States, the aforementioned activities also covered the area of IP education and public awareness and</w:t>
      </w:r>
      <w:r w:rsidRPr="0027745B">
        <w:rPr>
          <w:rFonts w:cs="Arial"/>
          <w:szCs w:val="20"/>
        </w:rPr>
        <w:t xml:space="preserve"> sought to</w:t>
      </w:r>
      <w:r w:rsidRPr="0027745B">
        <w:rPr>
          <w:rFonts w:cs="Arial"/>
          <w:color w:val="000000"/>
          <w:szCs w:val="20"/>
        </w:rPr>
        <w:t xml:space="preserve"> encourage</w:t>
      </w:r>
      <w:r w:rsidRPr="0027745B">
        <w:rPr>
          <w:rFonts w:cs="Arial"/>
          <w:szCs w:val="20"/>
        </w:rPr>
        <w:t xml:space="preserve"> </w:t>
      </w:r>
      <w:r w:rsidRPr="0027745B">
        <w:rPr>
          <w:rFonts w:cs="Arial"/>
          <w:color w:val="000000"/>
          <w:szCs w:val="20"/>
        </w:rPr>
        <w:t>consumer participation in building a shared understanding of the social benefits of IP enforcement and to create an environment conducive to respect for IP rights.  They aimed to raise public awareness as a preventive measure to complement ongoing enforcement activities, and to provide national authorities and stakeholders with information on how to develop and implement national awareness raising strategies to build respect for</w:t>
      </w:r>
      <w:r w:rsidR="001E0812">
        <w:rPr>
          <w:rFonts w:cs="Arial"/>
          <w:color w:val="000000"/>
          <w:szCs w:val="20"/>
        </w:rPr>
        <w:t> </w:t>
      </w:r>
      <w:r w:rsidRPr="0027745B">
        <w:rPr>
          <w:rFonts w:cs="Arial"/>
          <w:color w:val="000000"/>
          <w:szCs w:val="20"/>
        </w:rPr>
        <w:t>IP.</w:t>
      </w:r>
      <w:r w:rsidRPr="0027745B">
        <w:rPr>
          <w:rFonts w:cs="Arial"/>
          <w:bCs/>
          <w:szCs w:val="20"/>
        </w:rPr>
        <w:t xml:space="preserve">  In addition, following the transfer in 2012 of the Awards and other WIPO outreach activities to Program 17, some 240 WIPO Awards were delivered in support of national outreach strategies. </w:t>
      </w:r>
    </w:p>
    <w:p w:rsidR="00DD50EB" w:rsidRPr="0027745B" w:rsidRDefault="00DD50EB" w:rsidP="00DD50EB">
      <w:pPr>
        <w:tabs>
          <w:tab w:val="left" w:pos="709"/>
        </w:tabs>
        <w:jc w:val="both"/>
        <w:rPr>
          <w:rFonts w:cs="Arial"/>
          <w:bCs/>
          <w:szCs w:val="20"/>
        </w:rPr>
      </w:pPr>
    </w:p>
    <w:p w:rsidR="00DD50EB" w:rsidRPr="0027745B" w:rsidRDefault="00DD50EB" w:rsidP="00DD50EB">
      <w:pPr>
        <w:tabs>
          <w:tab w:val="left" w:pos="709"/>
        </w:tabs>
        <w:jc w:val="both"/>
        <w:rPr>
          <w:rFonts w:cs="Arial"/>
          <w:bCs/>
          <w:szCs w:val="20"/>
        </w:rPr>
      </w:pPr>
      <w:r>
        <w:rPr>
          <w:rFonts w:cs="Arial"/>
          <w:bCs/>
          <w:szCs w:val="20"/>
        </w:rPr>
        <w:t>17.5</w:t>
      </w:r>
      <w:r w:rsidR="00A16298">
        <w:rPr>
          <w:rFonts w:cs="Arial"/>
          <w:bCs/>
          <w:szCs w:val="20"/>
        </w:rPr>
        <w:t>.</w:t>
      </w:r>
      <w:r>
        <w:rPr>
          <w:rFonts w:cs="Arial"/>
          <w:bCs/>
          <w:szCs w:val="20"/>
        </w:rPr>
        <w:tab/>
      </w:r>
      <w:r w:rsidRPr="0027745B">
        <w:rPr>
          <w:rFonts w:cs="Arial"/>
          <w:bCs/>
          <w:szCs w:val="20"/>
        </w:rPr>
        <w:t>The Secretariat provides an extensive report on its activities in the field of building respect for IP to the ACE.</w:t>
      </w:r>
    </w:p>
    <w:p w:rsidR="00DD50EB" w:rsidRPr="0027745B" w:rsidRDefault="00DD50EB" w:rsidP="00DD50EB">
      <w:pPr>
        <w:tabs>
          <w:tab w:val="left" w:pos="709"/>
        </w:tabs>
        <w:autoSpaceDE w:val="0"/>
        <w:autoSpaceDN w:val="0"/>
        <w:adjustRightInd w:val="0"/>
        <w:jc w:val="both"/>
        <w:rPr>
          <w:rFonts w:cs="Arial"/>
          <w:bCs/>
          <w:szCs w:val="20"/>
        </w:rPr>
      </w:pPr>
    </w:p>
    <w:p w:rsidR="00DD50EB" w:rsidRPr="0027745B" w:rsidRDefault="00DD50EB" w:rsidP="00DD50EB">
      <w:pPr>
        <w:tabs>
          <w:tab w:val="left" w:pos="709"/>
        </w:tabs>
        <w:jc w:val="both"/>
        <w:rPr>
          <w:rFonts w:cs="Arial"/>
          <w:bCs/>
          <w:szCs w:val="20"/>
        </w:rPr>
      </w:pPr>
      <w:r>
        <w:rPr>
          <w:rFonts w:cs="Arial"/>
          <w:bCs/>
          <w:szCs w:val="20"/>
        </w:rPr>
        <w:t>17.6</w:t>
      </w:r>
      <w:r w:rsidR="00A16298">
        <w:rPr>
          <w:rFonts w:cs="Arial"/>
          <w:bCs/>
          <w:szCs w:val="20"/>
        </w:rPr>
        <w:t>.</w:t>
      </w:r>
      <w:r>
        <w:rPr>
          <w:rFonts w:cs="Arial"/>
          <w:bCs/>
          <w:szCs w:val="20"/>
        </w:rPr>
        <w:tab/>
      </w:r>
      <w:r w:rsidRPr="0027745B">
        <w:rPr>
          <w:rFonts w:cs="Arial"/>
          <w:bCs/>
          <w:szCs w:val="20"/>
        </w:rPr>
        <w:t>Finally, Program 17 continued cooperating and coordinating with intergovernmental and non-governmental organizations, associations of stakeholders as well as academic institutions, to integrate development-oriented concerns into the work stream of partner organizations.  The Program’s approach to seeking balance in all its activities, reflecting the interests of both private right holders and civil society, was supported by partner organizations, as for example, in the seventh</w:t>
      </w:r>
      <w:r w:rsidRPr="0027745B">
        <w:rPr>
          <w:rFonts w:cs="Arial"/>
          <w:szCs w:val="20"/>
        </w:rPr>
        <w:t xml:space="preserve"> Global Congress on Combating Counterfeiting and Piracy, held in Istanbul (April 2013). </w:t>
      </w:r>
    </w:p>
    <w:p w:rsidR="00DD50EB" w:rsidRPr="00FB32DC" w:rsidRDefault="00DD50EB" w:rsidP="00DD50EB">
      <w:pPr>
        <w:jc w:val="both"/>
        <w:rPr>
          <w:rFonts w:cs="Arial"/>
          <w:bCs/>
          <w:sz w:val="22"/>
          <w:szCs w:val="22"/>
        </w:rPr>
      </w:pPr>
    </w:p>
    <w:p w:rsidR="00DD50EB" w:rsidRPr="002C4083" w:rsidRDefault="00DD50EB" w:rsidP="00DD50EB">
      <w:pPr>
        <w:ind w:left="2268" w:hanging="2268"/>
        <w:jc w:val="both"/>
        <w:rPr>
          <w:rFonts w:cs="Arial"/>
          <w:bCs/>
          <w:sz w:val="22"/>
          <w:szCs w:val="22"/>
        </w:rPr>
      </w:pPr>
      <w:r w:rsidRPr="002C4083">
        <w:rPr>
          <w:rFonts w:cs="Arial"/>
          <w:bCs/>
          <w:sz w:val="22"/>
          <w:szCs w:val="22"/>
        </w:rPr>
        <w:t xml:space="preserve">IMPLEMENTATION OF THE DEVELOPMENT AGENDA </w:t>
      </w:r>
    </w:p>
    <w:p w:rsidR="00DD50EB" w:rsidRPr="00FB32DC" w:rsidRDefault="00DD50EB" w:rsidP="00DD50EB">
      <w:pPr>
        <w:ind w:left="2268" w:hanging="2268"/>
        <w:jc w:val="both"/>
        <w:rPr>
          <w:rFonts w:cs="Arial"/>
          <w:b/>
          <w:bCs/>
          <w:color w:val="000000"/>
          <w:sz w:val="22"/>
          <w:szCs w:val="22"/>
        </w:rPr>
      </w:pPr>
    </w:p>
    <w:p w:rsidR="00DD50EB" w:rsidRPr="0027745B" w:rsidRDefault="00DD50EB" w:rsidP="00DD50EB">
      <w:pPr>
        <w:tabs>
          <w:tab w:val="left" w:pos="709"/>
        </w:tabs>
        <w:jc w:val="both"/>
        <w:rPr>
          <w:rFonts w:cs="Arial"/>
          <w:bCs/>
          <w:szCs w:val="20"/>
        </w:rPr>
      </w:pPr>
      <w:r>
        <w:rPr>
          <w:rFonts w:cs="Arial"/>
          <w:bCs/>
          <w:szCs w:val="20"/>
        </w:rPr>
        <w:t>17.7</w:t>
      </w:r>
      <w:r w:rsidR="00A16298">
        <w:rPr>
          <w:rFonts w:cs="Arial"/>
          <w:bCs/>
          <w:szCs w:val="20"/>
        </w:rPr>
        <w:t>.</w:t>
      </w:r>
      <w:r>
        <w:rPr>
          <w:rFonts w:cs="Arial"/>
          <w:bCs/>
          <w:szCs w:val="20"/>
        </w:rPr>
        <w:tab/>
      </w:r>
      <w:r w:rsidRPr="0027745B">
        <w:rPr>
          <w:rFonts w:cs="Arial"/>
          <w:bCs/>
          <w:szCs w:val="20"/>
        </w:rPr>
        <w:t xml:space="preserve">The design, planning and implementation of all activities undertaken by Program 17 were informed and guided by the relevant DA Recommendations, in particular Recommendations 1 and 45.  </w:t>
      </w:r>
    </w:p>
    <w:p w:rsidR="00DD50EB" w:rsidRPr="0027745B" w:rsidRDefault="00DD50EB" w:rsidP="00DD50EB">
      <w:pPr>
        <w:jc w:val="both"/>
        <w:rPr>
          <w:rFonts w:cs="Arial"/>
          <w:bCs/>
          <w:szCs w:val="20"/>
        </w:rPr>
      </w:pPr>
    </w:p>
    <w:p w:rsidR="00DD50EB" w:rsidRPr="0027745B" w:rsidRDefault="00DD50EB" w:rsidP="00DD50EB">
      <w:pPr>
        <w:tabs>
          <w:tab w:val="left" w:pos="709"/>
        </w:tabs>
        <w:jc w:val="both"/>
        <w:rPr>
          <w:rFonts w:cs="Arial"/>
          <w:bCs/>
          <w:szCs w:val="20"/>
        </w:rPr>
      </w:pPr>
      <w:r>
        <w:rPr>
          <w:rFonts w:cs="Arial"/>
          <w:bCs/>
          <w:szCs w:val="20"/>
        </w:rPr>
        <w:t>17.8</w:t>
      </w:r>
      <w:r w:rsidR="00A16298">
        <w:rPr>
          <w:rFonts w:cs="Arial"/>
          <w:bCs/>
          <w:szCs w:val="20"/>
        </w:rPr>
        <w:t>.</w:t>
      </w:r>
      <w:r>
        <w:rPr>
          <w:rFonts w:cs="Arial"/>
          <w:bCs/>
          <w:szCs w:val="20"/>
        </w:rPr>
        <w:tab/>
      </w:r>
      <w:r w:rsidRPr="0027745B">
        <w:rPr>
          <w:rFonts w:cs="Arial"/>
          <w:bCs/>
          <w:szCs w:val="20"/>
        </w:rPr>
        <w:t>More specifically, the Program’s technical assistance, capacity-building and legislative assistance activities were development-oriented, demand-driven, neutral and transparent, in line with the aforementioned Recommendations as well as Recommendations 6, 12, 13 and 14.  In addition, DA</w:t>
      </w:r>
      <w:r w:rsidR="001E0812">
        <w:rPr>
          <w:rFonts w:cs="Arial"/>
          <w:bCs/>
          <w:szCs w:val="20"/>
        </w:rPr>
        <w:t> </w:t>
      </w:r>
      <w:r w:rsidRPr="0027745B">
        <w:rPr>
          <w:rFonts w:cs="Arial"/>
          <w:bCs/>
          <w:szCs w:val="20"/>
        </w:rPr>
        <w:t>Recommendation 45 guided the work program agreed by the ACE at its eighth session</w:t>
      </w:r>
      <w:r w:rsidR="00936FE4">
        <w:rPr>
          <w:rFonts w:cs="Arial"/>
          <w:bCs/>
          <w:szCs w:val="20"/>
        </w:rPr>
        <w:t>.</w:t>
      </w:r>
    </w:p>
    <w:p w:rsidR="00DD50EB" w:rsidRPr="00FB32DC" w:rsidRDefault="00DD50EB" w:rsidP="00DD50EB">
      <w:pPr>
        <w:rPr>
          <w:rFonts w:eastAsia="MS Mincho" w:cs="Arial"/>
          <w:sz w:val="22"/>
          <w:szCs w:val="22"/>
          <w:lang w:eastAsia="ja-JP" w:bidi="th-TH"/>
        </w:rPr>
      </w:pPr>
    </w:p>
    <w:p w:rsidR="00DD50EB" w:rsidRPr="00FB32DC" w:rsidRDefault="00DD50EB" w:rsidP="00DD50EB">
      <w:pPr>
        <w:ind w:left="2268" w:hanging="2268"/>
        <w:rPr>
          <w:rFonts w:cs="Arial"/>
          <w:sz w:val="22"/>
          <w:szCs w:val="22"/>
        </w:rPr>
      </w:pPr>
      <w:r w:rsidRPr="00FB32DC">
        <w:rPr>
          <w:rFonts w:cs="Arial"/>
          <w:sz w:val="22"/>
          <w:szCs w:val="22"/>
        </w:rPr>
        <w:lastRenderedPageBreak/>
        <w:t>PERFORMANCE DATA</w:t>
      </w:r>
    </w:p>
    <w:p w:rsidR="00DD50EB" w:rsidRPr="00FB32DC" w:rsidRDefault="00DD50EB" w:rsidP="00DD50EB">
      <w:pPr>
        <w:ind w:left="2268" w:hanging="2268"/>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26"/>
        <w:gridCol w:w="1495"/>
        <w:gridCol w:w="1709"/>
        <w:gridCol w:w="3251"/>
        <w:gridCol w:w="1276"/>
      </w:tblGrid>
      <w:tr w:rsidR="00DD50EB" w:rsidRPr="000B3714" w:rsidTr="007C0423">
        <w:trPr>
          <w:cantSplit/>
        </w:trPr>
        <w:tc>
          <w:tcPr>
            <w:tcW w:w="5000" w:type="pct"/>
            <w:gridSpan w:val="5"/>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Progress in the international policy dialogue among WIPO Member States on building respect for IP, guided by Recommendation 45 of the WIPO Development Agenda</w:t>
            </w:r>
          </w:p>
        </w:tc>
      </w:tr>
      <w:tr w:rsidR="00DD50EB" w:rsidRPr="000B3714" w:rsidTr="000B3714">
        <w:trPr>
          <w:cantSplit/>
        </w:trPr>
        <w:tc>
          <w:tcPr>
            <w:tcW w:w="869" w:type="pct"/>
            <w:tcBorders>
              <w:top w:val="single" w:sz="4" w:space="0" w:color="auto"/>
            </w:tcBorders>
            <w:shd w:val="clear" w:color="auto" w:fill="auto"/>
            <w:vAlign w:val="center"/>
          </w:tcPr>
          <w:p w:rsidR="00DD50EB" w:rsidRPr="000B3714" w:rsidRDefault="00DD50EB" w:rsidP="007C0423">
            <w:pPr>
              <w:rPr>
                <w:rFonts w:cs="Arial"/>
                <w:sz w:val="16"/>
                <w:szCs w:val="16"/>
              </w:rPr>
            </w:pPr>
            <w:r w:rsidRPr="000B3714">
              <w:rPr>
                <w:rFonts w:cs="Arial"/>
                <w:b/>
                <w:bCs/>
                <w:sz w:val="16"/>
                <w:szCs w:val="16"/>
              </w:rPr>
              <w:t>Performance Indicators</w:t>
            </w:r>
          </w:p>
        </w:tc>
        <w:tc>
          <w:tcPr>
            <w:tcW w:w="799" w:type="pct"/>
            <w:tcBorders>
              <w:top w:val="single" w:sz="4" w:space="0" w:color="auto"/>
            </w:tcBorders>
            <w:shd w:val="clear" w:color="auto" w:fill="auto"/>
            <w:vAlign w:val="center"/>
          </w:tcPr>
          <w:p w:rsidR="00DD50EB" w:rsidRPr="000B3714" w:rsidRDefault="00DD50EB" w:rsidP="007C0423">
            <w:pPr>
              <w:rPr>
                <w:rFonts w:cs="Arial"/>
                <w:b/>
                <w:bCs/>
                <w:sz w:val="16"/>
                <w:szCs w:val="16"/>
              </w:rPr>
            </w:pPr>
            <w:r w:rsidRPr="000B3714">
              <w:rPr>
                <w:rFonts w:cs="Arial"/>
                <w:b/>
                <w:bCs/>
                <w:sz w:val="16"/>
                <w:szCs w:val="16"/>
              </w:rPr>
              <w:t>Baselines</w:t>
            </w:r>
          </w:p>
        </w:tc>
        <w:tc>
          <w:tcPr>
            <w:tcW w:w="913" w:type="pct"/>
            <w:tcBorders>
              <w:top w:val="single" w:sz="4" w:space="0" w:color="auto"/>
            </w:tcBorders>
            <w:shd w:val="clear" w:color="auto" w:fill="auto"/>
            <w:tcMar>
              <w:top w:w="110" w:type="dxa"/>
            </w:tcMar>
            <w:vAlign w:val="center"/>
          </w:tcPr>
          <w:p w:rsidR="00DD50EB" w:rsidRPr="000B3714" w:rsidRDefault="00DD50EB" w:rsidP="007C0423">
            <w:pPr>
              <w:rPr>
                <w:rFonts w:cs="Arial"/>
                <w:b/>
                <w:sz w:val="16"/>
                <w:szCs w:val="16"/>
              </w:rPr>
            </w:pPr>
            <w:r w:rsidRPr="000B3714">
              <w:rPr>
                <w:rFonts w:cs="Arial"/>
                <w:b/>
                <w:sz w:val="16"/>
                <w:szCs w:val="16"/>
              </w:rPr>
              <w:t>Targets</w:t>
            </w:r>
          </w:p>
        </w:tc>
        <w:tc>
          <w:tcPr>
            <w:tcW w:w="1737" w:type="pct"/>
            <w:tcBorders>
              <w:top w:val="single" w:sz="4" w:space="0" w:color="auto"/>
            </w:tcBorders>
            <w:shd w:val="clear" w:color="auto" w:fill="FFFFFF"/>
            <w:tcMar>
              <w:top w:w="110" w:type="dxa"/>
            </w:tcMar>
            <w:vAlign w:val="center"/>
          </w:tcPr>
          <w:p w:rsidR="00DD50EB" w:rsidRPr="000B3714" w:rsidRDefault="00DD50EB" w:rsidP="007C0423">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7C0423">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Continued agreement by Member States on the substantive work of the WIPO Advisory Committee on Enforcement (ACE) in the biennium, incorporating development-oriented elements</w:t>
            </w:r>
          </w:p>
        </w:tc>
        <w:tc>
          <w:tcPr>
            <w:tcW w:w="79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Current work program</w:t>
            </w:r>
          </w:p>
        </w:tc>
        <w:tc>
          <w:tcPr>
            <w:tcW w:w="913" w:type="pct"/>
            <w:tcBorders>
              <w:bottom w:val="single" w:sz="4" w:space="0" w:color="auto"/>
            </w:tcBorders>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Agreement on</w:t>
            </w:r>
          </w:p>
          <w:p w:rsidR="00DD50EB" w:rsidRPr="000B3714" w:rsidRDefault="00DD50EB" w:rsidP="007C0423">
            <w:pPr>
              <w:autoSpaceDE w:val="0"/>
              <w:autoSpaceDN w:val="0"/>
              <w:adjustRightInd w:val="0"/>
              <w:rPr>
                <w:rFonts w:cs="Arial"/>
                <w:sz w:val="16"/>
                <w:szCs w:val="16"/>
              </w:rPr>
            </w:pPr>
            <w:r w:rsidRPr="000B3714">
              <w:rPr>
                <w:rFonts w:cs="Arial"/>
                <w:sz w:val="16"/>
                <w:szCs w:val="16"/>
              </w:rPr>
              <w:t>specific work</w:t>
            </w:r>
          </w:p>
          <w:p w:rsidR="00DD50EB" w:rsidRPr="000B3714" w:rsidRDefault="00DD50EB" w:rsidP="007C0423">
            <w:pPr>
              <w:autoSpaceDE w:val="0"/>
              <w:autoSpaceDN w:val="0"/>
              <w:adjustRightInd w:val="0"/>
              <w:rPr>
                <w:rFonts w:cs="Arial"/>
                <w:sz w:val="16"/>
                <w:szCs w:val="16"/>
              </w:rPr>
            </w:pPr>
            <w:r w:rsidRPr="000B3714">
              <w:rPr>
                <w:rFonts w:cs="Arial"/>
                <w:sz w:val="16"/>
                <w:szCs w:val="16"/>
              </w:rPr>
              <w:t>programs for the 8</w:t>
            </w:r>
            <w:r w:rsidRPr="000B3714">
              <w:rPr>
                <w:rFonts w:cs="Arial"/>
                <w:sz w:val="16"/>
                <w:szCs w:val="16"/>
                <w:vertAlign w:val="superscript"/>
              </w:rPr>
              <w:t>th</w:t>
            </w:r>
            <w:r w:rsidRPr="000B3714">
              <w:rPr>
                <w:rFonts w:cs="Arial"/>
                <w:sz w:val="16"/>
                <w:szCs w:val="16"/>
              </w:rPr>
              <w:t xml:space="preserve"> and the 9</w:t>
            </w:r>
            <w:r w:rsidRPr="000B3714">
              <w:rPr>
                <w:rFonts w:cs="Arial"/>
                <w:sz w:val="16"/>
                <w:szCs w:val="16"/>
                <w:vertAlign w:val="superscript"/>
              </w:rPr>
              <w:t>th</w:t>
            </w:r>
            <w:r w:rsidRPr="000B3714">
              <w:rPr>
                <w:rFonts w:cs="Arial"/>
                <w:sz w:val="16"/>
                <w:szCs w:val="16"/>
              </w:rPr>
              <w:t xml:space="preserve"> session</w:t>
            </w:r>
          </w:p>
          <w:p w:rsidR="00DD50EB" w:rsidRPr="000B3714" w:rsidRDefault="00DD50EB" w:rsidP="007C0423">
            <w:pPr>
              <w:rPr>
                <w:rFonts w:cs="Arial"/>
                <w:i/>
                <w:sz w:val="16"/>
                <w:szCs w:val="16"/>
              </w:rPr>
            </w:pPr>
            <w:r w:rsidRPr="000B3714">
              <w:rPr>
                <w:rFonts w:cs="Arial"/>
                <w:sz w:val="16"/>
                <w:szCs w:val="16"/>
              </w:rPr>
              <w:t>of the ACE</w:t>
            </w:r>
            <w:r w:rsidRPr="000B3714" w:rsidDel="0069614F">
              <w:rPr>
                <w:rFonts w:cs="Arial"/>
                <w:sz w:val="16"/>
                <w:szCs w:val="16"/>
                <w:lang w:bidi="th-TH"/>
              </w:rPr>
              <w:t xml:space="preserve"> </w:t>
            </w:r>
          </w:p>
        </w:tc>
        <w:tc>
          <w:tcPr>
            <w:tcW w:w="1737" w:type="pct"/>
            <w:tcBorders>
              <w:bottom w:val="single" w:sz="4" w:space="0" w:color="auto"/>
            </w:tcBorders>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Eight Strategic Goal VI-based papers were presented during the</w:t>
            </w:r>
            <w:r w:rsidRPr="000B3714">
              <w:rPr>
                <w:rFonts w:cs="Arial"/>
                <w:sz w:val="16"/>
                <w:szCs w:val="16"/>
                <w:vertAlign w:val="superscript"/>
                <w:lang w:bidi="th-TH"/>
              </w:rPr>
              <w:t xml:space="preserve"> </w:t>
            </w:r>
            <w:r w:rsidRPr="000B3714">
              <w:rPr>
                <w:rFonts w:cs="Arial"/>
                <w:sz w:val="16"/>
                <w:szCs w:val="16"/>
                <w:lang w:bidi="th-TH"/>
              </w:rPr>
              <w:t>eighth session of the ACE, held in December 2012.  During this session</w:t>
            </w:r>
            <w:r w:rsidR="005D62C4">
              <w:rPr>
                <w:rFonts w:cs="Arial"/>
                <w:sz w:val="16"/>
                <w:szCs w:val="16"/>
                <w:lang w:bidi="th-TH"/>
              </w:rPr>
              <w:t>,</w:t>
            </w:r>
            <w:r w:rsidRPr="000B3714">
              <w:rPr>
                <w:rFonts w:cs="Arial"/>
                <w:sz w:val="16"/>
                <w:szCs w:val="16"/>
                <w:lang w:bidi="th-TH"/>
              </w:rPr>
              <w:t xml:space="preserve"> the Member States agreed on the following work program for the ninth session: </w:t>
            </w:r>
            <w:r w:rsidR="001E0812">
              <w:rPr>
                <w:rFonts w:cs="Arial"/>
                <w:sz w:val="16"/>
                <w:szCs w:val="16"/>
                <w:lang w:bidi="th-TH"/>
              </w:rPr>
              <w:t xml:space="preserve"> </w:t>
            </w:r>
            <w:r w:rsidRPr="000B3714">
              <w:rPr>
                <w:rFonts w:cs="Arial"/>
                <w:sz w:val="16"/>
                <w:szCs w:val="16"/>
                <w:lang w:bidi="th-TH"/>
              </w:rPr>
              <w:t>(i) practices and operation of alternative dispute resolution systems in IP areas; and (ii) preventive actions, measures or successful experiences to complement ongoing enforcement measures with a view to reducing the size of the market for pirated or counterfeit goods.  (WIPO/ACE/8/12)</w:t>
            </w:r>
            <w:r w:rsidR="001E0812">
              <w:rPr>
                <w:rFonts w:cs="Arial"/>
                <w:sz w:val="16"/>
                <w:szCs w:val="16"/>
                <w:lang w:bidi="th-TH"/>
              </w:rPr>
              <w:t>.</w:t>
            </w:r>
          </w:p>
          <w:p w:rsidR="00DD50EB" w:rsidRPr="000B3714" w:rsidRDefault="00DD50EB" w:rsidP="007C0423">
            <w:pPr>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
                <w:bCs/>
                <w:color w:val="00800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7C0423">
        <w:trPr>
          <w:cantSplit/>
        </w:trPr>
        <w:tc>
          <w:tcPr>
            <w:tcW w:w="5000" w:type="pct"/>
            <w:gridSpan w:val="5"/>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Tailored and balanced IP legislative, regulatory and policy frameworks</w:t>
            </w:r>
          </w:p>
        </w:tc>
      </w:tr>
      <w:tr w:rsidR="00DD50EB" w:rsidRPr="000B3714" w:rsidTr="000B3714">
        <w:trPr>
          <w:cantSplit/>
        </w:trPr>
        <w:tc>
          <w:tcPr>
            <w:tcW w:w="869" w:type="pct"/>
            <w:tcBorders>
              <w:top w:val="single" w:sz="4" w:space="0" w:color="auto"/>
            </w:tcBorders>
            <w:shd w:val="clear" w:color="auto" w:fill="auto"/>
            <w:vAlign w:val="center"/>
          </w:tcPr>
          <w:p w:rsidR="00DD50EB" w:rsidRPr="000B3714" w:rsidRDefault="00DD50EB" w:rsidP="001E0812">
            <w:pPr>
              <w:rPr>
                <w:rFonts w:cs="Arial"/>
                <w:sz w:val="16"/>
                <w:szCs w:val="16"/>
              </w:rPr>
            </w:pPr>
            <w:r w:rsidRPr="000B3714">
              <w:rPr>
                <w:rFonts w:cs="Arial"/>
                <w:b/>
                <w:bCs/>
                <w:sz w:val="16"/>
                <w:szCs w:val="16"/>
              </w:rPr>
              <w:t>Performance Indicators</w:t>
            </w:r>
          </w:p>
        </w:tc>
        <w:tc>
          <w:tcPr>
            <w:tcW w:w="799" w:type="pct"/>
            <w:tcBorders>
              <w:top w:val="single" w:sz="4" w:space="0" w:color="auto"/>
            </w:tcBorders>
            <w:shd w:val="clear" w:color="auto" w:fill="auto"/>
            <w:vAlign w:val="center"/>
          </w:tcPr>
          <w:p w:rsidR="00DD50EB" w:rsidRPr="000B3714" w:rsidRDefault="00DD50EB" w:rsidP="001E0812">
            <w:pPr>
              <w:rPr>
                <w:rFonts w:cs="Arial"/>
                <w:b/>
                <w:bCs/>
                <w:sz w:val="16"/>
                <w:szCs w:val="16"/>
              </w:rPr>
            </w:pPr>
            <w:r w:rsidRPr="000B3714">
              <w:rPr>
                <w:rFonts w:cs="Arial"/>
                <w:b/>
                <w:bCs/>
                <w:sz w:val="16"/>
                <w:szCs w:val="16"/>
              </w:rPr>
              <w:t>Baselines</w:t>
            </w:r>
          </w:p>
        </w:tc>
        <w:tc>
          <w:tcPr>
            <w:tcW w:w="913" w:type="pct"/>
            <w:tcBorders>
              <w:top w:val="single" w:sz="4" w:space="0" w:color="auto"/>
            </w:tcBorders>
            <w:shd w:val="clear" w:color="auto" w:fill="auto"/>
            <w:tcMar>
              <w:top w:w="110" w:type="dxa"/>
            </w:tcMar>
            <w:vAlign w:val="center"/>
          </w:tcPr>
          <w:p w:rsidR="00DD50EB" w:rsidRPr="000B3714" w:rsidRDefault="00DD50EB" w:rsidP="001E0812">
            <w:pPr>
              <w:rPr>
                <w:rFonts w:cs="Arial"/>
                <w:b/>
                <w:sz w:val="16"/>
                <w:szCs w:val="16"/>
              </w:rPr>
            </w:pPr>
            <w:r w:rsidRPr="000B3714">
              <w:rPr>
                <w:rFonts w:cs="Arial"/>
                <w:b/>
                <w:sz w:val="16"/>
                <w:szCs w:val="16"/>
              </w:rPr>
              <w:t>Targets</w:t>
            </w:r>
          </w:p>
        </w:tc>
        <w:tc>
          <w:tcPr>
            <w:tcW w:w="1737" w:type="pct"/>
            <w:tcBorders>
              <w:top w:val="single" w:sz="4" w:space="0" w:color="auto"/>
            </w:tcBorders>
            <w:shd w:val="clear" w:color="auto" w:fill="FFFFFF"/>
            <w:tcMar>
              <w:top w:w="110" w:type="dxa"/>
            </w:tcMar>
            <w:vAlign w:val="center"/>
          </w:tcPr>
          <w:p w:rsidR="00DD50EB" w:rsidRPr="000B3714" w:rsidRDefault="00DD50EB" w:rsidP="001E0812">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1E0812">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color w:val="000000"/>
                <w:sz w:val="16"/>
                <w:szCs w:val="16"/>
                <w:lang w:bidi="th-TH"/>
              </w:rPr>
              <w:t>No. of countries provided with technical assistance on new or updated legislative frameworks for effective enforcement, taking into account flexibilities in Part III of TRIPS</w:t>
            </w:r>
          </w:p>
        </w:tc>
        <w:tc>
          <w:tcPr>
            <w:tcW w:w="799" w:type="pct"/>
            <w:tcBorders>
              <w:bottom w:val="single" w:sz="4" w:space="0" w:color="auto"/>
            </w:tcBorders>
            <w:shd w:val="clear" w:color="auto" w:fill="auto"/>
          </w:tcPr>
          <w:p w:rsidR="00DD50EB" w:rsidRPr="000B3714" w:rsidRDefault="00DD50EB" w:rsidP="007C0423">
            <w:pPr>
              <w:rPr>
                <w:rFonts w:cs="Arial"/>
                <w:i/>
                <w:color w:val="002060"/>
                <w:sz w:val="16"/>
                <w:szCs w:val="16"/>
              </w:rPr>
            </w:pPr>
            <w:r w:rsidRPr="000B3714">
              <w:rPr>
                <w:rFonts w:cs="Arial"/>
                <w:i/>
                <w:color w:val="002060"/>
                <w:sz w:val="16"/>
                <w:szCs w:val="16"/>
              </w:rPr>
              <w:t xml:space="preserve">Updated Baseline end 2011:  </w:t>
            </w:r>
          </w:p>
          <w:p w:rsidR="00DD50EB" w:rsidRPr="000B3714" w:rsidRDefault="00DD50EB" w:rsidP="007C0423">
            <w:pPr>
              <w:rPr>
                <w:rFonts w:cs="Arial"/>
                <w:color w:val="002060"/>
                <w:sz w:val="16"/>
                <w:szCs w:val="16"/>
                <w:lang w:eastAsia="ko-KR" w:bidi="th-TH"/>
              </w:rPr>
            </w:pPr>
            <w:r w:rsidRPr="000B3714">
              <w:rPr>
                <w:rFonts w:cs="Arial"/>
                <w:color w:val="002060"/>
                <w:sz w:val="16"/>
                <w:szCs w:val="16"/>
                <w:lang w:eastAsia="ko-KR" w:bidi="th-TH"/>
              </w:rPr>
              <w:t>One regional group (Africa) and two countries (in 2010/11)</w:t>
            </w:r>
          </w:p>
          <w:p w:rsidR="00DD50EB" w:rsidRPr="001E0812" w:rsidRDefault="00DD50EB" w:rsidP="007C0423">
            <w:pPr>
              <w:rPr>
                <w:rFonts w:cs="Arial"/>
                <w:i/>
                <w:sz w:val="8"/>
                <w:szCs w:val="8"/>
              </w:rPr>
            </w:pPr>
          </w:p>
          <w:p w:rsidR="00DD50EB" w:rsidRPr="000B3714" w:rsidRDefault="00DD50EB" w:rsidP="007C0423">
            <w:pPr>
              <w:rPr>
                <w:rFonts w:cs="Arial"/>
                <w:sz w:val="16"/>
                <w:szCs w:val="16"/>
                <w:lang w:bidi="th-TH"/>
              </w:rPr>
            </w:pPr>
            <w:r w:rsidRPr="000B3714">
              <w:rPr>
                <w:rFonts w:cs="Arial"/>
                <w:i/>
                <w:sz w:val="16"/>
                <w:szCs w:val="16"/>
              </w:rPr>
              <w:t>Original Baseline P&amp;B 2012/13:</w:t>
            </w:r>
            <w:r w:rsidRPr="000B3714">
              <w:rPr>
                <w:rFonts w:cs="Arial"/>
                <w:sz w:val="16"/>
                <w:szCs w:val="16"/>
              </w:rPr>
              <w:br/>
            </w:r>
            <w:r w:rsidRPr="000B3714">
              <w:rPr>
                <w:rFonts w:cs="Arial"/>
                <w:sz w:val="16"/>
                <w:szCs w:val="16"/>
                <w:lang w:bidi="th-TH"/>
              </w:rPr>
              <w:t>One regional group (Africa)</w:t>
            </w:r>
            <w:r w:rsidRPr="000B3714">
              <w:rPr>
                <w:rFonts w:cs="Arial"/>
                <w:sz w:val="16"/>
                <w:szCs w:val="16"/>
                <w:lang w:bidi="th-TH"/>
              </w:rPr>
              <w:br/>
              <w:t>One country</w:t>
            </w:r>
            <w:r w:rsidRPr="000B3714">
              <w:rPr>
                <w:rFonts w:cs="Arial"/>
                <w:sz w:val="16"/>
                <w:szCs w:val="16"/>
                <w:lang w:bidi="th-TH"/>
              </w:rPr>
              <w:br/>
              <w:t>(Asia)</w:t>
            </w:r>
          </w:p>
          <w:p w:rsidR="00DD50EB" w:rsidRPr="000B3714" w:rsidRDefault="00DD50EB" w:rsidP="007C0423">
            <w:pPr>
              <w:rPr>
                <w:rFonts w:cs="Arial"/>
                <w:sz w:val="16"/>
                <w:szCs w:val="16"/>
              </w:rPr>
            </w:pPr>
          </w:p>
        </w:tc>
        <w:tc>
          <w:tcPr>
            <w:tcW w:w="913" w:type="pct"/>
            <w:tcBorders>
              <w:bottom w:val="single" w:sz="4" w:space="0" w:color="auto"/>
            </w:tcBorders>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Four countries</w:t>
            </w:r>
          </w:p>
          <w:p w:rsidR="00DD50EB" w:rsidRPr="000B3714" w:rsidRDefault="00DD50EB" w:rsidP="007C0423">
            <w:pPr>
              <w:rPr>
                <w:rFonts w:cs="Arial"/>
                <w:i/>
                <w:sz w:val="16"/>
                <w:szCs w:val="16"/>
              </w:rPr>
            </w:pPr>
            <w:r w:rsidRPr="000B3714">
              <w:rPr>
                <w:rFonts w:cs="Arial"/>
                <w:sz w:val="16"/>
                <w:szCs w:val="16"/>
              </w:rPr>
              <w:t>(in 2012/13)</w:t>
            </w:r>
          </w:p>
        </w:tc>
        <w:tc>
          <w:tcPr>
            <w:tcW w:w="1737" w:type="pct"/>
            <w:tcBorders>
              <w:bottom w:val="single" w:sz="4" w:space="0" w:color="auto"/>
            </w:tcBorders>
            <w:shd w:val="clear" w:color="auto" w:fill="FFFFFF"/>
            <w:tcMar>
              <w:top w:w="110" w:type="dxa"/>
            </w:tcMar>
          </w:tcPr>
          <w:p w:rsidR="00DD50EB" w:rsidRPr="000B3714" w:rsidRDefault="001E0812" w:rsidP="00CD26D6">
            <w:pPr>
              <w:pStyle w:val="ListParagraph"/>
              <w:tabs>
                <w:tab w:val="left" w:pos="307"/>
              </w:tabs>
              <w:ind w:left="307" w:hanging="283"/>
              <w:rPr>
                <w:rFonts w:cs="Arial"/>
                <w:sz w:val="16"/>
                <w:szCs w:val="16"/>
                <w:lang w:bidi="th-TH"/>
              </w:rPr>
            </w:pPr>
            <w:r>
              <w:rPr>
                <w:rFonts w:cs="Arial"/>
                <w:sz w:val="16"/>
                <w:szCs w:val="16"/>
                <w:lang w:bidi="th-TH"/>
              </w:rPr>
              <w:t>(i)</w:t>
            </w:r>
            <w:r>
              <w:rPr>
                <w:rFonts w:cs="Arial"/>
                <w:sz w:val="16"/>
                <w:szCs w:val="16"/>
                <w:lang w:bidi="th-TH"/>
              </w:rPr>
              <w:tab/>
            </w:r>
            <w:r w:rsidR="00DD50EB" w:rsidRPr="000B3714">
              <w:rPr>
                <w:rFonts w:cs="Arial"/>
                <w:sz w:val="16"/>
                <w:szCs w:val="16"/>
                <w:lang w:bidi="th-TH"/>
              </w:rPr>
              <w:t>One regional group (Africa) and nine countries</w:t>
            </w:r>
            <w:r>
              <w:rPr>
                <w:rFonts w:cs="Arial"/>
                <w:sz w:val="16"/>
                <w:szCs w:val="16"/>
                <w:lang w:bidi="th-TH"/>
              </w:rPr>
              <w:t xml:space="preserve"> </w:t>
            </w:r>
            <w:r w:rsidR="00DD50EB" w:rsidRPr="000B3714">
              <w:rPr>
                <w:rFonts w:cs="Arial"/>
                <w:sz w:val="16"/>
                <w:szCs w:val="16"/>
                <w:lang w:bidi="th-TH"/>
              </w:rPr>
              <w:t>- Africa (3), Asia and the Pacific (5), Latin America and the Caribbean (1)</w:t>
            </w:r>
            <w:r>
              <w:rPr>
                <w:rFonts w:cs="Arial"/>
                <w:sz w:val="16"/>
                <w:szCs w:val="16"/>
                <w:lang w:bidi="th-TH"/>
              </w:rPr>
              <w:t xml:space="preserve"> </w:t>
            </w:r>
            <w:r w:rsidR="00DD50EB" w:rsidRPr="000B3714">
              <w:rPr>
                <w:rFonts w:cs="Arial"/>
                <w:sz w:val="16"/>
                <w:szCs w:val="16"/>
                <w:lang w:bidi="th-TH"/>
              </w:rPr>
              <w:t>- were provided with legislative comments;</w:t>
            </w:r>
          </w:p>
          <w:p w:rsidR="00DD50EB" w:rsidRPr="000B3714" w:rsidRDefault="001E0812" w:rsidP="00CD26D6">
            <w:pPr>
              <w:pStyle w:val="ListParagraph"/>
              <w:tabs>
                <w:tab w:val="left" w:pos="307"/>
              </w:tabs>
              <w:ind w:left="307" w:hanging="283"/>
              <w:rPr>
                <w:rFonts w:cs="Arial"/>
                <w:sz w:val="16"/>
                <w:szCs w:val="16"/>
                <w:lang w:bidi="th-TH"/>
              </w:rPr>
            </w:pPr>
            <w:r>
              <w:rPr>
                <w:rFonts w:cs="Arial"/>
                <w:sz w:val="16"/>
                <w:szCs w:val="16"/>
                <w:lang w:bidi="th-TH"/>
              </w:rPr>
              <w:t>(ii)</w:t>
            </w:r>
            <w:r>
              <w:rPr>
                <w:rFonts w:cs="Arial"/>
                <w:sz w:val="16"/>
                <w:szCs w:val="16"/>
                <w:lang w:bidi="th-TH"/>
              </w:rPr>
              <w:tab/>
            </w:r>
            <w:r w:rsidR="00DD50EB" w:rsidRPr="000B3714">
              <w:rPr>
                <w:rFonts w:cs="Arial"/>
                <w:sz w:val="16"/>
                <w:szCs w:val="16"/>
                <w:lang w:bidi="th-TH"/>
              </w:rPr>
              <w:t>Diagnostic missions were undertaken in two countries</w:t>
            </w:r>
            <w:r>
              <w:rPr>
                <w:rFonts w:cs="Arial"/>
                <w:sz w:val="16"/>
                <w:szCs w:val="16"/>
                <w:lang w:bidi="th-TH"/>
              </w:rPr>
              <w:t xml:space="preserve"> </w:t>
            </w:r>
            <w:r w:rsidR="00DD50EB" w:rsidRPr="000B3714">
              <w:rPr>
                <w:rFonts w:cs="Arial"/>
                <w:sz w:val="16"/>
                <w:szCs w:val="16"/>
                <w:lang w:bidi="th-TH"/>
              </w:rPr>
              <w:t>- Africa (1) and Asia and the Pacific (1);</w:t>
            </w:r>
          </w:p>
          <w:p w:rsidR="00DD50EB" w:rsidRPr="000B3714" w:rsidRDefault="001E0812" w:rsidP="00CD26D6">
            <w:pPr>
              <w:pStyle w:val="ListParagraph"/>
              <w:tabs>
                <w:tab w:val="left" w:pos="307"/>
              </w:tabs>
              <w:ind w:left="307" w:hanging="283"/>
              <w:rPr>
                <w:rFonts w:cs="Arial"/>
                <w:sz w:val="16"/>
                <w:szCs w:val="16"/>
                <w:lang w:bidi="th-TH"/>
              </w:rPr>
            </w:pPr>
            <w:r>
              <w:rPr>
                <w:rFonts w:cs="Arial"/>
                <w:sz w:val="16"/>
                <w:szCs w:val="16"/>
                <w:lang w:bidi="th-TH"/>
              </w:rPr>
              <w:t>(iii)</w:t>
            </w:r>
            <w:r>
              <w:rPr>
                <w:rFonts w:cs="Arial"/>
                <w:sz w:val="16"/>
                <w:szCs w:val="16"/>
                <w:lang w:bidi="th-TH"/>
              </w:rPr>
              <w:tab/>
            </w:r>
            <w:r w:rsidR="00DD50EB" w:rsidRPr="000B3714">
              <w:rPr>
                <w:rFonts w:cs="Arial"/>
                <w:sz w:val="16"/>
                <w:szCs w:val="16"/>
                <w:lang w:bidi="th-TH"/>
              </w:rPr>
              <w:t>Legal drafters of four Member States</w:t>
            </w:r>
            <w:r>
              <w:rPr>
                <w:rFonts w:cs="Arial"/>
                <w:sz w:val="16"/>
                <w:szCs w:val="16"/>
                <w:lang w:bidi="th-TH"/>
              </w:rPr>
              <w:t xml:space="preserve"> </w:t>
            </w:r>
            <w:r w:rsidR="00DD50EB" w:rsidRPr="000B3714">
              <w:rPr>
                <w:rFonts w:cs="Arial"/>
                <w:sz w:val="16"/>
                <w:szCs w:val="16"/>
                <w:lang w:bidi="th-TH"/>
              </w:rPr>
              <w:t>- Africa (2) and Asia and the Pacific (2)</w:t>
            </w:r>
            <w:r>
              <w:rPr>
                <w:rFonts w:cs="Arial"/>
                <w:sz w:val="16"/>
                <w:szCs w:val="16"/>
                <w:lang w:bidi="th-TH"/>
              </w:rPr>
              <w:t xml:space="preserve"> </w:t>
            </w:r>
            <w:r w:rsidR="00DD50EB" w:rsidRPr="000B3714">
              <w:rPr>
                <w:rFonts w:cs="Arial"/>
                <w:sz w:val="16"/>
                <w:szCs w:val="16"/>
                <w:lang w:bidi="th-TH"/>
              </w:rPr>
              <w:t xml:space="preserve">- were invited to Geneva. </w:t>
            </w:r>
          </w:p>
          <w:p w:rsidR="00DD50EB" w:rsidRPr="000B3714" w:rsidRDefault="00DD50EB" w:rsidP="007C0423">
            <w:pPr>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7C0423">
        <w:trPr>
          <w:cantSplit/>
        </w:trPr>
        <w:tc>
          <w:tcPr>
            <w:tcW w:w="5000" w:type="pct"/>
            <w:gridSpan w:val="5"/>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Enhanced human resource capacities able to deal with the broad range of requirements for the effective use of IP for development in developing countries, LDCs and countries with economies in transition</w:t>
            </w:r>
          </w:p>
        </w:tc>
      </w:tr>
      <w:tr w:rsidR="00DD50EB" w:rsidRPr="000B3714" w:rsidTr="000B3714">
        <w:trPr>
          <w:cantSplit/>
        </w:trPr>
        <w:tc>
          <w:tcPr>
            <w:tcW w:w="869" w:type="pct"/>
            <w:tcBorders>
              <w:top w:val="single" w:sz="4" w:space="0" w:color="auto"/>
            </w:tcBorders>
            <w:shd w:val="clear" w:color="auto" w:fill="auto"/>
            <w:vAlign w:val="center"/>
          </w:tcPr>
          <w:p w:rsidR="00DD50EB" w:rsidRPr="001E0812" w:rsidRDefault="00DD50EB" w:rsidP="001E0812">
            <w:pPr>
              <w:rPr>
                <w:rFonts w:cs="Arial"/>
                <w:sz w:val="16"/>
                <w:szCs w:val="16"/>
              </w:rPr>
            </w:pPr>
            <w:r w:rsidRPr="001E0812">
              <w:rPr>
                <w:rFonts w:cs="Arial"/>
                <w:b/>
                <w:bCs/>
                <w:sz w:val="16"/>
                <w:szCs w:val="16"/>
              </w:rPr>
              <w:t>Performance Indicators</w:t>
            </w:r>
          </w:p>
        </w:tc>
        <w:tc>
          <w:tcPr>
            <w:tcW w:w="799" w:type="pct"/>
            <w:tcBorders>
              <w:top w:val="single" w:sz="4" w:space="0" w:color="auto"/>
            </w:tcBorders>
            <w:shd w:val="clear" w:color="auto" w:fill="auto"/>
            <w:vAlign w:val="center"/>
          </w:tcPr>
          <w:p w:rsidR="00DD50EB" w:rsidRPr="001E0812" w:rsidRDefault="00DD50EB" w:rsidP="001E0812">
            <w:pPr>
              <w:rPr>
                <w:rFonts w:cs="Arial"/>
                <w:b/>
                <w:bCs/>
                <w:sz w:val="16"/>
                <w:szCs w:val="16"/>
              </w:rPr>
            </w:pPr>
            <w:r w:rsidRPr="001E0812">
              <w:rPr>
                <w:rFonts w:cs="Arial"/>
                <w:b/>
                <w:bCs/>
                <w:sz w:val="16"/>
                <w:szCs w:val="16"/>
              </w:rPr>
              <w:t>Baselines</w:t>
            </w:r>
          </w:p>
        </w:tc>
        <w:tc>
          <w:tcPr>
            <w:tcW w:w="913" w:type="pct"/>
            <w:tcBorders>
              <w:top w:val="single" w:sz="4" w:space="0" w:color="auto"/>
            </w:tcBorders>
            <w:shd w:val="clear" w:color="auto" w:fill="auto"/>
            <w:tcMar>
              <w:top w:w="110" w:type="dxa"/>
            </w:tcMar>
            <w:vAlign w:val="center"/>
          </w:tcPr>
          <w:p w:rsidR="00DD50EB" w:rsidRPr="001E0812" w:rsidRDefault="00DD50EB" w:rsidP="001E0812">
            <w:pPr>
              <w:rPr>
                <w:rFonts w:cs="Arial"/>
                <w:b/>
                <w:sz w:val="16"/>
                <w:szCs w:val="16"/>
              </w:rPr>
            </w:pPr>
            <w:r w:rsidRPr="001E0812">
              <w:rPr>
                <w:rFonts w:cs="Arial"/>
                <w:b/>
                <w:sz w:val="16"/>
                <w:szCs w:val="16"/>
              </w:rPr>
              <w:t>Targets</w:t>
            </w:r>
          </w:p>
        </w:tc>
        <w:tc>
          <w:tcPr>
            <w:tcW w:w="1737" w:type="pct"/>
            <w:tcBorders>
              <w:top w:val="single" w:sz="4" w:space="0" w:color="auto"/>
            </w:tcBorders>
            <w:shd w:val="clear" w:color="auto" w:fill="FFFFFF"/>
            <w:tcMar>
              <w:top w:w="110" w:type="dxa"/>
            </w:tcMar>
            <w:vAlign w:val="center"/>
          </w:tcPr>
          <w:p w:rsidR="00DD50EB" w:rsidRPr="001E0812" w:rsidRDefault="00DD50EB" w:rsidP="001E0812">
            <w:pPr>
              <w:rPr>
                <w:rFonts w:cs="Arial"/>
                <w:sz w:val="16"/>
                <w:szCs w:val="16"/>
              </w:rPr>
            </w:pPr>
            <w:r w:rsidRPr="001E0812">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1E0812" w:rsidRDefault="00DD50EB" w:rsidP="001E0812">
            <w:pPr>
              <w:keepNext/>
              <w:keepLines/>
              <w:jc w:val="center"/>
              <w:rPr>
                <w:rFonts w:cs="Arial"/>
                <w:b/>
                <w:bCs/>
                <w:sz w:val="16"/>
                <w:szCs w:val="16"/>
              </w:rPr>
            </w:pPr>
            <w:r w:rsidRPr="001E0812">
              <w:rPr>
                <w:rFonts w:cs="Arial"/>
                <w:b/>
                <w:bCs/>
                <w:sz w:val="16"/>
                <w:szCs w:val="16"/>
              </w:rPr>
              <w:t>TLS</w:t>
            </w:r>
          </w:p>
        </w:tc>
      </w:tr>
      <w:tr w:rsidR="00DD50EB" w:rsidRPr="000B3714" w:rsidTr="000B3714">
        <w:trPr>
          <w:cantSplit/>
        </w:trPr>
        <w:tc>
          <w:tcPr>
            <w:tcW w:w="869" w:type="pct"/>
            <w:shd w:val="clear" w:color="auto" w:fill="auto"/>
          </w:tcPr>
          <w:p w:rsidR="00DD50EB" w:rsidRPr="000B3714" w:rsidRDefault="00DD50EB" w:rsidP="007C0423">
            <w:pPr>
              <w:rPr>
                <w:rFonts w:cs="Arial"/>
                <w:sz w:val="16"/>
                <w:szCs w:val="16"/>
              </w:rPr>
            </w:pPr>
            <w:r w:rsidRPr="000B3714">
              <w:rPr>
                <w:rFonts w:cs="Arial"/>
                <w:sz w:val="16"/>
                <w:szCs w:val="16"/>
              </w:rPr>
              <w:t>Inclusion of development-related issues in WIPO enforcement training programs</w:t>
            </w:r>
          </w:p>
        </w:tc>
        <w:tc>
          <w:tcPr>
            <w:tcW w:w="799" w:type="pct"/>
            <w:shd w:val="clear" w:color="auto" w:fill="auto"/>
          </w:tcPr>
          <w:p w:rsidR="00DD50EB" w:rsidRPr="000B3714" w:rsidRDefault="00DD50EB" w:rsidP="007C0423">
            <w:pPr>
              <w:rPr>
                <w:rFonts w:cs="Arial"/>
                <w:sz w:val="16"/>
                <w:szCs w:val="16"/>
              </w:rPr>
            </w:pPr>
            <w:r w:rsidRPr="000B3714">
              <w:rPr>
                <w:rFonts w:cs="Arial"/>
                <w:sz w:val="16"/>
                <w:szCs w:val="16"/>
              </w:rPr>
              <w:t>No current data available</w:t>
            </w:r>
          </w:p>
        </w:tc>
        <w:tc>
          <w:tcPr>
            <w:tcW w:w="913" w:type="pct"/>
            <w:shd w:val="clear" w:color="auto" w:fill="auto"/>
            <w:tcMar>
              <w:top w:w="110" w:type="dxa"/>
            </w:tcMar>
          </w:tcPr>
          <w:p w:rsidR="00DD50EB" w:rsidRPr="000B3714" w:rsidRDefault="00DD50EB" w:rsidP="007C0423">
            <w:pPr>
              <w:rPr>
                <w:rFonts w:cs="Arial"/>
                <w:i/>
                <w:sz w:val="16"/>
                <w:szCs w:val="16"/>
              </w:rPr>
            </w:pPr>
            <w:r w:rsidRPr="000B3714">
              <w:rPr>
                <w:rFonts w:cs="Arial"/>
                <w:sz w:val="16"/>
                <w:szCs w:val="16"/>
              </w:rPr>
              <w:t>100%</w:t>
            </w:r>
          </w:p>
        </w:tc>
        <w:tc>
          <w:tcPr>
            <w:tcW w:w="1737" w:type="pct"/>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100%</w:t>
            </w:r>
          </w:p>
          <w:p w:rsidR="00DD50EB" w:rsidRPr="000B3714" w:rsidRDefault="00DD50EB" w:rsidP="007C0423">
            <w:pPr>
              <w:rPr>
                <w:rFonts w:cs="Arial"/>
                <w:sz w:val="16"/>
                <w:szCs w:val="16"/>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All activities include </w:t>
            </w:r>
            <w:r w:rsidRPr="000B3714">
              <w:rPr>
                <w:rFonts w:cs="Arial"/>
                <w:sz w:val="16"/>
                <w:szCs w:val="16"/>
              </w:rPr>
              <w:t>development-related issues</w:t>
            </w:r>
            <w:r w:rsidRPr="000B3714">
              <w:rPr>
                <w:rFonts w:cs="Arial"/>
                <w:sz w:val="16"/>
                <w:szCs w:val="16"/>
                <w:lang w:bidi="th-TH"/>
              </w:rPr>
              <w:t xml:space="preserve"> in accordance with Recommendation 45 of the Development Agenda:</w:t>
            </w:r>
          </w:p>
          <w:p w:rsidR="00DD50EB" w:rsidRPr="000B3714" w:rsidRDefault="00DD50EB" w:rsidP="007C0423">
            <w:pPr>
              <w:rPr>
                <w:rFonts w:cs="Arial"/>
                <w:sz w:val="16"/>
                <w:szCs w:val="16"/>
                <w:lang w:bidi="th-TH"/>
              </w:rPr>
            </w:pPr>
          </w:p>
          <w:p w:rsidR="00DD50EB" w:rsidRPr="000B3714" w:rsidRDefault="00DD50EB" w:rsidP="005703CF">
            <w:pPr>
              <w:pStyle w:val="ListParagraph"/>
              <w:numPr>
                <w:ilvl w:val="0"/>
                <w:numId w:val="49"/>
              </w:numPr>
              <w:ind w:left="307" w:hanging="307"/>
              <w:rPr>
                <w:rFonts w:cs="Arial"/>
                <w:sz w:val="16"/>
                <w:szCs w:val="16"/>
                <w:lang w:bidi="th-TH"/>
              </w:rPr>
            </w:pPr>
            <w:r w:rsidRPr="000B3714">
              <w:rPr>
                <w:rFonts w:cs="Arial"/>
                <w:sz w:val="16"/>
                <w:szCs w:val="16"/>
                <w:lang w:bidi="th-TH"/>
              </w:rPr>
              <w:t>22 (sub-) regional and 15 national capacity-building activities</w:t>
            </w:r>
          </w:p>
          <w:p w:rsidR="00DD50EB" w:rsidRPr="000B3714" w:rsidRDefault="00DD50EB" w:rsidP="005703CF">
            <w:pPr>
              <w:pStyle w:val="ListParagraph"/>
              <w:numPr>
                <w:ilvl w:val="0"/>
                <w:numId w:val="49"/>
              </w:numPr>
              <w:ind w:left="307" w:hanging="307"/>
              <w:rPr>
                <w:rFonts w:cs="Arial"/>
                <w:sz w:val="16"/>
                <w:szCs w:val="16"/>
                <w:lang w:bidi="th-TH"/>
              </w:rPr>
            </w:pPr>
            <w:r w:rsidRPr="000B3714">
              <w:rPr>
                <w:rFonts w:cs="Arial"/>
                <w:sz w:val="16"/>
                <w:szCs w:val="16"/>
                <w:lang w:bidi="th-TH"/>
              </w:rPr>
              <w:t>Four consultation meetings on building respect for IP strategies</w:t>
            </w:r>
          </w:p>
          <w:p w:rsidR="00DD50EB" w:rsidRPr="000B3714" w:rsidRDefault="00DD50EB" w:rsidP="005703CF">
            <w:pPr>
              <w:pStyle w:val="ListParagraph"/>
              <w:numPr>
                <w:ilvl w:val="0"/>
                <w:numId w:val="49"/>
              </w:numPr>
              <w:ind w:left="307" w:hanging="307"/>
              <w:rPr>
                <w:rFonts w:cs="Arial"/>
                <w:sz w:val="16"/>
                <w:szCs w:val="16"/>
              </w:rPr>
            </w:pPr>
            <w:r w:rsidRPr="000B3714">
              <w:rPr>
                <w:rFonts w:cs="Arial"/>
                <w:sz w:val="16"/>
                <w:szCs w:val="16"/>
                <w:lang w:bidi="th-TH"/>
              </w:rPr>
              <w:t>Program 17 participated, with a focus on building respect for IP, in 11 general WIPO training programs</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0B3714">
        <w:trPr>
          <w:cantSplit/>
        </w:trPr>
        <w:tc>
          <w:tcPr>
            <w:tcW w:w="86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 of trained enforcement officials that report satisfaction with the training provided, including guidance on strategic cooperation, and its usefulness for their professional life</w:t>
            </w:r>
          </w:p>
          <w:p w:rsidR="00DD50EB" w:rsidRPr="000B3714" w:rsidRDefault="00DD50EB" w:rsidP="007C0423">
            <w:pPr>
              <w:rPr>
                <w:rFonts w:cs="Arial"/>
                <w:sz w:val="16"/>
                <w:szCs w:val="16"/>
              </w:rPr>
            </w:pPr>
          </w:p>
        </w:tc>
        <w:tc>
          <w:tcPr>
            <w:tcW w:w="799"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No current data available</w:t>
            </w:r>
          </w:p>
        </w:tc>
        <w:tc>
          <w:tcPr>
            <w:tcW w:w="913" w:type="pct"/>
            <w:tcBorders>
              <w:bottom w:val="single" w:sz="4" w:space="0" w:color="auto"/>
            </w:tcBorders>
            <w:shd w:val="clear" w:color="auto" w:fill="auto"/>
            <w:tcMar>
              <w:top w:w="110" w:type="dxa"/>
            </w:tcMar>
          </w:tcPr>
          <w:p w:rsidR="00DD50EB" w:rsidRPr="000B3714" w:rsidRDefault="00DD50EB" w:rsidP="007C0423">
            <w:pPr>
              <w:rPr>
                <w:rFonts w:cs="Arial"/>
                <w:sz w:val="16"/>
                <w:szCs w:val="16"/>
                <w:lang w:bidi="th-TH"/>
              </w:rPr>
            </w:pPr>
            <w:r w:rsidRPr="000B3714">
              <w:rPr>
                <w:rFonts w:cs="Arial"/>
                <w:sz w:val="16"/>
                <w:szCs w:val="16"/>
              </w:rPr>
              <w:t>75%</w:t>
            </w:r>
          </w:p>
        </w:tc>
        <w:tc>
          <w:tcPr>
            <w:tcW w:w="1737" w:type="pct"/>
            <w:tcBorders>
              <w:bottom w:val="single" w:sz="4" w:space="0" w:color="auto"/>
            </w:tcBorders>
            <w:shd w:val="clear" w:color="auto" w:fill="FFFFFF"/>
            <w:tcMar>
              <w:top w:w="110" w:type="dxa"/>
            </w:tcMar>
          </w:tcPr>
          <w:p w:rsidR="00DD50EB" w:rsidRPr="000B3714" w:rsidRDefault="00DD50EB" w:rsidP="007C0423">
            <w:pPr>
              <w:rPr>
                <w:rFonts w:cs="Arial"/>
                <w:sz w:val="16"/>
                <w:szCs w:val="16"/>
              </w:rPr>
            </w:pPr>
            <w:r w:rsidRPr="000B3714">
              <w:rPr>
                <w:rFonts w:cs="Arial"/>
                <w:sz w:val="16"/>
                <w:szCs w:val="16"/>
              </w:rPr>
              <w:t>The average rate of satisfaction expressed by the participants in the capacity building activities was above 85%</w:t>
            </w:r>
            <w:r w:rsidR="008E7F2E">
              <w:rPr>
                <w:rFonts w:cs="Arial"/>
                <w:sz w:val="16"/>
                <w:szCs w:val="16"/>
              </w:rPr>
              <w:t>.</w:t>
            </w: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00800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7C0423">
        <w:trPr>
          <w:cantSplit/>
        </w:trPr>
        <w:tc>
          <w:tcPr>
            <w:tcW w:w="5000" w:type="pct"/>
            <w:gridSpan w:val="5"/>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lastRenderedPageBreak/>
              <w:t>Expected Result:</w:t>
            </w:r>
            <w:r w:rsidRPr="000B3714">
              <w:rPr>
                <w:rFonts w:cs="Arial"/>
                <w:b/>
                <w:bCs/>
                <w:sz w:val="16"/>
                <w:szCs w:val="16"/>
              </w:rPr>
              <w:tab/>
            </w:r>
            <w:r w:rsidRPr="000B3714">
              <w:rPr>
                <w:rFonts w:cs="Arial"/>
                <w:sz w:val="16"/>
                <w:szCs w:val="16"/>
              </w:rPr>
              <w:t>Systematic, transparent and effective cooperation and coordination between the work of WIPO and other international organizations in the field of building respect for IP</w:t>
            </w:r>
          </w:p>
        </w:tc>
      </w:tr>
      <w:tr w:rsidR="00DD50EB" w:rsidRPr="001E0812" w:rsidTr="000B3714">
        <w:trPr>
          <w:cantSplit/>
        </w:trPr>
        <w:tc>
          <w:tcPr>
            <w:tcW w:w="869" w:type="pct"/>
            <w:tcBorders>
              <w:top w:val="single" w:sz="4" w:space="0" w:color="auto"/>
            </w:tcBorders>
            <w:shd w:val="clear" w:color="auto" w:fill="auto"/>
            <w:vAlign w:val="center"/>
          </w:tcPr>
          <w:p w:rsidR="00DD50EB" w:rsidRPr="001E0812" w:rsidRDefault="00DD50EB" w:rsidP="007C0423">
            <w:pPr>
              <w:rPr>
                <w:rFonts w:cs="Arial"/>
                <w:sz w:val="16"/>
                <w:szCs w:val="16"/>
              </w:rPr>
            </w:pPr>
            <w:r w:rsidRPr="001E0812">
              <w:rPr>
                <w:rFonts w:cs="Arial"/>
                <w:b/>
                <w:bCs/>
                <w:sz w:val="16"/>
                <w:szCs w:val="16"/>
              </w:rPr>
              <w:t>Performance Indicators</w:t>
            </w:r>
          </w:p>
        </w:tc>
        <w:tc>
          <w:tcPr>
            <w:tcW w:w="799" w:type="pct"/>
            <w:tcBorders>
              <w:top w:val="single" w:sz="4" w:space="0" w:color="auto"/>
            </w:tcBorders>
            <w:shd w:val="clear" w:color="auto" w:fill="auto"/>
            <w:vAlign w:val="center"/>
          </w:tcPr>
          <w:p w:rsidR="00DD50EB" w:rsidRPr="001E0812" w:rsidRDefault="00DD50EB" w:rsidP="007C0423">
            <w:pPr>
              <w:rPr>
                <w:rFonts w:cs="Arial"/>
                <w:b/>
                <w:bCs/>
                <w:sz w:val="16"/>
                <w:szCs w:val="16"/>
              </w:rPr>
            </w:pPr>
            <w:r w:rsidRPr="001E0812">
              <w:rPr>
                <w:rFonts w:cs="Arial"/>
                <w:b/>
                <w:bCs/>
                <w:sz w:val="16"/>
                <w:szCs w:val="16"/>
              </w:rPr>
              <w:t>Baselines</w:t>
            </w:r>
          </w:p>
        </w:tc>
        <w:tc>
          <w:tcPr>
            <w:tcW w:w="913" w:type="pct"/>
            <w:tcBorders>
              <w:top w:val="single" w:sz="4" w:space="0" w:color="auto"/>
            </w:tcBorders>
            <w:shd w:val="clear" w:color="auto" w:fill="auto"/>
            <w:tcMar>
              <w:top w:w="110" w:type="dxa"/>
            </w:tcMar>
            <w:vAlign w:val="center"/>
          </w:tcPr>
          <w:p w:rsidR="00DD50EB" w:rsidRPr="001E0812" w:rsidRDefault="00DD50EB" w:rsidP="007C0423">
            <w:pPr>
              <w:rPr>
                <w:rFonts w:cs="Arial"/>
                <w:b/>
                <w:sz w:val="16"/>
                <w:szCs w:val="16"/>
              </w:rPr>
            </w:pPr>
            <w:r w:rsidRPr="001E0812">
              <w:rPr>
                <w:rFonts w:cs="Arial"/>
                <w:b/>
                <w:sz w:val="16"/>
                <w:szCs w:val="16"/>
              </w:rPr>
              <w:t>Targets</w:t>
            </w:r>
          </w:p>
        </w:tc>
        <w:tc>
          <w:tcPr>
            <w:tcW w:w="1737" w:type="pct"/>
            <w:tcBorders>
              <w:top w:val="single" w:sz="4" w:space="0" w:color="auto"/>
            </w:tcBorders>
            <w:shd w:val="clear" w:color="auto" w:fill="FFFFFF"/>
            <w:tcMar>
              <w:top w:w="110" w:type="dxa"/>
            </w:tcMar>
            <w:vAlign w:val="center"/>
          </w:tcPr>
          <w:p w:rsidR="00DD50EB" w:rsidRPr="001E0812" w:rsidRDefault="00DD50EB" w:rsidP="007C0423">
            <w:pPr>
              <w:rPr>
                <w:rFonts w:cs="Arial"/>
                <w:sz w:val="16"/>
                <w:szCs w:val="16"/>
              </w:rPr>
            </w:pPr>
            <w:r w:rsidRPr="001E0812">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1E0812" w:rsidRDefault="00DD50EB" w:rsidP="007C0423">
            <w:pPr>
              <w:keepNext/>
              <w:keepLines/>
              <w:jc w:val="center"/>
              <w:rPr>
                <w:rFonts w:cs="Arial"/>
                <w:b/>
                <w:bCs/>
                <w:sz w:val="16"/>
                <w:szCs w:val="16"/>
              </w:rPr>
            </w:pPr>
            <w:r w:rsidRPr="001E0812">
              <w:rPr>
                <w:rFonts w:cs="Arial"/>
                <w:b/>
                <w:bCs/>
                <w:sz w:val="16"/>
                <w:szCs w:val="16"/>
              </w:rPr>
              <w:t>TLS</w:t>
            </w:r>
          </w:p>
        </w:tc>
      </w:tr>
      <w:tr w:rsidR="00DD50EB" w:rsidRPr="000B3714" w:rsidTr="000B3714">
        <w:trPr>
          <w:cantSplit/>
        </w:trPr>
        <w:tc>
          <w:tcPr>
            <w:tcW w:w="869" w:type="pct"/>
            <w:shd w:val="clear" w:color="auto" w:fill="auto"/>
          </w:tcPr>
          <w:p w:rsidR="00DD50EB" w:rsidRPr="000B3714" w:rsidRDefault="00DD50EB" w:rsidP="007C0423">
            <w:pPr>
              <w:keepNext/>
              <w:keepLines/>
              <w:rPr>
                <w:rFonts w:cs="Arial"/>
                <w:sz w:val="16"/>
                <w:szCs w:val="16"/>
              </w:rPr>
            </w:pPr>
            <w:r w:rsidRPr="000B3714">
              <w:rPr>
                <w:rFonts w:cs="Arial"/>
                <w:sz w:val="16"/>
                <w:szCs w:val="16"/>
              </w:rPr>
              <w:t xml:space="preserve">No. of formal </w:t>
            </w:r>
            <w:r w:rsidR="00D07F31">
              <w:rPr>
                <w:rFonts w:cs="Arial"/>
                <w:sz w:val="16"/>
                <w:szCs w:val="16"/>
              </w:rPr>
              <w:t>cooperation mechanisms in place</w:t>
            </w:r>
          </w:p>
        </w:tc>
        <w:tc>
          <w:tcPr>
            <w:tcW w:w="799" w:type="pct"/>
            <w:shd w:val="clear" w:color="auto" w:fill="auto"/>
          </w:tcPr>
          <w:p w:rsidR="00DD50EB" w:rsidRPr="000B3714" w:rsidRDefault="00DD50EB" w:rsidP="007C0423">
            <w:pPr>
              <w:keepNext/>
              <w:keepLines/>
              <w:rPr>
                <w:rFonts w:cs="Arial"/>
                <w:sz w:val="16"/>
                <w:szCs w:val="16"/>
              </w:rPr>
            </w:pPr>
            <w:r w:rsidRPr="000B3714">
              <w:rPr>
                <w:rFonts w:cs="Arial"/>
                <w:sz w:val="16"/>
                <w:szCs w:val="16"/>
              </w:rPr>
              <w:t>Three</w:t>
            </w:r>
          </w:p>
        </w:tc>
        <w:tc>
          <w:tcPr>
            <w:tcW w:w="913" w:type="pct"/>
            <w:shd w:val="clear" w:color="auto" w:fill="auto"/>
            <w:tcMar>
              <w:top w:w="110" w:type="dxa"/>
            </w:tcMar>
          </w:tcPr>
          <w:p w:rsidR="00DD50EB" w:rsidRPr="000B3714" w:rsidRDefault="00DD50EB" w:rsidP="007C0423">
            <w:pPr>
              <w:rPr>
                <w:rFonts w:cs="Arial"/>
                <w:i/>
                <w:sz w:val="16"/>
                <w:szCs w:val="16"/>
              </w:rPr>
            </w:pPr>
            <w:r w:rsidRPr="000B3714">
              <w:rPr>
                <w:rFonts w:cs="Arial"/>
                <w:sz w:val="16"/>
                <w:szCs w:val="16"/>
              </w:rPr>
              <w:t>Four</w:t>
            </w:r>
            <w:r w:rsidRPr="000B3714" w:rsidDel="0069614F">
              <w:rPr>
                <w:rFonts w:cs="Arial"/>
                <w:sz w:val="16"/>
                <w:szCs w:val="16"/>
                <w:lang w:bidi="th-TH"/>
              </w:rPr>
              <w:t xml:space="preserve"> </w:t>
            </w:r>
          </w:p>
        </w:tc>
        <w:tc>
          <w:tcPr>
            <w:tcW w:w="1737" w:type="pct"/>
            <w:shd w:val="clear" w:color="auto" w:fill="FFFFFF"/>
            <w:tcMar>
              <w:top w:w="110" w:type="dxa"/>
            </w:tcMar>
          </w:tcPr>
          <w:p w:rsidR="00DD50EB" w:rsidRPr="000B3714" w:rsidRDefault="00DD50EB" w:rsidP="007C0423">
            <w:pPr>
              <w:rPr>
                <w:rFonts w:cs="Arial"/>
                <w:sz w:val="16"/>
                <w:szCs w:val="16"/>
              </w:rPr>
            </w:pPr>
            <w:r w:rsidRPr="000B3714">
              <w:rPr>
                <w:rFonts w:cs="Arial"/>
                <w:sz w:val="16"/>
                <w:szCs w:val="16"/>
                <w:lang w:bidi="th-TH"/>
              </w:rPr>
              <w:t>Four</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0B3714">
        <w:trPr>
          <w:cantSplit/>
        </w:trPr>
        <w:tc>
          <w:tcPr>
            <w:tcW w:w="869" w:type="pct"/>
            <w:shd w:val="clear" w:color="auto" w:fill="auto"/>
          </w:tcPr>
          <w:p w:rsidR="00DD50EB" w:rsidRPr="000B3714" w:rsidRDefault="00DD50EB" w:rsidP="007C0423">
            <w:pPr>
              <w:keepNext/>
              <w:keepLines/>
              <w:rPr>
                <w:rFonts w:cs="Arial"/>
                <w:sz w:val="16"/>
                <w:szCs w:val="16"/>
              </w:rPr>
            </w:pPr>
            <w:r w:rsidRPr="000B3714">
              <w:rPr>
                <w:rFonts w:cs="Arial"/>
                <w:sz w:val="16"/>
                <w:szCs w:val="16"/>
              </w:rPr>
              <w:t xml:space="preserve">No. of joint activities </w:t>
            </w:r>
          </w:p>
        </w:tc>
        <w:tc>
          <w:tcPr>
            <w:tcW w:w="799" w:type="pct"/>
            <w:shd w:val="clear" w:color="auto" w:fill="auto"/>
          </w:tcPr>
          <w:p w:rsidR="00DD50EB" w:rsidRPr="001E0812" w:rsidRDefault="00DD50EB" w:rsidP="007C0423">
            <w:pPr>
              <w:rPr>
                <w:rFonts w:cs="Arial"/>
                <w:i/>
                <w:color w:val="002060"/>
                <w:sz w:val="16"/>
                <w:szCs w:val="16"/>
              </w:rPr>
            </w:pPr>
            <w:r w:rsidRPr="000B3714">
              <w:rPr>
                <w:rFonts w:cs="Arial"/>
                <w:i/>
                <w:color w:val="002060"/>
                <w:sz w:val="16"/>
                <w:szCs w:val="16"/>
              </w:rPr>
              <w:t xml:space="preserve">Updated Baseline end 2011:  </w:t>
            </w:r>
            <w:r w:rsidRPr="000B3714">
              <w:rPr>
                <w:rFonts w:cs="Arial"/>
                <w:color w:val="002060"/>
                <w:sz w:val="16"/>
                <w:szCs w:val="16"/>
                <w:lang w:bidi="th-TH"/>
              </w:rPr>
              <w:t>35 (in 2010/11)</w:t>
            </w:r>
          </w:p>
          <w:p w:rsidR="00DD50EB" w:rsidRPr="000B3714" w:rsidRDefault="00DD50EB" w:rsidP="007C0423">
            <w:pPr>
              <w:rPr>
                <w:rFonts w:cs="Arial"/>
                <w:i/>
                <w:sz w:val="16"/>
                <w:szCs w:val="16"/>
              </w:rPr>
            </w:pPr>
          </w:p>
          <w:p w:rsidR="00DD50EB" w:rsidRPr="000B3714" w:rsidRDefault="00DD50EB" w:rsidP="007C0423">
            <w:pPr>
              <w:keepNext/>
              <w:keepLines/>
              <w:rPr>
                <w:rFonts w:cs="Arial"/>
                <w:sz w:val="16"/>
                <w:szCs w:val="16"/>
              </w:rPr>
            </w:pPr>
            <w:r w:rsidRPr="000B3714">
              <w:rPr>
                <w:rFonts w:cs="Arial"/>
                <w:i/>
                <w:sz w:val="16"/>
                <w:szCs w:val="16"/>
              </w:rPr>
              <w:t>Original Baseline P&amp;B 2012/13:</w:t>
            </w:r>
            <w:r w:rsidR="001E0812">
              <w:rPr>
                <w:rFonts w:cs="Arial"/>
                <w:sz w:val="16"/>
                <w:szCs w:val="16"/>
              </w:rPr>
              <w:t xml:space="preserve">  </w:t>
            </w:r>
            <w:r w:rsidRPr="000B3714">
              <w:rPr>
                <w:rFonts w:cs="Arial"/>
                <w:sz w:val="16"/>
                <w:szCs w:val="16"/>
              </w:rPr>
              <w:t>30</w:t>
            </w:r>
          </w:p>
          <w:p w:rsidR="00DD50EB" w:rsidRPr="000B3714" w:rsidRDefault="00DD50EB" w:rsidP="007C0423">
            <w:pPr>
              <w:autoSpaceDE w:val="0"/>
              <w:autoSpaceDN w:val="0"/>
              <w:adjustRightInd w:val="0"/>
              <w:rPr>
                <w:rFonts w:cs="Arial"/>
                <w:sz w:val="16"/>
                <w:szCs w:val="16"/>
              </w:rPr>
            </w:pPr>
          </w:p>
        </w:tc>
        <w:tc>
          <w:tcPr>
            <w:tcW w:w="913" w:type="pct"/>
            <w:shd w:val="clear" w:color="auto" w:fill="auto"/>
            <w:tcMar>
              <w:top w:w="110" w:type="dxa"/>
            </w:tcMar>
          </w:tcPr>
          <w:p w:rsidR="00DD50EB" w:rsidRPr="000B3714" w:rsidRDefault="00DD50EB" w:rsidP="007C0423">
            <w:pPr>
              <w:rPr>
                <w:rFonts w:cs="Arial"/>
                <w:sz w:val="16"/>
                <w:szCs w:val="16"/>
                <w:lang w:bidi="th-TH"/>
              </w:rPr>
            </w:pPr>
            <w:r w:rsidRPr="000B3714">
              <w:rPr>
                <w:rFonts w:cs="Arial"/>
                <w:sz w:val="16"/>
                <w:szCs w:val="16"/>
              </w:rPr>
              <w:t>30 (in 2012/13)</w:t>
            </w:r>
          </w:p>
        </w:tc>
        <w:tc>
          <w:tcPr>
            <w:tcW w:w="1737" w:type="pct"/>
            <w:shd w:val="clear" w:color="auto" w:fill="FFFFFF"/>
            <w:tcMar>
              <w:top w:w="110" w:type="dxa"/>
            </w:tcMar>
          </w:tcPr>
          <w:p w:rsidR="00DD50EB" w:rsidRPr="000B3714" w:rsidRDefault="00DD50EB" w:rsidP="007C0423">
            <w:pPr>
              <w:rPr>
                <w:rFonts w:cs="Arial"/>
                <w:sz w:val="16"/>
                <w:szCs w:val="16"/>
              </w:rPr>
            </w:pPr>
            <w:r w:rsidRPr="000B3714">
              <w:rPr>
                <w:rFonts w:cs="Arial"/>
                <w:sz w:val="16"/>
                <w:szCs w:val="16"/>
              </w:rPr>
              <w:t>39 activities jointly organized with partner organizations and stakeholders and/or in which Program 17 participated</w:t>
            </w:r>
            <w:r w:rsidR="008E7F2E">
              <w:rPr>
                <w:rFonts w:cs="Arial"/>
                <w:sz w:val="16"/>
                <w:szCs w:val="16"/>
              </w:rPr>
              <w:t>.</w:t>
            </w:r>
          </w:p>
        </w:tc>
        <w:tc>
          <w:tcPr>
            <w:tcW w:w="682" w:type="pct"/>
            <w:shd w:val="clear" w:color="auto" w:fill="auto"/>
            <w:tcMar>
              <w:top w:w="110" w:type="dxa"/>
            </w:tcMar>
          </w:tcPr>
          <w:p w:rsidR="00DD50EB" w:rsidRPr="000B3714" w:rsidRDefault="00DD50EB" w:rsidP="007C0423">
            <w:pPr>
              <w:keepNext/>
              <w:keepLines/>
              <w:jc w:val="center"/>
              <w:rPr>
                <w:rFonts w:cs="Arial"/>
                <w:bCs/>
                <w:color w:val="008000"/>
                <w:sz w:val="16"/>
                <w:szCs w:val="16"/>
              </w:rPr>
            </w:pPr>
            <w:r w:rsidRPr="000B3714">
              <w:rPr>
                <w:rFonts w:cs="Arial"/>
                <w:bCs/>
                <w:color w:val="008000"/>
                <w:sz w:val="16"/>
                <w:szCs w:val="16"/>
              </w:rPr>
              <w:t>Fully</w:t>
            </w:r>
            <w:r w:rsidRPr="000B3714">
              <w:rPr>
                <w:rFonts w:cs="Arial"/>
                <w:bCs/>
                <w:color w:val="008000"/>
                <w:sz w:val="16"/>
                <w:szCs w:val="16"/>
              </w:rPr>
              <w:br/>
              <w:t>Achieved</w:t>
            </w:r>
          </w:p>
        </w:tc>
      </w:tr>
    </w:tbl>
    <w:p w:rsidR="00DD50EB" w:rsidRPr="0027745B" w:rsidRDefault="00DD50EB" w:rsidP="00DD50EB">
      <w:pPr>
        <w:rPr>
          <w:rFonts w:cs="Arial"/>
          <w:sz w:val="22"/>
          <w:szCs w:val="22"/>
        </w:rPr>
      </w:pPr>
    </w:p>
    <w:p w:rsidR="00DD50EB" w:rsidRPr="0069614F" w:rsidRDefault="00DD50EB" w:rsidP="00DD50EB">
      <w:pPr>
        <w:rPr>
          <w:rFonts w:cs="Arial"/>
          <w:sz w:val="22"/>
          <w:szCs w:val="22"/>
        </w:rPr>
      </w:pPr>
    </w:p>
    <w:p w:rsidR="00DD50EB" w:rsidRPr="00045A21" w:rsidRDefault="00DD50EB" w:rsidP="00DD50EB">
      <w:pPr>
        <w:rPr>
          <w:rFonts w:cs="Arial"/>
          <w:sz w:val="22"/>
          <w:szCs w:val="22"/>
        </w:rPr>
      </w:pPr>
      <w:r w:rsidRPr="00FB32DC">
        <w:rPr>
          <w:rFonts w:cs="Arial"/>
          <w:sz w:val="22"/>
          <w:szCs w:val="22"/>
        </w:rPr>
        <w:t>BUDGET UTILIZATION</w:t>
      </w:r>
      <w:r>
        <w:rPr>
          <w:rFonts w:cs="Arial"/>
          <w:sz w:val="22"/>
          <w:szCs w:val="22"/>
        </w:rPr>
        <w:t xml:space="preserve"> </w:t>
      </w:r>
      <w:r w:rsidRPr="00045A21">
        <w:rPr>
          <w:rFonts w:cs="Arial"/>
          <w:sz w:val="22"/>
          <w:szCs w:val="22"/>
        </w:rPr>
        <w:t>AND ACTUAL EXPENDITURE</w:t>
      </w:r>
    </w:p>
    <w:p w:rsidR="00DD50EB" w:rsidRDefault="00DD50EB" w:rsidP="00DD50EB">
      <w:pPr>
        <w:rPr>
          <w:rFonts w:cs="Arial"/>
          <w:szCs w:val="20"/>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DD50EB" w:rsidRPr="0027745B" w:rsidRDefault="00DD50EB" w:rsidP="00DD50EB">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rPr>
          <w:rFonts w:cs="Arial"/>
          <w:szCs w:val="20"/>
        </w:rPr>
      </w:pPr>
      <w:r>
        <w:rPr>
          <w:rFonts w:cs="Arial"/>
          <w:szCs w:val="20"/>
        </w:rPr>
        <w:t xml:space="preserve"> </w:t>
      </w:r>
    </w:p>
    <w:tbl>
      <w:tblPr>
        <w:tblW w:w="0" w:type="auto"/>
        <w:tblInd w:w="103" w:type="dxa"/>
        <w:tblLook w:val="04A0" w:firstRow="1" w:lastRow="0" w:firstColumn="1" w:lastColumn="0" w:noHBand="0" w:noVBand="1"/>
      </w:tblPr>
      <w:tblGrid>
        <w:gridCol w:w="637"/>
        <w:gridCol w:w="4188"/>
        <w:gridCol w:w="1512"/>
        <w:gridCol w:w="1512"/>
        <w:gridCol w:w="1512"/>
      </w:tblGrid>
      <w:tr w:rsidR="00DD50EB" w:rsidRPr="000B3714" w:rsidTr="000B3714">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 xml:space="preserve">2012/13 Budget </w:t>
            </w:r>
            <w:r w:rsidRPr="000B3714">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 xml:space="preserve">2012/13 </w:t>
            </w:r>
            <w:r w:rsidRPr="000B3714">
              <w:rPr>
                <w:rFonts w:cs="Arial"/>
                <w:bCs/>
                <w:color w:val="000000"/>
                <w:sz w:val="16"/>
                <w:szCs w:val="16"/>
              </w:rPr>
              <w:br/>
              <w:t>Expenditure</w:t>
            </w:r>
          </w:p>
        </w:tc>
      </w:tr>
      <w:tr w:rsidR="00DD50EB" w:rsidRPr="00D74F7E" w:rsidTr="000B3714">
        <w:tc>
          <w:tcPr>
            <w:tcW w:w="637" w:type="dxa"/>
            <w:tcBorders>
              <w:top w:val="nil"/>
              <w:left w:val="single" w:sz="4" w:space="0" w:color="auto"/>
              <w:bottom w:val="nil"/>
              <w:right w:val="nil"/>
            </w:tcBorders>
            <w:shd w:val="clear" w:color="000000" w:fill="FFFFFF"/>
            <w:noWrap/>
            <w:hideMark/>
          </w:tcPr>
          <w:p w:rsidR="00DD50EB" w:rsidRPr="0027745B" w:rsidRDefault="00DD50EB" w:rsidP="000B3714">
            <w:pPr>
              <w:spacing w:before="120"/>
              <w:jc w:val="center"/>
              <w:rPr>
                <w:rFonts w:cs="Arial"/>
                <w:color w:val="000000"/>
                <w:sz w:val="16"/>
                <w:szCs w:val="16"/>
              </w:rPr>
            </w:pPr>
            <w:r w:rsidRPr="0027745B">
              <w:rPr>
                <w:rFonts w:cs="Arial"/>
                <w:color w:val="000000"/>
                <w:sz w:val="16"/>
                <w:szCs w:val="16"/>
              </w:rPr>
              <w:t>I.4</w:t>
            </w:r>
          </w:p>
        </w:tc>
        <w:tc>
          <w:tcPr>
            <w:tcW w:w="4188" w:type="dxa"/>
            <w:tcBorders>
              <w:top w:val="nil"/>
              <w:left w:val="nil"/>
              <w:bottom w:val="nil"/>
              <w:right w:val="nil"/>
            </w:tcBorders>
            <w:shd w:val="clear" w:color="000000" w:fill="FFFFFF"/>
            <w:hideMark/>
          </w:tcPr>
          <w:p w:rsidR="00DD50EB" w:rsidRPr="0027745B" w:rsidRDefault="00DD50EB" w:rsidP="000B3714">
            <w:pPr>
              <w:spacing w:before="120"/>
              <w:rPr>
                <w:rFonts w:cs="Arial"/>
                <w:color w:val="000000"/>
                <w:sz w:val="16"/>
                <w:szCs w:val="16"/>
              </w:rPr>
            </w:pPr>
            <w:r w:rsidRPr="0027745B">
              <w:rPr>
                <w:rFonts w:cs="Arial"/>
                <w:color w:val="000000"/>
                <w:sz w:val="16"/>
                <w:szCs w:val="16"/>
              </w:rPr>
              <w:t>Tailored and balanced IP legislative, regulatory and policy frameworks</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311</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282</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292 </w:t>
            </w:r>
          </w:p>
        </w:tc>
      </w:tr>
      <w:tr w:rsidR="00DD50EB" w:rsidRPr="00D74F7E" w:rsidTr="000B3714">
        <w:tc>
          <w:tcPr>
            <w:tcW w:w="637" w:type="dxa"/>
            <w:tcBorders>
              <w:top w:val="nil"/>
              <w:left w:val="single" w:sz="4" w:space="0" w:color="auto"/>
              <w:bottom w:val="nil"/>
              <w:right w:val="nil"/>
            </w:tcBorders>
            <w:shd w:val="clear" w:color="000000" w:fill="FFFFFF"/>
            <w:noWrap/>
            <w:hideMark/>
          </w:tcPr>
          <w:p w:rsidR="00DD50EB" w:rsidRPr="0027745B" w:rsidRDefault="00DD50EB" w:rsidP="000B3714">
            <w:pPr>
              <w:spacing w:before="120"/>
              <w:jc w:val="center"/>
              <w:rPr>
                <w:rFonts w:cs="Arial"/>
                <w:color w:val="000000"/>
                <w:sz w:val="16"/>
                <w:szCs w:val="16"/>
              </w:rPr>
            </w:pPr>
            <w:r w:rsidRPr="0027745B">
              <w:rPr>
                <w:rFonts w:cs="Arial"/>
                <w:color w:val="000000"/>
                <w:sz w:val="16"/>
                <w:szCs w:val="16"/>
              </w:rPr>
              <w:t>III.2</w:t>
            </w:r>
          </w:p>
        </w:tc>
        <w:tc>
          <w:tcPr>
            <w:tcW w:w="4188" w:type="dxa"/>
            <w:tcBorders>
              <w:top w:val="nil"/>
              <w:left w:val="nil"/>
              <w:bottom w:val="nil"/>
              <w:right w:val="nil"/>
            </w:tcBorders>
            <w:shd w:val="clear" w:color="000000" w:fill="FFFFFF"/>
            <w:hideMark/>
          </w:tcPr>
          <w:p w:rsidR="00DD50EB" w:rsidRPr="0027745B" w:rsidRDefault="00DD50EB" w:rsidP="000B3714">
            <w:pPr>
              <w:spacing w:before="120"/>
              <w:rPr>
                <w:rFonts w:cs="Arial"/>
                <w:color w:val="000000"/>
                <w:sz w:val="16"/>
                <w:szCs w:val="16"/>
              </w:rPr>
            </w:pPr>
            <w:r w:rsidRPr="0027745B">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1,261</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1,300 </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1,403</w:t>
            </w:r>
          </w:p>
        </w:tc>
      </w:tr>
      <w:tr w:rsidR="00DD50EB" w:rsidRPr="00D74F7E" w:rsidTr="000B3714">
        <w:tc>
          <w:tcPr>
            <w:tcW w:w="637" w:type="dxa"/>
            <w:tcBorders>
              <w:top w:val="nil"/>
              <w:left w:val="single" w:sz="4" w:space="0" w:color="auto"/>
              <w:bottom w:val="nil"/>
              <w:right w:val="nil"/>
            </w:tcBorders>
            <w:shd w:val="clear" w:color="000000" w:fill="FFFFFF"/>
            <w:noWrap/>
            <w:hideMark/>
          </w:tcPr>
          <w:p w:rsidR="00DD50EB" w:rsidRPr="0027745B" w:rsidRDefault="00DD50EB" w:rsidP="000B3714">
            <w:pPr>
              <w:spacing w:before="120"/>
              <w:jc w:val="center"/>
              <w:rPr>
                <w:rFonts w:cs="Arial"/>
                <w:color w:val="000000"/>
                <w:sz w:val="16"/>
                <w:szCs w:val="16"/>
              </w:rPr>
            </w:pPr>
            <w:r w:rsidRPr="0027745B">
              <w:rPr>
                <w:rFonts w:cs="Arial"/>
                <w:color w:val="000000"/>
                <w:sz w:val="16"/>
                <w:szCs w:val="16"/>
              </w:rPr>
              <w:t>VI.1</w:t>
            </w:r>
          </w:p>
        </w:tc>
        <w:tc>
          <w:tcPr>
            <w:tcW w:w="4188" w:type="dxa"/>
            <w:tcBorders>
              <w:top w:val="nil"/>
              <w:left w:val="nil"/>
              <w:bottom w:val="nil"/>
              <w:right w:val="nil"/>
            </w:tcBorders>
            <w:shd w:val="clear" w:color="000000" w:fill="FFFFFF"/>
            <w:hideMark/>
          </w:tcPr>
          <w:p w:rsidR="00DD50EB" w:rsidRPr="0027745B" w:rsidRDefault="00DD50EB" w:rsidP="000B3714">
            <w:pPr>
              <w:spacing w:before="120"/>
              <w:rPr>
                <w:rFonts w:cs="Arial"/>
                <w:color w:val="000000"/>
                <w:sz w:val="16"/>
                <w:szCs w:val="16"/>
              </w:rPr>
            </w:pPr>
            <w:r w:rsidRPr="0027745B">
              <w:rPr>
                <w:rFonts w:cs="Arial"/>
                <w:color w:val="000000"/>
                <w:sz w:val="16"/>
                <w:szCs w:val="16"/>
              </w:rPr>
              <w:t>Progress in the international policy dialogue among WIPO Member States on building respect for IP, guided by Recommendation 45 of the WIPO Development Agenda</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635 </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469 </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349 </w:t>
            </w:r>
          </w:p>
        </w:tc>
      </w:tr>
      <w:tr w:rsidR="00DD50EB" w:rsidRPr="00D74F7E" w:rsidTr="000B3714">
        <w:tc>
          <w:tcPr>
            <w:tcW w:w="637" w:type="dxa"/>
            <w:tcBorders>
              <w:top w:val="nil"/>
              <w:left w:val="single" w:sz="4" w:space="0" w:color="auto"/>
              <w:bottom w:val="nil"/>
              <w:right w:val="nil"/>
            </w:tcBorders>
            <w:shd w:val="clear" w:color="000000" w:fill="FFFFFF"/>
            <w:noWrap/>
            <w:hideMark/>
          </w:tcPr>
          <w:p w:rsidR="00DD50EB" w:rsidRPr="0027745B" w:rsidRDefault="00DD50EB" w:rsidP="000B3714">
            <w:pPr>
              <w:spacing w:before="120"/>
              <w:jc w:val="center"/>
              <w:rPr>
                <w:rFonts w:cs="Arial"/>
                <w:color w:val="000000"/>
                <w:sz w:val="16"/>
                <w:szCs w:val="16"/>
              </w:rPr>
            </w:pPr>
            <w:r w:rsidRPr="0027745B">
              <w:rPr>
                <w:rFonts w:cs="Arial"/>
                <w:color w:val="000000"/>
                <w:sz w:val="16"/>
                <w:szCs w:val="16"/>
              </w:rPr>
              <w:t>VI.2</w:t>
            </w:r>
          </w:p>
        </w:tc>
        <w:tc>
          <w:tcPr>
            <w:tcW w:w="4188" w:type="dxa"/>
            <w:tcBorders>
              <w:top w:val="nil"/>
              <w:left w:val="nil"/>
              <w:bottom w:val="nil"/>
              <w:right w:val="nil"/>
            </w:tcBorders>
            <w:shd w:val="clear" w:color="000000" w:fill="FFFFFF"/>
            <w:hideMark/>
          </w:tcPr>
          <w:p w:rsidR="00DD50EB" w:rsidRPr="0027745B" w:rsidRDefault="00DD50EB" w:rsidP="000B3714">
            <w:pPr>
              <w:spacing w:before="120"/>
              <w:rPr>
                <w:rFonts w:cs="Arial"/>
                <w:color w:val="000000"/>
                <w:sz w:val="16"/>
                <w:szCs w:val="16"/>
              </w:rPr>
            </w:pPr>
            <w:r w:rsidRPr="0027745B">
              <w:rPr>
                <w:rFonts w:cs="Arial"/>
                <w:color w:val="000000"/>
                <w:sz w:val="16"/>
                <w:szCs w:val="16"/>
              </w:rPr>
              <w:t>Systematic and effective cooperation and coordination between the work of WIPO and other international organizations in the field of building respect for IP</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785 </w:t>
            </w:r>
          </w:p>
        </w:tc>
        <w:tc>
          <w:tcPr>
            <w:tcW w:w="1512" w:type="dxa"/>
            <w:tcBorders>
              <w:top w:val="nil"/>
              <w:left w:val="nil"/>
              <w:bottom w:val="nil"/>
              <w:right w:val="nil"/>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741 </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0B3714">
            <w:pPr>
              <w:spacing w:before="120"/>
              <w:jc w:val="right"/>
              <w:rPr>
                <w:rFonts w:cs="Arial"/>
                <w:color w:val="000000"/>
                <w:sz w:val="16"/>
                <w:szCs w:val="16"/>
              </w:rPr>
            </w:pPr>
            <w:r w:rsidRPr="0027745B">
              <w:rPr>
                <w:rFonts w:cs="Arial"/>
                <w:color w:val="000000"/>
                <w:sz w:val="16"/>
                <w:szCs w:val="16"/>
              </w:rPr>
              <w:t xml:space="preserve">721 </w:t>
            </w:r>
          </w:p>
        </w:tc>
      </w:tr>
      <w:tr w:rsidR="00DD50EB" w:rsidRPr="00D74F7E" w:rsidTr="000B3714">
        <w:tc>
          <w:tcPr>
            <w:tcW w:w="637" w:type="dxa"/>
            <w:tcBorders>
              <w:top w:val="nil"/>
              <w:left w:val="single" w:sz="4" w:space="0" w:color="auto"/>
              <w:bottom w:val="single" w:sz="4" w:space="0" w:color="auto"/>
              <w:right w:val="nil"/>
            </w:tcBorders>
            <w:shd w:val="clear" w:color="000000" w:fill="FFFFFF"/>
            <w:noWrap/>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VIII.1</w:t>
            </w:r>
          </w:p>
        </w:tc>
        <w:tc>
          <w:tcPr>
            <w:tcW w:w="4188" w:type="dxa"/>
            <w:tcBorders>
              <w:top w:val="nil"/>
              <w:left w:val="nil"/>
              <w:bottom w:val="single" w:sz="4" w:space="0" w:color="auto"/>
              <w:right w:val="nil"/>
            </w:tcBorders>
            <w:shd w:val="clear" w:color="000000" w:fill="FFFFFF"/>
            <w:hideMark/>
          </w:tcPr>
          <w:p w:rsidR="00DD50EB" w:rsidRPr="0027745B" w:rsidRDefault="00DD50EB" w:rsidP="000B3714">
            <w:pPr>
              <w:spacing w:before="120" w:after="120"/>
              <w:rPr>
                <w:rFonts w:cs="Arial"/>
                <w:color w:val="000000"/>
                <w:sz w:val="16"/>
                <w:szCs w:val="16"/>
              </w:rPr>
            </w:pPr>
            <w:r w:rsidRPr="0027745B">
              <w:rPr>
                <w:rFonts w:cs="Arial"/>
                <w:color w:val="000000"/>
                <w:sz w:val="16"/>
                <w:szCs w:val="16"/>
              </w:rPr>
              <w:t>More effective communication to a broad public about intellectual property and WIPO’s role</w:t>
            </w:r>
          </w:p>
        </w:tc>
        <w:tc>
          <w:tcPr>
            <w:tcW w:w="1512" w:type="dxa"/>
            <w:tcBorders>
              <w:top w:val="nil"/>
              <w:left w:val="nil"/>
              <w:bottom w:val="single" w:sz="4" w:space="0" w:color="auto"/>
              <w:right w:val="nil"/>
            </w:tcBorders>
            <w:shd w:val="clear" w:color="000000" w:fill="FFFFFF"/>
            <w:vAlign w:val="center"/>
            <w:hideMark/>
          </w:tcPr>
          <w:p w:rsidR="00DD50EB" w:rsidRPr="0027745B" w:rsidRDefault="00DD50EB" w:rsidP="000B3714">
            <w:pPr>
              <w:spacing w:before="120" w:after="120"/>
              <w:jc w:val="right"/>
              <w:rPr>
                <w:rFonts w:cs="Arial"/>
                <w:color w:val="000000"/>
                <w:sz w:val="16"/>
                <w:szCs w:val="16"/>
              </w:rPr>
            </w:pPr>
            <w:r w:rsidRPr="0027745B">
              <w:rPr>
                <w:rFonts w:cs="Arial"/>
                <w:color w:val="000000"/>
                <w:sz w:val="16"/>
                <w:szCs w:val="16"/>
              </w:rPr>
              <w:t>0</w:t>
            </w:r>
          </w:p>
        </w:tc>
        <w:tc>
          <w:tcPr>
            <w:tcW w:w="1512" w:type="dxa"/>
            <w:tcBorders>
              <w:top w:val="nil"/>
              <w:left w:val="nil"/>
              <w:bottom w:val="single" w:sz="4" w:space="0" w:color="auto"/>
              <w:right w:val="nil"/>
            </w:tcBorders>
            <w:shd w:val="clear" w:color="000000" w:fill="FFFFFF"/>
            <w:vAlign w:val="center"/>
            <w:hideMark/>
          </w:tcPr>
          <w:p w:rsidR="00DD50EB" w:rsidRPr="0027745B" w:rsidRDefault="00DD50EB" w:rsidP="000B3714">
            <w:pPr>
              <w:spacing w:before="120" w:after="120"/>
              <w:jc w:val="right"/>
              <w:rPr>
                <w:rFonts w:cs="Arial"/>
                <w:color w:val="000000"/>
                <w:sz w:val="16"/>
                <w:szCs w:val="16"/>
              </w:rPr>
            </w:pPr>
            <w:r w:rsidRPr="0027745B">
              <w:rPr>
                <w:rFonts w:cs="Arial"/>
                <w:color w:val="000000"/>
                <w:sz w:val="16"/>
                <w:szCs w:val="16"/>
              </w:rPr>
              <w:t xml:space="preserve">42 </w:t>
            </w:r>
          </w:p>
        </w:tc>
        <w:tc>
          <w:tcPr>
            <w:tcW w:w="1512" w:type="dxa"/>
            <w:tcBorders>
              <w:top w:val="nil"/>
              <w:left w:val="nil"/>
              <w:bottom w:val="single" w:sz="4" w:space="0" w:color="auto"/>
              <w:right w:val="single" w:sz="4" w:space="0" w:color="auto"/>
            </w:tcBorders>
            <w:shd w:val="clear" w:color="000000" w:fill="FFFFFF"/>
            <w:vAlign w:val="center"/>
            <w:hideMark/>
          </w:tcPr>
          <w:p w:rsidR="00DD50EB" w:rsidRPr="0027745B" w:rsidRDefault="00DD50EB" w:rsidP="000B3714">
            <w:pPr>
              <w:spacing w:before="120" w:after="120"/>
              <w:jc w:val="right"/>
              <w:rPr>
                <w:rFonts w:cs="Arial"/>
                <w:color w:val="000000"/>
                <w:sz w:val="16"/>
                <w:szCs w:val="16"/>
              </w:rPr>
            </w:pPr>
            <w:r w:rsidRPr="0027745B">
              <w:rPr>
                <w:rFonts w:cs="Arial"/>
                <w:color w:val="000000"/>
                <w:sz w:val="16"/>
                <w:szCs w:val="16"/>
              </w:rPr>
              <w:t xml:space="preserve">38 </w:t>
            </w:r>
          </w:p>
        </w:tc>
      </w:tr>
      <w:tr w:rsidR="00DD50EB" w:rsidRPr="00D74F7E" w:rsidTr="000B3714">
        <w:tc>
          <w:tcPr>
            <w:tcW w:w="637" w:type="dxa"/>
            <w:tcBorders>
              <w:top w:val="nil"/>
              <w:left w:val="single" w:sz="4" w:space="0" w:color="auto"/>
              <w:bottom w:val="single" w:sz="4" w:space="0" w:color="auto"/>
              <w:right w:val="nil"/>
            </w:tcBorders>
            <w:shd w:val="clear" w:color="000000" w:fill="CCFFFF"/>
            <w:noWrap/>
            <w:vAlign w:val="bottom"/>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 </w:t>
            </w:r>
          </w:p>
        </w:tc>
        <w:tc>
          <w:tcPr>
            <w:tcW w:w="4188" w:type="dxa"/>
            <w:tcBorders>
              <w:top w:val="nil"/>
              <w:left w:val="nil"/>
              <w:bottom w:val="single" w:sz="4" w:space="0" w:color="auto"/>
              <w:right w:val="nil"/>
            </w:tcBorders>
            <w:shd w:val="clear" w:color="000000" w:fill="CCFFFF"/>
            <w:noWrap/>
            <w:vAlign w:val="center"/>
            <w:hideMark/>
          </w:tcPr>
          <w:p w:rsidR="00DD50EB" w:rsidRPr="0027745B" w:rsidRDefault="00DD50EB" w:rsidP="000B3714">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DD50EB" w:rsidRPr="0027745B" w:rsidRDefault="00DD50EB" w:rsidP="000B3714">
            <w:pPr>
              <w:spacing w:before="120" w:after="120"/>
              <w:jc w:val="right"/>
              <w:rPr>
                <w:rFonts w:cs="Arial"/>
                <w:b/>
                <w:bCs/>
                <w:color w:val="000000"/>
                <w:sz w:val="16"/>
                <w:szCs w:val="16"/>
              </w:rPr>
            </w:pPr>
            <w:r w:rsidRPr="0027745B">
              <w:rPr>
                <w:rFonts w:cs="Arial"/>
                <w:b/>
                <w:bCs/>
                <w:color w:val="000000"/>
                <w:sz w:val="16"/>
                <w:szCs w:val="16"/>
              </w:rPr>
              <w:t>2,992</w:t>
            </w:r>
          </w:p>
        </w:tc>
        <w:tc>
          <w:tcPr>
            <w:tcW w:w="1512" w:type="dxa"/>
            <w:tcBorders>
              <w:top w:val="nil"/>
              <w:left w:val="nil"/>
              <w:bottom w:val="single" w:sz="4" w:space="0" w:color="auto"/>
              <w:right w:val="single" w:sz="4" w:space="0" w:color="auto"/>
            </w:tcBorders>
            <w:shd w:val="clear" w:color="000000" w:fill="CCFFFF"/>
            <w:noWrap/>
            <w:vAlign w:val="center"/>
            <w:hideMark/>
          </w:tcPr>
          <w:p w:rsidR="00DD50EB" w:rsidRPr="0027745B" w:rsidRDefault="00DD50EB" w:rsidP="000B3714">
            <w:pPr>
              <w:spacing w:before="120" w:after="120"/>
              <w:jc w:val="right"/>
              <w:rPr>
                <w:rFonts w:cs="Arial"/>
                <w:b/>
                <w:bCs/>
                <w:color w:val="000000"/>
                <w:sz w:val="16"/>
                <w:szCs w:val="16"/>
              </w:rPr>
            </w:pPr>
            <w:r w:rsidRPr="0027745B">
              <w:rPr>
                <w:rFonts w:cs="Arial"/>
                <w:b/>
                <w:bCs/>
                <w:color w:val="000000"/>
                <w:sz w:val="16"/>
                <w:szCs w:val="16"/>
              </w:rPr>
              <w:t>2,833</w:t>
            </w:r>
          </w:p>
        </w:tc>
        <w:tc>
          <w:tcPr>
            <w:tcW w:w="1512" w:type="dxa"/>
            <w:tcBorders>
              <w:top w:val="nil"/>
              <w:left w:val="nil"/>
              <w:bottom w:val="single" w:sz="4" w:space="0" w:color="auto"/>
              <w:right w:val="single" w:sz="4" w:space="0" w:color="auto"/>
            </w:tcBorders>
            <w:shd w:val="clear" w:color="000000" w:fill="CCFFFF"/>
            <w:vAlign w:val="center"/>
            <w:hideMark/>
          </w:tcPr>
          <w:p w:rsidR="00DD50EB" w:rsidRPr="0027745B" w:rsidRDefault="00DD50EB" w:rsidP="000B3714">
            <w:pPr>
              <w:spacing w:before="120" w:after="120"/>
              <w:jc w:val="right"/>
              <w:rPr>
                <w:rFonts w:cs="Arial"/>
                <w:b/>
                <w:bCs/>
                <w:color w:val="000000"/>
                <w:sz w:val="16"/>
                <w:szCs w:val="16"/>
              </w:rPr>
            </w:pPr>
            <w:r w:rsidRPr="0027745B">
              <w:rPr>
                <w:rFonts w:cs="Arial"/>
                <w:b/>
                <w:bCs/>
                <w:color w:val="000000"/>
                <w:sz w:val="16"/>
                <w:szCs w:val="16"/>
              </w:rPr>
              <w:t>2,804</w:t>
            </w:r>
          </w:p>
        </w:tc>
      </w:tr>
    </w:tbl>
    <w:p w:rsidR="00DD50EB" w:rsidRDefault="00DD50EB" w:rsidP="00DD50EB">
      <w:pPr>
        <w:pStyle w:val="NormalWeb"/>
        <w:spacing w:before="0" w:beforeAutospacing="0" w:after="0" w:afterAutospacing="0"/>
        <w:jc w:val="center"/>
        <w:rPr>
          <w:color w:val="000000"/>
          <w:sz w:val="22"/>
          <w:szCs w:val="22"/>
        </w:rPr>
      </w:pPr>
    </w:p>
    <w:p w:rsidR="00DD50EB" w:rsidRDefault="00DD50EB" w:rsidP="00DD50EB">
      <w:pPr>
        <w:pStyle w:val="NormalWeb"/>
        <w:spacing w:before="0" w:beforeAutospacing="0" w:after="0" w:afterAutospacing="0"/>
        <w:jc w:val="center"/>
        <w:rPr>
          <w:color w:val="000000"/>
          <w:sz w:val="22"/>
          <w:szCs w:val="22"/>
        </w:rPr>
      </w:pPr>
    </w:p>
    <w:p w:rsidR="00DD50EB" w:rsidRDefault="00DD50EB" w:rsidP="00DD50EB">
      <w:pPr>
        <w:rPr>
          <w:rFonts w:cs="Arial"/>
          <w:color w:val="000000"/>
          <w:szCs w:val="20"/>
        </w:rPr>
      </w:pPr>
      <w:r>
        <w:rPr>
          <w:color w:val="000000"/>
          <w:szCs w:val="20"/>
        </w:rPr>
        <w:br w:type="page"/>
      </w:r>
    </w:p>
    <w:p w:rsidR="00DD50EB" w:rsidRDefault="00DD50EB" w:rsidP="00DD50EB">
      <w:pPr>
        <w:pStyle w:val="NormalWeb"/>
        <w:spacing w:before="0" w:beforeAutospacing="0" w:after="0" w:afterAutospacing="0"/>
        <w:jc w:val="center"/>
        <w:rPr>
          <w:color w:val="000000"/>
          <w:sz w:val="20"/>
          <w:szCs w:val="20"/>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DD50EB" w:rsidRPr="0027745B" w:rsidRDefault="00DD50EB" w:rsidP="00DD50EB">
      <w:pPr>
        <w:pStyle w:val="NormalWeb"/>
        <w:spacing w:before="0" w:beforeAutospacing="0" w:after="0" w:afterAutospacing="0"/>
        <w:jc w:val="center"/>
        <w:rPr>
          <w:i/>
          <w:iCs/>
          <w:color w:val="000000"/>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rPr>
          <w:rFonts w:cs="Arial"/>
          <w:szCs w:val="20"/>
        </w:rPr>
      </w:pPr>
    </w:p>
    <w:tbl>
      <w:tblPr>
        <w:tblW w:w="0" w:type="auto"/>
        <w:tblInd w:w="93" w:type="dxa"/>
        <w:tblLook w:val="04A0" w:firstRow="1" w:lastRow="0" w:firstColumn="1" w:lastColumn="0" w:noHBand="0" w:noVBand="1"/>
      </w:tblPr>
      <w:tblGrid>
        <w:gridCol w:w="2425"/>
        <w:gridCol w:w="1736"/>
        <w:gridCol w:w="1737"/>
        <w:gridCol w:w="1736"/>
        <w:gridCol w:w="1737"/>
      </w:tblGrid>
      <w:tr w:rsidR="00DD50EB" w:rsidRPr="000B3714" w:rsidTr="000B3714">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0B3714" w:rsidRDefault="00DD50EB" w:rsidP="000B3714">
            <w:pPr>
              <w:spacing w:before="120" w:after="120"/>
              <w:rPr>
                <w:rFonts w:cs="Arial"/>
                <w:color w:val="000000"/>
                <w:sz w:val="18"/>
                <w:szCs w:val="18"/>
              </w:rPr>
            </w:pPr>
            <w:r w:rsidRPr="000B3714">
              <w:rPr>
                <w:rFonts w:cs="Arial"/>
                <w:color w:val="000000"/>
                <w:sz w:val="18"/>
                <w:szCs w:val="18"/>
              </w:rPr>
              <w:t> </w:t>
            </w:r>
          </w:p>
        </w:tc>
        <w:tc>
          <w:tcPr>
            <w:tcW w:w="1736" w:type="dxa"/>
            <w:tcBorders>
              <w:top w:val="single" w:sz="4" w:space="0" w:color="auto"/>
              <w:left w:val="nil"/>
              <w:bottom w:val="nil"/>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DD50EB" w:rsidRPr="000B3714" w:rsidRDefault="00DD50EB" w:rsidP="000B3714">
            <w:pPr>
              <w:spacing w:before="120" w:after="120"/>
              <w:jc w:val="center"/>
              <w:rPr>
                <w:rFonts w:cs="Arial"/>
                <w:bCs/>
                <w:color w:val="000000"/>
                <w:sz w:val="16"/>
                <w:szCs w:val="16"/>
              </w:rPr>
            </w:pPr>
            <w:r w:rsidRPr="000B3714">
              <w:rPr>
                <w:rFonts w:cs="Arial"/>
                <w:bCs/>
                <w:color w:val="000000"/>
                <w:sz w:val="16"/>
                <w:szCs w:val="16"/>
              </w:rPr>
              <w:t>Utilization rate (%)</w:t>
            </w:r>
          </w:p>
        </w:tc>
      </w:tr>
      <w:tr w:rsidR="00DD50EB" w:rsidRPr="00764F5A" w:rsidTr="000B3714">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D50EB" w:rsidRPr="00764F5A" w:rsidRDefault="00DD50EB" w:rsidP="000B3714">
            <w:pPr>
              <w:spacing w:before="120" w:after="120"/>
              <w:rPr>
                <w:rFonts w:cs="Arial"/>
                <w:color w:val="000000"/>
                <w:sz w:val="18"/>
                <w:szCs w:val="18"/>
              </w:rPr>
            </w:pPr>
            <w:r w:rsidRPr="00764F5A">
              <w:rPr>
                <w:rFonts w:cs="Arial"/>
                <w:color w:val="000000"/>
                <w:sz w:val="18"/>
                <w:szCs w:val="18"/>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2,192</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2,057</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2,057</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100%</w:t>
            </w:r>
          </w:p>
        </w:tc>
      </w:tr>
      <w:tr w:rsidR="00DD50EB" w:rsidRPr="00764F5A" w:rsidTr="000B3714">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D50EB" w:rsidRPr="00764F5A" w:rsidRDefault="00DD50EB" w:rsidP="000B3714">
            <w:pPr>
              <w:spacing w:before="120" w:after="120"/>
              <w:rPr>
                <w:rFonts w:cs="Arial"/>
                <w:color w:val="000000"/>
                <w:sz w:val="18"/>
                <w:szCs w:val="18"/>
              </w:rPr>
            </w:pPr>
            <w:r w:rsidRPr="00764F5A">
              <w:rPr>
                <w:rFonts w:cs="Arial"/>
                <w:color w:val="000000"/>
                <w:sz w:val="18"/>
                <w:szCs w:val="18"/>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800</w:t>
            </w:r>
          </w:p>
        </w:tc>
        <w:tc>
          <w:tcPr>
            <w:tcW w:w="1737"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776</w:t>
            </w:r>
          </w:p>
        </w:tc>
        <w:tc>
          <w:tcPr>
            <w:tcW w:w="173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747</w:t>
            </w:r>
          </w:p>
        </w:tc>
        <w:tc>
          <w:tcPr>
            <w:tcW w:w="1737"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color w:val="000000"/>
                <w:sz w:val="16"/>
                <w:szCs w:val="16"/>
              </w:rPr>
            </w:pPr>
            <w:r w:rsidRPr="0027745B">
              <w:rPr>
                <w:rFonts w:cs="Arial"/>
                <w:color w:val="000000"/>
                <w:sz w:val="16"/>
                <w:szCs w:val="16"/>
              </w:rPr>
              <w:t>96%</w:t>
            </w:r>
          </w:p>
        </w:tc>
      </w:tr>
      <w:tr w:rsidR="00DD50EB" w:rsidRPr="00764F5A" w:rsidTr="000B3714">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DD50EB" w:rsidRPr="00764F5A" w:rsidRDefault="00DD50EB" w:rsidP="000B3714">
            <w:pPr>
              <w:spacing w:before="120" w:after="120"/>
              <w:jc w:val="right"/>
              <w:rPr>
                <w:rFonts w:cs="Arial"/>
                <w:b/>
                <w:bCs/>
                <w:color w:val="000000"/>
                <w:sz w:val="18"/>
                <w:szCs w:val="18"/>
              </w:rPr>
            </w:pPr>
            <w:r w:rsidRPr="00764F5A">
              <w:rPr>
                <w:rFonts w:cs="Arial"/>
                <w:b/>
                <w:bCs/>
                <w:color w:val="000000"/>
                <w:sz w:val="18"/>
                <w:szCs w:val="18"/>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2,992</w:t>
            </w:r>
          </w:p>
        </w:tc>
        <w:tc>
          <w:tcPr>
            <w:tcW w:w="1737"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2,833</w:t>
            </w:r>
          </w:p>
        </w:tc>
        <w:tc>
          <w:tcPr>
            <w:tcW w:w="173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2,804</w:t>
            </w:r>
          </w:p>
        </w:tc>
        <w:tc>
          <w:tcPr>
            <w:tcW w:w="1737"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0B3714">
            <w:pPr>
              <w:spacing w:before="120" w:after="120"/>
              <w:jc w:val="center"/>
              <w:rPr>
                <w:rFonts w:cs="Arial"/>
                <w:b/>
                <w:bCs/>
                <w:color w:val="000000"/>
                <w:sz w:val="16"/>
                <w:szCs w:val="16"/>
              </w:rPr>
            </w:pPr>
            <w:r w:rsidRPr="0027745B">
              <w:rPr>
                <w:rFonts w:cs="Arial"/>
                <w:b/>
                <w:bCs/>
                <w:color w:val="000000"/>
                <w:sz w:val="16"/>
                <w:szCs w:val="16"/>
              </w:rPr>
              <w:t>99%</w:t>
            </w:r>
          </w:p>
        </w:tc>
      </w:tr>
    </w:tbl>
    <w:p w:rsidR="00DD50EB" w:rsidRDefault="00DD50EB" w:rsidP="00DD50EB">
      <w:pPr>
        <w:rPr>
          <w:rFonts w:cs="Arial"/>
          <w:szCs w:val="20"/>
        </w:rPr>
      </w:pPr>
    </w:p>
    <w:p w:rsidR="00DD50EB" w:rsidRPr="0027745B" w:rsidRDefault="00DD50EB" w:rsidP="00DD50EB">
      <w:pPr>
        <w:keepNext/>
        <w:autoSpaceDE w:val="0"/>
        <w:autoSpaceDN w:val="0"/>
        <w:rPr>
          <w:rFonts w:cs="Arial"/>
          <w:sz w:val="16"/>
          <w:szCs w:val="16"/>
        </w:rPr>
      </w:pPr>
      <w:r w:rsidRPr="0027745B">
        <w:rPr>
          <w:rFonts w:cs="Arial"/>
          <w:sz w:val="16"/>
          <w:szCs w:val="16"/>
        </w:rPr>
        <w:t>NOTES:</w:t>
      </w:r>
    </w:p>
    <w:p w:rsidR="00DD50EB" w:rsidRPr="0027745B" w:rsidRDefault="00DD50EB" w:rsidP="00DD50EB">
      <w:pPr>
        <w:keepNext/>
        <w:autoSpaceDE w:val="0"/>
        <w:autoSpaceDN w:val="0"/>
        <w:rPr>
          <w:rFonts w:cs="Arial"/>
          <w:sz w:val="16"/>
          <w:szCs w:val="16"/>
        </w:rPr>
      </w:pPr>
    </w:p>
    <w:p w:rsidR="00DD50EB" w:rsidRPr="0027745B" w:rsidRDefault="00DD50EB" w:rsidP="00DD50EB">
      <w:pPr>
        <w:keepNext/>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DD50EB" w:rsidRPr="0027745B" w:rsidRDefault="00DD50EB" w:rsidP="00DD50EB">
      <w:pPr>
        <w:keepNext/>
        <w:autoSpaceDE w:val="0"/>
        <w:autoSpaceDN w:val="0"/>
        <w:rPr>
          <w:rFonts w:cs="Arial"/>
          <w:sz w:val="16"/>
          <w:szCs w:val="16"/>
        </w:rPr>
      </w:pPr>
    </w:p>
    <w:p w:rsidR="00DD50EB" w:rsidRPr="0027745B" w:rsidRDefault="00DC2CFA" w:rsidP="00DD50EB">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DD50EB" w:rsidRPr="0027745B">
        <w:rPr>
          <w:rFonts w:cs="Arial"/>
          <w:sz w:val="16"/>
          <w:szCs w:val="16"/>
        </w:rPr>
        <w:t xml:space="preserve"> </w:t>
      </w:r>
    </w:p>
    <w:p w:rsidR="00DD50EB" w:rsidRDefault="00DD50EB" w:rsidP="00DD50EB">
      <w:pPr>
        <w:keepNext/>
        <w:autoSpaceDE w:val="0"/>
        <w:autoSpaceDN w:val="0"/>
        <w:rPr>
          <w:sz w:val="16"/>
          <w:szCs w:val="16"/>
        </w:rPr>
      </w:pPr>
    </w:p>
    <w:p w:rsidR="00DD50EB" w:rsidRDefault="00DD50EB" w:rsidP="00DD50EB">
      <w:pPr>
        <w:rPr>
          <w:rFonts w:cs="Arial"/>
          <w:szCs w:val="20"/>
        </w:rPr>
      </w:pPr>
    </w:p>
    <w:p w:rsidR="00DD50EB" w:rsidRPr="0026255B" w:rsidRDefault="00DD50EB" w:rsidP="00A16298">
      <w:pPr>
        <w:keepNext/>
        <w:keepLines/>
        <w:tabs>
          <w:tab w:val="left" w:pos="709"/>
        </w:tabs>
        <w:jc w:val="both"/>
        <w:rPr>
          <w:rFonts w:cs="Arial"/>
          <w:szCs w:val="20"/>
          <w:u w:val="single"/>
        </w:rPr>
      </w:pPr>
      <w:r w:rsidRPr="0027745B">
        <w:rPr>
          <w:rFonts w:cs="Arial"/>
          <w:szCs w:val="20"/>
        </w:rPr>
        <w:t xml:space="preserve">A. </w:t>
      </w:r>
      <w:r w:rsidRPr="0027745B">
        <w:rPr>
          <w:rFonts w:cs="Arial"/>
          <w:szCs w:val="20"/>
        </w:rPr>
        <w:tab/>
      </w:r>
      <w:r w:rsidRPr="0026255B">
        <w:rPr>
          <w:rFonts w:cs="Arial"/>
          <w:szCs w:val="20"/>
          <w:u w:val="single"/>
        </w:rPr>
        <w:t>Budget after Transfers 2012/13</w:t>
      </w:r>
    </w:p>
    <w:p w:rsidR="00DD50EB" w:rsidRDefault="00DD50EB" w:rsidP="00A16298">
      <w:pPr>
        <w:keepNext/>
        <w:keepLines/>
        <w:tabs>
          <w:tab w:val="left" w:pos="709"/>
        </w:tabs>
        <w:jc w:val="both"/>
        <w:rPr>
          <w:rFonts w:cs="Arial"/>
          <w:szCs w:val="20"/>
          <w:u w:val="single"/>
        </w:rPr>
      </w:pPr>
    </w:p>
    <w:p w:rsidR="00DD50EB" w:rsidRPr="00F35FD4" w:rsidRDefault="00DD50EB" w:rsidP="00A16298">
      <w:pPr>
        <w:keepNext/>
        <w:tabs>
          <w:tab w:val="left" w:pos="709"/>
        </w:tabs>
        <w:autoSpaceDE w:val="0"/>
        <w:autoSpaceDN w:val="0"/>
        <w:jc w:val="both"/>
        <w:rPr>
          <w:rFonts w:cs="Arial"/>
          <w:szCs w:val="20"/>
        </w:rPr>
      </w:pPr>
      <w:r>
        <w:rPr>
          <w:rFonts w:cs="Arial"/>
          <w:szCs w:val="20"/>
        </w:rPr>
        <w:t>17.9</w:t>
      </w:r>
      <w:r w:rsidR="00A16298">
        <w:rPr>
          <w:rFonts w:cs="Arial"/>
          <w:szCs w:val="20"/>
        </w:rPr>
        <w:t>.</w:t>
      </w:r>
      <w:r>
        <w:rPr>
          <w:rFonts w:cs="Arial"/>
          <w:szCs w:val="20"/>
        </w:rPr>
        <w:tab/>
      </w:r>
      <w:r w:rsidRPr="00F35FD4">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DD50EB" w:rsidRDefault="00DD50EB" w:rsidP="00A16298">
      <w:pPr>
        <w:tabs>
          <w:tab w:val="left" w:pos="709"/>
        </w:tabs>
        <w:jc w:val="both"/>
        <w:rPr>
          <w:rFonts w:cs="Arial"/>
          <w:szCs w:val="20"/>
        </w:rPr>
      </w:pPr>
    </w:p>
    <w:p w:rsidR="00DD50EB" w:rsidRPr="00F35FD4" w:rsidRDefault="00DD50EB" w:rsidP="00A16298">
      <w:pPr>
        <w:keepNext/>
        <w:keepLines/>
        <w:tabs>
          <w:tab w:val="left" w:pos="709"/>
        </w:tabs>
        <w:jc w:val="both"/>
        <w:rPr>
          <w:rFonts w:cs="Arial"/>
          <w:szCs w:val="20"/>
        </w:rPr>
      </w:pPr>
      <w:r>
        <w:rPr>
          <w:rFonts w:cs="Arial"/>
          <w:szCs w:val="20"/>
        </w:rPr>
        <w:t>17.10</w:t>
      </w:r>
      <w:r w:rsidR="00A16298">
        <w:rPr>
          <w:rFonts w:cs="Arial"/>
          <w:szCs w:val="20"/>
        </w:rPr>
        <w:t>.</w:t>
      </w:r>
      <w:r>
        <w:rPr>
          <w:rFonts w:cs="Arial"/>
          <w:szCs w:val="20"/>
        </w:rPr>
        <w:tab/>
      </w:r>
      <w:r w:rsidRPr="00F35FD4">
        <w:rPr>
          <w:rFonts w:cs="Arial"/>
          <w:szCs w:val="20"/>
        </w:rPr>
        <w:t xml:space="preserve">The slight </w:t>
      </w:r>
      <w:r>
        <w:rPr>
          <w:rFonts w:cs="Arial"/>
          <w:szCs w:val="20"/>
        </w:rPr>
        <w:t xml:space="preserve">net </w:t>
      </w:r>
      <w:r w:rsidRPr="00F35FD4">
        <w:rPr>
          <w:rFonts w:cs="Arial"/>
          <w:szCs w:val="20"/>
        </w:rPr>
        <w:t>decrease in the allocation of personnel resources</w:t>
      </w:r>
      <w:r>
        <w:rPr>
          <w:rFonts w:cs="Arial"/>
          <w:szCs w:val="20"/>
        </w:rPr>
        <w:t xml:space="preserve"> reflects the transfer of the Awards Program from Program 19 with the associated personnel resources and the transfer of a temporary position from the Program in order to reinforce the work of the Caribbean Unit in Program 9.</w:t>
      </w:r>
    </w:p>
    <w:p w:rsidR="00DD50EB" w:rsidRDefault="00DD50EB" w:rsidP="00A16298">
      <w:pPr>
        <w:keepNext/>
        <w:keepLines/>
        <w:tabs>
          <w:tab w:val="left" w:pos="709"/>
        </w:tabs>
        <w:jc w:val="both"/>
        <w:rPr>
          <w:rFonts w:cs="Arial"/>
          <w:szCs w:val="20"/>
          <w:u w:val="single"/>
        </w:rPr>
      </w:pPr>
    </w:p>
    <w:p w:rsidR="00DD50EB" w:rsidRPr="0026255B" w:rsidRDefault="00DD50EB" w:rsidP="00A16298">
      <w:pPr>
        <w:keepNext/>
        <w:keepLines/>
        <w:tabs>
          <w:tab w:val="left" w:pos="709"/>
        </w:tabs>
        <w:jc w:val="both"/>
        <w:rPr>
          <w:rFonts w:cs="Arial"/>
          <w:szCs w:val="20"/>
          <w:u w:val="single"/>
        </w:rPr>
      </w:pPr>
      <w:r w:rsidRPr="0027745B">
        <w:rPr>
          <w:rFonts w:cs="Arial"/>
          <w:szCs w:val="20"/>
        </w:rPr>
        <w:t xml:space="preserve">B. </w:t>
      </w:r>
      <w:r w:rsidRPr="0027745B">
        <w:rPr>
          <w:rFonts w:cs="Arial"/>
          <w:szCs w:val="20"/>
        </w:rPr>
        <w:tab/>
      </w:r>
      <w:r w:rsidR="00D44A34">
        <w:rPr>
          <w:rFonts w:cs="Arial"/>
          <w:szCs w:val="20"/>
          <w:u w:val="single"/>
        </w:rPr>
        <w:t>Budget U</w:t>
      </w:r>
      <w:r w:rsidRPr="0026255B">
        <w:rPr>
          <w:rFonts w:cs="Arial"/>
          <w:szCs w:val="20"/>
          <w:u w:val="single"/>
        </w:rPr>
        <w:t>tilization 2012/13</w:t>
      </w:r>
    </w:p>
    <w:p w:rsidR="00DD50EB" w:rsidRDefault="00DD50EB" w:rsidP="00A16298">
      <w:pPr>
        <w:tabs>
          <w:tab w:val="left" w:pos="709"/>
        </w:tabs>
        <w:jc w:val="both"/>
        <w:rPr>
          <w:rFonts w:cs="Arial"/>
          <w:szCs w:val="20"/>
        </w:rPr>
      </w:pPr>
    </w:p>
    <w:p w:rsidR="00DD50EB" w:rsidRPr="00472C04" w:rsidRDefault="00DD50EB" w:rsidP="00A16298">
      <w:pPr>
        <w:tabs>
          <w:tab w:val="left" w:pos="709"/>
        </w:tabs>
        <w:autoSpaceDE w:val="0"/>
        <w:autoSpaceDN w:val="0"/>
        <w:adjustRightInd w:val="0"/>
        <w:jc w:val="both"/>
        <w:rPr>
          <w:rFonts w:eastAsia="Batang" w:cs="Arial"/>
          <w:szCs w:val="20"/>
          <w:lang w:eastAsia="ko-KR"/>
        </w:rPr>
      </w:pPr>
      <w:r>
        <w:rPr>
          <w:rFonts w:eastAsia="Batang" w:cs="Arial"/>
          <w:szCs w:val="20"/>
          <w:lang w:eastAsia="ko-KR"/>
        </w:rPr>
        <w:t>17.11</w:t>
      </w:r>
      <w:r w:rsidR="00D44A34">
        <w:rPr>
          <w:rFonts w:eastAsia="Batang" w:cs="Arial"/>
          <w:szCs w:val="20"/>
          <w:lang w:eastAsia="ko-KR"/>
        </w:rPr>
        <w:t>.</w:t>
      </w:r>
      <w:r>
        <w:rPr>
          <w:rFonts w:eastAsia="Batang" w:cs="Arial"/>
          <w:szCs w:val="20"/>
          <w:lang w:eastAsia="ko-KR"/>
        </w:rPr>
        <w:tab/>
      </w:r>
      <w:r w:rsidRPr="00472C04">
        <w:rPr>
          <w:rFonts w:eastAsia="Batang" w:cs="Arial"/>
          <w:szCs w:val="20"/>
          <w:lang w:eastAsia="ko-KR"/>
        </w:rPr>
        <w:t xml:space="preserve">Budget utilization of 96 per cent reflects a slightly lower than expected expenditure related to the organization of the </w:t>
      </w:r>
      <w:r w:rsidRPr="00472C04">
        <w:rPr>
          <w:rFonts w:cs="Arial"/>
          <w:bCs/>
          <w:color w:val="000000"/>
          <w:szCs w:val="20"/>
        </w:rPr>
        <w:t xml:space="preserve">Advisory Committee on Enforcement (ACE), primarily </w:t>
      </w:r>
      <w:r>
        <w:rPr>
          <w:rFonts w:cs="Arial"/>
          <w:bCs/>
          <w:color w:val="000000"/>
          <w:szCs w:val="20"/>
        </w:rPr>
        <w:t>due to cost savin</w:t>
      </w:r>
      <w:r w:rsidRPr="00472C04">
        <w:rPr>
          <w:rFonts w:cs="Arial"/>
          <w:bCs/>
          <w:color w:val="000000"/>
          <w:szCs w:val="20"/>
        </w:rPr>
        <w:t>gs on third party travel.</w:t>
      </w:r>
      <w:r w:rsidRPr="00472C04">
        <w:rPr>
          <w:rFonts w:eastAsia="Batang" w:cs="Arial"/>
          <w:szCs w:val="20"/>
          <w:lang w:eastAsia="ko-KR"/>
        </w:rPr>
        <w:t xml:space="preserve"> </w:t>
      </w:r>
    </w:p>
    <w:p w:rsidR="00DD50EB" w:rsidRPr="00FB32DC" w:rsidRDefault="00DD50EB" w:rsidP="00DD50EB">
      <w:pPr>
        <w:rPr>
          <w:rFonts w:cs="Arial"/>
          <w:szCs w:val="20"/>
        </w:rPr>
      </w:pPr>
    </w:p>
    <w:p w:rsidR="00DD50EB" w:rsidRDefault="00DD50EB">
      <w:pPr>
        <w:rPr>
          <w:szCs w:val="20"/>
        </w:rPr>
      </w:pPr>
      <w:r>
        <w:br w:type="page"/>
      </w:r>
    </w:p>
    <w:p w:rsidR="001525FC" w:rsidRPr="00A522FE" w:rsidRDefault="001525FC" w:rsidP="001525FC">
      <w:pPr>
        <w:pStyle w:val="Heading2"/>
      </w:pPr>
      <w:bookmarkStart w:id="49" w:name="_Toc301357265"/>
      <w:bookmarkStart w:id="50" w:name="_Toc393956066"/>
      <w:r w:rsidRPr="00A522FE">
        <w:lastRenderedPageBreak/>
        <w:t xml:space="preserve">STRATEGIC GOAL </w:t>
      </w:r>
      <w:proofErr w:type="gramStart"/>
      <w:r w:rsidRPr="00A522FE">
        <w:t xml:space="preserve">VII  </w:t>
      </w:r>
      <w:proofErr w:type="gramEnd"/>
      <w:r w:rsidRPr="00A522FE">
        <w:br/>
      </w:r>
      <w:r w:rsidRPr="00A522FE">
        <w:br/>
        <w:t>Addressing IP in Relation to Global Policy Issues</w:t>
      </w:r>
      <w:bookmarkEnd w:id="49"/>
      <w:bookmarkEnd w:id="50"/>
      <w:r w:rsidRPr="00A522FE">
        <w:t xml:space="preserve"> </w:t>
      </w:r>
    </w:p>
    <w:p w:rsidR="001525FC" w:rsidRDefault="001525FC" w:rsidP="001525FC"/>
    <w:p w:rsidR="006A6EC1" w:rsidRDefault="006A6EC1" w:rsidP="001525FC"/>
    <w:p w:rsidR="001525FC" w:rsidRPr="00A522FE" w:rsidRDefault="001525FC" w:rsidP="001525FC"/>
    <w:p w:rsidR="001525FC" w:rsidRPr="0086702C" w:rsidRDefault="001525FC" w:rsidP="001525FC">
      <w:pPr>
        <w:jc w:val="center"/>
        <w:rPr>
          <w:szCs w:val="20"/>
        </w:rPr>
      </w:pPr>
      <w:r w:rsidRPr="0086702C">
        <w:rPr>
          <w:szCs w:val="20"/>
        </w:rPr>
        <w:t>BIENNIAL PERFORMANCE DASHBOARD</w:t>
      </w:r>
    </w:p>
    <w:p w:rsidR="001525FC" w:rsidRPr="00A522FE" w:rsidRDefault="001525FC" w:rsidP="001525FC"/>
    <w:p w:rsidR="001525FC" w:rsidRDefault="001525FC" w:rsidP="001525FC">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CA3D55" w:rsidRDefault="00CA3D55" w:rsidP="001525FC">
      <w:pPr>
        <w:autoSpaceDE w:val="0"/>
        <w:autoSpaceDN w:val="0"/>
        <w:adjustRightInd w:val="0"/>
        <w:jc w:val="both"/>
        <w:rPr>
          <w:rFonts w:cs="Arial"/>
        </w:rPr>
      </w:pPr>
    </w:p>
    <w:p w:rsidR="006A6EC1" w:rsidRDefault="006A6EC1" w:rsidP="001525FC">
      <w:pPr>
        <w:autoSpaceDE w:val="0"/>
        <w:autoSpaceDN w:val="0"/>
        <w:adjustRightInd w:val="0"/>
        <w:jc w:val="both"/>
        <w:rPr>
          <w:rFonts w:cs="Arial"/>
        </w:rPr>
      </w:pPr>
    </w:p>
    <w:p w:rsidR="006A6EC1" w:rsidRDefault="00CA3D55" w:rsidP="00CA3D55">
      <w:pPr>
        <w:autoSpaceDE w:val="0"/>
        <w:autoSpaceDN w:val="0"/>
        <w:adjustRightInd w:val="0"/>
        <w:jc w:val="center"/>
        <w:rPr>
          <w:rFonts w:cs="Arial"/>
        </w:rPr>
      </w:pPr>
      <w:r>
        <w:rPr>
          <w:noProof/>
        </w:rPr>
        <w:drawing>
          <wp:inline distT="0" distB="0" distL="0" distR="0" wp14:anchorId="2F67BE46" wp14:editId="39FB58A0">
            <wp:extent cx="3694176" cy="2035743"/>
            <wp:effectExtent l="0" t="0" r="1905" b="3175"/>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71"/>
                    <a:stretch>
                      <a:fillRect/>
                    </a:stretch>
                  </pic:blipFill>
                  <pic:spPr>
                    <a:xfrm>
                      <a:off x="0" y="0"/>
                      <a:ext cx="3694176" cy="2035743"/>
                    </a:xfrm>
                    <a:prstGeom prst="rect">
                      <a:avLst/>
                    </a:prstGeom>
                  </pic:spPr>
                </pic:pic>
              </a:graphicData>
            </a:graphic>
          </wp:inline>
        </w:drawing>
      </w:r>
    </w:p>
    <w:p w:rsidR="006A6EC1" w:rsidRPr="00FA331B" w:rsidRDefault="006A6EC1" w:rsidP="001525FC">
      <w:pPr>
        <w:autoSpaceDE w:val="0"/>
        <w:autoSpaceDN w:val="0"/>
        <w:adjustRightInd w:val="0"/>
        <w:jc w:val="both"/>
        <w:rPr>
          <w:rFonts w:cs="Arial"/>
        </w:rPr>
      </w:pPr>
    </w:p>
    <w:p w:rsidR="001525FC" w:rsidRPr="00A522FE" w:rsidRDefault="001525FC" w:rsidP="001525FC">
      <w:pPr>
        <w:tabs>
          <w:tab w:val="left" w:pos="0"/>
        </w:tabs>
        <w:rPr>
          <w:rFonts w:cs="Arial"/>
          <w:i/>
          <w:sz w:val="22"/>
          <w:szCs w:val="22"/>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242"/>
        <w:gridCol w:w="3409"/>
        <w:gridCol w:w="1366"/>
        <w:gridCol w:w="1349"/>
      </w:tblGrid>
      <w:tr w:rsidR="001525FC" w:rsidRPr="00EB7BCC" w:rsidTr="00620143">
        <w:tc>
          <w:tcPr>
            <w:tcW w:w="3242"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Expected Results</w:t>
            </w:r>
          </w:p>
        </w:tc>
        <w:tc>
          <w:tcPr>
            <w:tcW w:w="3409"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Performance Indicators</w:t>
            </w:r>
          </w:p>
        </w:tc>
        <w:tc>
          <w:tcPr>
            <w:tcW w:w="1366"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Responsible Program(s)</w:t>
            </w:r>
          </w:p>
        </w:tc>
        <w:tc>
          <w:tcPr>
            <w:tcW w:w="1349" w:type="dxa"/>
            <w:tcBorders>
              <w:top w:val="single" w:sz="4" w:space="0" w:color="auto"/>
              <w:bottom w:val="single" w:sz="4" w:space="0" w:color="auto"/>
            </w:tcBorders>
            <w:shd w:val="clear" w:color="auto" w:fill="CCFFFF"/>
            <w:vAlign w:val="center"/>
          </w:tcPr>
          <w:p w:rsidR="001525FC" w:rsidRPr="000B4241" w:rsidRDefault="001525FC" w:rsidP="00620143">
            <w:pPr>
              <w:spacing w:before="120" w:after="120"/>
              <w:jc w:val="center"/>
              <w:rPr>
                <w:rFonts w:cs="Arial"/>
                <w:b/>
                <w:bCs/>
                <w:sz w:val="14"/>
                <w:szCs w:val="14"/>
              </w:rPr>
            </w:pPr>
            <w:r w:rsidRPr="000B4241">
              <w:rPr>
                <w:rFonts w:cs="Arial"/>
                <w:b/>
                <w:bCs/>
                <w:sz w:val="14"/>
                <w:szCs w:val="14"/>
              </w:rPr>
              <w:t>TLS</w:t>
            </w:r>
          </w:p>
        </w:tc>
      </w:tr>
      <w:tr w:rsidR="00620143" w:rsidRPr="00EB7BCC" w:rsidTr="00620143">
        <w:tc>
          <w:tcPr>
            <w:tcW w:w="3242" w:type="dxa"/>
            <w:vMerge w:val="restart"/>
            <w:tcBorders>
              <w:top w:val="single" w:sz="4" w:space="0" w:color="auto"/>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Enhanced understanding among policy makers on the interface between global challenges and innovation and intellectual property as a basis for improved policy decision making</w:t>
            </w:r>
          </w:p>
        </w:tc>
        <w:tc>
          <w:tcPr>
            <w:tcW w:w="3409" w:type="dxa"/>
            <w:tcBorders>
              <w:top w:val="single" w:sz="4" w:space="0" w:color="auto"/>
              <w:bottom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References to WIPO's work in the area of global challenges in other policy processes</w:t>
            </w:r>
          </w:p>
        </w:tc>
        <w:tc>
          <w:tcPr>
            <w:tcW w:w="1366" w:type="dxa"/>
            <w:tcBorders>
              <w:top w:val="single" w:sz="4" w:space="0" w:color="auto"/>
              <w:bottom w:val="nil"/>
            </w:tcBorders>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 xml:space="preserve">Program 18 </w:t>
            </w:r>
          </w:p>
        </w:tc>
        <w:tc>
          <w:tcPr>
            <w:tcW w:w="1349" w:type="dxa"/>
            <w:tcBorders>
              <w:top w:val="single" w:sz="4" w:space="0" w:color="auto"/>
              <w:bottom w:val="nil"/>
            </w:tcBorders>
          </w:tcPr>
          <w:p w:rsidR="00620143"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620143" w:rsidRPr="00EB7BCC" w:rsidTr="00620143">
        <w:tc>
          <w:tcPr>
            <w:tcW w:w="3242" w:type="dxa"/>
            <w:vMerge/>
            <w:shd w:val="clear" w:color="auto" w:fill="auto"/>
            <w:tcMar>
              <w:top w:w="113" w:type="dxa"/>
            </w:tcMar>
          </w:tcPr>
          <w:p w:rsidR="00620143" w:rsidRPr="000B4241" w:rsidRDefault="00620143" w:rsidP="000B4241">
            <w:pPr>
              <w:spacing w:before="80"/>
              <w:ind w:firstLineChars="100" w:firstLine="140"/>
              <w:rPr>
                <w:rFonts w:cs="Arial"/>
                <w:sz w:val="14"/>
                <w:szCs w:val="14"/>
              </w:rPr>
            </w:pPr>
          </w:p>
        </w:tc>
        <w:tc>
          <w:tcPr>
            <w:tcW w:w="3409" w:type="dxa"/>
            <w:tcBorders>
              <w:top w:val="nil"/>
              <w:bottom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Increased use of material from the Global Challenges website</w:t>
            </w:r>
          </w:p>
        </w:tc>
        <w:tc>
          <w:tcPr>
            <w:tcW w:w="1366" w:type="dxa"/>
            <w:tcBorders>
              <w:top w:val="nil"/>
              <w:bottom w:val="nil"/>
            </w:tcBorders>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Program 18</w:t>
            </w:r>
          </w:p>
        </w:tc>
        <w:tc>
          <w:tcPr>
            <w:tcW w:w="1349" w:type="dxa"/>
            <w:tcBorders>
              <w:top w:val="nil"/>
              <w:bottom w:val="nil"/>
            </w:tcBorders>
          </w:tcPr>
          <w:p w:rsidR="00620143"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620143" w:rsidRPr="00EB7BCC" w:rsidTr="00620143">
        <w:tc>
          <w:tcPr>
            <w:tcW w:w="3242" w:type="dxa"/>
            <w:vMerge/>
            <w:shd w:val="clear" w:color="auto" w:fill="auto"/>
            <w:tcMar>
              <w:top w:w="113" w:type="dxa"/>
            </w:tcMar>
          </w:tcPr>
          <w:p w:rsidR="00620143" w:rsidRPr="000B4241" w:rsidRDefault="00620143" w:rsidP="000B4241">
            <w:pPr>
              <w:spacing w:before="80"/>
              <w:ind w:firstLineChars="100" w:firstLine="140"/>
              <w:rPr>
                <w:rFonts w:cs="Arial"/>
                <w:sz w:val="14"/>
                <w:szCs w:val="14"/>
              </w:rPr>
            </w:pPr>
          </w:p>
        </w:tc>
        <w:tc>
          <w:tcPr>
            <w:tcW w:w="3409" w:type="dxa"/>
            <w:tcBorders>
              <w:top w:val="nil"/>
            </w:tcBorders>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Feedback from participants in policy fora</w:t>
            </w:r>
          </w:p>
        </w:tc>
        <w:tc>
          <w:tcPr>
            <w:tcW w:w="1366" w:type="dxa"/>
            <w:tcBorders>
              <w:top w:val="nil"/>
            </w:tcBorders>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 xml:space="preserve">Program 18 </w:t>
            </w:r>
          </w:p>
        </w:tc>
        <w:tc>
          <w:tcPr>
            <w:tcW w:w="1349" w:type="dxa"/>
            <w:tcBorders>
              <w:top w:val="nil"/>
            </w:tcBorders>
          </w:tcPr>
          <w:p w:rsidR="00620143"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1525FC" w:rsidRPr="00EB7BCC" w:rsidTr="00620143">
        <w:tc>
          <w:tcPr>
            <w:tcW w:w="3242" w:type="dxa"/>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 xml:space="preserve">WIPO established as a credible source of  support, assistance, and reference for information on innovation and IP in relevant public policy processes </w:t>
            </w:r>
          </w:p>
        </w:tc>
        <w:tc>
          <w:tcPr>
            <w:tcW w:w="3409" w:type="dxa"/>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No. and diversity of specific requests from Member States and international organizations for WIPO contributions on IP in relation to global public policy issues</w:t>
            </w:r>
          </w:p>
        </w:tc>
        <w:tc>
          <w:tcPr>
            <w:tcW w:w="1366" w:type="dxa"/>
            <w:shd w:val="clear" w:color="auto" w:fill="auto"/>
            <w:tcMar>
              <w:top w:w="113" w:type="dxa"/>
            </w:tcMar>
          </w:tcPr>
          <w:p w:rsidR="001525FC" w:rsidRPr="000B4241" w:rsidRDefault="001525FC" w:rsidP="00620143">
            <w:pPr>
              <w:spacing w:before="80"/>
              <w:jc w:val="center"/>
              <w:rPr>
                <w:rFonts w:cs="Arial"/>
                <w:sz w:val="14"/>
                <w:szCs w:val="14"/>
              </w:rPr>
            </w:pPr>
            <w:r w:rsidRPr="000B4241">
              <w:rPr>
                <w:rFonts w:cs="Arial"/>
                <w:sz w:val="14"/>
                <w:szCs w:val="14"/>
              </w:rPr>
              <w:t xml:space="preserve">Program 18 </w:t>
            </w:r>
          </w:p>
        </w:tc>
        <w:tc>
          <w:tcPr>
            <w:tcW w:w="1349" w:type="dxa"/>
          </w:tcPr>
          <w:p w:rsidR="001525FC"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620143" w:rsidRPr="00EB7BCC" w:rsidTr="00620143">
        <w:tc>
          <w:tcPr>
            <w:tcW w:w="3242" w:type="dxa"/>
            <w:vMerge w:val="restart"/>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IP-based tools are used for knowledge transfer from developed to developing countries, particularly least developed countries, to address global challenges</w:t>
            </w:r>
          </w:p>
        </w:tc>
        <w:tc>
          <w:tcPr>
            <w:tcW w:w="3409" w:type="dxa"/>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No. of participants in IP-based platforms</w:t>
            </w:r>
          </w:p>
        </w:tc>
        <w:tc>
          <w:tcPr>
            <w:tcW w:w="1366" w:type="dxa"/>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 xml:space="preserve">Program 18 </w:t>
            </w:r>
          </w:p>
        </w:tc>
        <w:tc>
          <w:tcPr>
            <w:tcW w:w="1349" w:type="dxa"/>
          </w:tcPr>
          <w:p w:rsidR="00620143" w:rsidRPr="000B4241" w:rsidRDefault="00620143" w:rsidP="00620143">
            <w:pPr>
              <w:jc w:val="center"/>
              <w:rPr>
                <w:rFonts w:cs="Arial"/>
                <w:color w:val="00B050"/>
                <w:sz w:val="22"/>
                <w:szCs w:val="22"/>
              </w:rPr>
            </w:pPr>
            <w:r w:rsidRPr="000B4241">
              <w:rPr>
                <w:rFonts w:cs="Arial"/>
                <w:color w:val="008000"/>
                <w:sz w:val="22"/>
                <w:szCs w:val="22"/>
              </w:rPr>
              <w:sym w:font="Wingdings" w:char="F06C"/>
            </w:r>
          </w:p>
        </w:tc>
      </w:tr>
      <w:tr w:rsidR="00620143" w:rsidRPr="00EB7BCC" w:rsidTr="00620143">
        <w:tc>
          <w:tcPr>
            <w:tcW w:w="3242" w:type="dxa"/>
            <w:vMerge/>
            <w:shd w:val="clear" w:color="auto" w:fill="auto"/>
            <w:tcMar>
              <w:top w:w="113" w:type="dxa"/>
            </w:tcMar>
          </w:tcPr>
          <w:p w:rsidR="00620143" w:rsidRPr="000B4241" w:rsidRDefault="00620143" w:rsidP="00620143">
            <w:pPr>
              <w:spacing w:before="80"/>
              <w:rPr>
                <w:rFonts w:cs="Arial"/>
                <w:sz w:val="14"/>
                <w:szCs w:val="14"/>
              </w:rPr>
            </w:pPr>
          </w:p>
        </w:tc>
        <w:tc>
          <w:tcPr>
            <w:tcW w:w="3409" w:type="dxa"/>
            <w:shd w:val="clear" w:color="auto" w:fill="auto"/>
            <w:tcMar>
              <w:top w:w="113" w:type="dxa"/>
            </w:tcMar>
          </w:tcPr>
          <w:p w:rsidR="00620143" w:rsidRPr="000B4241" w:rsidRDefault="00620143" w:rsidP="00620143">
            <w:pPr>
              <w:spacing w:before="80"/>
              <w:rPr>
                <w:rFonts w:cs="Arial"/>
                <w:sz w:val="14"/>
                <w:szCs w:val="14"/>
              </w:rPr>
            </w:pPr>
            <w:r w:rsidRPr="000B4241">
              <w:rPr>
                <w:rFonts w:cs="Arial"/>
                <w:sz w:val="14"/>
                <w:szCs w:val="14"/>
              </w:rPr>
              <w:t>No. of transactions concluded using the platform(s)</w:t>
            </w:r>
          </w:p>
        </w:tc>
        <w:tc>
          <w:tcPr>
            <w:tcW w:w="1366" w:type="dxa"/>
            <w:shd w:val="clear" w:color="auto" w:fill="auto"/>
            <w:tcMar>
              <w:top w:w="113" w:type="dxa"/>
            </w:tcMar>
          </w:tcPr>
          <w:p w:rsidR="00620143" w:rsidRPr="000B4241" w:rsidRDefault="00620143" w:rsidP="00620143">
            <w:pPr>
              <w:spacing w:before="80"/>
              <w:jc w:val="center"/>
              <w:rPr>
                <w:rFonts w:cs="Arial"/>
                <w:sz w:val="14"/>
                <w:szCs w:val="14"/>
              </w:rPr>
            </w:pPr>
            <w:r w:rsidRPr="000B4241">
              <w:rPr>
                <w:rFonts w:cs="Arial"/>
                <w:sz w:val="14"/>
                <w:szCs w:val="14"/>
              </w:rPr>
              <w:t>Program 18</w:t>
            </w:r>
          </w:p>
        </w:tc>
        <w:tc>
          <w:tcPr>
            <w:tcW w:w="1349" w:type="dxa"/>
          </w:tcPr>
          <w:p w:rsidR="00620143" w:rsidRPr="000B4241" w:rsidRDefault="00620143" w:rsidP="00620143">
            <w:pPr>
              <w:jc w:val="center"/>
              <w:rPr>
                <w:rFonts w:cs="Arial"/>
                <w:sz w:val="22"/>
                <w:szCs w:val="22"/>
              </w:rPr>
            </w:pPr>
            <w:r w:rsidRPr="000B4241">
              <w:rPr>
                <w:rFonts w:cs="Arial"/>
                <w:color w:val="E36C0A" w:themeColor="accent6" w:themeShade="BF"/>
                <w:sz w:val="22"/>
                <w:szCs w:val="22"/>
              </w:rPr>
              <w:sym w:font="Wingdings" w:char="F06C"/>
            </w:r>
          </w:p>
        </w:tc>
      </w:tr>
      <w:tr w:rsidR="001525FC" w:rsidRPr="00EB7BCC" w:rsidTr="00620143">
        <w:tc>
          <w:tcPr>
            <w:tcW w:w="3242" w:type="dxa"/>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WIPO established as the relevant Forum for analyzing and debating issues in the field of IP and competition policy</w:t>
            </w:r>
          </w:p>
        </w:tc>
        <w:tc>
          <w:tcPr>
            <w:tcW w:w="3409" w:type="dxa"/>
            <w:shd w:val="clear" w:color="auto" w:fill="auto"/>
            <w:tcMar>
              <w:top w:w="113" w:type="dxa"/>
            </w:tcMar>
          </w:tcPr>
          <w:p w:rsidR="001525FC" w:rsidRPr="000B4241" w:rsidRDefault="001525FC" w:rsidP="00620143">
            <w:pPr>
              <w:spacing w:before="80"/>
              <w:rPr>
                <w:rFonts w:cs="Arial"/>
                <w:color w:val="000000"/>
                <w:sz w:val="14"/>
                <w:szCs w:val="14"/>
              </w:rPr>
            </w:pPr>
            <w:r w:rsidRPr="000B4241">
              <w:rPr>
                <w:rFonts w:cs="Arial"/>
                <w:sz w:val="14"/>
                <w:szCs w:val="14"/>
              </w:rPr>
              <w:t>No</w:t>
            </w:r>
            <w:r w:rsidRPr="000B4241">
              <w:rPr>
                <w:rFonts w:cs="Arial"/>
                <w:color w:val="000000"/>
                <w:sz w:val="14"/>
                <w:szCs w:val="14"/>
              </w:rPr>
              <w:t>. of countries requesting WIPO’s specific contributions on IP in relation to competition law-related issues</w:t>
            </w:r>
          </w:p>
        </w:tc>
        <w:tc>
          <w:tcPr>
            <w:tcW w:w="1366" w:type="dxa"/>
            <w:shd w:val="clear" w:color="auto" w:fill="auto"/>
            <w:tcMar>
              <w:top w:w="113" w:type="dxa"/>
            </w:tcMar>
          </w:tcPr>
          <w:p w:rsidR="001525FC" w:rsidRPr="000B4241" w:rsidRDefault="00620143" w:rsidP="00620143">
            <w:pPr>
              <w:spacing w:before="80"/>
              <w:jc w:val="center"/>
              <w:rPr>
                <w:rFonts w:cs="Arial"/>
                <w:sz w:val="14"/>
                <w:szCs w:val="14"/>
              </w:rPr>
            </w:pPr>
            <w:r w:rsidRPr="000B4241">
              <w:rPr>
                <w:rFonts w:cs="Arial"/>
                <w:sz w:val="14"/>
                <w:szCs w:val="14"/>
              </w:rPr>
              <w:t>Program 18</w:t>
            </w:r>
          </w:p>
        </w:tc>
        <w:tc>
          <w:tcPr>
            <w:tcW w:w="1349" w:type="dxa"/>
          </w:tcPr>
          <w:p w:rsidR="001525FC"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r w:rsidR="001525FC" w:rsidRPr="00EB7BCC" w:rsidTr="00620143">
        <w:tc>
          <w:tcPr>
            <w:tcW w:w="3242" w:type="dxa"/>
            <w:shd w:val="clear" w:color="auto" w:fill="auto"/>
            <w:tcMar>
              <w:top w:w="113" w:type="dxa"/>
            </w:tcMar>
          </w:tcPr>
          <w:p w:rsidR="001525FC" w:rsidRPr="000B4241" w:rsidRDefault="001525FC" w:rsidP="000B4241">
            <w:pPr>
              <w:spacing w:before="80"/>
              <w:ind w:firstLineChars="100" w:firstLine="140"/>
              <w:rPr>
                <w:rFonts w:cs="Arial"/>
                <w:sz w:val="14"/>
                <w:szCs w:val="14"/>
              </w:rPr>
            </w:pPr>
            <w:r w:rsidRPr="000B4241">
              <w:rPr>
                <w:rFonts w:cs="Arial"/>
                <w:sz w:val="14"/>
                <w:szCs w:val="14"/>
              </w:rPr>
              <w:t> </w:t>
            </w:r>
          </w:p>
        </w:tc>
        <w:tc>
          <w:tcPr>
            <w:tcW w:w="3409" w:type="dxa"/>
            <w:shd w:val="clear" w:color="auto" w:fill="auto"/>
            <w:tcMar>
              <w:top w:w="113" w:type="dxa"/>
            </w:tcMar>
          </w:tcPr>
          <w:p w:rsidR="001525FC" w:rsidRPr="000B4241" w:rsidRDefault="001525FC" w:rsidP="00620143">
            <w:pPr>
              <w:spacing w:before="80"/>
              <w:rPr>
                <w:rFonts w:cs="Arial"/>
                <w:sz w:val="14"/>
                <w:szCs w:val="14"/>
              </w:rPr>
            </w:pPr>
            <w:r w:rsidRPr="000B4241">
              <w:rPr>
                <w:rFonts w:cs="Arial"/>
                <w:sz w:val="14"/>
                <w:szCs w:val="14"/>
              </w:rPr>
              <w:t>No. and diversity of stakeholders (IP offices, competition authorities, relevant IGOs and NGOs) engaged in dialogue with WIPO</w:t>
            </w:r>
            <w:r w:rsidR="00A5262B" w:rsidRPr="000B4241">
              <w:rPr>
                <w:rFonts w:cs="Arial"/>
                <w:sz w:val="14"/>
                <w:szCs w:val="14"/>
              </w:rPr>
              <w:br/>
            </w:r>
          </w:p>
        </w:tc>
        <w:tc>
          <w:tcPr>
            <w:tcW w:w="1366" w:type="dxa"/>
            <w:shd w:val="clear" w:color="auto" w:fill="auto"/>
            <w:tcMar>
              <w:top w:w="113" w:type="dxa"/>
            </w:tcMar>
          </w:tcPr>
          <w:p w:rsidR="001525FC" w:rsidRPr="000B4241" w:rsidRDefault="00620143" w:rsidP="00620143">
            <w:pPr>
              <w:spacing w:before="80"/>
              <w:jc w:val="center"/>
              <w:rPr>
                <w:rFonts w:cs="Arial"/>
                <w:sz w:val="14"/>
                <w:szCs w:val="14"/>
              </w:rPr>
            </w:pPr>
            <w:r w:rsidRPr="000B4241">
              <w:rPr>
                <w:rFonts w:cs="Arial"/>
                <w:sz w:val="14"/>
                <w:szCs w:val="14"/>
              </w:rPr>
              <w:t>Program 18</w:t>
            </w:r>
          </w:p>
        </w:tc>
        <w:tc>
          <w:tcPr>
            <w:tcW w:w="1349" w:type="dxa"/>
          </w:tcPr>
          <w:p w:rsidR="001525FC" w:rsidRPr="000B4241" w:rsidRDefault="00620143" w:rsidP="00620143">
            <w:pPr>
              <w:jc w:val="center"/>
              <w:rPr>
                <w:rFonts w:cs="Arial"/>
                <w:color w:val="008000"/>
                <w:sz w:val="22"/>
                <w:szCs w:val="22"/>
              </w:rPr>
            </w:pPr>
            <w:r w:rsidRPr="000B4241">
              <w:rPr>
                <w:rFonts w:cs="Arial"/>
                <w:color w:val="008000"/>
                <w:sz w:val="22"/>
                <w:szCs w:val="22"/>
              </w:rPr>
              <w:sym w:font="Wingdings" w:char="F06C"/>
            </w:r>
          </w:p>
        </w:tc>
      </w:tr>
    </w:tbl>
    <w:p w:rsidR="001525FC" w:rsidRPr="00A522FE" w:rsidRDefault="001525FC" w:rsidP="001525FC">
      <w:pPr>
        <w:tabs>
          <w:tab w:val="left" w:pos="0"/>
        </w:tabs>
        <w:rPr>
          <w:rFonts w:cs="Arial"/>
          <w:iCs/>
        </w:rPr>
      </w:pPr>
    </w:p>
    <w:p w:rsidR="001525FC" w:rsidRDefault="001525FC">
      <w:pPr>
        <w:rPr>
          <w:rFonts w:ascii="Arial Bold" w:eastAsiaTheme="majorEastAsia" w:hAnsi="Arial Bold" w:cstheme="majorBidi"/>
          <w:b/>
          <w:bCs/>
          <w:sz w:val="22"/>
        </w:rPr>
      </w:pPr>
      <w:r>
        <w:br w:type="page"/>
      </w:r>
    </w:p>
    <w:p w:rsidR="00DD50EB" w:rsidRPr="006F08EA" w:rsidRDefault="006F08EA" w:rsidP="006F08EA">
      <w:pPr>
        <w:pStyle w:val="Heading3"/>
      </w:pPr>
      <w:bookmarkStart w:id="51" w:name="_Toc393956067"/>
      <w:r w:rsidRPr="006F08EA">
        <w:lastRenderedPageBreak/>
        <w:t>Program 18</w:t>
      </w:r>
      <w:r w:rsidRPr="006F08EA">
        <w:tab/>
        <w:t>IP and Global Challenges</w:t>
      </w:r>
      <w:bookmarkEnd w:id="51"/>
    </w:p>
    <w:p w:rsidR="00DD50EB" w:rsidRPr="00B97A7D" w:rsidRDefault="00DD50EB" w:rsidP="00DD50EB">
      <w:pPr>
        <w:ind w:left="2268" w:hanging="2268"/>
        <w:rPr>
          <w:rFonts w:cs="Arial"/>
          <w:sz w:val="22"/>
          <w:szCs w:val="22"/>
        </w:rPr>
      </w:pPr>
    </w:p>
    <w:p w:rsidR="00DD50EB" w:rsidRPr="00B97A7D" w:rsidRDefault="00DD50EB" w:rsidP="00DD50EB">
      <w:pPr>
        <w:ind w:left="2268" w:hanging="2268"/>
        <w:rPr>
          <w:rFonts w:cs="Arial"/>
          <w:b/>
          <w:sz w:val="22"/>
          <w:szCs w:val="22"/>
        </w:rPr>
      </w:pPr>
      <w:r w:rsidRPr="00B97A7D">
        <w:rPr>
          <w:rFonts w:cs="Arial"/>
          <w:b/>
          <w:sz w:val="22"/>
          <w:szCs w:val="22"/>
        </w:rPr>
        <w:t>Program Manager</w:t>
      </w:r>
      <w:r w:rsidRPr="00B97A7D">
        <w:rPr>
          <w:rFonts w:cs="Arial"/>
          <w:b/>
          <w:sz w:val="22"/>
          <w:szCs w:val="22"/>
        </w:rPr>
        <w:tab/>
      </w:r>
      <w:r w:rsidRPr="00B97A7D">
        <w:rPr>
          <w:rFonts w:cs="Arial"/>
          <w:b/>
          <w:bCs/>
          <w:sz w:val="22"/>
          <w:szCs w:val="22"/>
        </w:rPr>
        <w:t>Mr. J. C. Wichard</w:t>
      </w:r>
    </w:p>
    <w:p w:rsidR="00DD50EB" w:rsidRPr="00B97A7D" w:rsidRDefault="00DD50EB" w:rsidP="00DD50EB">
      <w:pPr>
        <w:rPr>
          <w:rFonts w:cs="Arial"/>
          <w:sz w:val="22"/>
          <w:szCs w:val="22"/>
        </w:rPr>
      </w:pPr>
    </w:p>
    <w:p w:rsidR="00DD50EB" w:rsidRPr="00631784" w:rsidRDefault="00DD50EB" w:rsidP="00DD50EB">
      <w:pPr>
        <w:rPr>
          <w:rFonts w:cs="Arial"/>
          <w:bCs/>
          <w:color w:val="000000" w:themeColor="text1"/>
          <w:sz w:val="22"/>
          <w:szCs w:val="22"/>
        </w:rPr>
      </w:pPr>
    </w:p>
    <w:p w:rsidR="00DD50EB" w:rsidRPr="00631784" w:rsidRDefault="00DD50EB" w:rsidP="00DD50EB">
      <w:pPr>
        <w:rPr>
          <w:rFonts w:cs="Arial"/>
          <w:color w:val="000000" w:themeColor="text1"/>
          <w:sz w:val="22"/>
          <w:szCs w:val="22"/>
        </w:rPr>
      </w:pPr>
      <w:r w:rsidRPr="00631784">
        <w:rPr>
          <w:rFonts w:cs="Arial"/>
          <w:bCs/>
          <w:color w:val="000000" w:themeColor="text1"/>
          <w:sz w:val="22"/>
          <w:szCs w:val="22"/>
        </w:rPr>
        <w:t>ACHIEVEMENTS IN THE 2012/13 BIENNIUM</w:t>
      </w:r>
    </w:p>
    <w:p w:rsidR="00DD50EB" w:rsidRPr="00631784" w:rsidRDefault="00DD50EB" w:rsidP="00DD50EB">
      <w:pPr>
        <w:rPr>
          <w:rFonts w:cs="Arial"/>
          <w:color w:val="000000" w:themeColor="text1"/>
          <w:sz w:val="22"/>
          <w:szCs w:val="22"/>
        </w:rPr>
      </w:pPr>
    </w:p>
    <w:p w:rsidR="00DD50EB" w:rsidRPr="00864A61" w:rsidRDefault="00DD50EB" w:rsidP="00DD50EB">
      <w:pPr>
        <w:pStyle w:val="Default"/>
        <w:tabs>
          <w:tab w:val="left" w:pos="709"/>
        </w:tabs>
        <w:jc w:val="both"/>
        <w:rPr>
          <w:color w:val="000000" w:themeColor="text1"/>
          <w:sz w:val="20"/>
          <w:szCs w:val="20"/>
        </w:rPr>
      </w:pPr>
      <w:r w:rsidRPr="00864A61">
        <w:rPr>
          <w:rFonts w:eastAsia="MS Mincho"/>
          <w:color w:val="000000" w:themeColor="text1"/>
          <w:sz w:val="20"/>
          <w:szCs w:val="20"/>
        </w:rPr>
        <w:t>18.1.</w:t>
      </w:r>
      <w:r w:rsidRPr="00864A61">
        <w:rPr>
          <w:rFonts w:eastAsia="MS Mincho"/>
          <w:color w:val="000000" w:themeColor="text1"/>
          <w:sz w:val="20"/>
          <w:szCs w:val="20"/>
        </w:rPr>
        <w:tab/>
        <w:t xml:space="preserve">Program 18 </w:t>
      </w:r>
      <w:r w:rsidRPr="00864A61">
        <w:rPr>
          <w:bCs/>
          <w:color w:val="000000" w:themeColor="text1"/>
          <w:sz w:val="20"/>
          <w:szCs w:val="20"/>
        </w:rPr>
        <w:t>addresses innovation and IP at the intersection of pressing global and interconnected issues,</w:t>
      </w:r>
      <w:r w:rsidRPr="00864A61">
        <w:rPr>
          <w:color w:val="000000" w:themeColor="text1"/>
          <w:sz w:val="20"/>
          <w:szCs w:val="20"/>
        </w:rPr>
        <w:t xml:space="preserve"> </w:t>
      </w:r>
      <w:r w:rsidRPr="00864A61">
        <w:rPr>
          <w:bCs/>
          <w:color w:val="000000" w:themeColor="text1"/>
          <w:sz w:val="20"/>
          <w:szCs w:val="20"/>
        </w:rPr>
        <w:t xml:space="preserve">in particular Global Health, Climate Change, and Food Security. </w:t>
      </w:r>
      <w:r w:rsidR="009A3337">
        <w:rPr>
          <w:bCs/>
          <w:color w:val="000000" w:themeColor="text1"/>
          <w:sz w:val="20"/>
          <w:szCs w:val="20"/>
        </w:rPr>
        <w:t xml:space="preserve"> </w:t>
      </w:r>
      <w:r w:rsidRPr="00864A61">
        <w:rPr>
          <w:color w:val="000000" w:themeColor="text1"/>
          <w:sz w:val="20"/>
          <w:szCs w:val="20"/>
        </w:rPr>
        <w:t xml:space="preserve">In 2012/13, the Program further contributed to an enhanced understanding among policy makers on the interface between global challenges, innovation and IP, including two multi-stakeholder innovation and technology transfer platforms (WIPO Re:Search and WIPO GREEN), and the ongoing collaboration with WHO and WTO addressing the confluence of health, </w:t>
      </w:r>
      <w:r>
        <w:rPr>
          <w:color w:val="000000" w:themeColor="text1"/>
          <w:sz w:val="20"/>
          <w:szCs w:val="20"/>
        </w:rPr>
        <w:t>IP</w:t>
      </w:r>
      <w:r w:rsidRPr="00864A61">
        <w:rPr>
          <w:color w:val="000000" w:themeColor="text1"/>
          <w:sz w:val="20"/>
          <w:szCs w:val="20"/>
        </w:rPr>
        <w:t xml:space="preserve">, innovation and trade.  The Program continued to receive positive feedback from a wide range of stakeholders for WIPO’s work on IP and Global Challenges.  </w:t>
      </w:r>
    </w:p>
    <w:p w:rsidR="00DD50EB" w:rsidRPr="00864A61" w:rsidRDefault="00DD50EB" w:rsidP="00DD50EB">
      <w:pPr>
        <w:pStyle w:val="Default"/>
        <w:tabs>
          <w:tab w:val="left" w:pos="709"/>
        </w:tabs>
        <w:jc w:val="both"/>
        <w:rPr>
          <w:color w:val="000000" w:themeColor="text1"/>
          <w:sz w:val="20"/>
          <w:szCs w:val="20"/>
        </w:rPr>
      </w:pPr>
    </w:p>
    <w:p w:rsidR="00DD50EB" w:rsidRPr="00864A61" w:rsidRDefault="00DD50EB" w:rsidP="00DD50EB">
      <w:pPr>
        <w:tabs>
          <w:tab w:val="left" w:pos="709"/>
        </w:tabs>
        <w:jc w:val="both"/>
        <w:rPr>
          <w:rFonts w:cs="Arial"/>
          <w:color w:val="000000" w:themeColor="text1"/>
          <w:szCs w:val="20"/>
        </w:rPr>
      </w:pPr>
      <w:r w:rsidRPr="00864A61">
        <w:rPr>
          <w:rFonts w:eastAsia="Batang" w:cs="Arial"/>
          <w:color w:val="000000" w:themeColor="text1"/>
          <w:szCs w:val="20"/>
          <w:lang w:eastAsia="ja-JP"/>
        </w:rPr>
        <w:t xml:space="preserve">18.2. </w:t>
      </w:r>
      <w:r>
        <w:rPr>
          <w:rFonts w:eastAsia="Batang" w:cs="Arial"/>
          <w:color w:val="000000" w:themeColor="text1"/>
          <w:szCs w:val="20"/>
          <w:lang w:eastAsia="ja-JP"/>
        </w:rPr>
        <w:tab/>
      </w:r>
      <w:r w:rsidRPr="00864A61">
        <w:rPr>
          <w:rFonts w:eastAsia="Batang" w:cs="Arial"/>
          <w:color w:val="000000" w:themeColor="text1"/>
          <w:szCs w:val="20"/>
          <w:lang w:eastAsia="ja-JP"/>
        </w:rPr>
        <w:t xml:space="preserve">Working closely with a range of relevant sectors within WIPO, most notably Program 20, efforts have led to an increased recognition of WIPO as a credible source of support, collaboration with and reference for information on issues related to public policy and </w:t>
      </w:r>
      <w:r>
        <w:rPr>
          <w:rFonts w:eastAsia="Batang" w:cs="Arial"/>
          <w:color w:val="000000" w:themeColor="text1"/>
          <w:szCs w:val="20"/>
          <w:lang w:eastAsia="ja-JP"/>
        </w:rPr>
        <w:t>IP</w:t>
      </w:r>
      <w:r w:rsidRPr="00864A61">
        <w:rPr>
          <w:rFonts w:eastAsia="Batang" w:cs="Arial"/>
          <w:color w:val="000000" w:themeColor="text1"/>
          <w:szCs w:val="20"/>
          <w:lang w:eastAsia="ja-JP"/>
        </w:rPr>
        <w:t>, resulting in continued requests for WIPO to contribute to</w:t>
      </w:r>
      <w:r>
        <w:rPr>
          <w:rFonts w:eastAsia="Batang" w:cs="Arial"/>
          <w:color w:val="000000" w:themeColor="text1"/>
          <w:szCs w:val="20"/>
          <w:lang w:eastAsia="ja-JP"/>
        </w:rPr>
        <w:t>,</w:t>
      </w:r>
      <w:r w:rsidRPr="00864A61">
        <w:rPr>
          <w:rFonts w:eastAsia="Batang" w:cs="Arial"/>
          <w:color w:val="000000" w:themeColor="text1"/>
          <w:szCs w:val="20"/>
          <w:lang w:eastAsia="ja-JP"/>
        </w:rPr>
        <w:t xml:space="preserve"> and participate in</w:t>
      </w:r>
      <w:r>
        <w:rPr>
          <w:rFonts w:eastAsia="Batang" w:cs="Arial"/>
          <w:color w:val="000000" w:themeColor="text1"/>
          <w:szCs w:val="20"/>
          <w:lang w:eastAsia="ja-JP"/>
        </w:rPr>
        <w:t>,</w:t>
      </w:r>
      <w:r w:rsidRPr="00864A61">
        <w:rPr>
          <w:rFonts w:eastAsia="Batang" w:cs="Arial"/>
          <w:color w:val="000000" w:themeColor="text1"/>
          <w:szCs w:val="20"/>
          <w:lang w:eastAsia="ja-JP"/>
        </w:rPr>
        <w:t xml:space="preserve"> relevant public policy fora by other organizations, including WHO, WTO, NGOs, universities and other institutions like the Graduate Institute of International and Development Studies.  The organization of three WIPO Global Challenges Seminars in 2012 provided a forum for participants to share ideas, expertise and information relating to the three core areas of the Program.</w:t>
      </w:r>
      <w:r w:rsidRPr="00864A61">
        <w:rPr>
          <w:rFonts w:cs="Arial"/>
          <w:bCs/>
          <w:color w:val="000000" w:themeColor="text1"/>
          <w:szCs w:val="20"/>
        </w:rPr>
        <w:t xml:space="preserve">  </w:t>
      </w:r>
      <w:r w:rsidRPr="00864A61">
        <w:rPr>
          <w:rFonts w:cs="Arial"/>
          <w:color w:val="000000" w:themeColor="text1"/>
          <w:szCs w:val="20"/>
        </w:rPr>
        <w:t>In addition</w:t>
      </w:r>
      <w:r w:rsidRPr="00864A61">
        <w:rPr>
          <w:rFonts w:cs="Arial"/>
          <w:bCs/>
          <w:color w:val="000000" w:themeColor="text1"/>
          <w:szCs w:val="20"/>
        </w:rPr>
        <w:t xml:space="preserve">, </w:t>
      </w:r>
      <w:r w:rsidRPr="00864A61">
        <w:rPr>
          <w:rFonts w:cs="Arial"/>
          <w:color w:val="000000" w:themeColor="text1"/>
          <w:szCs w:val="20"/>
        </w:rPr>
        <w:t xml:space="preserve">a joint WHO, WIPO, WTO technical symposium on Medical Innovation–Changing Business Models, was held in July 2013, highlighting the importance of cooperation across all sectors and among all stakeholders to achieve better outcomes. </w:t>
      </w:r>
    </w:p>
    <w:p w:rsidR="00DD50EB" w:rsidRPr="00864A61" w:rsidRDefault="00DD50EB" w:rsidP="00DD50EB">
      <w:pPr>
        <w:pStyle w:val="Default"/>
        <w:tabs>
          <w:tab w:val="left" w:pos="709"/>
        </w:tabs>
        <w:jc w:val="both"/>
        <w:rPr>
          <w:bCs/>
          <w:color w:val="000000" w:themeColor="text1"/>
          <w:sz w:val="20"/>
          <w:szCs w:val="20"/>
        </w:rPr>
      </w:pPr>
    </w:p>
    <w:p w:rsidR="00DD50EB" w:rsidRPr="00864A61" w:rsidRDefault="00DD50EB" w:rsidP="00DD50EB">
      <w:pPr>
        <w:pStyle w:val="Default"/>
        <w:tabs>
          <w:tab w:val="left" w:pos="709"/>
        </w:tabs>
        <w:jc w:val="both"/>
        <w:rPr>
          <w:bCs/>
          <w:color w:val="000000" w:themeColor="text1"/>
          <w:sz w:val="20"/>
          <w:szCs w:val="20"/>
        </w:rPr>
      </w:pPr>
      <w:r w:rsidRPr="00864A61">
        <w:rPr>
          <w:color w:val="000000" w:themeColor="text1"/>
          <w:sz w:val="20"/>
          <w:szCs w:val="20"/>
        </w:rPr>
        <w:t xml:space="preserve">18.3. </w:t>
      </w:r>
      <w:r>
        <w:rPr>
          <w:color w:val="000000" w:themeColor="text1"/>
          <w:sz w:val="20"/>
          <w:szCs w:val="20"/>
        </w:rPr>
        <w:tab/>
      </w:r>
      <w:r w:rsidRPr="00864A61">
        <w:rPr>
          <w:color w:val="000000" w:themeColor="text1"/>
          <w:sz w:val="20"/>
          <w:szCs w:val="20"/>
        </w:rPr>
        <w:t>Th</w:t>
      </w:r>
      <w:r>
        <w:rPr>
          <w:color w:val="000000" w:themeColor="text1"/>
          <w:sz w:val="20"/>
          <w:szCs w:val="20"/>
        </w:rPr>
        <w:t>e</w:t>
      </w:r>
      <w:r w:rsidRPr="00864A61">
        <w:rPr>
          <w:color w:val="000000" w:themeColor="text1"/>
          <w:sz w:val="20"/>
          <w:szCs w:val="20"/>
        </w:rPr>
        <w:t xml:space="preserve"> trilateral cooperation with WHO and WTO also focused on enhanced understanding among policymakers of the interplay between health, IP and trade.  Notably, the collaboration resulted in the publication in 2013 of the joint technical study titled </w:t>
      </w:r>
      <w:r w:rsidRPr="00864A61">
        <w:rPr>
          <w:i/>
          <w:sz w:val="20"/>
          <w:szCs w:val="20"/>
        </w:rPr>
        <w:t>Promoting Access to Medical Technologies and Innovation – Intersections between public health, intellectual property and trade</w:t>
      </w:r>
      <w:r w:rsidRPr="00864A61">
        <w:rPr>
          <w:rStyle w:val="FootnoteReference"/>
          <w:i/>
          <w:color w:val="000000" w:themeColor="text1"/>
          <w:sz w:val="20"/>
          <w:szCs w:val="20"/>
        </w:rPr>
        <w:footnoteReference w:id="35"/>
      </w:r>
      <w:r>
        <w:rPr>
          <w:i/>
          <w:sz w:val="20"/>
          <w:szCs w:val="20"/>
        </w:rPr>
        <w:t>,</w:t>
      </w:r>
      <w:r w:rsidRPr="00864A61">
        <w:rPr>
          <w:color w:val="000000" w:themeColor="text1"/>
          <w:sz w:val="20"/>
          <w:szCs w:val="20"/>
        </w:rPr>
        <w:t xml:space="preserve"> which provide a comprehensive overview of the current status of the situation, as well as an extensive source of empirical information on all key aspects of the issues.  Furthermore, the study constitutes a guide on the institutional and legal frameworks available to address the confluence of these three domains, especially within the context of the mandates of the three Organizations and in support of their capacity building initiatives.  </w:t>
      </w:r>
    </w:p>
    <w:p w:rsidR="00DD50EB" w:rsidRPr="00864A61" w:rsidRDefault="00DD50EB" w:rsidP="00DD50EB">
      <w:pPr>
        <w:pStyle w:val="Default"/>
        <w:tabs>
          <w:tab w:val="left" w:pos="567"/>
          <w:tab w:val="left" w:pos="709"/>
        </w:tabs>
        <w:jc w:val="both"/>
        <w:rPr>
          <w:color w:val="000000" w:themeColor="text1"/>
          <w:sz w:val="20"/>
          <w:szCs w:val="20"/>
        </w:rPr>
      </w:pPr>
    </w:p>
    <w:p w:rsidR="00DD50EB" w:rsidRPr="00864A61" w:rsidRDefault="00DD50EB" w:rsidP="00DD50EB">
      <w:pPr>
        <w:pStyle w:val="Default"/>
        <w:tabs>
          <w:tab w:val="left" w:pos="709"/>
        </w:tabs>
        <w:jc w:val="both"/>
        <w:rPr>
          <w:color w:val="000000" w:themeColor="text1"/>
          <w:sz w:val="20"/>
          <w:szCs w:val="20"/>
        </w:rPr>
      </w:pPr>
      <w:r w:rsidRPr="00864A61">
        <w:rPr>
          <w:color w:val="000000" w:themeColor="text1"/>
          <w:sz w:val="20"/>
          <w:szCs w:val="20"/>
        </w:rPr>
        <w:t xml:space="preserve">18.4. </w:t>
      </w:r>
      <w:r>
        <w:rPr>
          <w:color w:val="000000" w:themeColor="text1"/>
          <w:sz w:val="20"/>
          <w:szCs w:val="20"/>
        </w:rPr>
        <w:tab/>
      </w:r>
      <w:r w:rsidRPr="00864A61">
        <w:rPr>
          <w:color w:val="000000" w:themeColor="text1"/>
          <w:sz w:val="20"/>
          <w:szCs w:val="20"/>
        </w:rPr>
        <w:t xml:space="preserve">A major achievement during the biennium was the launch of WIPO GREEN as an operational platform in November 2013.  WIPO GREEN is an interactive marketplace that promotes innovation, transfer and diffusion of green technologies by connecting technology and service providers with those seeking innovative solutions.  Partners include IGOs, such as UNEP and </w:t>
      </w:r>
      <w:r>
        <w:rPr>
          <w:color w:val="000000" w:themeColor="text1"/>
          <w:sz w:val="20"/>
          <w:szCs w:val="20"/>
        </w:rPr>
        <w:t>Climate Technology Centre and Network</w:t>
      </w:r>
      <w:r w:rsidRPr="002E2EC7">
        <w:rPr>
          <w:color w:val="000000" w:themeColor="text1"/>
          <w:sz w:val="20"/>
          <w:szCs w:val="20"/>
        </w:rPr>
        <w:t xml:space="preserve"> </w:t>
      </w:r>
      <w:r>
        <w:rPr>
          <w:color w:val="000000" w:themeColor="text1"/>
          <w:sz w:val="20"/>
          <w:szCs w:val="20"/>
        </w:rPr>
        <w:t>(</w:t>
      </w:r>
      <w:r w:rsidRPr="00864A61">
        <w:rPr>
          <w:color w:val="000000" w:themeColor="text1"/>
          <w:sz w:val="20"/>
          <w:szCs w:val="20"/>
        </w:rPr>
        <w:t>CTCN</w:t>
      </w:r>
      <w:r>
        <w:rPr>
          <w:color w:val="000000" w:themeColor="text1"/>
          <w:sz w:val="20"/>
          <w:szCs w:val="20"/>
        </w:rPr>
        <w:t>)</w:t>
      </w:r>
      <w:r w:rsidRPr="00864A61">
        <w:rPr>
          <w:color w:val="000000" w:themeColor="text1"/>
          <w:sz w:val="20"/>
          <w:szCs w:val="20"/>
        </w:rPr>
        <w:t xml:space="preserve">, public sector institutions, small and large enterprises, as well as NGOs.  </w:t>
      </w:r>
      <w:r w:rsidRPr="00864A61">
        <w:rPr>
          <w:rFonts w:eastAsia="Times New Roman"/>
          <w:color w:val="000000" w:themeColor="text1"/>
          <w:sz w:val="20"/>
          <w:szCs w:val="20"/>
        </w:rPr>
        <w:t xml:space="preserve">The increasing number of partners and their willingness to improve the quality and quantity of entries to the WIPO GREEN </w:t>
      </w:r>
      <w:proofErr w:type="gramStart"/>
      <w:r w:rsidRPr="00864A61">
        <w:rPr>
          <w:rFonts w:eastAsia="Times New Roman"/>
          <w:color w:val="000000" w:themeColor="text1"/>
          <w:sz w:val="20"/>
          <w:szCs w:val="20"/>
        </w:rPr>
        <w:t>database,</w:t>
      </w:r>
      <w:proofErr w:type="gramEnd"/>
      <w:r w:rsidRPr="00864A61">
        <w:rPr>
          <w:rFonts w:eastAsia="Times New Roman"/>
          <w:color w:val="000000" w:themeColor="text1"/>
          <w:sz w:val="20"/>
          <w:szCs w:val="20"/>
        </w:rPr>
        <w:t xml:space="preserve"> demonstrates the potential that WIPO GREEN has in support of technology transfer from developed to developing countries as well as south-south collaborations. </w:t>
      </w:r>
      <w:r w:rsidR="009A3337">
        <w:rPr>
          <w:rFonts w:eastAsia="Times New Roman"/>
          <w:color w:val="000000" w:themeColor="text1"/>
          <w:sz w:val="20"/>
          <w:szCs w:val="20"/>
        </w:rPr>
        <w:t xml:space="preserve"> </w:t>
      </w:r>
      <w:r w:rsidRPr="00864A61">
        <w:rPr>
          <w:rFonts w:eastAsia="Times New Roman"/>
          <w:color w:val="000000" w:themeColor="text1"/>
          <w:sz w:val="20"/>
          <w:szCs w:val="20"/>
        </w:rPr>
        <w:t>As of the end of 2013, the WIPO GREEN database had 737 entries.  During this formative phase, the focus remained on building a robust set of partners and increasing the number of entries, with the objective of promoting increased levels of marketplace interaction and transactional usage of the platform moving forward.  As such, during the biennium, no transactions were concluded.</w:t>
      </w:r>
      <w:r>
        <w:rPr>
          <w:rFonts w:eastAsia="Times New Roman"/>
          <w:color w:val="000000" w:themeColor="text1"/>
          <w:sz w:val="20"/>
          <w:szCs w:val="20"/>
        </w:rPr>
        <w:t xml:space="preserve"> </w:t>
      </w:r>
    </w:p>
    <w:p w:rsidR="00DD50EB" w:rsidRPr="00864A61" w:rsidRDefault="00DD50EB" w:rsidP="00DD50EB">
      <w:pPr>
        <w:pStyle w:val="Default"/>
        <w:tabs>
          <w:tab w:val="left" w:pos="567"/>
          <w:tab w:val="left" w:pos="709"/>
        </w:tabs>
        <w:jc w:val="both"/>
        <w:rPr>
          <w:color w:val="000000" w:themeColor="text1"/>
          <w:sz w:val="20"/>
          <w:szCs w:val="20"/>
        </w:rPr>
      </w:pPr>
    </w:p>
    <w:p w:rsidR="00DD50EB" w:rsidRPr="00864A61" w:rsidRDefault="00DD50EB" w:rsidP="00DD50EB">
      <w:pPr>
        <w:pStyle w:val="Default"/>
        <w:tabs>
          <w:tab w:val="left" w:pos="709"/>
        </w:tabs>
        <w:jc w:val="both"/>
        <w:rPr>
          <w:color w:val="000000" w:themeColor="text1"/>
          <w:sz w:val="20"/>
          <w:szCs w:val="20"/>
        </w:rPr>
      </w:pPr>
      <w:r w:rsidRPr="00864A61">
        <w:rPr>
          <w:color w:val="000000" w:themeColor="text1"/>
          <w:sz w:val="20"/>
          <w:szCs w:val="20"/>
        </w:rPr>
        <w:t xml:space="preserve">18.5. </w:t>
      </w:r>
      <w:r>
        <w:rPr>
          <w:color w:val="000000" w:themeColor="text1"/>
          <w:sz w:val="20"/>
          <w:szCs w:val="20"/>
        </w:rPr>
        <w:tab/>
      </w:r>
      <w:r w:rsidRPr="00864A61">
        <w:rPr>
          <w:color w:val="000000" w:themeColor="text1"/>
          <w:sz w:val="20"/>
          <w:szCs w:val="20"/>
        </w:rPr>
        <w:t>WIPO Re:Search--</w:t>
      </w:r>
      <w:r w:rsidRPr="00864A61">
        <w:rPr>
          <w:i/>
          <w:color w:val="000000" w:themeColor="text1"/>
          <w:sz w:val="20"/>
          <w:szCs w:val="20"/>
        </w:rPr>
        <w:t>Sharing Innovation in the Fight Against Neglected Tropical Diseases (NTDs)</w:t>
      </w:r>
      <w:r w:rsidRPr="00864A61">
        <w:rPr>
          <w:color w:val="000000" w:themeColor="text1"/>
          <w:sz w:val="20"/>
          <w:szCs w:val="20"/>
        </w:rPr>
        <w:t xml:space="preserve"> -</w:t>
      </w:r>
      <w:r w:rsidRPr="00864A61">
        <w:rPr>
          <w:i/>
          <w:color w:val="000000" w:themeColor="text1"/>
          <w:sz w:val="20"/>
          <w:szCs w:val="20"/>
        </w:rPr>
        <w:t xml:space="preserve"> </w:t>
      </w:r>
      <w:r w:rsidRPr="00864A61">
        <w:rPr>
          <w:color w:val="000000" w:themeColor="text1"/>
          <w:sz w:val="20"/>
          <w:szCs w:val="20"/>
        </w:rPr>
        <w:t>made significant progress during the biennium, gaining in recognition as a platform to support innovation and technology transfer related to research for NTDs, tuberculosis and malaria.  The consortium marked as achievements in 2012 some 30 new members and 11 collaborative research agreements, and in 2013 some 19 new members and 33 new research agreements, bringing the total members to 80 and collaborations to 44 at the end of the biennium, a 260</w:t>
      </w:r>
      <w:r>
        <w:rPr>
          <w:color w:val="000000" w:themeColor="text1"/>
          <w:sz w:val="20"/>
          <w:szCs w:val="20"/>
        </w:rPr>
        <w:t xml:space="preserve"> per cent</w:t>
      </w:r>
      <w:r w:rsidRPr="00864A61">
        <w:rPr>
          <w:color w:val="000000" w:themeColor="text1"/>
          <w:sz w:val="20"/>
          <w:szCs w:val="20"/>
        </w:rPr>
        <w:t xml:space="preserve"> increase in members since its launch in October 2011.  Moreover, and especially important for WIPO’s broader policy goals as articulated in the DA, WIPO Re</w:t>
      </w:r>
      <w:proofErr w:type="gramStart"/>
      <w:r w:rsidRPr="00864A61">
        <w:rPr>
          <w:color w:val="000000" w:themeColor="text1"/>
          <w:sz w:val="20"/>
          <w:szCs w:val="20"/>
        </w:rPr>
        <w:t>:Search</w:t>
      </w:r>
      <w:proofErr w:type="gramEnd"/>
      <w:r w:rsidRPr="00864A61">
        <w:rPr>
          <w:color w:val="000000" w:themeColor="text1"/>
          <w:sz w:val="20"/>
          <w:szCs w:val="20"/>
        </w:rPr>
        <w:t xml:space="preserve"> includes 15 members from </w:t>
      </w:r>
      <w:r>
        <w:rPr>
          <w:color w:val="000000" w:themeColor="text1"/>
          <w:sz w:val="20"/>
          <w:szCs w:val="20"/>
        </w:rPr>
        <w:t>ten</w:t>
      </w:r>
      <w:r w:rsidRPr="00864A61">
        <w:rPr>
          <w:color w:val="000000" w:themeColor="text1"/>
          <w:sz w:val="20"/>
          <w:szCs w:val="20"/>
        </w:rPr>
        <w:t xml:space="preserve"> African countries.  In addition to an increase in the number of research collaborations, the platform’s potential for technology transfer from developed to developing countries of IP assets, including know-how and expertise, was demonstrated by the facilitation </w:t>
      </w:r>
      <w:r w:rsidRPr="00864A61">
        <w:rPr>
          <w:color w:val="000000" w:themeColor="text1"/>
          <w:sz w:val="20"/>
          <w:szCs w:val="20"/>
        </w:rPr>
        <w:lastRenderedPageBreak/>
        <w:t>of research sabbaticals for five African biomedical scientists in overseas research institutions made possible by a Fund-in-Trust provided by the Government of Australia.</w:t>
      </w:r>
    </w:p>
    <w:p w:rsidR="00DD50EB" w:rsidRPr="00864A61" w:rsidRDefault="00DD50EB" w:rsidP="00DD50EB">
      <w:pPr>
        <w:pStyle w:val="Default"/>
        <w:tabs>
          <w:tab w:val="left" w:pos="567"/>
          <w:tab w:val="left" w:pos="709"/>
        </w:tabs>
        <w:jc w:val="both"/>
        <w:rPr>
          <w:color w:val="000000" w:themeColor="text1"/>
          <w:sz w:val="20"/>
          <w:szCs w:val="20"/>
        </w:rPr>
      </w:pPr>
    </w:p>
    <w:p w:rsidR="00DD50EB" w:rsidRPr="00864A61" w:rsidRDefault="00DD50EB" w:rsidP="00DD50EB">
      <w:pPr>
        <w:tabs>
          <w:tab w:val="left" w:pos="709"/>
        </w:tabs>
        <w:jc w:val="both"/>
        <w:rPr>
          <w:rFonts w:cs="Arial"/>
          <w:bCs/>
          <w:color w:val="000000"/>
          <w:szCs w:val="20"/>
        </w:rPr>
      </w:pPr>
      <w:r w:rsidRPr="00864A61">
        <w:rPr>
          <w:rFonts w:eastAsia="Batang" w:cs="Arial"/>
          <w:color w:val="000000" w:themeColor="text1"/>
          <w:szCs w:val="20"/>
          <w:lang w:eastAsia="ja-JP"/>
        </w:rPr>
        <w:t>18.6.</w:t>
      </w:r>
      <w:r w:rsidRPr="00864A61">
        <w:rPr>
          <w:rFonts w:cs="Arial"/>
          <w:color w:val="000000" w:themeColor="text1"/>
          <w:szCs w:val="20"/>
        </w:rPr>
        <w:t xml:space="preserve"> </w:t>
      </w:r>
      <w:r>
        <w:rPr>
          <w:rFonts w:cs="Arial"/>
          <w:color w:val="000000" w:themeColor="text1"/>
          <w:szCs w:val="20"/>
        </w:rPr>
        <w:tab/>
      </w:r>
      <w:r w:rsidRPr="00864A61">
        <w:rPr>
          <w:rFonts w:cs="Arial"/>
          <w:bCs/>
          <w:color w:val="000000"/>
          <w:szCs w:val="20"/>
        </w:rPr>
        <w:t xml:space="preserve">As regards IP and Competition Policy, the number of Member States </w:t>
      </w:r>
      <w:r>
        <w:rPr>
          <w:rFonts w:cs="Arial"/>
          <w:bCs/>
          <w:color w:val="000000"/>
          <w:szCs w:val="20"/>
        </w:rPr>
        <w:t>requesting</w:t>
      </w:r>
      <w:r w:rsidRPr="00864A61">
        <w:rPr>
          <w:rFonts w:cs="Arial"/>
          <w:bCs/>
          <w:color w:val="000000"/>
          <w:szCs w:val="20"/>
        </w:rPr>
        <w:t xml:space="preserve"> the Secretariat to engage in a dialogue, as well as to assist them in better understanding the interface between IP and </w:t>
      </w:r>
      <w:r>
        <w:rPr>
          <w:rFonts w:cs="Arial"/>
          <w:bCs/>
          <w:color w:val="000000"/>
          <w:szCs w:val="20"/>
        </w:rPr>
        <w:t>c</w:t>
      </w:r>
      <w:r w:rsidRPr="00864A61">
        <w:rPr>
          <w:rFonts w:cs="Arial"/>
          <w:bCs/>
          <w:color w:val="000000"/>
          <w:szCs w:val="20"/>
        </w:rPr>
        <w:t xml:space="preserve">ompetition, significantly increased during the biennium.  Moreover, the Program established a structured, albeit informal, cooperation with other relevant Organizations in this field, most notably the OECD, UNCTAD and the WTO, as well as with the International Competition Network (ICN). </w:t>
      </w:r>
      <w:r>
        <w:rPr>
          <w:rFonts w:cs="Arial"/>
          <w:bCs/>
          <w:color w:val="000000"/>
          <w:szCs w:val="20"/>
        </w:rPr>
        <w:t xml:space="preserve"> </w:t>
      </w:r>
      <w:r w:rsidRPr="00864A61">
        <w:rPr>
          <w:rFonts w:cs="Arial"/>
          <w:bCs/>
          <w:color w:val="000000"/>
          <w:szCs w:val="20"/>
        </w:rPr>
        <w:t xml:space="preserve">All </w:t>
      </w:r>
      <w:r>
        <w:rPr>
          <w:rFonts w:cs="Arial"/>
          <w:bCs/>
          <w:color w:val="000000"/>
          <w:szCs w:val="20"/>
        </w:rPr>
        <w:t xml:space="preserve">biennial </w:t>
      </w:r>
      <w:r w:rsidRPr="00864A61">
        <w:rPr>
          <w:rFonts w:cs="Arial"/>
          <w:bCs/>
          <w:color w:val="000000"/>
          <w:szCs w:val="20"/>
        </w:rPr>
        <w:t xml:space="preserve">targets were fully achieved as planned with the exception of one of the two surveys where questionnaires from Member States were returned later than expected, thereby delaying the process. </w:t>
      </w:r>
    </w:p>
    <w:p w:rsidR="00DD50EB" w:rsidRPr="008B14D5" w:rsidRDefault="00DD50EB" w:rsidP="00DD50EB">
      <w:pPr>
        <w:tabs>
          <w:tab w:val="left" w:pos="709"/>
        </w:tabs>
        <w:jc w:val="both"/>
        <w:rPr>
          <w:rFonts w:cs="Arial"/>
          <w:bCs/>
          <w:sz w:val="22"/>
          <w:szCs w:val="22"/>
        </w:rPr>
      </w:pPr>
    </w:p>
    <w:p w:rsidR="00DD50EB" w:rsidRPr="002C4083" w:rsidRDefault="00DD50EB" w:rsidP="00DD50EB">
      <w:pPr>
        <w:jc w:val="both"/>
        <w:rPr>
          <w:rFonts w:cs="Arial"/>
          <w:bCs/>
          <w:sz w:val="22"/>
          <w:szCs w:val="22"/>
        </w:rPr>
      </w:pPr>
      <w:r w:rsidRPr="002C4083">
        <w:rPr>
          <w:rFonts w:cs="Arial"/>
          <w:bCs/>
          <w:sz w:val="22"/>
          <w:szCs w:val="22"/>
        </w:rPr>
        <w:t xml:space="preserve">IMPLEMENTATION OF THE DEVELOPMENT AGENDA </w:t>
      </w:r>
    </w:p>
    <w:p w:rsidR="00DD50EB" w:rsidRDefault="00DD50EB" w:rsidP="00DD50EB">
      <w:pPr>
        <w:jc w:val="both"/>
        <w:rPr>
          <w:rFonts w:cs="Arial"/>
          <w:b/>
          <w:bCs/>
          <w:color w:val="000000"/>
          <w:sz w:val="22"/>
          <w:szCs w:val="22"/>
        </w:rPr>
      </w:pPr>
    </w:p>
    <w:p w:rsidR="00DD50EB" w:rsidRPr="00864A61" w:rsidRDefault="00DD50EB" w:rsidP="00DD50EB">
      <w:pPr>
        <w:tabs>
          <w:tab w:val="left" w:pos="709"/>
        </w:tabs>
        <w:jc w:val="both"/>
        <w:rPr>
          <w:rFonts w:eastAsia="MS Mincho" w:cs="Arial"/>
          <w:szCs w:val="20"/>
          <w:lang w:eastAsia="ja-JP" w:bidi="th-TH"/>
        </w:rPr>
      </w:pPr>
      <w:r>
        <w:rPr>
          <w:rFonts w:cs="Arial"/>
          <w:bCs/>
          <w:color w:val="000000"/>
          <w:szCs w:val="20"/>
        </w:rPr>
        <w:t>18.7.</w:t>
      </w:r>
      <w:r>
        <w:rPr>
          <w:rFonts w:cs="Arial"/>
          <w:bCs/>
          <w:color w:val="000000"/>
          <w:szCs w:val="20"/>
        </w:rPr>
        <w:tab/>
      </w:r>
      <w:r w:rsidRPr="00864A61">
        <w:rPr>
          <w:rFonts w:cs="Arial"/>
          <w:bCs/>
          <w:color w:val="000000"/>
          <w:szCs w:val="20"/>
        </w:rPr>
        <w:t xml:space="preserve">The design, planning and implementation of activities undertaken by Program 18 were guided by the relevant DA Recommendations.  The Program continued its implementation of the DA through contributing to public policy patent landscaping initiatives concerning health, climate change and food security in the context of the project on Developing Tools for Access to Patent information.  Both Phases I and II of this project were completed during the biennium, in 2012 and 2013 respectively, and an evaluation </w:t>
      </w:r>
      <w:r>
        <w:rPr>
          <w:rFonts w:cs="Arial"/>
          <w:bCs/>
          <w:color w:val="000000"/>
          <w:szCs w:val="20"/>
        </w:rPr>
        <w:t>of</w:t>
      </w:r>
      <w:r w:rsidRPr="00864A61">
        <w:rPr>
          <w:rFonts w:cs="Arial"/>
          <w:bCs/>
          <w:color w:val="000000"/>
          <w:szCs w:val="20"/>
        </w:rPr>
        <w:t xml:space="preserve"> Phase I was </w:t>
      </w:r>
      <w:r>
        <w:rPr>
          <w:rFonts w:cs="Arial"/>
          <w:bCs/>
          <w:color w:val="000000"/>
          <w:szCs w:val="20"/>
        </w:rPr>
        <w:t>undertaken</w:t>
      </w:r>
      <w:r w:rsidRPr="00864A61">
        <w:rPr>
          <w:rFonts w:cs="Arial"/>
          <w:bCs/>
          <w:color w:val="000000"/>
          <w:szCs w:val="20"/>
        </w:rPr>
        <w:t xml:space="preserve"> in 2012.  In addition, the Program was engaged in the implementation of the project on IP and Competition Policy. </w:t>
      </w:r>
      <w:r w:rsidR="009A3337">
        <w:rPr>
          <w:rFonts w:cs="Arial"/>
          <w:bCs/>
          <w:color w:val="000000"/>
          <w:szCs w:val="20"/>
        </w:rPr>
        <w:t xml:space="preserve"> </w:t>
      </w:r>
      <w:r w:rsidRPr="00864A61">
        <w:rPr>
          <w:rFonts w:cs="Arial"/>
          <w:bCs/>
          <w:color w:val="000000"/>
          <w:szCs w:val="20"/>
        </w:rPr>
        <w:t xml:space="preserve">This project was completed in 2012 and mainstreamed into the main work of the Program in 2013.  Under this project, the following studies were finalized and discussed in the CDIP: </w:t>
      </w:r>
      <w:r w:rsidR="009A3337">
        <w:rPr>
          <w:rFonts w:cs="Arial"/>
          <w:bCs/>
          <w:color w:val="000000"/>
          <w:szCs w:val="20"/>
        </w:rPr>
        <w:t xml:space="preserve"> </w:t>
      </w:r>
      <w:r w:rsidRPr="00864A61">
        <w:rPr>
          <w:rFonts w:cs="Arial"/>
          <w:bCs/>
          <w:color w:val="000000"/>
          <w:szCs w:val="20"/>
        </w:rPr>
        <w:t xml:space="preserve">Interaction of Agencies Dealing with Intellectual Property and Competition Law (CDIP/8/INF/4); </w:t>
      </w:r>
      <w:r w:rsidR="009A3337">
        <w:rPr>
          <w:rFonts w:cs="Arial"/>
          <w:bCs/>
          <w:color w:val="000000"/>
          <w:szCs w:val="20"/>
        </w:rPr>
        <w:t xml:space="preserve"> </w:t>
      </w:r>
      <w:r w:rsidRPr="00864A61">
        <w:rPr>
          <w:rFonts w:cs="Arial"/>
          <w:bCs/>
          <w:color w:val="000000"/>
          <w:szCs w:val="20"/>
        </w:rPr>
        <w:t xml:space="preserve">Interface Between Exhaustion of Intellectual Rights and Competition Law (CDIP/8/INF/5); </w:t>
      </w:r>
      <w:r w:rsidR="009A3337">
        <w:rPr>
          <w:rFonts w:cs="Arial"/>
          <w:bCs/>
          <w:color w:val="000000"/>
          <w:szCs w:val="20"/>
        </w:rPr>
        <w:t xml:space="preserve"> </w:t>
      </w:r>
      <w:r w:rsidRPr="00864A61">
        <w:rPr>
          <w:rFonts w:cs="Arial"/>
          <w:bCs/>
          <w:color w:val="000000"/>
          <w:szCs w:val="20"/>
        </w:rPr>
        <w:t xml:space="preserve">An Analysis of the Economic/Legal Literature on the Effects of IP Rights as a Barrier to Entry (CDIP/8/INF/6 Corr.); </w:t>
      </w:r>
      <w:r w:rsidR="009A3337">
        <w:rPr>
          <w:rFonts w:cs="Arial"/>
          <w:bCs/>
          <w:color w:val="000000"/>
          <w:szCs w:val="20"/>
        </w:rPr>
        <w:t xml:space="preserve"> </w:t>
      </w:r>
      <w:r w:rsidRPr="00864A61">
        <w:rPr>
          <w:rFonts w:cs="Arial"/>
          <w:bCs/>
          <w:color w:val="000000"/>
          <w:szCs w:val="20"/>
        </w:rPr>
        <w:t xml:space="preserve">and the Study on the Anti-Competitive Enforcement of  Intellectual Property Rights:  Sham Litigation (document CDIP/9/INF/6).  In addition, the Program </w:t>
      </w:r>
      <w:r>
        <w:rPr>
          <w:rFonts w:cs="Arial"/>
          <w:bCs/>
          <w:color w:val="000000"/>
          <w:szCs w:val="20"/>
        </w:rPr>
        <w:t>contributed to</w:t>
      </w:r>
      <w:r w:rsidRPr="00864A61">
        <w:rPr>
          <w:rFonts w:cs="Arial"/>
          <w:bCs/>
          <w:color w:val="000000"/>
          <w:szCs w:val="20"/>
        </w:rPr>
        <w:t xml:space="preserve"> the implementation of the following DA projects: </w:t>
      </w:r>
      <w:r w:rsidR="009A3337">
        <w:rPr>
          <w:rFonts w:cs="Arial"/>
          <w:bCs/>
          <w:color w:val="000000"/>
          <w:szCs w:val="20"/>
        </w:rPr>
        <w:t xml:space="preserve"> </w:t>
      </w:r>
      <w:r w:rsidRPr="00864A61">
        <w:rPr>
          <w:rFonts w:cs="Arial"/>
          <w:bCs/>
          <w:color w:val="000000"/>
          <w:szCs w:val="20"/>
        </w:rPr>
        <w:t>Intellectual Property and Technology Transfer:  Common Challenges– Building Solution</w:t>
      </w:r>
      <w:r>
        <w:rPr>
          <w:rFonts w:cs="Arial"/>
          <w:bCs/>
          <w:color w:val="000000"/>
          <w:szCs w:val="20"/>
        </w:rPr>
        <w:t>s</w:t>
      </w:r>
      <w:r w:rsidRPr="00864A61">
        <w:rPr>
          <w:rFonts w:cs="Arial"/>
          <w:bCs/>
          <w:color w:val="000000"/>
          <w:szCs w:val="20"/>
        </w:rPr>
        <w:t>; Open Collaborative Projects and IP-Based Models</w:t>
      </w:r>
      <w:proofErr w:type="gramStart"/>
      <w:r w:rsidRPr="00864A61">
        <w:rPr>
          <w:rFonts w:cs="Arial"/>
          <w:bCs/>
          <w:color w:val="000000"/>
          <w:szCs w:val="20"/>
        </w:rPr>
        <w:t xml:space="preserve">; </w:t>
      </w:r>
      <w:r w:rsidR="009A3337">
        <w:rPr>
          <w:rFonts w:cs="Arial"/>
          <w:bCs/>
          <w:color w:val="000000"/>
          <w:szCs w:val="20"/>
        </w:rPr>
        <w:t xml:space="preserve"> </w:t>
      </w:r>
      <w:r w:rsidRPr="00864A61">
        <w:rPr>
          <w:rFonts w:cs="Arial"/>
          <w:bCs/>
          <w:color w:val="000000"/>
          <w:szCs w:val="20"/>
        </w:rPr>
        <w:t>and</w:t>
      </w:r>
      <w:proofErr w:type="gramEnd"/>
      <w:r w:rsidRPr="00864A61">
        <w:rPr>
          <w:rFonts w:cs="Arial"/>
          <w:bCs/>
          <w:color w:val="000000"/>
          <w:szCs w:val="20"/>
        </w:rPr>
        <w:t xml:space="preserve"> Intellectual Property and Brain Drain.</w:t>
      </w:r>
    </w:p>
    <w:p w:rsidR="00DD50EB" w:rsidRPr="00B97A7D" w:rsidRDefault="00DD50EB" w:rsidP="00DD50EB">
      <w:pPr>
        <w:rPr>
          <w:rFonts w:eastAsia="MS Mincho" w:cs="Arial"/>
          <w:sz w:val="22"/>
          <w:szCs w:val="22"/>
          <w:lang w:eastAsia="ja-JP" w:bidi="th-TH"/>
        </w:rPr>
      </w:pPr>
    </w:p>
    <w:p w:rsidR="00DD50EB" w:rsidRPr="00B97A7D" w:rsidRDefault="00DD50EB" w:rsidP="00DD50EB">
      <w:pPr>
        <w:rPr>
          <w:rFonts w:eastAsia="MS Mincho" w:cs="Arial"/>
          <w:sz w:val="22"/>
          <w:szCs w:val="22"/>
          <w:lang w:eastAsia="ja-JP" w:bidi="th-TH"/>
        </w:rPr>
      </w:pPr>
    </w:p>
    <w:p w:rsidR="00DD50EB" w:rsidRPr="00B97A7D" w:rsidRDefault="00DD50EB" w:rsidP="00DD50EB">
      <w:pPr>
        <w:rPr>
          <w:rFonts w:cs="Arial"/>
          <w:sz w:val="22"/>
          <w:szCs w:val="22"/>
        </w:rPr>
      </w:pPr>
      <w:r w:rsidRPr="00B97A7D">
        <w:rPr>
          <w:rFonts w:cs="Arial"/>
          <w:sz w:val="22"/>
          <w:szCs w:val="22"/>
        </w:rPr>
        <w:t>PERFORMANCE DATA</w:t>
      </w:r>
    </w:p>
    <w:p w:rsidR="00DD50EB" w:rsidRPr="00B97A7D" w:rsidRDefault="00DD50EB" w:rsidP="00DD50EB">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12"/>
        <w:gridCol w:w="1695"/>
        <w:gridCol w:w="1372"/>
        <w:gridCol w:w="322"/>
        <w:gridCol w:w="3080"/>
        <w:gridCol w:w="1276"/>
      </w:tblGrid>
      <w:tr w:rsidR="00DD50EB" w:rsidRPr="000B3714" w:rsidTr="007C0423">
        <w:trPr>
          <w:cantSplit/>
        </w:trPr>
        <w:tc>
          <w:tcPr>
            <w:tcW w:w="5000" w:type="pct"/>
            <w:gridSpan w:val="6"/>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Enhanced understanding among policy makers on the interface between global challenges and innovation and intellectual property as a basis for improved policy decision making</w:t>
            </w:r>
          </w:p>
        </w:tc>
      </w:tr>
      <w:tr w:rsidR="00DD50EB" w:rsidRPr="000B3714" w:rsidTr="000B3714">
        <w:trPr>
          <w:cantSplit/>
        </w:trPr>
        <w:tc>
          <w:tcPr>
            <w:tcW w:w="861" w:type="pct"/>
            <w:tcBorders>
              <w:top w:val="single" w:sz="4" w:space="0" w:color="auto"/>
            </w:tcBorders>
            <w:shd w:val="clear" w:color="auto" w:fill="auto"/>
            <w:vAlign w:val="center"/>
          </w:tcPr>
          <w:p w:rsidR="00DD50EB" w:rsidRPr="000B3714" w:rsidRDefault="00DD50EB" w:rsidP="007C0423">
            <w:pPr>
              <w:rPr>
                <w:rFonts w:cs="Arial"/>
                <w:sz w:val="16"/>
                <w:szCs w:val="16"/>
              </w:rPr>
            </w:pPr>
            <w:r w:rsidRPr="000B3714">
              <w:rPr>
                <w:rFonts w:cs="Arial"/>
                <w:b/>
                <w:bCs/>
                <w:sz w:val="16"/>
                <w:szCs w:val="16"/>
              </w:rPr>
              <w:t>Performance Indicators</w:t>
            </w:r>
          </w:p>
        </w:tc>
        <w:tc>
          <w:tcPr>
            <w:tcW w:w="906" w:type="pct"/>
            <w:tcBorders>
              <w:top w:val="single" w:sz="4" w:space="0" w:color="auto"/>
            </w:tcBorders>
            <w:shd w:val="clear" w:color="auto" w:fill="auto"/>
            <w:vAlign w:val="center"/>
          </w:tcPr>
          <w:p w:rsidR="00DD50EB" w:rsidRPr="000B3714" w:rsidRDefault="00DD50EB" w:rsidP="007C0423">
            <w:pPr>
              <w:rPr>
                <w:rFonts w:cs="Arial"/>
                <w:b/>
                <w:bCs/>
                <w:sz w:val="16"/>
                <w:szCs w:val="16"/>
              </w:rPr>
            </w:pPr>
            <w:r w:rsidRPr="000B3714">
              <w:rPr>
                <w:rFonts w:cs="Arial"/>
                <w:b/>
                <w:bCs/>
                <w:sz w:val="16"/>
                <w:szCs w:val="16"/>
              </w:rPr>
              <w:t>Baselines</w:t>
            </w:r>
          </w:p>
        </w:tc>
        <w:tc>
          <w:tcPr>
            <w:tcW w:w="733" w:type="pct"/>
            <w:tcBorders>
              <w:top w:val="single" w:sz="4" w:space="0" w:color="auto"/>
            </w:tcBorders>
            <w:shd w:val="clear" w:color="auto" w:fill="auto"/>
            <w:tcMar>
              <w:top w:w="110" w:type="dxa"/>
            </w:tcMar>
            <w:vAlign w:val="center"/>
          </w:tcPr>
          <w:p w:rsidR="00DD50EB" w:rsidRPr="000B3714" w:rsidRDefault="00DD50EB" w:rsidP="007C0423">
            <w:pPr>
              <w:rPr>
                <w:rFonts w:cs="Arial"/>
                <w:b/>
                <w:sz w:val="16"/>
                <w:szCs w:val="16"/>
              </w:rPr>
            </w:pPr>
            <w:r w:rsidRPr="000B3714">
              <w:rPr>
                <w:rFonts w:cs="Arial"/>
                <w:b/>
                <w:sz w:val="16"/>
                <w:szCs w:val="16"/>
              </w:rPr>
              <w:t>Target</w:t>
            </w:r>
            <w:r w:rsidR="002F7D53" w:rsidRPr="000B3714">
              <w:rPr>
                <w:rFonts w:cs="Arial"/>
                <w:b/>
                <w:sz w:val="16"/>
                <w:szCs w:val="16"/>
              </w:rPr>
              <w:t>s</w:t>
            </w:r>
          </w:p>
        </w:tc>
        <w:tc>
          <w:tcPr>
            <w:tcW w:w="1818" w:type="pct"/>
            <w:gridSpan w:val="2"/>
            <w:tcBorders>
              <w:top w:val="single" w:sz="4" w:space="0" w:color="auto"/>
            </w:tcBorders>
            <w:shd w:val="clear" w:color="auto" w:fill="FFFFFF"/>
            <w:tcMar>
              <w:top w:w="110" w:type="dxa"/>
            </w:tcMar>
            <w:vAlign w:val="center"/>
          </w:tcPr>
          <w:p w:rsidR="00DD50EB" w:rsidRPr="000B3714" w:rsidRDefault="00DD50EB" w:rsidP="007C0423">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7C0423">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References to WIPO's work in the area of global challenges in other policy processes</w:t>
            </w:r>
          </w:p>
        </w:tc>
        <w:tc>
          <w:tcPr>
            <w:tcW w:w="906" w:type="pct"/>
            <w:shd w:val="clear" w:color="auto" w:fill="auto"/>
          </w:tcPr>
          <w:p w:rsidR="00DD50EB" w:rsidRPr="000B3714" w:rsidRDefault="00DD50EB" w:rsidP="007C0423">
            <w:pPr>
              <w:rPr>
                <w:rFonts w:cs="Arial"/>
                <w:bCs/>
                <w:color w:val="002060"/>
                <w:sz w:val="16"/>
                <w:szCs w:val="16"/>
              </w:rPr>
            </w:pPr>
            <w:r w:rsidRPr="000B3714">
              <w:rPr>
                <w:rFonts w:cs="Arial"/>
                <w:i/>
                <w:color w:val="002060"/>
                <w:sz w:val="16"/>
                <w:szCs w:val="16"/>
              </w:rPr>
              <w:t xml:space="preserve">Updated Baseline end 2011: </w:t>
            </w:r>
            <w:r w:rsidRPr="000B3714">
              <w:rPr>
                <w:rFonts w:cs="Arial"/>
                <w:bCs/>
                <w:color w:val="002060"/>
                <w:sz w:val="16"/>
                <w:szCs w:val="16"/>
              </w:rPr>
              <w:t>References from Member States in WIPO meetings (such as the General Assemblies, the CDIP or the SCP), the WHO Executive Board, the World Health Assembly and the WTO TRIPS Council</w:t>
            </w:r>
          </w:p>
          <w:p w:rsidR="00DD50EB" w:rsidRPr="009A3337" w:rsidRDefault="00DD50EB" w:rsidP="007C0423">
            <w:pPr>
              <w:rPr>
                <w:rFonts w:cs="Arial"/>
                <w:i/>
                <w:sz w:val="8"/>
                <w:szCs w:val="8"/>
              </w:rPr>
            </w:pPr>
          </w:p>
          <w:p w:rsidR="00DD50EB" w:rsidRPr="000B3714" w:rsidRDefault="00DD50EB" w:rsidP="007C0423">
            <w:pPr>
              <w:rPr>
                <w:rFonts w:cs="Arial"/>
                <w:sz w:val="16"/>
                <w:szCs w:val="16"/>
              </w:rPr>
            </w:pPr>
            <w:r w:rsidRPr="000B3714">
              <w:rPr>
                <w:rFonts w:cs="Arial"/>
                <w:i/>
                <w:sz w:val="16"/>
                <w:szCs w:val="16"/>
              </w:rPr>
              <w:t>Original Baseline P&amp;B 2012/13:</w:t>
            </w:r>
            <w:r w:rsidRPr="000B3714">
              <w:rPr>
                <w:rFonts w:cs="Arial"/>
                <w:sz w:val="16"/>
                <w:szCs w:val="16"/>
              </w:rPr>
              <w:br/>
              <w:t>Tbd</w:t>
            </w:r>
          </w:p>
        </w:tc>
        <w:tc>
          <w:tcPr>
            <w:tcW w:w="733" w:type="pct"/>
            <w:shd w:val="clear" w:color="auto" w:fill="auto"/>
            <w:tcMar>
              <w:top w:w="110" w:type="dxa"/>
            </w:tcMar>
          </w:tcPr>
          <w:p w:rsidR="00DD50EB" w:rsidRPr="000B3714" w:rsidRDefault="00DD50EB" w:rsidP="000B3714">
            <w:pPr>
              <w:autoSpaceDE w:val="0"/>
              <w:autoSpaceDN w:val="0"/>
              <w:adjustRightInd w:val="0"/>
              <w:rPr>
                <w:rFonts w:cs="Arial"/>
                <w:sz w:val="16"/>
                <w:szCs w:val="16"/>
              </w:rPr>
            </w:pPr>
            <w:r w:rsidRPr="000B3714">
              <w:rPr>
                <w:rFonts w:cs="Arial"/>
                <w:sz w:val="16"/>
                <w:szCs w:val="16"/>
              </w:rPr>
              <w:t>References in all</w:t>
            </w:r>
            <w:r w:rsidR="000B3714">
              <w:rPr>
                <w:rFonts w:cs="Arial"/>
                <w:sz w:val="16"/>
                <w:szCs w:val="16"/>
              </w:rPr>
              <w:t xml:space="preserve"> </w:t>
            </w:r>
            <w:r w:rsidRPr="000B3714">
              <w:rPr>
                <w:rFonts w:cs="Arial"/>
                <w:sz w:val="16"/>
                <w:szCs w:val="16"/>
              </w:rPr>
              <w:t>processes</w:t>
            </w:r>
          </w:p>
        </w:tc>
        <w:tc>
          <w:tcPr>
            <w:tcW w:w="1818" w:type="pct"/>
            <w:gridSpan w:val="2"/>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Delegates in key policy fora such as the WIPO SCP, CDIP, HLCP, UNFCCC, TEC and the WIPO General Assemblies, as well as the WHO Executive Board, the World Health Assembly, and the WTO Council for TRIPS have expressed their continued support for WIPO’s work on IP and Global Challenges.  WIPO is part of the UN System High Level Committee on Programmes (HLCP) Working Group on Climate Change with WIPO GREEN being the central focus.</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683D81">
              <w:rPr>
                <w:rStyle w:val="Style5"/>
                <w:rFonts w:ascii="Arial" w:hAnsi="Arial" w:cs="Arial"/>
                <w:sz w:val="16"/>
                <w:szCs w:val="16"/>
              </w:rPr>
              <w:t xml:space="preserve"> </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Increased use of material from the Global Challenges website</w:t>
            </w:r>
          </w:p>
        </w:tc>
        <w:tc>
          <w:tcPr>
            <w:tcW w:w="906" w:type="pct"/>
            <w:shd w:val="clear" w:color="auto" w:fill="auto"/>
          </w:tcPr>
          <w:p w:rsidR="00DD50EB" w:rsidRPr="000B3714" w:rsidRDefault="00DD50EB" w:rsidP="009A3337">
            <w:pPr>
              <w:rPr>
                <w:rFonts w:cs="Arial"/>
                <w:sz w:val="16"/>
                <w:szCs w:val="16"/>
              </w:rPr>
            </w:pPr>
            <w:r w:rsidRPr="000B3714">
              <w:rPr>
                <w:rFonts w:cs="Arial"/>
                <w:sz w:val="16"/>
                <w:szCs w:val="16"/>
              </w:rPr>
              <w:t>No. of downloads (0</w:t>
            </w:r>
            <w:r w:rsidR="009A3337">
              <w:rPr>
                <w:rFonts w:cs="Arial"/>
                <w:sz w:val="16"/>
                <w:szCs w:val="16"/>
              </w:rPr>
              <w:t> </w:t>
            </w:r>
            <w:r w:rsidRPr="000B3714">
              <w:rPr>
                <w:rFonts w:cs="Arial"/>
                <w:sz w:val="16"/>
                <w:szCs w:val="16"/>
              </w:rPr>
              <w:t>as website launched in early 2012)</w:t>
            </w:r>
          </w:p>
        </w:tc>
        <w:tc>
          <w:tcPr>
            <w:tcW w:w="733" w:type="pct"/>
            <w:shd w:val="clear" w:color="auto" w:fill="auto"/>
            <w:tcMar>
              <w:top w:w="110" w:type="dxa"/>
            </w:tcMar>
          </w:tcPr>
          <w:p w:rsidR="00DD50EB" w:rsidRPr="000B3714" w:rsidRDefault="00DD50EB" w:rsidP="007C0423">
            <w:pPr>
              <w:rPr>
                <w:rFonts w:cs="Arial"/>
                <w:i/>
                <w:sz w:val="16"/>
                <w:szCs w:val="16"/>
              </w:rPr>
            </w:pPr>
            <w:r w:rsidRPr="000B3714">
              <w:rPr>
                <w:rFonts w:cs="Arial"/>
                <w:sz w:val="16"/>
                <w:szCs w:val="16"/>
              </w:rPr>
              <w:t>50% increase</w:t>
            </w:r>
            <w:r w:rsidRPr="000B3714" w:rsidDel="00683D81">
              <w:rPr>
                <w:rFonts w:cs="Arial"/>
                <w:sz w:val="16"/>
                <w:szCs w:val="16"/>
                <w:lang w:bidi="th-TH"/>
              </w:rPr>
              <w:t xml:space="preserve"> </w:t>
            </w:r>
          </w:p>
        </w:tc>
        <w:tc>
          <w:tcPr>
            <w:tcW w:w="1818" w:type="pct"/>
            <w:gridSpan w:val="2"/>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6,476 page views (GCD)</w:t>
            </w:r>
          </w:p>
          <w:p w:rsidR="00DD50EB" w:rsidRPr="000B3714" w:rsidRDefault="00DD50EB" w:rsidP="007C0423">
            <w:pPr>
              <w:rPr>
                <w:rFonts w:cs="Arial"/>
                <w:sz w:val="16"/>
                <w:szCs w:val="16"/>
                <w:lang w:bidi="th-TH"/>
              </w:rPr>
            </w:pPr>
            <w:r w:rsidRPr="000B3714">
              <w:rPr>
                <w:rFonts w:cs="Arial"/>
                <w:sz w:val="16"/>
                <w:szCs w:val="16"/>
                <w:lang w:bidi="th-TH"/>
              </w:rPr>
              <w:t>3,773 downloads of pdf files</w:t>
            </w:r>
          </w:p>
          <w:p w:rsidR="00DD50EB" w:rsidRPr="000B3714" w:rsidRDefault="00DD50EB" w:rsidP="007C0423">
            <w:pPr>
              <w:rPr>
                <w:rFonts w:cs="Arial"/>
                <w:sz w:val="16"/>
                <w:szCs w:val="16"/>
                <w:lang w:bidi="th-TH"/>
              </w:rPr>
            </w:pPr>
            <w:r w:rsidRPr="000B3714">
              <w:rPr>
                <w:rFonts w:cs="Arial"/>
                <w:sz w:val="16"/>
                <w:szCs w:val="16"/>
                <w:lang w:bidi="th-TH"/>
              </w:rPr>
              <w:t>73,648 page views of WIPO GREEN</w:t>
            </w:r>
          </w:p>
          <w:p w:rsidR="00DD50EB" w:rsidRPr="000B3714" w:rsidRDefault="00DD50EB" w:rsidP="007C0423">
            <w:pPr>
              <w:rPr>
                <w:rFonts w:cs="Arial"/>
                <w:sz w:val="16"/>
                <w:szCs w:val="16"/>
                <w:lang w:bidi="th-TH"/>
              </w:rPr>
            </w:pPr>
            <w:r w:rsidRPr="000B3714">
              <w:rPr>
                <w:rFonts w:cs="Arial"/>
                <w:sz w:val="16"/>
                <w:szCs w:val="16"/>
                <w:lang w:bidi="th-TH"/>
              </w:rPr>
              <w:t>60,712 page views of WIPO Re:Search</w:t>
            </w:r>
          </w:p>
          <w:p w:rsidR="00DD50EB" w:rsidRPr="000B3714" w:rsidRDefault="00DD50EB" w:rsidP="007C0423">
            <w:pPr>
              <w:rPr>
                <w:rFonts w:cs="Arial"/>
                <w:sz w:val="16"/>
                <w:szCs w:val="16"/>
              </w:rPr>
            </w:pP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683D81">
              <w:rPr>
                <w:rStyle w:val="Style5"/>
                <w:rFonts w:ascii="Arial" w:hAnsi="Arial" w:cs="Arial"/>
                <w:sz w:val="16"/>
                <w:szCs w:val="16"/>
              </w:rPr>
              <w:t xml:space="preserve"> </w:t>
            </w:r>
          </w:p>
        </w:tc>
      </w:tr>
      <w:tr w:rsidR="00DD50EB" w:rsidRPr="000B3714" w:rsidTr="000B3714">
        <w:trPr>
          <w:cantSplit/>
        </w:trPr>
        <w:tc>
          <w:tcPr>
            <w:tcW w:w="861"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lastRenderedPageBreak/>
              <w:t>Feedback from participants in policy fora</w:t>
            </w:r>
          </w:p>
        </w:tc>
        <w:tc>
          <w:tcPr>
            <w:tcW w:w="906"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Positive feedback from key participants</w:t>
            </w:r>
          </w:p>
        </w:tc>
        <w:tc>
          <w:tcPr>
            <w:tcW w:w="733" w:type="pct"/>
            <w:tcBorders>
              <w:bottom w:val="single" w:sz="4" w:space="0" w:color="auto"/>
            </w:tcBorders>
            <w:shd w:val="clear" w:color="auto" w:fill="auto"/>
            <w:tcMar>
              <w:top w:w="110" w:type="dxa"/>
            </w:tcMar>
          </w:tcPr>
          <w:p w:rsidR="00DD50EB" w:rsidRPr="009A3337" w:rsidRDefault="00DD50EB" w:rsidP="009A3337">
            <w:pPr>
              <w:autoSpaceDE w:val="0"/>
              <w:autoSpaceDN w:val="0"/>
              <w:adjustRightInd w:val="0"/>
              <w:rPr>
                <w:rFonts w:cs="Arial"/>
                <w:sz w:val="16"/>
                <w:szCs w:val="16"/>
              </w:rPr>
            </w:pPr>
            <w:r w:rsidRPr="000B3714">
              <w:rPr>
                <w:rFonts w:cs="Arial"/>
                <w:sz w:val="16"/>
                <w:szCs w:val="16"/>
              </w:rPr>
              <w:t>Sustained positive</w:t>
            </w:r>
            <w:r w:rsidR="009A3337">
              <w:rPr>
                <w:rFonts w:cs="Arial"/>
                <w:sz w:val="16"/>
                <w:szCs w:val="16"/>
              </w:rPr>
              <w:t xml:space="preserve"> </w:t>
            </w:r>
            <w:r w:rsidRPr="000B3714">
              <w:rPr>
                <w:rFonts w:cs="Arial"/>
                <w:sz w:val="16"/>
                <w:szCs w:val="16"/>
              </w:rPr>
              <w:t>feedback from key</w:t>
            </w:r>
            <w:r w:rsidR="009A3337">
              <w:rPr>
                <w:rFonts w:cs="Arial"/>
                <w:sz w:val="16"/>
                <w:szCs w:val="16"/>
              </w:rPr>
              <w:t xml:space="preserve"> </w:t>
            </w:r>
            <w:r w:rsidRPr="000B3714">
              <w:rPr>
                <w:rFonts w:cs="Arial"/>
                <w:sz w:val="16"/>
                <w:szCs w:val="16"/>
              </w:rPr>
              <w:t>participants</w:t>
            </w:r>
          </w:p>
        </w:tc>
        <w:tc>
          <w:tcPr>
            <w:tcW w:w="1818" w:type="pct"/>
            <w:gridSpan w:val="2"/>
            <w:tcBorders>
              <w:bottom w:val="single" w:sz="4" w:space="0" w:color="auto"/>
            </w:tcBorders>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Positive feedback was received by participants on the launch of WIPO GREEN and Advisory Board meeting (November</w:t>
            </w:r>
            <w:r w:rsidR="009A3337">
              <w:rPr>
                <w:rFonts w:cs="Arial"/>
                <w:sz w:val="16"/>
                <w:szCs w:val="16"/>
                <w:lang w:bidi="th-TH"/>
              </w:rPr>
              <w:t> </w:t>
            </w:r>
            <w:r w:rsidRPr="000B3714">
              <w:rPr>
                <w:rFonts w:cs="Arial"/>
                <w:sz w:val="16"/>
                <w:szCs w:val="16"/>
                <w:lang w:bidi="th-TH"/>
              </w:rPr>
              <w:t xml:space="preserve">2013). </w:t>
            </w:r>
          </w:p>
          <w:p w:rsidR="00DD50EB" w:rsidRPr="000B3714"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Positive feedback was also received from the majority of participants in three workshops (Brazil, Thailand and Sri Lanka) and four side events at international conferences.</w:t>
            </w:r>
          </w:p>
          <w:p w:rsidR="00DD50EB" w:rsidRPr="000B3714"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Positive verbal and email feedback was received from participants at the WIPO / WHO / WTO technical symposium organized in July 2013.</w:t>
            </w:r>
          </w:p>
          <w:p w:rsidR="00DD50EB" w:rsidRPr="000B3714" w:rsidRDefault="00DD50EB" w:rsidP="007C0423">
            <w:pPr>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683D81">
              <w:rPr>
                <w:rStyle w:val="Style5"/>
                <w:rFonts w:ascii="Arial" w:hAnsi="Arial" w:cs="Arial"/>
                <w:sz w:val="16"/>
                <w:szCs w:val="16"/>
              </w:rPr>
              <w:t xml:space="preserve"> </w:t>
            </w:r>
          </w:p>
        </w:tc>
      </w:tr>
      <w:tr w:rsidR="00DD50EB" w:rsidRPr="000B3714" w:rsidTr="007C0423">
        <w:trPr>
          <w:cantSplit/>
        </w:trPr>
        <w:tc>
          <w:tcPr>
            <w:tcW w:w="5000" w:type="pct"/>
            <w:gridSpan w:val="6"/>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WIPO established as a credible source of  support, assistance, and reference for information on innovation and IP in relevant public policy processes</w:t>
            </w:r>
          </w:p>
        </w:tc>
      </w:tr>
      <w:tr w:rsidR="00DD50EB" w:rsidRPr="000B3714" w:rsidTr="000B3714">
        <w:trPr>
          <w:cantSplit/>
        </w:trPr>
        <w:tc>
          <w:tcPr>
            <w:tcW w:w="861" w:type="pct"/>
            <w:tcBorders>
              <w:top w:val="single" w:sz="4" w:space="0" w:color="auto"/>
            </w:tcBorders>
            <w:shd w:val="clear" w:color="auto" w:fill="auto"/>
            <w:vAlign w:val="center"/>
          </w:tcPr>
          <w:p w:rsidR="00DD50EB" w:rsidRPr="000B3714" w:rsidRDefault="00DD50EB" w:rsidP="007C0423">
            <w:pPr>
              <w:rPr>
                <w:rFonts w:cs="Arial"/>
                <w:sz w:val="16"/>
                <w:szCs w:val="16"/>
              </w:rPr>
            </w:pPr>
            <w:r w:rsidRPr="000B3714">
              <w:rPr>
                <w:rFonts w:cs="Arial"/>
                <w:b/>
                <w:bCs/>
                <w:sz w:val="16"/>
                <w:szCs w:val="16"/>
              </w:rPr>
              <w:t>Performance Indicators</w:t>
            </w:r>
          </w:p>
        </w:tc>
        <w:tc>
          <w:tcPr>
            <w:tcW w:w="906" w:type="pct"/>
            <w:tcBorders>
              <w:top w:val="single" w:sz="4" w:space="0" w:color="auto"/>
            </w:tcBorders>
            <w:shd w:val="clear" w:color="auto" w:fill="auto"/>
            <w:vAlign w:val="center"/>
          </w:tcPr>
          <w:p w:rsidR="00DD50EB" w:rsidRPr="000B3714" w:rsidRDefault="00DD50EB" w:rsidP="007C0423">
            <w:pPr>
              <w:rPr>
                <w:rFonts w:cs="Arial"/>
                <w:b/>
                <w:bCs/>
                <w:sz w:val="16"/>
                <w:szCs w:val="16"/>
              </w:rPr>
            </w:pPr>
            <w:r w:rsidRPr="000B3714">
              <w:rPr>
                <w:rFonts w:cs="Arial"/>
                <w:b/>
                <w:bCs/>
                <w:sz w:val="16"/>
                <w:szCs w:val="16"/>
              </w:rPr>
              <w:t>Baselines</w:t>
            </w:r>
          </w:p>
        </w:tc>
        <w:tc>
          <w:tcPr>
            <w:tcW w:w="733" w:type="pct"/>
            <w:tcBorders>
              <w:top w:val="single" w:sz="4" w:space="0" w:color="auto"/>
            </w:tcBorders>
            <w:shd w:val="clear" w:color="auto" w:fill="auto"/>
            <w:tcMar>
              <w:top w:w="110" w:type="dxa"/>
            </w:tcMar>
            <w:vAlign w:val="center"/>
          </w:tcPr>
          <w:p w:rsidR="00DD50EB" w:rsidRPr="000B3714" w:rsidRDefault="00DD50EB" w:rsidP="007C0423">
            <w:pPr>
              <w:rPr>
                <w:rFonts w:cs="Arial"/>
                <w:b/>
                <w:sz w:val="16"/>
                <w:szCs w:val="16"/>
              </w:rPr>
            </w:pPr>
            <w:r w:rsidRPr="000B3714">
              <w:rPr>
                <w:rFonts w:cs="Arial"/>
                <w:b/>
                <w:sz w:val="16"/>
                <w:szCs w:val="16"/>
              </w:rPr>
              <w:t>Target</w:t>
            </w:r>
            <w:r w:rsidR="002F7D53" w:rsidRPr="000B3714">
              <w:rPr>
                <w:rFonts w:cs="Arial"/>
                <w:b/>
                <w:sz w:val="16"/>
                <w:szCs w:val="16"/>
              </w:rPr>
              <w:t>s</w:t>
            </w:r>
          </w:p>
        </w:tc>
        <w:tc>
          <w:tcPr>
            <w:tcW w:w="1818" w:type="pct"/>
            <w:gridSpan w:val="2"/>
            <w:tcBorders>
              <w:top w:val="single" w:sz="4" w:space="0" w:color="auto"/>
            </w:tcBorders>
            <w:shd w:val="clear" w:color="auto" w:fill="FFFFFF"/>
            <w:tcMar>
              <w:top w:w="110" w:type="dxa"/>
            </w:tcMar>
            <w:vAlign w:val="center"/>
          </w:tcPr>
          <w:p w:rsidR="00DD50EB" w:rsidRPr="000B3714" w:rsidRDefault="00DD50EB" w:rsidP="007C0423">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7C0423">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1"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No. and diversity of specific requests from Member States and international organizations for WIPO contributions on IP in relation to global public policy issues</w:t>
            </w:r>
          </w:p>
        </w:tc>
        <w:tc>
          <w:tcPr>
            <w:tcW w:w="906"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One formal request (WHO)</w:t>
            </w:r>
          </w:p>
        </w:tc>
        <w:tc>
          <w:tcPr>
            <w:tcW w:w="733" w:type="pct"/>
            <w:tcBorders>
              <w:bottom w:val="single" w:sz="4" w:space="0" w:color="auto"/>
            </w:tcBorders>
            <w:shd w:val="clear" w:color="auto" w:fill="auto"/>
            <w:tcMar>
              <w:top w:w="110" w:type="dxa"/>
            </w:tcMar>
          </w:tcPr>
          <w:p w:rsidR="00DD50EB" w:rsidRPr="000B3714" w:rsidRDefault="00DD50EB" w:rsidP="007C0423">
            <w:pPr>
              <w:rPr>
                <w:rFonts w:cs="Arial"/>
                <w:i/>
                <w:sz w:val="16"/>
                <w:szCs w:val="16"/>
              </w:rPr>
            </w:pPr>
            <w:r w:rsidRPr="000B3714">
              <w:rPr>
                <w:rFonts w:cs="Arial"/>
                <w:sz w:val="16"/>
                <w:szCs w:val="16"/>
              </w:rPr>
              <w:t>One-two requests per year</w:t>
            </w:r>
            <w:r w:rsidRPr="000B3714" w:rsidDel="00FF2AD6">
              <w:rPr>
                <w:rFonts w:cs="Arial"/>
                <w:sz w:val="16"/>
                <w:szCs w:val="16"/>
                <w:lang w:bidi="th-TH"/>
              </w:rPr>
              <w:t xml:space="preserve"> </w:t>
            </w:r>
          </w:p>
        </w:tc>
        <w:tc>
          <w:tcPr>
            <w:tcW w:w="1818" w:type="pct"/>
            <w:gridSpan w:val="2"/>
            <w:tcBorders>
              <w:bottom w:val="single" w:sz="4" w:space="0" w:color="auto"/>
            </w:tcBorders>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 xml:space="preserve">A joint event was organized with the World Bank’s </w:t>
            </w:r>
            <w:r w:rsidRPr="000B3714">
              <w:rPr>
                <w:rFonts w:cs="Arial"/>
                <w:i/>
                <w:sz w:val="16"/>
                <w:szCs w:val="16"/>
                <w:lang w:bidi="th-TH"/>
              </w:rPr>
              <w:t>info</w:t>
            </w:r>
            <w:r w:rsidRPr="000B3714">
              <w:rPr>
                <w:rFonts w:cs="Arial"/>
                <w:sz w:val="16"/>
                <w:szCs w:val="16"/>
                <w:lang w:bidi="th-TH"/>
              </w:rPr>
              <w:t xml:space="preserve">Dev initiative and the Kenya Climate Innovation Center (KCIC), at the request of KCIC.  This included a WIPO training program on technology licensing. </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Two presentations were given in the China International Small and Medium Enterprise Fair (CISMEF), Guangzhou, China</w:t>
            </w:r>
            <w:r w:rsidRPr="000B3714" w:rsidDel="00DA313D">
              <w:rPr>
                <w:rFonts w:cs="Arial"/>
                <w:sz w:val="16"/>
                <w:szCs w:val="16"/>
                <w:lang w:bidi="th-TH"/>
              </w:rPr>
              <w:t xml:space="preserve"> </w:t>
            </w:r>
            <w:r w:rsidRPr="000B3714">
              <w:rPr>
                <w:rFonts w:cs="Arial"/>
                <w:sz w:val="16"/>
                <w:szCs w:val="16"/>
                <w:lang w:bidi="th-TH"/>
              </w:rPr>
              <w:t>and the Global South-</w:t>
            </w:r>
            <w:r w:rsidR="009A3337">
              <w:rPr>
                <w:rFonts w:cs="Arial"/>
                <w:sz w:val="16"/>
                <w:szCs w:val="16"/>
                <w:lang w:bidi="th-TH"/>
              </w:rPr>
              <w:t>S</w:t>
            </w:r>
            <w:r w:rsidRPr="000B3714">
              <w:rPr>
                <w:rFonts w:cs="Arial"/>
                <w:sz w:val="16"/>
                <w:szCs w:val="16"/>
                <w:lang w:bidi="th-TH"/>
              </w:rPr>
              <w:t xml:space="preserve">outh Development Expo in Nairobi at the request of the South-South Global Assets and Technology Exchange (SS-GATE), an initiative of UNDP. </w:t>
            </w:r>
            <w:r w:rsidR="009A3337">
              <w:rPr>
                <w:rFonts w:cs="Arial"/>
                <w:sz w:val="16"/>
                <w:szCs w:val="16"/>
                <w:lang w:bidi="th-TH"/>
              </w:rPr>
              <w:t xml:space="preserve"> </w:t>
            </w:r>
            <w:r w:rsidR="009A3337" w:rsidRPr="000B3714">
              <w:rPr>
                <w:rFonts w:cs="Arial"/>
                <w:sz w:val="16"/>
                <w:szCs w:val="16"/>
                <w:lang w:bidi="th-TH"/>
              </w:rPr>
              <w:t>A</w:t>
            </w:r>
            <w:r w:rsidR="009A3337">
              <w:rPr>
                <w:rFonts w:cs="Arial"/>
                <w:sz w:val="16"/>
                <w:szCs w:val="16"/>
                <w:lang w:bidi="th-TH"/>
              </w:rPr>
              <w:t> </w:t>
            </w:r>
            <w:r w:rsidRPr="000B3714">
              <w:rPr>
                <w:rFonts w:cs="Arial"/>
                <w:sz w:val="16"/>
                <w:szCs w:val="16"/>
                <w:lang w:bidi="th-TH"/>
              </w:rPr>
              <w:t>presentation was given in Belgrade at the request of the Regional Environmental Center for Central and Eastern Europe.</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National events were organized in Thailand and Brazil upon request from the respective countries and in collaboration with </w:t>
            </w:r>
            <w:r w:rsidR="009A3337" w:rsidRPr="000B3714">
              <w:rPr>
                <w:rFonts w:cs="Arial"/>
                <w:sz w:val="16"/>
                <w:szCs w:val="16"/>
                <w:lang w:bidi="th-TH"/>
              </w:rPr>
              <w:t>Program</w:t>
            </w:r>
            <w:r w:rsidR="009A3337">
              <w:rPr>
                <w:rFonts w:cs="Arial"/>
                <w:sz w:val="16"/>
                <w:szCs w:val="16"/>
                <w:lang w:bidi="th-TH"/>
              </w:rPr>
              <w:t> </w:t>
            </w:r>
            <w:r w:rsidRPr="000B3714">
              <w:rPr>
                <w:rFonts w:cs="Arial"/>
                <w:sz w:val="16"/>
                <w:szCs w:val="16"/>
                <w:lang w:bidi="th-TH"/>
              </w:rPr>
              <w:t>9.</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Upon continued requests from the WIPO Academy, WTO, Geneva University and the Graduate Institute of International and Development Studies, the Program participated in a number of training activities on IP and Climate Change.</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In cooperation with the African Network for Drug and Diagnostics Innovation (ANDI) and pursuant to the MoU, an IP training seminar was organized for ANDI members in Geneva in November 2012.</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In cooperation with WTO and WHO, a joint technical symposium was convened in </w:t>
            </w:r>
            <w:r w:rsidR="009A3337" w:rsidRPr="000B3714">
              <w:rPr>
                <w:rFonts w:cs="Arial"/>
                <w:sz w:val="16"/>
                <w:szCs w:val="16"/>
                <w:lang w:bidi="th-TH"/>
              </w:rPr>
              <w:t>July</w:t>
            </w:r>
            <w:r w:rsidR="009A3337">
              <w:rPr>
                <w:rFonts w:cs="Arial"/>
                <w:sz w:val="16"/>
                <w:szCs w:val="16"/>
                <w:lang w:bidi="th-TH"/>
              </w:rPr>
              <w:t> </w:t>
            </w:r>
            <w:r w:rsidRPr="000B3714">
              <w:rPr>
                <w:rFonts w:cs="Arial"/>
                <w:sz w:val="16"/>
                <w:szCs w:val="16"/>
                <w:lang w:bidi="th-TH"/>
              </w:rPr>
              <w:t>2013 on the topic of the changing business models of medical innovation.</w:t>
            </w:r>
          </w:p>
          <w:p w:rsidR="00DD50EB" w:rsidRPr="009A3337"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In cooperation with WTO and WHO, a trilateral study titled </w:t>
            </w:r>
            <w:r w:rsidRPr="000B3714">
              <w:rPr>
                <w:rFonts w:cs="Arial"/>
                <w:i/>
                <w:sz w:val="16"/>
                <w:szCs w:val="16"/>
              </w:rPr>
              <w:t>Promoting Access to Medical Technologies and Innovation – Intersections between public health, intellectual property and trade</w:t>
            </w:r>
            <w:r w:rsidRPr="000B3714">
              <w:rPr>
                <w:rStyle w:val="FootnoteReference"/>
                <w:rFonts w:cs="Arial"/>
                <w:i/>
                <w:sz w:val="16"/>
                <w:szCs w:val="16"/>
              </w:rPr>
              <w:footnoteReference w:id="36"/>
            </w:r>
            <w:r w:rsidRPr="000B3714">
              <w:rPr>
                <w:rFonts w:cs="Arial"/>
                <w:sz w:val="16"/>
                <w:szCs w:val="16"/>
                <w:lang w:bidi="th-TH"/>
              </w:rPr>
              <w:t xml:space="preserve"> was published in January 2013</w:t>
            </w:r>
            <w:r w:rsidRPr="000B3714">
              <w:rPr>
                <w:rFonts w:cs="Arial"/>
                <w:sz w:val="16"/>
                <w:szCs w:val="16"/>
              </w:rPr>
              <w:t>.</w:t>
            </w:r>
            <w:r w:rsidRPr="000B3714">
              <w:rPr>
                <w:rFonts w:cs="Arial"/>
                <w:i/>
                <w:sz w:val="16"/>
                <w:szCs w:val="16"/>
              </w:rPr>
              <w:t xml:space="preserve"> </w:t>
            </w:r>
          </w:p>
          <w:p w:rsidR="00DD50EB" w:rsidRPr="000B3714" w:rsidRDefault="00DD50EB" w:rsidP="007C0423">
            <w:pPr>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683D81">
              <w:rPr>
                <w:rStyle w:val="Style5"/>
                <w:rFonts w:ascii="Arial" w:hAnsi="Arial" w:cs="Arial"/>
                <w:sz w:val="16"/>
                <w:szCs w:val="16"/>
              </w:rPr>
              <w:t xml:space="preserve"> </w:t>
            </w:r>
          </w:p>
        </w:tc>
      </w:tr>
      <w:tr w:rsidR="00DD50EB" w:rsidRPr="000B3714" w:rsidTr="007C0423">
        <w:trPr>
          <w:cantSplit/>
        </w:trPr>
        <w:tc>
          <w:tcPr>
            <w:tcW w:w="5000" w:type="pct"/>
            <w:gridSpan w:val="6"/>
            <w:tcBorders>
              <w:top w:val="single" w:sz="4" w:space="0" w:color="auto"/>
              <w:bottom w:val="single" w:sz="4" w:space="0" w:color="auto"/>
            </w:tcBorders>
            <w:shd w:val="clear" w:color="auto" w:fill="CCFFFF"/>
            <w:vAlign w:val="center"/>
          </w:tcPr>
          <w:p w:rsidR="00DD50EB" w:rsidRPr="000B3714" w:rsidRDefault="00DD50EB" w:rsidP="00DD50EB">
            <w:pPr>
              <w:keepNext/>
              <w:keepLines/>
              <w:tabs>
                <w:tab w:val="left" w:pos="1452"/>
              </w:tabs>
              <w:spacing w:before="120" w:after="120"/>
              <w:ind w:left="1452" w:hanging="1452"/>
              <w:rPr>
                <w:rFonts w:cs="Arial"/>
                <w:b/>
                <w:bCs/>
                <w:sz w:val="16"/>
                <w:szCs w:val="16"/>
              </w:rPr>
            </w:pPr>
            <w:r w:rsidRPr="000B3714">
              <w:rPr>
                <w:rFonts w:cs="Arial"/>
                <w:b/>
                <w:bCs/>
                <w:sz w:val="16"/>
                <w:szCs w:val="16"/>
              </w:rPr>
              <w:lastRenderedPageBreak/>
              <w:t>Expected Result:</w:t>
            </w:r>
            <w:r w:rsidRPr="000B3714">
              <w:rPr>
                <w:rFonts w:cs="Arial"/>
                <w:b/>
                <w:bCs/>
                <w:sz w:val="16"/>
                <w:szCs w:val="16"/>
              </w:rPr>
              <w:tab/>
            </w:r>
            <w:r w:rsidRPr="000B3714">
              <w:rPr>
                <w:rFonts w:cs="Arial"/>
                <w:sz w:val="16"/>
                <w:szCs w:val="16"/>
              </w:rPr>
              <w:t>IP-based tools are used for technology transfer from developed to developing countries, particularly least developed countries, to address global challenges</w:t>
            </w:r>
          </w:p>
        </w:tc>
      </w:tr>
      <w:tr w:rsidR="00DD50EB" w:rsidRPr="000B3714" w:rsidTr="000B3714">
        <w:trPr>
          <w:cantSplit/>
        </w:trPr>
        <w:tc>
          <w:tcPr>
            <w:tcW w:w="861" w:type="pct"/>
            <w:tcBorders>
              <w:top w:val="single" w:sz="4" w:space="0" w:color="auto"/>
            </w:tcBorders>
            <w:shd w:val="clear" w:color="auto" w:fill="auto"/>
            <w:vAlign w:val="center"/>
          </w:tcPr>
          <w:p w:rsidR="00DD50EB" w:rsidRPr="000B3714" w:rsidRDefault="00DD50EB" w:rsidP="00DD50EB">
            <w:pPr>
              <w:keepNext/>
              <w:keepLines/>
              <w:rPr>
                <w:rFonts w:cs="Arial"/>
                <w:sz w:val="16"/>
                <w:szCs w:val="16"/>
              </w:rPr>
            </w:pPr>
            <w:r w:rsidRPr="000B3714">
              <w:rPr>
                <w:rFonts w:cs="Arial"/>
                <w:b/>
                <w:bCs/>
                <w:sz w:val="16"/>
                <w:szCs w:val="16"/>
              </w:rPr>
              <w:t>Performance Indicators</w:t>
            </w:r>
          </w:p>
        </w:tc>
        <w:tc>
          <w:tcPr>
            <w:tcW w:w="906" w:type="pct"/>
            <w:tcBorders>
              <w:top w:val="single" w:sz="4" w:space="0" w:color="auto"/>
            </w:tcBorders>
            <w:shd w:val="clear" w:color="auto" w:fill="auto"/>
            <w:vAlign w:val="center"/>
          </w:tcPr>
          <w:p w:rsidR="00DD50EB" w:rsidRPr="000B3714" w:rsidRDefault="00DD50EB" w:rsidP="00DD50EB">
            <w:pPr>
              <w:keepNext/>
              <w:keepLines/>
              <w:rPr>
                <w:rFonts w:cs="Arial"/>
                <w:b/>
                <w:bCs/>
                <w:sz w:val="16"/>
                <w:szCs w:val="16"/>
              </w:rPr>
            </w:pPr>
            <w:r w:rsidRPr="000B3714">
              <w:rPr>
                <w:rFonts w:cs="Arial"/>
                <w:b/>
                <w:bCs/>
                <w:sz w:val="16"/>
                <w:szCs w:val="16"/>
              </w:rPr>
              <w:t>Baselines</w:t>
            </w:r>
          </w:p>
        </w:tc>
        <w:tc>
          <w:tcPr>
            <w:tcW w:w="905" w:type="pct"/>
            <w:gridSpan w:val="2"/>
            <w:tcBorders>
              <w:top w:val="single" w:sz="4" w:space="0" w:color="auto"/>
            </w:tcBorders>
            <w:shd w:val="clear" w:color="auto" w:fill="auto"/>
            <w:tcMar>
              <w:top w:w="110" w:type="dxa"/>
            </w:tcMar>
            <w:vAlign w:val="center"/>
          </w:tcPr>
          <w:p w:rsidR="00DD50EB" w:rsidRPr="000B3714" w:rsidRDefault="00DD50EB" w:rsidP="00DD50EB">
            <w:pPr>
              <w:keepNext/>
              <w:keepLines/>
              <w:rPr>
                <w:rFonts w:cs="Arial"/>
                <w:b/>
                <w:sz w:val="16"/>
                <w:szCs w:val="16"/>
              </w:rPr>
            </w:pPr>
            <w:r w:rsidRPr="000B3714">
              <w:rPr>
                <w:rFonts w:cs="Arial"/>
                <w:b/>
                <w:sz w:val="16"/>
                <w:szCs w:val="16"/>
              </w:rPr>
              <w:t>Target</w:t>
            </w:r>
            <w:r w:rsidR="002F7D53" w:rsidRPr="000B3714">
              <w:rPr>
                <w:rFonts w:cs="Arial"/>
                <w:b/>
                <w:sz w:val="16"/>
                <w:szCs w:val="16"/>
              </w:rPr>
              <w:t>s</w:t>
            </w:r>
          </w:p>
        </w:tc>
        <w:tc>
          <w:tcPr>
            <w:tcW w:w="1646" w:type="pct"/>
            <w:tcBorders>
              <w:top w:val="single" w:sz="4" w:space="0" w:color="auto"/>
            </w:tcBorders>
            <w:shd w:val="clear" w:color="auto" w:fill="FFFFFF"/>
            <w:tcMar>
              <w:top w:w="110" w:type="dxa"/>
            </w:tcMar>
            <w:vAlign w:val="center"/>
          </w:tcPr>
          <w:p w:rsidR="00DD50EB" w:rsidRPr="000B3714" w:rsidRDefault="00DD50EB" w:rsidP="00DD50EB">
            <w:pPr>
              <w:keepNext/>
              <w:keepLines/>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DD50EB">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 xml:space="preserve">No. of participants in IP-based platforms </w:t>
            </w:r>
          </w:p>
        </w:tc>
        <w:tc>
          <w:tcPr>
            <w:tcW w:w="906" w:type="pct"/>
            <w:shd w:val="clear" w:color="auto" w:fill="auto"/>
          </w:tcPr>
          <w:p w:rsidR="00DD50EB" w:rsidRPr="000B3714" w:rsidRDefault="00DD50EB" w:rsidP="007C0423">
            <w:pPr>
              <w:rPr>
                <w:rFonts w:cs="Arial"/>
                <w:i/>
                <w:color w:val="002060"/>
                <w:sz w:val="16"/>
                <w:szCs w:val="16"/>
              </w:rPr>
            </w:pPr>
            <w:r w:rsidRPr="000B3714">
              <w:rPr>
                <w:rFonts w:cs="Arial"/>
                <w:i/>
                <w:color w:val="002060"/>
                <w:sz w:val="16"/>
                <w:szCs w:val="16"/>
              </w:rPr>
              <w:t xml:space="preserve">Updated Baseline end 2011: </w:t>
            </w:r>
          </w:p>
          <w:p w:rsidR="00DD50EB" w:rsidRPr="000B3714" w:rsidRDefault="00DD50EB" w:rsidP="007C0423">
            <w:pPr>
              <w:rPr>
                <w:rFonts w:cs="Arial"/>
                <w:color w:val="002060"/>
                <w:sz w:val="16"/>
                <w:szCs w:val="16"/>
              </w:rPr>
            </w:pPr>
            <w:r w:rsidRPr="000B3714">
              <w:rPr>
                <w:rFonts w:cs="Arial"/>
                <w:color w:val="002060"/>
                <w:sz w:val="16"/>
                <w:szCs w:val="16"/>
              </w:rPr>
              <w:t xml:space="preserve">WIPO Re:Search: </w:t>
            </w:r>
            <w:r w:rsidRPr="000B3714">
              <w:rPr>
                <w:rFonts w:cs="Arial"/>
                <w:color w:val="002060"/>
                <w:sz w:val="16"/>
                <w:szCs w:val="16"/>
              </w:rPr>
              <w:br/>
              <w:t>31 participants</w:t>
            </w:r>
          </w:p>
          <w:p w:rsidR="00DD50EB" w:rsidRPr="004547C1" w:rsidRDefault="00DD50EB" w:rsidP="007C0423">
            <w:pPr>
              <w:rPr>
                <w:rFonts w:cs="Arial"/>
                <w:i/>
                <w:color w:val="002060"/>
                <w:sz w:val="8"/>
                <w:szCs w:val="8"/>
              </w:rPr>
            </w:pPr>
            <w:r w:rsidRPr="000B3714">
              <w:rPr>
                <w:rFonts w:cs="Arial"/>
                <w:color w:val="002060"/>
                <w:sz w:val="16"/>
                <w:szCs w:val="16"/>
              </w:rPr>
              <w:t xml:space="preserve">WIPO GREEN: </w:t>
            </w:r>
            <w:r w:rsidRPr="000B3714">
              <w:rPr>
                <w:rFonts w:cs="Arial"/>
                <w:color w:val="002060"/>
                <w:sz w:val="16"/>
                <w:szCs w:val="16"/>
              </w:rPr>
              <w:br/>
              <w:t>14 participants</w:t>
            </w:r>
            <w:r w:rsidRPr="000B3714">
              <w:rPr>
                <w:rFonts w:cs="Arial"/>
                <w:color w:val="993300"/>
                <w:sz w:val="16"/>
                <w:szCs w:val="16"/>
              </w:rPr>
              <w:br/>
            </w:r>
          </w:p>
          <w:p w:rsidR="00DD50EB" w:rsidRPr="000B3714" w:rsidRDefault="00DD50EB" w:rsidP="007C0423">
            <w:pPr>
              <w:rPr>
                <w:rFonts w:cs="Arial"/>
                <w:sz w:val="16"/>
                <w:szCs w:val="16"/>
              </w:rPr>
            </w:pPr>
            <w:r w:rsidRPr="000B3714">
              <w:rPr>
                <w:rFonts w:cs="Arial"/>
                <w:i/>
                <w:sz w:val="16"/>
                <w:szCs w:val="16"/>
              </w:rPr>
              <w:t>Original Baseline P&amp;B 2012/13:</w:t>
            </w:r>
            <w:r w:rsidRPr="000B3714">
              <w:rPr>
                <w:rFonts w:cs="Arial"/>
                <w:sz w:val="16"/>
                <w:szCs w:val="16"/>
              </w:rPr>
              <w:t xml:space="preserve">  0</w:t>
            </w:r>
          </w:p>
        </w:tc>
        <w:tc>
          <w:tcPr>
            <w:tcW w:w="905" w:type="pct"/>
            <w:gridSpan w:val="2"/>
            <w:shd w:val="clear" w:color="auto" w:fill="auto"/>
            <w:tcMar>
              <w:top w:w="110" w:type="dxa"/>
            </w:tcMar>
          </w:tcPr>
          <w:p w:rsidR="00DD50EB" w:rsidRPr="000B3714" w:rsidRDefault="00DD50EB" w:rsidP="007C0423">
            <w:pPr>
              <w:rPr>
                <w:rFonts w:cs="Arial"/>
                <w:sz w:val="16"/>
                <w:szCs w:val="16"/>
              </w:rPr>
            </w:pPr>
            <w:r w:rsidRPr="000B3714">
              <w:rPr>
                <w:rFonts w:cs="Arial"/>
                <w:sz w:val="16"/>
                <w:szCs w:val="16"/>
              </w:rPr>
              <w:t>8-10 participants</w:t>
            </w:r>
            <w:r w:rsidRPr="000B3714" w:rsidDel="00FF2AD6">
              <w:rPr>
                <w:rFonts w:cs="Arial"/>
                <w:sz w:val="16"/>
                <w:szCs w:val="16"/>
              </w:rPr>
              <w:t xml:space="preserve"> </w:t>
            </w:r>
          </w:p>
        </w:tc>
        <w:tc>
          <w:tcPr>
            <w:tcW w:w="1646" w:type="pct"/>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During the biennium, WIPO Re:Search added 49 new members (providers, users and supporters) and 167 new entries in the database:</w:t>
            </w:r>
          </w:p>
          <w:p w:rsidR="00DD50EB" w:rsidRPr="000B3714" w:rsidRDefault="00DD50EB" w:rsidP="004547C1">
            <w:pPr>
              <w:pStyle w:val="ListParagraph"/>
              <w:numPr>
                <w:ilvl w:val="0"/>
                <w:numId w:val="51"/>
              </w:numPr>
              <w:ind w:left="278" w:hanging="278"/>
              <w:rPr>
                <w:rFonts w:cs="Arial"/>
                <w:lang w:bidi="th-TH"/>
              </w:rPr>
            </w:pPr>
            <w:r w:rsidRPr="000B3714">
              <w:rPr>
                <w:rFonts w:cs="Arial"/>
                <w:sz w:val="16"/>
                <w:szCs w:val="16"/>
                <w:lang w:bidi="th-TH"/>
              </w:rPr>
              <w:t xml:space="preserve">30 new members and 90 new entries in 2012; and  </w:t>
            </w:r>
          </w:p>
          <w:p w:rsidR="00DD50EB" w:rsidRPr="000B3714" w:rsidRDefault="00DD50EB" w:rsidP="004547C1">
            <w:pPr>
              <w:pStyle w:val="ListParagraph"/>
              <w:numPr>
                <w:ilvl w:val="0"/>
                <w:numId w:val="51"/>
              </w:numPr>
              <w:ind w:left="278" w:hanging="278"/>
              <w:rPr>
                <w:rFonts w:cs="Arial"/>
                <w:lang w:bidi="th-TH"/>
              </w:rPr>
            </w:pPr>
            <w:r w:rsidRPr="000B3714">
              <w:rPr>
                <w:rFonts w:cs="Arial"/>
                <w:sz w:val="16"/>
                <w:szCs w:val="16"/>
                <w:lang w:bidi="th-TH"/>
              </w:rPr>
              <w:t>19 new members and 77 new entries in 2013</w:t>
            </w:r>
          </w:p>
          <w:p w:rsidR="00DD50EB" w:rsidRPr="000B3714" w:rsidRDefault="00DD50EB" w:rsidP="007C0423">
            <w:pPr>
              <w:rPr>
                <w:rFonts w:cs="Arial"/>
                <w:sz w:val="16"/>
                <w:szCs w:val="16"/>
                <w:lang w:bidi="th-TH"/>
              </w:rPr>
            </w:pPr>
            <w:proofErr w:type="gramStart"/>
            <w:r w:rsidRPr="000B3714">
              <w:rPr>
                <w:rFonts w:cs="Arial"/>
                <w:sz w:val="16"/>
                <w:szCs w:val="16"/>
                <w:lang w:bidi="th-TH"/>
              </w:rPr>
              <w:t>bringing</w:t>
            </w:r>
            <w:proofErr w:type="gramEnd"/>
            <w:r w:rsidRPr="000B3714">
              <w:rPr>
                <w:rFonts w:cs="Arial"/>
                <w:sz w:val="16"/>
                <w:szCs w:val="16"/>
                <w:lang w:bidi="th-TH"/>
              </w:rPr>
              <w:t xml:space="preserve"> the total cumulative to 80 members and 247 entries.</w:t>
            </w:r>
          </w:p>
          <w:p w:rsidR="00DD50EB" w:rsidRPr="004547C1" w:rsidRDefault="00DD50EB" w:rsidP="007C0423">
            <w:pPr>
              <w:rPr>
                <w:rFonts w:cs="Arial"/>
                <w:sz w:val="8"/>
                <w:szCs w:val="8"/>
              </w:rPr>
            </w:pPr>
          </w:p>
          <w:p w:rsidR="00DD50EB" w:rsidRPr="000B3714" w:rsidRDefault="00DD50EB" w:rsidP="007C0423">
            <w:pPr>
              <w:rPr>
                <w:rFonts w:cs="Arial"/>
                <w:sz w:val="16"/>
                <w:szCs w:val="16"/>
              </w:rPr>
            </w:pPr>
            <w:r w:rsidRPr="000B3714">
              <w:rPr>
                <w:rFonts w:cs="Arial"/>
                <w:sz w:val="16"/>
                <w:szCs w:val="16"/>
              </w:rPr>
              <w:t>WIPO GREEN: 62 members (37 partners, 25 technology and needs providers) (cumulative).</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r w:rsidR="00DD50EB" w:rsidRPr="000B3714" w:rsidTr="000B3714">
        <w:trPr>
          <w:cantSplit/>
        </w:trPr>
        <w:tc>
          <w:tcPr>
            <w:tcW w:w="861"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No. of transactions concluded using the platform(s)</w:t>
            </w:r>
          </w:p>
        </w:tc>
        <w:tc>
          <w:tcPr>
            <w:tcW w:w="906" w:type="pct"/>
            <w:tcBorders>
              <w:bottom w:val="single" w:sz="4" w:space="0" w:color="auto"/>
            </w:tcBorders>
            <w:shd w:val="clear" w:color="auto" w:fill="auto"/>
          </w:tcPr>
          <w:p w:rsidR="00DD50EB" w:rsidRPr="000B3714" w:rsidRDefault="00DD50EB" w:rsidP="007C0423">
            <w:pPr>
              <w:rPr>
                <w:rFonts w:cs="Arial"/>
                <w:sz w:val="16"/>
                <w:szCs w:val="16"/>
              </w:rPr>
            </w:pPr>
            <w:r w:rsidRPr="000B3714">
              <w:rPr>
                <w:rFonts w:cs="Arial"/>
                <w:sz w:val="16"/>
                <w:szCs w:val="16"/>
              </w:rPr>
              <w:t>0</w:t>
            </w:r>
          </w:p>
        </w:tc>
        <w:tc>
          <w:tcPr>
            <w:tcW w:w="905" w:type="pct"/>
            <w:gridSpan w:val="2"/>
            <w:tcBorders>
              <w:bottom w:val="single" w:sz="4" w:space="0" w:color="auto"/>
            </w:tcBorders>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10 transactions</w:t>
            </w:r>
          </w:p>
          <w:p w:rsidR="00DD50EB" w:rsidRPr="000B3714" w:rsidRDefault="00DD50EB" w:rsidP="007C0423">
            <w:pPr>
              <w:rPr>
                <w:rFonts w:cs="Arial"/>
                <w:sz w:val="16"/>
                <w:szCs w:val="16"/>
              </w:rPr>
            </w:pPr>
            <w:r w:rsidRPr="000B3714">
              <w:rPr>
                <w:rFonts w:cs="Arial"/>
                <w:sz w:val="16"/>
                <w:szCs w:val="16"/>
              </w:rPr>
              <w:t>concluded</w:t>
            </w:r>
          </w:p>
        </w:tc>
        <w:tc>
          <w:tcPr>
            <w:tcW w:w="1646" w:type="pct"/>
            <w:tcBorders>
              <w:bottom w:val="single" w:sz="4" w:space="0" w:color="auto"/>
            </w:tcBorders>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By end of 2013 WIPO Re:Search had facilitated 44 research collaborations (11 in 2012</w:t>
            </w:r>
            <w:r w:rsidRPr="000B3714">
              <w:rPr>
                <w:rStyle w:val="FootnoteReference"/>
                <w:rFonts w:cs="Arial"/>
                <w:sz w:val="16"/>
                <w:szCs w:val="16"/>
                <w:lang w:bidi="th-TH"/>
              </w:rPr>
              <w:footnoteReference w:id="37"/>
            </w:r>
            <w:r w:rsidRPr="000B3714">
              <w:rPr>
                <w:rFonts w:cs="Arial"/>
                <w:sz w:val="16"/>
                <w:szCs w:val="16"/>
                <w:lang w:bidi="th-TH"/>
              </w:rPr>
              <w:t xml:space="preserve"> and 33 in 2013) and had concluded five hosting arrangements for African biomedical scientists</w:t>
            </w:r>
          </w:p>
          <w:p w:rsidR="00DD50EB" w:rsidRPr="004547C1" w:rsidRDefault="00DD50EB" w:rsidP="007C0423">
            <w:pPr>
              <w:rPr>
                <w:rFonts w:cs="Arial"/>
                <w:sz w:val="8"/>
                <w:szCs w:val="8"/>
                <w:lang w:bidi="th-TH"/>
              </w:rPr>
            </w:pPr>
          </w:p>
          <w:p w:rsidR="00DD50EB" w:rsidRPr="000B3714" w:rsidRDefault="00DD50EB" w:rsidP="007C0423">
            <w:pPr>
              <w:rPr>
                <w:rFonts w:cs="Arial"/>
                <w:sz w:val="16"/>
                <w:szCs w:val="16"/>
                <w:lang w:bidi="th-TH"/>
              </w:rPr>
            </w:pPr>
            <w:r w:rsidRPr="000B3714">
              <w:rPr>
                <w:rFonts w:cs="Arial"/>
                <w:sz w:val="16"/>
                <w:szCs w:val="16"/>
                <w:lang w:bidi="th-TH"/>
              </w:rPr>
              <w:t xml:space="preserve">Between 2012 and 2013 WIPO GREEN concluded : </w:t>
            </w:r>
          </w:p>
          <w:p w:rsidR="00DD50EB" w:rsidRPr="000B3714" w:rsidRDefault="00DD50EB" w:rsidP="004547C1">
            <w:pPr>
              <w:pStyle w:val="ListParagraph"/>
              <w:numPr>
                <w:ilvl w:val="0"/>
                <w:numId w:val="50"/>
              </w:numPr>
              <w:ind w:left="278" w:hanging="278"/>
              <w:rPr>
                <w:rFonts w:cs="Arial"/>
                <w:sz w:val="16"/>
                <w:szCs w:val="16"/>
                <w:lang w:bidi="th-TH"/>
              </w:rPr>
            </w:pPr>
            <w:r w:rsidRPr="000B3714">
              <w:rPr>
                <w:rFonts w:cs="Arial"/>
                <w:sz w:val="16"/>
                <w:szCs w:val="16"/>
                <w:lang w:bidi="th-TH"/>
              </w:rPr>
              <w:t>Two agreements with external partners for data integration</w:t>
            </w:r>
          </w:p>
          <w:p w:rsidR="00DD50EB" w:rsidRPr="000B3714" w:rsidRDefault="00DD50EB" w:rsidP="004547C1">
            <w:pPr>
              <w:pStyle w:val="ListParagraph"/>
              <w:numPr>
                <w:ilvl w:val="0"/>
                <w:numId w:val="50"/>
              </w:numPr>
              <w:ind w:left="278" w:hanging="278"/>
              <w:rPr>
                <w:rFonts w:cs="Arial"/>
                <w:sz w:val="16"/>
                <w:szCs w:val="16"/>
                <w:lang w:bidi="th-TH"/>
              </w:rPr>
            </w:pPr>
            <w:r w:rsidRPr="000B3714">
              <w:rPr>
                <w:rFonts w:cs="Arial"/>
                <w:sz w:val="16"/>
                <w:szCs w:val="16"/>
                <w:lang w:bidi="th-TH"/>
              </w:rPr>
              <w:t>Two MoUs and two exchanges of letters for Partnerships</w:t>
            </w:r>
          </w:p>
          <w:p w:rsidR="00DD50EB" w:rsidRPr="000B3714" w:rsidRDefault="00DD50EB" w:rsidP="004547C1">
            <w:pPr>
              <w:pStyle w:val="ListParagraph"/>
              <w:numPr>
                <w:ilvl w:val="0"/>
                <w:numId w:val="50"/>
              </w:numPr>
              <w:ind w:left="278" w:hanging="278"/>
              <w:rPr>
                <w:rFonts w:cs="Arial"/>
                <w:sz w:val="16"/>
                <w:szCs w:val="16"/>
                <w:lang w:bidi="th-TH"/>
              </w:rPr>
            </w:pPr>
            <w:r w:rsidRPr="000B3714">
              <w:rPr>
                <w:rFonts w:cs="Arial"/>
                <w:sz w:val="16"/>
                <w:szCs w:val="16"/>
                <w:lang w:bidi="th-TH"/>
              </w:rPr>
              <w:t>No transactions were concluded.</w:t>
            </w:r>
          </w:p>
          <w:p w:rsidR="00DD50EB" w:rsidRPr="000B3714" w:rsidRDefault="00DD50EB" w:rsidP="007C0423">
            <w:pPr>
              <w:pStyle w:val="ListParagraph"/>
              <w:rPr>
                <w:rFonts w:cs="Arial"/>
                <w:sz w:val="16"/>
                <w:szCs w:val="16"/>
              </w:rPr>
            </w:pPr>
          </w:p>
        </w:tc>
        <w:tc>
          <w:tcPr>
            <w:tcW w:w="682" w:type="pct"/>
            <w:tcBorders>
              <w:bottom w:val="single" w:sz="4" w:space="0" w:color="auto"/>
            </w:tcBorders>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E36C0A" w:themeColor="accent6" w:themeShade="BF"/>
                <w:sz w:val="16"/>
                <w:szCs w:val="16"/>
              </w:rPr>
              <w:t>Partially</w:t>
            </w:r>
            <w:r w:rsidRPr="000B3714">
              <w:rPr>
                <w:rFonts w:cs="Arial"/>
                <w:bCs/>
                <w:color w:val="E36C0A" w:themeColor="accent6" w:themeShade="BF"/>
                <w:sz w:val="16"/>
                <w:szCs w:val="16"/>
              </w:rPr>
              <w:br/>
              <w:t>Achieved</w:t>
            </w:r>
          </w:p>
        </w:tc>
      </w:tr>
      <w:tr w:rsidR="00DD50EB" w:rsidRPr="000B3714" w:rsidTr="007C0423">
        <w:trPr>
          <w:cantSplit/>
        </w:trPr>
        <w:tc>
          <w:tcPr>
            <w:tcW w:w="5000" w:type="pct"/>
            <w:gridSpan w:val="6"/>
            <w:tcBorders>
              <w:top w:val="single" w:sz="4" w:space="0" w:color="auto"/>
              <w:bottom w:val="single" w:sz="4" w:space="0" w:color="auto"/>
            </w:tcBorders>
            <w:shd w:val="clear" w:color="auto" w:fill="CCFFFF"/>
            <w:vAlign w:val="center"/>
          </w:tcPr>
          <w:p w:rsidR="00DD50EB" w:rsidRPr="000B3714" w:rsidRDefault="00DD50EB" w:rsidP="007C0423">
            <w:pPr>
              <w:keepNext/>
              <w:keepLines/>
              <w:tabs>
                <w:tab w:val="left" w:pos="1452"/>
              </w:tabs>
              <w:spacing w:before="120" w:after="120"/>
              <w:ind w:left="1452" w:hanging="1452"/>
              <w:rPr>
                <w:rFonts w:cs="Arial"/>
                <w:b/>
                <w:bCs/>
                <w:sz w:val="16"/>
                <w:szCs w:val="16"/>
              </w:rPr>
            </w:pPr>
            <w:r w:rsidRPr="000B3714">
              <w:rPr>
                <w:rFonts w:cs="Arial"/>
                <w:b/>
                <w:bCs/>
                <w:sz w:val="16"/>
                <w:szCs w:val="16"/>
              </w:rPr>
              <w:t>Expected Result:</w:t>
            </w:r>
            <w:r w:rsidRPr="000B3714">
              <w:rPr>
                <w:rFonts w:cs="Arial"/>
                <w:b/>
                <w:bCs/>
                <w:sz w:val="16"/>
                <w:szCs w:val="16"/>
              </w:rPr>
              <w:tab/>
            </w:r>
            <w:r w:rsidRPr="000B3714">
              <w:rPr>
                <w:rFonts w:cs="Arial"/>
                <w:sz w:val="16"/>
                <w:szCs w:val="16"/>
              </w:rPr>
              <w:t>WIPO established as the relevant Forum for analyzing and debating issues in the field of IP and competition policy</w:t>
            </w:r>
          </w:p>
        </w:tc>
      </w:tr>
      <w:tr w:rsidR="00DD50EB" w:rsidRPr="000B3714" w:rsidTr="000B3714">
        <w:trPr>
          <w:cantSplit/>
        </w:trPr>
        <w:tc>
          <w:tcPr>
            <w:tcW w:w="861" w:type="pct"/>
            <w:tcBorders>
              <w:top w:val="single" w:sz="4" w:space="0" w:color="auto"/>
            </w:tcBorders>
            <w:shd w:val="clear" w:color="auto" w:fill="auto"/>
            <w:vAlign w:val="center"/>
          </w:tcPr>
          <w:p w:rsidR="00DD50EB" w:rsidRPr="000B3714" w:rsidRDefault="00DD50EB" w:rsidP="007C0423">
            <w:pPr>
              <w:rPr>
                <w:rFonts w:cs="Arial"/>
                <w:sz w:val="16"/>
                <w:szCs w:val="16"/>
              </w:rPr>
            </w:pPr>
            <w:r w:rsidRPr="000B3714">
              <w:rPr>
                <w:rFonts w:cs="Arial"/>
                <w:b/>
                <w:bCs/>
                <w:sz w:val="16"/>
                <w:szCs w:val="16"/>
              </w:rPr>
              <w:t>Performance Indicators</w:t>
            </w:r>
          </w:p>
        </w:tc>
        <w:tc>
          <w:tcPr>
            <w:tcW w:w="906" w:type="pct"/>
            <w:tcBorders>
              <w:top w:val="single" w:sz="4" w:space="0" w:color="auto"/>
            </w:tcBorders>
            <w:shd w:val="clear" w:color="auto" w:fill="auto"/>
            <w:vAlign w:val="center"/>
          </w:tcPr>
          <w:p w:rsidR="00DD50EB" w:rsidRPr="000B3714" w:rsidRDefault="00DD50EB" w:rsidP="007C0423">
            <w:pPr>
              <w:rPr>
                <w:rFonts w:cs="Arial"/>
                <w:b/>
                <w:bCs/>
                <w:sz w:val="16"/>
                <w:szCs w:val="16"/>
              </w:rPr>
            </w:pPr>
            <w:r w:rsidRPr="000B3714">
              <w:rPr>
                <w:rFonts w:cs="Arial"/>
                <w:b/>
                <w:bCs/>
                <w:sz w:val="16"/>
                <w:szCs w:val="16"/>
              </w:rPr>
              <w:t>Baselines</w:t>
            </w:r>
          </w:p>
        </w:tc>
        <w:tc>
          <w:tcPr>
            <w:tcW w:w="905" w:type="pct"/>
            <w:gridSpan w:val="2"/>
            <w:tcBorders>
              <w:top w:val="single" w:sz="4" w:space="0" w:color="auto"/>
            </w:tcBorders>
            <w:shd w:val="clear" w:color="auto" w:fill="auto"/>
            <w:tcMar>
              <w:top w:w="110" w:type="dxa"/>
            </w:tcMar>
            <w:vAlign w:val="center"/>
          </w:tcPr>
          <w:p w:rsidR="00DD50EB" w:rsidRPr="000B3714" w:rsidRDefault="00DD50EB" w:rsidP="007C0423">
            <w:pPr>
              <w:rPr>
                <w:rFonts w:cs="Arial"/>
                <w:b/>
                <w:sz w:val="16"/>
                <w:szCs w:val="16"/>
              </w:rPr>
            </w:pPr>
            <w:r w:rsidRPr="000B3714">
              <w:rPr>
                <w:rFonts w:cs="Arial"/>
                <w:b/>
                <w:sz w:val="16"/>
                <w:szCs w:val="16"/>
              </w:rPr>
              <w:t>Target</w:t>
            </w:r>
            <w:r w:rsidR="002F7D53" w:rsidRPr="000B3714">
              <w:rPr>
                <w:rFonts w:cs="Arial"/>
                <w:b/>
                <w:sz w:val="16"/>
                <w:szCs w:val="16"/>
              </w:rPr>
              <w:t>s</w:t>
            </w:r>
          </w:p>
        </w:tc>
        <w:tc>
          <w:tcPr>
            <w:tcW w:w="1646" w:type="pct"/>
            <w:tcBorders>
              <w:top w:val="single" w:sz="4" w:space="0" w:color="auto"/>
            </w:tcBorders>
            <w:shd w:val="clear" w:color="auto" w:fill="FFFFFF"/>
            <w:tcMar>
              <w:top w:w="110" w:type="dxa"/>
            </w:tcMar>
            <w:vAlign w:val="center"/>
          </w:tcPr>
          <w:p w:rsidR="00DD50EB" w:rsidRPr="000B3714" w:rsidRDefault="00DD50EB" w:rsidP="007C0423">
            <w:pPr>
              <w:rPr>
                <w:rFonts w:cs="Arial"/>
                <w:sz w:val="16"/>
                <w:szCs w:val="16"/>
              </w:rPr>
            </w:pPr>
            <w:r w:rsidRPr="000B3714">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DD50EB" w:rsidRPr="000B3714" w:rsidRDefault="00DD50EB" w:rsidP="007C0423">
            <w:pPr>
              <w:keepNext/>
              <w:keepLines/>
              <w:jc w:val="center"/>
              <w:rPr>
                <w:rFonts w:cs="Arial"/>
                <w:b/>
                <w:bCs/>
                <w:sz w:val="16"/>
                <w:szCs w:val="16"/>
              </w:rPr>
            </w:pPr>
            <w:r w:rsidRPr="000B3714">
              <w:rPr>
                <w:rFonts w:cs="Arial"/>
                <w:b/>
                <w:bCs/>
                <w:sz w:val="16"/>
                <w:szCs w:val="16"/>
              </w:rPr>
              <w:t>TLS</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No. of countries requesting WIPO’s specific contributions on IP in relation to competition law-related issues</w:t>
            </w:r>
          </w:p>
        </w:tc>
        <w:tc>
          <w:tcPr>
            <w:tcW w:w="906" w:type="pct"/>
            <w:shd w:val="clear" w:color="auto" w:fill="auto"/>
          </w:tcPr>
          <w:p w:rsidR="00DD50EB" w:rsidRPr="000B3714" w:rsidRDefault="00DD50EB" w:rsidP="007C0423">
            <w:pPr>
              <w:rPr>
                <w:rFonts w:cs="Arial"/>
                <w:sz w:val="16"/>
                <w:szCs w:val="16"/>
              </w:rPr>
            </w:pPr>
            <w:r w:rsidRPr="000B3714">
              <w:rPr>
                <w:rFonts w:cs="Arial"/>
                <w:sz w:val="16"/>
                <w:szCs w:val="16"/>
              </w:rPr>
              <w:t>Two requests (as of December 2010)</w:t>
            </w:r>
          </w:p>
        </w:tc>
        <w:tc>
          <w:tcPr>
            <w:tcW w:w="905" w:type="pct"/>
            <w:gridSpan w:val="2"/>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Six requests</w:t>
            </w:r>
          </w:p>
          <w:p w:rsidR="00DD50EB" w:rsidRPr="000B3714" w:rsidRDefault="00DD50EB" w:rsidP="007C0423">
            <w:pPr>
              <w:rPr>
                <w:rFonts w:cs="Arial"/>
                <w:sz w:val="16"/>
                <w:szCs w:val="16"/>
              </w:rPr>
            </w:pPr>
            <w:r w:rsidRPr="000B3714">
              <w:rPr>
                <w:rFonts w:cs="Arial"/>
                <w:sz w:val="16"/>
                <w:szCs w:val="16"/>
              </w:rPr>
              <w:t>(in 2012/13)</w:t>
            </w:r>
          </w:p>
        </w:tc>
        <w:tc>
          <w:tcPr>
            <w:tcW w:w="1646" w:type="pct"/>
            <w:shd w:val="clear" w:color="auto" w:fill="FFFFFF"/>
            <w:tcMar>
              <w:top w:w="110" w:type="dxa"/>
            </w:tcMar>
          </w:tcPr>
          <w:p w:rsidR="00DD50EB" w:rsidRPr="000B3714" w:rsidRDefault="00DD50EB" w:rsidP="007C0423">
            <w:pPr>
              <w:rPr>
                <w:rFonts w:cs="Arial"/>
                <w:sz w:val="16"/>
                <w:szCs w:val="16"/>
                <w:lang w:bidi="th-TH"/>
              </w:rPr>
            </w:pPr>
            <w:r w:rsidRPr="000B3714">
              <w:rPr>
                <w:rFonts w:cs="Arial"/>
                <w:sz w:val="16"/>
                <w:szCs w:val="16"/>
                <w:lang w:bidi="th-TH"/>
              </w:rPr>
              <w:t xml:space="preserve">Six requests for bilateral discussions (Chile, Brazil, Ecuador, India, </w:t>
            </w:r>
            <w:r w:rsidR="004547C1">
              <w:rPr>
                <w:rFonts w:cs="Arial"/>
                <w:sz w:val="16"/>
                <w:szCs w:val="16"/>
                <w:lang w:bidi="th-TH"/>
              </w:rPr>
              <w:t xml:space="preserve">the </w:t>
            </w:r>
            <w:r w:rsidRPr="000B3714">
              <w:rPr>
                <w:rFonts w:cs="Arial"/>
                <w:sz w:val="16"/>
                <w:szCs w:val="16"/>
                <w:lang w:bidi="th-TH"/>
              </w:rPr>
              <w:t xml:space="preserve">Dominican Republic, </w:t>
            </w:r>
            <w:proofErr w:type="gramStart"/>
            <w:r w:rsidR="004547C1">
              <w:rPr>
                <w:rFonts w:cs="Arial"/>
                <w:sz w:val="16"/>
                <w:szCs w:val="16"/>
                <w:lang w:bidi="th-TH"/>
              </w:rPr>
              <w:t>the</w:t>
            </w:r>
            <w:proofErr w:type="gramEnd"/>
            <w:r w:rsidR="004547C1">
              <w:rPr>
                <w:rFonts w:cs="Arial"/>
                <w:sz w:val="16"/>
                <w:szCs w:val="16"/>
                <w:lang w:bidi="th-TH"/>
              </w:rPr>
              <w:t xml:space="preserve"> Republic of </w:t>
            </w:r>
            <w:r w:rsidRPr="000B3714">
              <w:rPr>
                <w:rFonts w:cs="Arial"/>
                <w:sz w:val="16"/>
                <w:szCs w:val="16"/>
                <w:lang w:bidi="th-TH"/>
              </w:rPr>
              <w:t>Moldova) and one request for legislative assistance (Bhutan)</w:t>
            </w:r>
            <w:r w:rsidR="004547C1">
              <w:rPr>
                <w:rFonts w:cs="Arial"/>
                <w:sz w:val="16"/>
                <w:szCs w:val="16"/>
                <w:lang w:bidi="th-TH"/>
              </w:rPr>
              <w:t>.</w:t>
            </w:r>
          </w:p>
          <w:p w:rsidR="00DD50EB" w:rsidRPr="004547C1" w:rsidRDefault="00DD50EB" w:rsidP="007C0423">
            <w:pPr>
              <w:rPr>
                <w:rFonts w:cs="Arial"/>
                <w:sz w:val="8"/>
                <w:szCs w:val="8"/>
                <w:lang w:bidi="th-TH"/>
              </w:rPr>
            </w:pPr>
          </w:p>
          <w:p w:rsidR="00DD50EB" w:rsidRPr="000B3714" w:rsidRDefault="00DD50EB" w:rsidP="007C0423">
            <w:pPr>
              <w:rPr>
                <w:rFonts w:cs="Arial"/>
                <w:sz w:val="16"/>
                <w:szCs w:val="16"/>
              </w:rPr>
            </w:pPr>
            <w:r w:rsidRPr="000B3714">
              <w:rPr>
                <w:rFonts w:cs="Arial"/>
                <w:sz w:val="16"/>
                <w:szCs w:val="16"/>
                <w:lang w:bidi="th-TH"/>
              </w:rPr>
              <w:t>19 Workshops organized in Member States on specific IP/Competition issues</w:t>
            </w:r>
            <w:r w:rsidR="004547C1">
              <w:rPr>
                <w:rFonts w:cs="Arial"/>
                <w:sz w:val="16"/>
                <w:szCs w:val="16"/>
                <w:lang w:bidi="th-TH"/>
              </w:rPr>
              <w:t>.</w:t>
            </w:r>
            <w:r w:rsidRPr="000B3714">
              <w:rPr>
                <w:rFonts w:cs="Arial"/>
                <w:sz w:val="16"/>
                <w:szCs w:val="16"/>
                <w:lang w:bidi="th-TH"/>
              </w:rPr>
              <w:t xml:space="preserve"> </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r w:rsidRPr="000B3714" w:rsidDel="00FF2AD6">
              <w:rPr>
                <w:rStyle w:val="Style5"/>
                <w:rFonts w:ascii="Arial" w:hAnsi="Arial" w:cs="Arial"/>
                <w:sz w:val="16"/>
                <w:szCs w:val="16"/>
              </w:rPr>
              <w:t xml:space="preserve"> </w:t>
            </w:r>
          </w:p>
        </w:tc>
      </w:tr>
      <w:tr w:rsidR="00DD50EB" w:rsidRPr="000B3714" w:rsidTr="000B3714">
        <w:trPr>
          <w:cantSplit/>
        </w:trPr>
        <w:tc>
          <w:tcPr>
            <w:tcW w:w="861" w:type="pct"/>
            <w:shd w:val="clear" w:color="auto" w:fill="auto"/>
          </w:tcPr>
          <w:p w:rsidR="00DD50EB" w:rsidRPr="000B3714" w:rsidRDefault="00DD50EB" w:rsidP="007C0423">
            <w:pPr>
              <w:rPr>
                <w:rFonts w:cs="Arial"/>
                <w:sz w:val="16"/>
                <w:szCs w:val="16"/>
              </w:rPr>
            </w:pPr>
            <w:r w:rsidRPr="000B3714">
              <w:rPr>
                <w:rFonts w:cs="Arial"/>
                <w:sz w:val="16"/>
                <w:szCs w:val="16"/>
              </w:rPr>
              <w:t>No. and diversity of stakeholders (IP offices, competition authorities, relevant IGOs and NGOs) engaged in dialogue with WIPO</w:t>
            </w:r>
          </w:p>
          <w:p w:rsidR="00DD50EB" w:rsidRPr="000B3714" w:rsidRDefault="00DD50EB" w:rsidP="007C0423">
            <w:pPr>
              <w:rPr>
                <w:rFonts w:cs="Arial"/>
                <w:sz w:val="16"/>
                <w:szCs w:val="16"/>
              </w:rPr>
            </w:pPr>
          </w:p>
        </w:tc>
        <w:tc>
          <w:tcPr>
            <w:tcW w:w="906" w:type="pct"/>
            <w:shd w:val="clear" w:color="auto" w:fill="auto"/>
          </w:tcPr>
          <w:p w:rsidR="00DD50EB" w:rsidRPr="000B3714" w:rsidRDefault="00DD50EB" w:rsidP="007C0423">
            <w:pPr>
              <w:rPr>
                <w:rFonts w:cs="Arial"/>
                <w:sz w:val="16"/>
                <w:szCs w:val="16"/>
              </w:rPr>
            </w:pPr>
            <w:r w:rsidRPr="000B3714">
              <w:rPr>
                <w:rFonts w:cs="Arial"/>
                <w:sz w:val="16"/>
                <w:szCs w:val="16"/>
              </w:rPr>
              <w:t>Engagement with five national competition authorities (from three Member States) and three IGOs</w:t>
            </w:r>
          </w:p>
        </w:tc>
        <w:tc>
          <w:tcPr>
            <w:tcW w:w="905" w:type="pct"/>
            <w:gridSpan w:val="2"/>
            <w:shd w:val="clear" w:color="auto" w:fill="auto"/>
            <w:tcMar>
              <w:top w:w="110" w:type="dxa"/>
            </w:tcMar>
          </w:tcPr>
          <w:p w:rsidR="00DD50EB" w:rsidRPr="000B3714" w:rsidRDefault="00DD50EB" w:rsidP="007C0423">
            <w:pPr>
              <w:autoSpaceDE w:val="0"/>
              <w:autoSpaceDN w:val="0"/>
              <w:adjustRightInd w:val="0"/>
              <w:rPr>
                <w:rFonts w:cs="Arial"/>
                <w:sz w:val="16"/>
                <w:szCs w:val="16"/>
              </w:rPr>
            </w:pPr>
            <w:r w:rsidRPr="000B3714">
              <w:rPr>
                <w:rFonts w:cs="Arial"/>
                <w:sz w:val="16"/>
                <w:szCs w:val="16"/>
              </w:rPr>
              <w:t>Stakeholders engaged</w:t>
            </w:r>
            <w:r w:rsidR="004547C1">
              <w:rPr>
                <w:rFonts w:cs="Arial"/>
                <w:sz w:val="16"/>
                <w:szCs w:val="16"/>
              </w:rPr>
              <w:t xml:space="preserve"> </w:t>
            </w:r>
            <w:r w:rsidRPr="000B3714">
              <w:rPr>
                <w:rFonts w:cs="Arial"/>
                <w:sz w:val="16"/>
                <w:szCs w:val="16"/>
              </w:rPr>
              <w:t>in WIPO’s Global</w:t>
            </w:r>
            <w:r w:rsidR="004547C1">
              <w:rPr>
                <w:rFonts w:cs="Arial"/>
                <w:sz w:val="16"/>
                <w:szCs w:val="16"/>
              </w:rPr>
              <w:t xml:space="preserve"> </w:t>
            </w:r>
            <w:r w:rsidRPr="000B3714">
              <w:rPr>
                <w:rFonts w:cs="Arial"/>
                <w:sz w:val="16"/>
                <w:szCs w:val="16"/>
              </w:rPr>
              <w:t>Forum: 15</w:t>
            </w:r>
            <w:r w:rsidR="004547C1">
              <w:rPr>
                <w:rFonts w:cs="Arial"/>
                <w:sz w:val="16"/>
                <w:szCs w:val="16"/>
              </w:rPr>
              <w:t> </w:t>
            </w:r>
            <w:r w:rsidRPr="000B3714">
              <w:rPr>
                <w:rFonts w:cs="Arial"/>
                <w:sz w:val="16"/>
                <w:szCs w:val="16"/>
              </w:rPr>
              <w:t>national</w:t>
            </w:r>
          </w:p>
          <w:p w:rsidR="00DD50EB" w:rsidRPr="000B3714" w:rsidRDefault="00DD50EB" w:rsidP="004547C1">
            <w:pPr>
              <w:autoSpaceDE w:val="0"/>
              <w:autoSpaceDN w:val="0"/>
              <w:adjustRightInd w:val="0"/>
              <w:rPr>
                <w:rFonts w:cs="Arial"/>
                <w:sz w:val="16"/>
                <w:szCs w:val="16"/>
              </w:rPr>
            </w:pPr>
            <w:r w:rsidRPr="000B3714">
              <w:rPr>
                <w:rFonts w:cs="Arial"/>
                <w:sz w:val="16"/>
                <w:szCs w:val="16"/>
              </w:rPr>
              <w:t>authorities and 5</w:t>
            </w:r>
            <w:r w:rsidR="004547C1">
              <w:rPr>
                <w:rFonts w:cs="Arial"/>
                <w:sz w:val="16"/>
                <w:szCs w:val="16"/>
              </w:rPr>
              <w:t> </w:t>
            </w:r>
            <w:r w:rsidRPr="000B3714">
              <w:rPr>
                <w:rFonts w:cs="Arial"/>
                <w:sz w:val="16"/>
                <w:szCs w:val="16"/>
              </w:rPr>
              <w:t>NGOs</w:t>
            </w:r>
          </w:p>
        </w:tc>
        <w:tc>
          <w:tcPr>
            <w:tcW w:w="1646" w:type="pct"/>
            <w:shd w:val="clear" w:color="auto" w:fill="FFFFFF"/>
            <w:tcMar>
              <w:top w:w="110" w:type="dxa"/>
            </w:tcMar>
          </w:tcPr>
          <w:p w:rsidR="00DD50EB" w:rsidRPr="000B3714" w:rsidRDefault="00DD50EB" w:rsidP="007C0423">
            <w:pPr>
              <w:rPr>
                <w:rFonts w:cs="Arial"/>
                <w:sz w:val="16"/>
                <w:szCs w:val="16"/>
              </w:rPr>
            </w:pPr>
            <w:r w:rsidRPr="000B3714">
              <w:rPr>
                <w:rFonts w:cs="Arial"/>
                <w:sz w:val="16"/>
                <w:szCs w:val="16"/>
                <w:lang w:bidi="th-TH"/>
              </w:rPr>
              <w:t xml:space="preserve">19 workshops and meetings engaging 38 competition authorities and 5 IGOs. Establishment of informal coordination with UNCTAD, WTO and OECD. </w:t>
            </w:r>
            <w:r w:rsidR="004547C1">
              <w:rPr>
                <w:rFonts w:cs="Arial"/>
                <w:sz w:val="16"/>
                <w:szCs w:val="16"/>
                <w:lang w:bidi="th-TH"/>
              </w:rPr>
              <w:t xml:space="preserve"> </w:t>
            </w:r>
            <w:r w:rsidRPr="000B3714">
              <w:rPr>
                <w:rFonts w:cs="Arial"/>
                <w:sz w:val="16"/>
                <w:szCs w:val="16"/>
                <w:lang w:bidi="th-TH"/>
              </w:rPr>
              <w:t xml:space="preserve">Active participation in the International Competition Network. </w:t>
            </w:r>
            <w:r w:rsidR="003F01FB">
              <w:rPr>
                <w:rFonts w:cs="Arial"/>
                <w:sz w:val="16"/>
                <w:szCs w:val="16"/>
                <w:lang w:bidi="th-TH"/>
              </w:rPr>
              <w:t xml:space="preserve"> </w:t>
            </w:r>
            <w:r w:rsidRPr="000B3714">
              <w:rPr>
                <w:rFonts w:cs="Arial"/>
                <w:sz w:val="16"/>
                <w:szCs w:val="16"/>
                <w:lang w:bidi="th-TH"/>
              </w:rPr>
              <w:t xml:space="preserve">Cooperation with the Common Market for Eastern and Southern Africa </w:t>
            </w:r>
            <w:r w:rsidR="003F01FB">
              <w:rPr>
                <w:rFonts w:cs="Arial"/>
                <w:sz w:val="16"/>
                <w:szCs w:val="16"/>
                <w:lang w:bidi="th-TH"/>
              </w:rPr>
              <w:t>(</w:t>
            </w:r>
            <w:r w:rsidRPr="000B3714">
              <w:rPr>
                <w:rFonts w:cs="Arial"/>
                <w:sz w:val="16"/>
                <w:szCs w:val="16"/>
                <w:lang w:bidi="th-TH"/>
              </w:rPr>
              <w:t>COMESA</w:t>
            </w:r>
            <w:r w:rsidR="003F01FB">
              <w:rPr>
                <w:rFonts w:cs="Arial"/>
                <w:sz w:val="16"/>
                <w:szCs w:val="16"/>
                <w:lang w:bidi="th-TH"/>
              </w:rPr>
              <w:t>)</w:t>
            </w:r>
            <w:r w:rsidR="004547C1">
              <w:rPr>
                <w:rFonts w:cs="Arial"/>
                <w:sz w:val="16"/>
                <w:szCs w:val="16"/>
                <w:lang w:bidi="th-TH"/>
              </w:rPr>
              <w:t>.</w:t>
            </w:r>
          </w:p>
        </w:tc>
        <w:tc>
          <w:tcPr>
            <w:tcW w:w="682" w:type="pct"/>
            <w:shd w:val="clear" w:color="auto" w:fill="auto"/>
            <w:tcMar>
              <w:top w:w="110" w:type="dxa"/>
            </w:tcMar>
          </w:tcPr>
          <w:p w:rsidR="00DD50EB" w:rsidRPr="000B3714" w:rsidRDefault="00DD50EB" w:rsidP="007C0423">
            <w:pPr>
              <w:keepNext/>
              <w:keepLines/>
              <w:jc w:val="center"/>
              <w:rPr>
                <w:rFonts w:cs="Arial"/>
                <w:bCs/>
                <w:color w:val="808080"/>
                <w:sz w:val="16"/>
                <w:szCs w:val="16"/>
              </w:rPr>
            </w:pPr>
            <w:r w:rsidRPr="000B3714">
              <w:rPr>
                <w:rFonts w:cs="Arial"/>
                <w:bCs/>
                <w:color w:val="008000"/>
                <w:sz w:val="16"/>
                <w:szCs w:val="16"/>
              </w:rPr>
              <w:t>Fully</w:t>
            </w:r>
            <w:r w:rsidRPr="000B3714">
              <w:rPr>
                <w:rFonts w:cs="Arial"/>
                <w:bCs/>
                <w:color w:val="008000"/>
                <w:sz w:val="16"/>
                <w:szCs w:val="16"/>
              </w:rPr>
              <w:br/>
              <w:t>Achieved</w:t>
            </w:r>
          </w:p>
        </w:tc>
      </w:tr>
    </w:tbl>
    <w:p w:rsidR="00DD50EB" w:rsidRDefault="00DD50EB" w:rsidP="00DD50EB">
      <w:pPr>
        <w:keepNext/>
        <w:keepLines/>
        <w:rPr>
          <w:rFonts w:cs="Arial"/>
          <w:sz w:val="18"/>
          <w:szCs w:val="18"/>
        </w:rPr>
      </w:pPr>
    </w:p>
    <w:p w:rsidR="00DD50EB" w:rsidRDefault="00DD50EB" w:rsidP="00DD50EB">
      <w:pPr>
        <w:rPr>
          <w:rFonts w:cs="Arial"/>
          <w:sz w:val="18"/>
          <w:szCs w:val="18"/>
        </w:rPr>
      </w:pPr>
      <w:r>
        <w:rPr>
          <w:rFonts w:cs="Arial"/>
          <w:sz w:val="18"/>
          <w:szCs w:val="18"/>
        </w:rPr>
        <w:br w:type="page"/>
      </w:r>
    </w:p>
    <w:p w:rsidR="00DD50EB" w:rsidRDefault="00DD50EB" w:rsidP="00DD50EB">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DD50EB" w:rsidRDefault="00DD50EB" w:rsidP="00DD50EB">
      <w:pPr>
        <w:keepNext/>
        <w:keepLines/>
        <w:rPr>
          <w:rFonts w:cs="Arial"/>
          <w:sz w:val="22"/>
          <w:szCs w:val="22"/>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DD50EB" w:rsidRPr="0027745B" w:rsidRDefault="00DD50EB" w:rsidP="00DD50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keepNext/>
        <w:keepLines/>
        <w:rPr>
          <w:rFonts w:cs="Arial"/>
          <w:sz w:val="22"/>
          <w:szCs w:val="22"/>
        </w:rPr>
      </w:pPr>
    </w:p>
    <w:tbl>
      <w:tblPr>
        <w:tblW w:w="0" w:type="auto"/>
        <w:tblInd w:w="108" w:type="dxa"/>
        <w:shd w:val="clear" w:color="auto" w:fill="FFFFFF" w:themeFill="background1"/>
        <w:tblLayout w:type="fixed"/>
        <w:tblLook w:val="04A0" w:firstRow="1" w:lastRow="0" w:firstColumn="1" w:lastColumn="0" w:noHBand="0" w:noVBand="1"/>
      </w:tblPr>
      <w:tblGrid>
        <w:gridCol w:w="581"/>
        <w:gridCol w:w="4806"/>
        <w:gridCol w:w="1323"/>
        <w:gridCol w:w="1323"/>
        <w:gridCol w:w="1323"/>
      </w:tblGrid>
      <w:tr w:rsidR="00DD50EB" w:rsidRPr="000B3714" w:rsidTr="004547C1">
        <w:tc>
          <w:tcPr>
            <w:tcW w:w="538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DD50EB" w:rsidRPr="000B3714" w:rsidRDefault="00DD50EB" w:rsidP="0024474C">
            <w:pPr>
              <w:spacing w:before="80" w:after="80"/>
              <w:jc w:val="center"/>
              <w:rPr>
                <w:rFonts w:cs="Arial"/>
                <w:bCs/>
                <w:color w:val="000000"/>
                <w:sz w:val="16"/>
                <w:szCs w:val="16"/>
              </w:rPr>
            </w:pPr>
            <w:r w:rsidRPr="000B3714">
              <w:rPr>
                <w:rFonts w:cs="Arial"/>
                <w:bCs/>
                <w:color w:val="000000"/>
                <w:sz w:val="16"/>
                <w:szCs w:val="16"/>
              </w:rPr>
              <w:t>Expected Result No. and Description</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DD50EB" w:rsidRPr="000B3714" w:rsidRDefault="00DD50EB" w:rsidP="0024474C">
            <w:pPr>
              <w:spacing w:before="80" w:after="80"/>
              <w:jc w:val="center"/>
              <w:rPr>
                <w:rFonts w:cs="Arial"/>
                <w:bCs/>
                <w:color w:val="000000"/>
                <w:sz w:val="16"/>
                <w:szCs w:val="16"/>
              </w:rPr>
            </w:pPr>
            <w:r w:rsidRPr="000B3714">
              <w:rPr>
                <w:rFonts w:cs="Arial"/>
                <w:bCs/>
                <w:color w:val="000000"/>
                <w:sz w:val="16"/>
                <w:szCs w:val="16"/>
              </w:rPr>
              <w:t>2012/13 Approved Budget</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DD50EB" w:rsidRPr="000B3714" w:rsidRDefault="00DD50EB" w:rsidP="0024474C">
            <w:pPr>
              <w:spacing w:before="80" w:after="80"/>
              <w:jc w:val="center"/>
              <w:rPr>
                <w:rFonts w:cs="Arial"/>
                <w:bCs/>
                <w:color w:val="000000"/>
                <w:sz w:val="16"/>
                <w:szCs w:val="16"/>
              </w:rPr>
            </w:pPr>
            <w:r w:rsidRPr="000B3714">
              <w:rPr>
                <w:rFonts w:cs="Arial"/>
                <w:bCs/>
                <w:color w:val="000000"/>
                <w:sz w:val="16"/>
                <w:szCs w:val="16"/>
              </w:rPr>
              <w:t xml:space="preserve">2012/13 Budget </w:t>
            </w:r>
            <w:r w:rsidRPr="000B3714">
              <w:rPr>
                <w:rFonts w:cs="Arial"/>
                <w:bCs/>
                <w:color w:val="000000"/>
                <w:sz w:val="16"/>
                <w:szCs w:val="16"/>
              </w:rPr>
              <w:br/>
              <w:t>After Transfers</w:t>
            </w:r>
          </w:p>
        </w:tc>
        <w:tc>
          <w:tcPr>
            <w:tcW w:w="1323" w:type="dxa"/>
            <w:tcBorders>
              <w:top w:val="single" w:sz="4" w:space="0" w:color="auto"/>
              <w:left w:val="nil"/>
              <w:bottom w:val="single" w:sz="4" w:space="0" w:color="auto"/>
              <w:right w:val="single" w:sz="4" w:space="0" w:color="auto"/>
            </w:tcBorders>
            <w:shd w:val="clear" w:color="auto" w:fill="CCFFFF"/>
            <w:vAlign w:val="center"/>
            <w:hideMark/>
          </w:tcPr>
          <w:p w:rsidR="00DD50EB" w:rsidRPr="000B3714" w:rsidRDefault="00DD50EB" w:rsidP="0024474C">
            <w:pPr>
              <w:spacing w:before="80" w:after="80"/>
              <w:jc w:val="center"/>
              <w:rPr>
                <w:rFonts w:cs="Arial"/>
                <w:bCs/>
                <w:color w:val="000000"/>
                <w:sz w:val="16"/>
                <w:szCs w:val="16"/>
              </w:rPr>
            </w:pPr>
            <w:r w:rsidRPr="000B3714">
              <w:rPr>
                <w:rFonts w:cs="Arial"/>
                <w:bCs/>
                <w:color w:val="000000"/>
                <w:sz w:val="16"/>
                <w:szCs w:val="16"/>
              </w:rPr>
              <w:t xml:space="preserve">2012/13 </w:t>
            </w:r>
            <w:r w:rsidRPr="000B3714">
              <w:rPr>
                <w:rFonts w:cs="Arial"/>
                <w:bCs/>
                <w:color w:val="000000"/>
                <w:sz w:val="16"/>
                <w:szCs w:val="16"/>
              </w:rPr>
              <w:br/>
              <w:t>Expenditure</w:t>
            </w:r>
          </w:p>
        </w:tc>
      </w:tr>
      <w:tr w:rsidR="00DD50EB" w:rsidRPr="00720F75" w:rsidTr="004547C1">
        <w:tc>
          <w:tcPr>
            <w:tcW w:w="581" w:type="dxa"/>
            <w:tcBorders>
              <w:top w:val="nil"/>
              <w:left w:val="single" w:sz="4" w:space="0" w:color="auto"/>
              <w:bottom w:val="nil"/>
              <w:right w:val="nil"/>
            </w:tcBorders>
            <w:shd w:val="clear" w:color="auto" w:fill="FFFFFF" w:themeFill="background1"/>
            <w:noWrap/>
            <w:hideMark/>
          </w:tcPr>
          <w:p w:rsidR="00DD50EB" w:rsidRPr="0027745B" w:rsidRDefault="00DD50EB" w:rsidP="0024474C">
            <w:pPr>
              <w:spacing w:before="80"/>
              <w:jc w:val="center"/>
              <w:rPr>
                <w:rFonts w:cs="Arial"/>
                <w:color w:val="000000"/>
                <w:sz w:val="16"/>
                <w:szCs w:val="16"/>
              </w:rPr>
            </w:pPr>
            <w:r w:rsidRPr="0027745B">
              <w:rPr>
                <w:rFonts w:cs="Arial"/>
                <w:color w:val="000000"/>
                <w:sz w:val="16"/>
                <w:szCs w:val="16"/>
              </w:rPr>
              <w:t>VII.1</w:t>
            </w:r>
          </w:p>
        </w:tc>
        <w:tc>
          <w:tcPr>
            <w:tcW w:w="4806" w:type="dxa"/>
            <w:tcBorders>
              <w:top w:val="nil"/>
              <w:left w:val="nil"/>
              <w:bottom w:val="nil"/>
              <w:right w:val="nil"/>
            </w:tcBorders>
            <w:shd w:val="clear" w:color="auto" w:fill="FFFFFF" w:themeFill="background1"/>
            <w:hideMark/>
          </w:tcPr>
          <w:p w:rsidR="00DD50EB" w:rsidRPr="0027745B" w:rsidRDefault="00DD50EB" w:rsidP="0024474C">
            <w:pPr>
              <w:spacing w:before="80"/>
              <w:rPr>
                <w:rFonts w:cs="Arial"/>
                <w:color w:val="000000"/>
                <w:sz w:val="16"/>
                <w:szCs w:val="16"/>
              </w:rPr>
            </w:pPr>
            <w:r w:rsidRPr="0027745B">
              <w:rPr>
                <w:rFonts w:cs="Arial"/>
                <w:color w:val="000000"/>
                <w:sz w:val="16"/>
                <w:szCs w:val="16"/>
              </w:rPr>
              <w:t>Enhanced understanding among policy makers on the interface between global challenges and innovation and intellectual property as a basis for improved policy decision making</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1,040 </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1,716 </w:t>
            </w:r>
          </w:p>
        </w:tc>
        <w:tc>
          <w:tcPr>
            <w:tcW w:w="1323" w:type="dxa"/>
            <w:tcBorders>
              <w:top w:val="nil"/>
              <w:left w:val="nil"/>
              <w:bottom w:val="nil"/>
              <w:right w:val="single" w:sz="4" w:space="0" w:color="auto"/>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1,695 </w:t>
            </w:r>
          </w:p>
        </w:tc>
      </w:tr>
      <w:tr w:rsidR="00DD50EB" w:rsidRPr="00720F75" w:rsidTr="004547C1">
        <w:tc>
          <w:tcPr>
            <w:tcW w:w="581" w:type="dxa"/>
            <w:tcBorders>
              <w:top w:val="nil"/>
              <w:left w:val="single" w:sz="4" w:space="0" w:color="auto"/>
              <w:bottom w:val="nil"/>
              <w:right w:val="nil"/>
            </w:tcBorders>
            <w:shd w:val="clear" w:color="auto" w:fill="FFFFFF" w:themeFill="background1"/>
            <w:noWrap/>
            <w:hideMark/>
          </w:tcPr>
          <w:p w:rsidR="00DD50EB" w:rsidRPr="0027745B" w:rsidRDefault="00DD50EB" w:rsidP="0024474C">
            <w:pPr>
              <w:spacing w:before="80"/>
              <w:jc w:val="center"/>
              <w:rPr>
                <w:rFonts w:cs="Arial"/>
                <w:color w:val="000000"/>
                <w:sz w:val="16"/>
                <w:szCs w:val="16"/>
              </w:rPr>
            </w:pPr>
            <w:r w:rsidRPr="0027745B">
              <w:rPr>
                <w:rFonts w:cs="Arial"/>
                <w:color w:val="000000"/>
                <w:sz w:val="16"/>
                <w:szCs w:val="16"/>
              </w:rPr>
              <w:t>VII.2</w:t>
            </w:r>
          </w:p>
        </w:tc>
        <w:tc>
          <w:tcPr>
            <w:tcW w:w="4806" w:type="dxa"/>
            <w:tcBorders>
              <w:top w:val="nil"/>
              <w:left w:val="nil"/>
              <w:bottom w:val="nil"/>
              <w:right w:val="nil"/>
            </w:tcBorders>
            <w:shd w:val="clear" w:color="auto" w:fill="FFFFFF" w:themeFill="background1"/>
            <w:hideMark/>
          </w:tcPr>
          <w:p w:rsidR="00DD50EB" w:rsidRPr="0027745B" w:rsidRDefault="00DD50EB" w:rsidP="0024474C">
            <w:pPr>
              <w:spacing w:before="80"/>
              <w:rPr>
                <w:rFonts w:cs="Arial"/>
                <w:color w:val="000000"/>
                <w:sz w:val="16"/>
                <w:szCs w:val="16"/>
              </w:rPr>
            </w:pPr>
            <w:r w:rsidRPr="0027745B">
              <w:rPr>
                <w:rFonts w:cs="Arial"/>
                <w:color w:val="000000"/>
                <w:sz w:val="16"/>
                <w:szCs w:val="16"/>
              </w:rPr>
              <w:t>WIPO established as a credible source of  support, assistance, and reference for information on innovation and IP in relevant public policy processes</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2,149 </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2,528 </w:t>
            </w:r>
          </w:p>
        </w:tc>
        <w:tc>
          <w:tcPr>
            <w:tcW w:w="1323" w:type="dxa"/>
            <w:tcBorders>
              <w:top w:val="nil"/>
              <w:left w:val="nil"/>
              <w:bottom w:val="nil"/>
              <w:right w:val="single" w:sz="4" w:space="0" w:color="auto"/>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2,426</w:t>
            </w:r>
          </w:p>
        </w:tc>
      </w:tr>
      <w:tr w:rsidR="00DD50EB" w:rsidRPr="00720F75" w:rsidTr="004547C1">
        <w:tc>
          <w:tcPr>
            <w:tcW w:w="581" w:type="dxa"/>
            <w:tcBorders>
              <w:top w:val="nil"/>
              <w:left w:val="single" w:sz="4" w:space="0" w:color="auto"/>
              <w:bottom w:val="nil"/>
              <w:right w:val="nil"/>
            </w:tcBorders>
            <w:shd w:val="clear" w:color="auto" w:fill="FFFFFF" w:themeFill="background1"/>
            <w:noWrap/>
            <w:hideMark/>
          </w:tcPr>
          <w:p w:rsidR="00DD50EB" w:rsidRPr="0027745B" w:rsidRDefault="00DD50EB" w:rsidP="0024474C">
            <w:pPr>
              <w:spacing w:before="80"/>
              <w:jc w:val="center"/>
              <w:rPr>
                <w:rFonts w:cs="Arial"/>
                <w:color w:val="000000"/>
                <w:sz w:val="16"/>
                <w:szCs w:val="16"/>
              </w:rPr>
            </w:pPr>
            <w:r w:rsidRPr="0027745B">
              <w:rPr>
                <w:rFonts w:cs="Arial"/>
                <w:color w:val="000000"/>
                <w:sz w:val="16"/>
                <w:szCs w:val="16"/>
              </w:rPr>
              <w:t>VII.3</w:t>
            </w:r>
          </w:p>
        </w:tc>
        <w:tc>
          <w:tcPr>
            <w:tcW w:w="4806" w:type="dxa"/>
            <w:tcBorders>
              <w:top w:val="nil"/>
              <w:left w:val="nil"/>
              <w:bottom w:val="nil"/>
              <w:right w:val="nil"/>
            </w:tcBorders>
            <w:shd w:val="clear" w:color="auto" w:fill="FFFFFF" w:themeFill="background1"/>
            <w:hideMark/>
          </w:tcPr>
          <w:p w:rsidR="00DD50EB" w:rsidRPr="0027745B" w:rsidRDefault="00DD50EB" w:rsidP="0024474C">
            <w:pPr>
              <w:spacing w:before="80"/>
              <w:rPr>
                <w:rFonts w:cs="Arial"/>
                <w:color w:val="000000"/>
                <w:sz w:val="16"/>
                <w:szCs w:val="16"/>
              </w:rPr>
            </w:pPr>
            <w:r w:rsidRPr="0027745B">
              <w:rPr>
                <w:rFonts w:cs="Arial"/>
                <w:color w:val="000000"/>
                <w:sz w:val="16"/>
                <w:szCs w:val="16"/>
              </w:rPr>
              <w:t>IP-based tools are used for technology transfer from developed to developing countries, particularly least developed countries, to address global challenges</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2,198 </w:t>
            </w:r>
          </w:p>
        </w:tc>
        <w:tc>
          <w:tcPr>
            <w:tcW w:w="1323" w:type="dxa"/>
            <w:tcBorders>
              <w:top w:val="nil"/>
              <w:left w:val="nil"/>
              <w:bottom w:val="nil"/>
              <w:right w:val="nil"/>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1,466 </w:t>
            </w:r>
          </w:p>
        </w:tc>
        <w:tc>
          <w:tcPr>
            <w:tcW w:w="1323" w:type="dxa"/>
            <w:tcBorders>
              <w:top w:val="nil"/>
              <w:left w:val="nil"/>
              <w:bottom w:val="nil"/>
              <w:right w:val="single" w:sz="4" w:space="0" w:color="auto"/>
            </w:tcBorders>
            <w:shd w:val="clear" w:color="auto" w:fill="FFFFFF" w:themeFill="background1"/>
            <w:vAlign w:val="center"/>
            <w:hideMark/>
          </w:tcPr>
          <w:p w:rsidR="00DD50EB" w:rsidRPr="0027745B" w:rsidRDefault="00DD50EB" w:rsidP="0024474C">
            <w:pPr>
              <w:spacing w:before="80"/>
              <w:rPr>
                <w:rFonts w:cs="Arial"/>
                <w:color w:val="000000"/>
                <w:sz w:val="16"/>
                <w:szCs w:val="16"/>
              </w:rPr>
            </w:pPr>
            <w:r w:rsidRPr="0027745B">
              <w:rPr>
                <w:rFonts w:cs="Arial"/>
                <w:color w:val="000000"/>
                <w:sz w:val="16"/>
                <w:szCs w:val="16"/>
              </w:rPr>
              <w:t xml:space="preserve">1,549 </w:t>
            </w:r>
          </w:p>
        </w:tc>
      </w:tr>
      <w:tr w:rsidR="00DD50EB" w:rsidRPr="00720F75" w:rsidTr="004547C1">
        <w:tc>
          <w:tcPr>
            <w:tcW w:w="581" w:type="dxa"/>
            <w:tcBorders>
              <w:top w:val="nil"/>
              <w:left w:val="single" w:sz="4" w:space="0" w:color="auto"/>
              <w:bottom w:val="single" w:sz="4" w:space="0" w:color="auto"/>
              <w:right w:val="nil"/>
            </w:tcBorders>
            <w:shd w:val="clear" w:color="auto" w:fill="FFFFFF" w:themeFill="background1"/>
            <w:noWrap/>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VII.4</w:t>
            </w:r>
          </w:p>
        </w:tc>
        <w:tc>
          <w:tcPr>
            <w:tcW w:w="4806" w:type="dxa"/>
            <w:tcBorders>
              <w:top w:val="nil"/>
              <w:left w:val="nil"/>
              <w:bottom w:val="single" w:sz="4" w:space="0" w:color="auto"/>
              <w:right w:val="nil"/>
            </w:tcBorders>
            <w:shd w:val="clear" w:color="auto" w:fill="FFFFFF" w:themeFill="background1"/>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WIPO established as the relevant Forum for analyzing and debating issues in the field of IP and competition policy</w:t>
            </w:r>
          </w:p>
        </w:tc>
        <w:tc>
          <w:tcPr>
            <w:tcW w:w="1323" w:type="dxa"/>
            <w:tcBorders>
              <w:top w:val="nil"/>
              <w:left w:val="nil"/>
              <w:bottom w:val="single" w:sz="4" w:space="0" w:color="auto"/>
              <w:right w:val="nil"/>
            </w:tcBorders>
            <w:shd w:val="clear" w:color="auto" w:fill="FFFFFF" w:themeFill="background1"/>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1,381 </w:t>
            </w:r>
          </w:p>
        </w:tc>
        <w:tc>
          <w:tcPr>
            <w:tcW w:w="1323" w:type="dxa"/>
            <w:tcBorders>
              <w:top w:val="nil"/>
              <w:left w:val="nil"/>
              <w:bottom w:val="single" w:sz="4" w:space="0" w:color="auto"/>
              <w:right w:val="nil"/>
            </w:tcBorders>
            <w:shd w:val="clear" w:color="auto" w:fill="FFFFFF" w:themeFill="background1"/>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1,428 </w:t>
            </w:r>
          </w:p>
        </w:tc>
        <w:tc>
          <w:tcPr>
            <w:tcW w:w="1323" w:type="dxa"/>
            <w:tcBorders>
              <w:top w:val="nil"/>
              <w:left w:val="nil"/>
              <w:bottom w:val="single" w:sz="4" w:space="0" w:color="auto"/>
              <w:right w:val="single" w:sz="4" w:space="0" w:color="auto"/>
            </w:tcBorders>
            <w:shd w:val="clear" w:color="auto" w:fill="FFFFFF" w:themeFill="background1"/>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1,416 </w:t>
            </w:r>
          </w:p>
        </w:tc>
      </w:tr>
      <w:tr w:rsidR="00DD50EB" w:rsidRPr="00720F75" w:rsidTr="004547C1">
        <w:tc>
          <w:tcPr>
            <w:tcW w:w="581" w:type="dxa"/>
            <w:tcBorders>
              <w:top w:val="nil"/>
              <w:left w:val="single" w:sz="4" w:space="0" w:color="auto"/>
              <w:bottom w:val="single" w:sz="4" w:space="0" w:color="auto"/>
              <w:right w:val="nil"/>
            </w:tcBorders>
            <w:shd w:val="clear" w:color="auto" w:fill="FFFFFF" w:themeFill="background1"/>
            <w:noWrap/>
            <w:vAlign w:val="bottom"/>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 </w:t>
            </w:r>
          </w:p>
        </w:tc>
        <w:tc>
          <w:tcPr>
            <w:tcW w:w="4806" w:type="dxa"/>
            <w:tcBorders>
              <w:top w:val="nil"/>
              <w:left w:val="nil"/>
              <w:bottom w:val="single" w:sz="4" w:space="0" w:color="auto"/>
              <w:right w:val="nil"/>
            </w:tcBorders>
            <w:shd w:val="clear" w:color="auto" w:fill="FFFFFF" w:themeFill="background1"/>
            <w:noWrap/>
            <w:vAlign w:val="center"/>
            <w:hideMark/>
          </w:tcPr>
          <w:p w:rsidR="00DD50EB" w:rsidRPr="0027745B" w:rsidRDefault="00DD50EB" w:rsidP="0024474C">
            <w:pPr>
              <w:spacing w:before="80" w:after="80"/>
              <w:rPr>
                <w:rFonts w:cs="Arial"/>
                <w:b/>
                <w:bCs/>
                <w:color w:val="000000"/>
                <w:sz w:val="16"/>
                <w:szCs w:val="16"/>
              </w:rPr>
            </w:pPr>
            <w:r w:rsidRPr="0027745B">
              <w:rPr>
                <w:rFonts w:cs="Arial"/>
                <w:b/>
                <w:bCs/>
                <w:color w:val="000000"/>
                <w:sz w:val="16"/>
                <w:szCs w:val="16"/>
              </w:rPr>
              <w:t>Total</w:t>
            </w:r>
          </w:p>
        </w:tc>
        <w:tc>
          <w:tcPr>
            <w:tcW w:w="1323" w:type="dxa"/>
            <w:tcBorders>
              <w:top w:val="nil"/>
              <w:left w:val="single" w:sz="4" w:space="0" w:color="auto"/>
              <w:bottom w:val="single" w:sz="4" w:space="0" w:color="auto"/>
              <w:right w:val="single" w:sz="4" w:space="0" w:color="auto"/>
            </w:tcBorders>
            <w:shd w:val="clear" w:color="auto" w:fill="FFFFFF" w:themeFill="background1"/>
            <w:vAlign w:val="center"/>
            <w:hideMark/>
          </w:tcPr>
          <w:p w:rsidR="00DD50EB" w:rsidRPr="0027745B" w:rsidRDefault="00DD50EB" w:rsidP="0024474C">
            <w:pPr>
              <w:spacing w:before="80" w:after="80"/>
              <w:jc w:val="right"/>
              <w:rPr>
                <w:rFonts w:cs="Arial"/>
                <w:b/>
                <w:bCs/>
                <w:color w:val="000000"/>
                <w:sz w:val="16"/>
                <w:szCs w:val="16"/>
              </w:rPr>
            </w:pPr>
            <w:r w:rsidRPr="0027745B">
              <w:rPr>
                <w:rFonts w:cs="Arial"/>
                <w:b/>
                <w:bCs/>
                <w:color w:val="000000"/>
                <w:sz w:val="16"/>
                <w:szCs w:val="16"/>
              </w:rPr>
              <w:t>6,768</w:t>
            </w:r>
          </w:p>
        </w:tc>
        <w:tc>
          <w:tcPr>
            <w:tcW w:w="1323" w:type="dxa"/>
            <w:tcBorders>
              <w:top w:val="nil"/>
              <w:left w:val="nil"/>
              <w:bottom w:val="single" w:sz="4" w:space="0" w:color="auto"/>
              <w:right w:val="single" w:sz="4" w:space="0" w:color="auto"/>
            </w:tcBorders>
            <w:shd w:val="clear" w:color="auto" w:fill="FFFFFF" w:themeFill="background1"/>
            <w:noWrap/>
            <w:vAlign w:val="center"/>
            <w:hideMark/>
          </w:tcPr>
          <w:p w:rsidR="00DD50EB" w:rsidRPr="0027745B" w:rsidRDefault="00DD50EB" w:rsidP="0024474C">
            <w:pPr>
              <w:spacing w:before="80" w:after="80"/>
              <w:jc w:val="right"/>
              <w:rPr>
                <w:rFonts w:cs="Arial"/>
                <w:b/>
                <w:bCs/>
                <w:color w:val="000000"/>
                <w:sz w:val="16"/>
                <w:szCs w:val="16"/>
              </w:rPr>
            </w:pPr>
            <w:r w:rsidRPr="0027745B">
              <w:rPr>
                <w:rFonts w:cs="Arial"/>
                <w:b/>
                <w:bCs/>
                <w:color w:val="000000"/>
                <w:sz w:val="16"/>
                <w:szCs w:val="16"/>
              </w:rPr>
              <w:t>7,138</w:t>
            </w:r>
          </w:p>
        </w:tc>
        <w:tc>
          <w:tcPr>
            <w:tcW w:w="1323" w:type="dxa"/>
            <w:tcBorders>
              <w:top w:val="nil"/>
              <w:left w:val="nil"/>
              <w:bottom w:val="single" w:sz="4" w:space="0" w:color="auto"/>
              <w:right w:val="single" w:sz="4" w:space="0" w:color="auto"/>
            </w:tcBorders>
            <w:shd w:val="clear" w:color="auto" w:fill="FFFFFF" w:themeFill="background1"/>
            <w:vAlign w:val="center"/>
            <w:hideMark/>
          </w:tcPr>
          <w:p w:rsidR="00DD50EB" w:rsidRPr="0027745B" w:rsidRDefault="00DD50EB" w:rsidP="0024474C">
            <w:pPr>
              <w:spacing w:before="80" w:after="80"/>
              <w:jc w:val="right"/>
              <w:rPr>
                <w:rFonts w:cs="Arial"/>
                <w:b/>
                <w:bCs/>
                <w:color w:val="000000"/>
                <w:sz w:val="16"/>
                <w:szCs w:val="16"/>
              </w:rPr>
            </w:pPr>
            <w:r w:rsidRPr="0027745B">
              <w:rPr>
                <w:rFonts w:cs="Arial"/>
                <w:b/>
                <w:bCs/>
                <w:color w:val="000000"/>
                <w:sz w:val="16"/>
                <w:szCs w:val="16"/>
              </w:rPr>
              <w:t>7,086</w:t>
            </w:r>
          </w:p>
        </w:tc>
      </w:tr>
    </w:tbl>
    <w:p w:rsidR="00DD50EB" w:rsidRDefault="00DD50EB" w:rsidP="00DD50EB">
      <w:pPr>
        <w:keepNext/>
        <w:keepLines/>
        <w:rPr>
          <w:rFonts w:cs="Arial"/>
          <w:sz w:val="22"/>
          <w:szCs w:val="22"/>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DD50EB" w:rsidRPr="0027745B" w:rsidRDefault="00DD50EB" w:rsidP="00DD50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keepNext/>
        <w:keepLines/>
        <w:rPr>
          <w:rFonts w:cs="Arial"/>
          <w:sz w:val="22"/>
          <w:szCs w:val="22"/>
        </w:rPr>
      </w:pPr>
    </w:p>
    <w:tbl>
      <w:tblPr>
        <w:tblW w:w="9390" w:type="dxa"/>
        <w:tblInd w:w="93" w:type="dxa"/>
        <w:tblLook w:val="04A0" w:firstRow="1" w:lastRow="0" w:firstColumn="1" w:lastColumn="0" w:noHBand="0" w:noVBand="1"/>
      </w:tblPr>
      <w:tblGrid>
        <w:gridCol w:w="2709"/>
        <w:gridCol w:w="1670"/>
        <w:gridCol w:w="1670"/>
        <w:gridCol w:w="1670"/>
        <w:gridCol w:w="1671"/>
      </w:tblGrid>
      <w:tr w:rsidR="00DD50EB" w:rsidRPr="0024474C" w:rsidTr="007C0423">
        <w:trPr>
          <w:trHeight w:val="415"/>
        </w:trPr>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24474C" w:rsidRDefault="00DD50EB" w:rsidP="0024474C">
            <w:pPr>
              <w:spacing w:before="80" w:after="80"/>
              <w:rPr>
                <w:rFonts w:cs="Arial"/>
                <w:color w:val="000000"/>
                <w:sz w:val="16"/>
                <w:szCs w:val="16"/>
              </w:rPr>
            </w:pPr>
            <w:r w:rsidRPr="0024474C">
              <w:rPr>
                <w:rFonts w:cs="Arial"/>
                <w:color w:val="000000"/>
                <w:sz w:val="16"/>
                <w:szCs w:val="16"/>
              </w:rPr>
              <w:t> </w:t>
            </w:r>
          </w:p>
        </w:tc>
        <w:tc>
          <w:tcPr>
            <w:tcW w:w="1670"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80" w:after="80"/>
              <w:jc w:val="center"/>
              <w:rPr>
                <w:rFonts w:cs="Arial"/>
                <w:bCs/>
                <w:color w:val="000000"/>
                <w:sz w:val="16"/>
                <w:szCs w:val="16"/>
              </w:rPr>
            </w:pPr>
            <w:r w:rsidRPr="0024474C">
              <w:rPr>
                <w:rFonts w:cs="Arial"/>
                <w:bCs/>
                <w:color w:val="000000"/>
                <w:sz w:val="16"/>
                <w:szCs w:val="16"/>
              </w:rPr>
              <w:t>Approved Budget 2012/13</w:t>
            </w:r>
          </w:p>
        </w:tc>
        <w:tc>
          <w:tcPr>
            <w:tcW w:w="1670"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80" w:after="80"/>
              <w:jc w:val="center"/>
              <w:rPr>
                <w:rFonts w:cs="Arial"/>
                <w:bCs/>
                <w:color w:val="000000"/>
                <w:sz w:val="16"/>
                <w:szCs w:val="16"/>
              </w:rPr>
            </w:pPr>
            <w:r w:rsidRPr="0024474C">
              <w:rPr>
                <w:rFonts w:cs="Arial"/>
                <w:bCs/>
                <w:color w:val="000000"/>
                <w:sz w:val="16"/>
                <w:szCs w:val="16"/>
              </w:rPr>
              <w:t>Budget after transfers 2012/13</w:t>
            </w:r>
          </w:p>
        </w:tc>
        <w:tc>
          <w:tcPr>
            <w:tcW w:w="1670"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80" w:after="80"/>
              <w:jc w:val="center"/>
              <w:rPr>
                <w:rFonts w:cs="Arial"/>
                <w:bCs/>
                <w:color w:val="000000"/>
                <w:sz w:val="16"/>
                <w:szCs w:val="16"/>
              </w:rPr>
            </w:pPr>
            <w:r w:rsidRPr="0024474C">
              <w:rPr>
                <w:rFonts w:cs="Arial"/>
                <w:bCs/>
                <w:color w:val="000000"/>
                <w:sz w:val="16"/>
                <w:szCs w:val="16"/>
              </w:rPr>
              <w:t>Expenditures 2012/13</w:t>
            </w:r>
          </w:p>
        </w:tc>
        <w:tc>
          <w:tcPr>
            <w:tcW w:w="1671"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80" w:after="80"/>
              <w:jc w:val="center"/>
              <w:rPr>
                <w:rFonts w:cs="Arial"/>
                <w:bCs/>
                <w:color w:val="000000"/>
                <w:sz w:val="16"/>
                <w:szCs w:val="16"/>
              </w:rPr>
            </w:pPr>
            <w:r w:rsidRPr="0024474C">
              <w:rPr>
                <w:rFonts w:cs="Arial"/>
                <w:bCs/>
                <w:color w:val="000000"/>
                <w:sz w:val="16"/>
                <w:szCs w:val="16"/>
              </w:rPr>
              <w:t>Utilization rate (%)</w:t>
            </w:r>
          </w:p>
        </w:tc>
      </w:tr>
      <w:tr w:rsidR="00DD50EB" w:rsidRPr="00720F75" w:rsidTr="007C0423">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 Personnel Resources  </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5,513</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6,013</w:t>
            </w:r>
          </w:p>
        </w:tc>
        <w:tc>
          <w:tcPr>
            <w:tcW w:w="1670"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6,013</w:t>
            </w:r>
          </w:p>
        </w:tc>
        <w:tc>
          <w:tcPr>
            <w:tcW w:w="1671"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100%</w:t>
            </w:r>
          </w:p>
        </w:tc>
      </w:tr>
      <w:tr w:rsidR="00DD50EB" w:rsidRPr="00720F75" w:rsidTr="007C0423">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80" w:after="80"/>
              <w:rPr>
                <w:rFonts w:cs="Arial"/>
                <w:color w:val="000000"/>
                <w:sz w:val="16"/>
                <w:szCs w:val="16"/>
              </w:rPr>
            </w:pPr>
            <w:r w:rsidRPr="0027745B">
              <w:rPr>
                <w:rFonts w:cs="Arial"/>
                <w:color w:val="000000"/>
                <w:sz w:val="16"/>
                <w:szCs w:val="16"/>
              </w:rPr>
              <w:t xml:space="preserve"> Non-personnel Resources </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1,255</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1,125</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1,072</w:t>
            </w:r>
          </w:p>
        </w:tc>
        <w:tc>
          <w:tcPr>
            <w:tcW w:w="1671"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color w:val="000000"/>
                <w:sz w:val="16"/>
                <w:szCs w:val="16"/>
              </w:rPr>
            </w:pPr>
            <w:r w:rsidRPr="0027745B">
              <w:rPr>
                <w:rFonts w:cs="Arial"/>
                <w:color w:val="000000"/>
                <w:sz w:val="16"/>
                <w:szCs w:val="16"/>
              </w:rPr>
              <w:t>95%</w:t>
            </w:r>
          </w:p>
        </w:tc>
      </w:tr>
      <w:tr w:rsidR="00DD50EB" w:rsidRPr="00720F75" w:rsidTr="007C0423">
        <w:trPr>
          <w:trHeight w:val="466"/>
        </w:trPr>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80" w:after="80"/>
              <w:jc w:val="right"/>
              <w:rPr>
                <w:rFonts w:cs="Arial"/>
                <w:b/>
                <w:bCs/>
                <w:color w:val="000000"/>
                <w:sz w:val="16"/>
                <w:szCs w:val="16"/>
              </w:rPr>
            </w:pPr>
            <w:r w:rsidRPr="0027745B">
              <w:rPr>
                <w:rFonts w:cs="Arial"/>
                <w:b/>
                <w:bCs/>
                <w:color w:val="000000"/>
                <w:sz w:val="16"/>
                <w:szCs w:val="16"/>
              </w:rPr>
              <w:t xml:space="preserve"> TOTAL </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6,768</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7,138</w:t>
            </w:r>
          </w:p>
        </w:tc>
        <w:tc>
          <w:tcPr>
            <w:tcW w:w="1670"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7,086</w:t>
            </w:r>
          </w:p>
        </w:tc>
        <w:tc>
          <w:tcPr>
            <w:tcW w:w="1671"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80" w:after="80"/>
              <w:jc w:val="center"/>
              <w:rPr>
                <w:rFonts w:cs="Arial"/>
                <w:b/>
                <w:bCs/>
                <w:color w:val="000000"/>
                <w:sz w:val="16"/>
                <w:szCs w:val="16"/>
              </w:rPr>
            </w:pPr>
            <w:r w:rsidRPr="0027745B">
              <w:rPr>
                <w:rFonts w:cs="Arial"/>
                <w:b/>
                <w:bCs/>
                <w:color w:val="000000"/>
                <w:sz w:val="16"/>
                <w:szCs w:val="16"/>
              </w:rPr>
              <w:t>99%</w:t>
            </w:r>
          </w:p>
        </w:tc>
      </w:tr>
    </w:tbl>
    <w:p w:rsidR="00DD50EB" w:rsidRPr="0027745B" w:rsidRDefault="00DD50EB" w:rsidP="00DD50EB">
      <w:pPr>
        <w:rPr>
          <w:rFonts w:cs="Arial"/>
          <w:sz w:val="16"/>
          <w:szCs w:val="16"/>
        </w:rPr>
      </w:pPr>
    </w:p>
    <w:p w:rsidR="00DD50EB" w:rsidRPr="0027745B" w:rsidRDefault="00DD50EB" w:rsidP="00DD50EB">
      <w:pPr>
        <w:autoSpaceDE w:val="0"/>
        <w:autoSpaceDN w:val="0"/>
        <w:rPr>
          <w:rFonts w:cs="Arial"/>
          <w:sz w:val="16"/>
          <w:szCs w:val="16"/>
        </w:rPr>
      </w:pPr>
      <w:r w:rsidRPr="0027745B">
        <w:rPr>
          <w:rFonts w:cs="Arial"/>
          <w:sz w:val="16"/>
          <w:szCs w:val="16"/>
        </w:rPr>
        <w:t>NOTES:</w:t>
      </w:r>
    </w:p>
    <w:p w:rsidR="00DD50EB" w:rsidRPr="0027745B" w:rsidRDefault="00DD50EB" w:rsidP="00DD50EB">
      <w:pPr>
        <w:autoSpaceDE w:val="0"/>
        <w:autoSpaceDN w:val="0"/>
        <w:rPr>
          <w:rFonts w:cs="Arial"/>
          <w:sz w:val="16"/>
          <w:szCs w:val="16"/>
        </w:rPr>
      </w:pPr>
    </w:p>
    <w:p w:rsidR="00DD50EB" w:rsidRDefault="00DD50EB" w:rsidP="00DD50EB">
      <w:pPr>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4547C1" w:rsidRPr="0027745B" w:rsidRDefault="004547C1" w:rsidP="00DD50EB">
      <w:pPr>
        <w:autoSpaceDE w:val="0"/>
        <w:autoSpaceDN w:val="0"/>
        <w:rPr>
          <w:rFonts w:cs="Arial"/>
          <w:sz w:val="16"/>
          <w:szCs w:val="16"/>
        </w:rPr>
      </w:pPr>
    </w:p>
    <w:p w:rsidR="00DD50EB" w:rsidRPr="0027745B" w:rsidRDefault="00DC2CFA" w:rsidP="00DD50EB">
      <w:pPr>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DD50EB" w:rsidRPr="0027745B">
        <w:rPr>
          <w:rFonts w:cs="Arial"/>
          <w:sz w:val="16"/>
          <w:szCs w:val="16"/>
        </w:rPr>
        <w:t xml:space="preserve"> </w:t>
      </w:r>
    </w:p>
    <w:p w:rsidR="00DD50EB" w:rsidRDefault="00DD50EB" w:rsidP="00DD50EB">
      <w:pPr>
        <w:rPr>
          <w:rFonts w:cs="Arial"/>
          <w:sz w:val="22"/>
          <w:szCs w:val="22"/>
        </w:rPr>
      </w:pPr>
    </w:p>
    <w:p w:rsidR="00DD50EB" w:rsidRPr="0026255B" w:rsidRDefault="00DD50EB" w:rsidP="00DD50EB">
      <w:pPr>
        <w:tabs>
          <w:tab w:val="left" w:pos="709"/>
        </w:tabs>
        <w:rPr>
          <w:rFonts w:cs="Arial"/>
          <w:szCs w:val="20"/>
          <w:u w:val="single"/>
        </w:rPr>
      </w:pPr>
      <w:r w:rsidRPr="0027745B">
        <w:rPr>
          <w:rFonts w:cs="Arial"/>
          <w:szCs w:val="20"/>
        </w:rPr>
        <w:t xml:space="preserve">A. </w:t>
      </w:r>
      <w:r w:rsidRPr="0027745B">
        <w:rPr>
          <w:rFonts w:cs="Arial"/>
          <w:szCs w:val="20"/>
        </w:rPr>
        <w:tab/>
      </w:r>
      <w:r w:rsidRPr="0026255B">
        <w:rPr>
          <w:rFonts w:cs="Arial"/>
          <w:szCs w:val="20"/>
          <w:u w:val="single"/>
        </w:rPr>
        <w:t>Budget after Transfers 2012/13</w:t>
      </w:r>
    </w:p>
    <w:p w:rsidR="00DD50EB" w:rsidRPr="0026255B" w:rsidRDefault="00DD50EB" w:rsidP="00DD50EB">
      <w:pPr>
        <w:rPr>
          <w:rFonts w:cs="Arial"/>
          <w:szCs w:val="20"/>
        </w:rPr>
      </w:pPr>
    </w:p>
    <w:p w:rsidR="00DD50EB" w:rsidRPr="0026255B" w:rsidRDefault="00DD50EB" w:rsidP="004547C1">
      <w:pPr>
        <w:tabs>
          <w:tab w:val="left" w:pos="709"/>
        </w:tabs>
        <w:autoSpaceDE w:val="0"/>
        <w:autoSpaceDN w:val="0"/>
        <w:jc w:val="both"/>
        <w:rPr>
          <w:rFonts w:cs="Arial"/>
          <w:szCs w:val="20"/>
        </w:rPr>
      </w:pPr>
      <w:r>
        <w:rPr>
          <w:rFonts w:cs="Arial"/>
          <w:szCs w:val="20"/>
        </w:rPr>
        <w:t>18.8.</w:t>
      </w:r>
      <w:r>
        <w:rPr>
          <w:rFonts w:cs="Arial"/>
          <w:szCs w:val="20"/>
        </w:rPr>
        <w:tab/>
      </w:r>
      <w:r w:rsidRPr="0026255B">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DD50EB" w:rsidRPr="0026255B" w:rsidRDefault="00DD50EB" w:rsidP="004547C1">
      <w:pPr>
        <w:jc w:val="both"/>
        <w:rPr>
          <w:rFonts w:cs="Arial"/>
          <w:szCs w:val="20"/>
        </w:rPr>
      </w:pPr>
    </w:p>
    <w:p w:rsidR="00DD50EB" w:rsidRPr="0026255B" w:rsidRDefault="00DD50EB" w:rsidP="004547C1">
      <w:pPr>
        <w:tabs>
          <w:tab w:val="left" w:pos="709"/>
        </w:tabs>
        <w:jc w:val="both"/>
        <w:rPr>
          <w:rFonts w:cs="Arial"/>
          <w:szCs w:val="20"/>
        </w:rPr>
      </w:pPr>
      <w:r>
        <w:rPr>
          <w:rFonts w:cs="Arial"/>
          <w:iCs/>
          <w:szCs w:val="20"/>
        </w:rPr>
        <w:t>18.9.</w:t>
      </w:r>
      <w:r>
        <w:rPr>
          <w:rFonts w:cs="Arial"/>
          <w:iCs/>
          <w:szCs w:val="20"/>
        </w:rPr>
        <w:tab/>
      </w:r>
      <w:r w:rsidRPr="00572A74">
        <w:rPr>
          <w:rFonts w:cs="Arial"/>
          <w:iCs/>
          <w:szCs w:val="20"/>
        </w:rPr>
        <w:t xml:space="preserve">The increase in personnel resources primarily stems from </w:t>
      </w:r>
      <w:r>
        <w:rPr>
          <w:rFonts w:cs="Arial"/>
          <w:iCs/>
          <w:szCs w:val="20"/>
        </w:rPr>
        <w:t>the additional resources to support the work of the WIPO platforms and IT applications across the Global Issues Sector.</w:t>
      </w:r>
      <w:r w:rsidRPr="0026255B">
        <w:rPr>
          <w:rFonts w:cs="Arial"/>
          <w:szCs w:val="20"/>
        </w:rPr>
        <w:t xml:space="preserve"> </w:t>
      </w:r>
    </w:p>
    <w:p w:rsidR="00DD50EB" w:rsidRPr="0026255B" w:rsidRDefault="00DD50EB" w:rsidP="004547C1">
      <w:pPr>
        <w:jc w:val="both"/>
        <w:rPr>
          <w:rFonts w:cs="Arial"/>
          <w:szCs w:val="20"/>
        </w:rPr>
      </w:pPr>
    </w:p>
    <w:p w:rsidR="00DD50EB" w:rsidRPr="0026255B" w:rsidRDefault="00DD50EB" w:rsidP="004547C1">
      <w:pPr>
        <w:tabs>
          <w:tab w:val="left" w:pos="709"/>
        </w:tabs>
        <w:jc w:val="both"/>
        <w:rPr>
          <w:rFonts w:cs="Arial"/>
          <w:szCs w:val="20"/>
        </w:rPr>
      </w:pPr>
      <w:r>
        <w:rPr>
          <w:rFonts w:cs="Arial"/>
          <w:szCs w:val="20"/>
        </w:rPr>
        <w:t>18.10.</w:t>
      </w:r>
      <w:r>
        <w:rPr>
          <w:rFonts w:cs="Arial"/>
          <w:szCs w:val="20"/>
        </w:rPr>
        <w:tab/>
      </w:r>
      <w:r w:rsidRPr="0026255B">
        <w:rPr>
          <w:rFonts w:cs="Arial"/>
          <w:szCs w:val="20"/>
        </w:rPr>
        <w:t xml:space="preserve">The shift in the allocation of resources for Results VII.1 (Enhanced understanding of global challenges and IP) and VII.2 (WIPO established as a credible source on information on innovation and IP) from VII.3 (Usage of IP-based tools for technology transfer) was primarily due to: a) increased resources allocated to the former two Results to respond to the continued requests to contribute to, and participate in, public policy processes, seminars, workshops and conferences; and, b) a decrease in resources required for the development and implementation of the IP-based platform due to some delays compared to original plans, which is reflected under the latter Result.   </w:t>
      </w:r>
    </w:p>
    <w:p w:rsidR="00DD50EB" w:rsidRPr="0026255B" w:rsidRDefault="00DD50EB" w:rsidP="00DD50EB">
      <w:pPr>
        <w:tabs>
          <w:tab w:val="left" w:pos="709"/>
        </w:tabs>
        <w:rPr>
          <w:rFonts w:cs="Arial"/>
          <w:szCs w:val="20"/>
        </w:rPr>
      </w:pPr>
    </w:p>
    <w:p w:rsidR="00DD50EB" w:rsidRPr="0026255B" w:rsidRDefault="00DD50EB" w:rsidP="00DD50EB">
      <w:pPr>
        <w:tabs>
          <w:tab w:val="left" w:pos="709"/>
        </w:tabs>
        <w:rPr>
          <w:rFonts w:cs="Arial"/>
          <w:szCs w:val="20"/>
          <w:u w:val="single"/>
        </w:rPr>
      </w:pPr>
      <w:r w:rsidRPr="0027745B">
        <w:rPr>
          <w:rFonts w:cs="Arial"/>
          <w:szCs w:val="20"/>
        </w:rPr>
        <w:t xml:space="preserve">B. </w:t>
      </w:r>
      <w:r w:rsidRPr="0027745B">
        <w:rPr>
          <w:rFonts w:cs="Arial"/>
          <w:szCs w:val="20"/>
        </w:rPr>
        <w:tab/>
      </w:r>
      <w:r w:rsidR="00D44A34">
        <w:rPr>
          <w:rFonts w:cs="Arial"/>
          <w:szCs w:val="20"/>
          <w:u w:val="single"/>
        </w:rPr>
        <w:t>Budget U</w:t>
      </w:r>
      <w:r w:rsidRPr="0026255B">
        <w:rPr>
          <w:rFonts w:cs="Arial"/>
          <w:szCs w:val="20"/>
          <w:u w:val="single"/>
        </w:rPr>
        <w:t>tilization 2012/13</w:t>
      </w:r>
    </w:p>
    <w:p w:rsidR="00DD50EB" w:rsidRPr="0026255B" w:rsidRDefault="00DD50EB" w:rsidP="00DD50EB">
      <w:pPr>
        <w:tabs>
          <w:tab w:val="left" w:pos="709"/>
        </w:tabs>
        <w:rPr>
          <w:rFonts w:cs="Arial"/>
          <w:szCs w:val="20"/>
        </w:rPr>
      </w:pPr>
    </w:p>
    <w:p w:rsidR="00DD50EB" w:rsidRDefault="00DD50EB" w:rsidP="00DD50EB">
      <w:pPr>
        <w:tabs>
          <w:tab w:val="left" w:pos="709"/>
        </w:tabs>
        <w:rPr>
          <w:rFonts w:cs="Arial"/>
          <w:szCs w:val="20"/>
        </w:rPr>
      </w:pPr>
      <w:r>
        <w:rPr>
          <w:rFonts w:cs="Arial"/>
          <w:szCs w:val="20"/>
        </w:rPr>
        <w:t>18.11.</w:t>
      </w:r>
      <w:r>
        <w:rPr>
          <w:rFonts w:cs="Arial"/>
          <w:szCs w:val="20"/>
        </w:rPr>
        <w:tab/>
      </w:r>
      <w:r w:rsidRPr="0026255B">
        <w:rPr>
          <w:rFonts w:cs="Arial"/>
          <w:szCs w:val="20"/>
        </w:rPr>
        <w:t>The slight under-utilization of non-p</w:t>
      </w:r>
      <w:r>
        <w:rPr>
          <w:rFonts w:cs="Arial"/>
          <w:szCs w:val="20"/>
        </w:rPr>
        <w:t xml:space="preserve">ersonnel resources reflects </w:t>
      </w:r>
      <w:r w:rsidRPr="0026255B">
        <w:rPr>
          <w:rFonts w:cs="Arial"/>
          <w:szCs w:val="20"/>
        </w:rPr>
        <w:t xml:space="preserve">cost </w:t>
      </w:r>
      <w:r>
        <w:rPr>
          <w:rFonts w:cs="Arial"/>
          <w:szCs w:val="20"/>
        </w:rPr>
        <w:t xml:space="preserve">savings, in particular, in relation to travel and the organization of meetings. </w:t>
      </w:r>
      <w:r>
        <w:rPr>
          <w:rFonts w:cs="Arial"/>
          <w:szCs w:val="20"/>
        </w:rPr>
        <w:br w:type="page"/>
      </w:r>
    </w:p>
    <w:p w:rsidR="001525FC" w:rsidRPr="00A522FE" w:rsidRDefault="001525FC" w:rsidP="001525FC">
      <w:pPr>
        <w:pStyle w:val="Heading2"/>
      </w:pPr>
      <w:bookmarkStart w:id="52" w:name="_Toc301357267"/>
      <w:bookmarkStart w:id="53" w:name="_Toc393956068"/>
      <w:r w:rsidRPr="00A522FE">
        <w:lastRenderedPageBreak/>
        <w:t xml:space="preserve">STRATEGIC GOAL </w:t>
      </w:r>
      <w:proofErr w:type="gramStart"/>
      <w:r w:rsidRPr="00A522FE">
        <w:t xml:space="preserve">VIII  </w:t>
      </w:r>
      <w:proofErr w:type="gramEnd"/>
      <w:r w:rsidRPr="00A522FE">
        <w:br/>
      </w:r>
      <w:r w:rsidRPr="00A522FE">
        <w:br/>
        <w:t xml:space="preserve">A Responsive Communications Interface Between WIPO, </w:t>
      </w:r>
      <w:r>
        <w:br/>
      </w:r>
      <w:r w:rsidRPr="00A522FE">
        <w:t>its</w:t>
      </w:r>
      <w:r w:rsidR="00CF5213">
        <w:rPr>
          <w:rFonts w:hint="eastAsia"/>
        </w:rPr>
        <w:t> </w:t>
      </w:r>
      <w:r w:rsidRPr="00A522FE">
        <w:t>Members</w:t>
      </w:r>
      <w:r>
        <w:t xml:space="preserve"> </w:t>
      </w:r>
      <w:r w:rsidRPr="00A522FE">
        <w:t>and all Stakeholders</w:t>
      </w:r>
      <w:bookmarkEnd w:id="52"/>
      <w:bookmarkEnd w:id="53"/>
      <w:r w:rsidRPr="00A522FE">
        <w:t xml:space="preserve"> </w:t>
      </w:r>
    </w:p>
    <w:p w:rsidR="001525FC" w:rsidRPr="000D5D96" w:rsidRDefault="001525FC" w:rsidP="001525FC">
      <w:pPr>
        <w:jc w:val="center"/>
        <w:rPr>
          <w:sz w:val="16"/>
          <w:szCs w:val="16"/>
        </w:rPr>
      </w:pPr>
    </w:p>
    <w:p w:rsidR="001525FC" w:rsidRDefault="001525FC" w:rsidP="001525FC">
      <w:pPr>
        <w:jc w:val="center"/>
        <w:rPr>
          <w:sz w:val="16"/>
          <w:szCs w:val="16"/>
        </w:rPr>
      </w:pPr>
    </w:p>
    <w:p w:rsidR="00CA3D55" w:rsidRPr="000D5D96" w:rsidRDefault="00CA3D55" w:rsidP="001525FC">
      <w:pPr>
        <w:jc w:val="center"/>
        <w:rPr>
          <w:sz w:val="16"/>
          <w:szCs w:val="16"/>
        </w:rPr>
      </w:pPr>
    </w:p>
    <w:p w:rsidR="001525FC" w:rsidRPr="0086702C" w:rsidRDefault="001525FC" w:rsidP="001525FC">
      <w:pPr>
        <w:jc w:val="center"/>
        <w:rPr>
          <w:szCs w:val="20"/>
        </w:rPr>
      </w:pPr>
      <w:r w:rsidRPr="0086702C">
        <w:rPr>
          <w:szCs w:val="20"/>
        </w:rPr>
        <w:t>BIENNIAL PERFORMANCE DASHBOARD</w:t>
      </w:r>
    </w:p>
    <w:p w:rsidR="001525FC" w:rsidRPr="000D5D96" w:rsidRDefault="001525FC" w:rsidP="001525FC">
      <w:pPr>
        <w:jc w:val="center"/>
        <w:rPr>
          <w:sz w:val="16"/>
          <w:szCs w:val="16"/>
        </w:rPr>
      </w:pPr>
    </w:p>
    <w:p w:rsidR="001525FC" w:rsidRDefault="001525FC" w:rsidP="001525FC">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CA3D55" w:rsidRDefault="00CA3D55" w:rsidP="001525FC">
      <w:pPr>
        <w:autoSpaceDE w:val="0"/>
        <w:autoSpaceDN w:val="0"/>
        <w:adjustRightInd w:val="0"/>
        <w:jc w:val="both"/>
        <w:rPr>
          <w:rFonts w:cs="Arial"/>
        </w:rPr>
      </w:pPr>
    </w:p>
    <w:p w:rsidR="00CA3D55" w:rsidRPr="00FA331B" w:rsidRDefault="00B44D3B" w:rsidP="00CA3D55">
      <w:pPr>
        <w:autoSpaceDE w:val="0"/>
        <w:autoSpaceDN w:val="0"/>
        <w:adjustRightInd w:val="0"/>
        <w:jc w:val="center"/>
        <w:rPr>
          <w:rFonts w:cs="Arial"/>
        </w:rPr>
      </w:pPr>
      <w:r>
        <w:rPr>
          <w:noProof/>
        </w:rPr>
        <w:drawing>
          <wp:inline distT="0" distB="0" distL="0" distR="0" wp14:anchorId="066F2E6D" wp14:editId="7254CC42">
            <wp:extent cx="3694176" cy="2029823"/>
            <wp:effectExtent l="0" t="0" r="1905" b="889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72"/>
                    <a:stretch>
                      <a:fillRect/>
                    </a:stretch>
                  </pic:blipFill>
                  <pic:spPr>
                    <a:xfrm>
                      <a:off x="0" y="0"/>
                      <a:ext cx="3694176" cy="2029823"/>
                    </a:xfrm>
                    <a:prstGeom prst="rect">
                      <a:avLst/>
                    </a:prstGeom>
                  </pic:spPr>
                </pic:pic>
              </a:graphicData>
            </a:graphic>
          </wp:inline>
        </w:drawing>
      </w:r>
    </w:p>
    <w:p w:rsidR="001525FC" w:rsidRDefault="001525FC" w:rsidP="001525FC">
      <w:pPr>
        <w:tabs>
          <w:tab w:val="left" w:pos="1701"/>
        </w:tabs>
        <w:ind w:left="1701" w:hanging="1701"/>
        <w:jc w:val="center"/>
        <w:rPr>
          <w:rFonts w:cs="Arial"/>
          <w:b/>
          <w:bCs/>
          <w:caps/>
          <w:sz w:val="16"/>
          <w:szCs w:val="16"/>
        </w:rPr>
      </w:pPr>
    </w:p>
    <w:p w:rsidR="00CA3D55" w:rsidRDefault="00CA3D55" w:rsidP="001525FC">
      <w:pPr>
        <w:tabs>
          <w:tab w:val="left" w:pos="1701"/>
        </w:tabs>
        <w:ind w:left="1701" w:hanging="1701"/>
        <w:jc w:val="center"/>
        <w:rPr>
          <w:rFonts w:cs="Arial"/>
          <w:b/>
          <w:bCs/>
          <w:caps/>
          <w:sz w:val="16"/>
          <w:szCs w:val="16"/>
        </w:rPr>
      </w:pPr>
    </w:p>
    <w:p w:rsidR="00CA3D55" w:rsidRPr="000D5D96" w:rsidRDefault="00CA3D55" w:rsidP="001525FC">
      <w:pPr>
        <w:tabs>
          <w:tab w:val="left" w:pos="1701"/>
        </w:tabs>
        <w:ind w:left="1701" w:hanging="1701"/>
        <w:jc w:val="center"/>
        <w:rPr>
          <w:rFonts w:cs="Arial"/>
          <w:b/>
          <w:bCs/>
          <w:caps/>
          <w:sz w:val="16"/>
          <w:szCs w:val="16"/>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04"/>
        <w:gridCol w:w="4173"/>
        <w:gridCol w:w="1253"/>
        <w:gridCol w:w="1059"/>
      </w:tblGrid>
      <w:tr w:rsidR="001525FC" w:rsidRPr="00D51A82" w:rsidTr="000D5D96">
        <w:tc>
          <w:tcPr>
            <w:tcW w:w="2704" w:type="dxa"/>
            <w:tcBorders>
              <w:top w:val="single" w:sz="4" w:space="0" w:color="auto"/>
              <w:bottom w:val="single" w:sz="4" w:space="0" w:color="auto"/>
            </w:tcBorders>
            <w:shd w:val="clear" w:color="auto" w:fill="CCFFFF"/>
            <w:vAlign w:val="center"/>
          </w:tcPr>
          <w:p w:rsidR="001525FC" w:rsidRPr="000B4241" w:rsidRDefault="001525FC" w:rsidP="0024474C">
            <w:pPr>
              <w:spacing w:before="120" w:after="120"/>
              <w:jc w:val="center"/>
              <w:rPr>
                <w:rFonts w:cs="Arial"/>
                <w:b/>
                <w:bCs/>
                <w:sz w:val="14"/>
                <w:szCs w:val="14"/>
              </w:rPr>
            </w:pPr>
            <w:bookmarkStart w:id="54" w:name="RANGE!A1:C17"/>
            <w:r w:rsidRPr="000B4241">
              <w:rPr>
                <w:rFonts w:cs="Arial"/>
                <w:b/>
                <w:bCs/>
                <w:sz w:val="14"/>
                <w:szCs w:val="14"/>
              </w:rPr>
              <w:t>Expected Results</w:t>
            </w:r>
            <w:bookmarkEnd w:id="54"/>
          </w:p>
        </w:tc>
        <w:tc>
          <w:tcPr>
            <w:tcW w:w="4173" w:type="dxa"/>
            <w:tcBorders>
              <w:top w:val="single" w:sz="4" w:space="0" w:color="auto"/>
              <w:bottom w:val="single" w:sz="4" w:space="0" w:color="auto"/>
            </w:tcBorders>
            <w:shd w:val="clear" w:color="auto" w:fill="CCFFFF"/>
            <w:vAlign w:val="center"/>
          </w:tcPr>
          <w:p w:rsidR="001525FC" w:rsidRPr="000B4241" w:rsidRDefault="001525FC" w:rsidP="0024474C">
            <w:pPr>
              <w:spacing w:before="120" w:after="120"/>
              <w:jc w:val="center"/>
              <w:rPr>
                <w:rFonts w:cs="Arial"/>
                <w:b/>
                <w:bCs/>
                <w:sz w:val="14"/>
                <w:szCs w:val="14"/>
              </w:rPr>
            </w:pPr>
            <w:r w:rsidRPr="000B4241">
              <w:rPr>
                <w:rFonts w:cs="Arial"/>
                <w:b/>
                <w:bCs/>
                <w:sz w:val="14"/>
                <w:szCs w:val="14"/>
              </w:rPr>
              <w:t>Performance Indicators</w:t>
            </w:r>
          </w:p>
        </w:tc>
        <w:tc>
          <w:tcPr>
            <w:tcW w:w="1253" w:type="dxa"/>
            <w:tcBorders>
              <w:top w:val="single" w:sz="4" w:space="0" w:color="auto"/>
              <w:bottom w:val="single" w:sz="4" w:space="0" w:color="auto"/>
            </w:tcBorders>
            <w:shd w:val="clear" w:color="auto" w:fill="CCFFFF"/>
            <w:vAlign w:val="center"/>
          </w:tcPr>
          <w:p w:rsidR="001525FC" w:rsidRPr="000B4241" w:rsidRDefault="001525FC" w:rsidP="0024474C">
            <w:pPr>
              <w:spacing w:before="120" w:after="120"/>
              <w:jc w:val="center"/>
              <w:rPr>
                <w:rFonts w:cs="Arial"/>
                <w:b/>
                <w:bCs/>
                <w:sz w:val="14"/>
                <w:szCs w:val="14"/>
              </w:rPr>
            </w:pPr>
            <w:r w:rsidRPr="000B4241">
              <w:rPr>
                <w:rFonts w:cs="Arial"/>
                <w:b/>
                <w:bCs/>
                <w:sz w:val="14"/>
                <w:szCs w:val="14"/>
              </w:rPr>
              <w:t>Responsible Program(s)</w:t>
            </w:r>
          </w:p>
        </w:tc>
        <w:tc>
          <w:tcPr>
            <w:tcW w:w="1059" w:type="dxa"/>
            <w:tcBorders>
              <w:top w:val="single" w:sz="4" w:space="0" w:color="auto"/>
              <w:bottom w:val="single" w:sz="4" w:space="0" w:color="auto"/>
            </w:tcBorders>
            <w:shd w:val="clear" w:color="auto" w:fill="CCFFFF"/>
            <w:vAlign w:val="center"/>
          </w:tcPr>
          <w:p w:rsidR="001525FC" w:rsidRPr="000B4241" w:rsidRDefault="001525FC" w:rsidP="0024474C">
            <w:pPr>
              <w:spacing w:before="120" w:after="120"/>
              <w:jc w:val="center"/>
              <w:rPr>
                <w:rFonts w:cs="Arial"/>
                <w:b/>
                <w:bCs/>
                <w:sz w:val="14"/>
                <w:szCs w:val="14"/>
              </w:rPr>
            </w:pPr>
            <w:r w:rsidRPr="000B4241">
              <w:rPr>
                <w:rFonts w:cs="Arial"/>
                <w:b/>
                <w:bCs/>
                <w:sz w:val="14"/>
                <w:szCs w:val="14"/>
              </w:rPr>
              <w:t>TLS</w:t>
            </w:r>
          </w:p>
        </w:tc>
      </w:tr>
      <w:tr w:rsidR="000D5D96" w:rsidRPr="00D51A82" w:rsidTr="000D5D96">
        <w:tc>
          <w:tcPr>
            <w:tcW w:w="2704" w:type="dxa"/>
            <w:vMerge w:val="restart"/>
            <w:tcBorders>
              <w:top w:val="single" w:sz="4" w:space="0" w:color="auto"/>
            </w:tcBorders>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More effective communication to a broad public about intellectual property and WIPO’s role </w:t>
            </w:r>
          </w:p>
        </w:tc>
        <w:tc>
          <w:tcPr>
            <w:tcW w:w="4173" w:type="dxa"/>
            <w:tcBorders>
              <w:top w:val="single" w:sz="4" w:space="0" w:color="auto"/>
            </w:tcBorders>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No. of press articles on WIPO's work</w:t>
            </w:r>
          </w:p>
        </w:tc>
        <w:tc>
          <w:tcPr>
            <w:tcW w:w="1253" w:type="dxa"/>
            <w:tcBorders>
              <w:top w:val="single" w:sz="4" w:space="0" w:color="auto"/>
            </w:tcBorders>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Borders>
              <w:top w:val="single" w:sz="4" w:space="0" w:color="auto"/>
            </w:tcBorders>
          </w:tcPr>
          <w:p w:rsidR="000D5D96" w:rsidRPr="000B4241" w:rsidRDefault="000D5D96" w:rsidP="0059160A">
            <w:pPr>
              <w:spacing w:before="20"/>
              <w:jc w:val="center"/>
              <w:rPr>
                <w:rFonts w:cs="Arial"/>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D5D96">
            <w:pPr>
              <w:spacing w:before="80"/>
              <w:rPr>
                <w:rFonts w:cs="Arial"/>
                <w:sz w:val="14"/>
                <w:szCs w:val="14"/>
              </w:rPr>
            </w:pPr>
          </w:p>
        </w:tc>
        <w:tc>
          <w:tcPr>
            <w:tcW w:w="4173" w:type="dxa"/>
            <w:shd w:val="clear" w:color="auto" w:fill="auto"/>
            <w:tcMar>
              <w:top w:w="113" w:type="dxa"/>
            </w:tcMar>
          </w:tcPr>
          <w:p w:rsidR="000D5D96" w:rsidRPr="000B4241" w:rsidRDefault="000D5D96" w:rsidP="000D5D96">
            <w:pPr>
              <w:spacing w:before="80"/>
              <w:rPr>
                <w:rFonts w:cs="Arial"/>
                <w:sz w:val="14"/>
                <w:szCs w:val="14"/>
              </w:rPr>
            </w:pPr>
            <w:bookmarkStart w:id="55" w:name="OLE_LINK1"/>
            <w:bookmarkStart w:id="56" w:name="OLE_LINK2"/>
            <w:r w:rsidRPr="000B4241">
              <w:rPr>
                <w:rFonts w:cs="Arial"/>
                <w:sz w:val="14"/>
                <w:szCs w:val="14"/>
              </w:rPr>
              <w:t>Availability rate of WIPO core publications in all official UN languages</w:t>
            </w:r>
            <w:bookmarkEnd w:id="55"/>
            <w:bookmarkEnd w:id="56"/>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Number of views (on average) per WIPO video on YouTube </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No. of downloads (on average) per WIPO publication </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No. of countries with reported World IP Day events and activities </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No. of external information requests serviced by the WIPO Library</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sz w:val="14"/>
                <w:szCs w:val="14"/>
              </w:rPr>
            </w:pPr>
            <w:r w:rsidRPr="000B4241">
              <w:rPr>
                <w:rFonts w:cs="Arial"/>
                <w:sz w:val="14"/>
                <w:szCs w:val="14"/>
              </w:rPr>
              <w:t> </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 xml:space="preserve">% of stakeholders with a positive recognition of WIPO’s mission, activities and organizational image </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val="restart"/>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Improved service orientation and responsiveness to inquiries</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Customer/stakeholder satisfaction rate</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D5D96">
            <w:pPr>
              <w:spacing w:before="80"/>
              <w:rPr>
                <w:rFonts w:cs="Arial"/>
                <w:sz w:val="14"/>
                <w:szCs w:val="14"/>
              </w:rPr>
            </w:pP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Processing time of information inquiries handled through ticketing system</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19</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val="restart"/>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WIPO effectively interacts and partners with UN and other IGO processes and negotiations</w:t>
            </w:r>
          </w:p>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Use of WIPO’s contributions in reports, resolutions and documents from targeted processes.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0D5D96" w:rsidP="0059160A">
            <w:pPr>
              <w:spacing w:before="20"/>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sz w:val="14"/>
                <w:szCs w:val="14"/>
              </w:rPr>
              <w:t>Feedback</w:t>
            </w:r>
            <w:r w:rsidRPr="000B4241">
              <w:rPr>
                <w:rFonts w:cs="Arial"/>
                <w:color w:val="000000"/>
                <w:sz w:val="14"/>
                <w:szCs w:val="14"/>
              </w:rPr>
              <w:t xml:space="preserve"> on WIPO’s contribution/participation in UN and other IGO processes and fora.</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414B11" w:rsidP="00414B11">
            <w:pPr>
              <w:spacing w:before="20"/>
              <w:jc w:val="center"/>
              <w:rPr>
                <w:sz w:val="22"/>
                <w:szCs w:val="22"/>
              </w:rPr>
            </w:pPr>
            <w:r w:rsidRPr="000B4241">
              <w:rPr>
                <w:rFonts w:cs="Arial"/>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 of responses to external requests for contributions from the UN, IGOs, etc, submitted on time</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No. of joint activities/workplans implemented and reviewed in line with agreements with partner organizations (new and existing MoU’s with IGOs)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vMerge/>
            <w:shd w:val="clear" w:color="auto" w:fill="auto"/>
            <w:tcMar>
              <w:top w:w="113" w:type="dxa"/>
            </w:tcMar>
          </w:tcPr>
          <w:p w:rsidR="000D5D96" w:rsidRPr="000B4241" w:rsidRDefault="000D5D96" w:rsidP="000D5D96">
            <w:pPr>
              <w:spacing w:before="80"/>
              <w:rPr>
                <w:rFonts w:cs="Arial"/>
                <w:sz w:val="14"/>
                <w:szCs w:val="14"/>
              </w:rPr>
            </w:pP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New joint initiatives with other UN agencies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Open, transparent and responsive interaction with NGOs</w:t>
            </w:r>
          </w:p>
        </w:tc>
        <w:tc>
          <w:tcPr>
            <w:tcW w:w="4173" w:type="dxa"/>
            <w:shd w:val="clear" w:color="auto" w:fill="auto"/>
            <w:tcMar>
              <w:top w:w="113" w:type="dxa"/>
            </w:tcMar>
          </w:tcPr>
          <w:p w:rsidR="000D5D96" w:rsidRPr="000B4241" w:rsidRDefault="000D5D96" w:rsidP="000D5D96">
            <w:pPr>
              <w:spacing w:before="80"/>
              <w:rPr>
                <w:rFonts w:cs="Arial"/>
                <w:sz w:val="14"/>
                <w:szCs w:val="14"/>
              </w:rPr>
            </w:pPr>
            <w:r w:rsidRPr="000B4241">
              <w:rPr>
                <w:rFonts w:cs="Arial"/>
                <w:sz w:val="14"/>
                <w:szCs w:val="14"/>
              </w:rPr>
              <w:t>No. of briefing sessions and meetings/activities organized for NGOs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20</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D5D96">
            <w:pPr>
              <w:rPr>
                <w:rFonts w:cs="Arial"/>
                <w:sz w:val="14"/>
                <w:szCs w:val="14"/>
              </w:rPr>
            </w:pPr>
          </w:p>
        </w:tc>
        <w:tc>
          <w:tcPr>
            <w:tcW w:w="4173" w:type="dxa"/>
            <w:shd w:val="clear" w:color="auto" w:fill="auto"/>
            <w:tcMar>
              <w:top w:w="113" w:type="dxa"/>
            </w:tcMar>
          </w:tcPr>
          <w:p w:rsidR="000D5D96" w:rsidRPr="000B4241" w:rsidRDefault="000D5D96" w:rsidP="000D5D96">
            <w:pPr>
              <w:rPr>
                <w:rFonts w:cs="Arial"/>
                <w:color w:val="000000"/>
                <w:sz w:val="14"/>
                <w:szCs w:val="14"/>
              </w:rPr>
            </w:pPr>
            <w:r w:rsidRPr="000B4241">
              <w:rPr>
                <w:rFonts w:cs="Arial"/>
                <w:color w:val="000000"/>
                <w:sz w:val="14"/>
                <w:szCs w:val="14"/>
              </w:rPr>
              <w:t>No. of briefing sessions/activities organized for developing country and LDC NGOs</w:t>
            </w:r>
          </w:p>
        </w:tc>
        <w:tc>
          <w:tcPr>
            <w:tcW w:w="1253" w:type="dxa"/>
            <w:shd w:val="clear" w:color="auto" w:fill="auto"/>
            <w:tcMar>
              <w:top w:w="113" w:type="dxa"/>
            </w:tcMar>
          </w:tcPr>
          <w:p w:rsidR="000D5D96" w:rsidRPr="000B4241" w:rsidRDefault="000D5D96" w:rsidP="000D5D96">
            <w:pPr>
              <w:jc w:val="center"/>
              <w:rPr>
                <w:rFonts w:cs="Arial"/>
                <w:sz w:val="14"/>
                <w:szCs w:val="14"/>
              </w:rPr>
            </w:pPr>
            <w:r w:rsidRPr="000B4241">
              <w:rPr>
                <w:rFonts w:cs="Arial"/>
                <w:sz w:val="14"/>
                <w:szCs w:val="14"/>
              </w:rPr>
              <w:t>Program 20</w:t>
            </w:r>
          </w:p>
        </w:tc>
        <w:tc>
          <w:tcPr>
            <w:tcW w:w="1059" w:type="dxa"/>
          </w:tcPr>
          <w:p w:rsidR="000D5D96" w:rsidRPr="000B4241" w:rsidRDefault="000D5D96" w:rsidP="000D5D96">
            <w:pPr>
              <w:jc w:val="center"/>
              <w:rPr>
                <w:color w:val="00B050"/>
                <w:sz w:val="22"/>
                <w:szCs w:val="22"/>
              </w:rPr>
            </w:pPr>
            <w:r w:rsidRPr="000B4241">
              <w:rPr>
                <w:rFonts w:cs="Arial"/>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sz w:val="14"/>
                <w:szCs w:val="14"/>
              </w:rPr>
              <w:t>Effective</w:t>
            </w:r>
            <w:r w:rsidRPr="000B4241">
              <w:rPr>
                <w:rFonts w:cs="Arial"/>
                <w:color w:val="000000"/>
                <w:sz w:val="14"/>
                <w:szCs w:val="14"/>
              </w:rPr>
              <w:t xml:space="preserve"> engagement with Member States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 of Committee Meetings for which pre-Committee information meetings for MS are held</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color w:val="000000"/>
                <w:sz w:val="14"/>
                <w:szCs w:val="14"/>
              </w:rPr>
              <w:t>% of letters to the DG from Member States are responded to within 2 weeks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spacing w:before="80"/>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sz w:val="14"/>
                <w:szCs w:val="14"/>
              </w:rPr>
              <w:t>Member</w:t>
            </w:r>
            <w:r w:rsidRPr="000B4241">
              <w:rPr>
                <w:rFonts w:cs="Arial"/>
                <w:color w:val="000000"/>
                <w:sz w:val="14"/>
                <w:szCs w:val="14"/>
              </w:rPr>
              <w:t xml:space="preserve"> States satisfaction levels with the preparation and functioning of the Assemblies</w:t>
            </w: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r w:rsidR="000D5D96" w:rsidRPr="00D51A82" w:rsidTr="000D5D96">
        <w:tc>
          <w:tcPr>
            <w:tcW w:w="2704" w:type="dxa"/>
            <w:shd w:val="clear" w:color="auto" w:fill="auto"/>
            <w:tcMar>
              <w:top w:w="113" w:type="dxa"/>
            </w:tcMar>
          </w:tcPr>
          <w:p w:rsidR="000D5D96" w:rsidRPr="000B4241" w:rsidRDefault="000D5D96" w:rsidP="000B4241">
            <w:pPr>
              <w:ind w:firstLineChars="100" w:firstLine="140"/>
              <w:rPr>
                <w:rFonts w:cs="Arial"/>
                <w:color w:val="000000"/>
                <w:sz w:val="14"/>
                <w:szCs w:val="14"/>
              </w:rPr>
            </w:pPr>
            <w:r w:rsidRPr="000B4241">
              <w:rPr>
                <w:rFonts w:cs="Arial"/>
                <w:color w:val="000000"/>
                <w:sz w:val="14"/>
                <w:szCs w:val="14"/>
              </w:rPr>
              <w:t> </w:t>
            </w:r>
          </w:p>
        </w:tc>
        <w:tc>
          <w:tcPr>
            <w:tcW w:w="4173" w:type="dxa"/>
            <w:shd w:val="clear" w:color="auto" w:fill="auto"/>
            <w:tcMar>
              <w:top w:w="113" w:type="dxa"/>
            </w:tcMar>
          </w:tcPr>
          <w:p w:rsidR="000D5D96" w:rsidRPr="000B4241" w:rsidRDefault="000D5D96" w:rsidP="000D5D96">
            <w:pPr>
              <w:spacing w:before="80"/>
              <w:rPr>
                <w:rFonts w:cs="Arial"/>
                <w:color w:val="000000"/>
                <w:sz w:val="14"/>
                <w:szCs w:val="14"/>
              </w:rPr>
            </w:pPr>
            <w:r w:rsidRPr="000B4241">
              <w:rPr>
                <w:rFonts w:cs="Arial"/>
                <w:sz w:val="14"/>
                <w:szCs w:val="14"/>
              </w:rPr>
              <w:t>Timeliness</w:t>
            </w:r>
            <w:r w:rsidRPr="000B4241">
              <w:rPr>
                <w:rFonts w:cs="Arial"/>
                <w:color w:val="000000"/>
                <w:sz w:val="14"/>
                <w:szCs w:val="14"/>
              </w:rPr>
              <w:t xml:space="preserve"> of publication of Assembly documents</w:t>
            </w:r>
          </w:p>
          <w:p w:rsidR="0059160A" w:rsidRPr="000B4241" w:rsidRDefault="0059160A" w:rsidP="000D5D96">
            <w:pPr>
              <w:spacing w:before="80"/>
              <w:rPr>
                <w:rFonts w:cs="Arial"/>
                <w:color w:val="000000"/>
                <w:sz w:val="14"/>
                <w:szCs w:val="14"/>
              </w:rPr>
            </w:pPr>
          </w:p>
        </w:tc>
        <w:tc>
          <w:tcPr>
            <w:tcW w:w="1253" w:type="dxa"/>
            <w:shd w:val="clear" w:color="auto" w:fill="auto"/>
            <w:tcMar>
              <w:top w:w="113" w:type="dxa"/>
            </w:tcMar>
          </w:tcPr>
          <w:p w:rsidR="000D5D96" w:rsidRPr="000B4241" w:rsidRDefault="000D5D96" w:rsidP="000D5D96">
            <w:pPr>
              <w:spacing w:before="80"/>
              <w:jc w:val="center"/>
              <w:rPr>
                <w:rFonts w:cs="Arial"/>
                <w:sz w:val="14"/>
                <w:szCs w:val="14"/>
              </w:rPr>
            </w:pPr>
            <w:r w:rsidRPr="000B4241">
              <w:rPr>
                <w:rFonts w:cs="Arial"/>
                <w:sz w:val="14"/>
                <w:szCs w:val="14"/>
              </w:rPr>
              <w:t>Program 21</w:t>
            </w:r>
          </w:p>
        </w:tc>
        <w:tc>
          <w:tcPr>
            <w:tcW w:w="1059" w:type="dxa"/>
          </w:tcPr>
          <w:p w:rsidR="000D5D96" w:rsidRPr="000B4241" w:rsidRDefault="000D5D96" w:rsidP="000D5D96">
            <w:pPr>
              <w:jc w:val="center"/>
              <w:rPr>
                <w:color w:val="008000"/>
                <w:sz w:val="22"/>
                <w:szCs w:val="22"/>
              </w:rPr>
            </w:pPr>
            <w:r w:rsidRPr="000B4241">
              <w:rPr>
                <w:rFonts w:cs="Arial"/>
                <w:color w:val="008000"/>
                <w:sz w:val="22"/>
                <w:szCs w:val="22"/>
              </w:rPr>
              <w:sym w:font="Wingdings" w:char="F06C"/>
            </w:r>
          </w:p>
        </w:tc>
      </w:tr>
    </w:tbl>
    <w:p w:rsidR="001574D1" w:rsidRDefault="001574D1">
      <w:pPr>
        <w:rPr>
          <w:rFonts w:ascii="Arial Bold" w:eastAsiaTheme="majorEastAsia" w:hAnsi="Arial Bold" w:cstheme="majorBidi"/>
          <w:b/>
          <w:bCs/>
          <w:caps/>
          <w:sz w:val="22"/>
        </w:rPr>
      </w:pPr>
      <w:r>
        <w:br w:type="page"/>
      </w:r>
    </w:p>
    <w:p w:rsidR="00DD50EB" w:rsidRPr="006F08EA" w:rsidRDefault="006F08EA" w:rsidP="006F08EA">
      <w:pPr>
        <w:pStyle w:val="Heading3"/>
      </w:pPr>
      <w:bookmarkStart w:id="57" w:name="_Toc393956069"/>
      <w:r w:rsidRPr="006F08EA">
        <w:lastRenderedPageBreak/>
        <w:t>Program 19</w:t>
      </w:r>
      <w:r w:rsidRPr="006F08EA">
        <w:tab/>
        <w:t>Communications</w:t>
      </w:r>
      <w:bookmarkEnd w:id="57"/>
    </w:p>
    <w:p w:rsidR="00DD50EB" w:rsidRPr="0027745B" w:rsidRDefault="00DD50EB" w:rsidP="00DD50EB">
      <w:pPr>
        <w:ind w:left="2268" w:hanging="2268"/>
        <w:rPr>
          <w:rFonts w:cs="Arial"/>
          <w:b/>
          <w:bCs/>
          <w:sz w:val="18"/>
          <w:szCs w:val="18"/>
        </w:rPr>
      </w:pPr>
    </w:p>
    <w:p w:rsidR="00DD50EB" w:rsidRPr="00A16D38" w:rsidRDefault="00DD50EB" w:rsidP="00DD50EB">
      <w:pPr>
        <w:ind w:left="2268" w:hanging="2268"/>
        <w:rPr>
          <w:rFonts w:cs="Arial"/>
          <w:b/>
          <w:bCs/>
          <w:sz w:val="22"/>
          <w:szCs w:val="22"/>
        </w:rPr>
      </w:pPr>
      <w:r w:rsidRPr="00A16D38">
        <w:rPr>
          <w:rFonts w:cs="Arial"/>
          <w:b/>
          <w:bCs/>
          <w:sz w:val="22"/>
          <w:szCs w:val="22"/>
        </w:rPr>
        <w:t>Program Manager</w:t>
      </w:r>
      <w:r w:rsidRPr="00A16D38">
        <w:rPr>
          <w:rFonts w:cs="Arial"/>
          <w:b/>
          <w:bCs/>
          <w:sz w:val="22"/>
          <w:szCs w:val="22"/>
        </w:rPr>
        <w:tab/>
      </w:r>
      <w:r w:rsidRPr="00A16D38">
        <w:rPr>
          <w:rFonts w:cs="Arial"/>
          <w:b/>
          <w:bCs/>
          <w:sz w:val="22"/>
          <w:szCs w:val="22"/>
        </w:rPr>
        <w:tab/>
        <w:t>Mr. J. C. Wichard</w:t>
      </w:r>
    </w:p>
    <w:p w:rsidR="00DD50EB" w:rsidRPr="000D5D96" w:rsidRDefault="00DD50EB" w:rsidP="00DD50EB">
      <w:pPr>
        <w:rPr>
          <w:rFonts w:cs="Arial"/>
          <w:sz w:val="16"/>
          <w:szCs w:val="16"/>
        </w:rPr>
      </w:pPr>
    </w:p>
    <w:p w:rsidR="00DD50EB" w:rsidRPr="000D5D96" w:rsidRDefault="00DD50EB" w:rsidP="00DD50EB">
      <w:pPr>
        <w:rPr>
          <w:rFonts w:cs="Arial"/>
          <w:sz w:val="16"/>
          <w:szCs w:val="16"/>
        </w:rPr>
      </w:pPr>
    </w:p>
    <w:p w:rsidR="00DD50EB" w:rsidRPr="00A16D38" w:rsidRDefault="00DD50EB" w:rsidP="00DD50EB">
      <w:pPr>
        <w:rPr>
          <w:rFonts w:cs="Arial"/>
          <w:sz w:val="22"/>
          <w:szCs w:val="22"/>
        </w:rPr>
      </w:pPr>
      <w:r w:rsidRPr="00A16D38">
        <w:rPr>
          <w:rFonts w:cs="Arial"/>
          <w:sz w:val="22"/>
          <w:szCs w:val="22"/>
        </w:rPr>
        <w:t>ACHIEVEMENTS IN THE 2012/13 BIENNIUM</w:t>
      </w:r>
    </w:p>
    <w:p w:rsidR="00DD50EB" w:rsidRPr="0011405E" w:rsidRDefault="00DD50EB" w:rsidP="00DD50EB">
      <w:pPr>
        <w:rPr>
          <w:rFonts w:cs="Arial"/>
          <w:color w:val="000000"/>
          <w:szCs w:val="20"/>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 xml:space="preserve">In 2012/13, Program 19 </w:t>
      </w:r>
      <w:r>
        <w:rPr>
          <w:rFonts w:eastAsia="SimSun" w:cs="Arial"/>
          <w:szCs w:val="20"/>
          <w:lang w:eastAsia="zh-CN"/>
        </w:rPr>
        <w:t>delivered</w:t>
      </w:r>
      <w:r w:rsidRPr="0011405E">
        <w:rPr>
          <w:rFonts w:eastAsia="SimSun" w:cs="Arial"/>
          <w:szCs w:val="20"/>
          <w:lang w:eastAsia="zh-CN"/>
        </w:rPr>
        <w:t xml:space="preserve"> a number of major Organization-wide strategic projects, which helped improve the quality, usability and delivery of WIPO’s content; </w:t>
      </w:r>
      <w:r w:rsidR="004547C1">
        <w:rPr>
          <w:rFonts w:eastAsia="SimSun" w:cs="Arial"/>
          <w:szCs w:val="20"/>
          <w:lang w:eastAsia="zh-CN"/>
        </w:rPr>
        <w:t xml:space="preserve"> </w:t>
      </w:r>
      <w:r w:rsidRPr="0011405E">
        <w:rPr>
          <w:rFonts w:eastAsia="SimSun" w:cs="Arial"/>
          <w:szCs w:val="20"/>
          <w:lang w:eastAsia="zh-CN"/>
        </w:rPr>
        <w:t xml:space="preserve">increase understanding of WIPO’s work and organizational identity; </w:t>
      </w:r>
      <w:r w:rsidR="004547C1">
        <w:rPr>
          <w:rFonts w:eastAsia="SimSun" w:cs="Arial"/>
          <w:szCs w:val="20"/>
          <w:lang w:eastAsia="zh-CN"/>
        </w:rPr>
        <w:t xml:space="preserve"> </w:t>
      </w:r>
      <w:r w:rsidRPr="0011405E">
        <w:rPr>
          <w:rFonts w:eastAsia="SimSun" w:cs="Arial"/>
          <w:szCs w:val="20"/>
          <w:lang w:eastAsia="zh-CN"/>
        </w:rPr>
        <w:t xml:space="preserve">and build an internal culture of communication and service.  As a result of the new media strategies, exponential increases were achieved in the number of people worldwide who accessed unique WIPO content.  </w:t>
      </w:r>
    </w:p>
    <w:p w:rsidR="00DD50EB" w:rsidRPr="0011405E" w:rsidRDefault="00DD50EB" w:rsidP="00DD50EB">
      <w:pPr>
        <w:autoSpaceDE w:val="0"/>
        <w:autoSpaceDN w:val="0"/>
        <w:adjustRightInd w:val="0"/>
        <w:jc w:val="both"/>
        <w:rPr>
          <w:rFonts w:eastAsia="SimSun" w:cs="Arial"/>
          <w:szCs w:val="20"/>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Enhanced delivery</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WIPO completed a total overhaul of its website. </w:t>
      </w:r>
      <w:r w:rsidR="004547C1">
        <w:rPr>
          <w:rFonts w:eastAsia="SimSun" w:cs="Arial"/>
          <w:szCs w:val="20"/>
          <w:lang w:eastAsia="zh-CN"/>
        </w:rPr>
        <w:t xml:space="preserve"> </w:t>
      </w:r>
      <w:r w:rsidRPr="0011405E">
        <w:rPr>
          <w:rFonts w:eastAsia="SimSun" w:cs="Arial"/>
          <w:szCs w:val="20"/>
          <w:lang w:eastAsia="zh-CN"/>
        </w:rPr>
        <w:t>Launched in November 2013, the new web site drew overwhelmingly positive feedback from users.  The project included a site</w:t>
      </w:r>
      <w:r w:rsidR="004547C1">
        <w:rPr>
          <w:rFonts w:eastAsia="SimSun" w:cs="Arial"/>
          <w:szCs w:val="20"/>
          <w:lang w:eastAsia="zh-CN"/>
        </w:rPr>
        <w:noBreakHyphen/>
      </w:r>
      <w:r w:rsidRPr="0011405E">
        <w:rPr>
          <w:rFonts w:eastAsia="SimSun" w:cs="Arial"/>
          <w:szCs w:val="20"/>
          <w:lang w:eastAsia="zh-CN"/>
        </w:rPr>
        <w:t xml:space="preserve">wide content clean-up; </w:t>
      </w:r>
      <w:r w:rsidR="004547C1">
        <w:rPr>
          <w:rFonts w:eastAsia="SimSun" w:cs="Arial"/>
          <w:szCs w:val="20"/>
          <w:lang w:eastAsia="zh-CN"/>
        </w:rPr>
        <w:t xml:space="preserve"> </w:t>
      </w:r>
      <w:r w:rsidRPr="0011405E">
        <w:rPr>
          <w:rFonts w:eastAsia="SimSun" w:cs="Arial"/>
          <w:szCs w:val="20"/>
          <w:lang w:eastAsia="zh-CN"/>
        </w:rPr>
        <w:t xml:space="preserve">a major expansion in the availability of key content in six languages, namely all top level pages are now maintained in six languages; </w:t>
      </w:r>
      <w:r w:rsidR="004547C1">
        <w:rPr>
          <w:rFonts w:eastAsia="SimSun" w:cs="Arial"/>
          <w:szCs w:val="20"/>
          <w:lang w:eastAsia="zh-CN"/>
        </w:rPr>
        <w:t xml:space="preserve"> </w:t>
      </w:r>
      <w:r w:rsidRPr="0011405E">
        <w:rPr>
          <w:rFonts w:eastAsia="SimSun" w:cs="Arial"/>
          <w:szCs w:val="20"/>
          <w:lang w:eastAsia="zh-CN"/>
        </w:rPr>
        <w:t xml:space="preserve">the development of a new user-experience strategy; </w:t>
      </w:r>
      <w:r w:rsidR="004547C1">
        <w:rPr>
          <w:rFonts w:eastAsia="SimSun" w:cs="Arial"/>
          <w:szCs w:val="20"/>
          <w:lang w:eastAsia="zh-CN"/>
        </w:rPr>
        <w:t xml:space="preserve"> </w:t>
      </w:r>
      <w:r w:rsidRPr="0011405E">
        <w:rPr>
          <w:rFonts w:eastAsia="SimSun" w:cs="Arial"/>
          <w:szCs w:val="20"/>
          <w:lang w:eastAsia="zh-CN"/>
        </w:rPr>
        <w:t xml:space="preserve">the comprehensive review and restructuring of the information architecture of the website in line with the needs of different stakeholder groups; </w:t>
      </w:r>
      <w:r w:rsidR="004547C1">
        <w:rPr>
          <w:rFonts w:eastAsia="SimSun" w:cs="Arial"/>
          <w:szCs w:val="20"/>
          <w:lang w:eastAsia="zh-CN"/>
        </w:rPr>
        <w:t xml:space="preserve"> </w:t>
      </w:r>
      <w:r w:rsidRPr="0011405E">
        <w:rPr>
          <w:rFonts w:eastAsia="SimSun" w:cs="Arial"/>
          <w:szCs w:val="20"/>
          <w:lang w:eastAsia="zh-CN"/>
        </w:rPr>
        <w:t xml:space="preserve">and a cutting-edge, “responsive” web design, which optimizes the content display for the user according to the screen size of the device s/he is using to access the website.  Popular content improvements included the new WIPO Country Profile pages, which pull together dynamic content for over 190 countries from some 20 underlying WIPO databases. </w:t>
      </w:r>
    </w:p>
    <w:p w:rsidR="00DD50EB" w:rsidRPr="0011405E" w:rsidRDefault="00DD50EB" w:rsidP="00DD50EB">
      <w:pPr>
        <w:pStyle w:val="ListParagraph"/>
        <w:rPr>
          <w:rFonts w:eastAsia="SimSun" w:cs="Arial"/>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 xml:space="preserve">WIPO also strengthened its social media presences. </w:t>
      </w:r>
      <w:r w:rsidR="004547C1">
        <w:rPr>
          <w:rFonts w:eastAsia="SimSun" w:cs="Arial"/>
          <w:szCs w:val="20"/>
          <w:lang w:eastAsia="zh-CN"/>
        </w:rPr>
        <w:t xml:space="preserve"> </w:t>
      </w:r>
      <w:r w:rsidRPr="0011405E">
        <w:rPr>
          <w:rFonts w:eastAsia="SimSun" w:cs="Arial"/>
          <w:szCs w:val="20"/>
          <w:lang w:eastAsia="zh-CN"/>
        </w:rPr>
        <w:t xml:space="preserve">In the 21 months that followed the launch in March 2012 of the first official WIPO presences on Twitter, Flickr (photo sharing) and Scribd (publication sharing), potential “impressions” of WIPO tweets climbed from 8.7 million in 2012 to 22 million in 2013. WIPO’s social influence rating (as measured by </w:t>
      </w:r>
      <w:r w:rsidRPr="0011405E">
        <w:rPr>
          <w:rFonts w:eastAsia="SimSun" w:cs="Arial"/>
          <w:i/>
          <w:iCs/>
          <w:szCs w:val="20"/>
          <w:lang w:eastAsia="zh-CN"/>
        </w:rPr>
        <w:t>Klout</w:t>
      </w:r>
      <w:r w:rsidRPr="0011405E">
        <w:rPr>
          <w:rFonts w:eastAsia="SimSun" w:cs="Arial"/>
          <w:szCs w:val="20"/>
          <w:lang w:eastAsia="zh-CN"/>
        </w:rPr>
        <w:t xml:space="preserve">) rose to 64, overtaking many comparable national and international institutions with much longer established social media presences. </w:t>
      </w:r>
      <w:r w:rsidR="004547C1">
        <w:rPr>
          <w:rFonts w:eastAsia="SimSun" w:cs="Arial"/>
          <w:szCs w:val="20"/>
          <w:lang w:eastAsia="zh-CN"/>
        </w:rPr>
        <w:t xml:space="preserve"> </w:t>
      </w:r>
      <w:r w:rsidRPr="0011405E">
        <w:rPr>
          <w:rFonts w:eastAsia="SimSun" w:cs="Arial"/>
          <w:szCs w:val="20"/>
          <w:lang w:eastAsia="zh-CN"/>
        </w:rPr>
        <w:t xml:space="preserve">WIPO also expanded the WIPO YouTube channel, extending its use of video as, </w:t>
      </w:r>
      <w:r w:rsidRPr="0011405E">
        <w:rPr>
          <w:rFonts w:eastAsia="SimSun" w:cs="Arial"/>
          <w:i/>
          <w:iCs/>
          <w:szCs w:val="20"/>
          <w:lang w:eastAsia="zh-CN"/>
        </w:rPr>
        <w:t>inter alia</w:t>
      </w:r>
      <w:r w:rsidRPr="0011405E">
        <w:rPr>
          <w:rFonts w:eastAsia="SimSun" w:cs="Arial"/>
          <w:szCs w:val="20"/>
          <w:lang w:eastAsia="zh-CN"/>
        </w:rPr>
        <w:t>, a front-line delivery means for facilitating open access to WIPO seminars, meetings and press events.</w:t>
      </w:r>
    </w:p>
    <w:p w:rsidR="00DD50EB" w:rsidRPr="0011405E" w:rsidRDefault="00DD50EB" w:rsidP="00DD50EB">
      <w:pPr>
        <w:autoSpaceDE w:val="0"/>
        <w:autoSpaceDN w:val="0"/>
        <w:adjustRightInd w:val="0"/>
        <w:jc w:val="both"/>
        <w:rPr>
          <w:rFonts w:eastAsia="SimSun" w:cs="Arial"/>
          <w:szCs w:val="20"/>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Quality content</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The new cross-Sector Publications Board began work to help ensure that all new WIPO publications meet standards of quality, relevance and utility.  To facilitate open access to WIPO publications, a new policy was introduced making all publications publicly available for download free of charge online.  For paid orders of hard copies, WIPO began a pilot trial of an outsourced, print-on-demand system.  </w:t>
      </w:r>
    </w:p>
    <w:p w:rsidR="00DD50EB" w:rsidRPr="0011405E" w:rsidRDefault="00DD50EB" w:rsidP="00DD50EB">
      <w:pPr>
        <w:autoSpaceDE w:val="0"/>
        <w:autoSpaceDN w:val="0"/>
        <w:adjustRightInd w:val="0"/>
        <w:jc w:val="both"/>
        <w:rPr>
          <w:rFonts w:eastAsia="SimSun" w:cs="Arial"/>
          <w:szCs w:val="20"/>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High quality visual design, including infographics, enhanced the accessibility and impact of WIPO’s key statistical and economic reports, the annual D</w:t>
      </w:r>
      <w:r w:rsidR="0078213C">
        <w:rPr>
          <w:rFonts w:eastAsia="SimSun" w:cs="Arial"/>
          <w:szCs w:val="20"/>
          <w:lang w:eastAsia="zh-CN"/>
        </w:rPr>
        <w:t>irector General'</w:t>
      </w:r>
      <w:r w:rsidRPr="0011405E">
        <w:rPr>
          <w:rFonts w:eastAsia="SimSun" w:cs="Arial"/>
          <w:szCs w:val="20"/>
          <w:lang w:eastAsia="zh-CN"/>
        </w:rPr>
        <w:t xml:space="preserve">s Report to the Assemblies, numerous publicity and informational materials; </w:t>
      </w:r>
      <w:r w:rsidR="004547C1">
        <w:rPr>
          <w:rFonts w:eastAsia="SimSun" w:cs="Arial"/>
          <w:szCs w:val="20"/>
          <w:lang w:eastAsia="zh-CN"/>
        </w:rPr>
        <w:t xml:space="preserve"> </w:t>
      </w:r>
      <w:r w:rsidRPr="0011405E">
        <w:rPr>
          <w:rFonts w:eastAsia="SimSun" w:cs="Arial"/>
          <w:szCs w:val="20"/>
          <w:lang w:eastAsia="zh-CN"/>
        </w:rPr>
        <w:t xml:space="preserve">and the </w:t>
      </w:r>
      <w:r w:rsidRPr="0011405E">
        <w:rPr>
          <w:rFonts w:eastAsia="SimSun" w:cs="Arial"/>
          <w:i/>
          <w:szCs w:val="20"/>
          <w:lang w:eastAsia="zh-CN"/>
        </w:rPr>
        <w:t>WIPO Magazine</w:t>
      </w:r>
      <w:r w:rsidRPr="0011405E">
        <w:rPr>
          <w:rFonts w:eastAsia="SimSun" w:cs="Arial"/>
          <w:szCs w:val="20"/>
          <w:lang w:eastAsia="zh-CN"/>
        </w:rPr>
        <w:t xml:space="preserve">, which attracted much positive comment via Twitter and reader surveys. </w:t>
      </w:r>
      <w:r w:rsidR="004547C1">
        <w:rPr>
          <w:rFonts w:eastAsia="SimSun" w:cs="Arial"/>
          <w:szCs w:val="20"/>
          <w:lang w:eastAsia="zh-CN"/>
        </w:rPr>
        <w:t xml:space="preserve"> </w:t>
      </w:r>
      <w:r w:rsidRPr="0011405E">
        <w:rPr>
          <w:rFonts w:eastAsia="SimSun" w:cs="Arial"/>
          <w:szCs w:val="20"/>
          <w:lang w:eastAsia="zh-CN"/>
        </w:rPr>
        <w:t xml:space="preserve">(At the end of 2013, 94 per cent of respondents rated the Magazine (in English) as good or very good).  WIPO also invested in the production of original photographic content, creating image galleries on Flickr to provide a pictorial view of WIPO’s activities and events, and to lead new audiences onto the website.  Total views of WIPO’s photos on Flickr rose from 150,000 at the end of 2012 to over 900,000 by the end of 2013.  A total of 122 new videos were created for the WIPO YouTube Channel and website in the biennium, including more news-style content and IP stories, as well as tutorials and presentations. </w:t>
      </w:r>
      <w:r w:rsidR="004547C1">
        <w:rPr>
          <w:rFonts w:eastAsia="SimSun" w:cs="Arial"/>
          <w:szCs w:val="20"/>
          <w:lang w:eastAsia="zh-CN"/>
        </w:rPr>
        <w:t xml:space="preserve"> </w:t>
      </w:r>
      <w:r w:rsidRPr="0011405E">
        <w:rPr>
          <w:rFonts w:eastAsia="SimSun" w:cs="Arial"/>
          <w:szCs w:val="20"/>
          <w:lang w:eastAsia="zh-CN"/>
        </w:rPr>
        <w:t>Viewing figures rocketed following the addition of the “</w:t>
      </w:r>
      <w:r w:rsidRPr="0011405E">
        <w:rPr>
          <w:rFonts w:eastAsia="SimSun" w:cs="Arial"/>
          <w:i/>
          <w:iCs/>
          <w:szCs w:val="20"/>
          <w:lang w:eastAsia="zh-CN"/>
        </w:rPr>
        <w:t>Pororo</w:t>
      </w:r>
      <w:r w:rsidRPr="0011405E">
        <w:rPr>
          <w:rFonts w:eastAsia="SimSun" w:cs="Arial"/>
          <w:szCs w:val="20"/>
          <w:lang w:eastAsia="zh-CN"/>
        </w:rPr>
        <w:t>” animations for children (over 3.8 million views)</w:t>
      </w:r>
      <w:proofErr w:type="gramStart"/>
      <w:r w:rsidRPr="0011405E">
        <w:rPr>
          <w:rFonts w:eastAsia="SimSun" w:cs="Arial"/>
          <w:szCs w:val="20"/>
          <w:lang w:eastAsia="zh-CN"/>
        </w:rPr>
        <w:t>,</w:t>
      </w:r>
      <w:proofErr w:type="gramEnd"/>
      <w:r w:rsidRPr="0011405E">
        <w:rPr>
          <w:rFonts w:eastAsia="SimSun" w:cs="Arial"/>
          <w:szCs w:val="20"/>
          <w:lang w:eastAsia="zh-CN"/>
        </w:rPr>
        <w:t xml:space="preserve"> ending the biennium with an exponential increase in total WIPO Channel views of over 2,900 per cent compared to end 2011.</w:t>
      </w:r>
    </w:p>
    <w:p w:rsidR="00DD50EB" w:rsidRPr="0011405E" w:rsidRDefault="00DD50EB" w:rsidP="00DD50EB">
      <w:pPr>
        <w:autoSpaceDE w:val="0"/>
        <w:autoSpaceDN w:val="0"/>
        <w:adjustRightInd w:val="0"/>
        <w:jc w:val="both"/>
        <w:rPr>
          <w:rFonts w:eastAsia="SimSun" w:cs="Arial"/>
          <w:szCs w:val="20"/>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Increased visibility.</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A concerted communications effort was devoted to significant events, products and results during the biennium, such as the two new WIPO treaty adoptions, the publication of WIPO’s world-leading IP reports, the milestone expansions of the Global Brand Database and PATENTSCOPE, and the launch of the WIPO GREEN partnership initiative. </w:t>
      </w:r>
      <w:r w:rsidR="004547C1">
        <w:rPr>
          <w:rFonts w:eastAsia="SimSun" w:cs="Arial"/>
          <w:szCs w:val="20"/>
          <w:lang w:eastAsia="zh-CN"/>
        </w:rPr>
        <w:t xml:space="preserve"> </w:t>
      </w:r>
      <w:r w:rsidRPr="0011405E">
        <w:rPr>
          <w:rFonts w:eastAsia="SimSun" w:cs="Arial"/>
          <w:szCs w:val="20"/>
          <w:lang w:eastAsia="zh-CN"/>
        </w:rPr>
        <w:t>A more integrated approach was developed to promote such key events, including consistent messaging frameworks; tailored editorial, visual and web content in six languages; dissemination across multiple channels</w:t>
      </w:r>
      <w:proofErr w:type="gramStart"/>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and</w:t>
      </w:r>
      <w:proofErr w:type="gramEnd"/>
      <w:r w:rsidRPr="0011405E">
        <w:rPr>
          <w:rFonts w:eastAsia="SimSun" w:cs="Arial"/>
          <w:szCs w:val="20"/>
          <w:lang w:eastAsia="zh-CN"/>
        </w:rPr>
        <w:t xml:space="preserve"> proactive press and stakeholder relations. </w:t>
      </w:r>
    </w:p>
    <w:p w:rsidR="00DD50EB" w:rsidRPr="0011405E" w:rsidRDefault="00DD50EB" w:rsidP="00DD50EB">
      <w:pPr>
        <w:pStyle w:val="ListParagraph"/>
        <w:rPr>
          <w:rFonts w:eastAsia="SimSun" w:cs="Arial"/>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The use of celebrity spokespersons, such as actor Javier Bardem to promote the goal of the Diplomatic Conference on the Protection of Audiovisual Performances</w:t>
      </w:r>
      <w:r w:rsidRPr="0011405E" w:rsidDel="00856BEF">
        <w:rPr>
          <w:rFonts w:eastAsia="SimSun" w:cs="Arial"/>
          <w:szCs w:val="20"/>
          <w:lang w:eastAsia="zh-CN"/>
        </w:rPr>
        <w:t xml:space="preserve"> </w:t>
      </w:r>
      <w:r w:rsidRPr="0011405E">
        <w:rPr>
          <w:rFonts w:eastAsia="SimSun" w:cs="Arial"/>
          <w:szCs w:val="20"/>
          <w:lang w:eastAsia="zh-CN"/>
        </w:rPr>
        <w:t xml:space="preserve">and singer Stevie Wonder for the Marrakesh Diplomatic Conference, were leveraged, resulting in originally authored press coverage of the Marrakesh Treaty in four out of the ten most-frequented news sites worldwide, as well as a Twitter buzz </w:t>
      </w:r>
      <w:r w:rsidRPr="0011405E">
        <w:rPr>
          <w:rFonts w:eastAsia="SimSun" w:cs="Arial"/>
          <w:szCs w:val="20"/>
          <w:lang w:eastAsia="zh-CN"/>
        </w:rPr>
        <w:lastRenderedPageBreak/>
        <w:t xml:space="preserve">which peaked at over 3.5 million potential impressions of tweets using the #VIPDC hashtag. </w:t>
      </w:r>
      <w:r w:rsidR="004547C1">
        <w:rPr>
          <w:rFonts w:eastAsia="SimSun" w:cs="Arial"/>
          <w:szCs w:val="20"/>
          <w:lang w:eastAsia="zh-CN"/>
        </w:rPr>
        <w:t xml:space="preserve"> </w:t>
      </w:r>
      <w:r w:rsidRPr="0011405E">
        <w:rPr>
          <w:rFonts w:eastAsia="SimSun" w:cs="Arial"/>
          <w:szCs w:val="20"/>
          <w:lang w:eastAsia="zh-CN"/>
        </w:rPr>
        <w:t xml:space="preserve">The integrated approach also boosted global media coverage of the </w:t>
      </w:r>
      <w:r w:rsidRPr="0011405E">
        <w:rPr>
          <w:rFonts w:eastAsia="SimSun" w:cs="Arial"/>
          <w:iCs/>
          <w:szCs w:val="20"/>
          <w:lang w:eastAsia="zh-CN"/>
        </w:rPr>
        <w:t>World IP Indicators</w:t>
      </w:r>
      <w:r w:rsidRPr="0011405E">
        <w:rPr>
          <w:rFonts w:eastAsia="SimSun" w:cs="Arial"/>
          <w:szCs w:val="20"/>
          <w:lang w:eastAsia="zh-CN"/>
        </w:rPr>
        <w:t xml:space="preserve"> (including 2.3 million potential impressions of the top tweet); </w:t>
      </w:r>
      <w:r w:rsidR="004547C1">
        <w:rPr>
          <w:rFonts w:eastAsia="SimSun" w:cs="Arial"/>
          <w:szCs w:val="20"/>
          <w:lang w:eastAsia="zh-CN"/>
        </w:rPr>
        <w:t xml:space="preserve"> </w:t>
      </w:r>
      <w:r w:rsidRPr="0011405E">
        <w:rPr>
          <w:rFonts w:eastAsia="SimSun" w:cs="Arial"/>
          <w:szCs w:val="20"/>
          <w:lang w:eastAsia="zh-CN"/>
        </w:rPr>
        <w:t xml:space="preserve">and the </w:t>
      </w:r>
      <w:r w:rsidRPr="0011405E">
        <w:rPr>
          <w:rFonts w:eastAsia="SimSun" w:cs="Arial"/>
          <w:iCs/>
          <w:szCs w:val="20"/>
          <w:lang w:eastAsia="zh-CN"/>
        </w:rPr>
        <w:t>Global Innovation Index</w:t>
      </w:r>
      <w:r w:rsidRPr="0011405E">
        <w:rPr>
          <w:rFonts w:eastAsia="SimSun" w:cs="Arial"/>
          <w:szCs w:val="20"/>
          <w:lang w:eastAsia="zh-CN"/>
        </w:rPr>
        <w:t xml:space="preserve"> (more than 400 articles worldwide; </w:t>
      </w:r>
      <w:r w:rsidR="004547C1">
        <w:rPr>
          <w:rFonts w:eastAsia="SimSun" w:cs="Arial"/>
          <w:szCs w:val="20"/>
          <w:lang w:eastAsia="zh-CN"/>
        </w:rPr>
        <w:t xml:space="preserve"> </w:t>
      </w:r>
      <w:r w:rsidRPr="0011405E">
        <w:rPr>
          <w:rFonts w:eastAsia="SimSun" w:cs="Arial"/>
          <w:szCs w:val="20"/>
          <w:lang w:eastAsia="zh-CN"/>
        </w:rPr>
        <w:t xml:space="preserve">and over 400 per cent increase in page views in both 2012 and 2013 compared to 2011).  </w:t>
      </w:r>
    </w:p>
    <w:p w:rsidR="00DD50EB" w:rsidRPr="000D5D96" w:rsidRDefault="00DD50EB" w:rsidP="00DD50EB">
      <w:pPr>
        <w:autoSpaceDE w:val="0"/>
        <w:autoSpaceDN w:val="0"/>
        <w:adjustRightInd w:val="0"/>
        <w:jc w:val="both"/>
        <w:rPr>
          <w:rFonts w:eastAsia="SimSun" w:cs="Arial"/>
          <w:sz w:val="16"/>
          <w:szCs w:val="16"/>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Outreach.</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For the annual World IP Day campaign, WIPO intensified its use of social media to engage a broad public and to build a broader sense of public ownership. </w:t>
      </w:r>
      <w:r w:rsidR="004547C1">
        <w:rPr>
          <w:rFonts w:eastAsia="SimSun" w:cs="Arial"/>
          <w:szCs w:val="20"/>
          <w:lang w:eastAsia="zh-CN"/>
        </w:rPr>
        <w:t xml:space="preserve"> </w:t>
      </w:r>
      <w:r w:rsidRPr="0011405E">
        <w:rPr>
          <w:rFonts w:eastAsia="SimSun" w:cs="Arial"/>
          <w:szCs w:val="20"/>
          <w:lang w:eastAsia="zh-CN"/>
        </w:rPr>
        <w:t>The total reach of the World IP Day Facebook page more than doubled in 2013 (reaching 375,000) compared to 2012, with the most page “likes” coming from India, the United States</w:t>
      </w:r>
      <w:r w:rsidR="004547C1">
        <w:rPr>
          <w:rFonts w:eastAsia="SimSun" w:cs="Arial"/>
          <w:szCs w:val="20"/>
          <w:lang w:eastAsia="zh-CN"/>
        </w:rPr>
        <w:t xml:space="preserve"> of America</w:t>
      </w:r>
      <w:r w:rsidRPr="0011405E">
        <w:rPr>
          <w:rFonts w:eastAsia="SimSun" w:cs="Arial"/>
          <w:szCs w:val="20"/>
          <w:lang w:eastAsia="zh-CN"/>
        </w:rPr>
        <w:t xml:space="preserve">, Mexico, Brazil and the United Kingdom. </w:t>
      </w:r>
      <w:r w:rsidR="004547C1">
        <w:rPr>
          <w:rFonts w:eastAsia="SimSun" w:cs="Arial"/>
          <w:szCs w:val="20"/>
          <w:lang w:eastAsia="zh-CN"/>
        </w:rPr>
        <w:t xml:space="preserve"> </w:t>
      </w:r>
      <w:r w:rsidRPr="0011405E">
        <w:rPr>
          <w:rFonts w:eastAsia="SimSun" w:cs="Arial"/>
          <w:szCs w:val="20"/>
          <w:lang w:eastAsia="zh-CN"/>
        </w:rPr>
        <w:t xml:space="preserve">The WIPO website recorded more than twice as many visits on April 26, 2013, as on any other day in the preceding twelve months. </w:t>
      </w:r>
      <w:r w:rsidR="004547C1">
        <w:rPr>
          <w:rFonts w:eastAsia="SimSun" w:cs="Arial"/>
          <w:szCs w:val="20"/>
          <w:lang w:eastAsia="zh-CN"/>
        </w:rPr>
        <w:t xml:space="preserve"> </w:t>
      </w:r>
      <w:r w:rsidRPr="0011405E">
        <w:rPr>
          <w:rFonts w:eastAsia="SimSun" w:cs="Arial"/>
          <w:szCs w:val="20"/>
          <w:lang w:eastAsia="zh-CN"/>
        </w:rPr>
        <w:t>Content on the themes included “Visionary Innovators</w:t>
      </w:r>
      <w:r w:rsidRPr="0011405E">
        <w:rPr>
          <w:rFonts w:eastAsia="SimSun" w:cs="Arial"/>
          <w:i/>
          <w:iCs/>
          <w:szCs w:val="20"/>
          <w:lang w:eastAsia="zh-CN"/>
        </w:rPr>
        <w:t xml:space="preserve">” </w:t>
      </w:r>
      <w:r w:rsidRPr="0011405E">
        <w:rPr>
          <w:rFonts w:eastAsia="SimSun" w:cs="Arial"/>
          <w:szCs w:val="20"/>
          <w:lang w:eastAsia="zh-CN"/>
        </w:rPr>
        <w:t>and</w:t>
      </w:r>
      <w:r w:rsidRPr="0011405E">
        <w:rPr>
          <w:rFonts w:eastAsia="SimSun" w:cs="Arial"/>
          <w:i/>
          <w:iCs/>
          <w:szCs w:val="20"/>
          <w:lang w:eastAsia="zh-CN"/>
        </w:rPr>
        <w:t xml:space="preserve"> “</w:t>
      </w:r>
      <w:r w:rsidRPr="0011405E">
        <w:rPr>
          <w:rFonts w:eastAsia="SimSun" w:cs="Arial"/>
          <w:szCs w:val="20"/>
          <w:lang w:eastAsia="zh-CN"/>
        </w:rPr>
        <w:t>Creativity – the Next Generation</w:t>
      </w:r>
      <w:r w:rsidRPr="0011405E">
        <w:rPr>
          <w:rFonts w:eastAsia="SimSun" w:cs="Arial"/>
          <w:i/>
          <w:iCs/>
          <w:szCs w:val="20"/>
          <w:lang w:eastAsia="zh-CN"/>
        </w:rPr>
        <w:t>”,</w:t>
      </w:r>
      <w:r w:rsidRPr="0011405E">
        <w:rPr>
          <w:rFonts w:eastAsia="SimSun" w:cs="Arial"/>
          <w:szCs w:val="20"/>
          <w:lang w:eastAsia="zh-CN"/>
        </w:rPr>
        <w:t xml:space="preserve"> and World IP Day exhibitions on Steve Jobs’ patents (2012) and 3D Printing (2013). </w:t>
      </w:r>
    </w:p>
    <w:p w:rsidR="00DD50EB" w:rsidRPr="000D5D96" w:rsidRDefault="00DD50EB" w:rsidP="00DD50EB">
      <w:pPr>
        <w:pStyle w:val="ListParagraph"/>
        <w:rPr>
          <w:rFonts w:eastAsia="SimSun" w:cs="Arial"/>
          <w:sz w:val="16"/>
          <w:szCs w:val="16"/>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szCs w:val="20"/>
          <w:lang w:eastAsia="zh-CN"/>
        </w:rPr>
        <w:t xml:space="preserve">Some 46 new Depository Libraries were established during the biennium in response to requests from Member States in developing and transition countries. </w:t>
      </w:r>
      <w:r w:rsidR="004547C1">
        <w:rPr>
          <w:rFonts w:eastAsia="SimSun" w:cs="Arial"/>
          <w:szCs w:val="20"/>
          <w:lang w:eastAsia="zh-CN"/>
        </w:rPr>
        <w:t xml:space="preserve"> </w:t>
      </w:r>
      <w:r w:rsidRPr="0011405E">
        <w:rPr>
          <w:rFonts w:eastAsia="SimSun" w:cs="Arial"/>
          <w:szCs w:val="20"/>
          <w:lang w:eastAsia="zh-CN"/>
        </w:rPr>
        <w:t>In Geneva, the local and diplomatic communit</w:t>
      </w:r>
      <w:r>
        <w:rPr>
          <w:rFonts w:eastAsia="SimSun" w:cs="Arial"/>
          <w:szCs w:val="20"/>
          <w:lang w:eastAsia="zh-CN"/>
        </w:rPr>
        <w:t>ies</w:t>
      </w:r>
      <w:r w:rsidRPr="0011405E">
        <w:rPr>
          <w:rFonts w:eastAsia="SimSun" w:cs="Arial"/>
          <w:szCs w:val="20"/>
          <w:lang w:eastAsia="zh-CN"/>
        </w:rPr>
        <w:t xml:space="preserve"> were engaged in cultural events to illustrate the link between IP and cultural production, such as a festival of Indian film and a spectacular performance of Georgian dance.</w:t>
      </w:r>
    </w:p>
    <w:p w:rsidR="00DD50EB" w:rsidRPr="000D5D96" w:rsidRDefault="00DD50EB" w:rsidP="00DD50EB">
      <w:pPr>
        <w:pStyle w:val="ListParagraph"/>
        <w:rPr>
          <w:rFonts w:eastAsia="SimSun" w:cs="Arial"/>
          <w:sz w:val="16"/>
          <w:szCs w:val="16"/>
          <w:lang w:eastAsia="zh-CN"/>
        </w:rPr>
      </w:pPr>
    </w:p>
    <w:p w:rsidR="00DD50EB" w:rsidRDefault="00DD50EB" w:rsidP="005703CF">
      <w:pPr>
        <w:numPr>
          <w:ilvl w:val="0"/>
          <w:numId w:val="52"/>
        </w:numPr>
        <w:autoSpaceDE w:val="0"/>
        <w:autoSpaceDN w:val="0"/>
        <w:adjustRightInd w:val="0"/>
        <w:jc w:val="both"/>
        <w:rPr>
          <w:rFonts w:eastAsia="SimSun" w:cs="Arial"/>
          <w:i/>
          <w:iCs/>
          <w:szCs w:val="20"/>
          <w:lang w:eastAsia="zh-CN"/>
        </w:rPr>
      </w:pPr>
      <w:r w:rsidRPr="0011405E">
        <w:rPr>
          <w:rFonts w:eastAsia="SimSun" w:cs="Arial"/>
          <w:i/>
          <w:iCs/>
          <w:szCs w:val="20"/>
          <w:lang w:eastAsia="zh-CN"/>
        </w:rPr>
        <w:t>Organizational identity</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The strategic project to define, articulate and reinforce the elements, which make up WIPO’s “brand” identity, and on which the Organization’s reputation is built, was completed during the biennium. </w:t>
      </w:r>
      <w:r w:rsidR="004547C1">
        <w:rPr>
          <w:rFonts w:eastAsia="SimSun" w:cs="Arial"/>
          <w:szCs w:val="20"/>
          <w:lang w:eastAsia="zh-CN"/>
        </w:rPr>
        <w:t xml:space="preserve"> </w:t>
      </w:r>
      <w:r w:rsidRPr="0011405E">
        <w:rPr>
          <w:rFonts w:eastAsia="SimSun" w:cs="Arial"/>
          <w:szCs w:val="20"/>
          <w:lang w:eastAsia="zh-CN"/>
        </w:rPr>
        <w:t xml:space="preserve">A perceptions survey in 2012 provided valuable initial inputs on how WIPO was viewed by its external and internal stakeholders; and helped identify key communications challenges. </w:t>
      </w:r>
      <w:r w:rsidR="004547C1">
        <w:rPr>
          <w:rFonts w:eastAsia="SimSun" w:cs="Arial"/>
          <w:szCs w:val="20"/>
          <w:lang w:eastAsia="zh-CN"/>
        </w:rPr>
        <w:t xml:space="preserve"> </w:t>
      </w:r>
      <w:r w:rsidRPr="0011405E">
        <w:rPr>
          <w:rFonts w:eastAsia="SimSun" w:cs="Arial"/>
          <w:szCs w:val="20"/>
          <w:lang w:eastAsia="zh-CN"/>
        </w:rPr>
        <w:t xml:space="preserve">In 2013, work focused on building a clearer, more consistent expression - both verbally and visually - of WIPO’s identity, role, mission and values across external and internal communications. </w:t>
      </w:r>
      <w:r w:rsidR="004547C1">
        <w:rPr>
          <w:rFonts w:eastAsia="SimSun" w:cs="Arial"/>
          <w:szCs w:val="20"/>
          <w:lang w:eastAsia="zh-CN"/>
        </w:rPr>
        <w:t xml:space="preserve"> </w:t>
      </w:r>
      <w:r w:rsidRPr="002545ED">
        <w:rPr>
          <w:rFonts w:eastAsia="SimSun" w:cs="Arial"/>
          <w:szCs w:val="20"/>
          <w:lang w:eastAsia="zh-CN"/>
        </w:rPr>
        <w:t>As part of this focus,</w:t>
      </w:r>
      <w:r w:rsidRPr="0011405E">
        <w:rPr>
          <w:rFonts w:eastAsia="SimSun" w:cs="Arial"/>
          <w:szCs w:val="20"/>
          <w:lang w:eastAsia="zh-CN"/>
        </w:rPr>
        <w:t xml:space="preserve"> an attractive “brand book” and an exhibition to foster staff engagement</w:t>
      </w:r>
      <w:r>
        <w:rPr>
          <w:rFonts w:eastAsia="SimSun" w:cs="Arial"/>
          <w:szCs w:val="20"/>
          <w:lang w:eastAsia="zh-CN"/>
        </w:rPr>
        <w:t xml:space="preserve"> were produced</w:t>
      </w:r>
      <w:r w:rsidRPr="0011405E">
        <w:rPr>
          <w:rFonts w:eastAsia="SimSun" w:cs="Arial"/>
          <w:szCs w:val="20"/>
          <w:lang w:eastAsia="zh-CN"/>
        </w:rPr>
        <w:t xml:space="preserve">. </w:t>
      </w:r>
      <w:r>
        <w:rPr>
          <w:rFonts w:eastAsia="SimSun" w:cs="Arial"/>
          <w:szCs w:val="20"/>
          <w:lang w:eastAsia="zh-CN"/>
        </w:rPr>
        <w:t>The</w:t>
      </w:r>
      <w:r w:rsidRPr="0011405E">
        <w:rPr>
          <w:rFonts w:eastAsia="SimSun" w:cs="Arial"/>
          <w:szCs w:val="20"/>
          <w:lang w:eastAsia="zh-CN"/>
        </w:rPr>
        <w:t xml:space="preserve"> new website and a new introductory brochure, </w:t>
      </w:r>
      <w:r w:rsidRPr="0011405E">
        <w:rPr>
          <w:rFonts w:eastAsia="SimSun" w:cs="Arial"/>
          <w:i/>
          <w:iCs/>
          <w:szCs w:val="20"/>
          <w:lang w:eastAsia="zh-CN"/>
        </w:rPr>
        <w:t xml:space="preserve">WIPO – Making IP Work, </w:t>
      </w:r>
      <w:r w:rsidRPr="0011405E">
        <w:rPr>
          <w:rFonts w:eastAsia="SimSun" w:cs="Arial"/>
          <w:iCs/>
          <w:szCs w:val="20"/>
          <w:lang w:eastAsia="zh-CN"/>
        </w:rPr>
        <w:t>were used</w:t>
      </w:r>
      <w:r>
        <w:rPr>
          <w:rFonts w:eastAsia="SimSun" w:cs="Arial"/>
          <w:i/>
          <w:iCs/>
          <w:szCs w:val="20"/>
          <w:lang w:eastAsia="zh-CN"/>
        </w:rPr>
        <w:t xml:space="preserve"> </w:t>
      </w:r>
      <w:r w:rsidRPr="0011405E">
        <w:rPr>
          <w:rFonts w:eastAsia="SimSun" w:cs="Arial"/>
          <w:szCs w:val="20"/>
          <w:lang w:eastAsia="zh-CN"/>
        </w:rPr>
        <w:t>to exemplify our corporate identit</w:t>
      </w:r>
      <w:r>
        <w:rPr>
          <w:rFonts w:eastAsia="SimSun" w:cs="Arial"/>
          <w:szCs w:val="20"/>
          <w:lang w:eastAsia="zh-CN"/>
        </w:rPr>
        <w:t>y.</w:t>
      </w:r>
    </w:p>
    <w:p w:rsidR="00DD50EB" w:rsidRPr="000D5D96" w:rsidRDefault="00DD50EB" w:rsidP="00DD50EB">
      <w:pPr>
        <w:autoSpaceDE w:val="0"/>
        <w:autoSpaceDN w:val="0"/>
        <w:adjustRightInd w:val="0"/>
        <w:jc w:val="both"/>
        <w:rPr>
          <w:rFonts w:eastAsia="SimSun" w:cs="Arial"/>
          <w:i/>
          <w:iCs/>
          <w:sz w:val="16"/>
          <w:szCs w:val="16"/>
          <w:lang w:eastAsia="zh-CN"/>
        </w:rPr>
      </w:pPr>
    </w:p>
    <w:p w:rsidR="00DD50EB" w:rsidRPr="0011405E" w:rsidRDefault="00DD50EB">
      <w:pPr>
        <w:numPr>
          <w:ilvl w:val="0"/>
          <w:numId w:val="52"/>
        </w:numPr>
        <w:autoSpaceDE w:val="0"/>
        <w:autoSpaceDN w:val="0"/>
        <w:adjustRightInd w:val="0"/>
        <w:jc w:val="both"/>
        <w:rPr>
          <w:rFonts w:eastAsia="SimSun" w:cs="Arial"/>
          <w:szCs w:val="20"/>
          <w:lang w:eastAsia="zh-CN"/>
        </w:rPr>
      </w:pPr>
      <w:r w:rsidRPr="0011405E">
        <w:rPr>
          <w:rFonts w:eastAsia="SimSun" w:cs="Arial"/>
          <w:i/>
          <w:szCs w:val="20"/>
          <w:lang w:eastAsia="zh-CN"/>
        </w:rPr>
        <w:t>Internal communication.</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Within (and beyond) the SRP framework, the Program led the implementation of key recommendations, based on inputs from staff, to improve internal communication at WIPO.  Actions focused, first, on concrete mechanisms to help overcome the “silo” culture and encourage informal horizontal communication; and, second, on strengthening direct vertical communication between management and staff at all levels.  According to a staff poll, 75 per cent of respondents were of the view that the monthly “What’s New” program had made a positive difference to internal communication. </w:t>
      </w:r>
      <w:r w:rsidR="004547C1">
        <w:rPr>
          <w:rFonts w:eastAsia="SimSun" w:cs="Arial"/>
          <w:szCs w:val="20"/>
          <w:lang w:eastAsia="zh-CN"/>
        </w:rPr>
        <w:t xml:space="preserve"> </w:t>
      </w:r>
      <w:r w:rsidRPr="0011405E">
        <w:rPr>
          <w:rFonts w:eastAsia="SimSun" w:cs="Arial"/>
          <w:szCs w:val="20"/>
          <w:lang w:eastAsia="zh-CN"/>
        </w:rPr>
        <w:t>The Core Values Survey in 2012 also showed a 50 per cent increase in staff who felt that the Organization communicates effectively to them.</w:t>
      </w:r>
    </w:p>
    <w:p w:rsidR="00DD50EB" w:rsidRPr="000D5D96" w:rsidRDefault="00DD50EB" w:rsidP="00DD50EB">
      <w:pPr>
        <w:autoSpaceDE w:val="0"/>
        <w:autoSpaceDN w:val="0"/>
        <w:adjustRightInd w:val="0"/>
        <w:jc w:val="both"/>
        <w:rPr>
          <w:rFonts w:eastAsia="SimSun" w:cs="Arial"/>
          <w:sz w:val="16"/>
          <w:szCs w:val="16"/>
          <w:lang w:eastAsia="zh-CN"/>
        </w:rPr>
      </w:pPr>
    </w:p>
    <w:p w:rsidR="00DD50EB" w:rsidRPr="0011405E" w:rsidRDefault="00DD50EB" w:rsidP="005703CF">
      <w:pPr>
        <w:numPr>
          <w:ilvl w:val="0"/>
          <w:numId w:val="52"/>
        </w:numPr>
        <w:autoSpaceDE w:val="0"/>
        <w:autoSpaceDN w:val="0"/>
        <w:adjustRightInd w:val="0"/>
        <w:jc w:val="both"/>
        <w:rPr>
          <w:rFonts w:eastAsia="SimSun" w:cs="Arial"/>
          <w:szCs w:val="20"/>
          <w:lang w:eastAsia="zh-CN"/>
        </w:rPr>
      </w:pPr>
      <w:r w:rsidRPr="0011405E">
        <w:rPr>
          <w:rFonts w:eastAsia="SimSun" w:cs="Arial"/>
          <w:i/>
          <w:iCs/>
          <w:szCs w:val="20"/>
          <w:lang w:eastAsia="zh-CN"/>
        </w:rPr>
        <w:t>Service-oriented culture</w:t>
      </w:r>
      <w:r w:rsidRPr="0011405E">
        <w:rPr>
          <w:rFonts w:eastAsia="SimSun" w:cs="Arial"/>
          <w:szCs w:val="20"/>
          <w:lang w:eastAsia="zh-CN"/>
        </w:rPr>
        <w:t xml:space="preserve">. </w:t>
      </w:r>
      <w:r w:rsidR="004547C1">
        <w:rPr>
          <w:rFonts w:eastAsia="SimSun" w:cs="Arial"/>
          <w:szCs w:val="20"/>
          <w:lang w:eastAsia="zh-CN"/>
        </w:rPr>
        <w:t xml:space="preserve"> </w:t>
      </w:r>
      <w:r w:rsidRPr="0011405E">
        <w:rPr>
          <w:rFonts w:eastAsia="SimSun" w:cs="Arial"/>
          <w:szCs w:val="20"/>
          <w:lang w:eastAsia="zh-CN"/>
        </w:rPr>
        <w:t xml:space="preserve">A well-received staff training program was rolled out to some 500 staff to improve WIPO’s service orientation, including responsiveness in the handling of phone, web and email enquiries.  Monthly statistics were distributed to teams on their phone call response rates. </w:t>
      </w:r>
      <w:r w:rsidR="004547C1">
        <w:rPr>
          <w:rFonts w:eastAsia="SimSun" w:cs="Arial"/>
          <w:szCs w:val="20"/>
          <w:lang w:eastAsia="zh-CN"/>
        </w:rPr>
        <w:t xml:space="preserve"> </w:t>
      </w:r>
      <w:r w:rsidRPr="0011405E">
        <w:rPr>
          <w:rFonts w:eastAsia="SimSun" w:cs="Arial"/>
          <w:szCs w:val="20"/>
          <w:lang w:eastAsia="zh-CN"/>
        </w:rPr>
        <w:t xml:space="preserve">Practical tools were provided to help improve performance, and the phone configurations of 22 customer service teams were optimized for better service tracking. </w:t>
      </w:r>
      <w:r w:rsidR="004547C1">
        <w:rPr>
          <w:rFonts w:eastAsia="SimSun" w:cs="Arial"/>
          <w:szCs w:val="20"/>
          <w:lang w:eastAsia="zh-CN"/>
        </w:rPr>
        <w:t xml:space="preserve"> </w:t>
      </w:r>
      <w:r w:rsidRPr="0011405E">
        <w:rPr>
          <w:rFonts w:eastAsia="SimSun" w:cs="Arial"/>
          <w:szCs w:val="20"/>
          <w:lang w:eastAsia="zh-CN"/>
        </w:rPr>
        <w:t xml:space="preserve">A WIPO e-mail “netiquette” was developed. </w:t>
      </w:r>
      <w:r w:rsidR="004547C1">
        <w:rPr>
          <w:rFonts w:eastAsia="SimSun" w:cs="Arial"/>
          <w:szCs w:val="20"/>
          <w:lang w:eastAsia="zh-CN"/>
        </w:rPr>
        <w:t xml:space="preserve"> </w:t>
      </w:r>
      <w:r w:rsidRPr="0011405E">
        <w:rPr>
          <w:rFonts w:eastAsia="SimSun" w:cs="Arial"/>
          <w:szCs w:val="20"/>
          <w:lang w:eastAsia="zh-CN"/>
        </w:rPr>
        <w:t xml:space="preserve">Five more WIPO services began using the “WINS” ticketing system to track and manage enquiries. </w:t>
      </w:r>
      <w:r w:rsidR="004547C1">
        <w:rPr>
          <w:rFonts w:eastAsia="SimSun" w:cs="Arial"/>
          <w:szCs w:val="20"/>
          <w:lang w:eastAsia="zh-CN"/>
        </w:rPr>
        <w:t xml:space="preserve"> </w:t>
      </w:r>
      <w:r w:rsidRPr="0011405E">
        <w:rPr>
          <w:rFonts w:eastAsia="SimSun" w:cs="Arial"/>
          <w:szCs w:val="20"/>
          <w:lang w:eastAsia="zh-CN"/>
        </w:rPr>
        <w:t xml:space="preserve">A round-the-clock service was launched in 2012 using the WIPO External Offices to field out-of-hours enquiries. </w:t>
      </w:r>
      <w:r w:rsidR="004547C1">
        <w:rPr>
          <w:rFonts w:eastAsia="SimSun" w:cs="Arial"/>
          <w:szCs w:val="20"/>
          <w:lang w:eastAsia="zh-CN"/>
        </w:rPr>
        <w:t xml:space="preserve"> </w:t>
      </w:r>
      <w:r w:rsidRPr="0011405E">
        <w:rPr>
          <w:rFonts w:eastAsia="SimSun" w:cs="Arial"/>
          <w:szCs w:val="20"/>
          <w:lang w:eastAsia="zh-CN"/>
        </w:rPr>
        <w:t xml:space="preserve">WIPO’s first ever survey to measure the satisfaction of external customers with WIPO’s service orientation used a new methodology to evaluate a range of satisfaction quotients for Madrid, </w:t>
      </w:r>
      <w:proofErr w:type="gramStart"/>
      <w:r w:rsidRPr="0011405E">
        <w:rPr>
          <w:rFonts w:eastAsia="SimSun" w:cs="Arial"/>
          <w:szCs w:val="20"/>
          <w:lang w:eastAsia="zh-CN"/>
        </w:rPr>
        <w:t>the</w:t>
      </w:r>
      <w:proofErr w:type="gramEnd"/>
      <w:r w:rsidRPr="0011405E">
        <w:rPr>
          <w:rFonts w:eastAsia="SimSun" w:cs="Arial"/>
          <w:szCs w:val="20"/>
          <w:lang w:eastAsia="zh-CN"/>
        </w:rPr>
        <w:t xml:space="preserve"> Hague and Finance customers.  The positive impact of the customer service program was reflected in internal and external survey results, in improved responsiveness rates in phone call statistics and in the reduced number of service-related complaints received. </w:t>
      </w:r>
      <w:r w:rsidR="004547C1">
        <w:rPr>
          <w:rFonts w:eastAsia="SimSun" w:cs="Arial"/>
          <w:szCs w:val="20"/>
          <w:lang w:eastAsia="zh-CN"/>
        </w:rPr>
        <w:t xml:space="preserve"> </w:t>
      </w:r>
      <w:r w:rsidRPr="0011405E">
        <w:rPr>
          <w:rFonts w:eastAsia="SimSun" w:cs="Arial"/>
          <w:szCs w:val="20"/>
          <w:lang w:eastAsia="zh-CN"/>
        </w:rPr>
        <w:t xml:space="preserve">The SRP Core Values Surveys indicated a steady cultural change, with positive perceptions by staff of WIPO’s service-orientation rising from 53 per cent in 2011, to </w:t>
      </w:r>
      <w:r w:rsidR="004547C1" w:rsidRPr="0011405E">
        <w:rPr>
          <w:rFonts w:eastAsia="SimSun" w:cs="Arial"/>
          <w:szCs w:val="20"/>
          <w:lang w:eastAsia="zh-CN"/>
        </w:rPr>
        <w:t>61</w:t>
      </w:r>
      <w:r w:rsidR="004547C1">
        <w:rPr>
          <w:rFonts w:eastAsia="SimSun" w:cs="Arial"/>
          <w:szCs w:val="20"/>
          <w:lang w:eastAsia="zh-CN"/>
        </w:rPr>
        <w:t> </w:t>
      </w:r>
      <w:r w:rsidR="004547C1" w:rsidRPr="0011405E">
        <w:rPr>
          <w:rFonts w:eastAsia="SimSun" w:cs="Arial"/>
          <w:szCs w:val="20"/>
          <w:lang w:eastAsia="zh-CN"/>
        </w:rPr>
        <w:t>per</w:t>
      </w:r>
      <w:r w:rsidR="004547C1">
        <w:rPr>
          <w:rFonts w:eastAsia="SimSun" w:cs="Arial"/>
          <w:szCs w:val="20"/>
          <w:lang w:eastAsia="zh-CN"/>
        </w:rPr>
        <w:t> </w:t>
      </w:r>
      <w:r w:rsidRPr="0011405E">
        <w:rPr>
          <w:rFonts w:eastAsia="SimSun" w:cs="Arial"/>
          <w:szCs w:val="20"/>
          <w:lang w:eastAsia="zh-CN"/>
        </w:rPr>
        <w:t xml:space="preserve">cent in 2012. </w:t>
      </w:r>
    </w:p>
    <w:p w:rsidR="00DD50EB" w:rsidRPr="00A16D38" w:rsidRDefault="00DD50EB" w:rsidP="00DD50EB">
      <w:pPr>
        <w:autoSpaceDE w:val="0"/>
        <w:autoSpaceDN w:val="0"/>
        <w:adjustRightInd w:val="0"/>
        <w:rPr>
          <w:rFonts w:eastAsia="SimSun"/>
          <w:i/>
          <w:iCs/>
          <w:sz w:val="22"/>
          <w:szCs w:val="22"/>
          <w:lang w:eastAsia="zh-CN"/>
        </w:rPr>
      </w:pPr>
    </w:p>
    <w:p w:rsidR="00DD50EB" w:rsidRPr="00A16D38" w:rsidRDefault="00DD50EB" w:rsidP="00DD50EB">
      <w:pPr>
        <w:keepNext/>
        <w:keepLines/>
        <w:jc w:val="both"/>
        <w:rPr>
          <w:rFonts w:eastAsia="SimSun" w:cs="Arial"/>
          <w:sz w:val="22"/>
          <w:szCs w:val="22"/>
          <w:lang w:eastAsia="zh-CN"/>
        </w:rPr>
      </w:pPr>
      <w:r w:rsidRPr="00A16D38">
        <w:rPr>
          <w:rFonts w:eastAsia="SimSun" w:cs="Arial"/>
          <w:sz w:val="22"/>
          <w:szCs w:val="22"/>
          <w:lang w:eastAsia="zh-CN"/>
        </w:rPr>
        <w:t xml:space="preserve">IMPLEMENTATION OF THE DEVELOPMENT AGENDA </w:t>
      </w:r>
    </w:p>
    <w:p w:rsidR="00DD50EB" w:rsidRPr="000D5D96" w:rsidRDefault="00DD50EB" w:rsidP="00DD50EB">
      <w:pPr>
        <w:keepNext/>
        <w:keepLines/>
        <w:jc w:val="both"/>
        <w:rPr>
          <w:rFonts w:eastAsia="SimSun" w:cs="Arial"/>
          <w:sz w:val="16"/>
          <w:szCs w:val="16"/>
          <w:lang w:eastAsia="zh-CN"/>
        </w:rPr>
      </w:pPr>
    </w:p>
    <w:p w:rsidR="00DD50EB" w:rsidRPr="0011405E" w:rsidRDefault="00DD50EB" w:rsidP="005703CF">
      <w:pPr>
        <w:numPr>
          <w:ilvl w:val="0"/>
          <w:numId w:val="52"/>
        </w:numPr>
        <w:autoSpaceDE w:val="0"/>
        <w:autoSpaceDN w:val="0"/>
        <w:adjustRightInd w:val="0"/>
        <w:jc w:val="both"/>
        <w:rPr>
          <w:rFonts w:eastAsia="SimSun"/>
          <w:color w:val="000000"/>
          <w:szCs w:val="20"/>
          <w:lang w:eastAsia="zh-CN"/>
        </w:rPr>
      </w:pPr>
      <w:r w:rsidRPr="0011405E">
        <w:rPr>
          <w:rFonts w:eastAsia="SimSun" w:cs="Arial"/>
          <w:szCs w:val="20"/>
          <w:lang w:eastAsia="zh-CN"/>
        </w:rPr>
        <w:t xml:space="preserve">The design, planning and implementation of activities undertaken by Program 19 were informed by relevant DA Recommendations. </w:t>
      </w:r>
      <w:r w:rsidR="00071F79">
        <w:rPr>
          <w:rFonts w:eastAsia="SimSun" w:cs="Arial"/>
          <w:szCs w:val="20"/>
          <w:lang w:eastAsia="zh-CN"/>
        </w:rPr>
        <w:t xml:space="preserve"> </w:t>
      </w:r>
      <w:r w:rsidRPr="0011405E">
        <w:rPr>
          <w:rFonts w:eastAsia="SimSun" w:cs="Arial"/>
          <w:szCs w:val="20"/>
          <w:lang w:eastAsia="zh-CN"/>
        </w:rPr>
        <w:t xml:space="preserve">Specific activities were tailored to enhance public awareness in developing countries and LDCs of the importance and benefits of the IP rights system. </w:t>
      </w:r>
      <w:r w:rsidR="00071F79">
        <w:rPr>
          <w:rFonts w:eastAsia="SimSun" w:cs="Arial"/>
          <w:szCs w:val="20"/>
          <w:lang w:eastAsia="zh-CN"/>
        </w:rPr>
        <w:t xml:space="preserve"> </w:t>
      </w:r>
      <w:r w:rsidRPr="0011405E">
        <w:rPr>
          <w:rFonts w:eastAsia="SimSun" w:cs="Arial"/>
          <w:szCs w:val="20"/>
          <w:lang w:eastAsia="zh-CN"/>
        </w:rPr>
        <w:t>Program</w:t>
      </w:r>
      <w:r w:rsidR="00071F79">
        <w:rPr>
          <w:rFonts w:eastAsia="SimSun" w:cs="Arial"/>
          <w:szCs w:val="20"/>
          <w:lang w:eastAsia="zh-CN"/>
        </w:rPr>
        <w:t> </w:t>
      </w:r>
      <w:r w:rsidRPr="0011405E">
        <w:rPr>
          <w:rFonts w:eastAsia="SimSun" w:cs="Arial"/>
          <w:szCs w:val="20"/>
          <w:lang w:eastAsia="zh-CN"/>
        </w:rPr>
        <w:t xml:space="preserve">19 continued to build the </w:t>
      </w:r>
      <w:r w:rsidRPr="0011405E">
        <w:rPr>
          <w:rFonts w:eastAsia="SimSun" w:cs="Arial"/>
          <w:i/>
          <w:iCs/>
          <w:szCs w:val="20"/>
          <w:lang w:eastAsia="zh-CN"/>
        </w:rPr>
        <w:t>IP Advantage</w:t>
      </w:r>
      <w:r w:rsidRPr="0011405E">
        <w:rPr>
          <w:rFonts w:eastAsia="SimSun" w:cs="Arial"/>
          <w:szCs w:val="20"/>
          <w:lang w:eastAsia="zh-CN"/>
        </w:rPr>
        <w:t xml:space="preserve"> database of case studies (a DA initiative endorsed by the CDIP), which attracted over 312,000 page views in 2012/13, and provided editorial, design, video, web and other communications support to numerous DA-related products and outputs by other programs across the Organization.</w:t>
      </w:r>
    </w:p>
    <w:p w:rsidR="00C019FF" w:rsidRDefault="00C019FF">
      <w:pPr>
        <w:rPr>
          <w:rFonts w:cs="Arial"/>
          <w:sz w:val="22"/>
          <w:szCs w:val="22"/>
        </w:rPr>
      </w:pPr>
      <w:r>
        <w:rPr>
          <w:rFonts w:cs="Arial"/>
          <w:sz w:val="22"/>
          <w:szCs w:val="22"/>
        </w:rPr>
        <w:br w:type="page"/>
      </w:r>
    </w:p>
    <w:p w:rsidR="00DD50EB" w:rsidRDefault="00DD50EB" w:rsidP="00DD50EB">
      <w:pPr>
        <w:rPr>
          <w:rFonts w:cs="Arial"/>
          <w:sz w:val="22"/>
          <w:szCs w:val="22"/>
        </w:rPr>
      </w:pPr>
      <w:r w:rsidRPr="004D1BF4">
        <w:rPr>
          <w:rFonts w:cs="Arial"/>
          <w:sz w:val="22"/>
          <w:szCs w:val="22"/>
        </w:rPr>
        <w:lastRenderedPageBreak/>
        <w:t>PERFORMANCE DATA</w:t>
      </w:r>
    </w:p>
    <w:p w:rsidR="00DD50EB" w:rsidRDefault="00DD50EB" w:rsidP="00DD50EB">
      <w:pPr>
        <w:rPr>
          <w:rFonts w:cs="Arial"/>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1"/>
        <w:gridCol w:w="2835"/>
        <w:gridCol w:w="1134"/>
        <w:gridCol w:w="2551"/>
        <w:gridCol w:w="1276"/>
      </w:tblGrid>
      <w:tr w:rsidR="00DD50EB" w:rsidTr="007C0423">
        <w:trPr>
          <w:trHeight w:val="435"/>
        </w:trPr>
        <w:tc>
          <w:tcPr>
            <w:tcW w:w="5000" w:type="pct"/>
            <w:gridSpan w:val="5"/>
            <w:tcBorders>
              <w:top w:val="single" w:sz="4" w:space="0" w:color="auto"/>
              <w:bottom w:val="single" w:sz="4" w:space="0" w:color="auto"/>
            </w:tcBorders>
            <w:shd w:val="clear" w:color="auto" w:fill="CCFFFF"/>
            <w:vAlign w:val="center"/>
          </w:tcPr>
          <w:p w:rsidR="00DD50EB" w:rsidRDefault="00DD50EB"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4354B8">
              <w:rPr>
                <w:rFonts w:cs="Arial"/>
                <w:sz w:val="16"/>
                <w:szCs w:val="16"/>
              </w:rPr>
              <w:t>More effective communication to a broad public about intellectual property and WIPO’s role</w:t>
            </w:r>
          </w:p>
        </w:tc>
      </w:tr>
      <w:tr w:rsidR="00DD50EB" w:rsidRPr="006475C7" w:rsidTr="0024474C">
        <w:tc>
          <w:tcPr>
            <w:tcW w:w="834" w:type="pct"/>
            <w:tcBorders>
              <w:top w:val="single" w:sz="4" w:space="0" w:color="auto"/>
            </w:tcBorders>
            <w:vAlign w:val="center"/>
          </w:tcPr>
          <w:p w:rsidR="00DD50EB" w:rsidRPr="006475C7" w:rsidRDefault="00DD50EB" w:rsidP="007C0423">
            <w:pPr>
              <w:rPr>
                <w:rFonts w:cs="Arial"/>
                <w:sz w:val="16"/>
                <w:szCs w:val="16"/>
              </w:rPr>
            </w:pPr>
            <w:r w:rsidRPr="006475C7">
              <w:rPr>
                <w:rFonts w:cs="Arial"/>
                <w:b/>
                <w:bCs/>
                <w:sz w:val="16"/>
                <w:szCs w:val="16"/>
              </w:rPr>
              <w:t>Performance Indicators</w:t>
            </w:r>
          </w:p>
        </w:tc>
        <w:tc>
          <w:tcPr>
            <w:tcW w:w="1515" w:type="pct"/>
            <w:tcBorders>
              <w:top w:val="single" w:sz="4" w:space="0" w:color="auto"/>
            </w:tcBorders>
            <w:shd w:val="clear" w:color="auto" w:fill="auto"/>
            <w:vAlign w:val="center"/>
          </w:tcPr>
          <w:p w:rsidR="00DD50EB" w:rsidRPr="006475C7" w:rsidRDefault="00DD50EB" w:rsidP="007C0423">
            <w:pPr>
              <w:rPr>
                <w:rFonts w:cs="Arial"/>
                <w:b/>
                <w:bCs/>
                <w:sz w:val="16"/>
                <w:szCs w:val="16"/>
              </w:rPr>
            </w:pPr>
            <w:r w:rsidRPr="0027745B">
              <w:rPr>
                <w:rFonts w:cs="Arial"/>
                <w:b/>
                <w:bCs/>
                <w:sz w:val="16"/>
                <w:szCs w:val="16"/>
              </w:rPr>
              <w:t>Baselines</w:t>
            </w:r>
          </w:p>
        </w:tc>
        <w:tc>
          <w:tcPr>
            <w:tcW w:w="606" w:type="pct"/>
            <w:tcBorders>
              <w:top w:val="single" w:sz="4" w:space="0" w:color="auto"/>
            </w:tcBorders>
            <w:tcMar>
              <w:top w:w="110" w:type="dxa"/>
            </w:tcMar>
            <w:vAlign w:val="center"/>
          </w:tcPr>
          <w:p w:rsidR="00DD50EB" w:rsidRPr="0027745B" w:rsidRDefault="00DD50EB" w:rsidP="007C0423">
            <w:pPr>
              <w:rPr>
                <w:rFonts w:cs="Arial"/>
                <w:b/>
                <w:bCs/>
                <w:sz w:val="16"/>
                <w:szCs w:val="16"/>
              </w:rPr>
            </w:pPr>
            <w:r w:rsidRPr="0027745B">
              <w:rPr>
                <w:rFonts w:cs="Arial"/>
                <w:b/>
                <w:sz w:val="16"/>
                <w:szCs w:val="16"/>
              </w:rPr>
              <w:t>Targets</w:t>
            </w:r>
          </w:p>
        </w:tc>
        <w:tc>
          <w:tcPr>
            <w:tcW w:w="1363" w:type="pct"/>
            <w:tcBorders>
              <w:top w:val="single" w:sz="4" w:space="0" w:color="auto"/>
            </w:tcBorders>
            <w:shd w:val="clear" w:color="auto" w:fill="FFFFFF"/>
            <w:tcMar>
              <w:top w:w="110" w:type="dxa"/>
            </w:tcMar>
            <w:vAlign w:val="center"/>
          </w:tcPr>
          <w:p w:rsidR="00DD50EB" w:rsidRPr="006475C7" w:rsidRDefault="00DD50EB" w:rsidP="007C0423">
            <w:pPr>
              <w:rPr>
                <w:rFonts w:cs="Arial"/>
                <w:sz w:val="16"/>
                <w:szCs w:val="16"/>
              </w:rPr>
            </w:pPr>
            <w:r w:rsidRPr="006475C7">
              <w:rPr>
                <w:rFonts w:cs="Arial"/>
                <w:b/>
                <w:bCs/>
                <w:sz w:val="16"/>
                <w:szCs w:val="16"/>
              </w:rPr>
              <w:t>Performance Data</w:t>
            </w:r>
          </w:p>
        </w:tc>
        <w:tc>
          <w:tcPr>
            <w:tcW w:w="682" w:type="pct"/>
            <w:tcBorders>
              <w:top w:val="single" w:sz="4" w:space="0" w:color="auto"/>
            </w:tcBorders>
            <w:tcMar>
              <w:top w:w="110" w:type="dxa"/>
            </w:tcMar>
            <w:vAlign w:val="center"/>
          </w:tcPr>
          <w:p w:rsidR="00DD50EB" w:rsidRPr="0027745B" w:rsidRDefault="00DD50EB" w:rsidP="007C0423">
            <w:pPr>
              <w:keepNext/>
              <w:keepLines/>
              <w:jc w:val="center"/>
              <w:rPr>
                <w:rFonts w:cs="Arial"/>
                <w:b/>
                <w:bCs/>
                <w:sz w:val="16"/>
                <w:szCs w:val="16"/>
              </w:rPr>
            </w:pPr>
            <w:r w:rsidRPr="006475C7">
              <w:rPr>
                <w:rFonts w:cs="Arial"/>
                <w:b/>
                <w:bCs/>
                <w:sz w:val="16"/>
                <w:szCs w:val="16"/>
              </w:rPr>
              <w:t>TLS</w:t>
            </w:r>
          </w:p>
        </w:tc>
      </w:tr>
      <w:tr w:rsidR="00DD50EB" w:rsidTr="0024474C">
        <w:tc>
          <w:tcPr>
            <w:tcW w:w="834" w:type="pct"/>
          </w:tcPr>
          <w:p w:rsidR="00DD50EB" w:rsidRPr="004354B8" w:rsidRDefault="00DD50EB" w:rsidP="007C0423">
            <w:pPr>
              <w:keepNext/>
              <w:rPr>
                <w:rFonts w:cs="Arial"/>
                <w:sz w:val="16"/>
                <w:szCs w:val="16"/>
              </w:rPr>
            </w:pPr>
            <w:r w:rsidRPr="004354B8">
              <w:rPr>
                <w:rFonts w:cs="Arial"/>
                <w:sz w:val="16"/>
                <w:szCs w:val="16"/>
              </w:rPr>
              <w:t>No. of press articles on WIPO's work</w:t>
            </w:r>
          </w:p>
        </w:tc>
        <w:tc>
          <w:tcPr>
            <w:tcW w:w="1515" w:type="pct"/>
            <w:shd w:val="clear" w:color="auto" w:fill="auto"/>
          </w:tcPr>
          <w:p w:rsidR="00DD50EB" w:rsidRPr="0027745B" w:rsidRDefault="00DD50EB" w:rsidP="007C0423">
            <w:pPr>
              <w:keepNext/>
              <w:rPr>
                <w:rFonts w:cs="Arial"/>
                <w:i/>
                <w:color w:val="002060"/>
                <w:sz w:val="16"/>
                <w:szCs w:val="16"/>
              </w:rPr>
            </w:pPr>
            <w:r w:rsidRPr="0027745B">
              <w:rPr>
                <w:rFonts w:cs="Arial"/>
                <w:i/>
                <w:color w:val="002060"/>
                <w:sz w:val="16"/>
                <w:szCs w:val="16"/>
              </w:rPr>
              <w:t xml:space="preserve">Updated Baseline end 2011:  </w:t>
            </w:r>
            <w:r>
              <w:rPr>
                <w:rFonts w:cs="Arial"/>
                <w:color w:val="002060"/>
                <w:sz w:val="16"/>
                <w:szCs w:val="16"/>
              </w:rPr>
              <w:t xml:space="preserve">7,423  </w:t>
            </w:r>
            <w:r w:rsidRPr="0027745B">
              <w:rPr>
                <w:rFonts w:cs="Arial"/>
                <w:color w:val="002060"/>
                <w:sz w:val="16"/>
                <w:szCs w:val="16"/>
              </w:rPr>
              <w:t>(2010-2011)</w:t>
            </w:r>
          </w:p>
          <w:p w:rsidR="00DD50EB" w:rsidRPr="000D5D96" w:rsidRDefault="00DD50EB" w:rsidP="007C0423">
            <w:pPr>
              <w:keepNext/>
              <w:rPr>
                <w:rFonts w:cs="Arial"/>
                <w:i/>
                <w:color w:val="002060"/>
                <w:sz w:val="8"/>
                <w:szCs w:val="8"/>
              </w:rPr>
            </w:pPr>
          </w:p>
          <w:p w:rsidR="00DD50EB" w:rsidRPr="004D1BF4" w:rsidRDefault="00DD50EB" w:rsidP="007C0423">
            <w:pPr>
              <w:keepNext/>
              <w:rPr>
                <w:rFonts w:cs="Arial"/>
                <w:sz w:val="16"/>
                <w:szCs w:val="16"/>
              </w:rPr>
            </w:pPr>
            <w:r w:rsidRPr="0027745B">
              <w:rPr>
                <w:rFonts w:cs="Arial"/>
                <w:i/>
                <w:sz w:val="16"/>
                <w:szCs w:val="16"/>
              </w:rPr>
              <w:t>Original Baseline P&amp;B 2012/13:</w:t>
            </w:r>
            <w:r>
              <w:rPr>
                <w:rFonts w:cs="Arial"/>
                <w:i/>
                <w:iCs/>
                <w:sz w:val="16"/>
                <w:szCs w:val="16"/>
              </w:rPr>
              <w:t xml:space="preserve">  </w:t>
            </w:r>
            <w:r w:rsidRPr="006475C7">
              <w:rPr>
                <w:rFonts w:cs="Arial"/>
                <w:sz w:val="16"/>
                <w:szCs w:val="16"/>
              </w:rPr>
              <w:t>6,226</w:t>
            </w:r>
            <w:r>
              <w:rPr>
                <w:rFonts w:cs="Arial"/>
                <w:sz w:val="16"/>
                <w:szCs w:val="16"/>
              </w:rPr>
              <w:t xml:space="preserve">  </w:t>
            </w:r>
            <w:r w:rsidRPr="006475C7">
              <w:rPr>
                <w:rFonts w:cs="Arial"/>
                <w:sz w:val="16"/>
                <w:szCs w:val="16"/>
              </w:rPr>
              <w:t>(2008/09)</w:t>
            </w:r>
          </w:p>
        </w:tc>
        <w:tc>
          <w:tcPr>
            <w:tcW w:w="606" w:type="pct"/>
            <w:tcMar>
              <w:top w:w="110" w:type="dxa"/>
            </w:tcMar>
          </w:tcPr>
          <w:p w:rsidR="00DD50EB" w:rsidRPr="0027745B" w:rsidRDefault="00DD50EB" w:rsidP="007C0423">
            <w:pPr>
              <w:keepNext/>
              <w:rPr>
                <w:rFonts w:cs="Arial"/>
                <w:sz w:val="16"/>
                <w:szCs w:val="16"/>
              </w:rPr>
            </w:pPr>
            <w:r w:rsidRPr="008A2422">
              <w:rPr>
                <w:rFonts w:cs="Arial"/>
                <w:sz w:val="16"/>
                <w:szCs w:val="16"/>
              </w:rPr>
              <w:t>5% increase</w:t>
            </w:r>
          </w:p>
        </w:tc>
        <w:tc>
          <w:tcPr>
            <w:tcW w:w="1363" w:type="pct"/>
            <w:shd w:val="clear" w:color="auto" w:fill="FFFFFF"/>
            <w:tcMar>
              <w:top w:w="110" w:type="dxa"/>
            </w:tcMar>
          </w:tcPr>
          <w:p w:rsidR="00DD50EB" w:rsidRPr="008A2422" w:rsidRDefault="00DD50EB">
            <w:pPr>
              <w:keepNext/>
              <w:keepLines/>
              <w:rPr>
                <w:rFonts w:cs="Arial"/>
                <w:sz w:val="16"/>
                <w:szCs w:val="16"/>
                <w:highlight w:val="yellow"/>
              </w:rPr>
            </w:pPr>
            <w:r w:rsidRPr="008A2422">
              <w:rPr>
                <w:rFonts w:cs="Arial"/>
                <w:sz w:val="16"/>
                <w:szCs w:val="16"/>
              </w:rPr>
              <w:t>10,093 articles in 2012/13</w:t>
            </w:r>
            <w:r w:rsidR="00261FAA" w:rsidRPr="008A2422">
              <w:rPr>
                <w:rFonts w:cs="Arial"/>
                <w:sz w:val="16"/>
                <w:szCs w:val="16"/>
              </w:rPr>
              <w:t xml:space="preserve">; </w:t>
            </w:r>
            <w:r w:rsidR="00261FAA">
              <w:rPr>
                <w:rFonts w:cs="Arial"/>
                <w:sz w:val="16"/>
                <w:szCs w:val="16"/>
              </w:rPr>
              <w:t>a</w:t>
            </w:r>
            <w:r w:rsidR="00071F79">
              <w:rPr>
                <w:rFonts w:cs="Arial"/>
                <w:sz w:val="16"/>
                <w:szCs w:val="16"/>
              </w:rPr>
              <w:t> </w:t>
            </w:r>
            <w:r w:rsidRPr="008A2422">
              <w:rPr>
                <w:rFonts w:cs="Arial"/>
                <w:sz w:val="16"/>
                <w:szCs w:val="16"/>
              </w:rPr>
              <w:t>36% increase over 2010/11</w:t>
            </w:r>
            <w:r w:rsidR="00071F79">
              <w:rPr>
                <w:rFonts w:cs="Arial"/>
                <w:sz w:val="16"/>
                <w:szCs w:val="16"/>
              </w:rPr>
              <w:t>.</w:t>
            </w:r>
          </w:p>
        </w:tc>
        <w:tc>
          <w:tcPr>
            <w:tcW w:w="682" w:type="pct"/>
            <w:tcMar>
              <w:top w:w="110" w:type="dxa"/>
            </w:tcMar>
          </w:tcPr>
          <w:p w:rsidR="00DD50EB" w:rsidRPr="008A2422" w:rsidRDefault="00DD50EB" w:rsidP="007C0423">
            <w:pPr>
              <w:keepNext/>
              <w:keepLines/>
              <w:jc w:val="center"/>
              <w:rPr>
                <w:rFonts w:cs="Arial"/>
                <w:color w:val="808080"/>
                <w:sz w:val="16"/>
                <w:szCs w:val="16"/>
              </w:rPr>
            </w:pPr>
            <w:r w:rsidRPr="0027745B">
              <w:rPr>
                <w:rFonts w:cs="Arial"/>
                <w:bCs/>
                <w:color w:val="008000"/>
                <w:sz w:val="16"/>
                <w:szCs w:val="16"/>
              </w:rPr>
              <w:t>Fully</w:t>
            </w:r>
            <w:r w:rsidRPr="0027745B">
              <w:rPr>
                <w:rFonts w:cs="Arial"/>
                <w:bCs/>
                <w:color w:val="008000"/>
                <w:sz w:val="16"/>
                <w:szCs w:val="16"/>
              </w:rPr>
              <w:br/>
              <w:t>Achieved</w:t>
            </w:r>
          </w:p>
        </w:tc>
      </w:tr>
      <w:tr w:rsidR="00DD50EB" w:rsidTr="0024474C">
        <w:tc>
          <w:tcPr>
            <w:tcW w:w="834" w:type="pct"/>
          </w:tcPr>
          <w:p w:rsidR="00DD50EB" w:rsidRPr="004354B8" w:rsidRDefault="00DD50EB" w:rsidP="007C0423">
            <w:pPr>
              <w:keepNext/>
              <w:rPr>
                <w:rFonts w:cs="Arial"/>
                <w:sz w:val="16"/>
                <w:szCs w:val="16"/>
              </w:rPr>
            </w:pPr>
            <w:r>
              <w:rPr>
                <w:rFonts w:cs="Arial"/>
                <w:sz w:val="16"/>
                <w:szCs w:val="16"/>
              </w:rPr>
              <w:t>Availability rate of WIPO core publications in all official UN languages</w:t>
            </w:r>
          </w:p>
        </w:tc>
        <w:tc>
          <w:tcPr>
            <w:tcW w:w="1515" w:type="pct"/>
            <w:shd w:val="clear" w:color="auto" w:fill="auto"/>
          </w:tcPr>
          <w:p w:rsidR="00DD50EB" w:rsidRPr="006475C7" w:rsidRDefault="00DD50EB" w:rsidP="007C0423">
            <w:pPr>
              <w:keepNext/>
              <w:rPr>
                <w:rFonts w:cs="Arial"/>
                <w:i/>
                <w:color w:val="002060"/>
                <w:sz w:val="16"/>
                <w:szCs w:val="16"/>
              </w:rPr>
            </w:pPr>
            <w:r w:rsidRPr="006475C7">
              <w:rPr>
                <w:rFonts w:cs="Arial"/>
                <w:i/>
                <w:color w:val="002060"/>
                <w:sz w:val="16"/>
                <w:szCs w:val="16"/>
              </w:rPr>
              <w:t xml:space="preserve">Updated Baseline end 2011:  </w:t>
            </w:r>
            <w:r w:rsidRPr="0027745B">
              <w:rPr>
                <w:rFonts w:cs="Arial"/>
                <w:color w:val="002060"/>
                <w:sz w:val="16"/>
                <w:szCs w:val="16"/>
              </w:rPr>
              <w:t>63.8%</w:t>
            </w:r>
          </w:p>
          <w:p w:rsidR="00DD50EB" w:rsidRPr="000D5D96" w:rsidRDefault="00DD50EB" w:rsidP="007C0423">
            <w:pPr>
              <w:keepNext/>
              <w:rPr>
                <w:rFonts w:cs="Arial"/>
                <w:i/>
                <w:color w:val="002060"/>
                <w:sz w:val="8"/>
                <w:szCs w:val="8"/>
              </w:rPr>
            </w:pPr>
          </w:p>
          <w:p w:rsidR="00DD50EB" w:rsidRPr="004D1BF4" w:rsidRDefault="00DD50EB" w:rsidP="007C0423">
            <w:pPr>
              <w:keepNext/>
              <w:rPr>
                <w:rFonts w:cs="Arial"/>
                <w:sz w:val="16"/>
                <w:szCs w:val="16"/>
              </w:rPr>
            </w:pPr>
            <w:r w:rsidRPr="007F330D">
              <w:rPr>
                <w:rFonts w:cs="Arial"/>
                <w:i/>
                <w:sz w:val="16"/>
                <w:szCs w:val="16"/>
              </w:rPr>
              <w:t>Original Baseline P&amp;B 2012/13:</w:t>
            </w:r>
            <w:r w:rsidRPr="004D1BF4">
              <w:rPr>
                <w:rFonts w:cs="Arial"/>
                <w:sz w:val="16"/>
                <w:szCs w:val="16"/>
              </w:rPr>
              <w:t xml:space="preserve"> </w:t>
            </w:r>
            <w:r>
              <w:rPr>
                <w:rFonts w:cs="Arial"/>
                <w:sz w:val="16"/>
                <w:szCs w:val="16"/>
              </w:rPr>
              <w:t xml:space="preserve"> </w:t>
            </w:r>
            <w:r w:rsidRPr="004D1BF4">
              <w:rPr>
                <w:rFonts w:cs="Arial"/>
                <w:sz w:val="16"/>
                <w:szCs w:val="16"/>
              </w:rPr>
              <w:t>63.8%</w:t>
            </w:r>
          </w:p>
        </w:tc>
        <w:tc>
          <w:tcPr>
            <w:tcW w:w="606" w:type="pct"/>
            <w:tcMar>
              <w:top w:w="110" w:type="dxa"/>
            </w:tcMar>
          </w:tcPr>
          <w:p w:rsidR="00DD50EB" w:rsidRPr="0027745B" w:rsidRDefault="00DD50EB" w:rsidP="007C0423">
            <w:pPr>
              <w:rPr>
                <w:rFonts w:cs="Arial"/>
                <w:sz w:val="16"/>
                <w:szCs w:val="16"/>
              </w:rPr>
            </w:pPr>
            <w:r w:rsidRPr="008A2422">
              <w:rPr>
                <w:rFonts w:cs="Arial"/>
                <w:sz w:val="16"/>
                <w:szCs w:val="16"/>
              </w:rPr>
              <w:t>≥ 70%</w:t>
            </w:r>
          </w:p>
        </w:tc>
        <w:tc>
          <w:tcPr>
            <w:tcW w:w="1363" w:type="pct"/>
            <w:shd w:val="clear" w:color="auto" w:fill="FFFFFF"/>
            <w:tcMar>
              <w:top w:w="110" w:type="dxa"/>
            </w:tcMar>
          </w:tcPr>
          <w:p w:rsidR="00DD50EB" w:rsidRPr="008A2422" w:rsidRDefault="00DD50EB" w:rsidP="007C0423">
            <w:pPr>
              <w:keepNext/>
              <w:keepLines/>
              <w:rPr>
                <w:rFonts w:cs="Arial"/>
                <w:b/>
                <w:bCs/>
                <w:sz w:val="16"/>
                <w:szCs w:val="16"/>
                <w:highlight w:val="yellow"/>
              </w:rPr>
            </w:pPr>
            <w:r w:rsidRPr="008A2422">
              <w:rPr>
                <w:rFonts w:cs="Arial"/>
                <w:sz w:val="16"/>
                <w:szCs w:val="16"/>
              </w:rPr>
              <w:t>71.2% of core publications were available in all 6 languages by end 2012.  The “core publications” approach was superseded in 2013 by the new language policy</w:t>
            </w:r>
            <w:r w:rsidR="00071F79">
              <w:rPr>
                <w:rFonts w:cs="Arial"/>
                <w:sz w:val="16"/>
                <w:szCs w:val="16"/>
              </w:rPr>
              <w:t>.</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Pr>
          <w:p w:rsidR="00DD50EB" w:rsidRPr="004354B8" w:rsidRDefault="00DD50EB" w:rsidP="007C0423">
            <w:pPr>
              <w:keepNext/>
              <w:rPr>
                <w:rFonts w:cs="Arial"/>
                <w:sz w:val="16"/>
                <w:szCs w:val="16"/>
              </w:rPr>
            </w:pPr>
            <w:r>
              <w:rPr>
                <w:rFonts w:cs="Arial"/>
                <w:sz w:val="16"/>
                <w:szCs w:val="16"/>
              </w:rPr>
              <w:t>N</w:t>
            </w:r>
            <w:r w:rsidRPr="004354B8">
              <w:rPr>
                <w:rFonts w:cs="Arial"/>
                <w:sz w:val="16"/>
                <w:szCs w:val="16"/>
              </w:rPr>
              <w:t xml:space="preserve">umber of views (on average) </w:t>
            </w:r>
            <w:r>
              <w:rPr>
                <w:rFonts w:cs="Arial"/>
                <w:sz w:val="16"/>
                <w:szCs w:val="16"/>
              </w:rPr>
              <w:t xml:space="preserve">per WIPO video on YouTube </w:t>
            </w:r>
          </w:p>
        </w:tc>
        <w:tc>
          <w:tcPr>
            <w:tcW w:w="1515" w:type="pct"/>
            <w:shd w:val="clear" w:color="auto" w:fill="auto"/>
          </w:tcPr>
          <w:p w:rsidR="00DD50EB" w:rsidRDefault="00DD50EB" w:rsidP="007C0423">
            <w:pPr>
              <w:keepNext/>
              <w:rPr>
                <w:rFonts w:cs="Arial"/>
                <w:i/>
                <w:color w:val="002060"/>
                <w:sz w:val="16"/>
                <w:szCs w:val="16"/>
              </w:rPr>
            </w:pPr>
            <w:r w:rsidRPr="007F330D">
              <w:rPr>
                <w:rFonts w:cs="Arial"/>
                <w:i/>
                <w:color w:val="002060"/>
                <w:sz w:val="16"/>
                <w:szCs w:val="16"/>
              </w:rPr>
              <w:t xml:space="preserve">Updated Baseline end 2011:  </w:t>
            </w:r>
            <w:r w:rsidRPr="0027745B">
              <w:rPr>
                <w:rFonts w:cs="Arial"/>
                <w:color w:val="002060"/>
                <w:sz w:val="16"/>
                <w:szCs w:val="16"/>
              </w:rPr>
              <w:t>1,618 per video (Apr 26, 2010 to Dec 31, 2011)</w:t>
            </w:r>
          </w:p>
          <w:p w:rsidR="00DD50EB" w:rsidRPr="000D5D96" w:rsidRDefault="00DD50EB" w:rsidP="007C0423">
            <w:pPr>
              <w:keepNext/>
              <w:rPr>
                <w:rFonts w:cs="Arial"/>
                <w:i/>
                <w:color w:val="002060"/>
                <w:sz w:val="8"/>
                <w:szCs w:val="8"/>
              </w:rPr>
            </w:pPr>
          </w:p>
          <w:p w:rsidR="00DD50EB" w:rsidRPr="004D1BF4" w:rsidRDefault="00DD50EB" w:rsidP="007C0423">
            <w:pPr>
              <w:keepNext/>
              <w:rPr>
                <w:rFonts w:cs="Arial"/>
                <w:sz w:val="16"/>
                <w:szCs w:val="16"/>
              </w:rPr>
            </w:pPr>
            <w:r w:rsidRPr="007F330D">
              <w:rPr>
                <w:rFonts w:cs="Arial"/>
                <w:i/>
                <w:sz w:val="16"/>
                <w:szCs w:val="16"/>
              </w:rPr>
              <w:t>Original Baseline P&amp;B 2012/13:</w:t>
            </w:r>
            <w:r>
              <w:rPr>
                <w:rFonts w:cs="Arial"/>
                <w:i/>
                <w:iCs/>
                <w:sz w:val="16"/>
                <w:szCs w:val="16"/>
              </w:rPr>
              <w:t xml:space="preserve">  </w:t>
            </w:r>
            <w:r w:rsidRPr="004D1BF4">
              <w:rPr>
                <w:rFonts w:cs="Arial"/>
                <w:sz w:val="16"/>
                <w:szCs w:val="16"/>
              </w:rPr>
              <w:t>414 per video (April 26 to December 31, 2010)</w:t>
            </w:r>
          </w:p>
        </w:tc>
        <w:tc>
          <w:tcPr>
            <w:tcW w:w="606" w:type="pct"/>
            <w:tcMar>
              <w:top w:w="110" w:type="dxa"/>
            </w:tcMar>
          </w:tcPr>
          <w:p w:rsidR="00DD50EB" w:rsidRPr="0027745B" w:rsidRDefault="00EC1008" w:rsidP="007C0423">
            <w:pPr>
              <w:rPr>
                <w:rFonts w:cs="Arial"/>
                <w:sz w:val="16"/>
                <w:szCs w:val="16"/>
              </w:rPr>
            </w:pPr>
            <w:r>
              <w:rPr>
                <w:rFonts w:cs="Arial"/>
                <w:sz w:val="16"/>
                <w:szCs w:val="16"/>
              </w:rPr>
              <w:t>ten per cent</w:t>
            </w:r>
            <w:r w:rsidR="00DD50EB" w:rsidRPr="008A2422">
              <w:rPr>
                <w:rFonts w:cs="Arial"/>
                <w:sz w:val="16"/>
                <w:szCs w:val="16"/>
              </w:rPr>
              <w:t xml:space="preserve"> increase</w:t>
            </w:r>
            <w:r w:rsidR="00DD50EB" w:rsidRPr="0027745B" w:rsidDel="006475C7">
              <w:rPr>
                <w:rFonts w:cs="Arial"/>
                <w:sz w:val="16"/>
                <w:szCs w:val="16"/>
              </w:rPr>
              <w:t xml:space="preserve"> </w:t>
            </w:r>
          </w:p>
        </w:tc>
        <w:tc>
          <w:tcPr>
            <w:tcW w:w="1363" w:type="pct"/>
            <w:shd w:val="clear" w:color="auto" w:fill="FFFFFF"/>
            <w:tcMar>
              <w:top w:w="110" w:type="dxa"/>
            </w:tcMar>
          </w:tcPr>
          <w:p w:rsidR="00DD50EB" w:rsidRPr="008A2422" w:rsidRDefault="00DD50EB">
            <w:pPr>
              <w:rPr>
                <w:rFonts w:cs="Arial"/>
                <w:sz w:val="16"/>
                <w:szCs w:val="16"/>
                <w:highlight w:val="yellow"/>
              </w:rPr>
            </w:pPr>
            <w:r w:rsidRPr="008A2422">
              <w:rPr>
                <w:rFonts w:cs="Arial"/>
                <w:sz w:val="16"/>
                <w:szCs w:val="16"/>
              </w:rPr>
              <w:t xml:space="preserve">Total 4,221,312 views for </w:t>
            </w:r>
            <w:r w:rsidR="00071F79" w:rsidRPr="008A2422">
              <w:rPr>
                <w:rFonts w:cs="Arial"/>
                <w:sz w:val="16"/>
                <w:szCs w:val="16"/>
              </w:rPr>
              <w:t>226</w:t>
            </w:r>
            <w:r w:rsidR="00071F79">
              <w:rPr>
                <w:rFonts w:cs="Arial"/>
                <w:sz w:val="16"/>
                <w:szCs w:val="16"/>
              </w:rPr>
              <w:t> </w:t>
            </w:r>
            <w:r w:rsidRPr="008A2422">
              <w:rPr>
                <w:rFonts w:cs="Arial"/>
                <w:sz w:val="16"/>
                <w:szCs w:val="16"/>
              </w:rPr>
              <w:t>videos in 2012/13, which equals an average of 18,678 views per video or over 1,000 % increase compared with the previous biennium</w:t>
            </w:r>
            <w:r w:rsidR="00071F79">
              <w:rPr>
                <w:rFonts w:cs="Arial"/>
                <w:sz w:val="16"/>
                <w:szCs w:val="16"/>
              </w:rPr>
              <w:t>.</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Pr>
          <w:p w:rsidR="00DD50EB" w:rsidRPr="004354B8" w:rsidRDefault="00DD50EB" w:rsidP="007C0423">
            <w:pPr>
              <w:rPr>
                <w:rFonts w:cs="Arial"/>
                <w:sz w:val="16"/>
                <w:szCs w:val="16"/>
              </w:rPr>
            </w:pPr>
            <w:r w:rsidRPr="004354B8">
              <w:rPr>
                <w:rFonts w:cs="Arial"/>
                <w:sz w:val="16"/>
                <w:szCs w:val="16"/>
              </w:rPr>
              <w:t xml:space="preserve">No. of downloads (on average) per WIPO publication </w:t>
            </w:r>
          </w:p>
        </w:tc>
        <w:tc>
          <w:tcPr>
            <w:tcW w:w="1515" w:type="pct"/>
            <w:shd w:val="clear" w:color="auto" w:fill="auto"/>
          </w:tcPr>
          <w:p w:rsidR="00DD50EB" w:rsidRDefault="00DD50EB" w:rsidP="007C0423">
            <w:pPr>
              <w:rPr>
                <w:rFonts w:cs="Arial"/>
                <w:i/>
                <w:color w:val="002060"/>
                <w:sz w:val="16"/>
                <w:szCs w:val="16"/>
              </w:rPr>
            </w:pPr>
            <w:r w:rsidRPr="007F330D">
              <w:rPr>
                <w:rFonts w:cs="Arial"/>
                <w:i/>
                <w:color w:val="002060"/>
                <w:sz w:val="16"/>
                <w:szCs w:val="16"/>
              </w:rPr>
              <w:t xml:space="preserve">Updated Baseline end 2011:  </w:t>
            </w:r>
            <w:r w:rsidRPr="0027745B">
              <w:rPr>
                <w:rFonts w:cs="Arial"/>
                <w:color w:val="002060"/>
                <w:sz w:val="16"/>
                <w:szCs w:val="16"/>
              </w:rPr>
              <w:t>Tbd (analytics tools not yet in place)</w:t>
            </w:r>
          </w:p>
          <w:p w:rsidR="00DD50EB" w:rsidRPr="000D5D96" w:rsidRDefault="00DD50EB" w:rsidP="007C0423">
            <w:pPr>
              <w:rPr>
                <w:rFonts w:cs="Arial"/>
                <w:i/>
                <w:color w:val="002060"/>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Pr>
                <w:rFonts w:cs="Arial"/>
                <w:i/>
                <w:iCs/>
                <w:sz w:val="16"/>
                <w:szCs w:val="16"/>
              </w:rPr>
              <w:t xml:space="preserve">  </w:t>
            </w:r>
            <w:r w:rsidRPr="004D1BF4">
              <w:rPr>
                <w:rFonts w:cs="Arial"/>
                <w:sz w:val="16"/>
                <w:szCs w:val="16"/>
              </w:rPr>
              <w:t>Tbd</w:t>
            </w:r>
          </w:p>
        </w:tc>
        <w:tc>
          <w:tcPr>
            <w:tcW w:w="606" w:type="pct"/>
            <w:tcMar>
              <w:top w:w="110" w:type="dxa"/>
            </w:tcMar>
          </w:tcPr>
          <w:p w:rsidR="00DD50EB" w:rsidRPr="0027745B" w:rsidRDefault="00DD50EB" w:rsidP="007C0423">
            <w:pPr>
              <w:rPr>
                <w:rFonts w:cs="Arial"/>
                <w:sz w:val="16"/>
                <w:szCs w:val="16"/>
              </w:rPr>
            </w:pPr>
            <w:r w:rsidRPr="008A2422">
              <w:rPr>
                <w:rFonts w:cs="Arial"/>
                <w:sz w:val="16"/>
                <w:szCs w:val="16"/>
              </w:rPr>
              <w:t>5% increase</w:t>
            </w:r>
            <w:r w:rsidRPr="0027745B" w:rsidDel="006475C7">
              <w:rPr>
                <w:rFonts w:cs="Arial"/>
                <w:sz w:val="16"/>
                <w:szCs w:val="16"/>
              </w:rPr>
              <w:t xml:space="preserve"> </w:t>
            </w:r>
          </w:p>
        </w:tc>
        <w:tc>
          <w:tcPr>
            <w:tcW w:w="1363" w:type="pct"/>
            <w:shd w:val="clear" w:color="auto" w:fill="FFFFFF"/>
            <w:tcMar>
              <w:top w:w="110" w:type="dxa"/>
            </w:tcMar>
          </w:tcPr>
          <w:p w:rsidR="00DD50EB" w:rsidRPr="008A2422" w:rsidRDefault="00DD50EB" w:rsidP="007C0423">
            <w:pPr>
              <w:rPr>
                <w:rFonts w:cs="Arial"/>
                <w:sz w:val="16"/>
                <w:szCs w:val="16"/>
                <w:highlight w:val="yellow"/>
              </w:rPr>
            </w:pPr>
            <w:r w:rsidRPr="008A2422">
              <w:rPr>
                <w:rFonts w:cs="Arial"/>
                <w:sz w:val="16"/>
                <w:szCs w:val="16"/>
              </w:rPr>
              <w:t xml:space="preserve">Views of WIPO publications on </w:t>
            </w:r>
            <w:r w:rsidRPr="008A2422">
              <w:rPr>
                <w:rFonts w:cs="Arial"/>
                <w:i/>
                <w:iCs/>
                <w:sz w:val="16"/>
                <w:szCs w:val="16"/>
              </w:rPr>
              <w:t>Scribd</w:t>
            </w:r>
            <w:r w:rsidRPr="008A2422">
              <w:rPr>
                <w:rFonts w:cs="Arial"/>
                <w:sz w:val="16"/>
                <w:szCs w:val="16"/>
              </w:rPr>
              <w:t xml:space="preserve"> increased from 93,070 in 2012 to 255,771 in 2013, i.e. a year-on-year increase within the biennium of 174%</w:t>
            </w:r>
            <w:r w:rsidR="00071F79">
              <w:rPr>
                <w:rFonts w:cs="Arial"/>
                <w:sz w:val="16"/>
                <w:szCs w:val="16"/>
              </w:rPr>
              <w:t>.</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Pr>
          <w:p w:rsidR="00DD50EB" w:rsidRPr="004354B8" w:rsidRDefault="00DD50EB" w:rsidP="007C0423">
            <w:pPr>
              <w:rPr>
                <w:rFonts w:cs="Arial"/>
                <w:sz w:val="16"/>
                <w:szCs w:val="16"/>
              </w:rPr>
            </w:pPr>
            <w:r w:rsidRPr="004354B8">
              <w:rPr>
                <w:rFonts w:cs="Arial"/>
                <w:sz w:val="16"/>
                <w:szCs w:val="16"/>
              </w:rPr>
              <w:t xml:space="preserve">No. of countries with reported World IP Day events and activities </w:t>
            </w:r>
          </w:p>
        </w:tc>
        <w:tc>
          <w:tcPr>
            <w:tcW w:w="1515" w:type="pct"/>
            <w:shd w:val="clear" w:color="auto" w:fill="auto"/>
          </w:tcPr>
          <w:p w:rsidR="00DD50EB" w:rsidRDefault="00DD50EB" w:rsidP="007C0423">
            <w:pPr>
              <w:rPr>
                <w:rFonts w:cs="Arial"/>
                <w:i/>
                <w:color w:val="002060"/>
                <w:sz w:val="16"/>
                <w:szCs w:val="16"/>
              </w:rPr>
            </w:pPr>
            <w:r w:rsidRPr="007F330D">
              <w:rPr>
                <w:rFonts w:cs="Arial"/>
                <w:i/>
                <w:color w:val="002060"/>
                <w:sz w:val="16"/>
                <w:szCs w:val="16"/>
              </w:rPr>
              <w:t xml:space="preserve">Updated Baseline end 2011:  </w:t>
            </w:r>
            <w:r w:rsidRPr="0027745B">
              <w:rPr>
                <w:rFonts w:cs="Arial"/>
                <w:color w:val="002060"/>
                <w:sz w:val="16"/>
                <w:szCs w:val="16"/>
              </w:rPr>
              <w:t>World IP Day events reported from 132 countries (58 in 2010; 74 in 2011)</w:t>
            </w:r>
          </w:p>
          <w:p w:rsidR="00DD50EB" w:rsidRPr="00861678" w:rsidRDefault="00DD50EB" w:rsidP="007C0423">
            <w:pPr>
              <w:rPr>
                <w:rFonts w:cs="Arial"/>
                <w:i/>
                <w:color w:val="002060"/>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sidRPr="004D1BF4">
              <w:rPr>
                <w:rFonts w:cs="Arial"/>
                <w:sz w:val="16"/>
                <w:szCs w:val="16"/>
              </w:rPr>
              <w:t xml:space="preserve"> </w:t>
            </w:r>
            <w:r>
              <w:rPr>
                <w:rFonts w:cs="Arial"/>
                <w:sz w:val="16"/>
                <w:szCs w:val="16"/>
              </w:rPr>
              <w:t xml:space="preserve"> </w:t>
            </w:r>
            <w:r w:rsidRPr="004D1BF4">
              <w:rPr>
                <w:rFonts w:cs="Arial"/>
                <w:sz w:val="16"/>
                <w:szCs w:val="16"/>
              </w:rPr>
              <w:t>Tbd</w:t>
            </w:r>
          </w:p>
        </w:tc>
        <w:tc>
          <w:tcPr>
            <w:tcW w:w="606" w:type="pct"/>
            <w:tcMar>
              <w:top w:w="110" w:type="dxa"/>
            </w:tcMar>
          </w:tcPr>
          <w:p w:rsidR="00DD50EB" w:rsidRPr="0027745B" w:rsidRDefault="00DD50EB" w:rsidP="007C0423">
            <w:pPr>
              <w:rPr>
                <w:rFonts w:cs="Arial"/>
                <w:sz w:val="16"/>
                <w:szCs w:val="16"/>
              </w:rPr>
            </w:pPr>
            <w:r w:rsidRPr="008A2422">
              <w:rPr>
                <w:rFonts w:cs="Arial"/>
                <w:sz w:val="16"/>
                <w:szCs w:val="16"/>
              </w:rPr>
              <w:t>≥ 75 countries</w:t>
            </w:r>
            <w:r w:rsidRPr="0027745B" w:rsidDel="006475C7">
              <w:rPr>
                <w:rFonts w:cs="Arial"/>
                <w:sz w:val="16"/>
                <w:szCs w:val="16"/>
              </w:rPr>
              <w:t xml:space="preserve"> </w:t>
            </w:r>
          </w:p>
        </w:tc>
        <w:tc>
          <w:tcPr>
            <w:tcW w:w="1363" w:type="pct"/>
            <w:shd w:val="clear" w:color="auto" w:fill="FFFFFF"/>
            <w:tcMar>
              <w:top w:w="110" w:type="dxa"/>
            </w:tcMar>
          </w:tcPr>
          <w:p w:rsidR="00DD50EB" w:rsidRPr="008A2422" w:rsidRDefault="00DD50EB" w:rsidP="007C0423">
            <w:pPr>
              <w:rPr>
                <w:rFonts w:cs="Arial"/>
                <w:sz w:val="16"/>
                <w:szCs w:val="16"/>
              </w:rPr>
            </w:pPr>
            <w:r w:rsidRPr="008A2422">
              <w:rPr>
                <w:rFonts w:cs="Arial"/>
                <w:sz w:val="16"/>
                <w:szCs w:val="16"/>
              </w:rPr>
              <w:t>76 countries reported World IP Day events in 2012</w:t>
            </w:r>
            <w:r w:rsidR="00071F79">
              <w:rPr>
                <w:rFonts w:cs="Arial"/>
                <w:sz w:val="16"/>
                <w:szCs w:val="16"/>
              </w:rPr>
              <w:t>.</w:t>
            </w:r>
          </w:p>
          <w:p w:rsidR="00DD50EB" w:rsidRPr="008A2422" w:rsidRDefault="00DD50EB" w:rsidP="007C0423">
            <w:pPr>
              <w:pStyle w:val="ListParagraph"/>
              <w:ind w:left="360"/>
              <w:rPr>
                <w:rFonts w:cs="Arial"/>
                <w:sz w:val="16"/>
                <w:szCs w:val="16"/>
              </w:rPr>
            </w:pPr>
          </w:p>
          <w:p w:rsidR="00DD50EB" w:rsidRPr="008A2422" w:rsidRDefault="00DD50EB" w:rsidP="007C0423">
            <w:pPr>
              <w:rPr>
                <w:rFonts w:cs="Arial"/>
                <w:sz w:val="16"/>
                <w:szCs w:val="16"/>
                <w:highlight w:val="yellow"/>
              </w:rPr>
            </w:pPr>
            <w:r w:rsidRPr="008A2422">
              <w:rPr>
                <w:rFonts w:cs="Arial"/>
                <w:sz w:val="16"/>
                <w:szCs w:val="16"/>
              </w:rPr>
              <w:t>89 (countries reported World IP Day events in 2013)</w:t>
            </w:r>
            <w:r w:rsidR="00071F79">
              <w:rPr>
                <w:rFonts w:cs="Arial"/>
                <w:sz w:val="16"/>
                <w:szCs w:val="16"/>
              </w:rPr>
              <w:t>.</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Pr>
          <w:p w:rsidR="00DD50EB" w:rsidRPr="004354B8" w:rsidRDefault="00DD50EB" w:rsidP="007C0423">
            <w:pPr>
              <w:rPr>
                <w:rFonts w:cs="Arial"/>
                <w:sz w:val="16"/>
                <w:szCs w:val="16"/>
              </w:rPr>
            </w:pPr>
            <w:r w:rsidRPr="004354B8">
              <w:rPr>
                <w:rFonts w:cs="Arial"/>
                <w:sz w:val="16"/>
                <w:szCs w:val="16"/>
              </w:rPr>
              <w:t>No. of external information requests serviced by the WIPO Library</w:t>
            </w:r>
          </w:p>
        </w:tc>
        <w:tc>
          <w:tcPr>
            <w:tcW w:w="1515" w:type="pct"/>
            <w:shd w:val="clear" w:color="auto" w:fill="auto"/>
          </w:tcPr>
          <w:p w:rsidR="00DD50EB" w:rsidRPr="0027745B" w:rsidRDefault="00DD50EB" w:rsidP="007C0423">
            <w:pPr>
              <w:rPr>
                <w:rFonts w:cs="Arial"/>
                <w:color w:val="002060"/>
                <w:sz w:val="16"/>
                <w:szCs w:val="16"/>
              </w:rPr>
            </w:pPr>
            <w:r w:rsidRPr="006475C7">
              <w:rPr>
                <w:rFonts w:cs="Arial"/>
                <w:i/>
                <w:color w:val="002060"/>
                <w:sz w:val="16"/>
                <w:szCs w:val="16"/>
              </w:rPr>
              <w:t xml:space="preserve">Updated Baseline end 2011:  </w:t>
            </w:r>
            <w:r w:rsidRPr="0027745B">
              <w:rPr>
                <w:rFonts w:cs="Arial"/>
                <w:color w:val="002060"/>
                <w:sz w:val="16"/>
                <w:szCs w:val="16"/>
              </w:rPr>
              <w:t>514 (2010/11)</w:t>
            </w:r>
          </w:p>
          <w:p w:rsidR="00DD50EB" w:rsidRPr="00861678" w:rsidRDefault="00DD50EB" w:rsidP="007C0423">
            <w:pPr>
              <w:rPr>
                <w:rFonts w:cs="Arial"/>
                <w:i/>
                <w:color w:val="002060"/>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sidRPr="007F330D">
              <w:rPr>
                <w:rFonts w:cs="Arial"/>
                <w:i/>
                <w:iCs/>
                <w:sz w:val="16"/>
                <w:szCs w:val="16"/>
              </w:rPr>
              <w:br/>
            </w:r>
            <w:r w:rsidRPr="004D1BF4">
              <w:rPr>
                <w:rFonts w:cs="Arial"/>
                <w:sz w:val="16"/>
                <w:szCs w:val="16"/>
              </w:rPr>
              <w:t>270 (2008/09)</w:t>
            </w:r>
          </w:p>
        </w:tc>
        <w:tc>
          <w:tcPr>
            <w:tcW w:w="606" w:type="pct"/>
            <w:tcMar>
              <w:top w:w="110" w:type="dxa"/>
            </w:tcMar>
          </w:tcPr>
          <w:p w:rsidR="00DD50EB" w:rsidRPr="0027745B" w:rsidRDefault="00EC1008" w:rsidP="007C0423">
            <w:pPr>
              <w:ind w:firstLineChars="21" w:firstLine="34"/>
              <w:rPr>
                <w:rFonts w:cs="Arial"/>
                <w:sz w:val="16"/>
                <w:szCs w:val="16"/>
              </w:rPr>
            </w:pPr>
            <w:r>
              <w:rPr>
                <w:rFonts w:cs="Arial"/>
                <w:sz w:val="16"/>
                <w:szCs w:val="16"/>
              </w:rPr>
              <w:t>ten per cent</w:t>
            </w:r>
            <w:r w:rsidR="00DD50EB" w:rsidRPr="008A2422">
              <w:rPr>
                <w:rFonts w:cs="Arial"/>
                <w:sz w:val="16"/>
                <w:szCs w:val="16"/>
              </w:rPr>
              <w:t xml:space="preserve"> increase</w:t>
            </w:r>
            <w:r w:rsidR="00DD50EB" w:rsidRPr="0027745B" w:rsidDel="006475C7">
              <w:rPr>
                <w:rFonts w:cs="Arial"/>
                <w:sz w:val="16"/>
                <w:szCs w:val="16"/>
              </w:rPr>
              <w:t xml:space="preserve"> </w:t>
            </w:r>
          </w:p>
        </w:tc>
        <w:tc>
          <w:tcPr>
            <w:tcW w:w="1363" w:type="pct"/>
            <w:shd w:val="clear" w:color="auto" w:fill="FFFFFF"/>
            <w:tcMar>
              <w:top w:w="110" w:type="dxa"/>
            </w:tcMar>
          </w:tcPr>
          <w:p w:rsidR="00DD50EB" w:rsidRPr="008A2422" w:rsidRDefault="00DD50EB" w:rsidP="007C0423">
            <w:pPr>
              <w:rPr>
                <w:rFonts w:cs="Arial"/>
                <w:sz w:val="16"/>
                <w:szCs w:val="16"/>
              </w:rPr>
            </w:pPr>
            <w:r w:rsidRPr="008A2422">
              <w:rPr>
                <w:rFonts w:cs="Arial"/>
                <w:sz w:val="16"/>
                <w:szCs w:val="16"/>
              </w:rPr>
              <w:t>1,234 requests serviced in 2012/13, i.e. a 140% increase over the 2010/11 baseline:</w:t>
            </w:r>
          </w:p>
          <w:p w:rsidR="00DD50EB" w:rsidRPr="008A2422" w:rsidRDefault="00DD50EB" w:rsidP="005703CF">
            <w:pPr>
              <w:pStyle w:val="ListParagraph"/>
              <w:numPr>
                <w:ilvl w:val="0"/>
                <w:numId w:val="53"/>
              </w:numPr>
              <w:rPr>
                <w:rFonts w:cs="Arial"/>
                <w:b/>
                <w:bCs/>
                <w:sz w:val="16"/>
                <w:szCs w:val="16"/>
              </w:rPr>
            </w:pPr>
            <w:r w:rsidRPr="008A2422">
              <w:rPr>
                <w:rFonts w:cs="Arial"/>
                <w:sz w:val="16"/>
                <w:szCs w:val="16"/>
              </w:rPr>
              <w:t>610 (2012)</w:t>
            </w:r>
          </w:p>
          <w:p w:rsidR="00DD50EB" w:rsidRPr="008A2422" w:rsidRDefault="00DD50EB" w:rsidP="005703CF">
            <w:pPr>
              <w:pStyle w:val="ListParagraph"/>
              <w:numPr>
                <w:ilvl w:val="0"/>
                <w:numId w:val="53"/>
              </w:numPr>
              <w:rPr>
                <w:rFonts w:cs="Arial"/>
                <w:b/>
                <w:bCs/>
                <w:sz w:val="16"/>
                <w:szCs w:val="16"/>
              </w:rPr>
            </w:pPr>
            <w:r w:rsidRPr="008A2422">
              <w:rPr>
                <w:rFonts w:cs="Arial"/>
                <w:sz w:val="16"/>
                <w:szCs w:val="16"/>
              </w:rPr>
              <w:t>624 (2013)</w:t>
            </w:r>
          </w:p>
          <w:p w:rsidR="00DD50EB" w:rsidRPr="00861678" w:rsidRDefault="00DD50EB" w:rsidP="007C0423">
            <w:pPr>
              <w:rPr>
                <w:rFonts w:cs="Arial"/>
                <w:sz w:val="8"/>
                <w:szCs w:val="8"/>
                <w:highlight w:val="yellow"/>
              </w:rPr>
            </w:pPr>
          </w:p>
        </w:tc>
        <w:tc>
          <w:tcPr>
            <w:tcW w:w="682" w:type="pct"/>
            <w:tcMar>
              <w:top w:w="110" w:type="dxa"/>
            </w:tcMar>
          </w:tcPr>
          <w:p w:rsidR="00DD50EB" w:rsidRPr="0011405E" w:rsidRDefault="00DD50EB" w:rsidP="007C0423">
            <w:pPr>
              <w:keepNext/>
              <w:keepLines/>
              <w:jc w:val="center"/>
              <w:rPr>
                <w:rFonts w:cs="Arial"/>
                <w:b/>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Borders>
              <w:bottom w:val="single" w:sz="4" w:space="0" w:color="auto"/>
            </w:tcBorders>
          </w:tcPr>
          <w:p w:rsidR="00DD50EB" w:rsidRPr="004354B8" w:rsidRDefault="00DD50EB" w:rsidP="007C0423">
            <w:pPr>
              <w:rPr>
                <w:rFonts w:cs="Arial"/>
                <w:sz w:val="16"/>
                <w:szCs w:val="16"/>
              </w:rPr>
            </w:pPr>
            <w:r w:rsidRPr="004354B8">
              <w:rPr>
                <w:rFonts w:cs="Arial"/>
                <w:sz w:val="16"/>
                <w:szCs w:val="16"/>
              </w:rPr>
              <w:t xml:space="preserve">% of stakeholders with a positive recognition of WIPO’s mission, activities and organizational image </w:t>
            </w:r>
          </w:p>
        </w:tc>
        <w:tc>
          <w:tcPr>
            <w:tcW w:w="1515" w:type="pct"/>
            <w:tcBorders>
              <w:bottom w:val="single" w:sz="4" w:space="0" w:color="auto"/>
            </w:tcBorders>
            <w:shd w:val="clear" w:color="auto" w:fill="auto"/>
          </w:tcPr>
          <w:p w:rsidR="00DD50EB" w:rsidRPr="0027745B" w:rsidRDefault="00DD50EB" w:rsidP="007C0423">
            <w:pPr>
              <w:rPr>
                <w:rFonts w:cs="Arial"/>
                <w:color w:val="002060"/>
                <w:sz w:val="16"/>
                <w:szCs w:val="16"/>
              </w:rPr>
            </w:pPr>
            <w:r w:rsidRPr="007F330D">
              <w:rPr>
                <w:rFonts w:cs="Arial"/>
                <w:i/>
                <w:color w:val="002060"/>
                <w:sz w:val="16"/>
                <w:szCs w:val="16"/>
              </w:rPr>
              <w:t xml:space="preserve">Updated Baseline end 2011:  </w:t>
            </w:r>
            <w:r w:rsidRPr="0027745B">
              <w:rPr>
                <w:rFonts w:cs="Arial"/>
                <w:color w:val="002060"/>
                <w:sz w:val="16"/>
                <w:szCs w:val="16"/>
              </w:rPr>
              <w:t>65% of survey respondents perceived WIPO as the global leader in the protection and promotion of IP (Stakeholders Perceptions Survey, Jan 2012)</w:t>
            </w:r>
          </w:p>
          <w:p w:rsidR="00DD50EB" w:rsidRPr="00861678" w:rsidRDefault="00DD50EB" w:rsidP="007C0423">
            <w:pPr>
              <w:rPr>
                <w:rFonts w:cs="Arial"/>
                <w:i/>
                <w:color w:val="002060"/>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Pr>
                <w:rFonts w:cs="Arial"/>
                <w:i/>
                <w:iCs/>
                <w:sz w:val="16"/>
                <w:szCs w:val="16"/>
              </w:rPr>
              <w:t xml:space="preserve">  </w:t>
            </w:r>
            <w:r w:rsidRPr="004D1BF4">
              <w:rPr>
                <w:rFonts w:cs="Arial"/>
                <w:sz w:val="16"/>
                <w:szCs w:val="16"/>
              </w:rPr>
              <w:t>Tbd</w:t>
            </w:r>
          </w:p>
          <w:p w:rsidR="00DD50EB" w:rsidRPr="004D1BF4" w:rsidRDefault="00DD50EB" w:rsidP="007C0423">
            <w:pPr>
              <w:rPr>
                <w:rFonts w:cs="Arial"/>
                <w:sz w:val="16"/>
                <w:szCs w:val="16"/>
              </w:rPr>
            </w:pPr>
          </w:p>
        </w:tc>
        <w:tc>
          <w:tcPr>
            <w:tcW w:w="606" w:type="pct"/>
            <w:tcBorders>
              <w:bottom w:val="single" w:sz="4" w:space="0" w:color="auto"/>
            </w:tcBorders>
            <w:tcMar>
              <w:top w:w="110" w:type="dxa"/>
            </w:tcMar>
          </w:tcPr>
          <w:p w:rsidR="00DD50EB" w:rsidRPr="0027745B" w:rsidRDefault="00DD50EB" w:rsidP="007C0423">
            <w:pPr>
              <w:ind w:firstLineChars="21" w:firstLine="34"/>
              <w:rPr>
                <w:rFonts w:cs="Arial"/>
                <w:sz w:val="16"/>
                <w:szCs w:val="16"/>
              </w:rPr>
            </w:pPr>
            <w:r w:rsidRPr="008A2422">
              <w:rPr>
                <w:rFonts w:cs="Arial"/>
                <w:sz w:val="16"/>
                <w:szCs w:val="16"/>
              </w:rPr>
              <w:t>≥ 70%</w:t>
            </w:r>
          </w:p>
        </w:tc>
        <w:tc>
          <w:tcPr>
            <w:tcW w:w="1363" w:type="pct"/>
            <w:tcBorders>
              <w:bottom w:val="single" w:sz="4" w:space="0" w:color="auto"/>
            </w:tcBorders>
            <w:shd w:val="clear" w:color="auto" w:fill="FFFFFF"/>
            <w:tcMar>
              <w:top w:w="110" w:type="dxa"/>
            </w:tcMar>
          </w:tcPr>
          <w:p w:rsidR="00DD50EB" w:rsidRDefault="00DD50EB" w:rsidP="007C0423">
            <w:pPr>
              <w:rPr>
                <w:rFonts w:cs="Arial"/>
                <w:sz w:val="16"/>
                <w:szCs w:val="16"/>
              </w:rPr>
            </w:pPr>
            <w:r w:rsidRPr="0027745B">
              <w:rPr>
                <w:rFonts w:cs="Arial"/>
                <w:sz w:val="16"/>
                <w:szCs w:val="16"/>
              </w:rPr>
              <w:t xml:space="preserve">87% of survey respondents perceived WIPO’s public image as good, very good or excellent. 81% of survey respondents perceived WIPO as </w:t>
            </w:r>
            <w:r w:rsidRPr="0027745B">
              <w:rPr>
                <w:rFonts w:cs="Arial"/>
                <w:iCs/>
                <w:sz w:val="16"/>
                <w:szCs w:val="16"/>
              </w:rPr>
              <w:t>the</w:t>
            </w:r>
            <w:r w:rsidRPr="0027745B">
              <w:rPr>
                <w:rFonts w:cs="Arial"/>
                <w:sz w:val="16"/>
                <w:szCs w:val="16"/>
              </w:rPr>
              <w:t xml:space="preserve"> global forum for the promotion of IP. (WIPO Service Orientation Survey results, August 2013)</w:t>
            </w:r>
            <w:r w:rsidR="00071F79">
              <w:rPr>
                <w:rFonts w:cs="Arial"/>
                <w:sz w:val="16"/>
                <w:szCs w:val="16"/>
              </w:rPr>
              <w:t>.</w:t>
            </w:r>
          </w:p>
          <w:p w:rsidR="00861678" w:rsidRPr="008A2422" w:rsidRDefault="00861678" w:rsidP="007C0423">
            <w:pPr>
              <w:rPr>
                <w:rFonts w:cs="Arial"/>
                <w:sz w:val="16"/>
                <w:szCs w:val="16"/>
                <w:highlight w:val="yellow"/>
              </w:rPr>
            </w:pPr>
          </w:p>
        </w:tc>
        <w:tc>
          <w:tcPr>
            <w:tcW w:w="682" w:type="pct"/>
            <w:tcBorders>
              <w:bottom w:val="single" w:sz="4" w:space="0" w:color="auto"/>
            </w:tcBorders>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7C0423">
        <w:tc>
          <w:tcPr>
            <w:tcW w:w="5000" w:type="pct"/>
            <w:gridSpan w:val="5"/>
            <w:tcBorders>
              <w:top w:val="single" w:sz="4" w:space="0" w:color="auto"/>
              <w:bottom w:val="single" w:sz="4" w:space="0" w:color="auto"/>
            </w:tcBorders>
            <w:shd w:val="clear" w:color="auto" w:fill="CCFFFF"/>
            <w:vAlign w:val="center"/>
          </w:tcPr>
          <w:p w:rsidR="00DD50EB" w:rsidRDefault="00DD50EB"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4354B8">
              <w:rPr>
                <w:rFonts w:cs="Arial"/>
                <w:sz w:val="16"/>
                <w:szCs w:val="16"/>
              </w:rPr>
              <w:t>Improved service orientation and responsiveness to inquiries</w:t>
            </w:r>
          </w:p>
        </w:tc>
      </w:tr>
      <w:tr w:rsidR="00DD50EB" w:rsidRPr="006475C7" w:rsidTr="0024474C">
        <w:tc>
          <w:tcPr>
            <w:tcW w:w="834" w:type="pct"/>
            <w:tcBorders>
              <w:top w:val="single" w:sz="4" w:space="0" w:color="auto"/>
            </w:tcBorders>
            <w:vAlign w:val="center"/>
          </w:tcPr>
          <w:p w:rsidR="00DD50EB" w:rsidRPr="006475C7" w:rsidRDefault="00DD50EB" w:rsidP="007C0423">
            <w:pPr>
              <w:rPr>
                <w:rFonts w:cs="Arial"/>
                <w:sz w:val="16"/>
                <w:szCs w:val="16"/>
              </w:rPr>
            </w:pPr>
            <w:r w:rsidRPr="006475C7">
              <w:rPr>
                <w:rFonts w:cs="Arial"/>
                <w:b/>
                <w:bCs/>
                <w:sz w:val="16"/>
                <w:szCs w:val="16"/>
              </w:rPr>
              <w:t>Performance Indicators</w:t>
            </w:r>
          </w:p>
        </w:tc>
        <w:tc>
          <w:tcPr>
            <w:tcW w:w="1515" w:type="pct"/>
            <w:tcBorders>
              <w:top w:val="single" w:sz="4" w:space="0" w:color="auto"/>
            </w:tcBorders>
            <w:shd w:val="clear" w:color="auto" w:fill="auto"/>
            <w:vAlign w:val="center"/>
          </w:tcPr>
          <w:p w:rsidR="00DD50EB" w:rsidRPr="006475C7" w:rsidRDefault="00DD50EB" w:rsidP="007C0423">
            <w:pPr>
              <w:rPr>
                <w:rFonts w:cs="Arial"/>
                <w:b/>
                <w:bCs/>
                <w:sz w:val="16"/>
                <w:szCs w:val="16"/>
              </w:rPr>
            </w:pPr>
            <w:r w:rsidRPr="006475C7">
              <w:rPr>
                <w:rFonts w:cs="Arial"/>
                <w:b/>
                <w:bCs/>
                <w:sz w:val="16"/>
                <w:szCs w:val="16"/>
              </w:rPr>
              <w:t>Baselines</w:t>
            </w:r>
          </w:p>
        </w:tc>
        <w:tc>
          <w:tcPr>
            <w:tcW w:w="606" w:type="pct"/>
            <w:tcBorders>
              <w:top w:val="single" w:sz="4" w:space="0" w:color="auto"/>
            </w:tcBorders>
            <w:tcMar>
              <w:top w:w="110" w:type="dxa"/>
            </w:tcMar>
            <w:vAlign w:val="center"/>
          </w:tcPr>
          <w:p w:rsidR="00DD50EB" w:rsidRPr="0027745B" w:rsidRDefault="00DD50EB" w:rsidP="007C0423">
            <w:pPr>
              <w:rPr>
                <w:rFonts w:cs="Arial"/>
                <w:b/>
                <w:bCs/>
                <w:sz w:val="16"/>
                <w:szCs w:val="16"/>
              </w:rPr>
            </w:pPr>
            <w:r w:rsidRPr="006475C7">
              <w:rPr>
                <w:rFonts w:cs="Arial"/>
                <w:b/>
                <w:sz w:val="16"/>
                <w:szCs w:val="16"/>
              </w:rPr>
              <w:t>Targets</w:t>
            </w:r>
          </w:p>
        </w:tc>
        <w:tc>
          <w:tcPr>
            <w:tcW w:w="1363" w:type="pct"/>
            <w:tcBorders>
              <w:top w:val="single" w:sz="4" w:space="0" w:color="auto"/>
            </w:tcBorders>
            <w:shd w:val="clear" w:color="auto" w:fill="FFFFFF"/>
            <w:tcMar>
              <w:top w:w="110" w:type="dxa"/>
            </w:tcMar>
            <w:vAlign w:val="center"/>
          </w:tcPr>
          <w:p w:rsidR="00DD50EB" w:rsidRPr="006475C7" w:rsidRDefault="00DD50EB" w:rsidP="007C0423">
            <w:pPr>
              <w:rPr>
                <w:rFonts w:cs="Arial"/>
                <w:sz w:val="16"/>
                <w:szCs w:val="16"/>
              </w:rPr>
            </w:pPr>
            <w:r w:rsidRPr="006475C7">
              <w:rPr>
                <w:rFonts w:cs="Arial"/>
                <w:b/>
                <w:bCs/>
                <w:sz w:val="16"/>
                <w:szCs w:val="16"/>
              </w:rPr>
              <w:t>Performance Data</w:t>
            </w:r>
          </w:p>
        </w:tc>
        <w:tc>
          <w:tcPr>
            <w:tcW w:w="682" w:type="pct"/>
            <w:tcBorders>
              <w:top w:val="single" w:sz="4" w:space="0" w:color="auto"/>
            </w:tcBorders>
            <w:tcMar>
              <w:top w:w="110" w:type="dxa"/>
            </w:tcMar>
            <w:vAlign w:val="center"/>
          </w:tcPr>
          <w:p w:rsidR="00DD50EB" w:rsidRPr="0027745B" w:rsidRDefault="00DD50EB" w:rsidP="007C0423">
            <w:pPr>
              <w:keepNext/>
              <w:keepLines/>
              <w:jc w:val="center"/>
              <w:rPr>
                <w:rFonts w:cs="Arial"/>
                <w:b/>
                <w:bCs/>
                <w:sz w:val="16"/>
                <w:szCs w:val="16"/>
              </w:rPr>
            </w:pPr>
            <w:r w:rsidRPr="006475C7">
              <w:rPr>
                <w:rFonts w:cs="Arial"/>
                <w:b/>
                <w:bCs/>
                <w:sz w:val="16"/>
                <w:szCs w:val="16"/>
              </w:rPr>
              <w:t>TLS</w:t>
            </w:r>
          </w:p>
        </w:tc>
      </w:tr>
      <w:tr w:rsidR="00DD50EB" w:rsidTr="0024474C">
        <w:tc>
          <w:tcPr>
            <w:tcW w:w="834" w:type="pct"/>
          </w:tcPr>
          <w:p w:rsidR="00DD50EB" w:rsidRPr="004354B8" w:rsidRDefault="00DD50EB" w:rsidP="007C0423">
            <w:pPr>
              <w:rPr>
                <w:rFonts w:cs="Arial"/>
                <w:sz w:val="16"/>
                <w:szCs w:val="16"/>
              </w:rPr>
            </w:pPr>
            <w:r w:rsidRPr="004354B8">
              <w:rPr>
                <w:rFonts w:cs="Arial"/>
                <w:sz w:val="16"/>
                <w:szCs w:val="16"/>
              </w:rPr>
              <w:t>Customer/</w:t>
            </w:r>
            <w:r w:rsidR="00071F79">
              <w:rPr>
                <w:rFonts w:cs="Arial"/>
                <w:sz w:val="16"/>
                <w:szCs w:val="16"/>
              </w:rPr>
              <w:t xml:space="preserve"> </w:t>
            </w:r>
            <w:r w:rsidRPr="004354B8">
              <w:rPr>
                <w:rFonts w:cs="Arial"/>
                <w:sz w:val="16"/>
                <w:szCs w:val="16"/>
              </w:rPr>
              <w:t>stakeholder satisfaction rate</w:t>
            </w:r>
          </w:p>
        </w:tc>
        <w:tc>
          <w:tcPr>
            <w:tcW w:w="1515" w:type="pct"/>
            <w:shd w:val="clear" w:color="auto" w:fill="auto"/>
          </w:tcPr>
          <w:p w:rsidR="00DD50EB" w:rsidRDefault="00DD50EB" w:rsidP="007C0423">
            <w:pPr>
              <w:rPr>
                <w:rFonts w:cs="Arial"/>
                <w:i/>
                <w:color w:val="002060"/>
                <w:sz w:val="16"/>
                <w:szCs w:val="16"/>
              </w:rPr>
            </w:pPr>
            <w:r w:rsidRPr="007F330D">
              <w:rPr>
                <w:rFonts w:cs="Arial"/>
                <w:i/>
                <w:color w:val="002060"/>
                <w:sz w:val="16"/>
                <w:szCs w:val="16"/>
              </w:rPr>
              <w:t xml:space="preserve">Updated Baseline end 2011:  </w:t>
            </w:r>
          </w:p>
          <w:p w:rsidR="00DD50EB" w:rsidRDefault="00DD50EB" w:rsidP="007C0423">
            <w:pPr>
              <w:rPr>
                <w:rFonts w:cs="Arial"/>
                <w:i/>
                <w:color w:val="002060"/>
                <w:sz w:val="16"/>
                <w:szCs w:val="16"/>
              </w:rPr>
            </w:pPr>
            <w:r w:rsidRPr="0027745B">
              <w:rPr>
                <w:rFonts w:cs="Arial"/>
                <w:color w:val="002060"/>
                <w:sz w:val="16"/>
                <w:szCs w:val="16"/>
              </w:rPr>
              <w:t xml:space="preserve">86% </w:t>
            </w:r>
            <w:r w:rsidRPr="00261FAA">
              <w:rPr>
                <w:rFonts w:cs="Arial"/>
                <w:color w:val="002060"/>
                <w:sz w:val="16"/>
                <w:szCs w:val="16"/>
              </w:rPr>
              <w:t>of Madrid and Hague customers satisfied or highly satisfied (March 2012 survey results)</w:t>
            </w:r>
          </w:p>
          <w:p w:rsidR="00DD50EB" w:rsidRPr="00861678" w:rsidRDefault="00DD50EB" w:rsidP="007C0423">
            <w:pPr>
              <w:rPr>
                <w:rFonts w:cs="Arial"/>
                <w:i/>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sidRPr="004D1BF4">
              <w:rPr>
                <w:rFonts w:cs="Arial"/>
                <w:sz w:val="16"/>
                <w:szCs w:val="16"/>
              </w:rPr>
              <w:t>Tbd</w:t>
            </w:r>
          </w:p>
          <w:p w:rsidR="00DD50EB" w:rsidRPr="004D1BF4" w:rsidRDefault="00DD50EB" w:rsidP="007C0423">
            <w:pPr>
              <w:autoSpaceDE w:val="0"/>
              <w:autoSpaceDN w:val="0"/>
              <w:adjustRightInd w:val="0"/>
              <w:rPr>
                <w:rFonts w:cs="Arial"/>
                <w:sz w:val="16"/>
                <w:szCs w:val="16"/>
              </w:rPr>
            </w:pPr>
          </w:p>
        </w:tc>
        <w:tc>
          <w:tcPr>
            <w:tcW w:w="606" w:type="pct"/>
            <w:tcMar>
              <w:top w:w="110" w:type="dxa"/>
            </w:tcMar>
          </w:tcPr>
          <w:p w:rsidR="00DD50EB" w:rsidRPr="0027745B" w:rsidRDefault="00DD50EB" w:rsidP="007C0423">
            <w:pPr>
              <w:ind w:firstLineChars="21" w:firstLine="34"/>
              <w:rPr>
                <w:rFonts w:cs="Arial"/>
                <w:sz w:val="16"/>
                <w:szCs w:val="16"/>
              </w:rPr>
            </w:pPr>
            <w:r w:rsidRPr="00FC4D79">
              <w:rPr>
                <w:rFonts w:cs="Arial"/>
                <w:sz w:val="16"/>
                <w:szCs w:val="16"/>
              </w:rPr>
              <w:t>≥ 70% satisfied or highly satisfied</w:t>
            </w:r>
            <w:r w:rsidRPr="0027745B" w:rsidDel="006475C7">
              <w:rPr>
                <w:rFonts w:cs="Arial"/>
                <w:sz w:val="16"/>
                <w:szCs w:val="16"/>
              </w:rPr>
              <w:t xml:space="preserve"> </w:t>
            </w:r>
          </w:p>
        </w:tc>
        <w:tc>
          <w:tcPr>
            <w:tcW w:w="1363" w:type="pct"/>
            <w:shd w:val="clear" w:color="auto" w:fill="FFFFFF"/>
            <w:tcMar>
              <w:top w:w="110" w:type="dxa"/>
            </w:tcMar>
          </w:tcPr>
          <w:p w:rsidR="00DD50EB" w:rsidRPr="00FC4D79" w:rsidRDefault="00DD50EB" w:rsidP="007C0423">
            <w:pPr>
              <w:rPr>
                <w:rFonts w:cs="Arial"/>
                <w:sz w:val="16"/>
                <w:szCs w:val="16"/>
              </w:rPr>
            </w:pPr>
            <w:r w:rsidRPr="00FC4D79">
              <w:rPr>
                <w:rFonts w:cs="Arial"/>
                <w:sz w:val="16"/>
                <w:szCs w:val="16"/>
              </w:rPr>
              <w:t>84%</w:t>
            </w:r>
            <w:r w:rsidRPr="00FC4D79">
              <w:rPr>
                <w:rFonts w:cs="Arial"/>
                <w:b/>
                <w:bCs/>
                <w:sz w:val="16"/>
                <w:szCs w:val="16"/>
              </w:rPr>
              <w:t xml:space="preserve"> </w:t>
            </w:r>
            <w:r w:rsidRPr="00FC4D79">
              <w:rPr>
                <w:rFonts w:cs="Arial"/>
                <w:sz w:val="16"/>
                <w:szCs w:val="16"/>
              </w:rPr>
              <w:t>customers satisfied or highly satisfied (August 2013 survey results). Broken down as follows for the two services:</w:t>
            </w:r>
          </w:p>
          <w:p w:rsidR="00DD50EB" w:rsidRPr="00FC4D79" w:rsidRDefault="00DD50EB" w:rsidP="00071F79">
            <w:pPr>
              <w:ind w:left="458" w:hanging="426"/>
              <w:rPr>
                <w:rFonts w:cs="Arial"/>
                <w:sz w:val="16"/>
                <w:szCs w:val="16"/>
              </w:rPr>
            </w:pPr>
            <w:r w:rsidRPr="00FC4D79">
              <w:rPr>
                <w:rFonts w:cs="Arial"/>
                <w:sz w:val="16"/>
                <w:szCs w:val="16"/>
              </w:rPr>
              <w:t>2012</w:t>
            </w:r>
            <w:r w:rsidR="00071F79" w:rsidRPr="00FC4D79">
              <w:rPr>
                <w:rFonts w:cs="Arial"/>
                <w:sz w:val="16"/>
                <w:szCs w:val="16"/>
              </w:rPr>
              <w:t>:</w:t>
            </w:r>
            <w:r w:rsidR="00071F79">
              <w:rPr>
                <w:rFonts w:cs="Arial"/>
                <w:sz w:val="16"/>
                <w:szCs w:val="16"/>
              </w:rPr>
              <w:tab/>
            </w:r>
            <w:r w:rsidRPr="00FC4D79">
              <w:rPr>
                <w:rFonts w:cs="Arial"/>
                <w:sz w:val="16"/>
                <w:szCs w:val="16"/>
              </w:rPr>
              <w:t xml:space="preserve">Madrid =78%  </w:t>
            </w:r>
            <w:r w:rsidR="00071F79">
              <w:rPr>
                <w:rFonts w:cs="Arial"/>
                <w:sz w:val="16"/>
                <w:szCs w:val="16"/>
              </w:rPr>
              <w:br/>
            </w:r>
            <w:r w:rsidR="00071F79">
              <w:rPr>
                <w:rFonts w:cs="Arial"/>
                <w:sz w:val="16"/>
                <w:szCs w:val="16"/>
              </w:rPr>
              <w:tab/>
            </w:r>
            <w:r w:rsidRPr="00FC4D79">
              <w:rPr>
                <w:rFonts w:cs="Arial"/>
                <w:sz w:val="16"/>
                <w:szCs w:val="16"/>
              </w:rPr>
              <w:t>Hague =95%</w:t>
            </w:r>
          </w:p>
          <w:p w:rsidR="00DD50EB" w:rsidRPr="00FC4D79" w:rsidRDefault="00DD50EB" w:rsidP="00071F79">
            <w:pPr>
              <w:ind w:left="458" w:hanging="426"/>
              <w:rPr>
                <w:rFonts w:cs="Arial"/>
                <w:sz w:val="16"/>
                <w:szCs w:val="16"/>
                <w:highlight w:val="yellow"/>
              </w:rPr>
            </w:pPr>
            <w:r w:rsidRPr="00FC4D79">
              <w:rPr>
                <w:rFonts w:cs="Arial"/>
                <w:sz w:val="16"/>
                <w:szCs w:val="16"/>
              </w:rPr>
              <w:t xml:space="preserve">2013: </w:t>
            </w:r>
            <w:r w:rsidR="00071F79">
              <w:rPr>
                <w:rFonts w:cs="Arial"/>
                <w:sz w:val="16"/>
                <w:szCs w:val="16"/>
              </w:rPr>
              <w:tab/>
            </w:r>
            <w:r w:rsidRPr="00FC4D79">
              <w:rPr>
                <w:rFonts w:cs="Arial"/>
                <w:sz w:val="16"/>
                <w:szCs w:val="16"/>
              </w:rPr>
              <w:t xml:space="preserve">Madrid =80%  </w:t>
            </w:r>
            <w:r w:rsidR="00071F79">
              <w:rPr>
                <w:rFonts w:cs="Arial"/>
                <w:sz w:val="16"/>
                <w:szCs w:val="16"/>
              </w:rPr>
              <w:br/>
            </w:r>
            <w:r w:rsidR="00071F79">
              <w:rPr>
                <w:rFonts w:cs="Arial"/>
                <w:sz w:val="16"/>
                <w:szCs w:val="16"/>
              </w:rPr>
              <w:tab/>
            </w:r>
            <w:r w:rsidRPr="00FC4D79">
              <w:rPr>
                <w:rFonts w:cs="Arial"/>
                <w:sz w:val="16"/>
                <w:szCs w:val="16"/>
              </w:rPr>
              <w:t>Hague =88%</w:t>
            </w:r>
          </w:p>
        </w:tc>
        <w:tc>
          <w:tcPr>
            <w:tcW w:w="682" w:type="pct"/>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r w:rsidR="00DD50EB" w:rsidTr="0024474C">
        <w:tc>
          <w:tcPr>
            <w:tcW w:w="834" w:type="pct"/>
            <w:tcBorders>
              <w:bottom w:val="single" w:sz="4" w:space="0" w:color="auto"/>
            </w:tcBorders>
          </w:tcPr>
          <w:p w:rsidR="00DD50EB" w:rsidRDefault="00DD50EB" w:rsidP="007C0423">
            <w:pPr>
              <w:rPr>
                <w:rFonts w:cs="Arial"/>
                <w:sz w:val="16"/>
                <w:szCs w:val="16"/>
              </w:rPr>
            </w:pPr>
            <w:r>
              <w:rPr>
                <w:rFonts w:cs="Arial"/>
                <w:sz w:val="16"/>
                <w:szCs w:val="16"/>
              </w:rPr>
              <w:t>P</w:t>
            </w:r>
            <w:r w:rsidRPr="004354B8">
              <w:rPr>
                <w:rFonts w:cs="Arial"/>
                <w:sz w:val="16"/>
                <w:szCs w:val="16"/>
              </w:rPr>
              <w:t xml:space="preserve">rocessing time of </w:t>
            </w:r>
            <w:r>
              <w:rPr>
                <w:rFonts w:cs="Arial"/>
                <w:sz w:val="16"/>
                <w:szCs w:val="16"/>
              </w:rPr>
              <w:t xml:space="preserve">information </w:t>
            </w:r>
            <w:r w:rsidRPr="004354B8">
              <w:rPr>
                <w:rFonts w:cs="Arial"/>
                <w:sz w:val="16"/>
                <w:szCs w:val="16"/>
              </w:rPr>
              <w:t>inquiries handled through ticketing system</w:t>
            </w:r>
          </w:p>
          <w:p w:rsidR="00DD50EB" w:rsidRPr="004354B8" w:rsidRDefault="00DD50EB" w:rsidP="007C0423">
            <w:pPr>
              <w:rPr>
                <w:rFonts w:cs="Arial"/>
                <w:sz w:val="16"/>
                <w:szCs w:val="16"/>
              </w:rPr>
            </w:pPr>
          </w:p>
        </w:tc>
        <w:tc>
          <w:tcPr>
            <w:tcW w:w="1515" w:type="pct"/>
            <w:tcBorders>
              <w:bottom w:val="single" w:sz="4" w:space="0" w:color="auto"/>
            </w:tcBorders>
            <w:shd w:val="clear" w:color="auto" w:fill="auto"/>
          </w:tcPr>
          <w:p w:rsidR="00DD50EB" w:rsidRPr="008A2422" w:rsidRDefault="00DD50EB" w:rsidP="007C0423">
            <w:pPr>
              <w:rPr>
                <w:rFonts w:cs="Arial"/>
                <w:i/>
                <w:color w:val="002060"/>
                <w:sz w:val="16"/>
                <w:szCs w:val="16"/>
              </w:rPr>
            </w:pPr>
            <w:r w:rsidRPr="008A2422">
              <w:rPr>
                <w:rFonts w:cs="Arial"/>
                <w:i/>
                <w:color w:val="002060"/>
                <w:sz w:val="16"/>
                <w:szCs w:val="16"/>
              </w:rPr>
              <w:t xml:space="preserve">Updated Baseline end 2011:  </w:t>
            </w:r>
          </w:p>
          <w:p w:rsidR="00DD50EB" w:rsidRPr="0027745B" w:rsidRDefault="00DD50EB" w:rsidP="007C0423">
            <w:pPr>
              <w:rPr>
                <w:rFonts w:cs="Arial"/>
                <w:color w:val="002060"/>
                <w:sz w:val="16"/>
                <w:szCs w:val="16"/>
              </w:rPr>
            </w:pPr>
            <w:r w:rsidRPr="0027745B">
              <w:rPr>
                <w:rFonts w:cs="Arial"/>
                <w:color w:val="002060"/>
                <w:sz w:val="16"/>
                <w:szCs w:val="16"/>
              </w:rPr>
              <w:t>70%</w:t>
            </w:r>
          </w:p>
          <w:p w:rsidR="00DD50EB" w:rsidRPr="00861678" w:rsidRDefault="00DD50EB" w:rsidP="007C0423">
            <w:pPr>
              <w:rPr>
                <w:rFonts w:cs="Arial"/>
                <w:i/>
                <w:sz w:val="8"/>
                <w:szCs w:val="8"/>
              </w:rPr>
            </w:pPr>
          </w:p>
          <w:p w:rsidR="00DD50EB" w:rsidRPr="004D1BF4" w:rsidRDefault="00DD50EB" w:rsidP="007C0423">
            <w:pPr>
              <w:rPr>
                <w:rFonts w:cs="Arial"/>
                <w:sz w:val="16"/>
                <w:szCs w:val="16"/>
              </w:rPr>
            </w:pPr>
            <w:r w:rsidRPr="007F330D">
              <w:rPr>
                <w:rFonts w:cs="Arial"/>
                <w:i/>
                <w:sz w:val="16"/>
                <w:szCs w:val="16"/>
              </w:rPr>
              <w:t>Original Baseline P&amp;B 2012/13:</w:t>
            </w:r>
            <w:r w:rsidRPr="007F330D">
              <w:rPr>
                <w:rFonts w:cs="Arial"/>
                <w:i/>
                <w:iCs/>
                <w:sz w:val="16"/>
                <w:szCs w:val="16"/>
              </w:rPr>
              <w:br/>
            </w:r>
            <w:r w:rsidRPr="004D1BF4">
              <w:rPr>
                <w:rFonts w:cs="Arial"/>
                <w:sz w:val="16"/>
                <w:szCs w:val="16"/>
              </w:rPr>
              <w:t>Data from Sep to Dec 2011</w:t>
            </w:r>
          </w:p>
        </w:tc>
        <w:tc>
          <w:tcPr>
            <w:tcW w:w="606" w:type="pct"/>
            <w:tcBorders>
              <w:bottom w:val="single" w:sz="4" w:space="0" w:color="auto"/>
            </w:tcBorders>
            <w:tcMar>
              <w:top w:w="110" w:type="dxa"/>
            </w:tcMar>
          </w:tcPr>
          <w:p w:rsidR="00DD50EB" w:rsidRPr="0027745B" w:rsidRDefault="00DD50EB" w:rsidP="00071F79">
            <w:pPr>
              <w:autoSpaceDE w:val="0"/>
              <w:autoSpaceDN w:val="0"/>
              <w:adjustRightInd w:val="0"/>
              <w:rPr>
                <w:rFonts w:cs="Arial"/>
                <w:sz w:val="16"/>
                <w:szCs w:val="16"/>
              </w:rPr>
            </w:pPr>
            <w:r w:rsidRPr="008A2422">
              <w:rPr>
                <w:rFonts w:cs="Arial"/>
                <w:sz w:val="16"/>
                <w:szCs w:val="16"/>
              </w:rPr>
              <w:t>≥ 90% within 3</w:t>
            </w:r>
            <w:r w:rsidR="00071F79">
              <w:rPr>
                <w:rFonts w:cs="Arial"/>
                <w:sz w:val="16"/>
                <w:szCs w:val="16"/>
              </w:rPr>
              <w:t xml:space="preserve"> </w:t>
            </w:r>
            <w:r w:rsidRPr="008A2422">
              <w:rPr>
                <w:rFonts w:cs="Arial"/>
                <w:sz w:val="16"/>
                <w:szCs w:val="16"/>
              </w:rPr>
              <w:t>working days</w:t>
            </w:r>
            <w:r w:rsidRPr="0027745B" w:rsidDel="008A2422">
              <w:rPr>
                <w:rFonts w:cs="Arial"/>
                <w:sz w:val="16"/>
                <w:szCs w:val="16"/>
              </w:rPr>
              <w:t xml:space="preserve"> </w:t>
            </w:r>
          </w:p>
        </w:tc>
        <w:tc>
          <w:tcPr>
            <w:tcW w:w="1363" w:type="pct"/>
            <w:tcBorders>
              <w:bottom w:val="single" w:sz="4" w:space="0" w:color="auto"/>
            </w:tcBorders>
            <w:shd w:val="clear" w:color="auto" w:fill="FFFFFF"/>
            <w:tcMar>
              <w:top w:w="110" w:type="dxa"/>
            </w:tcMar>
          </w:tcPr>
          <w:p w:rsidR="00DD50EB" w:rsidRPr="008A2422" w:rsidRDefault="00DD50EB" w:rsidP="007C0423">
            <w:pPr>
              <w:rPr>
                <w:rFonts w:cs="Arial"/>
                <w:sz w:val="16"/>
                <w:szCs w:val="16"/>
              </w:rPr>
            </w:pPr>
            <w:r w:rsidRPr="008A2422">
              <w:rPr>
                <w:rFonts w:cs="Arial"/>
                <w:sz w:val="16"/>
                <w:szCs w:val="16"/>
              </w:rPr>
              <w:t>90% of enquiries from April to December 2012 and 99% of enquiries from January to December 2013 received by the Customer Service Center were processed within 3 working days.</w:t>
            </w:r>
          </w:p>
          <w:p w:rsidR="00DD50EB" w:rsidRPr="008A2422" w:rsidRDefault="00DD50EB" w:rsidP="007C0423">
            <w:pPr>
              <w:rPr>
                <w:rFonts w:ascii="Calibri" w:hAnsi="Calibri" w:cs="Calibri"/>
                <w:sz w:val="16"/>
                <w:szCs w:val="16"/>
              </w:rPr>
            </w:pPr>
          </w:p>
        </w:tc>
        <w:tc>
          <w:tcPr>
            <w:tcW w:w="682" w:type="pct"/>
            <w:tcBorders>
              <w:bottom w:val="single" w:sz="4" w:space="0" w:color="auto"/>
            </w:tcBorders>
            <w:tcMar>
              <w:top w:w="110" w:type="dxa"/>
            </w:tcMar>
          </w:tcPr>
          <w:p w:rsidR="00DD50EB" w:rsidRPr="005E6AFC" w:rsidRDefault="00DD50EB" w:rsidP="007C0423">
            <w:pPr>
              <w:keepNext/>
              <w:keepLines/>
              <w:jc w:val="center"/>
              <w:rPr>
                <w:rFonts w:cs="Arial"/>
                <w:color w:val="808080"/>
                <w:sz w:val="16"/>
                <w:szCs w:val="16"/>
              </w:rPr>
            </w:pPr>
            <w:r w:rsidRPr="007F330D">
              <w:rPr>
                <w:rFonts w:cs="Arial"/>
                <w:bCs/>
                <w:color w:val="008000"/>
                <w:sz w:val="16"/>
                <w:szCs w:val="16"/>
              </w:rPr>
              <w:t>Fully</w:t>
            </w:r>
            <w:r w:rsidRPr="007F330D">
              <w:rPr>
                <w:rFonts w:cs="Arial"/>
                <w:bCs/>
                <w:color w:val="008000"/>
                <w:sz w:val="16"/>
                <w:szCs w:val="16"/>
              </w:rPr>
              <w:br/>
              <w:t>Achieved</w:t>
            </w:r>
          </w:p>
        </w:tc>
      </w:tr>
    </w:tbl>
    <w:p w:rsidR="003B7E37" w:rsidRDefault="003B7E37">
      <w:pPr>
        <w:rPr>
          <w:rFonts w:eastAsia="SimSun"/>
          <w:color w:val="000000"/>
          <w:sz w:val="22"/>
          <w:szCs w:val="22"/>
          <w:lang w:eastAsia="zh-CN"/>
        </w:rPr>
      </w:pPr>
      <w:r>
        <w:rPr>
          <w:rFonts w:eastAsia="SimSun"/>
          <w:color w:val="000000"/>
          <w:sz w:val="22"/>
          <w:szCs w:val="22"/>
          <w:lang w:eastAsia="zh-CN"/>
        </w:rPr>
        <w:br w:type="page"/>
      </w:r>
    </w:p>
    <w:p w:rsidR="00DD50EB" w:rsidRDefault="00DD50EB" w:rsidP="00DD50EB">
      <w:pPr>
        <w:autoSpaceDE w:val="0"/>
        <w:autoSpaceDN w:val="0"/>
        <w:adjustRightInd w:val="0"/>
        <w:jc w:val="both"/>
        <w:rPr>
          <w:rFonts w:eastAsia="SimSun"/>
          <w:color w:val="000000"/>
          <w:sz w:val="22"/>
          <w:szCs w:val="22"/>
          <w:lang w:eastAsia="zh-CN"/>
        </w:rPr>
      </w:pPr>
      <w:r>
        <w:rPr>
          <w:rFonts w:eastAsia="SimSun"/>
          <w:color w:val="000000"/>
          <w:sz w:val="22"/>
          <w:szCs w:val="22"/>
          <w:lang w:eastAsia="zh-CN"/>
        </w:rPr>
        <w:lastRenderedPageBreak/>
        <w:t>BUDGET AND ACTUAL EXPENDITURE</w:t>
      </w:r>
    </w:p>
    <w:p w:rsidR="00DD50EB" w:rsidRDefault="00DD50EB" w:rsidP="00DD50EB">
      <w:pPr>
        <w:autoSpaceDE w:val="0"/>
        <w:autoSpaceDN w:val="0"/>
        <w:adjustRightInd w:val="0"/>
        <w:jc w:val="both"/>
        <w:rPr>
          <w:rFonts w:eastAsia="SimSun"/>
          <w:color w:val="000000"/>
          <w:sz w:val="22"/>
          <w:szCs w:val="22"/>
          <w:lang w:eastAsia="zh-CN"/>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DD50EB" w:rsidRPr="0027745B" w:rsidRDefault="00DD50EB" w:rsidP="00DD50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autoSpaceDE w:val="0"/>
        <w:autoSpaceDN w:val="0"/>
        <w:adjustRightInd w:val="0"/>
        <w:jc w:val="both"/>
        <w:rPr>
          <w:rFonts w:eastAsia="SimSun"/>
          <w:color w:val="000000"/>
          <w:sz w:val="22"/>
          <w:szCs w:val="22"/>
          <w:lang w:eastAsia="zh-CN"/>
        </w:rPr>
      </w:pPr>
    </w:p>
    <w:tbl>
      <w:tblPr>
        <w:tblW w:w="0" w:type="auto"/>
        <w:tblInd w:w="108" w:type="dxa"/>
        <w:tblLook w:val="04A0" w:firstRow="1" w:lastRow="0" w:firstColumn="1" w:lastColumn="0" w:noHBand="0" w:noVBand="1"/>
      </w:tblPr>
      <w:tblGrid>
        <w:gridCol w:w="630"/>
        <w:gridCol w:w="4190"/>
        <w:gridCol w:w="1512"/>
        <w:gridCol w:w="1512"/>
        <w:gridCol w:w="1512"/>
      </w:tblGrid>
      <w:tr w:rsidR="00DD50EB" w:rsidRPr="0024474C" w:rsidTr="0024474C">
        <w:tc>
          <w:tcPr>
            <w:tcW w:w="48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 xml:space="preserve">2012/13 Budget </w:t>
            </w:r>
            <w:r w:rsidRPr="0024474C">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2012/13</w:t>
            </w:r>
          </w:p>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Expenditure</w:t>
            </w:r>
          </w:p>
        </w:tc>
      </w:tr>
      <w:tr w:rsidR="00DD50EB" w:rsidRPr="008A2422" w:rsidTr="0024474C">
        <w:tc>
          <w:tcPr>
            <w:tcW w:w="630" w:type="dxa"/>
            <w:tcBorders>
              <w:top w:val="nil"/>
              <w:left w:val="single" w:sz="4" w:space="0" w:color="auto"/>
              <w:bottom w:val="nil"/>
              <w:right w:val="nil"/>
            </w:tcBorders>
            <w:shd w:val="clear" w:color="000000" w:fill="FFFFFF"/>
            <w:noWrap/>
            <w:hideMark/>
          </w:tcPr>
          <w:p w:rsidR="00DD50EB" w:rsidRPr="0027745B" w:rsidRDefault="00DD50EB" w:rsidP="0024474C">
            <w:pPr>
              <w:spacing w:before="120"/>
              <w:jc w:val="center"/>
              <w:rPr>
                <w:rFonts w:cs="Arial"/>
                <w:color w:val="000000"/>
                <w:sz w:val="16"/>
                <w:szCs w:val="16"/>
              </w:rPr>
            </w:pPr>
            <w:r w:rsidRPr="0027745B">
              <w:rPr>
                <w:rFonts w:cs="Arial"/>
                <w:color w:val="000000"/>
                <w:sz w:val="16"/>
                <w:szCs w:val="16"/>
              </w:rPr>
              <w:t>VIII.1</w:t>
            </w:r>
          </w:p>
        </w:tc>
        <w:tc>
          <w:tcPr>
            <w:tcW w:w="4190" w:type="dxa"/>
            <w:tcBorders>
              <w:top w:val="nil"/>
              <w:left w:val="nil"/>
              <w:bottom w:val="nil"/>
              <w:right w:val="nil"/>
            </w:tcBorders>
            <w:shd w:val="clear" w:color="000000" w:fill="FFFFFF"/>
            <w:hideMark/>
          </w:tcPr>
          <w:p w:rsidR="00DD50EB" w:rsidRPr="0027745B" w:rsidRDefault="00DD50EB" w:rsidP="0024474C">
            <w:pPr>
              <w:spacing w:before="120"/>
              <w:rPr>
                <w:rFonts w:cs="Arial"/>
                <w:color w:val="000000"/>
                <w:sz w:val="16"/>
                <w:szCs w:val="16"/>
              </w:rPr>
            </w:pPr>
            <w:r w:rsidRPr="0027745B">
              <w:rPr>
                <w:rFonts w:cs="Arial"/>
                <w:color w:val="000000"/>
                <w:sz w:val="16"/>
                <w:szCs w:val="16"/>
              </w:rPr>
              <w:t>More effective communication to a broad public about intellectual property and WIPO’s role</w:t>
            </w:r>
          </w:p>
        </w:tc>
        <w:tc>
          <w:tcPr>
            <w:tcW w:w="1512" w:type="dxa"/>
            <w:tcBorders>
              <w:top w:val="nil"/>
              <w:left w:val="nil"/>
              <w:bottom w:val="nil"/>
              <w:right w:val="nil"/>
            </w:tcBorders>
            <w:shd w:val="clear" w:color="000000" w:fill="FFFFFF"/>
            <w:vAlign w:val="center"/>
            <w:hideMark/>
          </w:tcPr>
          <w:p w:rsidR="00DD50EB" w:rsidRPr="0027745B" w:rsidRDefault="00DD50EB" w:rsidP="0024474C">
            <w:pPr>
              <w:spacing w:before="120"/>
              <w:jc w:val="right"/>
              <w:rPr>
                <w:rFonts w:cs="Arial"/>
                <w:color w:val="000000"/>
                <w:sz w:val="16"/>
                <w:szCs w:val="16"/>
              </w:rPr>
            </w:pPr>
            <w:r w:rsidRPr="0027745B">
              <w:rPr>
                <w:rFonts w:cs="Arial"/>
                <w:color w:val="000000"/>
                <w:sz w:val="16"/>
                <w:szCs w:val="16"/>
              </w:rPr>
              <w:t xml:space="preserve">13,664 </w:t>
            </w:r>
          </w:p>
        </w:tc>
        <w:tc>
          <w:tcPr>
            <w:tcW w:w="1512" w:type="dxa"/>
            <w:tcBorders>
              <w:top w:val="nil"/>
              <w:left w:val="nil"/>
              <w:bottom w:val="nil"/>
              <w:right w:val="nil"/>
            </w:tcBorders>
            <w:shd w:val="clear" w:color="000000" w:fill="FFFFFF"/>
            <w:vAlign w:val="center"/>
            <w:hideMark/>
          </w:tcPr>
          <w:p w:rsidR="00DD50EB" w:rsidRPr="0027745B" w:rsidRDefault="00DD50EB" w:rsidP="0024474C">
            <w:pPr>
              <w:spacing w:before="120"/>
              <w:jc w:val="right"/>
              <w:rPr>
                <w:rFonts w:cs="Arial"/>
                <w:color w:val="000000"/>
                <w:sz w:val="16"/>
                <w:szCs w:val="16"/>
              </w:rPr>
            </w:pPr>
            <w:r w:rsidRPr="0027745B">
              <w:rPr>
                <w:rFonts w:cs="Arial"/>
                <w:color w:val="000000"/>
                <w:sz w:val="16"/>
                <w:szCs w:val="16"/>
              </w:rPr>
              <w:t xml:space="preserve">13,725 </w:t>
            </w:r>
          </w:p>
        </w:tc>
        <w:tc>
          <w:tcPr>
            <w:tcW w:w="1512" w:type="dxa"/>
            <w:tcBorders>
              <w:top w:val="nil"/>
              <w:left w:val="nil"/>
              <w:bottom w:val="nil"/>
              <w:right w:val="single" w:sz="4" w:space="0" w:color="auto"/>
            </w:tcBorders>
            <w:shd w:val="clear" w:color="000000" w:fill="FFFFFF"/>
            <w:vAlign w:val="center"/>
            <w:hideMark/>
          </w:tcPr>
          <w:p w:rsidR="00DD50EB" w:rsidRPr="0027745B" w:rsidRDefault="00DD50EB" w:rsidP="0024474C">
            <w:pPr>
              <w:spacing w:before="120"/>
              <w:jc w:val="right"/>
              <w:rPr>
                <w:rFonts w:cs="Arial"/>
                <w:color w:val="000000"/>
                <w:sz w:val="16"/>
                <w:szCs w:val="16"/>
              </w:rPr>
            </w:pPr>
            <w:r w:rsidRPr="0027745B">
              <w:rPr>
                <w:rFonts w:cs="Arial"/>
                <w:color w:val="000000"/>
                <w:sz w:val="16"/>
                <w:szCs w:val="16"/>
              </w:rPr>
              <w:t>13,449</w:t>
            </w:r>
          </w:p>
        </w:tc>
      </w:tr>
      <w:tr w:rsidR="00DD50EB" w:rsidRPr="008A2422" w:rsidTr="0024474C">
        <w:tc>
          <w:tcPr>
            <w:tcW w:w="630" w:type="dxa"/>
            <w:tcBorders>
              <w:top w:val="nil"/>
              <w:left w:val="single" w:sz="4" w:space="0" w:color="auto"/>
              <w:bottom w:val="single" w:sz="4" w:space="0" w:color="auto"/>
              <w:right w:val="nil"/>
            </w:tcBorders>
            <w:shd w:val="clear" w:color="000000" w:fill="FFFFFF"/>
            <w:noWrap/>
            <w:vAlign w:val="center"/>
            <w:hideMark/>
          </w:tcPr>
          <w:p w:rsidR="00DD50EB" w:rsidRPr="0027745B" w:rsidRDefault="00DD50EB" w:rsidP="0024474C">
            <w:pPr>
              <w:spacing w:before="120" w:after="120"/>
              <w:rPr>
                <w:rFonts w:cs="Arial"/>
                <w:color w:val="000000"/>
                <w:sz w:val="16"/>
                <w:szCs w:val="16"/>
              </w:rPr>
            </w:pPr>
            <w:r w:rsidRPr="0027745B">
              <w:rPr>
                <w:rFonts w:cs="Arial"/>
                <w:color w:val="000000"/>
                <w:sz w:val="16"/>
                <w:szCs w:val="16"/>
              </w:rPr>
              <w:t>VIII.2</w:t>
            </w:r>
          </w:p>
        </w:tc>
        <w:tc>
          <w:tcPr>
            <w:tcW w:w="4190" w:type="dxa"/>
            <w:tcBorders>
              <w:top w:val="nil"/>
              <w:left w:val="nil"/>
              <w:bottom w:val="single" w:sz="4" w:space="0" w:color="auto"/>
              <w:right w:val="nil"/>
            </w:tcBorders>
            <w:shd w:val="clear" w:color="000000" w:fill="FFFFFF"/>
            <w:vAlign w:val="center"/>
            <w:hideMark/>
          </w:tcPr>
          <w:p w:rsidR="00DD50EB" w:rsidRPr="0027745B" w:rsidRDefault="00DD50EB" w:rsidP="0024474C">
            <w:pPr>
              <w:spacing w:before="120" w:after="120"/>
              <w:rPr>
                <w:rFonts w:cs="Arial"/>
                <w:color w:val="000000"/>
                <w:sz w:val="16"/>
                <w:szCs w:val="16"/>
              </w:rPr>
            </w:pPr>
            <w:r w:rsidRPr="0027745B">
              <w:rPr>
                <w:rFonts w:cs="Arial"/>
                <w:color w:val="000000"/>
                <w:sz w:val="16"/>
                <w:szCs w:val="16"/>
              </w:rPr>
              <w:t>Improved service orientation and responsiveness to inquiries</w:t>
            </w:r>
          </w:p>
        </w:tc>
        <w:tc>
          <w:tcPr>
            <w:tcW w:w="1512" w:type="dxa"/>
            <w:tcBorders>
              <w:top w:val="nil"/>
              <w:left w:val="nil"/>
              <w:bottom w:val="single" w:sz="4" w:space="0" w:color="auto"/>
              <w:right w:val="nil"/>
            </w:tcBorders>
            <w:shd w:val="clear" w:color="000000" w:fill="FFFFFF"/>
            <w:vAlign w:val="center"/>
            <w:hideMark/>
          </w:tcPr>
          <w:p w:rsidR="00DD50EB" w:rsidRPr="0027745B" w:rsidRDefault="00DD50EB" w:rsidP="0024474C">
            <w:pPr>
              <w:spacing w:before="120" w:after="120"/>
              <w:jc w:val="right"/>
              <w:rPr>
                <w:rFonts w:cs="Arial"/>
                <w:color w:val="000000"/>
                <w:sz w:val="16"/>
                <w:szCs w:val="16"/>
              </w:rPr>
            </w:pPr>
            <w:r w:rsidRPr="0027745B">
              <w:rPr>
                <w:rFonts w:cs="Arial"/>
                <w:color w:val="000000"/>
                <w:sz w:val="16"/>
                <w:szCs w:val="16"/>
              </w:rPr>
              <w:t xml:space="preserve">2,935 </w:t>
            </w:r>
          </w:p>
        </w:tc>
        <w:tc>
          <w:tcPr>
            <w:tcW w:w="1512" w:type="dxa"/>
            <w:tcBorders>
              <w:top w:val="nil"/>
              <w:left w:val="nil"/>
              <w:bottom w:val="single" w:sz="4" w:space="0" w:color="auto"/>
              <w:right w:val="nil"/>
            </w:tcBorders>
            <w:shd w:val="clear" w:color="000000" w:fill="FFFFFF"/>
            <w:vAlign w:val="center"/>
            <w:hideMark/>
          </w:tcPr>
          <w:p w:rsidR="00DD50EB" w:rsidRPr="0027745B" w:rsidRDefault="00DD50EB" w:rsidP="0024474C">
            <w:pPr>
              <w:spacing w:before="120" w:after="120"/>
              <w:jc w:val="right"/>
              <w:rPr>
                <w:rFonts w:cs="Arial"/>
                <w:color w:val="000000"/>
                <w:sz w:val="16"/>
                <w:szCs w:val="16"/>
              </w:rPr>
            </w:pPr>
            <w:r w:rsidRPr="0027745B">
              <w:rPr>
                <w:rFonts w:cs="Arial"/>
                <w:color w:val="000000"/>
                <w:sz w:val="16"/>
                <w:szCs w:val="16"/>
              </w:rPr>
              <w:t xml:space="preserve">2,851 </w:t>
            </w:r>
          </w:p>
        </w:tc>
        <w:tc>
          <w:tcPr>
            <w:tcW w:w="1512" w:type="dxa"/>
            <w:tcBorders>
              <w:top w:val="nil"/>
              <w:left w:val="nil"/>
              <w:bottom w:val="single" w:sz="4" w:space="0" w:color="auto"/>
              <w:right w:val="single" w:sz="4" w:space="0" w:color="auto"/>
            </w:tcBorders>
            <w:shd w:val="clear" w:color="000000" w:fill="FFFFFF"/>
            <w:vAlign w:val="center"/>
            <w:hideMark/>
          </w:tcPr>
          <w:p w:rsidR="00DD50EB" w:rsidRPr="0027745B" w:rsidRDefault="00DD50EB" w:rsidP="0024474C">
            <w:pPr>
              <w:spacing w:before="120" w:after="120"/>
              <w:jc w:val="right"/>
              <w:rPr>
                <w:rFonts w:cs="Arial"/>
                <w:color w:val="000000"/>
                <w:sz w:val="16"/>
                <w:szCs w:val="16"/>
              </w:rPr>
            </w:pPr>
            <w:r w:rsidRPr="0027745B">
              <w:rPr>
                <w:rFonts w:cs="Arial"/>
                <w:color w:val="000000"/>
                <w:sz w:val="16"/>
                <w:szCs w:val="16"/>
              </w:rPr>
              <w:t>2,660</w:t>
            </w:r>
          </w:p>
        </w:tc>
      </w:tr>
      <w:tr w:rsidR="00DD50EB" w:rsidRPr="008A2422" w:rsidTr="0024474C">
        <w:tc>
          <w:tcPr>
            <w:tcW w:w="630" w:type="dxa"/>
            <w:tcBorders>
              <w:top w:val="nil"/>
              <w:left w:val="single" w:sz="4" w:space="0" w:color="auto"/>
              <w:bottom w:val="single" w:sz="4" w:space="0" w:color="auto"/>
              <w:right w:val="nil"/>
            </w:tcBorders>
            <w:shd w:val="clear" w:color="000000" w:fill="CCFFFF"/>
            <w:noWrap/>
            <w:vAlign w:val="bottom"/>
            <w:hideMark/>
          </w:tcPr>
          <w:p w:rsidR="00DD50EB" w:rsidRPr="0027745B" w:rsidRDefault="00DD50EB" w:rsidP="0024474C">
            <w:pPr>
              <w:spacing w:before="120" w:after="120"/>
              <w:jc w:val="center"/>
              <w:rPr>
                <w:rFonts w:cs="Arial"/>
                <w:b/>
                <w:bCs/>
                <w:color w:val="000000"/>
                <w:sz w:val="16"/>
                <w:szCs w:val="16"/>
              </w:rPr>
            </w:pPr>
            <w:r w:rsidRPr="0027745B">
              <w:rPr>
                <w:rFonts w:cs="Arial"/>
                <w:b/>
                <w:bCs/>
                <w:color w:val="000000"/>
                <w:sz w:val="16"/>
                <w:szCs w:val="16"/>
              </w:rPr>
              <w:t> </w:t>
            </w:r>
          </w:p>
        </w:tc>
        <w:tc>
          <w:tcPr>
            <w:tcW w:w="4190" w:type="dxa"/>
            <w:tcBorders>
              <w:top w:val="nil"/>
              <w:left w:val="nil"/>
              <w:bottom w:val="single" w:sz="4" w:space="0" w:color="auto"/>
              <w:right w:val="nil"/>
            </w:tcBorders>
            <w:shd w:val="clear" w:color="000000" w:fill="CCFFFF"/>
            <w:noWrap/>
            <w:vAlign w:val="center"/>
            <w:hideMark/>
          </w:tcPr>
          <w:p w:rsidR="00DD50EB" w:rsidRPr="0027745B" w:rsidRDefault="00DD50EB" w:rsidP="0024474C">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DD50EB" w:rsidRPr="0027745B" w:rsidRDefault="00DD50EB" w:rsidP="0024474C">
            <w:pPr>
              <w:spacing w:before="120" w:after="120"/>
              <w:jc w:val="right"/>
              <w:rPr>
                <w:rFonts w:cs="Arial"/>
                <w:b/>
                <w:bCs/>
                <w:color w:val="000000"/>
                <w:sz w:val="16"/>
                <w:szCs w:val="16"/>
              </w:rPr>
            </w:pPr>
            <w:r w:rsidRPr="0027745B">
              <w:rPr>
                <w:rFonts w:cs="Arial"/>
                <w:b/>
                <w:bCs/>
                <w:color w:val="000000"/>
                <w:sz w:val="16"/>
                <w:szCs w:val="16"/>
              </w:rPr>
              <w:t>16,599</w:t>
            </w:r>
          </w:p>
        </w:tc>
        <w:tc>
          <w:tcPr>
            <w:tcW w:w="1512" w:type="dxa"/>
            <w:tcBorders>
              <w:top w:val="nil"/>
              <w:left w:val="nil"/>
              <w:bottom w:val="single" w:sz="4" w:space="0" w:color="auto"/>
              <w:right w:val="single" w:sz="4" w:space="0" w:color="auto"/>
            </w:tcBorders>
            <w:shd w:val="clear" w:color="000000" w:fill="CCFFFF"/>
            <w:noWrap/>
            <w:vAlign w:val="center"/>
            <w:hideMark/>
          </w:tcPr>
          <w:p w:rsidR="00DD50EB" w:rsidRPr="0027745B" w:rsidRDefault="00DD50EB" w:rsidP="0024474C">
            <w:pPr>
              <w:spacing w:before="120" w:after="120"/>
              <w:jc w:val="right"/>
              <w:rPr>
                <w:rFonts w:cs="Arial"/>
                <w:b/>
                <w:bCs/>
                <w:color w:val="000000"/>
                <w:sz w:val="16"/>
                <w:szCs w:val="16"/>
              </w:rPr>
            </w:pPr>
            <w:r w:rsidRPr="0027745B">
              <w:rPr>
                <w:rFonts w:cs="Arial"/>
                <w:b/>
                <w:bCs/>
                <w:color w:val="000000"/>
                <w:sz w:val="16"/>
                <w:szCs w:val="16"/>
              </w:rPr>
              <w:t>16,576</w:t>
            </w:r>
          </w:p>
        </w:tc>
        <w:tc>
          <w:tcPr>
            <w:tcW w:w="1512" w:type="dxa"/>
            <w:tcBorders>
              <w:top w:val="nil"/>
              <w:left w:val="nil"/>
              <w:bottom w:val="single" w:sz="4" w:space="0" w:color="auto"/>
              <w:right w:val="single" w:sz="4" w:space="0" w:color="auto"/>
            </w:tcBorders>
            <w:shd w:val="clear" w:color="000000" w:fill="CCFFFF"/>
            <w:vAlign w:val="center"/>
            <w:hideMark/>
          </w:tcPr>
          <w:p w:rsidR="00DD50EB" w:rsidRPr="0027745B" w:rsidRDefault="00DD50EB" w:rsidP="0024474C">
            <w:pPr>
              <w:spacing w:before="120" w:after="120"/>
              <w:jc w:val="right"/>
              <w:rPr>
                <w:rFonts w:cs="Arial"/>
                <w:b/>
                <w:bCs/>
                <w:color w:val="000000"/>
                <w:sz w:val="16"/>
                <w:szCs w:val="16"/>
              </w:rPr>
            </w:pPr>
            <w:r w:rsidRPr="0027745B">
              <w:rPr>
                <w:rFonts w:cs="Arial"/>
                <w:b/>
                <w:bCs/>
                <w:color w:val="000000"/>
                <w:sz w:val="16"/>
                <w:szCs w:val="16"/>
              </w:rPr>
              <w:t>16,108</w:t>
            </w:r>
          </w:p>
        </w:tc>
      </w:tr>
    </w:tbl>
    <w:p w:rsidR="00DD50EB" w:rsidRDefault="00DD50EB" w:rsidP="00DD50EB">
      <w:pPr>
        <w:autoSpaceDE w:val="0"/>
        <w:autoSpaceDN w:val="0"/>
        <w:adjustRightInd w:val="0"/>
        <w:jc w:val="both"/>
        <w:rPr>
          <w:rFonts w:eastAsia="SimSun"/>
          <w:color w:val="000000"/>
          <w:sz w:val="22"/>
          <w:szCs w:val="22"/>
          <w:lang w:eastAsia="zh-CN"/>
        </w:rPr>
      </w:pPr>
    </w:p>
    <w:p w:rsidR="00DD50EB" w:rsidRPr="0027745B" w:rsidRDefault="00DD50EB" w:rsidP="00DD50EB">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DD50EB" w:rsidRPr="0027745B" w:rsidRDefault="00DD50EB" w:rsidP="00DD50EB">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DD50EB" w:rsidRDefault="00DD50EB" w:rsidP="00DD50EB">
      <w:pPr>
        <w:autoSpaceDE w:val="0"/>
        <w:autoSpaceDN w:val="0"/>
        <w:adjustRightInd w:val="0"/>
        <w:jc w:val="both"/>
        <w:rPr>
          <w:rFonts w:eastAsia="SimSun"/>
          <w:color w:val="000000"/>
          <w:sz w:val="22"/>
          <w:szCs w:val="22"/>
          <w:lang w:eastAsia="zh-CN"/>
        </w:rPr>
      </w:pPr>
    </w:p>
    <w:tbl>
      <w:tblPr>
        <w:tblW w:w="0" w:type="auto"/>
        <w:tblInd w:w="108" w:type="dxa"/>
        <w:tblLook w:val="04A0" w:firstRow="1" w:lastRow="0" w:firstColumn="1" w:lastColumn="0" w:noHBand="0" w:noVBand="1"/>
      </w:tblPr>
      <w:tblGrid>
        <w:gridCol w:w="2694"/>
        <w:gridCol w:w="1665"/>
        <w:gridCol w:w="1666"/>
        <w:gridCol w:w="1665"/>
        <w:gridCol w:w="1666"/>
      </w:tblGrid>
      <w:tr w:rsidR="00DD50EB" w:rsidRPr="0024474C" w:rsidTr="0024474C">
        <w:tc>
          <w:tcPr>
            <w:tcW w:w="2694"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DD50EB" w:rsidRPr="0024474C" w:rsidRDefault="00DD50EB" w:rsidP="0024474C">
            <w:pPr>
              <w:spacing w:before="120" w:after="120"/>
              <w:rPr>
                <w:rFonts w:cs="Arial"/>
                <w:color w:val="000000"/>
                <w:sz w:val="16"/>
                <w:szCs w:val="16"/>
              </w:rPr>
            </w:pPr>
            <w:r w:rsidRPr="0024474C">
              <w:rPr>
                <w:rFonts w:cs="Arial"/>
                <w:color w:val="000000"/>
                <w:sz w:val="16"/>
                <w:szCs w:val="16"/>
              </w:rPr>
              <w:t> </w:t>
            </w:r>
          </w:p>
        </w:tc>
        <w:tc>
          <w:tcPr>
            <w:tcW w:w="1665"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Approved Budget 2012/13</w:t>
            </w:r>
          </w:p>
        </w:tc>
        <w:tc>
          <w:tcPr>
            <w:tcW w:w="1666"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Budget after transfers 2012/13</w:t>
            </w:r>
          </w:p>
        </w:tc>
        <w:tc>
          <w:tcPr>
            <w:tcW w:w="1665"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Expenditures 2012/13</w:t>
            </w:r>
          </w:p>
        </w:tc>
        <w:tc>
          <w:tcPr>
            <w:tcW w:w="1666" w:type="dxa"/>
            <w:tcBorders>
              <w:top w:val="single" w:sz="4" w:space="0" w:color="auto"/>
              <w:left w:val="nil"/>
              <w:bottom w:val="nil"/>
              <w:right w:val="single" w:sz="4" w:space="0" w:color="auto"/>
            </w:tcBorders>
            <w:shd w:val="clear" w:color="000000" w:fill="CCFFFF"/>
            <w:vAlign w:val="center"/>
            <w:hideMark/>
          </w:tcPr>
          <w:p w:rsidR="00DD50EB" w:rsidRPr="0024474C" w:rsidRDefault="00DD50EB" w:rsidP="0024474C">
            <w:pPr>
              <w:spacing w:before="120" w:after="120"/>
              <w:jc w:val="center"/>
              <w:rPr>
                <w:rFonts w:cs="Arial"/>
                <w:bCs/>
                <w:color w:val="000000"/>
                <w:sz w:val="16"/>
                <w:szCs w:val="16"/>
              </w:rPr>
            </w:pPr>
            <w:r w:rsidRPr="0024474C">
              <w:rPr>
                <w:rFonts w:cs="Arial"/>
                <w:bCs/>
                <w:color w:val="000000"/>
                <w:sz w:val="16"/>
                <w:szCs w:val="16"/>
              </w:rPr>
              <w:t>Utilization rate (%)</w:t>
            </w:r>
          </w:p>
        </w:tc>
      </w:tr>
      <w:tr w:rsidR="00DD50EB" w:rsidRPr="008A2422" w:rsidTr="0024474C">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120" w:after="120"/>
              <w:rPr>
                <w:rFonts w:cs="Arial"/>
                <w:color w:val="000000"/>
                <w:sz w:val="16"/>
                <w:szCs w:val="16"/>
              </w:rPr>
            </w:pPr>
            <w:r w:rsidRPr="0027745B">
              <w:rPr>
                <w:rFonts w:cs="Arial"/>
                <w:color w:val="000000"/>
                <w:sz w:val="16"/>
                <w:szCs w:val="16"/>
              </w:rPr>
              <w:t xml:space="preserve">Personnel Resources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13,299</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13,701</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13,701</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100%</w:t>
            </w:r>
          </w:p>
        </w:tc>
      </w:tr>
      <w:tr w:rsidR="00DD50EB" w:rsidRPr="008A2422" w:rsidTr="0024474C">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120" w:after="120"/>
              <w:rPr>
                <w:rFonts w:cs="Arial"/>
                <w:color w:val="000000"/>
                <w:sz w:val="16"/>
                <w:szCs w:val="16"/>
              </w:rPr>
            </w:pPr>
            <w:r w:rsidRPr="0027745B">
              <w:rPr>
                <w:rFonts w:cs="Arial"/>
                <w:color w:val="000000"/>
                <w:sz w:val="16"/>
                <w:szCs w:val="16"/>
              </w:rPr>
              <w:t xml:space="preserve">Non-personnel Resources </w:t>
            </w:r>
          </w:p>
        </w:tc>
        <w:tc>
          <w:tcPr>
            <w:tcW w:w="1665"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3,300</w:t>
            </w:r>
          </w:p>
        </w:tc>
        <w:tc>
          <w:tcPr>
            <w:tcW w:w="166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2,875</w:t>
            </w:r>
          </w:p>
        </w:tc>
        <w:tc>
          <w:tcPr>
            <w:tcW w:w="1665"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2,407</w:t>
            </w:r>
          </w:p>
        </w:tc>
        <w:tc>
          <w:tcPr>
            <w:tcW w:w="166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color w:val="000000"/>
                <w:sz w:val="16"/>
                <w:szCs w:val="16"/>
              </w:rPr>
            </w:pPr>
            <w:r w:rsidRPr="0027745B">
              <w:rPr>
                <w:rFonts w:cs="Arial"/>
                <w:color w:val="000000"/>
                <w:sz w:val="16"/>
                <w:szCs w:val="16"/>
              </w:rPr>
              <w:t>84%</w:t>
            </w:r>
          </w:p>
        </w:tc>
      </w:tr>
      <w:tr w:rsidR="00DD50EB" w:rsidRPr="008A2422" w:rsidTr="0024474C">
        <w:tc>
          <w:tcPr>
            <w:tcW w:w="2694" w:type="dxa"/>
            <w:tcBorders>
              <w:top w:val="nil"/>
              <w:left w:val="single" w:sz="4" w:space="0" w:color="auto"/>
              <w:bottom w:val="single" w:sz="4" w:space="0" w:color="auto"/>
              <w:right w:val="single" w:sz="4" w:space="0" w:color="auto"/>
            </w:tcBorders>
            <w:shd w:val="clear" w:color="auto" w:fill="auto"/>
            <w:noWrap/>
            <w:vAlign w:val="center"/>
            <w:hideMark/>
          </w:tcPr>
          <w:p w:rsidR="00DD50EB" w:rsidRPr="0027745B" w:rsidRDefault="00DD50EB" w:rsidP="0024474C">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665"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b/>
                <w:bCs/>
                <w:color w:val="000000"/>
                <w:sz w:val="16"/>
                <w:szCs w:val="16"/>
              </w:rPr>
            </w:pPr>
            <w:r w:rsidRPr="0027745B">
              <w:rPr>
                <w:rFonts w:cs="Arial"/>
                <w:b/>
                <w:bCs/>
                <w:color w:val="000000"/>
                <w:sz w:val="16"/>
                <w:szCs w:val="16"/>
              </w:rPr>
              <w:t>16,599</w:t>
            </w:r>
          </w:p>
        </w:tc>
        <w:tc>
          <w:tcPr>
            <w:tcW w:w="166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b/>
                <w:color w:val="000000"/>
                <w:sz w:val="16"/>
                <w:szCs w:val="16"/>
              </w:rPr>
            </w:pPr>
            <w:r w:rsidRPr="0027745B">
              <w:rPr>
                <w:rFonts w:cs="Arial"/>
                <w:b/>
                <w:color w:val="000000"/>
                <w:sz w:val="16"/>
                <w:szCs w:val="16"/>
              </w:rPr>
              <w:t>16,576</w:t>
            </w:r>
          </w:p>
        </w:tc>
        <w:tc>
          <w:tcPr>
            <w:tcW w:w="1665"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b/>
                <w:color w:val="000000"/>
                <w:sz w:val="16"/>
                <w:szCs w:val="16"/>
              </w:rPr>
            </w:pPr>
            <w:r w:rsidRPr="0027745B">
              <w:rPr>
                <w:rFonts w:cs="Arial"/>
                <w:b/>
                <w:color w:val="000000"/>
                <w:sz w:val="16"/>
                <w:szCs w:val="16"/>
              </w:rPr>
              <w:t>16,108</w:t>
            </w:r>
          </w:p>
        </w:tc>
        <w:tc>
          <w:tcPr>
            <w:tcW w:w="1666" w:type="dxa"/>
            <w:tcBorders>
              <w:top w:val="nil"/>
              <w:left w:val="nil"/>
              <w:bottom w:val="single" w:sz="4" w:space="0" w:color="auto"/>
              <w:right w:val="single" w:sz="4" w:space="0" w:color="auto"/>
            </w:tcBorders>
            <w:shd w:val="clear" w:color="auto" w:fill="auto"/>
            <w:vAlign w:val="center"/>
            <w:hideMark/>
          </w:tcPr>
          <w:p w:rsidR="00DD50EB" w:rsidRPr="0027745B" w:rsidRDefault="00DD50EB" w:rsidP="0024474C">
            <w:pPr>
              <w:spacing w:before="120" w:after="120"/>
              <w:jc w:val="center"/>
              <w:rPr>
                <w:rFonts w:cs="Arial"/>
                <w:b/>
                <w:color w:val="000000"/>
                <w:sz w:val="16"/>
                <w:szCs w:val="16"/>
              </w:rPr>
            </w:pPr>
            <w:r w:rsidRPr="0027745B">
              <w:rPr>
                <w:rFonts w:cs="Arial"/>
                <w:b/>
                <w:color w:val="000000"/>
                <w:sz w:val="16"/>
                <w:szCs w:val="16"/>
              </w:rPr>
              <w:t>97%</w:t>
            </w:r>
          </w:p>
        </w:tc>
      </w:tr>
    </w:tbl>
    <w:p w:rsidR="00DD50EB" w:rsidRDefault="00DD50EB" w:rsidP="00DD50EB">
      <w:pPr>
        <w:autoSpaceDE w:val="0"/>
        <w:autoSpaceDN w:val="0"/>
        <w:adjustRightInd w:val="0"/>
        <w:jc w:val="both"/>
        <w:rPr>
          <w:rFonts w:eastAsia="SimSun"/>
          <w:color w:val="000000"/>
          <w:sz w:val="22"/>
          <w:szCs w:val="22"/>
          <w:lang w:eastAsia="zh-CN"/>
        </w:rPr>
      </w:pPr>
    </w:p>
    <w:p w:rsidR="00DD50EB" w:rsidRPr="0027745B" w:rsidRDefault="00DD50EB" w:rsidP="00DD50EB">
      <w:pPr>
        <w:keepNext/>
        <w:autoSpaceDE w:val="0"/>
        <w:autoSpaceDN w:val="0"/>
        <w:rPr>
          <w:rFonts w:cs="Arial"/>
          <w:sz w:val="16"/>
          <w:szCs w:val="16"/>
        </w:rPr>
      </w:pPr>
      <w:r w:rsidRPr="0027745B">
        <w:rPr>
          <w:rFonts w:cs="Arial"/>
          <w:sz w:val="16"/>
          <w:szCs w:val="16"/>
        </w:rPr>
        <w:t>NOTES:</w:t>
      </w:r>
    </w:p>
    <w:p w:rsidR="00DD50EB" w:rsidRPr="0027745B" w:rsidRDefault="00DD50EB" w:rsidP="00DD50EB">
      <w:pPr>
        <w:keepNext/>
        <w:autoSpaceDE w:val="0"/>
        <w:autoSpaceDN w:val="0"/>
        <w:rPr>
          <w:rFonts w:cs="Arial"/>
          <w:sz w:val="16"/>
          <w:szCs w:val="16"/>
        </w:rPr>
      </w:pPr>
    </w:p>
    <w:p w:rsidR="00DD50EB" w:rsidRPr="0027745B" w:rsidRDefault="00DD50EB" w:rsidP="00DD50EB">
      <w:pPr>
        <w:keepNext/>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DD50EB" w:rsidRPr="0027745B" w:rsidRDefault="00DD50EB" w:rsidP="00DD50EB">
      <w:pPr>
        <w:keepNext/>
        <w:autoSpaceDE w:val="0"/>
        <w:autoSpaceDN w:val="0"/>
        <w:rPr>
          <w:rFonts w:cs="Arial"/>
          <w:sz w:val="16"/>
          <w:szCs w:val="16"/>
        </w:rPr>
      </w:pPr>
    </w:p>
    <w:p w:rsidR="00DD50EB" w:rsidRPr="0027745B" w:rsidRDefault="00DC2CFA" w:rsidP="00DD50EB">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DD50EB" w:rsidRPr="0027745B">
        <w:rPr>
          <w:rFonts w:cs="Arial"/>
          <w:sz w:val="16"/>
          <w:szCs w:val="16"/>
        </w:rPr>
        <w:t xml:space="preserve"> </w:t>
      </w:r>
    </w:p>
    <w:p w:rsidR="00DD50EB" w:rsidRDefault="00DD50EB" w:rsidP="00DD50EB">
      <w:pPr>
        <w:keepNext/>
        <w:autoSpaceDE w:val="0"/>
        <w:autoSpaceDN w:val="0"/>
        <w:rPr>
          <w:sz w:val="16"/>
          <w:szCs w:val="16"/>
        </w:rPr>
      </w:pPr>
    </w:p>
    <w:p w:rsidR="00DD50EB" w:rsidRDefault="00DD50EB" w:rsidP="00DD50EB">
      <w:pPr>
        <w:autoSpaceDE w:val="0"/>
        <w:autoSpaceDN w:val="0"/>
        <w:adjustRightInd w:val="0"/>
        <w:jc w:val="both"/>
        <w:rPr>
          <w:rFonts w:eastAsia="SimSun"/>
          <w:color w:val="000000"/>
          <w:sz w:val="22"/>
          <w:szCs w:val="22"/>
          <w:lang w:eastAsia="zh-CN"/>
        </w:rPr>
      </w:pPr>
    </w:p>
    <w:p w:rsidR="00DD50EB" w:rsidRPr="0011405E" w:rsidRDefault="00DD50EB" w:rsidP="00DD50EB">
      <w:pPr>
        <w:tabs>
          <w:tab w:val="left" w:pos="709"/>
        </w:tabs>
        <w:autoSpaceDE w:val="0"/>
        <w:autoSpaceDN w:val="0"/>
        <w:adjustRightInd w:val="0"/>
        <w:jc w:val="both"/>
        <w:rPr>
          <w:rFonts w:eastAsia="SimSun"/>
          <w:color w:val="000000"/>
          <w:szCs w:val="20"/>
          <w:lang w:eastAsia="zh-CN"/>
        </w:rPr>
      </w:pPr>
      <w:r w:rsidRPr="0011405E">
        <w:rPr>
          <w:rFonts w:eastAsia="SimSun"/>
          <w:color w:val="000000"/>
          <w:szCs w:val="20"/>
          <w:lang w:eastAsia="zh-CN"/>
        </w:rPr>
        <w:t xml:space="preserve">A. </w:t>
      </w:r>
      <w:r>
        <w:rPr>
          <w:rFonts w:eastAsia="SimSun"/>
          <w:color w:val="000000"/>
          <w:szCs w:val="20"/>
          <w:lang w:eastAsia="zh-CN"/>
        </w:rPr>
        <w:tab/>
      </w:r>
      <w:r w:rsidRPr="0011405E">
        <w:rPr>
          <w:rFonts w:eastAsia="SimSun"/>
          <w:color w:val="000000"/>
          <w:szCs w:val="20"/>
          <w:u w:val="single"/>
          <w:lang w:eastAsia="zh-CN"/>
        </w:rPr>
        <w:t>Budget after Transfers 2012/13</w:t>
      </w:r>
    </w:p>
    <w:p w:rsidR="00DD50EB" w:rsidRDefault="00DD50EB" w:rsidP="00DD50EB">
      <w:pPr>
        <w:keepNext/>
        <w:tabs>
          <w:tab w:val="left" w:pos="709"/>
        </w:tabs>
        <w:autoSpaceDE w:val="0"/>
        <w:autoSpaceDN w:val="0"/>
        <w:rPr>
          <w:rFonts w:cs="Arial"/>
          <w:szCs w:val="20"/>
        </w:rPr>
      </w:pPr>
    </w:p>
    <w:p w:rsidR="00DD50EB" w:rsidRPr="0011405E" w:rsidRDefault="00DD50EB" w:rsidP="00071F79">
      <w:pPr>
        <w:keepNext/>
        <w:tabs>
          <w:tab w:val="left" w:pos="709"/>
        </w:tabs>
        <w:autoSpaceDE w:val="0"/>
        <w:autoSpaceDN w:val="0"/>
        <w:jc w:val="both"/>
        <w:rPr>
          <w:rFonts w:cs="Arial"/>
          <w:szCs w:val="20"/>
        </w:rPr>
      </w:pPr>
      <w:r>
        <w:rPr>
          <w:rFonts w:cs="Arial"/>
          <w:szCs w:val="20"/>
        </w:rPr>
        <w:t>19.14.</w:t>
      </w:r>
      <w:r>
        <w:rPr>
          <w:rFonts w:cs="Arial"/>
          <w:szCs w:val="20"/>
        </w:rPr>
        <w:tab/>
      </w:r>
      <w:r w:rsidRPr="0011405E">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DD50EB" w:rsidRPr="00F8453D" w:rsidRDefault="00DD50EB" w:rsidP="00071F79">
      <w:pPr>
        <w:keepNext/>
        <w:tabs>
          <w:tab w:val="left" w:pos="709"/>
        </w:tabs>
        <w:autoSpaceDE w:val="0"/>
        <w:autoSpaceDN w:val="0"/>
        <w:jc w:val="both"/>
        <w:rPr>
          <w:rFonts w:cs="Arial"/>
          <w:szCs w:val="20"/>
        </w:rPr>
      </w:pPr>
    </w:p>
    <w:p w:rsidR="00DD50EB" w:rsidRPr="00F8453D" w:rsidRDefault="00DD50EB" w:rsidP="00071F79">
      <w:pPr>
        <w:keepNext/>
        <w:tabs>
          <w:tab w:val="left" w:pos="709"/>
        </w:tabs>
        <w:autoSpaceDE w:val="0"/>
        <w:autoSpaceDN w:val="0"/>
        <w:jc w:val="both"/>
        <w:rPr>
          <w:rFonts w:cs="Arial"/>
          <w:szCs w:val="20"/>
        </w:rPr>
      </w:pPr>
      <w:r>
        <w:rPr>
          <w:rFonts w:cs="Arial"/>
          <w:szCs w:val="20"/>
        </w:rPr>
        <w:t>19.15.</w:t>
      </w:r>
      <w:r>
        <w:rPr>
          <w:rFonts w:cs="Arial"/>
          <w:szCs w:val="20"/>
        </w:rPr>
        <w:tab/>
      </w:r>
      <w:r w:rsidRPr="00F8453D">
        <w:rPr>
          <w:rFonts w:cs="Arial"/>
          <w:szCs w:val="20"/>
        </w:rPr>
        <w:t xml:space="preserve">The net increase in the allocation of personnel resources reflects the transfer of the Awards Program to Program 17 in 2012 and the transfer of responsibilities for web communications from </w:t>
      </w:r>
      <w:r w:rsidR="00AD0CAC" w:rsidRPr="00F8453D">
        <w:rPr>
          <w:rFonts w:cs="Arial"/>
          <w:szCs w:val="20"/>
        </w:rPr>
        <w:t>Program</w:t>
      </w:r>
      <w:r w:rsidR="00AD0CAC">
        <w:rPr>
          <w:rFonts w:cs="Arial"/>
          <w:szCs w:val="20"/>
        </w:rPr>
        <w:t> </w:t>
      </w:r>
      <w:r w:rsidRPr="00F8453D">
        <w:rPr>
          <w:rFonts w:cs="Arial"/>
          <w:szCs w:val="20"/>
        </w:rPr>
        <w:t>25 to Program 19 in 2013.</w:t>
      </w:r>
    </w:p>
    <w:p w:rsidR="00DD50EB" w:rsidRPr="0011405E" w:rsidRDefault="00DD50EB" w:rsidP="00DD50EB">
      <w:pPr>
        <w:tabs>
          <w:tab w:val="left" w:pos="709"/>
        </w:tabs>
        <w:autoSpaceDE w:val="0"/>
        <w:autoSpaceDN w:val="0"/>
        <w:adjustRightInd w:val="0"/>
        <w:jc w:val="both"/>
        <w:rPr>
          <w:rFonts w:eastAsia="SimSun"/>
          <w:color w:val="000000"/>
          <w:szCs w:val="20"/>
          <w:lang w:eastAsia="zh-CN"/>
        </w:rPr>
      </w:pPr>
    </w:p>
    <w:p w:rsidR="00DD50EB" w:rsidRPr="0011405E" w:rsidRDefault="00DD50EB" w:rsidP="00DD50EB">
      <w:pPr>
        <w:tabs>
          <w:tab w:val="left" w:pos="709"/>
        </w:tabs>
        <w:autoSpaceDE w:val="0"/>
        <w:autoSpaceDN w:val="0"/>
        <w:adjustRightInd w:val="0"/>
        <w:jc w:val="both"/>
        <w:rPr>
          <w:rFonts w:eastAsia="SimSun"/>
          <w:color w:val="000000"/>
          <w:szCs w:val="20"/>
          <w:u w:val="single"/>
          <w:lang w:eastAsia="zh-CN"/>
        </w:rPr>
      </w:pPr>
      <w:r w:rsidRPr="0011405E">
        <w:rPr>
          <w:rFonts w:eastAsia="SimSun"/>
          <w:color w:val="000000"/>
          <w:szCs w:val="20"/>
          <w:lang w:eastAsia="zh-CN"/>
        </w:rPr>
        <w:t xml:space="preserve">B. </w:t>
      </w:r>
      <w:r>
        <w:rPr>
          <w:rFonts w:eastAsia="SimSun"/>
          <w:color w:val="000000"/>
          <w:szCs w:val="20"/>
          <w:lang w:eastAsia="zh-CN"/>
        </w:rPr>
        <w:tab/>
      </w:r>
      <w:r w:rsidR="00D44A34">
        <w:rPr>
          <w:rFonts w:eastAsia="SimSun"/>
          <w:color w:val="000000"/>
          <w:szCs w:val="20"/>
          <w:u w:val="single"/>
          <w:lang w:eastAsia="zh-CN"/>
        </w:rPr>
        <w:t>Budget U</w:t>
      </w:r>
      <w:r w:rsidRPr="0011405E">
        <w:rPr>
          <w:rFonts w:eastAsia="SimSun"/>
          <w:color w:val="000000"/>
          <w:szCs w:val="20"/>
          <w:u w:val="single"/>
          <w:lang w:eastAsia="zh-CN"/>
        </w:rPr>
        <w:t>tilization 2012/13</w:t>
      </w:r>
    </w:p>
    <w:p w:rsidR="00DD50EB" w:rsidRPr="0011405E" w:rsidRDefault="00DD50EB" w:rsidP="00DD50EB">
      <w:pPr>
        <w:tabs>
          <w:tab w:val="left" w:pos="709"/>
        </w:tabs>
        <w:autoSpaceDE w:val="0"/>
        <w:autoSpaceDN w:val="0"/>
        <w:adjustRightInd w:val="0"/>
        <w:jc w:val="both"/>
        <w:rPr>
          <w:rFonts w:eastAsia="SimSun"/>
          <w:color w:val="000000"/>
          <w:szCs w:val="20"/>
          <w:lang w:eastAsia="zh-CN"/>
        </w:rPr>
      </w:pPr>
    </w:p>
    <w:p w:rsidR="00FC4F64" w:rsidRDefault="00DD50EB" w:rsidP="00071F79">
      <w:pPr>
        <w:tabs>
          <w:tab w:val="left" w:pos="709"/>
        </w:tabs>
        <w:autoSpaceDE w:val="0"/>
        <w:autoSpaceDN w:val="0"/>
        <w:adjustRightInd w:val="0"/>
        <w:jc w:val="both"/>
        <w:rPr>
          <w:rFonts w:eastAsia="SimSun"/>
          <w:color w:val="000000"/>
          <w:szCs w:val="20"/>
          <w:lang w:eastAsia="zh-CN"/>
        </w:rPr>
      </w:pPr>
      <w:r>
        <w:rPr>
          <w:rFonts w:eastAsia="SimSun"/>
          <w:color w:val="000000"/>
          <w:szCs w:val="20"/>
          <w:lang w:eastAsia="zh-CN"/>
        </w:rPr>
        <w:t>19.16.</w:t>
      </w:r>
      <w:r>
        <w:rPr>
          <w:rFonts w:eastAsia="SimSun"/>
          <w:color w:val="000000"/>
          <w:szCs w:val="20"/>
          <w:lang w:eastAsia="zh-CN"/>
        </w:rPr>
        <w:tab/>
      </w:r>
      <w:r w:rsidRPr="0011405E">
        <w:rPr>
          <w:rFonts w:eastAsia="SimSun"/>
          <w:color w:val="000000"/>
          <w:szCs w:val="20"/>
          <w:lang w:eastAsia="zh-CN"/>
        </w:rPr>
        <w:t xml:space="preserve">The budget utilization of 84 per cent </w:t>
      </w:r>
      <w:r w:rsidRPr="00FE1B28">
        <w:rPr>
          <w:rFonts w:eastAsia="SimSun"/>
          <w:color w:val="000000"/>
          <w:szCs w:val="20"/>
          <w:lang w:eastAsia="zh-CN"/>
        </w:rPr>
        <w:t xml:space="preserve">was primarily due to lower than expected expenditure for: </w:t>
      </w:r>
      <w:r w:rsidR="00071F79">
        <w:rPr>
          <w:rFonts w:eastAsia="SimSun"/>
          <w:color w:val="000000"/>
          <w:szCs w:val="20"/>
          <w:lang w:eastAsia="zh-CN"/>
        </w:rPr>
        <w:t xml:space="preserve"> (</w:t>
      </w:r>
      <w:r w:rsidR="006C0510">
        <w:rPr>
          <w:rFonts w:eastAsia="SimSun"/>
          <w:color w:val="000000"/>
          <w:szCs w:val="20"/>
          <w:lang w:eastAsia="zh-CN"/>
        </w:rPr>
        <w:t>i</w:t>
      </w:r>
      <w:r w:rsidR="006C0510" w:rsidRPr="00FE1B28">
        <w:rPr>
          <w:rFonts w:eastAsia="SimSun"/>
          <w:color w:val="000000"/>
          <w:szCs w:val="20"/>
          <w:lang w:eastAsia="zh-CN"/>
        </w:rPr>
        <w:t>)</w:t>
      </w:r>
      <w:r w:rsidR="006C0510">
        <w:rPr>
          <w:rFonts w:eastAsia="SimSun"/>
          <w:color w:val="000000"/>
          <w:szCs w:val="20"/>
          <w:lang w:eastAsia="zh-CN"/>
        </w:rPr>
        <w:t> </w:t>
      </w:r>
      <w:r w:rsidRPr="00FE1B28">
        <w:rPr>
          <w:rFonts w:eastAsia="SimSun"/>
          <w:color w:val="000000"/>
          <w:szCs w:val="20"/>
          <w:lang w:eastAsia="zh-CN"/>
        </w:rPr>
        <w:t>the implementation of the SRP service orientation related initiatives reflected under Result VIII.2 (</w:t>
      </w:r>
      <w:r w:rsidRPr="0011405E">
        <w:rPr>
          <w:rFonts w:cs="Arial"/>
          <w:color w:val="000000"/>
          <w:szCs w:val="20"/>
        </w:rPr>
        <w:t>Improved service orientation)</w:t>
      </w:r>
      <w:r w:rsidRPr="00FE1B28">
        <w:rPr>
          <w:rFonts w:eastAsia="SimSun"/>
          <w:color w:val="000000"/>
          <w:szCs w:val="20"/>
          <w:lang w:eastAsia="zh-CN"/>
        </w:rPr>
        <w:t xml:space="preserve">; </w:t>
      </w:r>
      <w:r w:rsidR="00071F79">
        <w:rPr>
          <w:rFonts w:eastAsia="SimSun"/>
          <w:color w:val="000000"/>
          <w:szCs w:val="20"/>
          <w:lang w:eastAsia="zh-CN"/>
        </w:rPr>
        <w:t>(</w:t>
      </w:r>
      <w:r w:rsidR="006C0510">
        <w:rPr>
          <w:rFonts w:eastAsia="SimSun"/>
          <w:color w:val="000000"/>
          <w:szCs w:val="20"/>
          <w:lang w:eastAsia="zh-CN"/>
        </w:rPr>
        <w:t>ii</w:t>
      </w:r>
      <w:r w:rsidRPr="00FE1B28">
        <w:rPr>
          <w:rFonts w:eastAsia="SimSun"/>
          <w:color w:val="000000"/>
          <w:szCs w:val="20"/>
          <w:lang w:eastAsia="zh-CN"/>
        </w:rPr>
        <w:t>) the extension of the e-library</w:t>
      </w:r>
      <w:proofErr w:type="gramStart"/>
      <w:r w:rsidRPr="00FE1B28">
        <w:rPr>
          <w:rFonts w:eastAsia="SimSun"/>
          <w:color w:val="000000"/>
          <w:szCs w:val="20"/>
          <w:lang w:eastAsia="zh-CN"/>
        </w:rPr>
        <w:t xml:space="preserve">; </w:t>
      </w:r>
      <w:r w:rsidR="00071F79">
        <w:rPr>
          <w:rFonts w:eastAsia="SimSun"/>
          <w:color w:val="000000"/>
          <w:szCs w:val="20"/>
          <w:lang w:eastAsia="zh-CN"/>
        </w:rPr>
        <w:t xml:space="preserve"> </w:t>
      </w:r>
      <w:r w:rsidRPr="00FE1B28">
        <w:rPr>
          <w:rFonts w:eastAsia="SimSun"/>
          <w:color w:val="000000"/>
          <w:szCs w:val="20"/>
          <w:lang w:eastAsia="zh-CN"/>
        </w:rPr>
        <w:t>and</w:t>
      </w:r>
      <w:proofErr w:type="gramEnd"/>
      <w:r w:rsidRPr="00FE1B28">
        <w:rPr>
          <w:rFonts w:eastAsia="SimSun"/>
          <w:color w:val="000000"/>
          <w:szCs w:val="20"/>
          <w:lang w:eastAsia="zh-CN"/>
        </w:rPr>
        <w:t xml:space="preserve"> </w:t>
      </w:r>
      <w:r w:rsidR="00071F79">
        <w:rPr>
          <w:rFonts w:eastAsia="SimSun"/>
          <w:color w:val="000000"/>
          <w:szCs w:val="20"/>
          <w:lang w:eastAsia="zh-CN"/>
        </w:rPr>
        <w:t>(</w:t>
      </w:r>
      <w:r w:rsidR="006C0510">
        <w:rPr>
          <w:rFonts w:eastAsia="SimSun"/>
          <w:color w:val="000000"/>
          <w:szCs w:val="20"/>
          <w:lang w:eastAsia="zh-CN"/>
        </w:rPr>
        <w:t>iii</w:t>
      </w:r>
      <w:r w:rsidRPr="00FE1B28">
        <w:rPr>
          <w:rFonts w:eastAsia="SimSun"/>
          <w:color w:val="000000"/>
          <w:szCs w:val="20"/>
          <w:lang w:eastAsia="zh-CN"/>
        </w:rPr>
        <w:t>) media related activities reflected under Result VIII.1 (</w:t>
      </w:r>
      <w:r w:rsidRPr="0011405E">
        <w:rPr>
          <w:rFonts w:cs="Arial"/>
          <w:color w:val="000000"/>
          <w:szCs w:val="20"/>
        </w:rPr>
        <w:t>More effective communication).</w:t>
      </w:r>
      <w:r w:rsidRPr="00FE1B28">
        <w:rPr>
          <w:rFonts w:eastAsia="SimSun"/>
          <w:color w:val="000000"/>
          <w:szCs w:val="20"/>
          <w:lang w:eastAsia="zh-CN"/>
        </w:rPr>
        <w:t xml:space="preserve">    </w:t>
      </w:r>
    </w:p>
    <w:p w:rsidR="00861678" w:rsidRDefault="00861678">
      <w:pPr>
        <w:rPr>
          <w:rFonts w:ascii="Arial Bold" w:eastAsiaTheme="majorEastAsia" w:hAnsi="Arial Bold" w:cstheme="majorBidi"/>
          <w:b/>
          <w:bCs/>
          <w:caps/>
          <w:sz w:val="22"/>
        </w:rPr>
      </w:pPr>
      <w:bookmarkStart w:id="58" w:name="_Toc358366940"/>
      <w:r>
        <w:br w:type="page"/>
      </w:r>
    </w:p>
    <w:p w:rsidR="000B5438" w:rsidRPr="006F08EA" w:rsidRDefault="006F08EA" w:rsidP="006F08EA">
      <w:pPr>
        <w:pStyle w:val="Heading3"/>
      </w:pPr>
      <w:bookmarkStart w:id="59" w:name="_Toc393956070"/>
      <w:r w:rsidRPr="006F08EA">
        <w:rPr>
          <w:rFonts w:hint="eastAsia"/>
        </w:rPr>
        <w:lastRenderedPageBreak/>
        <w:t>Program 20</w:t>
      </w:r>
      <w:r w:rsidRPr="006F08EA">
        <w:rPr>
          <w:rFonts w:hint="eastAsia"/>
        </w:rPr>
        <w:tab/>
        <w:t xml:space="preserve">External Relations, Partnerships </w:t>
      </w:r>
      <w:r w:rsidRPr="006F08EA">
        <w:t>a</w:t>
      </w:r>
      <w:r w:rsidRPr="006F08EA">
        <w:rPr>
          <w:rFonts w:hint="eastAsia"/>
        </w:rPr>
        <w:t>nd External Offices</w:t>
      </w:r>
      <w:bookmarkEnd w:id="58"/>
      <w:bookmarkEnd w:id="59"/>
    </w:p>
    <w:p w:rsidR="000B5438" w:rsidRPr="00CD26D6" w:rsidRDefault="000B5438" w:rsidP="00982926">
      <w:pPr>
        <w:rPr>
          <w:rFonts w:eastAsia="SimSun"/>
          <w:sz w:val="22"/>
          <w:szCs w:val="22"/>
          <w:lang w:eastAsia="zh-CN"/>
        </w:rPr>
      </w:pPr>
    </w:p>
    <w:p w:rsidR="000B5438" w:rsidRPr="00CD26D6" w:rsidRDefault="000B5438" w:rsidP="000B5438">
      <w:pPr>
        <w:tabs>
          <w:tab w:val="left" w:pos="2268"/>
        </w:tabs>
        <w:rPr>
          <w:rFonts w:eastAsia="SimSun" w:cs="Arial"/>
          <w:b/>
          <w:sz w:val="22"/>
          <w:szCs w:val="22"/>
          <w:lang w:eastAsia="zh-CN"/>
        </w:rPr>
      </w:pPr>
      <w:r w:rsidRPr="00CD26D6">
        <w:rPr>
          <w:rFonts w:eastAsia="SimSun" w:cs="Arial"/>
          <w:b/>
          <w:sz w:val="22"/>
          <w:szCs w:val="22"/>
          <w:lang w:eastAsia="zh-CN"/>
        </w:rPr>
        <w:t>Program Manager</w:t>
      </w:r>
      <w:r w:rsidRPr="00CD26D6">
        <w:rPr>
          <w:rFonts w:eastAsia="SimSun" w:cs="Arial"/>
          <w:b/>
          <w:sz w:val="22"/>
          <w:szCs w:val="22"/>
          <w:lang w:eastAsia="zh-CN"/>
        </w:rPr>
        <w:tab/>
      </w:r>
      <w:r w:rsidRPr="00CD26D6">
        <w:rPr>
          <w:rFonts w:eastAsia="SimSun" w:cs="Arial"/>
          <w:b/>
          <w:bCs/>
          <w:sz w:val="22"/>
          <w:szCs w:val="22"/>
          <w:lang w:eastAsia="zh-CN"/>
        </w:rPr>
        <w:t>Mr. J. C. Wichard</w:t>
      </w:r>
    </w:p>
    <w:p w:rsidR="000B5438" w:rsidRPr="00AD0CAC" w:rsidRDefault="000B5438" w:rsidP="000B5438">
      <w:pPr>
        <w:rPr>
          <w:rFonts w:eastAsia="SimSun" w:cs="Arial"/>
          <w:sz w:val="22"/>
          <w:szCs w:val="22"/>
          <w:lang w:eastAsia="zh-CN"/>
        </w:rPr>
      </w:pPr>
    </w:p>
    <w:p w:rsidR="000B5438" w:rsidRPr="00AD0CAC" w:rsidRDefault="000B5438" w:rsidP="000B5438">
      <w:pPr>
        <w:rPr>
          <w:rFonts w:eastAsia="SimSun" w:cs="Arial"/>
          <w:sz w:val="22"/>
          <w:szCs w:val="22"/>
          <w:lang w:eastAsia="zh-CN"/>
        </w:rPr>
      </w:pPr>
    </w:p>
    <w:p w:rsidR="000B5438" w:rsidRPr="00CD26D6" w:rsidRDefault="000B5438" w:rsidP="000B5438">
      <w:pPr>
        <w:jc w:val="both"/>
        <w:rPr>
          <w:rFonts w:cs="Arial"/>
          <w:bCs/>
          <w:sz w:val="22"/>
          <w:szCs w:val="22"/>
        </w:rPr>
      </w:pPr>
      <w:r w:rsidRPr="00CD26D6">
        <w:rPr>
          <w:rFonts w:cs="Arial"/>
          <w:bCs/>
          <w:sz w:val="22"/>
          <w:szCs w:val="22"/>
        </w:rPr>
        <w:t>ACHIEVEMENTS IN THE 2012/13 BIENNIUM</w:t>
      </w:r>
    </w:p>
    <w:p w:rsidR="000B5438" w:rsidRPr="00AD0CAC" w:rsidRDefault="000B5438" w:rsidP="000B5438">
      <w:pPr>
        <w:jc w:val="both"/>
        <w:rPr>
          <w:rFonts w:eastAsia="SimSun" w:cs="Arial"/>
          <w:b/>
          <w:sz w:val="22"/>
          <w:szCs w:val="22"/>
          <w:lang w:eastAsia="zh-CN"/>
        </w:rPr>
      </w:pPr>
    </w:p>
    <w:p w:rsidR="000B5438" w:rsidRPr="00CD26D6" w:rsidRDefault="00AD0CAC" w:rsidP="000B5438">
      <w:pPr>
        <w:jc w:val="both"/>
        <w:rPr>
          <w:rFonts w:eastAsia="SimSun" w:cs="Arial"/>
          <w:szCs w:val="20"/>
          <w:lang w:eastAsia="zh-CN"/>
        </w:rPr>
      </w:pPr>
      <w:r w:rsidRPr="00AD0CAC">
        <w:rPr>
          <w:rFonts w:eastAsia="SimSun" w:cs="Arial"/>
          <w:szCs w:val="20"/>
          <w:lang w:eastAsia="zh-CN"/>
        </w:rPr>
        <w:t>EXTERNAL RELATIONS AND PARTNERSHIPS</w:t>
      </w:r>
    </w:p>
    <w:p w:rsidR="000B5438" w:rsidRPr="003A4F06" w:rsidRDefault="000B5438" w:rsidP="000B5438">
      <w:pPr>
        <w:jc w:val="both"/>
        <w:rPr>
          <w:rFonts w:eastAsia="SimSun" w:cs="Arial"/>
          <w:szCs w:val="20"/>
          <w:lang w:eastAsia="zh-CN"/>
        </w:rPr>
      </w:pPr>
    </w:p>
    <w:p w:rsidR="000B5438" w:rsidRPr="003A4F06" w:rsidRDefault="000B5438" w:rsidP="000B5438">
      <w:pPr>
        <w:autoSpaceDE w:val="0"/>
        <w:autoSpaceDN w:val="0"/>
        <w:adjustRightInd w:val="0"/>
        <w:jc w:val="both"/>
        <w:rPr>
          <w:rFonts w:eastAsia="SimSun" w:cs="Arial"/>
          <w:bCs/>
          <w:color w:val="000000"/>
          <w:szCs w:val="20"/>
          <w:lang w:eastAsia="zh-CN"/>
        </w:rPr>
      </w:pPr>
      <w:r>
        <w:rPr>
          <w:rFonts w:eastAsia="SimSun" w:cs="Arial"/>
          <w:szCs w:val="20"/>
          <w:lang w:eastAsia="zh-CN"/>
        </w:rPr>
        <w:t>20.1.</w:t>
      </w:r>
      <w:r>
        <w:rPr>
          <w:rFonts w:eastAsia="SimSun" w:cs="Arial"/>
          <w:szCs w:val="20"/>
          <w:lang w:eastAsia="zh-CN"/>
        </w:rPr>
        <w:tab/>
      </w:r>
      <w:r w:rsidRPr="003A4F06">
        <w:rPr>
          <w:rFonts w:eastAsia="SimSun" w:cs="Arial"/>
          <w:szCs w:val="20"/>
          <w:lang w:eastAsia="zh-CN"/>
        </w:rPr>
        <w:t>Throughout the biennium, WIPO further strengthened its engagement with the UN and other intergovernmental and non-governmental organizations.  This work contributed to the overall Strategic Goal of establishing WIPO as the reference point on IP and global policy issues.  The Program also coordinated WIPO’s extra-budgetary resource mobilization efforts leading to an overall increase in extra</w:t>
      </w:r>
      <w:r w:rsidR="00AD0CAC">
        <w:rPr>
          <w:rFonts w:eastAsia="SimSun" w:cs="Arial"/>
          <w:szCs w:val="20"/>
          <w:lang w:eastAsia="zh-CN"/>
        </w:rPr>
        <w:noBreakHyphen/>
      </w:r>
      <w:r w:rsidRPr="003A4F06">
        <w:rPr>
          <w:rFonts w:eastAsia="SimSun" w:cs="Arial"/>
          <w:szCs w:val="20"/>
          <w:lang w:eastAsia="zh-CN"/>
        </w:rPr>
        <w:t>budgetary funding.</w:t>
      </w:r>
      <w:r>
        <w:rPr>
          <w:rFonts w:eastAsia="SimSun" w:cs="Arial"/>
          <w:szCs w:val="20"/>
          <w:lang w:eastAsia="zh-CN"/>
        </w:rPr>
        <w:t xml:space="preserve">  </w:t>
      </w:r>
      <w:r w:rsidRPr="003A4F06">
        <w:rPr>
          <w:rFonts w:eastAsia="SimSun" w:cs="Arial"/>
          <w:bCs/>
          <w:color w:val="000000"/>
          <w:szCs w:val="20"/>
          <w:lang w:eastAsia="zh-CN"/>
        </w:rPr>
        <w:t>The main achievements in 2012/13 included:</w:t>
      </w:r>
    </w:p>
    <w:p w:rsidR="000B5438" w:rsidRPr="003A4F06" w:rsidRDefault="000B5438" w:rsidP="000B5438">
      <w:pPr>
        <w:tabs>
          <w:tab w:val="num" w:pos="680"/>
        </w:tabs>
        <w:autoSpaceDE w:val="0"/>
        <w:autoSpaceDN w:val="0"/>
        <w:adjustRightInd w:val="0"/>
        <w:jc w:val="both"/>
        <w:rPr>
          <w:rFonts w:eastAsia="SimSun" w:cs="Arial"/>
          <w:bCs/>
          <w:color w:val="000000"/>
          <w:szCs w:val="20"/>
          <w:lang w:eastAsia="zh-CN"/>
        </w:rPr>
      </w:pPr>
    </w:p>
    <w:p w:rsidR="000B5438" w:rsidRPr="003A4F06" w:rsidRDefault="000B5438" w:rsidP="005703CF">
      <w:pPr>
        <w:pStyle w:val="ListParagraph"/>
        <w:numPr>
          <w:ilvl w:val="1"/>
          <w:numId w:val="54"/>
        </w:numPr>
        <w:tabs>
          <w:tab w:val="clear" w:pos="1440"/>
          <w:tab w:val="left" w:pos="1134"/>
        </w:tabs>
        <w:autoSpaceDE w:val="0"/>
        <w:autoSpaceDN w:val="0"/>
        <w:adjustRightInd w:val="0"/>
        <w:ind w:left="1134" w:hanging="425"/>
        <w:contextualSpacing/>
        <w:jc w:val="both"/>
        <w:rPr>
          <w:rFonts w:eastAsia="SimSun" w:cs="Arial"/>
          <w:bCs/>
          <w:color w:val="000000"/>
          <w:lang w:eastAsia="zh-CN"/>
        </w:rPr>
      </w:pPr>
      <w:r w:rsidRPr="003A4F06">
        <w:rPr>
          <w:rFonts w:eastAsia="SimSun" w:cs="Arial"/>
          <w:bCs/>
          <w:i/>
          <w:color w:val="000000"/>
          <w:lang w:eastAsia="zh-CN"/>
        </w:rPr>
        <w:t xml:space="preserve">The launch of the Global Innovation Index 2013 (GII) with the UN Secretary General at the High Level Segment of the United Nations Economic and Social Council (ECOSOC) in </w:t>
      </w:r>
      <w:r w:rsidR="00AD0CAC" w:rsidRPr="003A4F06">
        <w:rPr>
          <w:rFonts w:eastAsia="SimSun" w:cs="Arial"/>
          <w:bCs/>
          <w:i/>
          <w:color w:val="000000"/>
          <w:lang w:eastAsia="zh-CN"/>
        </w:rPr>
        <w:t>July</w:t>
      </w:r>
      <w:r w:rsidR="00AD0CAC">
        <w:rPr>
          <w:rFonts w:eastAsia="SimSun" w:cs="Arial"/>
          <w:bCs/>
          <w:i/>
          <w:color w:val="000000"/>
          <w:lang w:eastAsia="zh-CN"/>
        </w:rPr>
        <w:t> </w:t>
      </w:r>
      <w:r w:rsidRPr="003A4F06">
        <w:rPr>
          <w:rFonts w:eastAsia="SimSun" w:cs="Arial"/>
          <w:bCs/>
          <w:i/>
          <w:color w:val="000000"/>
          <w:lang w:eastAsia="zh-CN"/>
        </w:rPr>
        <w:t>2013:</w:t>
      </w:r>
      <w:r w:rsidRPr="003A4F06">
        <w:rPr>
          <w:rFonts w:eastAsia="SimSun" w:cs="Arial"/>
          <w:bCs/>
          <w:color w:val="000000"/>
          <w:lang w:eastAsia="zh-CN"/>
        </w:rPr>
        <w:t xml:space="preserve"> </w:t>
      </w:r>
      <w:r w:rsidR="00AD0CAC">
        <w:rPr>
          <w:rFonts w:eastAsia="SimSun" w:cs="Arial"/>
          <w:bCs/>
          <w:color w:val="000000"/>
          <w:lang w:eastAsia="zh-CN"/>
        </w:rPr>
        <w:t xml:space="preserve"> </w:t>
      </w:r>
      <w:r w:rsidRPr="003A4F06">
        <w:rPr>
          <w:rFonts w:eastAsia="SimSun" w:cs="Arial"/>
          <w:bCs/>
          <w:color w:val="000000"/>
          <w:lang w:eastAsia="zh-CN"/>
        </w:rPr>
        <w:t>In preparation, Program 20 also organized the ECOSOC Annual Ministerial Review:  Regional Preparatory Meeting for Africa.  Over twenty Ministers participated and agreed on key messages for the ECOSOC Annual Ministerial Review.  The WIPO New York Office played a key role in liaising with the UN Secretariat.</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3A4F06" w:rsidRDefault="000B5438" w:rsidP="000B5438">
      <w:pPr>
        <w:tabs>
          <w:tab w:val="left" w:pos="1134"/>
        </w:tabs>
        <w:autoSpaceDE w:val="0"/>
        <w:autoSpaceDN w:val="0"/>
        <w:adjustRightInd w:val="0"/>
        <w:ind w:left="1134" w:hanging="425"/>
        <w:jc w:val="both"/>
        <w:rPr>
          <w:rFonts w:eastAsia="SimSun" w:cs="Arial"/>
          <w:bCs/>
          <w:i/>
          <w:color w:val="000000"/>
          <w:szCs w:val="20"/>
          <w:lang w:eastAsia="zh-CN"/>
        </w:rPr>
      </w:pPr>
      <w:r w:rsidRPr="003A4F06">
        <w:rPr>
          <w:rFonts w:eastAsia="SimSun" w:cs="Arial"/>
          <w:bCs/>
          <w:color w:val="000000"/>
          <w:szCs w:val="20"/>
          <w:lang w:eastAsia="zh-CN"/>
        </w:rPr>
        <w:t>(ii)</w:t>
      </w:r>
      <w:r w:rsidRPr="003A4F06">
        <w:rPr>
          <w:rFonts w:eastAsia="SimSun" w:cs="Arial"/>
          <w:bCs/>
          <w:color w:val="000000"/>
          <w:szCs w:val="20"/>
          <w:lang w:eastAsia="zh-CN"/>
        </w:rPr>
        <w:tab/>
      </w:r>
      <w:r w:rsidRPr="003A4F06">
        <w:rPr>
          <w:rFonts w:eastAsia="SimSun" w:cs="Arial"/>
          <w:bCs/>
          <w:i/>
          <w:color w:val="000000"/>
          <w:szCs w:val="20"/>
          <w:lang w:eastAsia="zh-CN"/>
        </w:rPr>
        <w:t xml:space="preserve">Acceleration of MDG Implementation and the development of the post 2015 Development Agenda and the elaboration of Sustainable Development Goals: </w:t>
      </w:r>
      <w:r w:rsidRPr="003A4F06">
        <w:rPr>
          <w:rFonts w:eastAsia="SimSun" w:cs="Arial"/>
          <w:bCs/>
          <w:color w:val="000000"/>
          <w:szCs w:val="20"/>
          <w:lang w:eastAsia="zh-CN"/>
        </w:rPr>
        <w:t xml:space="preserve"> In 2012, WIPO joined the MDG Gap Task Force and contributed to the preparation of the Reports for 2012 and 2013.  WIPO also contributed to the UN System Task Team (UNTT) on the Post-2015 UN Development Agenda, the work of the Technical Support Team of the UN Open Working Group on Sustainable Development Goals (OWG), and to the OWG’s Issues Brief and Statistical Note </w:t>
      </w:r>
      <w:r w:rsidRPr="00CD26D6">
        <w:rPr>
          <w:rFonts w:eastAsia="SimSun" w:cs="Arial"/>
          <w:bCs/>
          <w:color w:val="000000"/>
          <w:szCs w:val="20"/>
          <w:lang w:eastAsia="zh-CN"/>
        </w:rPr>
        <w:t>on</w:t>
      </w:r>
      <w:r w:rsidRPr="003A4F06">
        <w:rPr>
          <w:rFonts w:eastAsia="SimSun" w:cs="Arial"/>
          <w:bCs/>
          <w:i/>
          <w:color w:val="000000"/>
          <w:szCs w:val="20"/>
          <w:lang w:eastAsia="zh-CN"/>
        </w:rPr>
        <w:t xml:space="preserve"> “Science, Technology and Innovation, Knowledge sharing and Capacity-building.</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27745B" w:rsidRDefault="000B5438" w:rsidP="000B5438">
      <w:pPr>
        <w:tabs>
          <w:tab w:val="left" w:pos="1134"/>
        </w:tabs>
        <w:autoSpaceDE w:val="0"/>
        <w:autoSpaceDN w:val="0"/>
        <w:adjustRightInd w:val="0"/>
        <w:ind w:left="1134" w:hanging="425"/>
        <w:jc w:val="both"/>
        <w:rPr>
          <w:rFonts w:cs="Arial"/>
          <w:szCs w:val="20"/>
        </w:rPr>
      </w:pPr>
      <w:r w:rsidRPr="003A4F06">
        <w:rPr>
          <w:rFonts w:eastAsia="SimSun" w:cs="Arial"/>
          <w:bCs/>
          <w:color w:val="000000"/>
          <w:szCs w:val="20"/>
          <w:lang w:eastAsia="zh-CN"/>
        </w:rPr>
        <w:t>(iii)</w:t>
      </w:r>
      <w:r w:rsidRPr="003A4F06">
        <w:rPr>
          <w:rFonts w:eastAsia="SimSun" w:cs="Arial"/>
          <w:bCs/>
          <w:color w:val="000000"/>
          <w:szCs w:val="20"/>
          <w:lang w:eastAsia="zh-CN"/>
        </w:rPr>
        <w:tab/>
      </w:r>
      <w:r w:rsidRPr="003A4F06">
        <w:rPr>
          <w:rFonts w:eastAsia="SimSun" w:cs="Arial"/>
          <w:i/>
          <w:szCs w:val="20"/>
          <w:lang w:eastAsia="zh-CN"/>
        </w:rPr>
        <w:t>World Summit on the Information Society (WSIS) and the Internet Governance Forum (IGF):</w:t>
      </w:r>
      <w:r w:rsidRPr="003A4F06">
        <w:rPr>
          <w:rFonts w:eastAsia="SimSun" w:cs="Arial"/>
          <w:szCs w:val="20"/>
          <w:lang w:eastAsia="zh-CN"/>
        </w:rPr>
        <w:t xml:space="preserve">  </w:t>
      </w:r>
      <w:r w:rsidRPr="003A4F06">
        <w:rPr>
          <w:rFonts w:eastAsia="SimSun" w:cs="Arial"/>
          <w:bCs/>
          <w:color w:val="000000"/>
          <w:szCs w:val="20"/>
          <w:lang w:eastAsia="zh-CN"/>
        </w:rPr>
        <w:t xml:space="preserve">The Director General gave keynote speeches at the Opening Ceremony of the WSIS Forum in May 2012 and 2013 and at the High Level Dialogue on ICT Innovations and Standards in Emerging Economies at the WSIS Forum 2013.  Program 20 also coordinated WIPO’s effective engagement at the IGF in 2012 </w:t>
      </w:r>
      <w:r w:rsidRPr="003A4F06">
        <w:rPr>
          <w:rFonts w:cs="Arial"/>
          <w:szCs w:val="20"/>
        </w:rPr>
        <w:t>and 2013</w:t>
      </w:r>
      <w:r w:rsidRPr="0027745B">
        <w:rPr>
          <w:rFonts w:cs="Arial"/>
          <w:szCs w:val="20"/>
        </w:rPr>
        <w:t>.</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3A4F06" w:rsidRDefault="000B5438" w:rsidP="000B5438">
      <w:pPr>
        <w:tabs>
          <w:tab w:val="left" w:pos="1134"/>
        </w:tabs>
        <w:autoSpaceDE w:val="0"/>
        <w:autoSpaceDN w:val="0"/>
        <w:adjustRightInd w:val="0"/>
        <w:ind w:left="1134" w:hanging="425"/>
        <w:jc w:val="both"/>
        <w:rPr>
          <w:rFonts w:eastAsia="SimSun" w:cs="Arial"/>
          <w:bCs/>
          <w:color w:val="000000"/>
          <w:szCs w:val="20"/>
          <w:lang w:eastAsia="zh-CN"/>
        </w:rPr>
      </w:pPr>
      <w:r w:rsidRPr="003A4F06">
        <w:rPr>
          <w:rFonts w:eastAsia="SimSun" w:cs="Arial"/>
          <w:bCs/>
          <w:color w:val="000000"/>
          <w:szCs w:val="20"/>
          <w:lang w:eastAsia="zh-CN"/>
        </w:rPr>
        <w:t>(iv)</w:t>
      </w:r>
      <w:r w:rsidRPr="003A4F06">
        <w:rPr>
          <w:rFonts w:eastAsia="SimSun" w:cs="Arial"/>
          <w:bCs/>
          <w:color w:val="000000"/>
          <w:szCs w:val="20"/>
          <w:lang w:eastAsia="zh-CN"/>
        </w:rPr>
        <w:tab/>
      </w:r>
      <w:r w:rsidRPr="003A4F06">
        <w:rPr>
          <w:rFonts w:eastAsia="SimSun" w:cs="Arial"/>
          <w:i/>
          <w:szCs w:val="20"/>
          <w:lang w:eastAsia="zh-CN"/>
        </w:rPr>
        <w:t xml:space="preserve">UNFCCC:  </w:t>
      </w:r>
      <w:r w:rsidRPr="003A4F06">
        <w:rPr>
          <w:rFonts w:eastAsia="SimSun" w:cs="Arial"/>
          <w:szCs w:val="20"/>
          <w:lang w:eastAsia="zh-CN"/>
        </w:rPr>
        <w:t>W</w:t>
      </w:r>
      <w:r w:rsidRPr="003A4F06">
        <w:rPr>
          <w:rFonts w:eastAsia="SimSun" w:cs="Arial"/>
          <w:bCs/>
          <w:color w:val="000000"/>
          <w:szCs w:val="20"/>
          <w:lang w:eastAsia="zh-CN"/>
        </w:rPr>
        <w:t>IPO continued to be represented as an observer in relevant UNFCCC meetings, and has increasingly focused its support on the UNFCCC Technology Mechanism.  Program 20 has played an instrumental role in increasing awareness of WIPO GREEN within the UNFCCC and more broadly in bringing new partners to WIPO GREEN.</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3A4F06" w:rsidRDefault="000B5438" w:rsidP="000B5438">
      <w:pPr>
        <w:tabs>
          <w:tab w:val="left" w:pos="1134"/>
        </w:tabs>
        <w:autoSpaceDE w:val="0"/>
        <w:autoSpaceDN w:val="0"/>
        <w:adjustRightInd w:val="0"/>
        <w:ind w:left="1134" w:hanging="425"/>
        <w:jc w:val="both"/>
        <w:rPr>
          <w:rFonts w:eastAsia="SimSun" w:cs="Arial"/>
          <w:bCs/>
          <w:color w:val="000000"/>
          <w:szCs w:val="20"/>
          <w:lang w:eastAsia="zh-CN"/>
        </w:rPr>
      </w:pPr>
      <w:r w:rsidRPr="003A4F06">
        <w:rPr>
          <w:rFonts w:eastAsia="SimSun" w:cs="Arial"/>
          <w:bCs/>
          <w:color w:val="000000"/>
          <w:szCs w:val="20"/>
          <w:lang w:eastAsia="zh-CN"/>
        </w:rPr>
        <w:t>(v)</w:t>
      </w:r>
      <w:r w:rsidRPr="003A4F06">
        <w:rPr>
          <w:rFonts w:eastAsia="SimSun" w:cs="Arial"/>
          <w:bCs/>
          <w:color w:val="000000"/>
          <w:szCs w:val="20"/>
          <w:lang w:eastAsia="zh-CN"/>
        </w:rPr>
        <w:tab/>
      </w:r>
      <w:r w:rsidRPr="003A4F06">
        <w:rPr>
          <w:rFonts w:eastAsia="SimSun" w:cs="Arial"/>
          <w:bCs/>
          <w:i/>
          <w:color w:val="000000"/>
          <w:szCs w:val="20"/>
          <w:lang w:eastAsia="zh-CN"/>
        </w:rPr>
        <w:t>Cooperation with WTO and WHO:</w:t>
      </w:r>
      <w:r w:rsidRPr="003A4F06">
        <w:rPr>
          <w:rFonts w:eastAsia="SimSun" w:cs="Arial"/>
          <w:bCs/>
          <w:color w:val="000000"/>
          <w:szCs w:val="20"/>
          <w:lang w:eastAsia="zh-CN"/>
        </w:rPr>
        <w:t xml:space="preserve">  </w:t>
      </w:r>
      <w:r w:rsidR="00D04278">
        <w:rPr>
          <w:rFonts w:eastAsia="SimSun" w:cs="Arial"/>
          <w:bCs/>
          <w:color w:val="000000"/>
          <w:szCs w:val="20"/>
          <w:lang w:eastAsia="zh-CN"/>
        </w:rPr>
        <w:t>The</w:t>
      </w:r>
      <w:r w:rsidR="0097619F">
        <w:rPr>
          <w:rFonts w:eastAsia="SimSun" w:cs="Arial"/>
          <w:bCs/>
          <w:color w:val="000000"/>
          <w:szCs w:val="20"/>
          <w:lang w:eastAsia="zh-CN"/>
        </w:rPr>
        <w:t xml:space="preserve"> </w:t>
      </w:r>
      <w:r w:rsidRPr="003A4F06">
        <w:rPr>
          <w:rFonts w:eastAsia="SimSun" w:cs="Arial"/>
          <w:bCs/>
          <w:color w:val="000000"/>
          <w:szCs w:val="20"/>
          <w:lang w:eastAsia="zh-CN"/>
        </w:rPr>
        <w:t xml:space="preserve">Program ensured WIPO’s effective engagement in the WTO TRIPS Council and at relevant WHO meetings and processes, and coordinated WIPO’s participation in WTO regional and national workshops on various topics. </w:t>
      </w:r>
      <w:r w:rsidR="00AD0CAC">
        <w:rPr>
          <w:rFonts w:eastAsia="SimSun" w:cs="Arial"/>
          <w:bCs/>
          <w:color w:val="000000"/>
          <w:szCs w:val="20"/>
          <w:lang w:eastAsia="zh-CN"/>
        </w:rPr>
        <w:t xml:space="preserve"> </w:t>
      </w:r>
      <w:r w:rsidR="00D04278">
        <w:rPr>
          <w:rFonts w:eastAsia="SimSun" w:cs="Arial"/>
          <w:bCs/>
          <w:color w:val="000000"/>
          <w:szCs w:val="20"/>
          <w:lang w:eastAsia="zh-CN"/>
        </w:rPr>
        <w:t>It</w:t>
      </w:r>
      <w:r w:rsidRPr="003A4F06">
        <w:rPr>
          <w:rFonts w:eastAsia="SimSun" w:cs="Arial"/>
          <w:bCs/>
          <w:color w:val="000000"/>
          <w:szCs w:val="20"/>
          <w:lang w:eastAsia="zh-CN"/>
        </w:rPr>
        <w:t xml:space="preserve"> ensured WIPO’s engagement in a series of meetings of the UN Inter-agency Task Force on the Prevention and Control of NCDs.  </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Pr="003A4F06" w:rsidRDefault="000B5438" w:rsidP="000B5438">
      <w:pPr>
        <w:tabs>
          <w:tab w:val="left" w:pos="1134"/>
        </w:tabs>
        <w:autoSpaceDE w:val="0"/>
        <w:autoSpaceDN w:val="0"/>
        <w:adjustRightInd w:val="0"/>
        <w:ind w:left="1134" w:hanging="425"/>
        <w:jc w:val="both"/>
        <w:rPr>
          <w:rFonts w:eastAsia="SimSun" w:cs="Arial"/>
          <w:bCs/>
          <w:color w:val="000000"/>
          <w:szCs w:val="20"/>
          <w:lang w:eastAsia="zh-CN"/>
        </w:rPr>
      </w:pPr>
      <w:r w:rsidRPr="003A4F06">
        <w:rPr>
          <w:rFonts w:eastAsia="SimSun" w:cs="Arial"/>
          <w:bCs/>
          <w:color w:val="000000"/>
          <w:szCs w:val="20"/>
          <w:lang w:eastAsia="zh-CN"/>
        </w:rPr>
        <w:t>(vi)</w:t>
      </w:r>
      <w:r w:rsidRPr="003A4F06">
        <w:rPr>
          <w:rFonts w:eastAsia="SimSun" w:cs="Arial"/>
          <w:bCs/>
          <w:color w:val="000000"/>
          <w:szCs w:val="20"/>
          <w:lang w:eastAsia="zh-CN"/>
        </w:rPr>
        <w:tab/>
      </w:r>
      <w:r w:rsidRPr="003A4F06">
        <w:rPr>
          <w:rFonts w:eastAsia="SimSun" w:cs="Arial"/>
          <w:bCs/>
          <w:i/>
          <w:color w:val="000000"/>
          <w:szCs w:val="20"/>
          <w:lang w:eastAsia="zh-CN"/>
        </w:rPr>
        <w:t xml:space="preserve">Global Entrepreneurship Week (GEW): </w:t>
      </w:r>
      <w:r w:rsidRPr="003A4F06">
        <w:rPr>
          <w:rFonts w:eastAsia="SimSun" w:cs="Arial"/>
          <w:bCs/>
          <w:color w:val="000000"/>
          <w:szCs w:val="20"/>
          <w:lang w:eastAsia="zh-CN"/>
        </w:rPr>
        <w:t xml:space="preserve"> WIPO in cooperation with UNCTAD, UNITAR, ILO, ITC, UNIGE/UNITEC, </w:t>
      </w:r>
      <w:proofErr w:type="gramStart"/>
      <w:r w:rsidRPr="003A4F06">
        <w:rPr>
          <w:rFonts w:eastAsia="SimSun" w:cs="Arial"/>
          <w:bCs/>
          <w:color w:val="000000"/>
          <w:szCs w:val="20"/>
          <w:lang w:eastAsia="zh-CN"/>
        </w:rPr>
        <w:t>the</w:t>
      </w:r>
      <w:proofErr w:type="gramEnd"/>
      <w:r w:rsidRPr="003A4F06">
        <w:rPr>
          <w:rFonts w:eastAsia="SimSun" w:cs="Arial"/>
          <w:bCs/>
          <w:color w:val="000000"/>
          <w:szCs w:val="20"/>
          <w:lang w:eastAsia="zh-CN"/>
        </w:rPr>
        <w:t xml:space="preserve"> Geneva Department for Economic Development, and the </w:t>
      </w:r>
      <w:r w:rsidRPr="003A4F06">
        <w:rPr>
          <w:rFonts w:eastAsia="SimSun" w:cs="Arial"/>
          <w:bCs/>
          <w:i/>
          <w:color w:val="000000"/>
          <w:szCs w:val="20"/>
          <w:lang w:eastAsia="zh-CN"/>
        </w:rPr>
        <w:t xml:space="preserve">Fédération des entreprises romandes </w:t>
      </w:r>
      <w:r w:rsidRPr="003A4F06">
        <w:rPr>
          <w:rFonts w:eastAsia="SimSun" w:cs="Arial"/>
          <w:bCs/>
          <w:color w:val="000000"/>
          <w:szCs w:val="20"/>
          <w:lang w:eastAsia="zh-CN"/>
        </w:rPr>
        <w:t xml:space="preserve">(FER) co-organized the GEW 2012 and 2013, which showcased the successful use of various IP tools by developing country SMEs, young entrepreneurs and women. </w:t>
      </w:r>
    </w:p>
    <w:p w:rsidR="000B5438" w:rsidRPr="0027745B" w:rsidRDefault="000B5438" w:rsidP="000B5438">
      <w:pPr>
        <w:tabs>
          <w:tab w:val="left" w:pos="1134"/>
        </w:tabs>
        <w:autoSpaceDE w:val="0"/>
        <w:autoSpaceDN w:val="0"/>
        <w:adjustRightInd w:val="0"/>
        <w:ind w:left="1134" w:hanging="425"/>
        <w:jc w:val="both"/>
        <w:rPr>
          <w:rFonts w:eastAsia="SimSun" w:cs="Arial"/>
          <w:bCs/>
          <w:color w:val="000000"/>
          <w:sz w:val="16"/>
          <w:szCs w:val="16"/>
          <w:lang w:eastAsia="zh-CN"/>
        </w:rPr>
      </w:pPr>
    </w:p>
    <w:p w:rsidR="000B5438" w:rsidRDefault="000B5438" w:rsidP="000B5438">
      <w:pPr>
        <w:tabs>
          <w:tab w:val="left" w:pos="1134"/>
        </w:tabs>
        <w:autoSpaceDE w:val="0"/>
        <w:autoSpaceDN w:val="0"/>
        <w:adjustRightInd w:val="0"/>
        <w:ind w:left="1134" w:hanging="425"/>
        <w:jc w:val="both"/>
        <w:rPr>
          <w:rFonts w:eastAsia="SimSun" w:cs="Arial"/>
          <w:bCs/>
          <w:color w:val="000000"/>
          <w:szCs w:val="20"/>
          <w:lang w:eastAsia="zh-CN"/>
        </w:rPr>
      </w:pPr>
      <w:r w:rsidRPr="003A4F06">
        <w:rPr>
          <w:rFonts w:eastAsia="SimSun" w:cs="Arial"/>
          <w:bCs/>
          <w:color w:val="000000"/>
          <w:szCs w:val="20"/>
          <w:lang w:eastAsia="zh-CN"/>
        </w:rPr>
        <w:t>(ix)</w:t>
      </w:r>
      <w:r w:rsidRPr="003A4F06">
        <w:rPr>
          <w:rFonts w:eastAsia="SimSun" w:cs="Arial"/>
          <w:bCs/>
          <w:color w:val="000000"/>
          <w:szCs w:val="20"/>
          <w:lang w:eastAsia="zh-CN"/>
        </w:rPr>
        <w:tab/>
      </w:r>
      <w:r w:rsidRPr="003A4F06">
        <w:rPr>
          <w:rFonts w:eastAsia="SimSun" w:cs="Arial"/>
          <w:bCs/>
          <w:i/>
          <w:color w:val="000000"/>
          <w:szCs w:val="20"/>
          <w:lang w:eastAsia="zh-CN"/>
        </w:rPr>
        <w:t xml:space="preserve">UN cooperation in the area of water:  </w:t>
      </w:r>
      <w:r w:rsidRPr="003A4F06">
        <w:rPr>
          <w:rFonts w:eastAsia="SimSun" w:cs="Arial"/>
          <w:bCs/>
          <w:color w:val="000000"/>
          <w:szCs w:val="20"/>
          <w:lang w:eastAsia="zh-CN"/>
        </w:rPr>
        <w:t>In 2012, WIPO organized a Workshop on World Water Day on “</w:t>
      </w:r>
      <w:r w:rsidRPr="003A4F06">
        <w:rPr>
          <w:rFonts w:eastAsia="SimSun" w:cs="Arial"/>
          <w:bCs/>
          <w:iCs/>
          <w:color w:val="000000"/>
          <w:szCs w:val="20"/>
          <w:lang w:eastAsia="zh-CN"/>
        </w:rPr>
        <w:t>The Role of Patent Information in Supporting Sustainable Access to Safe Drinking Water”</w:t>
      </w:r>
      <w:r w:rsidRPr="003A4F06">
        <w:rPr>
          <w:rFonts w:eastAsia="SimSun" w:cs="Arial"/>
          <w:bCs/>
          <w:color w:val="000000"/>
          <w:szCs w:val="20"/>
          <w:lang w:eastAsia="zh-CN"/>
        </w:rPr>
        <w:t xml:space="preserve"> in cooperation with the International Renewable Energy Agency (IRENA) and the Global Institute for Water, Environment and Health (GIWEH).  Further follow-up initiatives took place in 2013.</w:t>
      </w:r>
    </w:p>
    <w:p w:rsidR="000B5438" w:rsidRPr="0027745B" w:rsidRDefault="000B5438" w:rsidP="000B5438">
      <w:pPr>
        <w:tabs>
          <w:tab w:val="left" w:pos="1134"/>
        </w:tabs>
        <w:autoSpaceDE w:val="0"/>
        <w:autoSpaceDN w:val="0"/>
        <w:adjustRightInd w:val="0"/>
        <w:ind w:left="1134" w:hanging="425"/>
        <w:jc w:val="both"/>
        <w:rPr>
          <w:rFonts w:cs="Arial"/>
          <w:szCs w:val="20"/>
        </w:rPr>
      </w:pPr>
    </w:p>
    <w:p w:rsidR="000B5438" w:rsidRPr="003A4F06" w:rsidRDefault="000B5438" w:rsidP="000B5438">
      <w:pPr>
        <w:keepNext/>
        <w:keepLines/>
        <w:tabs>
          <w:tab w:val="left" w:pos="709"/>
        </w:tabs>
        <w:autoSpaceDE w:val="0"/>
        <w:autoSpaceDN w:val="0"/>
        <w:adjustRightInd w:val="0"/>
        <w:jc w:val="both"/>
        <w:rPr>
          <w:rFonts w:eastAsia="SimSun" w:cs="Arial"/>
          <w:iCs/>
          <w:szCs w:val="20"/>
          <w:lang w:eastAsia="zh-CN"/>
        </w:rPr>
      </w:pPr>
      <w:r>
        <w:rPr>
          <w:rFonts w:eastAsia="SimSun" w:cs="Arial"/>
          <w:bCs/>
          <w:color w:val="000000"/>
          <w:szCs w:val="20"/>
          <w:lang w:eastAsia="zh-CN"/>
        </w:rPr>
        <w:lastRenderedPageBreak/>
        <w:t>20.2.</w:t>
      </w:r>
      <w:r>
        <w:rPr>
          <w:rFonts w:eastAsia="SimSun" w:cs="Arial"/>
          <w:bCs/>
          <w:color w:val="000000"/>
          <w:szCs w:val="20"/>
          <w:lang w:eastAsia="zh-CN"/>
        </w:rPr>
        <w:tab/>
      </w:r>
      <w:r w:rsidRPr="003A4F06">
        <w:rPr>
          <w:rFonts w:eastAsia="SimSun" w:cs="Arial"/>
          <w:iCs/>
          <w:szCs w:val="20"/>
          <w:lang w:eastAsia="zh-CN"/>
        </w:rPr>
        <w:t>Program 20 acts as the central coordinating Program with respect to the mobilization of extra</w:t>
      </w:r>
      <w:r w:rsidR="00AD0CAC">
        <w:rPr>
          <w:rFonts w:eastAsia="SimSun" w:cs="Arial"/>
          <w:iCs/>
          <w:szCs w:val="20"/>
          <w:lang w:eastAsia="zh-CN"/>
        </w:rPr>
        <w:noBreakHyphen/>
      </w:r>
      <w:r w:rsidRPr="003A4F06">
        <w:rPr>
          <w:rFonts w:eastAsia="SimSun" w:cs="Arial"/>
          <w:iCs/>
          <w:szCs w:val="20"/>
          <w:lang w:eastAsia="zh-CN"/>
        </w:rPr>
        <w:t xml:space="preserve">budgetary resources.  In the 2012/13 biennium, WIPO successfully increased the availability of voluntary funds available through Fund-in-Trust arrangements.  The increase amounted to 44.5 per cent as compared with the 2010/11 biennium.  Program 20 worked closely with other relevant Programs to support and promote resource mobilization efforts.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autoSpaceDE w:val="0"/>
        <w:autoSpaceDN w:val="0"/>
        <w:adjustRightInd w:val="0"/>
        <w:jc w:val="both"/>
        <w:rPr>
          <w:rFonts w:eastAsia="SimSun" w:cs="Arial"/>
          <w:b/>
          <w:iCs/>
          <w:szCs w:val="20"/>
          <w:lang w:eastAsia="zh-CN"/>
        </w:rPr>
      </w:pPr>
      <w:r w:rsidRPr="003A4F06">
        <w:rPr>
          <w:rFonts w:eastAsia="SimSun" w:cs="Arial"/>
          <w:b/>
          <w:iCs/>
          <w:szCs w:val="20"/>
          <w:lang w:eastAsia="zh-CN"/>
        </w:rPr>
        <w:t>WIPO New York Office</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CD26D6">
      <w:pPr>
        <w:tabs>
          <w:tab w:val="left" w:pos="709"/>
        </w:tabs>
        <w:autoSpaceDE w:val="0"/>
        <w:autoSpaceDN w:val="0"/>
        <w:adjustRightInd w:val="0"/>
        <w:jc w:val="both"/>
        <w:rPr>
          <w:rFonts w:eastAsia="SimSun" w:cs="Arial"/>
          <w:iCs/>
          <w:szCs w:val="20"/>
          <w:lang w:eastAsia="zh-CN"/>
        </w:rPr>
      </w:pPr>
      <w:r w:rsidRPr="003A4F06">
        <w:rPr>
          <w:rFonts w:eastAsia="SimSun" w:cs="Arial"/>
          <w:iCs/>
          <w:szCs w:val="20"/>
          <w:lang w:eastAsia="zh-CN"/>
        </w:rPr>
        <w:t>20.3</w:t>
      </w:r>
      <w:r>
        <w:rPr>
          <w:rFonts w:eastAsia="SimSun" w:cs="Arial"/>
          <w:iCs/>
          <w:szCs w:val="20"/>
          <w:lang w:eastAsia="zh-CN"/>
        </w:rPr>
        <w:t>.</w:t>
      </w:r>
      <w:r w:rsidRPr="003A4F06">
        <w:rPr>
          <w:rFonts w:eastAsia="SimSun" w:cs="Arial"/>
          <w:iCs/>
          <w:szCs w:val="20"/>
          <w:lang w:eastAsia="zh-CN"/>
        </w:rPr>
        <w:tab/>
        <w:t>The WIPO New York Office works as an extension of WIPO’s external relation functions with respect to the UN Secretariat and UN organizations based in New York.  In this respect</w:t>
      </w:r>
      <w:r w:rsidR="00AD0CAC">
        <w:rPr>
          <w:rFonts w:eastAsia="SimSun" w:cs="Arial"/>
          <w:iCs/>
          <w:szCs w:val="20"/>
          <w:lang w:eastAsia="zh-CN"/>
        </w:rPr>
        <w:t>,</w:t>
      </w:r>
      <w:r w:rsidRPr="003A4F06">
        <w:rPr>
          <w:rFonts w:eastAsia="SimSun" w:cs="Arial"/>
          <w:iCs/>
          <w:szCs w:val="20"/>
          <w:lang w:eastAsia="zh-CN"/>
        </w:rPr>
        <w:t xml:space="preserve"> it played a key role in effectively contributing to relevant events described above. As an additional example, the WIPO New York Office organized a side event at the UN in New York in December 2013 to promote adherence to the Marrakesh VIP Treaty as part of the UN events to mark the International Day for Persons with Disabilities.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autoSpaceDE w:val="0"/>
        <w:autoSpaceDN w:val="0"/>
        <w:adjustRightInd w:val="0"/>
        <w:jc w:val="both"/>
        <w:rPr>
          <w:rFonts w:eastAsia="SimSun" w:cs="Arial"/>
          <w:b/>
          <w:iCs/>
          <w:szCs w:val="20"/>
          <w:lang w:eastAsia="zh-CN"/>
        </w:rPr>
      </w:pPr>
      <w:r w:rsidRPr="003A4F06">
        <w:rPr>
          <w:rFonts w:eastAsia="SimSun" w:cs="Arial"/>
          <w:b/>
          <w:iCs/>
          <w:szCs w:val="20"/>
          <w:lang w:eastAsia="zh-CN"/>
        </w:rPr>
        <w:t>Non-Governmental Organizations and Industry Relations</w:t>
      </w:r>
    </w:p>
    <w:p w:rsidR="000B5438" w:rsidRPr="003A4F06" w:rsidRDefault="000B5438" w:rsidP="000B5438">
      <w:pPr>
        <w:autoSpaceDE w:val="0"/>
        <w:autoSpaceDN w:val="0"/>
        <w:adjustRightInd w:val="0"/>
        <w:jc w:val="both"/>
        <w:rPr>
          <w:rFonts w:eastAsia="SimSun" w:cs="Arial"/>
          <w:szCs w:val="20"/>
          <w:lang w:eastAsia="zh-CN"/>
        </w:rPr>
      </w:pPr>
    </w:p>
    <w:p w:rsidR="000B5438" w:rsidRPr="003A4F06" w:rsidRDefault="000B5438" w:rsidP="000B5438">
      <w:pPr>
        <w:tabs>
          <w:tab w:val="left" w:pos="709"/>
        </w:tabs>
        <w:autoSpaceDE w:val="0"/>
        <w:autoSpaceDN w:val="0"/>
        <w:adjustRightInd w:val="0"/>
        <w:jc w:val="both"/>
        <w:rPr>
          <w:rFonts w:eastAsia="SimSun" w:cs="Arial"/>
          <w:szCs w:val="20"/>
          <w:lang w:eastAsia="zh-CN"/>
        </w:rPr>
      </w:pPr>
      <w:r>
        <w:rPr>
          <w:rFonts w:eastAsia="SimSun" w:cs="Arial"/>
          <w:szCs w:val="20"/>
          <w:lang w:eastAsia="zh-CN"/>
        </w:rPr>
        <w:t>20.4.</w:t>
      </w:r>
      <w:r>
        <w:rPr>
          <w:rFonts w:eastAsia="SimSun" w:cs="Arial"/>
          <w:szCs w:val="20"/>
          <w:lang w:eastAsia="zh-CN"/>
        </w:rPr>
        <w:tab/>
      </w:r>
      <w:r w:rsidRPr="003A4F06">
        <w:rPr>
          <w:rFonts w:eastAsia="SimSun" w:cs="Arial"/>
          <w:szCs w:val="20"/>
          <w:lang w:eastAsia="zh-CN"/>
        </w:rPr>
        <w:t>WIPO continued its work to enhance engagement with and facilitate the active participation of non-governmental stakeholders in its programs.  Over the course of the biennium, WIPO continued to identify and promote opportunities and to enhance measures that ensure wide participation of civil society in WIPO activities, consistent with DA Recommendation 42.  This was primarily achieved through workshops and seminars, the organization of side-events to the various Standing Committees, information sessions, or other fora in which valuable exchanges with non-governmental participants took place.</w:t>
      </w:r>
    </w:p>
    <w:p w:rsidR="000B5438" w:rsidRPr="003A4F06" w:rsidRDefault="000B5438" w:rsidP="000B5438">
      <w:pPr>
        <w:tabs>
          <w:tab w:val="left" w:pos="709"/>
        </w:tabs>
        <w:autoSpaceDE w:val="0"/>
        <w:autoSpaceDN w:val="0"/>
        <w:adjustRightInd w:val="0"/>
        <w:jc w:val="both"/>
        <w:rPr>
          <w:rFonts w:eastAsia="SimSun" w:cs="Arial"/>
          <w:szCs w:val="20"/>
          <w:lang w:eastAsia="zh-CN"/>
        </w:rPr>
      </w:pPr>
    </w:p>
    <w:p w:rsidR="000B5438" w:rsidRPr="003A4F06" w:rsidRDefault="000B5438" w:rsidP="000B5438">
      <w:pPr>
        <w:tabs>
          <w:tab w:val="left" w:pos="709"/>
        </w:tabs>
        <w:autoSpaceDE w:val="0"/>
        <w:autoSpaceDN w:val="0"/>
        <w:adjustRightInd w:val="0"/>
        <w:jc w:val="both"/>
        <w:rPr>
          <w:rFonts w:eastAsia="SimSun" w:cs="Arial"/>
          <w:szCs w:val="20"/>
          <w:lang w:eastAsia="zh-CN"/>
        </w:rPr>
      </w:pPr>
      <w:r>
        <w:rPr>
          <w:rFonts w:eastAsia="SimSun" w:cs="Arial"/>
          <w:szCs w:val="20"/>
          <w:lang w:eastAsia="zh-CN"/>
        </w:rPr>
        <w:t>20.5.</w:t>
      </w:r>
      <w:r>
        <w:rPr>
          <w:rFonts w:eastAsia="SimSun" w:cs="Arial"/>
          <w:szCs w:val="20"/>
          <w:lang w:eastAsia="zh-CN"/>
        </w:rPr>
        <w:tab/>
      </w:r>
      <w:r w:rsidRPr="003A4F06">
        <w:rPr>
          <w:rFonts w:eastAsia="SimSun" w:cs="Arial"/>
          <w:szCs w:val="20"/>
          <w:lang w:eastAsia="zh-CN"/>
        </w:rPr>
        <w:t xml:space="preserve">In 2012, WIPO hosted the first meeting with the Director General exclusively for NGOs, which provided a key opportunity for a valuable exchange on WIPO’s achievements to date as well as priorities for the year to come.  The hosting of the second Director General’s Meeting with Accredited NGOs in 2013, and its institutionalization as an annual event, remains a key feature of this important dialogue and underscores the particular importance WIPO attributes to the interests and concerns of non-governmental stakeholders and its commitment to an open, transparent and responsive interaction with them.  </w:t>
      </w:r>
    </w:p>
    <w:p w:rsidR="000B5438" w:rsidRPr="003A4F06" w:rsidRDefault="000B5438" w:rsidP="000B5438">
      <w:pPr>
        <w:tabs>
          <w:tab w:val="left" w:pos="709"/>
        </w:tabs>
        <w:autoSpaceDE w:val="0"/>
        <w:autoSpaceDN w:val="0"/>
        <w:adjustRightInd w:val="0"/>
        <w:jc w:val="both"/>
        <w:rPr>
          <w:rFonts w:eastAsia="SimSun" w:cs="Arial"/>
          <w:szCs w:val="20"/>
          <w:lang w:eastAsia="zh-CN"/>
        </w:rPr>
      </w:pPr>
    </w:p>
    <w:p w:rsidR="000B5438" w:rsidRPr="003A4F06" w:rsidRDefault="000B5438" w:rsidP="000B5438">
      <w:pPr>
        <w:tabs>
          <w:tab w:val="left" w:pos="709"/>
        </w:tabs>
        <w:autoSpaceDE w:val="0"/>
        <w:autoSpaceDN w:val="0"/>
        <w:adjustRightInd w:val="0"/>
        <w:jc w:val="both"/>
        <w:rPr>
          <w:rFonts w:eastAsia="SimSun" w:cs="Arial"/>
          <w:szCs w:val="20"/>
          <w:lang w:eastAsia="zh-CN"/>
        </w:rPr>
      </w:pPr>
      <w:r>
        <w:rPr>
          <w:rFonts w:eastAsia="SimSun" w:cs="Arial"/>
          <w:szCs w:val="20"/>
          <w:lang w:eastAsia="zh-CN"/>
        </w:rPr>
        <w:t>20.6.</w:t>
      </w:r>
      <w:r>
        <w:rPr>
          <w:rFonts w:eastAsia="SimSun" w:cs="Arial"/>
          <w:szCs w:val="20"/>
          <w:lang w:eastAsia="zh-CN"/>
        </w:rPr>
        <w:tab/>
      </w:r>
      <w:r w:rsidRPr="003A4F06">
        <w:rPr>
          <w:rFonts w:eastAsia="SimSun" w:cs="Arial"/>
          <w:szCs w:val="20"/>
          <w:lang w:eastAsia="zh-CN"/>
        </w:rPr>
        <w:t xml:space="preserve">In 2012, Member States also recognized the need for more inclusive engagement with a broad range of non-governmental stakeholders, including private enterprises.  By facilitating more effective discussions with these stakeholders and, as importantly, between them, WIPO contributed to fostering the synergies, collaboration and cooperation necessary to better address global IP issues. </w:t>
      </w:r>
      <w:r w:rsidR="000A07C2">
        <w:rPr>
          <w:rFonts w:eastAsia="SimSun" w:cs="Arial"/>
          <w:szCs w:val="20"/>
          <w:lang w:eastAsia="zh-CN"/>
        </w:rPr>
        <w:t xml:space="preserve"> </w:t>
      </w:r>
      <w:r w:rsidRPr="003A4F06">
        <w:rPr>
          <w:rFonts w:eastAsia="SimSun" w:cs="Arial"/>
          <w:szCs w:val="20"/>
          <w:lang w:eastAsia="zh-CN"/>
        </w:rPr>
        <w:t>The WIPO Forum 2013, organized in the context of the Assemblies of the Member States, provided such a platform for a dialogue with prominent and visionary innovators on the life-enhancing potential of their respective ideas</w:t>
      </w:r>
      <w:proofErr w:type="gramStart"/>
      <w:r w:rsidRPr="003A4F06">
        <w:rPr>
          <w:rFonts w:eastAsia="SimSun" w:cs="Arial"/>
          <w:szCs w:val="20"/>
          <w:lang w:eastAsia="zh-CN"/>
        </w:rPr>
        <w:t xml:space="preserve">; </w:t>
      </w:r>
      <w:r w:rsidR="000A07C2">
        <w:rPr>
          <w:rFonts w:eastAsia="SimSun" w:cs="Arial"/>
          <w:szCs w:val="20"/>
          <w:lang w:eastAsia="zh-CN"/>
        </w:rPr>
        <w:t xml:space="preserve"> </w:t>
      </w:r>
      <w:r w:rsidRPr="003A4F06">
        <w:rPr>
          <w:rFonts w:eastAsia="SimSun" w:cs="Arial"/>
          <w:szCs w:val="20"/>
          <w:lang w:eastAsia="zh-CN"/>
        </w:rPr>
        <w:t>on</w:t>
      </w:r>
      <w:proofErr w:type="gramEnd"/>
      <w:r w:rsidRPr="003A4F06">
        <w:rPr>
          <w:rFonts w:eastAsia="SimSun" w:cs="Arial"/>
          <w:szCs w:val="20"/>
          <w:lang w:eastAsia="zh-CN"/>
        </w:rPr>
        <w:t xml:space="preserve"> how they disseminate the knowledge and benefits of their discoveries and developments; </w:t>
      </w:r>
      <w:r w:rsidR="000A07C2">
        <w:rPr>
          <w:rFonts w:eastAsia="SimSun" w:cs="Arial"/>
          <w:szCs w:val="20"/>
          <w:lang w:eastAsia="zh-CN"/>
        </w:rPr>
        <w:t xml:space="preserve"> </w:t>
      </w:r>
      <w:r w:rsidRPr="003A4F06">
        <w:rPr>
          <w:rFonts w:eastAsia="SimSun" w:cs="Arial"/>
          <w:szCs w:val="20"/>
          <w:lang w:eastAsia="zh-CN"/>
        </w:rPr>
        <w:t>and on how to foster an environment that promotes the kind of ground-breaking work in which they are engaged.</w:t>
      </w:r>
    </w:p>
    <w:p w:rsidR="000B5438" w:rsidRPr="003A4F06" w:rsidRDefault="000B5438" w:rsidP="000B5438">
      <w:pPr>
        <w:jc w:val="both"/>
        <w:rPr>
          <w:rFonts w:eastAsia="SimSun" w:cs="Arial"/>
          <w:iCs/>
          <w:szCs w:val="20"/>
          <w:lang w:eastAsia="zh-CN"/>
        </w:rPr>
      </w:pPr>
    </w:p>
    <w:p w:rsidR="000B5438" w:rsidRPr="00CD26D6" w:rsidRDefault="000A07C2" w:rsidP="000B5438">
      <w:pPr>
        <w:autoSpaceDE w:val="0"/>
        <w:autoSpaceDN w:val="0"/>
        <w:adjustRightInd w:val="0"/>
        <w:jc w:val="both"/>
        <w:rPr>
          <w:rFonts w:eastAsia="SimSun" w:cs="Arial"/>
          <w:iCs/>
          <w:szCs w:val="20"/>
          <w:lang w:eastAsia="zh-CN"/>
        </w:rPr>
      </w:pPr>
      <w:r w:rsidRPr="000A07C2">
        <w:rPr>
          <w:rFonts w:eastAsia="SimSun" w:cs="Arial"/>
          <w:iCs/>
          <w:szCs w:val="20"/>
          <w:lang w:eastAsia="zh-CN"/>
        </w:rPr>
        <w:t>EXTERNAL OFFICES</w:t>
      </w:r>
    </w:p>
    <w:p w:rsidR="000B5438" w:rsidRPr="003A4F06" w:rsidRDefault="000B5438" w:rsidP="000B5438">
      <w:pPr>
        <w:autoSpaceDE w:val="0"/>
        <w:autoSpaceDN w:val="0"/>
        <w:adjustRightInd w:val="0"/>
        <w:jc w:val="both"/>
        <w:rPr>
          <w:rFonts w:cs="Arial"/>
          <w:bCs/>
          <w:color w:val="000000"/>
          <w:szCs w:val="20"/>
          <w:u w:val="single"/>
        </w:rPr>
      </w:pPr>
    </w:p>
    <w:p w:rsidR="000B5438" w:rsidRDefault="000B5438" w:rsidP="000B5438">
      <w:pPr>
        <w:autoSpaceDE w:val="0"/>
        <w:autoSpaceDN w:val="0"/>
        <w:adjustRightInd w:val="0"/>
        <w:jc w:val="both"/>
        <w:rPr>
          <w:rFonts w:cs="Arial"/>
          <w:bCs/>
          <w:color w:val="000000"/>
          <w:szCs w:val="20"/>
          <w:u w:val="single"/>
        </w:rPr>
      </w:pPr>
      <w:r w:rsidRPr="003A4F06">
        <w:rPr>
          <w:rFonts w:cs="Arial"/>
          <w:bCs/>
          <w:color w:val="000000"/>
          <w:szCs w:val="20"/>
          <w:u w:val="single"/>
        </w:rPr>
        <w:t>WIPO Brazil Office (WBO)</w:t>
      </w:r>
    </w:p>
    <w:p w:rsidR="000B5438" w:rsidRPr="003A4F06" w:rsidRDefault="000B5438" w:rsidP="000B5438">
      <w:pPr>
        <w:autoSpaceDE w:val="0"/>
        <w:autoSpaceDN w:val="0"/>
        <w:adjustRightInd w:val="0"/>
        <w:jc w:val="both"/>
        <w:rPr>
          <w:rFonts w:cs="Arial"/>
          <w:bCs/>
          <w:color w:val="000000"/>
          <w:szCs w:val="20"/>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20.7.</w:t>
      </w:r>
      <w:r>
        <w:rPr>
          <w:rFonts w:eastAsia="SimSun" w:cs="Arial"/>
          <w:iCs/>
          <w:szCs w:val="20"/>
          <w:lang w:eastAsia="zh-CN"/>
        </w:rPr>
        <w:tab/>
      </w:r>
      <w:r w:rsidRPr="003A4F06">
        <w:rPr>
          <w:rFonts w:eastAsia="SimSun" w:cs="Arial"/>
          <w:iCs/>
          <w:szCs w:val="20"/>
          <w:lang w:eastAsia="zh-CN"/>
        </w:rPr>
        <w:t>The WBO continued to focus on strengthening national capacities and promoting the use of WIPO services during the biennium.  In this regard, the WBO increased its participation in initiatives by industry and government agencies in Brazil, and in other developing countries with which Brazil has established cooperation programs,</w:t>
      </w:r>
      <w:r w:rsidRPr="003A4F06" w:rsidDel="00C46030">
        <w:rPr>
          <w:rFonts w:eastAsia="SimSun" w:cs="Arial"/>
          <w:iCs/>
          <w:szCs w:val="20"/>
          <w:lang w:eastAsia="zh-CN"/>
        </w:rPr>
        <w:t xml:space="preserve"> </w:t>
      </w:r>
      <w:r w:rsidRPr="003A4F06">
        <w:rPr>
          <w:rFonts w:eastAsia="SimSun" w:cs="Arial"/>
          <w:iCs/>
          <w:szCs w:val="20"/>
          <w:lang w:eastAsia="zh-CN"/>
        </w:rPr>
        <w:t>to promote a better understanding of the IP system.  The Office also regularly attended meetings of key stakeholder organizations, e.g. the Technological Network of Rio de Janeiro (REDETEC), the National Forum of Technology Managers (FORTEC), the XIII Edition of the Annual Meeting of National Association of Research and Development of Innovative Enterprises (ANPEI), the Brazilian Association of Intellectual Property (ABPI), the National Confederation of Industries (CNI), the Brazilian Innovation Agency</w:t>
      </w:r>
      <w:r w:rsidR="000A07C2">
        <w:rPr>
          <w:rFonts w:eastAsia="SimSun" w:cs="Arial"/>
          <w:iCs/>
          <w:szCs w:val="20"/>
          <w:lang w:eastAsia="zh-CN"/>
        </w:rPr>
        <w:t>,</w:t>
      </w:r>
      <w:r w:rsidR="000A07C2" w:rsidRPr="003A4F06">
        <w:rPr>
          <w:rFonts w:eastAsia="SimSun" w:cs="Arial"/>
          <w:iCs/>
          <w:szCs w:val="20"/>
          <w:lang w:eastAsia="zh-CN"/>
        </w:rPr>
        <w:t xml:space="preserve"> </w:t>
      </w:r>
      <w:r w:rsidRPr="003A4F06">
        <w:rPr>
          <w:rFonts w:eastAsia="SimSun" w:cs="Arial"/>
          <w:iCs/>
          <w:szCs w:val="20"/>
          <w:lang w:eastAsia="zh-CN"/>
        </w:rPr>
        <w:t>the Agency for the Promotion of Exports and Investment (APEX), and the Brazilian Bank for Economic and Social Development and the Regional Cooperation System on Industrial Property (PROSUR).</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20.8.</w:t>
      </w:r>
      <w:r>
        <w:rPr>
          <w:rFonts w:eastAsia="SimSun" w:cs="Arial"/>
          <w:iCs/>
          <w:szCs w:val="20"/>
          <w:lang w:eastAsia="zh-CN"/>
        </w:rPr>
        <w:tab/>
      </w:r>
      <w:r w:rsidRPr="003A4F06">
        <w:rPr>
          <w:rFonts w:eastAsia="SimSun" w:cs="Arial"/>
          <w:iCs/>
          <w:szCs w:val="20"/>
          <w:lang w:eastAsia="zh-CN"/>
        </w:rPr>
        <w:t xml:space="preserve">Under the MOU signed in 2012 between WIPO and the National Institute of Industrial Property of Brazil (INPI-Brazil), a pilot project was launched in 2013 in which INPI-Brazil and the WIPO Arbitration and Mediation Center established a joint dispute resolution procedure to facilitate the mediation of IP </w:t>
      </w:r>
      <w:r w:rsidRPr="003A4F06">
        <w:rPr>
          <w:rFonts w:eastAsia="SimSun" w:cs="Arial"/>
          <w:iCs/>
          <w:szCs w:val="20"/>
          <w:lang w:eastAsia="zh-CN"/>
        </w:rPr>
        <w:lastRenderedPageBreak/>
        <w:t>disputes involving trademarks (</w:t>
      </w:r>
      <w:r w:rsidR="0097619F">
        <w:rPr>
          <w:rFonts w:eastAsia="SimSun" w:cs="Arial"/>
          <w:iCs/>
          <w:szCs w:val="20"/>
          <w:lang w:eastAsia="zh-CN"/>
        </w:rPr>
        <w:t>s</w:t>
      </w:r>
      <w:r w:rsidR="0097619F" w:rsidRPr="003A4F06">
        <w:rPr>
          <w:rFonts w:eastAsia="SimSun" w:cs="Arial"/>
          <w:iCs/>
          <w:szCs w:val="20"/>
          <w:lang w:eastAsia="zh-CN"/>
        </w:rPr>
        <w:t xml:space="preserve">ee </w:t>
      </w:r>
      <w:r w:rsidRPr="003A4F06">
        <w:rPr>
          <w:rFonts w:eastAsia="SimSun" w:cs="Arial"/>
          <w:iCs/>
          <w:szCs w:val="20"/>
          <w:lang w:eastAsia="zh-CN"/>
        </w:rPr>
        <w:t>also Program 7)</w:t>
      </w:r>
      <w:r w:rsidR="000A07C2">
        <w:rPr>
          <w:rFonts w:eastAsia="SimSun" w:cs="Arial"/>
          <w:iCs/>
          <w:szCs w:val="20"/>
          <w:lang w:eastAsia="zh-CN"/>
        </w:rPr>
        <w:t xml:space="preserve">. </w:t>
      </w:r>
      <w:r w:rsidRPr="003A4F06">
        <w:rPr>
          <w:rFonts w:eastAsia="SimSun" w:cs="Arial"/>
          <w:iCs/>
          <w:szCs w:val="20"/>
          <w:lang w:eastAsia="zh-CN"/>
        </w:rPr>
        <w:t xml:space="preserve"> Further discussions were undertaken by a Working Group of Experts to assist the expansion of the services to patents and technology transfer contracts.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20.9.</w:t>
      </w:r>
      <w:r>
        <w:rPr>
          <w:rFonts w:eastAsia="SimSun" w:cs="Arial"/>
          <w:iCs/>
          <w:szCs w:val="20"/>
          <w:lang w:eastAsia="zh-CN"/>
        </w:rPr>
        <w:tab/>
      </w:r>
      <w:r w:rsidRPr="003A4F06">
        <w:rPr>
          <w:rFonts w:eastAsia="SimSun" w:cs="Arial"/>
          <w:iCs/>
          <w:szCs w:val="20"/>
          <w:lang w:eastAsia="zh-CN"/>
        </w:rPr>
        <w:t>The WBO engaged in promoting WIPO GREEN among Brazilian institutions.  As members of WIPO GREEN since 2012, INPI-Brazil and FORTEC participated in the launching ceremony of the platform in Geneva.  FORTEC is currently working on a collection of technologies for upload into the WIPO Green database.  In addition, a Workshop on IP and Green Technologies, with the participation of South American countries, was organized and financed by the FIT-Brazil.</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20.10.</w:t>
      </w:r>
      <w:r>
        <w:rPr>
          <w:rFonts w:eastAsia="SimSun" w:cs="Arial"/>
          <w:iCs/>
          <w:szCs w:val="20"/>
          <w:lang w:eastAsia="zh-CN"/>
        </w:rPr>
        <w:tab/>
      </w:r>
      <w:r w:rsidRPr="003A4F06">
        <w:rPr>
          <w:rFonts w:eastAsia="SimSun" w:cs="Arial"/>
          <w:iCs/>
          <w:szCs w:val="20"/>
          <w:lang w:eastAsia="zh-CN"/>
        </w:rPr>
        <w:t xml:space="preserve">The WBO, in coordination with Program 16, participated in the task force for the organization of the Conference of Patent Statistics for Decision Makers (PSDBM 2013), which took place in </w:t>
      </w:r>
      <w:r w:rsidR="000A07C2" w:rsidRPr="003A4F06">
        <w:rPr>
          <w:rFonts w:eastAsia="SimSun" w:cs="Arial"/>
          <w:iCs/>
          <w:szCs w:val="20"/>
          <w:lang w:eastAsia="zh-CN"/>
        </w:rPr>
        <w:t>Rio</w:t>
      </w:r>
      <w:r w:rsidR="000A07C2">
        <w:rPr>
          <w:rFonts w:eastAsia="SimSun" w:cs="Arial"/>
          <w:iCs/>
          <w:szCs w:val="20"/>
          <w:lang w:eastAsia="zh-CN"/>
        </w:rPr>
        <w:t> </w:t>
      </w:r>
      <w:r w:rsidR="000A07C2" w:rsidRPr="003A4F06">
        <w:rPr>
          <w:rFonts w:eastAsia="SimSun" w:cs="Arial"/>
          <w:iCs/>
          <w:szCs w:val="20"/>
          <w:lang w:eastAsia="zh-CN"/>
        </w:rPr>
        <w:t>de</w:t>
      </w:r>
      <w:r w:rsidR="000A07C2">
        <w:rPr>
          <w:rFonts w:eastAsia="SimSun" w:cs="Arial"/>
          <w:iCs/>
          <w:szCs w:val="20"/>
          <w:lang w:eastAsia="zh-CN"/>
        </w:rPr>
        <w:t> </w:t>
      </w:r>
      <w:r w:rsidRPr="003A4F06">
        <w:rPr>
          <w:rFonts w:eastAsia="SimSun" w:cs="Arial"/>
          <w:iCs/>
          <w:szCs w:val="20"/>
          <w:lang w:eastAsia="zh-CN"/>
        </w:rPr>
        <w:t xml:space="preserve">Janeiro. </w:t>
      </w:r>
      <w:r w:rsidR="000A07C2">
        <w:rPr>
          <w:rFonts w:eastAsia="SimSun" w:cs="Arial"/>
          <w:iCs/>
          <w:szCs w:val="20"/>
          <w:lang w:eastAsia="zh-CN"/>
        </w:rPr>
        <w:t xml:space="preserve"> </w:t>
      </w:r>
      <w:r w:rsidRPr="003A4F06">
        <w:rPr>
          <w:rFonts w:eastAsia="SimSun" w:cs="Arial"/>
          <w:iCs/>
          <w:szCs w:val="20"/>
          <w:lang w:eastAsia="zh-CN"/>
        </w:rPr>
        <w:t xml:space="preserve">The event gathered experts from seventeen countries and resulted in twenty eight papers being approved by a scientific committee.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20.11.</w:t>
      </w:r>
      <w:r>
        <w:rPr>
          <w:rFonts w:eastAsia="SimSun" w:cs="Arial"/>
          <w:iCs/>
          <w:szCs w:val="20"/>
          <w:lang w:eastAsia="zh-CN"/>
        </w:rPr>
        <w:tab/>
      </w:r>
      <w:r w:rsidRPr="003A4F06">
        <w:rPr>
          <w:rFonts w:eastAsia="SimSun" w:cs="Arial"/>
          <w:iCs/>
          <w:szCs w:val="20"/>
          <w:lang w:eastAsia="zh-CN"/>
        </w:rPr>
        <w:t xml:space="preserve">The WBO continued to manage the Funds-in-Trust for the support of South-South Cooperation Projects, which was signed between WIPO and the Government of Brazil in September 2012.  In this regard, the WBO organized and implemented the following activities: </w:t>
      </w:r>
      <w:r w:rsidR="000A07C2">
        <w:rPr>
          <w:rFonts w:eastAsia="SimSun" w:cs="Arial"/>
          <w:iCs/>
          <w:szCs w:val="20"/>
          <w:lang w:eastAsia="zh-CN"/>
        </w:rPr>
        <w:t xml:space="preserve"> </w:t>
      </w:r>
      <w:r w:rsidRPr="003A4F06">
        <w:rPr>
          <w:rFonts w:eastAsia="SimSun" w:cs="Arial"/>
          <w:iCs/>
          <w:szCs w:val="20"/>
          <w:lang w:eastAsia="zh-CN"/>
        </w:rPr>
        <w:t>(i) the II Inter-Regional Forum for Heads of Industrial Property Offices of South America and Arab Countries, in cooperation with Program 9</w:t>
      </w:r>
      <w:proofErr w:type="gramStart"/>
      <w:r w:rsidRPr="003A4F06">
        <w:rPr>
          <w:rFonts w:eastAsia="SimSun" w:cs="Arial"/>
          <w:iCs/>
          <w:szCs w:val="20"/>
          <w:lang w:eastAsia="zh-CN"/>
        </w:rPr>
        <w:t xml:space="preserve">; </w:t>
      </w:r>
      <w:r w:rsidR="000A07C2">
        <w:rPr>
          <w:rFonts w:eastAsia="SimSun" w:cs="Arial"/>
          <w:iCs/>
          <w:szCs w:val="20"/>
          <w:lang w:eastAsia="zh-CN"/>
        </w:rPr>
        <w:t xml:space="preserve"> </w:t>
      </w:r>
      <w:r w:rsidRPr="003A4F06">
        <w:rPr>
          <w:rFonts w:eastAsia="SimSun" w:cs="Arial"/>
          <w:iCs/>
          <w:szCs w:val="20"/>
          <w:lang w:eastAsia="zh-CN"/>
        </w:rPr>
        <w:t>(</w:t>
      </w:r>
      <w:proofErr w:type="gramEnd"/>
      <w:r w:rsidRPr="003A4F06">
        <w:rPr>
          <w:rFonts w:eastAsia="SimSun" w:cs="Arial"/>
          <w:iCs/>
          <w:szCs w:val="20"/>
          <w:lang w:eastAsia="zh-CN"/>
        </w:rPr>
        <w:t xml:space="preserve">ii) a study on the alternatives for the institutionalization of PROSUR; </w:t>
      </w:r>
      <w:r w:rsidR="000A07C2">
        <w:rPr>
          <w:rFonts w:eastAsia="SimSun" w:cs="Arial"/>
          <w:iCs/>
          <w:szCs w:val="20"/>
          <w:lang w:eastAsia="zh-CN"/>
        </w:rPr>
        <w:t xml:space="preserve"> </w:t>
      </w:r>
      <w:r w:rsidRPr="003A4F06">
        <w:rPr>
          <w:rFonts w:eastAsia="SimSun" w:cs="Arial"/>
          <w:iCs/>
          <w:szCs w:val="20"/>
          <w:lang w:eastAsia="zh-CN"/>
        </w:rPr>
        <w:t>and (iii) the Intermediate Course for Classification, Search and Examination in the Chemical and Pharmaceutical Fields.</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20.12.</w:t>
      </w:r>
      <w:r>
        <w:rPr>
          <w:rFonts w:eastAsia="SimSun" w:cs="Arial"/>
          <w:iCs/>
          <w:szCs w:val="20"/>
          <w:lang w:eastAsia="zh-CN"/>
        </w:rPr>
        <w:tab/>
      </w:r>
      <w:r w:rsidRPr="003A4F06">
        <w:rPr>
          <w:rFonts w:eastAsia="SimSun" w:cs="Arial"/>
          <w:iCs/>
          <w:szCs w:val="20"/>
          <w:lang w:eastAsia="zh-CN"/>
        </w:rPr>
        <w:t>In cooperation with the WBO, INPI-Brazil hosted the Global Agenda Council IP Meeting in 2013 in which emerging issues on IP and innovation were discussed among experts and professionals from different regions, representatives of the public and private sectors and civil society.</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20.13.</w:t>
      </w:r>
      <w:r>
        <w:rPr>
          <w:rFonts w:eastAsia="SimSun" w:cs="Arial"/>
          <w:iCs/>
          <w:szCs w:val="20"/>
          <w:lang w:eastAsia="zh-CN"/>
        </w:rPr>
        <w:tab/>
      </w:r>
      <w:r w:rsidRPr="003A4F06">
        <w:rPr>
          <w:rFonts w:eastAsia="SimSun" w:cs="Arial"/>
          <w:iCs/>
          <w:szCs w:val="20"/>
          <w:lang w:eastAsia="zh-CN"/>
        </w:rPr>
        <w:t>The WBO also continued to contribute to the WIPO round-the-clock service.</w:t>
      </w:r>
    </w:p>
    <w:p w:rsidR="000B5438" w:rsidRPr="003A4F06" w:rsidRDefault="000B5438" w:rsidP="000B5438">
      <w:pPr>
        <w:autoSpaceDE w:val="0"/>
        <w:autoSpaceDN w:val="0"/>
        <w:adjustRightInd w:val="0"/>
        <w:jc w:val="both"/>
        <w:rPr>
          <w:rFonts w:eastAsia="SimSun" w:cs="Arial"/>
          <w:iCs/>
          <w:szCs w:val="20"/>
          <w:lang w:eastAsia="zh-CN"/>
        </w:rPr>
      </w:pPr>
    </w:p>
    <w:p w:rsidR="000B5438" w:rsidRDefault="000B5438" w:rsidP="000B5438">
      <w:pPr>
        <w:autoSpaceDE w:val="0"/>
        <w:autoSpaceDN w:val="0"/>
        <w:adjustRightInd w:val="0"/>
        <w:jc w:val="both"/>
        <w:rPr>
          <w:rFonts w:cs="Arial"/>
          <w:bCs/>
          <w:color w:val="000000"/>
          <w:szCs w:val="20"/>
          <w:u w:val="single"/>
        </w:rPr>
      </w:pPr>
      <w:r w:rsidRPr="003A4F06">
        <w:rPr>
          <w:rFonts w:cs="Arial"/>
          <w:bCs/>
          <w:color w:val="000000"/>
          <w:szCs w:val="20"/>
          <w:u w:val="single"/>
        </w:rPr>
        <w:t xml:space="preserve">WIPO Japan Office (WJO) </w:t>
      </w:r>
    </w:p>
    <w:p w:rsidR="000B5438" w:rsidRPr="003A4F06" w:rsidRDefault="000B5438" w:rsidP="000B5438">
      <w:pPr>
        <w:autoSpaceDE w:val="0"/>
        <w:autoSpaceDN w:val="0"/>
        <w:adjustRightInd w:val="0"/>
        <w:jc w:val="both"/>
        <w:rPr>
          <w:rFonts w:cs="Arial"/>
          <w:szCs w:val="20"/>
          <w:lang w:eastAsia="ja-JP"/>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20.14.</w:t>
      </w:r>
      <w:r>
        <w:rPr>
          <w:rFonts w:eastAsia="SimSun" w:cs="Arial"/>
          <w:iCs/>
          <w:szCs w:val="20"/>
          <w:lang w:eastAsia="zh-CN"/>
        </w:rPr>
        <w:tab/>
      </w:r>
      <w:r w:rsidRPr="003A4F06">
        <w:rPr>
          <w:rFonts w:eastAsia="SimSun" w:cs="Arial"/>
          <w:iCs/>
          <w:szCs w:val="20"/>
          <w:lang w:eastAsia="zh-CN"/>
        </w:rPr>
        <w:t xml:space="preserve">In 2013, the WIPO Japan Office (WJO) continued to provide timely and efficient services to users in Japan of WIPO’s global IP protection systems such as the PCT, Madrid, and the WIPO Arbitration and Mediation Center.  Taking advantage of the new location of the WJO, i.e. close to various stakeholders including the host government, industry, attorneys, and academia, the WJO intensified its promotional activities and provided a number of lectures and seminars all over Japan with the attendance of more than 6,500 participants.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20.15.</w:t>
      </w:r>
      <w:r>
        <w:rPr>
          <w:rFonts w:eastAsia="SimSun" w:cs="Arial"/>
          <w:iCs/>
          <w:szCs w:val="20"/>
          <w:lang w:eastAsia="zh-CN"/>
        </w:rPr>
        <w:tab/>
      </w:r>
      <w:r w:rsidRPr="003A4F06">
        <w:rPr>
          <w:rFonts w:eastAsia="SimSun" w:cs="Arial"/>
          <w:iCs/>
          <w:szCs w:val="20"/>
          <w:lang w:eastAsia="zh-CN"/>
        </w:rPr>
        <w:t xml:space="preserve">The WJO also engaged in capacity building activities in the region with the cooperation of the host Government under FIT/Japan.  The IP Advantage database, a showcase of successful utilization of IP, expanded its coverage in terms of the number of cases, reaching more than 180, as well as the number of countries.  Translation into other languages of a “manga” on counterfeiting and piracy, originally published in English and Japanese, was nearing completion.  Workshops and training courses were also organized to enhance the capacity of developing countries in various IP fields. </w:t>
      </w:r>
    </w:p>
    <w:p w:rsidR="000B5438" w:rsidRPr="003A4F06" w:rsidRDefault="000B5438" w:rsidP="000B5438">
      <w:pPr>
        <w:autoSpaceDE w:val="0"/>
        <w:autoSpaceDN w:val="0"/>
        <w:adjustRightInd w:val="0"/>
        <w:jc w:val="both"/>
        <w:rPr>
          <w:rFonts w:eastAsia="SimSun" w:cs="Arial"/>
          <w:iCs/>
          <w:szCs w:val="20"/>
          <w:lang w:eastAsia="zh-CN"/>
        </w:rPr>
      </w:pPr>
    </w:p>
    <w:p w:rsidR="000B5438"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20.16.</w:t>
      </w:r>
      <w:r>
        <w:rPr>
          <w:rFonts w:eastAsia="SimSun" w:cs="Arial"/>
          <w:iCs/>
          <w:szCs w:val="20"/>
          <w:lang w:eastAsia="zh-CN"/>
        </w:rPr>
        <w:tab/>
      </w:r>
      <w:r w:rsidRPr="003A4F06">
        <w:rPr>
          <w:rFonts w:eastAsia="SimSun" w:cs="Arial"/>
          <w:iCs/>
          <w:szCs w:val="20"/>
          <w:lang w:eastAsia="zh-CN"/>
        </w:rPr>
        <w:t>In order to enhance the awareness and visibility of WIPO, the WJO undertook a series of discussions and presentations on WIPO activities.  These included WIPO’s global platforms such as WIPO GREEN and WIPO Re</w:t>
      </w:r>
      <w:proofErr w:type="gramStart"/>
      <w:r w:rsidRPr="003A4F06">
        <w:rPr>
          <w:rFonts w:eastAsia="SimSun" w:cs="Arial"/>
          <w:iCs/>
          <w:szCs w:val="20"/>
          <w:lang w:eastAsia="zh-CN"/>
        </w:rPr>
        <w:t>:Search</w:t>
      </w:r>
      <w:proofErr w:type="gramEnd"/>
      <w:r w:rsidRPr="003A4F06">
        <w:rPr>
          <w:rFonts w:eastAsia="SimSun" w:cs="Arial"/>
          <w:iCs/>
          <w:szCs w:val="20"/>
          <w:lang w:eastAsia="zh-CN"/>
        </w:rPr>
        <w:t xml:space="preserve"> and WIPO’s work in industrial property, copyright, and arbitration and mediation, including the Symposium on ADR.  The WJO enhanced the content of its website, available both in Japanese and English, to provide up-to-date information on WIPO and the WJO.  In an effort to provide more information in Japanese for stakeholders in Japan, the PATENTSCOPE User’s Guide was translated into Japanese to enhance utilization of the database.  The WJO was also involved in WIPO’s new round-the-clock customer service initiative launched in 2012.  Finally, the WJO engaged in activities with other UN organizations in Japan and other key international meetings/conferences, such as the TICAD (Tokyo International Conference on African Development).</w:t>
      </w:r>
    </w:p>
    <w:p w:rsidR="000B5438" w:rsidRPr="003A4F06" w:rsidRDefault="000B5438" w:rsidP="000B5438">
      <w:pPr>
        <w:tabs>
          <w:tab w:val="left" w:pos="709"/>
        </w:tabs>
        <w:autoSpaceDE w:val="0"/>
        <w:autoSpaceDN w:val="0"/>
        <w:adjustRightInd w:val="0"/>
        <w:jc w:val="both"/>
        <w:rPr>
          <w:rFonts w:eastAsia="SimSun" w:cs="Arial"/>
          <w:iCs/>
          <w:szCs w:val="20"/>
          <w:lang w:eastAsia="zh-CN"/>
        </w:rPr>
      </w:pPr>
    </w:p>
    <w:p w:rsidR="000B5438" w:rsidRPr="003A4F06" w:rsidRDefault="000B5438" w:rsidP="000B5438">
      <w:pPr>
        <w:autoSpaceDE w:val="0"/>
        <w:autoSpaceDN w:val="0"/>
        <w:adjustRightInd w:val="0"/>
        <w:jc w:val="both"/>
        <w:rPr>
          <w:rFonts w:eastAsia="SimSun" w:cs="Arial"/>
          <w:iCs/>
          <w:szCs w:val="20"/>
          <w:u w:val="single"/>
          <w:lang w:eastAsia="zh-CN"/>
        </w:rPr>
      </w:pPr>
      <w:r w:rsidRPr="003A4F06">
        <w:rPr>
          <w:rFonts w:eastAsia="SimSun" w:cs="Arial"/>
          <w:iCs/>
          <w:szCs w:val="20"/>
          <w:u w:val="single"/>
          <w:lang w:eastAsia="zh-CN"/>
        </w:rPr>
        <w:t xml:space="preserve">The WIPO Singapore Office (WSO)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20.17.</w:t>
      </w:r>
      <w:r>
        <w:rPr>
          <w:rFonts w:eastAsia="SimSun" w:cs="Arial"/>
          <w:iCs/>
          <w:szCs w:val="20"/>
          <w:lang w:eastAsia="zh-CN"/>
        </w:rPr>
        <w:tab/>
      </w:r>
      <w:r w:rsidRPr="003A4F06">
        <w:rPr>
          <w:rFonts w:eastAsia="SimSun" w:cs="Arial"/>
          <w:iCs/>
          <w:szCs w:val="20"/>
          <w:lang w:eastAsia="zh-CN"/>
        </w:rPr>
        <w:t>WSO strengthened its presence as WIPO’s service center and regional IP forum for Member States, international organizations, NGOs and businesses in the Asia and Pacific region, in particular the ASEAN region.  Tangible outcomes included a six per cent increase from 2011 to 2012 in the number of PCT applications from the ASEAN region, and an increase of 20 per cent for Madrid applications from 2011 to</w:t>
      </w:r>
      <w:r>
        <w:rPr>
          <w:rFonts w:eastAsia="SimSun" w:cs="Arial"/>
          <w:iCs/>
          <w:szCs w:val="20"/>
          <w:lang w:eastAsia="zh-CN"/>
        </w:rPr>
        <w:t> </w:t>
      </w:r>
      <w:r w:rsidRPr="003A4F06">
        <w:rPr>
          <w:rFonts w:eastAsia="SimSun" w:cs="Arial"/>
          <w:iCs/>
          <w:szCs w:val="20"/>
          <w:lang w:eastAsia="zh-CN"/>
        </w:rPr>
        <w:t xml:space="preserve">2013.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lastRenderedPageBreak/>
        <w:t>20.18.</w:t>
      </w:r>
      <w:r>
        <w:rPr>
          <w:rFonts w:eastAsia="SimSun" w:cs="Arial"/>
          <w:iCs/>
          <w:szCs w:val="20"/>
          <w:lang w:eastAsia="zh-CN"/>
        </w:rPr>
        <w:tab/>
      </w:r>
      <w:r w:rsidRPr="003A4F06">
        <w:rPr>
          <w:rFonts w:eastAsia="SimSun" w:cs="Arial"/>
          <w:iCs/>
          <w:szCs w:val="20"/>
          <w:lang w:eastAsia="zh-CN"/>
        </w:rPr>
        <w:t>The WSO played an important role in promoting WIPO GREEN, WIPO’s global databases, TISCs, the World IP Report, WIPO CASE and the launch of the Global Innovation Index (GII).  To increase awareness of the global IP system, the WSO organized a seminar for journalists, which resulted in press coverage promoting IP to businesses in Brunei Darussalam, China, Hong Kong, India, Indonesia, and Malaysia.</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20.19.</w:t>
      </w:r>
      <w:r>
        <w:rPr>
          <w:rFonts w:eastAsia="SimSun" w:cs="Arial"/>
          <w:iCs/>
          <w:szCs w:val="20"/>
          <w:lang w:eastAsia="zh-CN"/>
        </w:rPr>
        <w:tab/>
      </w:r>
      <w:r w:rsidRPr="003A4F06">
        <w:rPr>
          <w:rFonts w:eastAsia="SimSun" w:cs="Arial"/>
          <w:iCs/>
          <w:szCs w:val="20"/>
          <w:lang w:eastAsia="zh-CN"/>
        </w:rPr>
        <w:t>Engagement with ASEAN was enhanced, and the WSO played an increasingly central role in coordinating activities requested by the Working Group on Intellectual Property Cooperation (AWGIPC) in the implementation of the ASEAN IPR Action Plan 2011-2015.  Workshops were organized in almost every ASEAN Member State to progress efforts to acce</w:t>
      </w:r>
      <w:r w:rsidR="00601859">
        <w:rPr>
          <w:rFonts w:eastAsia="SimSun" w:cs="Arial"/>
          <w:iCs/>
          <w:szCs w:val="20"/>
          <w:lang w:eastAsia="zh-CN"/>
        </w:rPr>
        <w:t>de to the Madrid and the Hague S</w:t>
      </w:r>
      <w:r w:rsidRPr="003A4F06">
        <w:rPr>
          <w:rFonts w:eastAsia="SimSun" w:cs="Arial"/>
          <w:iCs/>
          <w:szCs w:val="20"/>
          <w:lang w:eastAsia="zh-CN"/>
        </w:rPr>
        <w:t>ystems, an activity identified as a priority by the AWGIPC.  In addition, the WSO established partnerships with key stakeholders to accelerate the achievement of key outcomes.  This included collaboration between the WSO and the ASEAN Australia and New Zealand Free Trade Agreement (AANZFTA) team resulting in a WIPO-ASEAN-AANZFTA Regional Workshop for ASEAN Trademark Examiners on Madrid Protocol Operations at WSO.</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20.20.</w:t>
      </w:r>
      <w:r>
        <w:rPr>
          <w:rFonts w:eastAsia="SimSun" w:cs="Arial"/>
          <w:iCs/>
          <w:szCs w:val="20"/>
          <w:lang w:eastAsia="zh-CN"/>
        </w:rPr>
        <w:tab/>
      </w:r>
      <w:r w:rsidRPr="003A4F06">
        <w:rPr>
          <w:rFonts w:eastAsia="SimSun" w:cs="Arial"/>
          <w:iCs/>
          <w:szCs w:val="20"/>
          <w:lang w:eastAsia="zh-CN"/>
        </w:rPr>
        <w:t xml:space="preserve">The WSO continued to manage and implement the MOU between WIPO and the Government of Singapore, which focuses on enhancing the skills and knowledge of IP officials and stakeholders from the Asia and Pacific region.  A total of six workshops covering various WIPO’s global initiatives were organized.  In addition, the WSO initiated a forum with certain Member States (Australia, France, Japan, </w:t>
      </w:r>
      <w:r w:rsidR="000A07C2" w:rsidRPr="003A4F06">
        <w:rPr>
          <w:rFonts w:eastAsia="SimSun" w:cs="Arial"/>
          <w:iCs/>
          <w:szCs w:val="20"/>
          <w:lang w:eastAsia="zh-CN"/>
        </w:rPr>
        <w:t>New Zealand</w:t>
      </w:r>
      <w:r w:rsidR="000A07C2">
        <w:rPr>
          <w:rFonts w:eastAsia="SimSun" w:cs="Arial"/>
          <w:iCs/>
          <w:szCs w:val="20"/>
          <w:lang w:eastAsia="zh-CN"/>
        </w:rPr>
        <w:t xml:space="preserve">, the Republic of </w:t>
      </w:r>
      <w:r w:rsidRPr="003A4F06">
        <w:rPr>
          <w:rFonts w:eastAsia="SimSun" w:cs="Arial"/>
          <w:iCs/>
          <w:szCs w:val="20"/>
          <w:lang w:eastAsia="zh-CN"/>
        </w:rPr>
        <w:t>Korea, the United States of America</w:t>
      </w:r>
      <w:r w:rsidR="000A07C2">
        <w:rPr>
          <w:rFonts w:eastAsia="SimSun" w:cs="Arial"/>
          <w:iCs/>
          <w:szCs w:val="20"/>
          <w:lang w:eastAsia="zh-CN"/>
        </w:rPr>
        <w:t xml:space="preserve"> and</w:t>
      </w:r>
      <w:r w:rsidR="000A07C2" w:rsidRPr="003A4F06">
        <w:rPr>
          <w:rFonts w:eastAsia="SimSun" w:cs="Arial"/>
          <w:iCs/>
          <w:szCs w:val="20"/>
          <w:lang w:eastAsia="zh-CN"/>
        </w:rPr>
        <w:t xml:space="preserve"> </w:t>
      </w:r>
      <w:r w:rsidRPr="003A4F06">
        <w:rPr>
          <w:rFonts w:eastAsia="SimSun" w:cs="Arial"/>
          <w:iCs/>
          <w:szCs w:val="20"/>
          <w:lang w:eastAsia="zh-CN"/>
        </w:rPr>
        <w:t xml:space="preserve">the United Kingdom) and organizations (ASEAN, the European Union and OHIM-ECAP III) providing IP technical assistance in the ASEAN region.  The result was a more coordinated and collaborative approach to assistance.  As a result of the collaboration, WSO and OHIM-ECAP agreed to jointly organize an event in Singapore on industrial designs and the </w:t>
      </w:r>
      <w:r w:rsidR="00601859">
        <w:rPr>
          <w:rFonts w:eastAsia="SimSun" w:cs="Arial"/>
          <w:iCs/>
          <w:szCs w:val="20"/>
          <w:lang w:eastAsia="zh-CN"/>
        </w:rPr>
        <w:t>Hague System</w:t>
      </w:r>
      <w:r w:rsidRPr="003A4F06">
        <w:rPr>
          <w:rFonts w:eastAsia="SimSun" w:cs="Arial"/>
          <w:iCs/>
          <w:szCs w:val="20"/>
          <w:lang w:eastAsia="zh-CN"/>
        </w:rPr>
        <w:t xml:space="preserve">.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0B5438"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20.21.</w:t>
      </w:r>
      <w:r>
        <w:rPr>
          <w:rFonts w:eastAsia="SimSun" w:cs="Arial"/>
          <w:iCs/>
          <w:szCs w:val="20"/>
          <w:lang w:eastAsia="zh-CN"/>
        </w:rPr>
        <w:tab/>
      </w:r>
      <w:r w:rsidRPr="003A4F06">
        <w:rPr>
          <w:rFonts w:eastAsia="SimSun" w:cs="Arial"/>
          <w:iCs/>
          <w:szCs w:val="20"/>
          <w:lang w:eastAsia="zh-CN"/>
        </w:rPr>
        <w:t xml:space="preserve">WSO delivered technical assistance to 16 Member States for the implementation of effective IP administration systems, and assistance relating to Madrid, </w:t>
      </w:r>
      <w:proofErr w:type="gramStart"/>
      <w:r w:rsidRPr="003A4F06">
        <w:rPr>
          <w:rFonts w:eastAsia="SimSun" w:cs="Arial"/>
          <w:iCs/>
          <w:szCs w:val="20"/>
          <w:lang w:eastAsia="zh-CN"/>
        </w:rPr>
        <w:t>the</w:t>
      </w:r>
      <w:proofErr w:type="gramEnd"/>
      <w:r w:rsidRPr="003A4F06">
        <w:rPr>
          <w:rFonts w:eastAsia="SimSun" w:cs="Arial"/>
          <w:iCs/>
          <w:szCs w:val="20"/>
          <w:lang w:eastAsia="zh-CN"/>
        </w:rPr>
        <w:t xml:space="preserve"> Hague, copyright, Collective Management Organizations (CMO) (which contributed to the establishment of a national CMO in Lao PDR), education, awareness and capacity building.  In addition, WSO was involved in the organization of the WIPO Academy Summer Schools in Asia and the WIPO-QUT Master of Laws in IP.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20.22</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To improve visibility and consistency of communications promoting WIPO’s global services to Member States and businesses in the region, the WSO embarked on a program of communication enhancement.  This resulted in the creation of new web content, new marketing materials, improved building signage and regular formal communication with key stakeholders in the region.  The WSO also continued to play a key role in the WIPO round-the-clock service.</w:t>
      </w:r>
      <w:r w:rsidR="000B5438" w:rsidRPr="003A4F06" w:rsidDel="00FA387F">
        <w:rPr>
          <w:rFonts w:eastAsia="SimSun" w:cs="Arial"/>
          <w:iCs/>
          <w:szCs w:val="20"/>
          <w:lang w:eastAsia="zh-CN"/>
        </w:rPr>
        <w:t xml:space="preserve"> </w:t>
      </w:r>
      <w:r w:rsidR="000B5438" w:rsidRPr="003A4F06">
        <w:rPr>
          <w:rFonts w:eastAsia="SimSun" w:cs="Arial"/>
          <w:iCs/>
          <w:szCs w:val="20"/>
          <w:lang w:eastAsia="zh-CN"/>
        </w:rPr>
        <w:t xml:space="preserve"> </w:t>
      </w:r>
    </w:p>
    <w:p w:rsidR="000B5438" w:rsidRPr="003A4F06" w:rsidRDefault="000B5438" w:rsidP="000B5438">
      <w:pPr>
        <w:autoSpaceDE w:val="0"/>
        <w:autoSpaceDN w:val="0"/>
        <w:adjustRightInd w:val="0"/>
        <w:jc w:val="both"/>
        <w:rPr>
          <w:rFonts w:eastAsia="SimSun" w:cs="Arial"/>
          <w:iCs/>
          <w:szCs w:val="20"/>
          <w:lang w:eastAsia="zh-CN"/>
        </w:rPr>
      </w:pPr>
    </w:p>
    <w:p w:rsidR="000B5438" w:rsidRDefault="000B5438" w:rsidP="000B5438">
      <w:pPr>
        <w:rPr>
          <w:rFonts w:cs="Arial"/>
          <w:bCs/>
          <w:color w:val="000000"/>
          <w:szCs w:val="20"/>
        </w:rPr>
      </w:pPr>
      <w:r w:rsidRPr="0027745B">
        <w:rPr>
          <w:rFonts w:cs="Arial"/>
          <w:bCs/>
          <w:color w:val="000000"/>
          <w:szCs w:val="20"/>
        </w:rPr>
        <w:t>IMPLEMENTATION OF THE DEVELOPMENT AGENDA</w:t>
      </w:r>
    </w:p>
    <w:p w:rsidR="000B5438" w:rsidRPr="0027745B" w:rsidRDefault="000B5438" w:rsidP="000B5438">
      <w:pPr>
        <w:rPr>
          <w:rFonts w:cs="Arial"/>
          <w:bCs/>
          <w:color w:val="000000"/>
          <w:szCs w:val="20"/>
        </w:rPr>
      </w:pP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20.23</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 xml:space="preserve">The design of activities under Program 20 was aimed at supporting the implementation of DA Recommendations 2, 9, 14, 22, 24, 30, 40, and 42.  </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20.24</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In this regard, Program 20 continued to act as the coordinator within WIPO to support the mobilization of extra-budgetary resources (Recommendation 2) and cooperated with Program 9 on the implementation of the WIPO Matchmaking Database DA Project (Recommendation 9).</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6F08EA" w:rsidP="00CD26D6">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20.25</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With respect to Recommendation 14 on providing advice to developing countries and LDC’s on the implementation and operation of the rights and obligations, and the understanding and use of flexibilities contained in the TRIPS Agreement, Program 20, in cooperation with the substantive WIPO sectors, ensured that activities undertaken with the WTO and WHO reflected this Recommendation.</w:t>
      </w:r>
    </w:p>
    <w:p w:rsidR="000B5438" w:rsidRPr="003A4F06" w:rsidRDefault="000B5438" w:rsidP="000B5438">
      <w:pPr>
        <w:autoSpaceDE w:val="0"/>
        <w:autoSpaceDN w:val="0"/>
        <w:adjustRightInd w:val="0"/>
        <w:jc w:val="both"/>
        <w:rPr>
          <w:rFonts w:eastAsia="SimSun" w:cs="Arial"/>
          <w:iCs/>
          <w:szCs w:val="20"/>
          <w:lang w:eastAsia="zh-CN"/>
        </w:rPr>
      </w:pPr>
      <w:r w:rsidRPr="003A4F06">
        <w:rPr>
          <w:rFonts w:eastAsia="SimSun" w:cs="Arial"/>
          <w:iCs/>
          <w:szCs w:val="20"/>
          <w:lang w:eastAsia="zh-CN"/>
        </w:rPr>
        <w:t xml:space="preserve">  </w:t>
      </w: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20.26</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 xml:space="preserve">Program 20 also worked with relevant WIPO sectors to enhance their cooperation with other intergovernmental organizations. </w:t>
      </w:r>
      <w:r w:rsidR="000A07C2">
        <w:rPr>
          <w:rFonts w:eastAsia="SimSun" w:cs="Arial"/>
          <w:iCs/>
          <w:szCs w:val="20"/>
          <w:lang w:eastAsia="zh-CN"/>
        </w:rPr>
        <w:t xml:space="preserve"> </w:t>
      </w:r>
      <w:r w:rsidR="000B5438" w:rsidRPr="003A4F06">
        <w:rPr>
          <w:rFonts w:eastAsia="SimSun" w:cs="Arial"/>
          <w:iCs/>
          <w:szCs w:val="20"/>
          <w:lang w:eastAsia="zh-CN"/>
        </w:rPr>
        <w:t xml:space="preserve">Throughout the biennium, the Program continued to strengthen WIPO’s engagement in the work of the UN and to actively fulfill its role as a specialized agency of the UN system, as required by the DA (Recommendations 30 and 40).  In this regard, the Program contributed to various processes related to the post-2015 Development Framework, the work of the OWG, the implementation of the Rio+20 Conference - in particular in relation to the establishment of a technology transfer facilitation mechanism (paragraph 273 of the Rio+20 Outcome Document) and to the MDG Gap Task Force.  The Program also actively engaged in the UN Economic and Social Council (ECOSOC) substantive session in 2013, the United Nations Framework Convention on Climate Change (UNFCCC) Conference of the Parties (COP) 19 in Warsaw as well as the UNFCCC Technology Executive </w:t>
      </w:r>
      <w:r w:rsidR="000B5438" w:rsidRPr="003A4F06">
        <w:rPr>
          <w:rFonts w:eastAsia="SimSun" w:cs="Arial"/>
          <w:iCs/>
          <w:szCs w:val="20"/>
          <w:lang w:eastAsia="zh-CN"/>
        </w:rPr>
        <w:lastRenderedPageBreak/>
        <w:t>Committee and the Advisory Board of the Climate Technology Centre and Network, the World Summit on the Information Society Forum (WSIS Forum), the WSIS High Level Review Meeting (WSIS+10) and the Internet Governance Forum.</w:t>
      </w:r>
    </w:p>
    <w:p w:rsidR="000B5438" w:rsidRPr="003A4F06" w:rsidRDefault="000B5438" w:rsidP="000B5438">
      <w:pPr>
        <w:autoSpaceDE w:val="0"/>
        <w:autoSpaceDN w:val="0"/>
        <w:adjustRightInd w:val="0"/>
        <w:jc w:val="both"/>
        <w:rPr>
          <w:rFonts w:eastAsia="SimSun" w:cs="Arial"/>
          <w:iCs/>
          <w:szCs w:val="20"/>
          <w:lang w:eastAsia="zh-CN"/>
        </w:rPr>
      </w:pPr>
    </w:p>
    <w:p w:rsidR="000B5438" w:rsidRPr="003A4F06" w:rsidRDefault="006F08EA" w:rsidP="000B5438">
      <w:pPr>
        <w:tabs>
          <w:tab w:val="left" w:pos="709"/>
        </w:tabs>
        <w:autoSpaceDE w:val="0"/>
        <w:autoSpaceDN w:val="0"/>
        <w:adjustRightInd w:val="0"/>
        <w:jc w:val="both"/>
        <w:rPr>
          <w:rFonts w:eastAsia="SimSun" w:cs="Arial"/>
          <w:iCs/>
          <w:szCs w:val="20"/>
          <w:lang w:eastAsia="zh-CN"/>
        </w:rPr>
      </w:pPr>
      <w:r>
        <w:rPr>
          <w:rFonts w:eastAsia="SimSun" w:cs="Arial"/>
          <w:iCs/>
          <w:szCs w:val="20"/>
          <w:lang w:eastAsia="zh-CN"/>
        </w:rPr>
        <w:t>20.27</w:t>
      </w:r>
      <w:r w:rsidR="000B5438">
        <w:rPr>
          <w:rFonts w:eastAsia="SimSun" w:cs="Arial"/>
          <w:iCs/>
          <w:szCs w:val="20"/>
          <w:lang w:eastAsia="zh-CN"/>
        </w:rPr>
        <w:t>.</w:t>
      </w:r>
      <w:r w:rsidR="000B5438">
        <w:rPr>
          <w:rFonts w:eastAsia="SimSun" w:cs="Arial"/>
          <w:iCs/>
          <w:szCs w:val="20"/>
          <w:lang w:eastAsia="zh-CN"/>
        </w:rPr>
        <w:tab/>
      </w:r>
      <w:r w:rsidR="000B5438" w:rsidRPr="003A4F06">
        <w:rPr>
          <w:rFonts w:eastAsia="SimSun" w:cs="Arial"/>
          <w:iCs/>
          <w:szCs w:val="20"/>
          <w:lang w:eastAsia="zh-CN"/>
        </w:rPr>
        <w:t xml:space="preserve">Further to Recommendation 42, Program 20 also worked to enhance participation by civil society in WIPO meetings and to maintain WIPO’s close cooperation and collaboration with its non-governmental stakeholders, whether through workshops and seminars in which civil society representatives take part or lend expertise, the organization of side-events, information sessions, or other fora in which valuable exchanges with non-governmental participants take place.  In addition, the hosting of two annual </w:t>
      </w:r>
      <w:r w:rsidR="000A07C2" w:rsidRPr="003A4F06">
        <w:rPr>
          <w:rFonts w:eastAsia="SimSun" w:cs="Arial"/>
          <w:iCs/>
          <w:szCs w:val="20"/>
          <w:lang w:eastAsia="zh-CN"/>
        </w:rPr>
        <w:t>Director</w:t>
      </w:r>
      <w:r w:rsidR="000A07C2">
        <w:rPr>
          <w:rFonts w:eastAsia="SimSun" w:cs="Arial"/>
          <w:iCs/>
          <w:szCs w:val="20"/>
          <w:lang w:eastAsia="zh-CN"/>
        </w:rPr>
        <w:t> </w:t>
      </w:r>
      <w:r w:rsidR="000B5438" w:rsidRPr="003A4F06">
        <w:rPr>
          <w:rFonts w:eastAsia="SimSun" w:cs="Arial"/>
          <w:iCs/>
          <w:szCs w:val="20"/>
          <w:lang w:eastAsia="zh-CN"/>
        </w:rPr>
        <w:t>General’s Meeting with Accredited NGOs, in 2012 and 2013, remained a key part of that process and highlighted the particular importance given by WIPO to the interests and concerns of the NGO community.</w:t>
      </w:r>
    </w:p>
    <w:p w:rsidR="000B5438" w:rsidRPr="00861678" w:rsidRDefault="000B5438" w:rsidP="000B5438">
      <w:pPr>
        <w:rPr>
          <w:rFonts w:eastAsia="SimSun" w:cs="Arial"/>
          <w:sz w:val="16"/>
          <w:szCs w:val="16"/>
          <w:lang w:eastAsia="zh-CN"/>
        </w:rPr>
      </w:pPr>
    </w:p>
    <w:p w:rsidR="000B5438" w:rsidRPr="00861678" w:rsidRDefault="000B5438" w:rsidP="000B5438">
      <w:pPr>
        <w:rPr>
          <w:rFonts w:eastAsia="SimSun" w:cs="Arial"/>
          <w:sz w:val="16"/>
          <w:szCs w:val="16"/>
          <w:lang w:eastAsia="zh-CN"/>
        </w:rPr>
      </w:pPr>
    </w:p>
    <w:p w:rsidR="000B5438" w:rsidRPr="00E47C4B" w:rsidRDefault="000B5438" w:rsidP="000B5438">
      <w:pPr>
        <w:rPr>
          <w:rFonts w:eastAsia="SimSun" w:cs="Arial"/>
          <w:iCs/>
          <w:szCs w:val="20"/>
          <w:lang w:eastAsia="zh-CN"/>
        </w:rPr>
      </w:pPr>
      <w:r w:rsidRPr="00011B74">
        <w:rPr>
          <w:rFonts w:eastAsia="SimSun" w:cs="Arial"/>
          <w:lang w:eastAsia="zh-CN"/>
        </w:rPr>
        <w:t>PERFORMANCE DATA</w:t>
      </w:r>
    </w:p>
    <w:p w:rsidR="000B5438" w:rsidRPr="00011B74" w:rsidRDefault="000B5438" w:rsidP="000B5438">
      <w:pPr>
        <w:rPr>
          <w:rFonts w:eastAsia="SimSun" w:cs="Arial"/>
          <w:b/>
          <w:szCs w:val="20"/>
          <w:lang w:eastAsia="zh-CN"/>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952"/>
        <w:gridCol w:w="1868"/>
        <w:gridCol w:w="1686"/>
        <w:gridCol w:w="2573"/>
        <w:gridCol w:w="1278"/>
      </w:tblGrid>
      <w:tr w:rsidR="000B5438" w:rsidRPr="00011B74" w:rsidTr="00FD0123">
        <w:tc>
          <w:tcPr>
            <w:tcW w:w="5000" w:type="pct"/>
            <w:gridSpan w:val="5"/>
            <w:tcBorders>
              <w:top w:val="single" w:sz="4" w:space="0" w:color="auto"/>
              <w:bottom w:val="single" w:sz="4" w:space="0" w:color="auto"/>
            </w:tcBorders>
            <w:shd w:val="clear" w:color="auto" w:fill="CCFFFF"/>
            <w:vAlign w:val="center"/>
          </w:tcPr>
          <w:p w:rsidR="000B5438" w:rsidRPr="00A67F47" w:rsidRDefault="000B5438" w:rsidP="007C0423">
            <w:pPr>
              <w:keepNext/>
              <w:keepLines/>
              <w:tabs>
                <w:tab w:val="left" w:pos="1452"/>
              </w:tabs>
              <w:spacing w:before="120" w:after="120"/>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A67F47">
              <w:rPr>
                <w:rFonts w:eastAsia="SimSun" w:cs="Arial"/>
                <w:color w:val="000000"/>
                <w:sz w:val="16"/>
                <w:szCs w:val="16"/>
                <w:lang w:eastAsia="zh-CN"/>
              </w:rPr>
              <w:t>WIPO effectively interacts and partners with UN and other IGO processes and negotiations</w:t>
            </w:r>
          </w:p>
        </w:tc>
      </w:tr>
      <w:tr w:rsidR="000B5438" w:rsidRPr="00717972" w:rsidTr="00FD0123">
        <w:tc>
          <w:tcPr>
            <w:tcW w:w="1043" w:type="pct"/>
            <w:tcBorders>
              <w:top w:val="single" w:sz="4" w:space="0" w:color="auto"/>
            </w:tcBorders>
            <w:shd w:val="clear" w:color="auto" w:fill="auto"/>
            <w:vAlign w:val="center"/>
          </w:tcPr>
          <w:p w:rsidR="000B5438" w:rsidRPr="00A67F47" w:rsidRDefault="000B5438" w:rsidP="007C0423">
            <w:pPr>
              <w:rPr>
                <w:rFonts w:eastAsia="SimSun" w:cs="Arial"/>
                <w:sz w:val="16"/>
                <w:szCs w:val="16"/>
                <w:lang w:eastAsia="zh-CN"/>
              </w:rPr>
            </w:pPr>
            <w:r w:rsidRPr="00A67F47">
              <w:rPr>
                <w:rFonts w:eastAsia="SimSun" w:cs="Arial"/>
                <w:b/>
                <w:bCs/>
                <w:sz w:val="16"/>
                <w:szCs w:val="16"/>
                <w:lang w:eastAsia="zh-CN"/>
              </w:rPr>
              <w:t>Performance Indicators</w:t>
            </w:r>
          </w:p>
        </w:tc>
        <w:tc>
          <w:tcPr>
            <w:tcW w:w="998" w:type="pct"/>
            <w:tcBorders>
              <w:top w:val="single" w:sz="4" w:space="0" w:color="auto"/>
            </w:tcBorders>
            <w:shd w:val="clear" w:color="auto" w:fill="auto"/>
            <w:vAlign w:val="center"/>
          </w:tcPr>
          <w:p w:rsidR="000B5438" w:rsidRPr="00A67F47" w:rsidRDefault="000B5438" w:rsidP="007C0423">
            <w:pPr>
              <w:rPr>
                <w:rFonts w:eastAsia="SimSun" w:cs="Arial"/>
                <w:b/>
                <w:bCs/>
                <w:sz w:val="16"/>
                <w:szCs w:val="16"/>
                <w:lang w:eastAsia="zh-CN"/>
              </w:rPr>
            </w:pPr>
            <w:r w:rsidRPr="0027745B">
              <w:rPr>
                <w:rFonts w:cs="Arial"/>
                <w:b/>
                <w:bCs/>
                <w:sz w:val="16"/>
                <w:szCs w:val="16"/>
              </w:rPr>
              <w:t>Baselines</w:t>
            </w:r>
          </w:p>
        </w:tc>
        <w:tc>
          <w:tcPr>
            <w:tcW w:w="901" w:type="pct"/>
            <w:tcBorders>
              <w:top w:val="single" w:sz="4" w:space="0" w:color="auto"/>
            </w:tcBorders>
            <w:shd w:val="clear" w:color="auto" w:fill="auto"/>
            <w:tcMar>
              <w:top w:w="110" w:type="dxa"/>
            </w:tcMar>
            <w:vAlign w:val="center"/>
          </w:tcPr>
          <w:p w:rsidR="000B5438" w:rsidRPr="0027745B" w:rsidRDefault="000B5438" w:rsidP="007C0423">
            <w:pPr>
              <w:rPr>
                <w:rFonts w:eastAsia="SimSun" w:cs="Arial"/>
                <w:b/>
                <w:sz w:val="16"/>
                <w:szCs w:val="16"/>
                <w:lang w:eastAsia="zh-CN"/>
              </w:rPr>
            </w:pPr>
            <w:r w:rsidRPr="0027745B">
              <w:rPr>
                <w:rFonts w:cs="Arial"/>
                <w:b/>
                <w:sz w:val="16"/>
                <w:szCs w:val="16"/>
              </w:rPr>
              <w:t>Target</w:t>
            </w:r>
            <w:r w:rsidR="002F7D53">
              <w:rPr>
                <w:rFonts w:cs="Arial"/>
                <w:b/>
                <w:sz w:val="16"/>
                <w:szCs w:val="16"/>
              </w:rPr>
              <w:t>s</w:t>
            </w:r>
          </w:p>
        </w:tc>
        <w:tc>
          <w:tcPr>
            <w:tcW w:w="1375" w:type="pct"/>
            <w:tcBorders>
              <w:top w:val="single" w:sz="4" w:space="0" w:color="auto"/>
            </w:tcBorders>
            <w:shd w:val="clear" w:color="auto" w:fill="FFFFFF"/>
            <w:tcMar>
              <w:top w:w="110" w:type="dxa"/>
            </w:tcMar>
            <w:vAlign w:val="center"/>
          </w:tcPr>
          <w:p w:rsidR="000B5438" w:rsidRPr="00A67F47" w:rsidRDefault="000B5438" w:rsidP="007C0423">
            <w:pPr>
              <w:rPr>
                <w:rFonts w:eastAsia="SimSun" w:cs="Arial"/>
                <w:sz w:val="16"/>
                <w:szCs w:val="16"/>
                <w:lang w:eastAsia="zh-CN"/>
              </w:rPr>
            </w:pPr>
            <w:r w:rsidRPr="00A67F47">
              <w:rPr>
                <w:rFonts w:eastAsia="SimSun" w:cs="Arial"/>
                <w:b/>
                <w:bCs/>
                <w:sz w:val="16"/>
                <w:szCs w:val="16"/>
                <w:lang w:eastAsia="zh-CN"/>
              </w:rPr>
              <w:t>Performance Data</w:t>
            </w:r>
          </w:p>
        </w:tc>
        <w:tc>
          <w:tcPr>
            <w:tcW w:w="683" w:type="pct"/>
            <w:tcBorders>
              <w:top w:val="single" w:sz="4" w:space="0" w:color="auto"/>
            </w:tcBorders>
            <w:shd w:val="clear" w:color="auto" w:fill="auto"/>
            <w:tcMar>
              <w:top w:w="110" w:type="dxa"/>
            </w:tcMar>
            <w:vAlign w:val="center"/>
          </w:tcPr>
          <w:p w:rsidR="000B5438" w:rsidRPr="0027745B" w:rsidRDefault="000B5438" w:rsidP="007C0423">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Use of WIPO’s contributions in reports, resolutions and documents from targeted processes</w:t>
            </w:r>
          </w:p>
          <w:p w:rsidR="000B5438" w:rsidRPr="00A67F47" w:rsidRDefault="000B5438" w:rsidP="007C0423">
            <w:pPr>
              <w:rPr>
                <w:rFonts w:eastAsia="SimSun" w:cs="Arial"/>
                <w:color w:val="000000"/>
                <w:sz w:val="16"/>
                <w:szCs w:val="16"/>
                <w:lang w:eastAsia="zh-CN"/>
              </w:rPr>
            </w:pPr>
          </w:p>
        </w:tc>
        <w:tc>
          <w:tcPr>
            <w:tcW w:w="998" w:type="pct"/>
            <w:shd w:val="clear" w:color="auto" w:fill="auto"/>
          </w:tcPr>
          <w:p w:rsidR="000B5438" w:rsidRPr="0027745B" w:rsidRDefault="000B5438" w:rsidP="007C0423">
            <w:pPr>
              <w:rPr>
                <w:rFonts w:eastAsiaTheme="minorHAnsi" w:cs="Arial"/>
                <w:i/>
                <w:color w:val="002060"/>
                <w:sz w:val="16"/>
                <w:szCs w:val="16"/>
              </w:rPr>
            </w:pPr>
            <w:r w:rsidRPr="0027745B">
              <w:rPr>
                <w:rFonts w:cs="Arial"/>
                <w:i/>
                <w:color w:val="002060"/>
                <w:sz w:val="16"/>
                <w:szCs w:val="16"/>
              </w:rPr>
              <w:t xml:space="preserve">Updated Baseline end 2011:  </w:t>
            </w:r>
            <w:r w:rsidRPr="0027745B">
              <w:rPr>
                <w:rFonts w:eastAsia="SimSun" w:cs="Arial"/>
                <w:color w:val="002060"/>
                <w:sz w:val="16"/>
                <w:szCs w:val="16"/>
                <w:lang w:eastAsia="zh-CN" w:bidi="th-TH"/>
              </w:rPr>
              <w:t>20 out of 24 submissions (2010/11)</w:t>
            </w:r>
          </w:p>
          <w:p w:rsidR="000B5438" w:rsidRPr="00861678" w:rsidRDefault="000B5438" w:rsidP="007C0423">
            <w:pPr>
              <w:rPr>
                <w:rFonts w:cs="Arial"/>
                <w:i/>
                <w:color w:val="002060"/>
                <w:sz w:val="8"/>
                <w:szCs w:val="8"/>
              </w:rPr>
            </w:pPr>
          </w:p>
          <w:p w:rsidR="000B5438" w:rsidRPr="00A67F47" w:rsidRDefault="000B5438" w:rsidP="007C0423">
            <w:pPr>
              <w:rPr>
                <w:rFonts w:eastAsia="SimSun" w:cs="Arial"/>
                <w:color w:val="000000"/>
                <w:sz w:val="16"/>
                <w:szCs w:val="16"/>
                <w:lang w:eastAsia="zh-CN"/>
              </w:rPr>
            </w:pPr>
            <w:r w:rsidRPr="0027745B">
              <w:rPr>
                <w:rFonts w:cs="Arial"/>
                <w:i/>
                <w:sz w:val="16"/>
                <w:szCs w:val="16"/>
              </w:rPr>
              <w:t>Original Baseline P&amp;B 2012/13:</w:t>
            </w:r>
            <w:r w:rsidR="00861678">
              <w:rPr>
                <w:rFonts w:cs="Arial"/>
                <w:sz w:val="16"/>
                <w:szCs w:val="16"/>
              </w:rPr>
              <w:t xml:space="preserve"> </w:t>
            </w:r>
            <w:r w:rsidR="00FD0123">
              <w:rPr>
                <w:rFonts w:cs="Arial"/>
                <w:sz w:val="16"/>
                <w:szCs w:val="16"/>
              </w:rPr>
              <w:t xml:space="preserve"> </w:t>
            </w:r>
            <w:r w:rsidRPr="00A67F47">
              <w:rPr>
                <w:rFonts w:eastAsia="SimSun" w:cs="Arial"/>
                <w:color w:val="000000"/>
                <w:sz w:val="16"/>
                <w:szCs w:val="16"/>
                <w:lang w:eastAsia="zh-CN"/>
              </w:rPr>
              <w:t>Data not available</w:t>
            </w:r>
          </w:p>
        </w:tc>
        <w:tc>
          <w:tcPr>
            <w:tcW w:w="901" w:type="pct"/>
            <w:shd w:val="clear" w:color="auto" w:fill="auto"/>
            <w:tcMar>
              <w:top w:w="110" w:type="dxa"/>
            </w:tcMar>
          </w:tcPr>
          <w:p w:rsidR="000B5438" w:rsidRPr="0027745B" w:rsidRDefault="000B5438" w:rsidP="007C0423">
            <w:pPr>
              <w:rPr>
                <w:rFonts w:eastAsia="SimSun" w:cs="Arial"/>
                <w:sz w:val="16"/>
                <w:szCs w:val="16"/>
                <w:lang w:eastAsia="zh-CN"/>
              </w:rPr>
            </w:pPr>
            <w:r w:rsidRPr="0027745B">
              <w:rPr>
                <w:rFonts w:eastAsia="SimSun" w:cs="Arial"/>
                <w:sz w:val="16"/>
                <w:szCs w:val="16"/>
                <w:lang w:eastAsia="zh-CN"/>
              </w:rPr>
              <w:t>100%</w:t>
            </w:r>
          </w:p>
          <w:p w:rsidR="000B5438" w:rsidRPr="0027745B" w:rsidRDefault="000B5438" w:rsidP="007C0423">
            <w:pPr>
              <w:rPr>
                <w:rFonts w:eastAsia="SimSun" w:cs="Arial"/>
                <w:sz w:val="16"/>
                <w:szCs w:val="16"/>
                <w:lang w:eastAsia="zh-CN" w:bidi="th-TH"/>
              </w:rPr>
            </w:pP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bidi="th-TH"/>
              </w:rPr>
              <w:t>38 submissions in 2012/13, all of which were satisfactorily reflected</w:t>
            </w:r>
            <w:r w:rsidR="00FD0123">
              <w:rPr>
                <w:rFonts w:eastAsia="SimSun" w:cs="Arial"/>
                <w:sz w:val="16"/>
                <w:szCs w:val="16"/>
                <w:lang w:eastAsia="zh-CN" w:bidi="th-TH"/>
              </w:rPr>
              <w:t>.</w:t>
            </w:r>
          </w:p>
        </w:tc>
        <w:tc>
          <w:tcPr>
            <w:tcW w:w="683" w:type="pct"/>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27745B">
              <w:rPr>
                <w:rFonts w:cs="Arial"/>
                <w:bCs/>
                <w:color w:val="008000"/>
                <w:sz w:val="16"/>
                <w:szCs w:val="16"/>
              </w:rPr>
              <w:t>Fully</w:t>
            </w:r>
            <w:r w:rsidRPr="0027745B">
              <w:rPr>
                <w:rFonts w:cs="Arial"/>
                <w:bCs/>
                <w:color w:val="008000"/>
                <w:sz w:val="16"/>
                <w:szCs w:val="16"/>
              </w:rPr>
              <w:br/>
              <w:t>Achieved</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Feedback on WIPO’s contribution/participation in UN and other IGO processes and fora</w:t>
            </w:r>
          </w:p>
        </w:tc>
        <w:tc>
          <w:tcPr>
            <w:tcW w:w="998"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Data not available</w:t>
            </w:r>
          </w:p>
        </w:tc>
        <w:tc>
          <w:tcPr>
            <w:tcW w:w="901" w:type="pct"/>
            <w:shd w:val="clear" w:color="auto" w:fill="auto"/>
            <w:tcMar>
              <w:top w:w="110" w:type="dxa"/>
            </w:tcMar>
          </w:tcPr>
          <w:p w:rsidR="000B5438" w:rsidRPr="0027745B" w:rsidRDefault="000B5438" w:rsidP="007C0423">
            <w:pPr>
              <w:rPr>
                <w:rFonts w:eastAsia="SimSun" w:cs="Arial"/>
                <w:sz w:val="16"/>
                <w:szCs w:val="16"/>
                <w:lang w:eastAsia="zh-CN"/>
              </w:rPr>
            </w:pPr>
            <w:r w:rsidRPr="0027745B">
              <w:rPr>
                <w:rFonts w:eastAsia="SimSun" w:cs="Arial"/>
                <w:sz w:val="16"/>
                <w:szCs w:val="16"/>
                <w:lang w:eastAsia="zh-CN"/>
              </w:rPr>
              <w:t>Positive ratings of WIPO</w:t>
            </w:r>
            <w:r w:rsidRPr="00A67F47">
              <w:rPr>
                <w:rFonts w:eastAsia="SimSun" w:cs="Arial"/>
                <w:sz w:val="16"/>
                <w:szCs w:val="16"/>
                <w:lang w:eastAsia="zh-CN"/>
              </w:rPr>
              <w:t>’</w:t>
            </w:r>
            <w:r w:rsidRPr="0027745B">
              <w:rPr>
                <w:rFonts w:eastAsia="SimSun" w:cs="Arial"/>
                <w:sz w:val="16"/>
                <w:szCs w:val="16"/>
                <w:lang w:eastAsia="zh-CN"/>
              </w:rPr>
              <w:t>s contribution/</w:t>
            </w:r>
            <w:r w:rsidRPr="00A67F47">
              <w:rPr>
                <w:rFonts w:eastAsia="SimSun" w:cs="Arial"/>
                <w:sz w:val="16"/>
                <w:szCs w:val="16"/>
                <w:lang w:eastAsia="zh-CN"/>
              </w:rPr>
              <w:t xml:space="preserve"> </w:t>
            </w:r>
            <w:r w:rsidRPr="0027745B">
              <w:rPr>
                <w:rFonts w:eastAsia="SimSun" w:cs="Arial"/>
                <w:sz w:val="16"/>
                <w:szCs w:val="16"/>
                <w:lang w:eastAsia="zh-CN"/>
              </w:rPr>
              <w:t>participation</w:t>
            </w: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Data not available</w:t>
            </w:r>
            <w:r w:rsidR="00FD0123">
              <w:rPr>
                <w:rFonts w:eastAsia="SimSun" w:cs="Arial"/>
                <w:sz w:val="16"/>
                <w:szCs w:val="16"/>
                <w:lang w:eastAsia="zh-CN"/>
              </w:rPr>
              <w:t>.</w:t>
            </w:r>
          </w:p>
        </w:tc>
        <w:tc>
          <w:tcPr>
            <w:tcW w:w="683" w:type="pct"/>
            <w:shd w:val="clear" w:color="auto" w:fill="auto"/>
            <w:tcMar>
              <w:top w:w="110" w:type="dxa"/>
            </w:tcMar>
          </w:tcPr>
          <w:p w:rsidR="000B5438" w:rsidRPr="0027745B" w:rsidRDefault="000B5438" w:rsidP="007C0423">
            <w:pPr>
              <w:keepNext/>
              <w:keepLines/>
              <w:jc w:val="center"/>
              <w:rPr>
                <w:rFonts w:eastAsia="SimSun" w:cs="Arial"/>
                <w:color w:val="808080"/>
                <w:sz w:val="16"/>
                <w:szCs w:val="16"/>
                <w:lang w:eastAsia="zh-CN"/>
              </w:rPr>
            </w:pPr>
            <w:r w:rsidRPr="0027745B">
              <w:rPr>
                <w:rFonts w:eastAsia="SimSun" w:cs="Arial"/>
                <w:sz w:val="16"/>
                <w:szCs w:val="16"/>
                <w:lang w:eastAsia="zh-CN"/>
              </w:rPr>
              <w:t>Discontinued</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Percentage of responses to external requests for contributions from the UN, IGOs etc, submitted on time</w:t>
            </w:r>
          </w:p>
        </w:tc>
        <w:tc>
          <w:tcPr>
            <w:tcW w:w="998" w:type="pct"/>
            <w:shd w:val="clear" w:color="auto" w:fill="auto"/>
          </w:tcPr>
          <w:p w:rsidR="000B5438" w:rsidRPr="00A67F47" w:rsidRDefault="000B5438" w:rsidP="007C0423">
            <w:pPr>
              <w:rPr>
                <w:rFonts w:cs="Arial"/>
                <w:i/>
                <w:color w:val="002060"/>
                <w:sz w:val="16"/>
                <w:szCs w:val="16"/>
              </w:rPr>
            </w:pPr>
            <w:r w:rsidRPr="00A67F47">
              <w:rPr>
                <w:rFonts w:cs="Arial"/>
                <w:i/>
                <w:color w:val="002060"/>
                <w:sz w:val="16"/>
                <w:szCs w:val="16"/>
              </w:rPr>
              <w:t xml:space="preserve">Updated Baseline end 2011:  </w:t>
            </w:r>
            <w:r w:rsidRPr="0027745B">
              <w:rPr>
                <w:rFonts w:eastAsia="SimSun" w:cs="Arial"/>
                <w:color w:val="002060"/>
                <w:sz w:val="16"/>
                <w:szCs w:val="16"/>
                <w:lang w:eastAsia="zh-CN" w:bidi="th-TH"/>
              </w:rPr>
              <w:t>80%</w:t>
            </w:r>
          </w:p>
          <w:p w:rsidR="000B5438" w:rsidRPr="00FD0123" w:rsidRDefault="000B5438" w:rsidP="007C0423">
            <w:pPr>
              <w:rPr>
                <w:rFonts w:cs="Arial"/>
                <w:i/>
                <w:color w:val="002060"/>
                <w:sz w:val="8"/>
                <w:szCs w:val="8"/>
              </w:rPr>
            </w:pPr>
          </w:p>
          <w:p w:rsidR="000B5438" w:rsidRPr="00A67F47" w:rsidRDefault="000B5438" w:rsidP="007C0423">
            <w:pPr>
              <w:rPr>
                <w:rFonts w:eastAsia="SimSun" w:cs="Arial"/>
                <w:color w:val="000000"/>
                <w:sz w:val="16"/>
                <w:szCs w:val="16"/>
                <w:lang w:eastAsia="zh-CN"/>
              </w:rPr>
            </w:pPr>
            <w:r w:rsidRPr="00A67F47">
              <w:rPr>
                <w:rFonts w:cs="Arial"/>
                <w:i/>
                <w:sz w:val="16"/>
                <w:szCs w:val="16"/>
              </w:rPr>
              <w:t>Original Baseline P&amp;B 2012/13:</w:t>
            </w:r>
            <w:r w:rsidRPr="00A67F47">
              <w:rPr>
                <w:rFonts w:cs="Arial"/>
                <w:sz w:val="16"/>
                <w:szCs w:val="16"/>
              </w:rPr>
              <w:t xml:space="preserve">  </w:t>
            </w:r>
            <w:r w:rsidRPr="00A67F47">
              <w:rPr>
                <w:rFonts w:eastAsia="SimSun" w:cs="Arial"/>
                <w:color w:val="000000"/>
                <w:sz w:val="16"/>
                <w:szCs w:val="16"/>
                <w:lang w:eastAsia="zh-CN"/>
              </w:rPr>
              <w:t>Data not available</w:t>
            </w:r>
          </w:p>
        </w:tc>
        <w:tc>
          <w:tcPr>
            <w:tcW w:w="901" w:type="pct"/>
            <w:shd w:val="clear" w:color="auto" w:fill="auto"/>
            <w:tcMar>
              <w:top w:w="110" w:type="dxa"/>
            </w:tcMar>
          </w:tcPr>
          <w:p w:rsidR="000B5438" w:rsidRPr="0027745B" w:rsidRDefault="000B5438" w:rsidP="007C0423">
            <w:pPr>
              <w:rPr>
                <w:rFonts w:eastAsia="SimSun" w:cs="Arial"/>
                <w:sz w:val="16"/>
                <w:szCs w:val="16"/>
                <w:lang w:eastAsia="zh-CN" w:bidi="th-TH"/>
              </w:rPr>
            </w:pPr>
            <w:r w:rsidRPr="0027745B">
              <w:rPr>
                <w:rFonts w:eastAsia="SimSun" w:cs="Arial"/>
                <w:sz w:val="16"/>
                <w:szCs w:val="16"/>
                <w:lang w:eastAsia="zh-CN"/>
              </w:rPr>
              <w:t>100%</w:t>
            </w:r>
          </w:p>
        </w:tc>
        <w:tc>
          <w:tcPr>
            <w:tcW w:w="1375" w:type="pct"/>
            <w:shd w:val="clear" w:color="auto" w:fill="FFFFFF"/>
            <w:tcMar>
              <w:top w:w="110" w:type="dxa"/>
            </w:tcMar>
          </w:tcPr>
          <w:p w:rsidR="000B5438" w:rsidRPr="00A67F47" w:rsidRDefault="000B5438">
            <w:pPr>
              <w:rPr>
                <w:rFonts w:eastAsia="SimSun" w:cs="Arial"/>
                <w:sz w:val="16"/>
                <w:szCs w:val="16"/>
                <w:lang w:eastAsia="zh-CN"/>
              </w:rPr>
            </w:pPr>
            <w:r w:rsidRPr="00A67F47">
              <w:rPr>
                <w:rFonts w:eastAsia="SimSun" w:cs="Arial"/>
                <w:sz w:val="16"/>
                <w:szCs w:val="16"/>
                <w:lang w:eastAsia="zh-CN"/>
              </w:rPr>
              <w:t xml:space="preserve">90.5% processed within </w:t>
            </w:r>
            <w:r w:rsidR="00FD0123" w:rsidRPr="00A67F47">
              <w:rPr>
                <w:rFonts w:eastAsia="SimSun" w:cs="Arial"/>
                <w:sz w:val="16"/>
                <w:szCs w:val="16"/>
                <w:lang w:eastAsia="zh-CN"/>
              </w:rPr>
              <w:t>5</w:t>
            </w:r>
            <w:r w:rsidR="00FD0123">
              <w:rPr>
                <w:rFonts w:eastAsia="SimSun" w:cs="Arial"/>
                <w:sz w:val="16"/>
                <w:szCs w:val="16"/>
                <w:lang w:eastAsia="zh-CN"/>
              </w:rPr>
              <w:t> </w:t>
            </w:r>
            <w:r w:rsidRPr="00A67F47">
              <w:rPr>
                <w:rFonts w:eastAsia="SimSun" w:cs="Arial"/>
                <w:sz w:val="16"/>
                <w:szCs w:val="16"/>
                <w:lang w:eastAsia="zh-CN"/>
              </w:rPr>
              <w:t>working days</w:t>
            </w:r>
            <w:r w:rsidR="00FD0123">
              <w:rPr>
                <w:rFonts w:eastAsia="SimSun" w:cs="Arial"/>
                <w:sz w:val="16"/>
                <w:szCs w:val="16"/>
                <w:lang w:eastAsia="zh-CN"/>
              </w:rPr>
              <w:t>.</w:t>
            </w:r>
          </w:p>
        </w:tc>
        <w:tc>
          <w:tcPr>
            <w:tcW w:w="683" w:type="pct"/>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27745B">
              <w:rPr>
                <w:rFonts w:cs="Arial"/>
                <w:bCs/>
                <w:color w:val="008000"/>
                <w:sz w:val="16"/>
                <w:szCs w:val="16"/>
              </w:rPr>
              <w:t>Fully</w:t>
            </w:r>
            <w:r w:rsidRPr="0027745B">
              <w:rPr>
                <w:rFonts w:cs="Arial"/>
                <w:bCs/>
                <w:color w:val="008000"/>
                <w:sz w:val="16"/>
                <w:szCs w:val="16"/>
              </w:rPr>
              <w:br/>
              <w:t>Achieved</w:t>
            </w:r>
          </w:p>
        </w:tc>
      </w:tr>
      <w:tr w:rsidR="000B5438" w:rsidRPr="00011B74" w:rsidTr="00FD0123">
        <w:tc>
          <w:tcPr>
            <w:tcW w:w="1043" w:type="pct"/>
            <w:tcBorders>
              <w:bottom w:val="single" w:sz="4" w:space="0" w:color="auto"/>
            </w:tcBorders>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No. of joint activities/</w:t>
            </w:r>
            <w:r w:rsidR="000A07C2">
              <w:rPr>
                <w:rFonts w:eastAsia="SimSun" w:cs="Arial"/>
                <w:color w:val="000000"/>
                <w:sz w:val="16"/>
                <w:szCs w:val="16"/>
                <w:lang w:eastAsia="zh-CN"/>
              </w:rPr>
              <w:t xml:space="preserve"> </w:t>
            </w:r>
            <w:r w:rsidRPr="00A67F47">
              <w:rPr>
                <w:rFonts w:eastAsia="SimSun" w:cs="Arial"/>
                <w:color w:val="000000"/>
                <w:sz w:val="16"/>
                <w:szCs w:val="16"/>
                <w:lang w:eastAsia="zh-CN"/>
              </w:rPr>
              <w:t>workplans implemented and reviewed in line with agreements with partner organizations (new and existing MoU’s with IGOs)</w:t>
            </w:r>
          </w:p>
          <w:p w:rsidR="000B5438" w:rsidRPr="00A67F47" w:rsidRDefault="000B5438" w:rsidP="007C0423">
            <w:pPr>
              <w:rPr>
                <w:rFonts w:eastAsia="SimSun" w:cs="Arial"/>
                <w:color w:val="000000"/>
                <w:sz w:val="16"/>
                <w:szCs w:val="16"/>
                <w:lang w:eastAsia="zh-CN"/>
              </w:rPr>
            </w:pPr>
          </w:p>
        </w:tc>
        <w:tc>
          <w:tcPr>
            <w:tcW w:w="998" w:type="pct"/>
            <w:tcBorders>
              <w:bottom w:val="single" w:sz="4" w:space="0" w:color="auto"/>
            </w:tcBorders>
            <w:shd w:val="clear" w:color="auto" w:fill="auto"/>
          </w:tcPr>
          <w:p w:rsidR="000B5438" w:rsidRPr="00A67F47" w:rsidRDefault="000B5438" w:rsidP="007C0423">
            <w:pPr>
              <w:rPr>
                <w:rFonts w:cs="Arial"/>
                <w:i/>
                <w:color w:val="002060"/>
                <w:sz w:val="16"/>
                <w:szCs w:val="16"/>
              </w:rPr>
            </w:pPr>
            <w:r w:rsidRPr="00A67F47">
              <w:rPr>
                <w:rFonts w:cs="Arial"/>
                <w:i/>
                <w:color w:val="002060"/>
                <w:sz w:val="16"/>
                <w:szCs w:val="16"/>
              </w:rPr>
              <w:t xml:space="preserve">Updated Baseline end 2011:  </w:t>
            </w:r>
            <w:r w:rsidRPr="0027745B">
              <w:rPr>
                <w:rFonts w:eastAsia="SimSun" w:cs="Arial"/>
                <w:color w:val="002060"/>
                <w:sz w:val="16"/>
                <w:szCs w:val="16"/>
                <w:lang w:eastAsia="zh-CN"/>
              </w:rPr>
              <w:t>Reported in relevant programs for 2010/11</w:t>
            </w:r>
          </w:p>
          <w:p w:rsidR="000B5438" w:rsidRPr="00FD0123" w:rsidRDefault="000B5438" w:rsidP="007C0423">
            <w:pPr>
              <w:rPr>
                <w:rFonts w:cs="Arial"/>
                <w:i/>
                <w:sz w:val="8"/>
                <w:szCs w:val="8"/>
              </w:rPr>
            </w:pPr>
          </w:p>
          <w:p w:rsidR="000B5438" w:rsidRPr="0027745B" w:rsidRDefault="000B5438" w:rsidP="007C0423">
            <w:pPr>
              <w:rPr>
                <w:rFonts w:eastAsia="SimSun" w:cs="Arial"/>
                <w:sz w:val="16"/>
                <w:szCs w:val="16"/>
                <w:lang w:eastAsia="zh-CN"/>
              </w:rPr>
            </w:pPr>
            <w:r w:rsidRPr="00A67F47">
              <w:rPr>
                <w:rFonts w:cs="Arial"/>
                <w:i/>
                <w:sz w:val="16"/>
                <w:szCs w:val="16"/>
              </w:rPr>
              <w:t>Original Baseline P&amp;B 2012/13:</w:t>
            </w:r>
            <w:r w:rsidRPr="00A67F47">
              <w:rPr>
                <w:rFonts w:cs="Arial"/>
                <w:sz w:val="16"/>
                <w:szCs w:val="16"/>
              </w:rPr>
              <w:t xml:space="preserve">  </w:t>
            </w:r>
            <w:r w:rsidRPr="0027745B">
              <w:rPr>
                <w:rFonts w:eastAsia="SimSun" w:cs="Arial"/>
                <w:sz w:val="16"/>
                <w:szCs w:val="16"/>
                <w:lang w:eastAsia="zh-CN"/>
              </w:rPr>
              <w:t>Data not available</w:t>
            </w:r>
          </w:p>
          <w:p w:rsidR="000B5438" w:rsidRPr="00A67F47" w:rsidRDefault="000B5438" w:rsidP="007C0423">
            <w:pPr>
              <w:rPr>
                <w:rFonts w:eastAsia="SimSun" w:cs="Arial"/>
                <w:color w:val="000000"/>
                <w:sz w:val="16"/>
                <w:szCs w:val="16"/>
                <w:lang w:eastAsia="zh-CN"/>
              </w:rPr>
            </w:pPr>
          </w:p>
        </w:tc>
        <w:tc>
          <w:tcPr>
            <w:tcW w:w="901" w:type="pct"/>
            <w:tcBorders>
              <w:bottom w:val="single" w:sz="4" w:space="0" w:color="auto"/>
            </w:tcBorders>
            <w:shd w:val="clear" w:color="auto" w:fill="auto"/>
            <w:tcMar>
              <w:top w:w="110" w:type="dxa"/>
            </w:tcMar>
          </w:tcPr>
          <w:p w:rsidR="000B5438" w:rsidRPr="0027745B" w:rsidRDefault="000B5438" w:rsidP="007C0423">
            <w:pPr>
              <w:rPr>
                <w:rFonts w:eastAsia="SimSun" w:cs="Arial"/>
                <w:sz w:val="16"/>
                <w:szCs w:val="16"/>
                <w:lang w:eastAsia="zh-CN"/>
              </w:rPr>
            </w:pPr>
            <w:r w:rsidRPr="0027745B">
              <w:rPr>
                <w:rFonts w:eastAsia="SimSun" w:cs="Arial"/>
                <w:sz w:val="16"/>
                <w:szCs w:val="16"/>
                <w:lang w:eastAsia="zh-CN"/>
              </w:rPr>
              <w:t>Activities:</w:t>
            </w:r>
            <w:r w:rsidR="00FD0123">
              <w:rPr>
                <w:rFonts w:eastAsia="SimSun" w:cs="Arial"/>
                <w:sz w:val="16"/>
                <w:szCs w:val="16"/>
                <w:lang w:eastAsia="zh-CN"/>
              </w:rPr>
              <w:t xml:space="preserve">  </w:t>
            </w:r>
            <w:r w:rsidRPr="0027745B">
              <w:rPr>
                <w:rFonts w:eastAsia="SimSun" w:cs="Arial"/>
                <w:sz w:val="16"/>
                <w:szCs w:val="16"/>
                <w:lang w:eastAsia="zh-CN"/>
              </w:rPr>
              <w:t>8</w:t>
            </w:r>
          </w:p>
          <w:p w:rsidR="000B5438" w:rsidRPr="0027745B" w:rsidRDefault="000B5438" w:rsidP="007C0423">
            <w:pPr>
              <w:rPr>
                <w:rFonts w:eastAsia="SimSun" w:cs="Arial"/>
                <w:sz w:val="16"/>
                <w:szCs w:val="16"/>
                <w:lang w:eastAsia="zh-CN"/>
              </w:rPr>
            </w:pPr>
            <w:r w:rsidRPr="0027745B">
              <w:rPr>
                <w:rFonts w:eastAsia="SimSun" w:cs="Arial"/>
                <w:sz w:val="16"/>
                <w:szCs w:val="16"/>
                <w:lang w:eastAsia="zh-CN"/>
              </w:rPr>
              <w:t>Workplans:</w:t>
            </w:r>
            <w:r w:rsidR="00FD0123">
              <w:rPr>
                <w:rFonts w:eastAsia="SimSun" w:cs="Arial"/>
                <w:sz w:val="16"/>
                <w:szCs w:val="16"/>
                <w:lang w:eastAsia="zh-CN"/>
              </w:rPr>
              <w:t xml:space="preserve">  </w:t>
            </w:r>
            <w:r w:rsidRPr="0027745B">
              <w:rPr>
                <w:rFonts w:eastAsia="SimSun" w:cs="Arial"/>
                <w:sz w:val="16"/>
                <w:szCs w:val="16"/>
                <w:lang w:eastAsia="zh-CN"/>
              </w:rPr>
              <w:t>4</w:t>
            </w:r>
          </w:p>
        </w:tc>
        <w:tc>
          <w:tcPr>
            <w:tcW w:w="1375" w:type="pct"/>
            <w:tcBorders>
              <w:bottom w:val="single" w:sz="4" w:space="0" w:color="auto"/>
            </w:tcBorders>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 xml:space="preserve">Activities: </w:t>
            </w:r>
            <w:r w:rsidR="00FD0123">
              <w:rPr>
                <w:rFonts w:eastAsia="SimSun" w:cs="Arial"/>
                <w:sz w:val="16"/>
                <w:szCs w:val="16"/>
                <w:lang w:eastAsia="zh-CN"/>
              </w:rPr>
              <w:t xml:space="preserve"> </w:t>
            </w:r>
            <w:r w:rsidRPr="00A67F47">
              <w:rPr>
                <w:rFonts w:eastAsia="SimSun" w:cs="Arial"/>
                <w:sz w:val="16"/>
                <w:szCs w:val="16"/>
                <w:lang w:eastAsia="zh-CN"/>
              </w:rPr>
              <w:t>17</w:t>
            </w:r>
          </w:p>
          <w:p w:rsidR="000B5438" w:rsidRPr="00A67F47" w:rsidRDefault="000B5438" w:rsidP="007C0423">
            <w:pPr>
              <w:rPr>
                <w:rFonts w:eastAsia="SimSun" w:cs="Arial"/>
                <w:sz w:val="16"/>
                <w:szCs w:val="16"/>
                <w:lang w:eastAsia="zh-CN"/>
              </w:rPr>
            </w:pPr>
            <w:r w:rsidRPr="00A67F47">
              <w:rPr>
                <w:rFonts w:eastAsia="SimSun" w:cs="Arial"/>
                <w:sz w:val="16"/>
                <w:szCs w:val="16"/>
                <w:lang w:eastAsia="zh-CN"/>
              </w:rPr>
              <w:t xml:space="preserve">Workplans: </w:t>
            </w:r>
            <w:r w:rsidR="00FD0123">
              <w:rPr>
                <w:rFonts w:eastAsia="SimSun" w:cs="Arial"/>
                <w:sz w:val="16"/>
                <w:szCs w:val="16"/>
                <w:lang w:eastAsia="zh-CN"/>
              </w:rPr>
              <w:t xml:space="preserve"> </w:t>
            </w:r>
            <w:r w:rsidRPr="00A67F47">
              <w:rPr>
                <w:rFonts w:eastAsia="SimSun" w:cs="Arial"/>
                <w:sz w:val="16"/>
                <w:szCs w:val="16"/>
                <w:lang w:eastAsia="zh-CN"/>
              </w:rPr>
              <w:t>4</w:t>
            </w:r>
          </w:p>
        </w:tc>
        <w:tc>
          <w:tcPr>
            <w:tcW w:w="683" w:type="pct"/>
            <w:tcBorders>
              <w:bottom w:val="single" w:sz="4" w:space="0" w:color="auto"/>
            </w:tcBorders>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27745B">
              <w:rPr>
                <w:rFonts w:cs="Arial"/>
                <w:bCs/>
                <w:color w:val="008000"/>
                <w:sz w:val="16"/>
                <w:szCs w:val="16"/>
              </w:rPr>
              <w:t>Fully</w:t>
            </w:r>
            <w:r w:rsidRPr="0027745B">
              <w:rPr>
                <w:rFonts w:cs="Arial"/>
                <w:bCs/>
                <w:color w:val="008000"/>
                <w:sz w:val="16"/>
                <w:szCs w:val="16"/>
              </w:rPr>
              <w:br/>
              <w:t>Achieved</w:t>
            </w:r>
          </w:p>
        </w:tc>
      </w:tr>
      <w:tr w:rsidR="000B5438" w:rsidRPr="00011B74" w:rsidTr="00FD0123">
        <w:tc>
          <w:tcPr>
            <w:tcW w:w="5000" w:type="pct"/>
            <w:gridSpan w:val="5"/>
            <w:tcBorders>
              <w:top w:val="single" w:sz="4" w:space="0" w:color="auto"/>
              <w:bottom w:val="single" w:sz="4" w:space="0" w:color="auto"/>
            </w:tcBorders>
            <w:shd w:val="clear" w:color="auto" w:fill="CCFFFF"/>
            <w:vAlign w:val="center"/>
          </w:tcPr>
          <w:p w:rsidR="000B5438" w:rsidRPr="00A67F47" w:rsidRDefault="000B5438" w:rsidP="007C0423">
            <w:pPr>
              <w:keepNext/>
              <w:keepLines/>
              <w:tabs>
                <w:tab w:val="left" w:pos="1452"/>
              </w:tabs>
              <w:spacing w:before="120" w:after="120"/>
              <w:ind w:left="1452" w:hanging="1452"/>
              <w:rPr>
                <w:rFonts w:eastAsia="SimSun" w:cs="Arial"/>
                <w:b/>
                <w:bCs/>
                <w:sz w:val="16"/>
                <w:szCs w:val="16"/>
                <w:lang w:eastAsia="zh-CN"/>
              </w:rPr>
            </w:pPr>
            <w:r w:rsidRPr="00A67F47">
              <w:rPr>
                <w:rFonts w:eastAsia="SimSun" w:cs="Arial"/>
                <w:b/>
                <w:bCs/>
                <w:sz w:val="16"/>
                <w:szCs w:val="16"/>
                <w:lang w:eastAsia="zh-CN"/>
              </w:rPr>
              <w:t>Expected Result:</w:t>
            </w:r>
            <w:r w:rsidRPr="00A67F47">
              <w:rPr>
                <w:rFonts w:eastAsia="SimSun" w:cs="Arial"/>
                <w:b/>
                <w:bCs/>
                <w:sz w:val="16"/>
                <w:szCs w:val="16"/>
                <w:lang w:eastAsia="zh-CN"/>
              </w:rPr>
              <w:tab/>
            </w:r>
            <w:r w:rsidRPr="00A67F47">
              <w:rPr>
                <w:rFonts w:eastAsia="SimSun" w:cs="Arial"/>
                <w:sz w:val="16"/>
                <w:szCs w:val="16"/>
                <w:lang w:eastAsia="zh-CN"/>
              </w:rPr>
              <w:t>Open, transparent and responsive interaction with NGOs</w:t>
            </w:r>
          </w:p>
        </w:tc>
      </w:tr>
      <w:tr w:rsidR="000B5438" w:rsidRPr="0068183D" w:rsidTr="00FD0123">
        <w:tc>
          <w:tcPr>
            <w:tcW w:w="1043" w:type="pct"/>
            <w:tcBorders>
              <w:top w:val="single" w:sz="4" w:space="0" w:color="auto"/>
            </w:tcBorders>
            <w:shd w:val="clear" w:color="auto" w:fill="auto"/>
            <w:vAlign w:val="center"/>
          </w:tcPr>
          <w:p w:rsidR="000B5438" w:rsidRPr="00A67F47" w:rsidRDefault="000B5438" w:rsidP="007C0423">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998" w:type="pct"/>
            <w:tcBorders>
              <w:top w:val="single" w:sz="4" w:space="0" w:color="auto"/>
            </w:tcBorders>
            <w:shd w:val="clear" w:color="auto" w:fill="auto"/>
            <w:vAlign w:val="center"/>
          </w:tcPr>
          <w:p w:rsidR="000B5438" w:rsidRPr="00A67F47" w:rsidRDefault="000B5438" w:rsidP="007C0423">
            <w:pPr>
              <w:keepNext/>
              <w:keepLines/>
              <w:rPr>
                <w:rFonts w:eastAsia="SimSun" w:cs="Arial"/>
                <w:b/>
                <w:bCs/>
                <w:sz w:val="16"/>
                <w:szCs w:val="16"/>
                <w:lang w:eastAsia="zh-CN"/>
              </w:rPr>
            </w:pPr>
            <w:r w:rsidRPr="00A67F47">
              <w:rPr>
                <w:rFonts w:cs="Arial"/>
                <w:b/>
                <w:bCs/>
                <w:sz w:val="16"/>
                <w:szCs w:val="16"/>
              </w:rPr>
              <w:t>Baselines</w:t>
            </w:r>
          </w:p>
        </w:tc>
        <w:tc>
          <w:tcPr>
            <w:tcW w:w="901" w:type="pct"/>
            <w:tcBorders>
              <w:top w:val="single" w:sz="4" w:space="0" w:color="auto"/>
            </w:tcBorders>
            <w:shd w:val="clear" w:color="auto" w:fill="auto"/>
            <w:tcMar>
              <w:top w:w="110" w:type="dxa"/>
            </w:tcMar>
            <w:vAlign w:val="center"/>
          </w:tcPr>
          <w:p w:rsidR="000B5438" w:rsidRPr="0027745B" w:rsidRDefault="000B5438" w:rsidP="007C0423">
            <w:pPr>
              <w:keepNext/>
              <w:keepLines/>
              <w:rPr>
                <w:rFonts w:eastAsia="SimSun" w:cs="Arial"/>
                <w:b/>
                <w:sz w:val="16"/>
                <w:szCs w:val="16"/>
                <w:lang w:eastAsia="zh-CN"/>
              </w:rPr>
            </w:pPr>
            <w:r w:rsidRPr="00A67F47">
              <w:rPr>
                <w:rFonts w:cs="Arial"/>
                <w:b/>
                <w:sz w:val="16"/>
                <w:szCs w:val="16"/>
              </w:rPr>
              <w:t>Target</w:t>
            </w:r>
            <w:r w:rsidR="002F7D53">
              <w:rPr>
                <w:rFonts w:cs="Arial"/>
                <w:b/>
                <w:sz w:val="16"/>
                <w:szCs w:val="16"/>
              </w:rPr>
              <w:t>s</w:t>
            </w:r>
          </w:p>
        </w:tc>
        <w:tc>
          <w:tcPr>
            <w:tcW w:w="1375" w:type="pct"/>
            <w:tcBorders>
              <w:top w:val="single" w:sz="4" w:space="0" w:color="auto"/>
            </w:tcBorders>
            <w:shd w:val="clear" w:color="auto" w:fill="FFFFFF"/>
            <w:tcMar>
              <w:top w:w="110" w:type="dxa"/>
            </w:tcMar>
            <w:vAlign w:val="center"/>
          </w:tcPr>
          <w:p w:rsidR="000B5438" w:rsidRPr="00A67F47" w:rsidRDefault="000B5438" w:rsidP="007C0423">
            <w:pPr>
              <w:rPr>
                <w:rFonts w:eastAsia="SimSun" w:cs="Arial"/>
                <w:sz w:val="16"/>
                <w:szCs w:val="16"/>
                <w:lang w:eastAsia="zh-CN"/>
              </w:rPr>
            </w:pPr>
            <w:r w:rsidRPr="00A67F47">
              <w:rPr>
                <w:rFonts w:eastAsia="SimSun" w:cs="Arial"/>
                <w:b/>
                <w:bCs/>
                <w:sz w:val="16"/>
                <w:szCs w:val="16"/>
                <w:lang w:eastAsia="zh-CN"/>
              </w:rPr>
              <w:t>Performance Data</w:t>
            </w:r>
          </w:p>
        </w:tc>
        <w:tc>
          <w:tcPr>
            <w:tcW w:w="683" w:type="pct"/>
            <w:tcBorders>
              <w:top w:val="single" w:sz="4" w:space="0" w:color="auto"/>
            </w:tcBorders>
            <w:shd w:val="clear" w:color="auto" w:fill="auto"/>
            <w:tcMar>
              <w:top w:w="110" w:type="dxa"/>
            </w:tcMar>
            <w:vAlign w:val="center"/>
          </w:tcPr>
          <w:p w:rsidR="000B5438" w:rsidRPr="0027745B" w:rsidRDefault="000B5438" w:rsidP="007C0423">
            <w:pPr>
              <w:keepNext/>
              <w:keepLines/>
              <w:jc w:val="center"/>
              <w:rPr>
                <w:rFonts w:eastAsia="SimSun" w:cs="Arial"/>
                <w:b/>
                <w:bCs/>
                <w:sz w:val="16"/>
                <w:szCs w:val="16"/>
                <w:lang w:eastAsia="zh-CN"/>
              </w:rPr>
            </w:pPr>
            <w:r w:rsidRPr="00A67F47">
              <w:rPr>
                <w:rFonts w:eastAsia="SimSun" w:cs="Arial"/>
                <w:b/>
                <w:bCs/>
                <w:sz w:val="16"/>
                <w:szCs w:val="16"/>
                <w:lang w:eastAsia="zh-CN"/>
              </w:rPr>
              <w:t>TLS</w:t>
            </w:r>
          </w:p>
        </w:tc>
      </w:tr>
      <w:tr w:rsidR="000B5438" w:rsidRPr="00011B74" w:rsidTr="00FD0123">
        <w:tc>
          <w:tcPr>
            <w:tcW w:w="1043" w:type="pct"/>
            <w:shd w:val="clear" w:color="auto" w:fill="auto"/>
          </w:tcPr>
          <w:p w:rsidR="000B5438" w:rsidRPr="00A67F47" w:rsidRDefault="000B5438" w:rsidP="007C0423">
            <w:pPr>
              <w:keepNext/>
              <w:keepLines/>
              <w:rPr>
                <w:rFonts w:eastAsia="SimSun" w:cs="Arial"/>
                <w:sz w:val="16"/>
                <w:szCs w:val="16"/>
                <w:lang w:eastAsia="zh-CN"/>
              </w:rPr>
            </w:pPr>
            <w:r w:rsidRPr="00A67F47">
              <w:rPr>
                <w:rFonts w:eastAsia="SimSun" w:cs="Arial"/>
                <w:sz w:val="16"/>
                <w:szCs w:val="16"/>
                <w:lang w:eastAsia="zh-CN"/>
              </w:rPr>
              <w:t>No. of briefing sessions and meetings/activities organized for NGOs</w:t>
            </w:r>
          </w:p>
        </w:tc>
        <w:tc>
          <w:tcPr>
            <w:tcW w:w="998" w:type="pct"/>
            <w:shd w:val="clear" w:color="auto" w:fill="auto"/>
          </w:tcPr>
          <w:p w:rsidR="000B5438" w:rsidRPr="0027745B" w:rsidRDefault="000B5438" w:rsidP="007C0423">
            <w:pPr>
              <w:keepNext/>
              <w:keepLines/>
              <w:rPr>
                <w:rFonts w:cs="Arial"/>
                <w:i/>
                <w:color w:val="002060"/>
                <w:sz w:val="16"/>
                <w:szCs w:val="16"/>
              </w:rPr>
            </w:pPr>
            <w:r w:rsidRPr="0027745B">
              <w:rPr>
                <w:rFonts w:cs="Arial"/>
                <w:i/>
                <w:color w:val="002060"/>
                <w:sz w:val="16"/>
                <w:szCs w:val="16"/>
              </w:rPr>
              <w:t xml:space="preserve">Updated Baseline end 2011:  </w:t>
            </w:r>
            <w:r w:rsidRPr="0027745B">
              <w:rPr>
                <w:rFonts w:eastAsia="SimSun" w:cs="Arial"/>
                <w:color w:val="002060"/>
                <w:sz w:val="16"/>
                <w:szCs w:val="16"/>
                <w:lang w:eastAsia="zh-CN"/>
              </w:rPr>
              <w:t>4</w:t>
            </w:r>
          </w:p>
          <w:p w:rsidR="000B5438" w:rsidRPr="00861678" w:rsidRDefault="000B5438" w:rsidP="007C0423">
            <w:pPr>
              <w:keepNext/>
              <w:keepLines/>
              <w:rPr>
                <w:rFonts w:cs="Arial"/>
                <w:i/>
                <w:color w:val="002060"/>
                <w:sz w:val="8"/>
                <w:szCs w:val="8"/>
              </w:rPr>
            </w:pPr>
          </w:p>
          <w:p w:rsidR="000B5438" w:rsidRPr="00A67F47" w:rsidRDefault="000B5438" w:rsidP="007C0423">
            <w:pPr>
              <w:keepNext/>
              <w:keepLines/>
              <w:rPr>
                <w:rFonts w:eastAsia="SimSun" w:cs="Arial"/>
                <w:color w:val="000000"/>
                <w:sz w:val="16"/>
                <w:szCs w:val="16"/>
                <w:lang w:eastAsia="zh-CN"/>
              </w:rPr>
            </w:pPr>
            <w:r w:rsidRPr="00A67F47">
              <w:rPr>
                <w:rFonts w:cs="Arial"/>
                <w:i/>
                <w:sz w:val="16"/>
                <w:szCs w:val="16"/>
              </w:rPr>
              <w:t>Original Baseline P&amp;B 2012/13:</w:t>
            </w:r>
            <w:r w:rsidR="00861678">
              <w:rPr>
                <w:rFonts w:cs="Arial"/>
                <w:sz w:val="16"/>
                <w:szCs w:val="16"/>
              </w:rPr>
              <w:t xml:space="preserve"> </w:t>
            </w:r>
            <w:r w:rsidR="00FD0123">
              <w:rPr>
                <w:rFonts w:cs="Arial"/>
                <w:sz w:val="16"/>
                <w:szCs w:val="16"/>
              </w:rPr>
              <w:t xml:space="preserve"> </w:t>
            </w:r>
            <w:r w:rsidRPr="00A67F47">
              <w:rPr>
                <w:rFonts w:eastAsia="SimSun" w:cs="Arial"/>
                <w:color w:val="000000"/>
                <w:sz w:val="16"/>
                <w:szCs w:val="16"/>
                <w:lang w:eastAsia="zh-CN"/>
              </w:rPr>
              <w:t>Data not available</w:t>
            </w:r>
          </w:p>
        </w:tc>
        <w:tc>
          <w:tcPr>
            <w:tcW w:w="901" w:type="pct"/>
            <w:shd w:val="clear" w:color="auto" w:fill="auto"/>
            <w:tcMar>
              <w:top w:w="110" w:type="dxa"/>
            </w:tcMar>
          </w:tcPr>
          <w:p w:rsidR="000B5438" w:rsidRPr="0027745B" w:rsidRDefault="000B5438" w:rsidP="007C0423">
            <w:pPr>
              <w:keepNext/>
              <w:keepLines/>
              <w:rPr>
                <w:rFonts w:eastAsia="SimSun" w:cs="Arial"/>
                <w:color w:val="000000"/>
                <w:sz w:val="16"/>
                <w:szCs w:val="16"/>
                <w:lang w:eastAsia="zh-CN"/>
              </w:rPr>
            </w:pPr>
            <w:r w:rsidRPr="00A67F47">
              <w:rPr>
                <w:rFonts w:eastAsia="SimSun" w:cs="Arial"/>
                <w:color w:val="000000"/>
                <w:sz w:val="16"/>
                <w:szCs w:val="16"/>
                <w:lang w:eastAsia="zh-CN"/>
              </w:rPr>
              <w:t>4</w:t>
            </w: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9</w:t>
            </w:r>
          </w:p>
        </w:tc>
        <w:tc>
          <w:tcPr>
            <w:tcW w:w="683" w:type="pct"/>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0969AB">
              <w:rPr>
                <w:rFonts w:cs="Arial"/>
                <w:bCs/>
                <w:color w:val="008000"/>
                <w:sz w:val="16"/>
                <w:szCs w:val="16"/>
              </w:rPr>
              <w:t>Fully</w:t>
            </w:r>
            <w:r w:rsidRPr="000969AB">
              <w:rPr>
                <w:rFonts w:cs="Arial"/>
                <w:bCs/>
                <w:color w:val="008000"/>
                <w:sz w:val="16"/>
                <w:szCs w:val="16"/>
              </w:rPr>
              <w:br/>
              <w:t>Achieved</w:t>
            </w:r>
          </w:p>
        </w:tc>
      </w:tr>
      <w:tr w:rsidR="000B5438" w:rsidRPr="00011B74" w:rsidTr="00FD0123">
        <w:tc>
          <w:tcPr>
            <w:tcW w:w="1043" w:type="pct"/>
            <w:tcBorders>
              <w:bottom w:val="single" w:sz="4" w:space="0" w:color="auto"/>
            </w:tcBorders>
            <w:shd w:val="clear" w:color="auto" w:fill="auto"/>
          </w:tcPr>
          <w:p w:rsidR="000B5438"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No. of briefing sessions and meeting/activities organized for developing country and LDC NGOs</w:t>
            </w:r>
          </w:p>
          <w:p w:rsidR="000B5438" w:rsidRPr="00A67F47" w:rsidRDefault="000B5438" w:rsidP="007C0423">
            <w:pPr>
              <w:rPr>
                <w:rFonts w:eastAsia="SimSun" w:cs="Arial"/>
                <w:color w:val="000000"/>
                <w:sz w:val="16"/>
                <w:szCs w:val="16"/>
                <w:lang w:eastAsia="zh-CN"/>
              </w:rPr>
            </w:pPr>
          </w:p>
        </w:tc>
        <w:tc>
          <w:tcPr>
            <w:tcW w:w="998" w:type="pct"/>
            <w:tcBorders>
              <w:bottom w:val="single" w:sz="4" w:space="0" w:color="auto"/>
            </w:tcBorders>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Data not available</w:t>
            </w:r>
          </w:p>
        </w:tc>
        <w:tc>
          <w:tcPr>
            <w:tcW w:w="901" w:type="pct"/>
            <w:tcBorders>
              <w:bottom w:val="single" w:sz="4" w:space="0" w:color="auto"/>
            </w:tcBorders>
            <w:shd w:val="clear" w:color="auto" w:fill="auto"/>
            <w:tcMar>
              <w:top w:w="110" w:type="dxa"/>
            </w:tcMar>
          </w:tcPr>
          <w:p w:rsidR="000B5438" w:rsidRPr="0027745B"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4</w:t>
            </w:r>
          </w:p>
        </w:tc>
        <w:tc>
          <w:tcPr>
            <w:tcW w:w="1375" w:type="pct"/>
            <w:tcBorders>
              <w:bottom w:val="single" w:sz="4" w:space="0" w:color="auto"/>
            </w:tcBorders>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Data not available</w:t>
            </w:r>
            <w:r w:rsidR="00FD0123">
              <w:rPr>
                <w:rFonts w:eastAsia="SimSun" w:cs="Arial"/>
                <w:sz w:val="16"/>
                <w:szCs w:val="16"/>
                <w:lang w:eastAsia="zh-CN"/>
              </w:rPr>
              <w:t>.</w:t>
            </w:r>
          </w:p>
        </w:tc>
        <w:tc>
          <w:tcPr>
            <w:tcW w:w="683" w:type="pct"/>
            <w:tcBorders>
              <w:bottom w:val="single" w:sz="4" w:space="0" w:color="auto"/>
            </w:tcBorders>
            <w:shd w:val="clear" w:color="auto" w:fill="auto"/>
            <w:tcMar>
              <w:top w:w="110" w:type="dxa"/>
            </w:tcMar>
          </w:tcPr>
          <w:p w:rsidR="000B5438" w:rsidRPr="0027745B" w:rsidRDefault="000B5438" w:rsidP="007C0423">
            <w:pPr>
              <w:keepNext/>
              <w:keepLines/>
              <w:jc w:val="center"/>
              <w:rPr>
                <w:rFonts w:eastAsia="SimSun" w:cs="Arial"/>
                <w:color w:val="808080"/>
                <w:sz w:val="16"/>
                <w:szCs w:val="16"/>
                <w:lang w:eastAsia="zh-CN"/>
              </w:rPr>
            </w:pPr>
            <w:r w:rsidRPr="0027745B">
              <w:rPr>
                <w:rFonts w:eastAsia="SimSun" w:cs="Arial"/>
                <w:sz w:val="16"/>
                <w:szCs w:val="16"/>
                <w:lang w:eastAsia="zh-CN"/>
              </w:rPr>
              <w:t>Discontinued</w:t>
            </w:r>
          </w:p>
        </w:tc>
      </w:tr>
      <w:tr w:rsidR="000B5438" w:rsidRPr="00011B74" w:rsidTr="00FD0123">
        <w:tc>
          <w:tcPr>
            <w:tcW w:w="5000" w:type="pct"/>
            <w:gridSpan w:val="5"/>
            <w:tcBorders>
              <w:top w:val="single" w:sz="4" w:space="0" w:color="auto"/>
              <w:bottom w:val="single" w:sz="4" w:space="0" w:color="auto"/>
            </w:tcBorders>
            <w:shd w:val="clear" w:color="auto" w:fill="CCFFFF"/>
            <w:vAlign w:val="center"/>
          </w:tcPr>
          <w:p w:rsidR="000B5438" w:rsidRPr="00A67F47" w:rsidRDefault="000B5438" w:rsidP="00FD0123">
            <w:pPr>
              <w:keepNext/>
              <w:keepLines/>
              <w:tabs>
                <w:tab w:val="left" w:pos="1452"/>
              </w:tabs>
              <w:spacing w:before="120" w:after="120"/>
              <w:ind w:left="1452" w:hanging="1452"/>
              <w:rPr>
                <w:rFonts w:eastAsia="SimSun" w:cs="Arial"/>
                <w:b/>
                <w:bCs/>
                <w:sz w:val="16"/>
                <w:szCs w:val="16"/>
                <w:lang w:eastAsia="zh-CN"/>
              </w:rPr>
            </w:pPr>
            <w:r w:rsidRPr="00A67F47">
              <w:rPr>
                <w:rFonts w:eastAsia="SimSun" w:cs="Arial"/>
                <w:b/>
                <w:bCs/>
                <w:sz w:val="16"/>
                <w:szCs w:val="16"/>
                <w:lang w:eastAsia="zh-CN"/>
              </w:rPr>
              <w:lastRenderedPageBreak/>
              <w:t>Expected Result:</w:t>
            </w:r>
            <w:r w:rsidRPr="00A67F47">
              <w:rPr>
                <w:rFonts w:eastAsia="SimSun" w:cs="Arial"/>
                <w:b/>
                <w:bCs/>
                <w:sz w:val="16"/>
                <w:szCs w:val="16"/>
                <w:lang w:eastAsia="zh-CN"/>
              </w:rPr>
              <w:tab/>
            </w:r>
            <w:r w:rsidRPr="00A67F47">
              <w:rPr>
                <w:rFonts w:eastAsia="SimSun" w:cs="Arial"/>
                <w:color w:val="000000"/>
                <w:sz w:val="16"/>
                <w:szCs w:val="16"/>
                <w:lang w:eastAsia="zh-CN"/>
              </w:rPr>
              <w:t>Increased extra-budgetary resources available for IP for development, either through direct contributions to WIPO or access to other external funding mechanisms</w:t>
            </w:r>
          </w:p>
        </w:tc>
      </w:tr>
      <w:tr w:rsidR="000B5438" w:rsidRPr="00011B74" w:rsidTr="00FD0123">
        <w:tc>
          <w:tcPr>
            <w:tcW w:w="1043" w:type="pct"/>
            <w:tcBorders>
              <w:top w:val="single" w:sz="4" w:space="0" w:color="auto"/>
            </w:tcBorders>
            <w:shd w:val="clear" w:color="auto" w:fill="auto"/>
            <w:vAlign w:val="center"/>
          </w:tcPr>
          <w:p w:rsidR="000B5438" w:rsidRPr="00A67F47" w:rsidRDefault="000B5438" w:rsidP="00FD0123">
            <w:pPr>
              <w:keepNext/>
              <w:keepLines/>
              <w:rPr>
                <w:rFonts w:eastAsia="SimSun" w:cs="Arial"/>
                <w:sz w:val="16"/>
                <w:szCs w:val="16"/>
                <w:lang w:eastAsia="zh-CN"/>
              </w:rPr>
            </w:pPr>
            <w:r w:rsidRPr="00A67F47">
              <w:rPr>
                <w:rFonts w:eastAsia="SimSun" w:cs="Arial"/>
                <w:b/>
                <w:bCs/>
                <w:sz w:val="16"/>
                <w:szCs w:val="16"/>
                <w:lang w:eastAsia="zh-CN"/>
              </w:rPr>
              <w:t>Performance Indicators</w:t>
            </w:r>
          </w:p>
        </w:tc>
        <w:tc>
          <w:tcPr>
            <w:tcW w:w="998" w:type="pct"/>
            <w:tcBorders>
              <w:top w:val="single" w:sz="4" w:space="0" w:color="auto"/>
            </w:tcBorders>
            <w:shd w:val="clear" w:color="auto" w:fill="auto"/>
            <w:vAlign w:val="center"/>
          </w:tcPr>
          <w:p w:rsidR="000B5438" w:rsidRPr="00A67F47" w:rsidRDefault="000B5438" w:rsidP="00FD0123">
            <w:pPr>
              <w:keepNext/>
              <w:keepLines/>
              <w:rPr>
                <w:rFonts w:eastAsia="SimSun" w:cs="Arial"/>
                <w:b/>
                <w:bCs/>
                <w:sz w:val="16"/>
                <w:szCs w:val="16"/>
                <w:lang w:eastAsia="zh-CN"/>
              </w:rPr>
            </w:pPr>
            <w:r w:rsidRPr="00A67F47">
              <w:rPr>
                <w:rFonts w:cs="Arial"/>
                <w:b/>
                <w:bCs/>
                <w:sz w:val="16"/>
                <w:szCs w:val="16"/>
              </w:rPr>
              <w:t>Baselines</w:t>
            </w:r>
          </w:p>
        </w:tc>
        <w:tc>
          <w:tcPr>
            <w:tcW w:w="901" w:type="pct"/>
            <w:tcBorders>
              <w:top w:val="single" w:sz="4" w:space="0" w:color="auto"/>
            </w:tcBorders>
            <w:shd w:val="clear" w:color="auto" w:fill="auto"/>
            <w:tcMar>
              <w:top w:w="110" w:type="dxa"/>
            </w:tcMar>
            <w:vAlign w:val="center"/>
          </w:tcPr>
          <w:p w:rsidR="000B5438" w:rsidRPr="0027745B" w:rsidRDefault="000B5438" w:rsidP="00FD0123">
            <w:pPr>
              <w:keepNext/>
              <w:keepLines/>
              <w:rPr>
                <w:rFonts w:eastAsia="SimSun" w:cs="Arial"/>
                <w:b/>
                <w:sz w:val="16"/>
                <w:szCs w:val="16"/>
                <w:lang w:eastAsia="zh-CN"/>
              </w:rPr>
            </w:pPr>
            <w:r w:rsidRPr="00A67F47">
              <w:rPr>
                <w:rFonts w:cs="Arial"/>
                <w:b/>
                <w:sz w:val="16"/>
                <w:szCs w:val="16"/>
              </w:rPr>
              <w:t>Target</w:t>
            </w:r>
            <w:r w:rsidR="002F7D53">
              <w:rPr>
                <w:rFonts w:cs="Arial"/>
                <w:b/>
                <w:sz w:val="16"/>
                <w:szCs w:val="16"/>
              </w:rPr>
              <w:t>s</w:t>
            </w:r>
          </w:p>
        </w:tc>
        <w:tc>
          <w:tcPr>
            <w:tcW w:w="1375" w:type="pct"/>
            <w:tcBorders>
              <w:top w:val="single" w:sz="4" w:space="0" w:color="auto"/>
            </w:tcBorders>
            <w:shd w:val="clear" w:color="auto" w:fill="FFFFFF"/>
            <w:tcMar>
              <w:top w:w="110" w:type="dxa"/>
            </w:tcMar>
            <w:vAlign w:val="center"/>
          </w:tcPr>
          <w:p w:rsidR="000B5438" w:rsidRPr="00A67F47" w:rsidRDefault="000B5438" w:rsidP="00FD0123">
            <w:pPr>
              <w:keepNext/>
              <w:keepLines/>
              <w:rPr>
                <w:rFonts w:eastAsia="SimSun" w:cs="Arial"/>
                <w:sz w:val="16"/>
                <w:szCs w:val="16"/>
                <w:lang w:eastAsia="zh-CN"/>
              </w:rPr>
            </w:pPr>
            <w:r w:rsidRPr="00A67F47">
              <w:rPr>
                <w:rFonts w:eastAsia="SimSun" w:cs="Arial"/>
                <w:b/>
                <w:bCs/>
                <w:sz w:val="16"/>
                <w:szCs w:val="16"/>
                <w:lang w:eastAsia="zh-CN"/>
              </w:rPr>
              <w:t>Performance Data</w:t>
            </w:r>
          </w:p>
        </w:tc>
        <w:tc>
          <w:tcPr>
            <w:tcW w:w="683" w:type="pct"/>
            <w:tcBorders>
              <w:top w:val="single" w:sz="4" w:space="0" w:color="auto"/>
            </w:tcBorders>
            <w:shd w:val="clear" w:color="auto" w:fill="auto"/>
            <w:tcMar>
              <w:top w:w="110" w:type="dxa"/>
            </w:tcMar>
            <w:vAlign w:val="center"/>
          </w:tcPr>
          <w:p w:rsidR="000B5438" w:rsidRPr="00A67F47" w:rsidRDefault="000B5438" w:rsidP="00FD0123">
            <w:pPr>
              <w:keepNext/>
              <w:keepLines/>
              <w:jc w:val="center"/>
              <w:rPr>
                <w:rFonts w:eastAsia="SimSun" w:cs="Arial"/>
                <w:b/>
                <w:bCs/>
                <w:color w:val="008000"/>
                <w:sz w:val="16"/>
                <w:szCs w:val="16"/>
                <w:lang w:eastAsia="zh-CN"/>
              </w:rPr>
            </w:pPr>
            <w:r w:rsidRPr="00A67F47">
              <w:rPr>
                <w:rFonts w:eastAsia="SimSun" w:cs="Arial"/>
                <w:b/>
                <w:bCs/>
                <w:sz w:val="16"/>
                <w:szCs w:val="16"/>
                <w:lang w:eastAsia="zh-CN"/>
              </w:rPr>
              <w:t>TLS</w:t>
            </w:r>
          </w:p>
        </w:tc>
      </w:tr>
      <w:tr w:rsidR="000B5438" w:rsidRPr="00011B74" w:rsidTr="00FD0123">
        <w:tc>
          <w:tcPr>
            <w:tcW w:w="1043" w:type="pct"/>
            <w:shd w:val="clear" w:color="auto" w:fill="auto"/>
          </w:tcPr>
          <w:p w:rsidR="000B5438" w:rsidRPr="00A67F47" w:rsidRDefault="000B5438" w:rsidP="00FD0123">
            <w:pPr>
              <w:keepNext/>
              <w:keepLines/>
              <w:rPr>
                <w:rFonts w:eastAsia="SimSun" w:cs="Arial"/>
                <w:color w:val="000000"/>
                <w:sz w:val="16"/>
                <w:szCs w:val="16"/>
                <w:lang w:eastAsia="zh-CN"/>
              </w:rPr>
            </w:pPr>
            <w:r w:rsidRPr="00A67F47">
              <w:rPr>
                <w:rFonts w:eastAsia="SimSun" w:cs="Arial"/>
                <w:color w:val="000000"/>
                <w:sz w:val="16"/>
                <w:szCs w:val="16"/>
                <w:lang w:eastAsia="zh-CN"/>
              </w:rPr>
              <w:t>An increase in funds available through Fund in Trust arrangements</w:t>
            </w:r>
          </w:p>
        </w:tc>
        <w:tc>
          <w:tcPr>
            <w:tcW w:w="998" w:type="pct"/>
            <w:shd w:val="clear" w:color="auto" w:fill="auto"/>
          </w:tcPr>
          <w:p w:rsidR="000B5438" w:rsidRPr="00A67F47" w:rsidRDefault="000B5438" w:rsidP="00FD0123">
            <w:pPr>
              <w:keepNext/>
              <w:keepLines/>
              <w:rPr>
                <w:rFonts w:cs="Arial"/>
                <w:i/>
                <w:color w:val="002060"/>
                <w:sz w:val="16"/>
                <w:szCs w:val="16"/>
              </w:rPr>
            </w:pPr>
            <w:r w:rsidRPr="00A67F47">
              <w:rPr>
                <w:rFonts w:cs="Arial"/>
                <w:i/>
                <w:color w:val="002060"/>
                <w:sz w:val="16"/>
                <w:szCs w:val="16"/>
              </w:rPr>
              <w:t xml:space="preserve">Updated Baseline end 2011:  </w:t>
            </w:r>
            <w:r w:rsidRPr="0027745B">
              <w:rPr>
                <w:rFonts w:eastAsia="SimSun" w:cs="Arial"/>
                <w:color w:val="002060"/>
                <w:sz w:val="16"/>
                <w:szCs w:val="16"/>
                <w:lang w:eastAsia="zh-CN"/>
              </w:rPr>
              <w:t>11.9 million Swiss francs for 2010/11</w:t>
            </w:r>
          </w:p>
          <w:p w:rsidR="000B5438" w:rsidRPr="00861678" w:rsidRDefault="000B5438" w:rsidP="00FD0123">
            <w:pPr>
              <w:keepNext/>
              <w:keepLines/>
              <w:rPr>
                <w:rFonts w:cs="Arial"/>
                <w:i/>
                <w:color w:val="002060"/>
                <w:sz w:val="8"/>
                <w:szCs w:val="8"/>
              </w:rPr>
            </w:pPr>
          </w:p>
          <w:p w:rsidR="000B5438" w:rsidRPr="00A67F47" w:rsidRDefault="000B5438" w:rsidP="00FD0123">
            <w:pPr>
              <w:keepNext/>
              <w:keepLines/>
              <w:rPr>
                <w:rFonts w:eastAsia="SimSun" w:cs="Arial"/>
                <w:color w:val="000000"/>
                <w:sz w:val="16"/>
                <w:szCs w:val="16"/>
                <w:lang w:eastAsia="zh-CN"/>
              </w:rPr>
            </w:pPr>
            <w:r w:rsidRPr="00A67F47">
              <w:rPr>
                <w:rFonts w:cs="Arial"/>
                <w:i/>
                <w:sz w:val="16"/>
                <w:szCs w:val="16"/>
              </w:rPr>
              <w:t>Original Baseline P&amp;B 2012/13:</w:t>
            </w:r>
            <w:r w:rsidRPr="00A67F47">
              <w:rPr>
                <w:rFonts w:cs="Arial"/>
                <w:sz w:val="16"/>
                <w:szCs w:val="16"/>
              </w:rPr>
              <w:br/>
            </w:r>
            <w:r w:rsidRPr="00A67F47">
              <w:rPr>
                <w:rFonts w:eastAsia="SimSun" w:cs="Arial"/>
                <w:color w:val="000000"/>
                <w:sz w:val="16"/>
                <w:szCs w:val="16"/>
                <w:lang w:eastAsia="zh-CN"/>
              </w:rPr>
              <w:t>See FMR 2010/11</w:t>
            </w:r>
          </w:p>
        </w:tc>
        <w:tc>
          <w:tcPr>
            <w:tcW w:w="901" w:type="pct"/>
            <w:shd w:val="clear" w:color="auto" w:fill="auto"/>
            <w:tcMar>
              <w:top w:w="110" w:type="dxa"/>
            </w:tcMar>
          </w:tcPr>
          <w:p w:rsidR="000B5438" w:rsidRPr="0027745B" w:rsidRDefault="00EC1008" w:rsidP="00FD0123">
            <w:pPr>
              <w:keepNext/>
              <w:keepLines/>
              <w:rPr>
                <w:rFonts w:eastAsia="SimSun" w:cs="Arial"/>
                <w:sz w:val="16"/>
                <w:szCs w:val="16"/>
                <w:lang w:eastAsia="zh-CN"/>
              </w:rPr>
            </w:pPr>
            <w:r>
              <w:rPr>
                <w:rFonts w:eastAsia="SimSun" w:cs="Arial"/>
                <w:sz w:val="16"/>
                <w:szCs w:val="16"/>
                <w:lang w:eastAsia="zh-CN"/>
              </w:rPr>
              <w:t>ten per cent</w:t>
            </w:r>
          </w:p>
        </w:tc>
        <w:tc>
          <w:tcPr>
            <w:tcW w:w="1375" w:type="pct"/>
            <w:shd w:val="clear" w:color="auto" w:fill="FFFFFF"/>
            <w:tcMar>
              <w:top w:w="110" w:type="dxa"/>
            </w:tcMar>
          </w:tcPr>
          <w:p w:rsidR="000B5438" w:rsidRPr="00A67F47" w:rsidRDefault="000B5438" w:rsidP="00FD0123">
            <w:pPr>
              <w:keepNext/>
              <w:keepLines/>
              <w:rPr>
                <w:rFonts w:eastAsia="SimSun" w:cs="Arial"/>
                <w:sz w:val="16"/>
                <w:szCs w:val="16"/>
                <w:lang w:eastAsia="zh-CN"/>
              </w:rPr>
            </w:pPr>
            <w:r w:rsidRPr="00A67F47">
              <w:rPr>
                <w:rFonts w:eastAsia="SimSun" w:cs="Arial"/>
                <w:sz w:val="16"/>
                <w:szCs w:val="16"/>
                <w:lang w:eastAsia="zh-CN" w:bidi="th-TH"/>
              </w:rPr>
              <w:t xml:space="preserve">FIT income for 2012/13 totaled 17.2 million Swiss francs.  FIT income for 2010/11 totaled </w:t>
            </w:r>
            <w:proofErr w:type="gramStart"/>
            <w:r w:rsidRPr="00A67F47">
              <w:rPr>
                <w:rFonts w:eastAsia="SimSun" w:cs="Arial"/>
                <w:sz w:val="16"/>
                <w:szCs w:val="16"/>
                <w:lang w:eastAsia="zh-CN" w:bidi="th-TH"/>
              </w:rPr>
              <w:t>11.9  million</w:t>
            </w:r>
            <w:proofErr w:type="gramEnd"/>
            <w:r w:rsidRPr="00A67F47">
              <w:rPr>
                <w:rFonts w:eastAsia="SimSun" w:cs="Arial"/>
                <w:sz w:val="16"/>
                <w:szCs w:val="16"/>
                <w:lang w:eastAsia="zh-CN" w:bidi="th-TH"/>
              </w:rPr>
              <w:t xml:space="preserve"> Swiss francs, an increase of 5.3 million Swiss francs or approximately 44.5%</w:t>
            </w:r>
            <w:r w:rsidR="00FD0123">
              <w:rPr>
                <w:rFonts w:eastAsia="SimSun" w:cs="Arial"/>
                <w:sz w:val="16"/>
                <w:szCs w:val="16"/>
                <w:lang w:eastAsia="zh-CN" w:bidi="th-TH"/>
              </w:rPr>
              <w:t>.</w:t>
            </w:r>
          </w:p>
        </w:tc>
        <w:tc>
          <w:tcPr>
            <w:tcW w:w="683" w:type="pct"/>
            <w:shd w:val="clear" w:color="auto" w:fill="auto"/>
            <w:tcMar>
              <w:top w:w="110" w:type="dxa"/>
            </w:tcMar>
          </w:tcPr>
          <w:p w:rsidR="000B5438" w:rsidRPr="00A67F47" w:rsidRDefault="000B5438" w:rsidP="00FD0123">
            <w:pPr>
              <w:keepNext/>
              <w:keepLines/>
              <w:jc w:val="center"/>
              <w:rPr>
                <w:rFonts w:eastAsia="SimSun" w:cs="Arial"/>
                <w:bCs/>
                <w:color w:val="808080"/>
                <w:sz w:val="16"/>
                <w:szCs w:val="16"/>
                <w:lang w:eastAsia="zh-CN"/>
              </w:rPr>
            </w:pPr>
            <w:r w:rsidRPr="000969AB">
              <w:rPr>
                <w:rFonts w:cs="Arial"/>
                <w:bCs/>
                <w:color w:val="008000"/>
                <w:sz w:val="16"/>
                <w:szCs w:val="16"/>
              </w:rPr>
              <w:t>Fully</w:t>
            </w:r>
            <w:r w:rsidRPr="000969AB">
              <w:rPr>
                <w:rFonts w:cs="Arial"/>
                <w:bCs/>
                <w:color w:val="008000"/>
                <w:sz w:val="16"/>
                <w:szCs w:val="16"/>
              </w:rPr>
              <w:br/>
              <w:t>Achieved</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No. and financial value of WIPO implemented projects funded by existing external donor funded mechanisms</w:t>
            </w:r>
          </w:p>
        </w:tc>
        <w:tc>
          <w:tcPr>
            <w:tcW w:w="998" w:type="pct"/>
            <w:shd w:val="clear" w:color="auto" w:fill="auto"/>
          </w:tcPr>
          <w:p w:rsidR="000B5438" w:rsidRPr="00A67F47" w:rsidRDefault="000B5438" w:rsidP="007C0423">
            <w:pPr>
              <w:rPr>
                <w:rFonts w:cs="Arial"/>
                <w:i/>
                <w:color w:val="002060"/>
                <w:sz w:val="16"/>
                <w:szCs w:val="16"/>
              </w:rPr>
            </w:pPr>
            <w:r w:rsidRPr="00A67F47">
              <w:rPr>
                <w:rFonts w:cs="Arial"/>
                <w:i/>
                <w:color w:val="002060"/>
                <w:sz w:val="16"/>
                <w:szCs w:val="16"/>
              </w:rPr>
              <w:t xml:space="preserve">Updated Baseline end 2011:  </w:t>
            </w:r>
            <w:r w:rsidRPr="0027745B">
              <w:rPr>
                <w:rFonts w:eastAsia="SimSun" w:cs="Arial"/>
                <w:color w:val="002060"/>
                <w:sz w:val="16"/>
                <w:szCs w:val="16"/>
                <w:lang w:eastAsia="zh-CN"/>
              </w:rPr>
              <w:t>Zero</w:t>
            </w:r>
          </w:p>
          <w:p w:rsidR="000B5438" w:rsidRPr="00861678" w:rsidRDefault="000B5438" w:rsidP="007C0423">
            <w:pPr>
              <w:rPr>
                <w:rFonts w:cs="Arial"/>
                <w:i/>
                <w:color w:val="002060"/>
                <w:sz w:val="8"/>
                <w:szCs w:val="8"/>
              </w:rPr>
            </w:pPr>
          </w:p>
          <w:p w:rsidR="000B5438" w:rsidRPr="00A67F47" w:rsidRDefault="000B5438" w:rsidP="007C0423">
            <w:pPr>
              <w:rPr>
                <w:rFonts w:eastAsia="SimSun" w:cs="Arial"/>
                <w:color w:val="000000"/>
                <w:sz w:val="16"/>
                <w:szCs w:val="16"/>
                <w:lang w:eastAsia="zh-CN"/>
              </w:rPr>
            </w:pPr>
            <w:r w:rsidRPr="00A67F47">
              <w:rPr>
                <w:rFonts w:cs="Arial"/>
                <w:i/>
                <w:sz w:val="16"/>
                <w:szCs w:val="16"/>
              </w:rPr>
              <w:t>Original Baseline P&amp;B 2012/13:</w:t>
            </w:r>
            <w:r w:rsidR="00861678">
              <w:rPr>
                <w:rFonts w:cs="Arial"/>
                <w:sz w:val="16"/>
                <w:szCs w:val="16"/>
              </w:rPr>
              <w:t xml:space="preserve">  </w:t>
            </w:r>
            <w:r w:rsidRPr="00A67F47">
              <w:rPr>
                <w:rFonts w:eastAsia="SimSun" w:cs="Arial"/>
                <w:color w:val="000000"/>
                <w:sz w:val="16"/>
                <w:szCs w:val="16"/>
                <w:lang w:eastAsia="zh-CN"/>
              </w:rPr>
              <w:t>No data</w:t>
            </w:r>
          </w:p>
        </w:tc>
        <w:tc>
          <w:tcPr>
            <w:tcW w:w="901" w:type="pct"/>
            <w:shd w:val="clear" w:color="auto" w:fill="auto"/>
            <w:tcMar>
              <w:top w:w="110" w:type="dxa"/>
            </w:tcMar>
          </w:tcPr>
          <w:p w:rsidR="000B5438" w:rsidRPr="0027745B" w:rsidRDefault="000B5438">
            <w:pPr>
              <w:rPr>
                <w:rFonts w:eastAsia="SimSun" w:cs="Arial"/>
                <w:sz w:val="16"/>
                <w:szCs w:val="16"/>
                <w:lang w:eastAsia="zh-CN"/>
              </w:rPr>
            </w:pPr>
            <w:r w:rsidRPr="0027745B">
              <w:rPr>
                <w:rFonts w:eastAsia="SimSun" w:cs="Arial"/>
                <w:sz w:val="16"/>
                <w:szCs w:val="16"/>
                <w:lang w:eastAsia="zh-CN"/>
              </w:rPr>
              <w:t xml:space="preserve">Five projects, Total value: </w:t>
            </w:r>
            <w:r w:rsidR="000A07C2" w:rsidRPr="0027745B">
              <w:rPr>
                <w:rFonts w:eastAsia="SimSun" w:cs="Arial"/>
                <w:sz w:val="16"/>
                <w:szCs w:val="16"/>
                <w:lang w:eastAsia="zh-CN"/>
              </w:rPr>
              <w:t xml:space="preserve"> </w:t>
            </w:r>
            <w:r w:rsidRPr="0027745B">
              <w:rPr>
                <w:rFonts w:eastAsia="SimSun" w:cs="Arial"/>
                <w:sz w:val="16"/>
                <w:szCs w:val="16"/>
                <w:lang w:eastAsia="zh-CN"/>
              </w:rPr>
              <w:t>2 million</w:t>
            </w:r>
            <w:r w:rsidR="000A07C2">
              <w:rPr>
                <w:rFonts w:eastAsia="SimSun" w:cs="Arial"/>
                <w:sz w:val="16"/>
                <w:szCs w:val="16"/>
                <w:lang w:eastAsia="zh-CN"/>
              </w:rPr>
              <w:t xml:space="preserve"> Swiss francs</w:t>
            </w: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Data not available</w:t>
            </w:r>
            <w:r w:rsidR="00FD0123">
              <w:rPr>
                <w:rFonts w:eastAsia="SimSun" w:cs="Arial"/>
                <w:sz w:val="16"/>
                <w:szCs w:val="16"/>
                <w:lang w:eastAsia="zh-CN"/>
              </w:rPr>
              <w:t>.</w:t>
            </w:r>
          </w:p>
        </w:tc>
        <w:tc>
          <w:tcPr>
            <w:tcW w:w="683" w:type="pct"/>
            <w:shd w:val="clear" w:color="auto" w:fill="auto"/>
            <w:tcMar>
              <w:top w:w="110" w:type="dxa"/>
            </w:tcMar>
          </w:tcPr>
          <w:p w:rsidR="000B5438" w:rsidRPr="0027745B" w:rsidRDefault="000B5438" w:rsidP="007C0423">
            <w:pPr>
              <w:keepNext/>
              <w:keepLines/>
              <w:jc w:val="center"/>
              <w:rPr>
                <w:rFonts w:eastAsia="SimSun" w:cs="Arial"/>
                <w:color w:val="808080"/>
                <w:sz w:val="16"/>
                <w:szCs w:val="16"/>
                <w:lang w:eastAsia="zh-CN"/>
              </w:rPr>
            </w:pPr>
            <w:r w:rsidRPr="0027745B">
              <w:rPr>
                <w:rFonts w:eastAsia="SimSun" w:cs="Arial"/>
                <w:sz w:val="16"/>
                <w:szCs w:val="16"/>
                <w:lang w:eastAsia="zh-CN"/>
              </w:rPr>
              <w:t>Discontinued</w:t>
            </w:r>
          </w:p>
        </w:tc>
      </w:tr>
      <w:tr w:rsidR="000B5438" w:rsidRPr="00011B74" w:rsidTr="00FD0123">
        <w:tc>
          <w:tcPr>
            <w:tcW w:w="1043" w:type="pct"/>
            <w:shd w:val="clear" w:color="auto" w:fill="auto"/>
          </w:tcPr>
          <w:p w:rsidR="000B5438" w:rsidRPr="00A67F47" w:rsidRDefault="000B5438" w:rsidP="007C0423">
            <w:pPr>
              <w:rPr>
                <w:rFonts w:eastAsia="SimSun" w:cs="Arial"/>
                <w:color w:val="000000"/>
                <w:sz w:val="16"/>
                <w:szCs w:val="16"/>
                <w:lang w:eastAsia="zh-CN"/>
              </w:rPr>
            </w:pPr>
            <w:r w:rsidRPr="00A67F47">
              <w:rPr>
                <w:rFonts w:eastAsia="SimSun" w:cs="Arial"/>
                <w:color w:val="000000"/>
                <w:sz w:val="16"/>
                <w:szCs w:val="16"/>
                <w:lang w:eastAsia="zh-CN"/>
              </w:rPr>
              <w:t>Establishment of WIPO Guidelines for Partnership with the Private Sector</w:t>
            </w:r>
          </w:p>
        </w:tc>
        <w:tc>
          <w:tcPr>
            <w:tcW w:w="998" w:type="pct"/>
            <w:shd w:val="clear" w:color="auto" w:fill="auto"/>
          </w:tcPr>
          <w:p w:rsidR="000B5438" w:rsidRPr="0027745B" w:rsidRDefault="000B5438" w:rsidP="007C0423">
            <w:pPr>
              <w:rPr>
                <w:rFonts w:eastAsia="SimSun" w:cs="Arial"/>
                <w:bCs/>
                <w:color w:val="002060"/>
                <w:sz w:val="16"/>
                <w:szCs w:val="16"/>
                <w:lang w:eastAsia="zh-CN"/>
              </w:rPr>
            </w:pPr>
            <w:r w:rsidRPr="00A67F47">
              <w:rPr>
                <w:rFonts w:cs="Arial"/>
                <w:i/>
                <w:color w:val="002060"/>
                <w:sz w:val="16"/>
                <w:szCs w:val="16"/>
              </w:rPr>
              <w:t xml:space="preserve">Updated Baseline end 2011:  </w:t>
            </w:r>
            <w:r w:rsidRPr="0027745B">
              <w:rPr>
                <w:rFonts w:eastAsia="SimSun" w:cs="Arial"/>
                <w:bCs/>
                <w:color w:val="002060"/>
                <w:sz w:val="16"/>
                <w:szCs w:val="16"/>
                <w:lang w:eastAsia="zh-CN"/>
              </w:rPr>
              <w:t>Draft prepared and reviewed internally.  Final draft to form the basis for consultations with Member States</w:t>
            </w:r>
          </w:p>
          <w:p w:rsidR="000B5438" w:rsidRPr="0024474C" w:rsidRDefault="000B5438" w:rsidP="007C0423">
            <w:pPr>
              <w:rPr>
                <w:rFonts w:cs="Arial"/>
                <w:i/>
                <w:sz w:val="8"/>
                <w:szCs w:val="8"/>
              </w:rPr>
            </w:pPr>
          </w:p>
          <w:p w:rsidR="000B5438" w:rsidRPr="0027745B" w:rsidRDefault="000B5438" w:rsidP="007C0423">
            <w:pPr>
              <w:rPr>
                <w:rFonts w:eastAsia="SimSun" w:cs="Arial"/>
                <w:sz w:val="16"/>
                <w:szCs w:val="16"/>
                <w:lang w:eastAsia="zh-CN"/>
              </w:rPr>
            </w:pPr>
            <w:r w:rsidRPr="00A67F47">
              <w:rPr>
                <w:rFonts w:cs="Arial"/>
                <w:i/>
                <w:sz w:val="16"/>
                <w:szCs w:val="16"/>
              </w:rPr>
              <w:t>Original Baseline P&amp;B 2012/13:</w:t>
            </w:r>
            <w:r w:rsidR="00861678">
              <w:rPr>
                <w:rFonts w:cs="Arial"/>
                <w:sz w:val="16"/>
                <w:szCs w:val="16"/>
              </w:rPr>
              <w:t xml:space="preserve"> </w:t>
            </w:r>
            <w:r w:rsidR="00FD0123">
              <w:rPr>
                <w:rFonts w:cs="Arial"/>
                <w:sz w:val="16"/>
                <w:szCs w:val="16"/>
              </w:rPr>
              <w:t xml:space="preserve"> </w:t>
            </w:r>
            <w:r w:rsidRPr="0027745B">
              <w:rPr>
                <w:rFonts w:eastAsia="SimSun" w:cs="Arial"/>
                <w:sz w:val="16"/>
                <w:szCs w:val="16"/>
                <w:lang w:eastAsia="zh-CN"/>
              </w:rPr>
              <w:t>Draft under preparation for consultations</w:t>
            </w:r>
          </w:p>
          <w:p w:rsidR="000B5438" w:rsidRPr="00A67F47" w:rsidRDefault="000B5438" w:rsidP="007C0423">
            <w:pPr>
              <w:rPr>
                <w:rFonts w:eastAsia="SimSun" w:cs="Arial"/>
                <w:color w:val="000000"/>
                <w:sz w:val="16"/>
                <w:szCs w:val="16"/>
                <w:lang w:eastAsia="zh-CN"/>
              </w:rPr>
            </w:pPr>
          </w:p>
        </w:tc>
        <w:tc>
          <w:tcPr>
            <w:tcW w:w="901" w:type="pct"/>
            <w:shd w:val="clear" w:color="auto" w:fill="auto"/>
            <w:tcMar>
              <w:top w:w="110" w:type="dxa"/>
            </w:tcMar>
          </w:tcPr>
          <w:p w:rsidR="000B5438" w:rsidRPr="0027745B" w:rsidRDefault="000B5438" w:rsidP="007C0423">
            <w:pPr>
              <w:rPr>
                <w:rFonts w:eastAsia="SimSun" w:cs="Arial"/>
                <w:sz w:val="16"/>
                <w:szCs w:val="16"/>
                <w:lang w:eastAsia="zh-CN"/>
              </w:rPr>
            </w:pPr>
            <w:r w:rsidRPr="0027745B">
              <w:rPr>
                <w:rFonts w:eastAsia="SimSun" w:cs="Arial"/>
                <w:sz w:val="16"/>
                <w:szCs w:val="16"/>
                <w:lang w:eastAsia="zh-CN"/>
              </w:rPr>
              <w:t>Approval by Member States of WIPO Guidelines</w:t>
            </w:r>
            <w:r w:rsidRPr="0027745B" w:rsidDel="0068183D">
              <w:rPr>
                <w:rFonts w:eastAsia="SimSun" w:cs="Arial"/>
                <w:bCs/>
                <w:sz w:val="16"/>
                <w:szCs w:val="16"/>
                <w:lang w:eastAsia="zh-CN"/>
              </w:rPr>
              <w:t xml:space="preserve"> </w:t>
            </w:r>
          </w:p>
        </w:tc>
        <w:tc>
          <w:tcPr>
            <w:tcW w:w="1375" w:type="pct"/>
            <w:shd w:val="clear" w:color="auto" w:fill="FFFFFF"/>
            <w:tcMar>
              <w:top w:w="110" w:type="dxa"/>
            </w:tcMar>
          </w:tcPr>
          <w:p w:rsidR="000B5438" w:rsidRPr="00A67F47" w:rsidRDefault="000B5438" w:rsidP="007C0423">
            <w:pPr>
              <w:rPr>
                <w:rFonts w:eastAsia="SimSun" w:cs="Arial"/>
                <w:sz w:val="16"/>
                <w:szCs w:val="16"/>
                <w:lang w:eastAsia="zh-CN"/>
              </w:rPr>
            </w:pPr>
            <w:r w:rsidRPr="00A67F47">
              <w:rPr>
                <w:rFonts w:eastAsia="SimSun" w:cs="Arial"/>
                <w:sz w:val="16"/>
                <w:szCs w:val="16"/>
                <w:lang w:eastAsia="zh-CN"/>
              </w:rPr>
              <w:t xml:space="preserve">Internal process is on-going. </w:t>
            </w:r>
          </w:p>
        </w:tc>
        <w:tc>
          <w:tcPr>
            <w:tcW w:w="683" w:type="pct"/>
            <w:shd w:val="clear" w:color="auto" w:fill="auto"/>
            <w:tcMar>
              <w:top w:w="110" w:type="dxa"/>
            </w:tcMar>
          </w:tcPr>
          <w:p w:rsidR="000B5438" w:rsidRPr="00A67F47" w:rsidRDefault="000B5438" w:rsidP="007C0423">
            <w:pPr>
              <w:keepNext/>
              <w:keepLines/>
              <w:jc w:val="center"/>
              <w:rPr>
                <w:rFonts w:eastAsia="SimSun" w:cs="Arial"/>
                <w:bCs/>
                <w:color w:val="808080"/>
                <w:sz w:val="16"/>
                <w:szCs w:val="16"/>
                <w:lang w:eastAsia="zh-CN"/>
              </w:rPr>
            </w:pPr>
            <w:r w:rsidRPr="0027745B">
              <w:rPr>
                <w:rFonts w:eastAsia="SimSun" w:cs="Arial"/>
                <w:color w:val="FF0000"/>
                <w:sz w:val="16"/>
                <w:szCs w:val="16"/>
                <w:lang w:eastAsia="zh-CN"/>
              </w:rPr>
              <w:t>Not</w:t>
            </w:r>
            <w:r>
              <w:rPr>
                <w:rFonts w:eastAsia="SimSun" w:cs="Arial"/>
                <w:color w:val="FF0000"/>
                <w:sz w:val="16"/>
                <w:szCs w:val="16"/>
                <w:lang w:eastAsia="zh-CN"/>
              </w:rPr>
              <w:br/>
            </w:r>
            <w:r w:rsidRPr="0027745B">
              <w:rPr>
                <w:rFonts w:eastAsia="SimSun" w:cs="Arial"/>
                <w:color w:val="FF0000"/>
                <w:sz w:val="16"/>
                <w:szCs w:val="16"/>
                <w:lang w:eastAsia="zh-CN"/>
              </w:rPr>
              <w:t>Achieved</w:t>
            </w:r>
          </w:p>
        </w:tc>
      </w:tr>
    </w:tbl>
    <w:p w:rsidR="000B5438" w:rsidRDefault="000B5438" w:rsidP="000B5438">
      <w:pPr>
        <w:jc w:val="right"/>
        <w:rPr>
          <w:rFonts w:eastAsia="SimSun" w:cs="Arial"/>
          <w:szCs w:val="20"/>
          <w:lang w:eastAsia="zh-CN"/>
        </w:rPr>
      </w:pPr>
    </w:p>
    <w:p w:rsidR="000B5438" w:rsidRDefault="000B5438" w:rsidP="000B5438">
      <w:pPr>
        <w:jc w:val="right"/>
        <w:rPr>
          <w:rFonts w:eastAsia="SimSun" w:cs="Arial"/>
          <w:szCs w:val="20"/>
          <w:lang w:eastAsia="zh-CN"/>
        </w:rPr>
      </w:pPr>
    </w:p>
    <w:p w:rsidR="000B5438" w:rsidRPr="0027745B" w:rsidRDefault="000B5438" w:rsidP="000B5438">
      <w:pPr>
        <w:rPr>
          <w:rFonts w:eastAsia="SimSun" w:cs="Arial"/>
          <w:sz w:val="22"/>
          <w:szCs w:val="22"/>
          <w:lang w:eastAsia="zh-CN"/>
        </w:rPr>
      </w:pPr>
      <w:r w:rsidRPr="0027745B">
        <w:rPr>
          <w:rFonts w:eastAsia="SimSun" w:cs="Arial"/>
          <w:sz w:val="22"/>
          <w:szCs w:val="22"/>
          <w:lang w:eastAsia="zh-CN"/>
        </w:rPr>
        <w:t>BUDGET AND ACTUAL EXPENDITURE</w:t>
      </w:r>
    </w:p>
    <w:p w:rsidR="000B5438" w:rsidRPr="0068183D" w:rsidRDefault="000B5438" w:rsidP="000B5438">
      <w:pPr>
        <w:rPr>
          <w:rFonts w:eastAsia="SimSun" w:cs="Arial"/>
          <w:szCs w:val="20"/>
          <w:lang w:eastAsia="zh-CN"/>
        </w:rPr>
      </w:pPr>
    </w:p>
    <w:p w:rsidR="000B5438" w:rsidRPr="0027745B" w:rsidRDefault="000B5438" w:rsidP="000B5438">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0B5438" w:rsidRPr="0027745B" w:rsidRDefault="000B5438" w:rsidP="000B5438">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B5438" w:rsidRDefault="000B5438" w:rsidP="000B5438">
      <w:pPr>
        <w:jc w:val="right"/>
        <w:rPr>
          <w:rFonts w:eastAsia="SimSun" w:cs="Arial"/>
          <w:szCs w:val="20"/>
          <w:lang w:eastAsia="zh-CN"/>
        </w:rPr>
      </w:pPr>
    </w:p>
    <w:tbl>
      <w:tblPr>
        <w:tblW w:w="0" w:type="auto"/>
        <w:tblInd w:w="103" w:type="dxa"/>
        <w:tblLayout w:type="fixed"/>
        <w:tblLook w:val="04A0" w:firstRow="1" w:lastRow="0" w:firstColumn="1" w:lastColumn="0" w:noHBand="0" w:noVBand="1"/>
      </w:tblPr>
      <w:tblGrid>
        <w:gridCol w:w="609"/>
        <w:gridCol w:w="4499"/>
        <w:gridCol w:w="1417"/>
        <w:gridCol w:w="1418"/>
        <w:gridCol w:w="1418"/>
      </w:tblGrid>
      <w:tr w:rsidR="000B5438" w:rsidRPr="00FD0123" w:rsidTr="00FD0123">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CD26D6" w:rsidRDefault="000B5438" w:rsidP="0024474C">
            <w:pPr>
              <w:spacing w:before="80" w:after="80"/>
              <w:jc w:val="center"/>
              <w:rPr>
                <w:rFonts w:cs="Arial"/>
                <w:bCs/>
                <w:color w:val="000000"/>
                <w:sz w:val="16"/>
                <w:szCs w:val="16"/>
              </w:rPr>
            </w:pPr>
            <w:r w:rsidRPr="00CD26D6">
              <w:rPr>
                <w:rFonts w:cs="Arial"/>
                <w:bCs/>
                <w:color w:val="000000"/>
                <w:sz w:val="16"/>
                <w:szCs w:val="16"/>
              </w:rPr>
              <w:t>Expected Result No. and Description</w:t>
            </w:r>
          </w:p>
        </w:tc>
        <w:tc>
          <w:tcPr>
            <w:tcW w:w="1417" w:type="dxa"/>
            <w:tcBorders>
              <w:top w:val="single" w:sz="4" w:space="0" w:color="auto"/>
              <w:left w:val="nil"/>
              <w:bottom w:val="single" w:sz="4" w:space="0" w:color="auto"/>
              <w:right w:val="single" w:sz="4" w:space="0" w:color="auto"/>
            </w:tcBorders>
            <w:shd w:val="clear" w:color="000000" w:fill="CCFFFF"/>
            <w:vAlign w:val="center"/>
            <w:hideMark/>
          </w:tcPr>
          <w:p w:rsidR="000B5438" w:rsidRPr="00CD26D6" w:rsidRDefault="000B5438" w:rsidP="0024474C">
            <w:pPr>
              <w:spacing w:before="80" w:after="80"/>
              <w:jc w:val="center"/>
              <w:rPr>
                <w:rFonts w:cs="Arial"/>
                <w:bCs/>
                <w:color w:val="000000"/>
                <w:sz w:val="16"/>
                <w:szCs w:val="16"/>
              </w:rPr>
            </w:pPr>
            <w:r w:rsidRPr="00CD26D6">
              <w:rPr>
                <w:rFonts w:cs="Arial"/>
                <w:bCs/>
                <w:color w:val="000000"/>
                <w:sz w:val="16"/>
                <w:szCs w:val="16"/>
              </w:rPr>
              <w:t>2012/13 Approved Budget</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B5438" w:rsidRPr="00CD26D6" w:rsidRDefault="000B5438" w:rsidP="0024474C">
            <w:pPr>
              <w:spacing w:before="80" w:after="80"/>
              <w:jc w:val="center"/>
              <w:rPr>
                <w:rFonts w:cs="Arial"/>
                <w:bCs/>
                <w:color w:val="000000"/>
                <w:sz w:val="16"/>
                <w:szCs w:val="16"/>
              </w:rPr>
            </w:pPr>
            <w:r w:rsidRPr="00CD26D6">
              <w:rPr>
                <w:rFonts w:cs="Arial"/>
                <w:bCs/>
                <w:color w:val="000000"/>
                <w:sz w:val="16"/>
                <w:szCs w:val="16"/>
              </w:rPr>
              <w:t xml:space="preserve">2012/13 Budget </w:t>
            </w:r>
            <w:r w:rsidRPr="00CD26D6">
              <w:rPr>
                <w:rFonts w:cs="Arial"/>
                <w:bCs/>
                <w:color w:val="000000"/>
                <w:sz w:val="16"/>
                <w:szCs w:val="16"/>
              </w:rPr>
              <w:br/>
              <w:t>After Transfers</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B5438" w:rsidRPr="00CD26D6" w:rsidRDefault="000B5438" w:rsidP="0024474C">
            <w:pPr>
              <w:spacing w:before="80" w:after="80"/>
              <w:jc w:val="center"/>
              <w:rPr>
                <w:rFonts w:cs="Arial"/>
                <w:bCs/>
                <w:color w:val="000000"/>
                <w:sz w:val="16"/>
                <w:szCs w:val="16"/>
              </w:rPr>
            </w:pPr>
            <w:r w:rsidRPr="00CD26D6">
              <w:rPr>
                <w:rFonts w:cs="Arial"/>
                <w:bCs/>
                <w:color w:val="000000"/>
                <w:sz w:val="16"/>
                <w:szCs w:val="16"/>
              </w:rPr>
              <w:t xml:space="preserve">2012/13 </w:t>
            </w:r>
            <w:r w:rsidRPr="00CD26D6">
              <w:rPr>
                <w:rFonts w:cs="Arial"/>
                <w:bCs/>
                <w:color w:val="000000"/>
                <w:sz w:val="16"/>
                <w:szCs w:val="16"/>
              </w:rPr>
              <w:br/>
              <w:t>Expenditure</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II.1</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Informed strategic use of the PCT by all innovators who could potentially benefit from it</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661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1,148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1,240 </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II.8</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Bet</w:t>
            </w:r>
            <w:r w:rsidR="00601859" w:rsidRPr="00CD26D6">
              <w:rPr>
                <w:rFonts w:cs="Arial"/>
                <w:color w:val="000000"/>
                <w:sz w:val="16"/>
                <w:szCs w:val="16"/>
              </w:rPr>
              <w:t>ter use of the Madrid &amp; Lisbon S</w:t>
            </w:r>
            <w:r w:rsidRPr="00CD26D6">
              <w:rPr>
                <w:rFonts w:cs="Arial"/>
                <w:color w:val="000000"/>
                <w:sz w:val="16"/>
                <w:szCs w:val="16"/>
              </w:rPr>
              <w:t>ystems, including by developing countries and LDCs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738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574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440 </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III.2</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Enhanced human resources capacities able to deal with the broad range of requirements for the effective use of IP for development in developing countries, LDCs and countries with economies in transition</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3,053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2,693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2,638</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III.10</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Increased extra-budgetary resources available for IP for development, either through direct contributions to WIPO or access to other external funding mechanisms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1,769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1,508</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1,355 </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IV.5</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Enhanced  technical and knowledge infrastructure for IP Offices and other IP institutions leading to better services (cheaper, faster, higher quality) to their stakeholders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135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107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94 </w:t>
            </w:r>
          </w:p>
        </w:tc>
      </w:tr>
      <w:tr w:rsidR="000B5438" w:rsidRPr="00FD0123" w:rsidTr="00FD0123">
        <w:tc>
          <w:tcPr>
            <w:tcW w:w="609" w:type="dxa"/>
            <w:tcBorders>
              <w:top w:val="nil"/>
              <w:left w:val="single" w:sz="4" w:space="0" w:color="auto"/>
              <w:bottom w:val="nil"/>
              <w:right w:val="nil"/>
            </w:tcBorders>
            <w:shd w:val="clear" w:color="000000" w:fill="FFFFFF"/>
            <w:noWrap/>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VIII.3</w:t>
            </w:r>
          </w:p>
        </w:tc>
        <w:tc>
          <w:tcPr>
            <w:tcW w:w="4499" w:type="dxa"/>
            <w:tcBorders>
              <w:top w:val="nil"/>
              <w:left w:val="nil"/>
              <w:bottom w:val="nil"/>
              <w:right w:val="nil"/>
            </w:tcBorders>
            <w:shd w:val="clear" w:color="000000" w:fill="FFFFFF"/>
            <w:vAlign w:val="center"/>
            <w:hideMark/>
          </w:tcPr>
          <w:p w:rsidR="000B5438" w:rsidRPr="00CD26D6" w:rsidRDefault="000B5438" w:rsidP="0024474C">
            <w:pPr>
              <w:spacing w:before="80"/>
              <w:rPr>
                <w:rFonts w:cs="Arial"/>
                <w:color w:val="000000"/>
                <w:sz w:val="16"/>
                <w:szCs w:val="16"/>
              </w:rPr>
            </w:pPr>
            <w:r w:rsidRPr="00CD26D6">
              <w:rPr>
                <w:rFonts w:cs="Arial"/>
                <w:color w:val="000000"/>
                <w:sz w:val="16"/>
                <w:szCs w:val="16"/>
              </w:rPr>
              <w:t>WIPO effectively interacts and partners with UN and other IGO processes and negotiations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3,362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3,350</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80"/>
              <w:jc w:val="right"/>
              <w:rPr>
                <w:rFonts w:cs="Arial"/>
                <w:color w:val="000000"/>
                <w:sz w:val="16"/>
                <w:szCs w:val="16"/>
              </w:rPr>
            </w:pPr>
            <w:r w:rsidRPr="00CD26D6">
              <w:rPr>
                <w:rFonts w:cs="Arial"/>
                <w:color w:val="000000"/>
                <w:sz w:val="16"/>
                <w:szCs w:val="16"/>
              </w:rPr>
              <w:t xml:space="preserve">2,910 </w:t>
            </w:r>
          </w:p>
        </w:tc>
      </w:tr>
      <w:tr w:rsidR="000B5438" w:rsidRPr="00FD0123" w:rsidTr="00FD0123">
        <w:tc>
          <w:tcPr>
            <w:tcW w:w="609" w:type="dxa"/>
            <w:tcBorders>
              <w:top w:val="nil"/>
              <w:left w:val="single" w:sz="4" w:space="0" w:color="auto"/>
              <w:bottom w:val="single" w:sz="4" w:space="0" w:color="auto"/>
              <w:right w:val="nil"/>
            </w:tcBorders>
            <w:shd w:val="clear" w:color="000000" w:fill="FFFFFF"/>
            <w:noWrap/>
            <w:vAlign w:val="center"/>
            <w:hideMark/>
          </w:tcPr>
          <w:p w:rsidR="000B5438" w:rsidRPr="00CD26D6" w:rsidRDefault="000B5438" w:rsidP="0024474C">
            <w:pPr>
              <w:spacing w:beforeLines="80" w:before="192" w:after="80"/>
              <w:rPr>
                <w:rFonts w:cs="Arial"/>
                <w:color w:val="000000"/>
                <w:sz w:val="16"/>
                <w:szCs w:val="16"/>
              </w:rPr>
            </w:pPr>
            <w:r w:rsidRPr="00CD26D6">
              <w:rPr>
                <w:rFonts w:cs="Arial"/>
                <w:color w:val="000000"/>
                <w:sz w:val="16"/>
                <w:szCs w:val="16"/>
              </w:rPr>
              <w:t>VIII.4</w:t>
            </w:r>
          </w:p>
        </w:tc>
        <w:tc>
          <w:tcPr>
            <w:tcW w:w="4499" w:type="dxa"/>
            <w:tcBorders>
              <w:top w:val="nil"/>
              <w:left w:val="nil"/>
              <w:bottom w:val="single" w:sz="4" w:space="0" w:color="auto"/>
              <w:right w:val="nil"/>
            </w:tcBorders>
            <w:shd w:val="clear" w:color="000000" w:fill="FFFFFF"/>
            <w:vAlign w:val="center"/>
            <w:hideMark/>
          </w:tcPr>
          <w:p w:rsidR="000B5438" w:rsidRPr="00CD26D6" w:rsidRDefault="000B5438" w:rsidP="0024474C">
            <w:pPr>
              <w:spacing w:beforeLines="80" w:before="192" w:after="80"/>
              <w:rPr>
                <w:rFonts w:cs="Arial"/>
                <w:color w:val="000000"/>
                <w:sz w:val="16"/>
                <w:szCs w:val="16"/>
              </w:rPr>
            </w:pPr>
            <w:r w:rsidRPr="00CD26D6">
              <w:rPr>
                <w:rFonts w:cs="Arial"/>
                <w:color w:val="000000"/>
                <w:sz w:val="16"/>
                <w:szCs w:val="16"/>
              </w:rPr>
              <w:t>Open, transparent and responsive interaction with NGOs</w:t>
            </w:r>
          </w:p>
        </w:tc>
        <w:tc>
          <w:tcPr>
            <w:tcW w:w="1417" w:type="dxa"/>
            <w:tcBorders>
              <w:top w:val="nil"/>
              <w:left w:val="nil"/>
              <w:bottom w:val="nil"/>
              <w:right w:val="nil"/>
            </w:tcBorders>
            <w:shd w:val="clear" w:color="000000" w:fill="FFFFFF"/>
            <w:vAlign w:val="center"/>
            <w:hideMark/>
          </w:tcPr>
          <w:p w:rsidR="000B5438" w:rsidRPr="00CD26D6" w:rsidRDefault="000B5438" w:rsidP="0024474C">
            <w:pPr>
              <w:spacing w:beforeLines="80" w:before="192" w:after="80"/>
              <w:jc w:val="right"/>
              <w:rPr>
                <w:rFonts w:cs="Arial"/>
                <w:color w:val="000000"/>
                <w:sz w:val="16"/>
                <w:szCs w:val="16"/>
              </w:rPr>
            </w:pPr>
            <w:r w:rsidRPr="00CD26D6">
              <w:rPr>
                <w:rFonts w:cs="Arial"/>
                <w:color w:val="000000"/>
                <w:sz w:val="16"/>
                <w:szCs w:val="16"/>
              </w:rPr>
              <w:t xml:space="preserve">1,194 </w:t>
            </w:r>
          </w:p>
        </w:tc>
        <w:tc>
          <w:tcPr>
            <w:tcW w:w="1418" w:type="dxa"/>
            <w:tcBorders>
              <w:top w:val="nil"/>
              <w:left w:val="nil"/>
              <w:bottom w:val="nil"/>
              <w:right w:val="nil"/>
            </w:tcBorders>
            <w:shd w:val="clear" w:color="000000" w:fill="FFFFFF"/>
            <w:vAlign w:val="center"/>
            <w:hideMark/>
          </w:tcPr>
          <w:p w:rsidR="000B5438" w:rsidRPr="00CD26D6" w:rsidRDefault="000B5438" w:rsidP="0024474C">
            <w:pPr>
              <w:spacing w:beforeLines="80" w:before="192" w:after="80"/>
              <w:jc w:val="right"/>
              <w:rPr>
                <w:rFonts w:cs="Arial"/>
                <w:color w:val="000000"/>
                <w:sz w:val="16"/>
                <w:szCs w:val="16"/>
              </w:rPr>
            </w:pPr>
            <w:r w:rsidRPr="00CD26D6">
              <w:rPr>
                <w:rFonts w:cs="Arial"/>
                <w:color w:val="000000"/>
                <w:sz w:val="16"/>
                <w:szCs w:val="16"/>
              </w:rPr>
              <w:t xml:space="preserve">1,130 </w:t>
            </w:r>
          </w:p>
        </w:tc>
        <w:tc>
          <w:tcPr>
            <w:tcW w:w="1418" w:type="dxa"/>
            <w:tcBorders>
              <w:top w:val="nil"/>
              <w:left w:val="nil"/>
              <w:bottom w:val="nil"/>
              <w:right w:val="single" w:sz="4" w:space="0" w:color="auto"/>
            </w:tcBorders>
            <w:shd w:val="clear" w:color="000000" w:fill="FFFFFF"/>
            <w:vAlign w:val="center"/>
            <w:hideMark/>
          </w:tcPr>
          <w:p w:rsidR="000B5438" w:rsidRPr="00CD26D6" w:rsidRDefault="000B5438" w:rsidP="0024474C">
            <w:pPr>
              <w:spacing w:beforeLines="80" w:before="192" w:after="80"/>
              <w:jc w:val="right"/>
              <w:rPr>
                <w:rFonts w:cs="Arial"/>
                <w:color w:val="000000"/>
                <w:sz w:val="16"/>
                <w:szCs w:val="16"/>
              </w:rPr>
            </w:pPr>
            <w:r w:rsidRPr="00CD26D6">
              <w:rPr>
                <w:rFonts w:cs="Arial"/>
                <w:color w:val="000000"/>
                <w:sz w:val="16"/>
                <w:szCs w:val="16"/>
              </w:rPr>
              <w:t xml:space="preserve">980 </w:t>
            </w:r>
          </w:p>
        </w:tc>
      </w:tr>
      <w:tr w:rsidR="000B5438" w:rsidRPr="00FD0123" w:rsidTr="00FD0123">
        <w:tc>
          <w:tcPr>
            <w:tcW w:w="609" w:type="dxa"/>
            <w:tcBorders>
              <w:top w:val="nil"/>
              <w:left w:val="single" w:sz="4" w:space="0" w:color="auto"/>
              <w:bottom w:val="single" w:sz="4" w:space="0" w:color="auto"/>
              <w:right w:val="nil"/>
            </w:tcBorders>
            <w:shd w:val="clear" w:color="000000" w:fill="CCFFFF"/>
            <w:noWrap/>
            <w:vAlign w:val="bottom"/>
            <w:hideMark/>
          </w:tcPr>
          <w:p w:rsidR="000B5438" w:rsidRPr="00CD26D6" w:rsidRDefault="000B5438" w:rsidP="0024474C">
            <w:pPr>
              <w:spacing w:beforeLines="80" w:before="192" w:after="80"/>
              <w:jc w:val="center"/>
              <w:rPr>
                <w:rFonts w:cs="Arial"/>
                <w:b/>
                <w:bCs/>
                <w:color w:val="000000"/>
                <w:sz w:val="16"/>
                <w:szCs w:val="16"/>
              </w:rPr>
            </w:pPr>
            <w:r w:rsidRPr="00CD26D6">
              <w:rPr>
                <w:rFonts w:cs="Arial"/>
                <w:b/>
                <w:bCs/>
                <w:color w:val="000000"/>
                <w:sz w:val="16"/>
                <w:szCs w:val="16"/>
              </w:rPr>
              <w:t> </w:t>
            </w:r>
          </w:p>
        </w:tc>
        <w:tc>
          <w:tcPr>
            <w:tcW w:w="4499" w:type="dxa"/>
            <w:tcBorders>
              <w:top w:val="nil"/>
              <w:left w:val="nil"/>
              <w:bottom w:val="single" w:sz="4" w:space="0" w:color="auto"/>
              <w:right w:val="nil"/>
            </w:tcBorders>
            <w:shd w:val="clear" w:color="000000" w:fill="CCFFFF"/>
            <w:noWrap/>
            <w:vAlign w:val="center"/>
            <w:hideMark/>
          </w:tcPr>
          <w:p w:rsidR="000B5438" w:rsidRPr="00CD26D6" w:rsidRDefault="000B5438" w:rsidP="0024474C">
            <w:pPr>
              <w:spacing w:beforeLines="80" w:before="192" w:after="80"/>
              <w:rPr>
                <w:rFonts w:cs="Arial"/>
                <w:b/>
                <w:bCs/>
                <w:color w:val="000000"/>
                <w:sz w:val="16"/>
                <w:szCs w:val="16"/>
              </w:rPr>
            </w:pPr>
            <w:r w:rsidRPr="00CD26D6">
              <w:rPr>
                <w:rFonts w:cs="Arial"/>
                <w:b/>
                <w:bCs/>
                <w:color w:val="000000"/>
                <w:sz w:val="16"/>
                <w:szCs w:val="16"/>
              </w:rPr>
              <w:t>Total</w:t>
            </w:r>
          </w:p>
        </w:tc>
        <w:tc>
          <w:tcPr>
            <w:tcW w:w="141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B5438" w:rsidRPr="00CD26D6" w:rsidRDefault="000B5438" w:rsidP="0024474C">
            <w:pPr>
              <w:spacing w:beforeLines="80" w:before="192" w:after="80"/>
              <w:jc w:val="right"/>
              <w:rPr>
                <w:rFonts w:cs="Arial"/>
                <w:b/>
                <w:bCs/>
                <w:color w:val="000000"/>
                <w:sz w:val="16"/>
                <w:szCs w:val="16"/>
              </w:rPr>
            </w:pPr>
            <w:r w:rsidRPr="00CD26D6">
              <w:rPr>
                <w:rFonts w:cs="Arial"/>
                <w:b/>
                <w:bCs/>
                <w:color w:val="000000"/>
                <w:sz w:val="16"/>
                <w:szCs w:val="16"/>
              </w:rPr>
              <w:t>10,912</w:t>
            </w:r>
          </w:p>
        </w:tc>
        <w:tc>
          <w:tcPr>
            <w:tcW w:w="1418" w:type="dxa"/>
            <w:tcBorders>
              <w:top w:val="single" w:sz="4" w:space="0" w:color="auto"/>
              <w:left w:val="nil"/>
              <w:bottom w:val="single" w:sz="4" w:space="0" w:color="auto"/>
              <w:right w:val="single" w:sz="4" w:space="0" w:color="auto"/>
            </w:tcBorders>
            <w:shd w:val="clear" w:color="000000" w:fill="CCFFFF"/>
            <w:noWrap/>
            <w:vAlign w:val="center"/>
            <w:hideMark/>
          </w:tcPr>
          <w:p w:rsidR="000B5438" w:rsidRPr="00CD26D6" w:rsidRDefault="000B5438" w:rsidP="0024474C">
            <w:pPr>
              <w:spacing w:beforeLines="80" w:before="192" w:after="80"/>
              <w:jc w:val="right"/>
              <w:rPr>
                <w:rFonts w:cs="Arial"/>
                <w:b/>
                <w:bCs/>
                <w:color w:val="000000"/>
                <w:sz w:val="16"/>
                <w:szCs w:val="16"/>
              </w:rPr>
            </w:pPr>
            <w:r w:rsidRPr="00CD26D6">
              <w:rPr>
                <w:rFonts w:cs="Arial"/>
                <w:b/>
                <w:bCs/>
                <w:color w:val="000000"/>
                <w:sz w:val="16"/>
                <w:szCs w:val="16"/>
              </w:rPr>
              <w:t>10,510</w:t>
            </w:r>
          </w:p>
        </w:tc>
        <w:tc>
          <w:tcPr>
            <w:tcW w:w="1418" w:type="dxa"/>
            <w:tcBorders>
              <w:top w:val="single" w:sz="4" w:space="0" w:color="auto"/>
              <w:left w:val="nil"/>
              <w:bottom w:val="single" w:sz="4" w:space="0" w:color="auto"/>
              <w:right w:val="single" w:sz="4" w:space="0" w:color="auto"/>
            </w:tcBorders>
            <w:shd w:val="clear" w:color="000000" w:fill="CCFFFF"/>
            <w:vAlign w:val="center"/>
            <w:hideMark/>
          </w:tcPr>
          <w:p w:rsidR="000B5438" w:rsidRPr="00CD26D6" w:rsidRDefault="000B5438" w:rsidP="0024474C">
            <w:pPr>
              <w:spacing w:beforeLines="80" w:before="192" w:after="80"/>
              <w:jc w:val="right"/>
              <w:rPr>
                <w:rFonts w:cs="Arial"/>
                <w:b/>
                <w:bCs/>
                <w:color w:val="000000"/>
                <w:sz w:val="16"/>
                <w:szCs w:val="16"/>
              </w:rPr>
            </w:pPr>
            <w:r w:rsidRPr="00CD26D6">
              <w:rPr>
                <w:rFonts w:cs="Arial"/>
                <w:b/>
                <w:bCs/>
                <w:color w:val="000000"/>
                <w:sz w:val="16"/>
                <w:szCs w:val="16"/>
              </w:rPr>
              <w:t>9,657</w:t>
            </w:r>
          </w:p>
        </w:tc>
      </w:tr>
    </w:tbl>
    <w:p w:rsidR="00861678" w:rsidRDefault="00861678" w:rsidP="000B5438">
      <w:pPr>
        <w:pStyle w:val="NormalWeb"/>
        <w:spacing w:before="0" w:beforeAutospacing="0" w:after="0" w:afterAutospacing="0"/>
        <w:jc w:val="center"/>
        <w:rPr>
          <w:color w:val="000000"/>
          <w:sz w:val="20"/>
          <w:szCs w:val="20"/>
        </w:rPr>
      </w:pPr>
    </w:p>
    <w:p w:rsidR="00861678" w:rsidRDefault="00861678" w:rsidP="000B5438">
      <w:pPr>
        <w:pStyle w:val="NormalWeb"/>
        <w:spacing w:before="0" w:beforeAutospacing="0" w:after="0" w:afterAutospacing="0"/>
        <w:jc w:val="center"/>
        <w:rPr>
          <w:color w:val="000000"/>
          <w:sz w:val="20"/>
          <w:szCs w:val="20"/>
        </w:rPr>
      </w:pPr>
    </w:p>
    <w:p w:rsidR="000A07C2" w:rsidRDefault="000A07C2">
      <w:pPr>
        <w:rPr>
          <w:rFonts w:cs="Arial"/>
          <w:color w:val="000000"/>
          <w:szCs w:val="20"/>
        </w:rPr>
      </w:pPr>
      <w:r>
        <w:rPr>
          <w:color w:val="000000"/>
          <w:szCs w:val="20"/>
        </w:rPr>
        <w:br w:type="page"/>
      </w:r>
    </w:p>
    <w:p w:rsidR="000B5438" w:rsidRPr="0027745B" w:rsidRDefault="000B5438" w:rsidP="000B5438">
      <w:pPr>
        <w:pStyle w:val="NormalWeb"/>
        <w:spacing w:before="0" w:beforeAutospacing="0" w:after="0" w:afterAutospacing="0"/>
        <w:jc w:val="center"/>
        <w:rPr>
          <w:sz w:val="20"/>
          <w:szCs w:val="20"/>
        </w:rPr>
      </w:pPr>
      <w:r w:rsidRPr="0027745B">
        <w:rPr>
          <w:color w:val="000000"/>
          <w:sz w:val="20"/>
          <w:szCs w:val="20"/>
        </w:rPr>
        <w:lastRenderedPageBreak/>
        <w:t xml:space="preserve">Budget and Actual Expenditure (personnel and non-personnel) </w:t>
      </w:r>
    </w:p>
    <w:p w:rsidR="000B5438" w:rsidRPr="0027745B" w:rsidRDefault="000B5438" w:rsidP="000B5438">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B5438" w:rsidRDefault="000B5438" w:rsidP="000B5438">
      <w:pPr>
        <w:jc w:val="right"/>
        <w:rPr>
          <w:rFonts w:eastAsia="SimSun" w:cs="Arial"/>
          <w:szCs w:val="20"/>
          <w:lang w:eastAsia="zh-CN"/>
        </w:rPr>
      </w:pPr>
    </w:p>
    <w:tbl>
      <w:tblPr>
        <w:tblW w:w="0" w:type="auto"/>
        <w:tblInd w:w="93" w:type="dxa"/>
        <w:tblLook w:val="04A0" w:firstRow="1" w:lastRow="0" w:firstColumn="1" w:lastColumn="0" w:noHBand="0" w:noVBand="1"/>
      </w:tblPr>
      <w:tblGrid>
        <w:gridCol w:w="2567"/>
        <w:gridCol w:w="1724"/>
        <w:gridCol w:w="1722"/>
        <w:gridCol w:w="1739"/>
        <w:gridCol w:w="1726"/>
      </w:tblGrid>
      <w:tr w:rsidR="000B5438" w:rsidRPr="000A07C2" w:rsidTr="0024474C">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CD26D6" w:rsidRDefault="000B5438" w:rsidP="0024474C">
            <w:pPr>
              <w:spacing w:before="120" w:after="120"/>
              <w:rPr>
                <w:rFonts w:cs="Arial"/>
                <w:color w:val="000000"/>
                <w:sz w:val="16"/>
                <w:szCs w:val="16"/>
              </w:rPr>
            </w:pPr>
            <w:r w:rsidRPr="00CD26D6">
              <w:rPr>
                <w:rFonts w:cs="Arial"/>
                <w:color w:val="000000"/>
                <w:sz w:val="16"/>
                <w:szCs w:val="16"/>
              </w:rPr>
              <w:t> </w:t>
            </w:r>
          </w:p>
        </w:tc>
        <w:tc>
          <w:tcPr>
            <w:tcW w:w="1771" w:type="dxa"/>
            <w:tcBorders>
              <w:top w:val="single" w:sz="4" w:space="0" w:color="auto"/>
              <w:left w:val="nil"/>
              <w:bottom w:val="nil"/>
              <w:right w:val="single" w:sz="4" w:space="0" w:color="auto"/>
            </w:tcBorders>
            <w:shd w:val="clear" w:color="000000" w:fill="CCFFFF"/>
            <w:vAlign w:val="center"/>
            <w:hideMark/>
          </w:tcPr>
          <w:p w:rsidR="000B5438" w:rsidRPr="00CD26D6" w:rsidRDefault="000B5438" w:rsidP="0024474C">
            <w:pPr>
              <w:spacing w:before="120" w:after="120"/>
              <w:jc w:val="center"/>
              <w:rPr>
                <w:rFonts w:cs="Arial"/>
                <w:bCs/>
                <w:color w:val="000000"/>
                <w:sz w:val="16"/>
                <w:szCs w:val="16"/>
              </w:rPr>
            </w:pPr>
            <w:r w:rsidRPr="00CD26D6">
              <w:rPr>
                <w:rFonts w:cs="Arial"/>
                <w:bCs/>
                <w:color w:val="000000"/>
                <w:sz w:val="16"/>
                <w:szCs w:val="16"/>
              </w:rPr>
              <w:t>Approved Budget 2012/13</w:t>
            </w:r>
          </w:p>
        </w:tc>
        <w:tc>
          <w:tcPr>
            <w:tcW w:w="1772" w:type="dxa"/>
            <w:tcBorders>
              <w:top w:val="single" w:sz="4" w:space="0" w:color="auto"/>
              <w:left w:val="nil"/>
              <w:bottom w:val="nil"/>
              <w:right w:val="single" w:sz="4" w:space="0" w:color="auto"/>
            </w:tcBorders>
            <w:shd w:val="clear" w:color="000000" w:fill="CCFFFF"/>
            <w:vAlign w:val="center"/>
            <w:hideMark/>
          </w:tcPr>
          <w:p w:rsidR="000B5438" w:rsidRPr="00CD26D6" w:rsidRDefault="000B5438" w:rsidP="0024474C">
            <w:pPr>
              <w:spacing w:before="120" w:after="120"/>
              <w:jc w:val="center"/>
              <w:rPr>
                <w:rFonts w:cs="Arial"/>
                <w:bCs/>
                <w:color w:val="000000"/>
                <w:sz w:val="16"/>
                <w:szCs w:val="16"/>
              </w:rPr>
            </w:pPr>
            <w:r w:rsidRPr="00CD26D6">
              <w:rPr>
                <w:rFonts w:cs="Arial"/>
                <w:bCs/>
                <w:color w:val="000000"/>
                <w:sz w:val="16"/>
                <w:szCs w:val="16"/>
              </w:rPr>
              <w:t>Budget after transfers 2012/13</w:t>
            </w:r>
          </w:p>
        </w:tc>
        <w:tc>
          <w:tcPr>
            <w:tcW w:w="1772" w:type="dxa"/>
            <w:tcBorders>
              <w:top w:val="single" w:sz="4" w:space="0" w:color="auto"/>
              <w:left w:val="nil"/>
              <w:bottom w:val="nil"/>
              <w:right w:val="single" w:sz="4" w:space="0" w:color="auto"/>
            </w:tcBorders>
            <w:shd w:val="clear" w:color="000000" w:fill="CCFFFF"/>
            <w:vAlign w:val="center"/>
            <w:hideMark/>
          </w:tcPr>
          <w:p w:rsidR="000B5438" w:rsidRPr="00CD26D6" w:rsidRDefault="000B5438" w:rsidP="0024474C">
            <w:pPr>
              <w:spacing w:before="120" w:after="120"/>
              <w:jc w:val="center"/>
              <w:rPr>
                <w:rFonts w:cs="Arial"/>
                <w:bCs/>
                <w:color w:val="000000"/>
                <w:sz w:val="16"/>
                <w:szCs w:val="16"/>
              </w:rPr>
            </w:pPr>
            <w:r w:rsidRPr="00CD26D6">
              <w:rPr>
                <w:rFonts w:cs="Arial"/>
                <w:bCs/>
                <w:color w:val="000000"/>
                <w:sz w:val="16"/>
                <w:szCs w:val="16"/>
              </w:rPr>
              <w:t>Expenditures 2012/13</w:t>
            </w:r>
          </w:p>
        </w:tc>
        <w:tc>
          <w:tcPr>
            <w:tcW w:w="1772" w:type="dxa"/>
            <w:tcBorders>
              <w:top w:val="single" w:sz="4" w:space="0" w:color="auto"/>
              <w:left w:val="nil"/>
              <w:bottom w:val="nil"/>
              <w:right w:val="single" w:sz="4" w:space="0" w:color="auto"/>
            </w:tcBorders>
            <w:shd w:val="clear" w:color="000000" w:fill="CCFFFF"/>
            <w:vAlign w:val="center"/>
            <w:hideMark/>
          </w:tcPr>
          <w:p w:rsidR="000B5438" w:rsidRPr="00CD26D6" w:rsidRDefault="000B5438" w:rsidP="0024474C">
            <w:pPr>
              <w:spacing w:before="120" w:after="120"/>
              <w:jc w:val="center"/>
              <w:rPr>
                <w:rFonts w:cs="Arial"/>
                <w:bCs/>
                <w:color w:val="000000"/>
                <w:sz w:val="16"/>
                <w:szCs w:val="16"/>
              </w:rPr>
            </w:pPr>
            <w:r w:rsidRPr="00CD26D6">
              <w:rPr>
                <w:rFonts w:cs="Arial"/>
                <w:bCs/>
                <w:color w:val="000000"/>
                <w:sz w:val="16"/>
                <w:szCs w:val="16"/>
              </w:rPr>
              <w:t>Utilization rate (%)</w:t>
            </w:r>
          </w:p>
        </w:tc>
      </w:tr>
      <w:tr w:rsidR="000B5438" w:rsidRPr="000A07C2" w:rsidTr="007C0423">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CD26D6" w:rsidRDefault="000B5438" w:rsidP="0024474C">
            <w:pPr>
              <w:spacing w:before="120" w:after="120"/>
              <w:rPr>
                <w:rFonts w:cs="Arial"/>
                <w:color w:val="000000"/>
                <w:sz w:val="16"/>
                <w:szCs w:val="16"/>
              </w:rPr>
            </w:pPr>
            <w:r w:rsidRPr="00CD26D6">
              <w:rPr>
                <w:rFonts w:cs="Arial"/>
                <w:color w:val="000000"/>
                <w:sz w:val="16"/>
                <w:szCs w:val="16"/>
              </w:rPr>
              <w:t xml:space="preserve">Personnel Resources  </w:t>
            </w:r>
          </w:p>
        </w:tc>
        <w:tc>
          <w:tcPr>
            <w:tcW w:w="1771" w:type="dxa"/>
            <w:tcBorders>
              <w:top w:val="single" w:sz="4" w:space="0" w:color="auto"/>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7,554</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7,237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7,237</w:t>
            </w:r>
          </w:p>
        </w:tc>
        <w:tc>
          <w:tcPr>
            <w:tcW w:w="1772" w:type="dxa"/>
            <w:tcBorders>
              <w:top w:val="single" w:sz="4" w:space="0" w:color="auto"/>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100%</w:t>
            </w:r>
          </w:p>
        </w:tc>
      </w:tr>
      <w:tr w:rsidR="000B5438" w:rsidRPr="000A07C2" w:rsidTr="007C0423">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CD26D6" w:rsidRDefault="000B5438" w:rsidP="0024474C">
            <w:pPr>
              <w:spacing w:before="120" w:after="120"/>
              <w:rPr>
                <w:rFonts w:cs="Arial"/>
                <w:color w:val="000000"/>
                <w:sz w:val="16"/>
                <w:szCs w:val="16"/>
              </w:rPr>
            </w:pPr>
            <w:r w:rsidRPr="00CD26D6">
              <w:rPr>
                <w:rFonts w:cs="Arial"/>
                <w:color w:val="000000"/>
                <w:sz w:val="16"/>
                <w:szCs w:val="16"/>
              </w:rPr>
              <w:t xml:space="preserve">Non-personnel Resources </w:t>
            </w:r>
          </w:p>
        </w:tc>
        <w:tc>
          <w:tcPr>
            <w:tcW w:w="1771"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3,358</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3,273</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2,420</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color w:val="000000"/>
                <w:sz w:val="16"/>
                <w:szCs w:val="16"/>
              </w:rPr>
            </w:pPr>
            <w:r w:rsidRPr="00CD26D6">
              <w:rPr>
                <w:rFonts w:cs="Arial"/>
                <w:color w:val="000000"/>
                <w:sz w:val="16"/>
                <w:szCs w:val="16"/>
              </w:rPr>
              <w:t>74%</w:t>
            </w:r>
          </w:p>
        </w:tc>
      </w:tr>
      <w:tr w:rsidR="000B5438" w:rsidRPr="000A07C2" w:rsidTr="007C0423">
        <w:trPr>
          <w:trHeight w:val="502"/>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CD26D6" w:rsidRDefault="000B5438" w:rsidP="0024474C">
            <w:pPr>
              <w:spacing w:before="120" w:after="120"/>
              <w:jc w:val="right"/>
              <w:rPr>
                <w:rFonts w:cs="Arial"/>
                <w:b/>
                <w:bCs/>
                <w:color w:val="000000"/>
                <w:sz w:val="16"/>
                <w:szCs w:val="16"/>
              </w:rPr>
            </w:pPr>
            <w:r w:rsidRPr="00CD26D6">
              <w:rPr>
                <w:rFonts w:cs="Arial"/>
                <w:b/>
                <w:bCs/>
                <w:color w:val="000000"/>
                <w:sz w:val="16"/>
                <w:szCs w:val="16"/>
              </w:rPr>
              <w:t xml:space="preserve"> TOTAL </w:t>
            </w:r>
          </w:p>
        </w:tc>
        <w:tc>
          <w:tcPr>
            <w:tcW w:w="1771"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b/>
                <w:bCs/>
                <w:color w:val="000000"/>
                <w:sz w:val="16"/>
                <w:szCs w:val="16"/>
              </w:rPr>
            </w:pPr>
            <w:r w:rsidRPr="00CD26D6">
              <w:rPr>
                <w:rFonts w:cs="Arial"/>
                <w:b/>
                <w:bCs/>
                <w:color w:val="000000"/>
                <w:sz w:val="16"/>
                <w:szCs w:val="16"/>
              </w:rPr>
              <w:t>10,912</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b/>
                <w:color w:val="000000"/>
                <w:sz w:val="16"/>
                <w:szCs w:val="16"/>
              </w:rPr>
            </w:pPr>
            <w:r w:rsidRPr="00CD26D6">
              <w:rPr>
                <w:rFonts w:cs="Arial"/>
                <w:b/>
                <w:color w:val="000000"/>
                <w:sz w:val="16"/>
                <w:szCs w:val="16"/>
              </w:rPr>
              <w:t>10,510</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b/>
                <w:color w:val="000000"/>
                <w:sz w:val="16"/>
                <w:szCs w:val="16"/>
              </w:rPr>
            </w:pPr>
            <w:r w:rsidRPr="00CD26D6">
              <w:rPr>
                <w:rFonts w:cs="Arial"/>
                <w:b/>
                <w:color w:val="000000"/>
                <w:sz w:val="16"/>
                <w:szCs w:val="16"/>
              </w:rPr>
              <w:t>9,657</w:t>
            </w:r>
          </w:p>
        </w:tc>
        <w:tc>
          <w:tcPr>
            <w:tcW w:w="1772" w:type="dxa"/>
            <w:tcBorders>
              <w:top w:val="nil"/>
              <w:left w:val="nil"/>
              <w:bottom w:val="single" w:sz="4" w:space="0" w:color="auto"/>
              <w:right w:val="single" w:sz="4" w:space="0" w:color="auto"/>
            </w:tcBorders>
            <w:shd w:val="clear" w:color="auto" w:fill="auto"/>
            <w:vAlign w:val="center"/>
            <w:hideMark/>
          </w:tcPr>
          <w:p w:rsidR="000B5438" w:rsidRPr="00CD26D6" w:rsidRDefault="000B5438" w:rsidP="0024474C">
            <w:pPr>
              <w:spacing w:before="120" w:after="120"/>
              <w:jc w:val="center"/>
              <w:rPr>
                <w:rFonts w:cs="Arial"/>
                <w:b/>
                <w:color w:val="000000"/>
                <w:sz w:val="16"/>
                <w:szCs w:val="16"/>
              </w:rPr>
            </w:pPr>
            <w:r w:rsidRPr="00CD26D6">
              <w:rPr>
                <w:rFonts w:cs="Arial"/>
                <w:b/>
                <w:color w:val="000000"/>
                <w:sz w:val="16"/>
                <w:szCs w:val="16"/>
              </w:rPr>
              <w:t>92%</w:t>
            </w:r>
          </w:p>
        </w:tc>
      </w:tr>
    </w:tbl>
    <w:p w:rsidR="000B5438" w:rsidRDefault="000B5438" w:rsidP="000B5438">
      <w:pPr>
        <w:rPr>
          <w:rFonts w:eastAsia="SimSun" w:cs="Arial"/>
          <w:szCs w:val="20"/>
          <w:lang w:eastAsia="zh-CN"/>
        </w:rPr>
      </w:pPr>
    </w:p>
    <w:p w:rsidR="000B5438" w:rsidRPr="00861678" w:rsidRDefault="000B5438" w:rsidP="000B5438">
      <w:pPr>
        <w:keepNext/>
        <w:autoSpaceDE w:val="0"/>
        <w:autoSpaceDN w:val="0"/>
        <w:rPr>
          <w:rFonts w:cs="Arial"/>
          <w:sz w:val="16"/>
          <w:szCs w:val="16"/>
        </w:rPr>
      </w:pPr>
      <w:r w:rsidRPr="00861678">
        <w:rPr>
          <w:rFonts w:cs="Arial"/>
          <w:sz w:val="16"/>
          <w:szCs w:val="16"/>
        </w:rPr>
        <w:t>NOTES:</w:t>
      </w:r>
    </w:p>
    <w:p w:rsidR="00861678" w:rsidRPr="00861678" w:rsidRDefault="00861678" w:rsidP="000B5438">
      <w:pPr>
        <w:keepNext/>
        <w:autoSpaceDE w:val="0"/>
        <w:autoSpaceDN w:val="0"/>
        <w:rPr>
          <w:rFonts w:cs="Arial"/>
          <w:sz w:val="16"/>
          <w:szCs w:val="16"/>
        </w:rPr>
      </w:pPr>
    </w:p>
    <w:p w:rsidR="000B5438" w:rsidRPr="00861678" w:rsidRDefault="000B5438" w:rsidP="000B5438">
      <w:pPr>
        <w:keepNext/>
        <w:autoSpaceDE w:val="0"/>
        <w:autoSpaceDN w:val="0"/>
        <w:rPr>
          <w:rFonts w:cs="Arial"/>
          <w:sz w:val="16"/>
          <w:szCs w:val="16"/>
        </w:rPr>
      </w:pPr>
      <w:r w:rsidRPr="00861678">
        <w:rPr>
          <w:rFonts w:cs="Arial"/>
          <w:sz w:val="16"/>
          <w:szCs w:val="16"/>
        </w:rPr>
        <w:t>(1)  Budget after transfers reflects the adjusted budget of Programs, following transfers during 2012/13 in line with Financial Regulation 5.5.</w:t>
      </w:r>
    </w:p>
    <w:p w:rsidR="000B5438" w:rsidRPr="00861678" w:rsidRDefault="000B5438" w:rsidP="000B5438">
      <w:pPr>
        <w:keepNext/>
        <w:autoSpaceDE w:val="0"/>
        <w:autoSpaceDN w:val="0"/>
        <w:rPr>
          <w:rFonts w:cs="Arial"/>
          <w:sz w:val="16"/>
          <w:szCs w:val="16"/>
        </w:rPr>
      </w:pPr>
    </w:p>
    <w:p w:rsidR="000B5438" w:rsidRPr="0027745B" w:rsidRDefault="00DC2CFA" w:rsidP="000B5438">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0B5438" w:rsidRPr="0027745B">
        <w:rPr>
          <w:rFonts w:cs="Arial"/>
          <w:sz w:val="16"/>
          <w:szCs w:val="16"/>
        </w:rPr>
        <w:t xml:space="preserve"> </w:t>
      </w:r>
    </w:p>
    <w:p w:rsidR="000B5438" w:rsidRDefault="000B5438" w:rsidP="000B5438">
      <w:pPr>
        <w:rPr>
          <w:rFonts w:eastAsia="SimSun" w:cs="Arial"/>
          <w:szCs w:val="20"/>
          <w:lang w:eastAsia="zh-CN"/>
        </w:rPr>
      </w:pPr>
    </w:p>
    <w:p w:rsidR="000B5438" w:rsidRDefault="000B5438" w:rsidP="000B5438">
      <w:pPr>
        <w:rPr>
          <w:rFonts w:eastAsia="SimSun" w:cs="Arial"/>
          <w:szCs w:val="20"/>
          <w:lang w:eastAsia="zh-CN"/>
        </w:rPr>
      </w:pPr>
    </w:p>
    <w:p w:rsidR="000B5438" w:rsidRPr="00FD0123" w:rsidRDefault="000B5438" w:rsidP="0024474C">
      <w:pPr>
        <w:tabs>
          <w:tab w:val="left" w:pos="709"/>
        </w:tabs>
        <w:rPr>
          <w:rFonts w:eastAsia="SimSun" w:cs="Arial"/>
          <w:szCs w:val="20"/>
          <w:u w:val="single"/>
          <w:lang w:eastAsia="zh-CN"/>
        </w:rPr>
      </w:pPr>
      <w:r w:rsidRPr="00FD0123">
        <w:rPr>
          <w:rFonts w:eastAsia="SimSun" w:cs="Arial"/>
          <w:szCs w:val="20"/>
          <w:lang w:eastAsia="zh-CN"/>
        </w:rPr>
        <w:t>A.</w:t>
      </w:r>
      <w:r w:rsidRPr="00FD0123">
        <w:rPr>
          <w:rFonts w:eastAsia="SimSun" w:cs="Arial"/>
          <w:szCs w:val="20"/>
          <w:lang w:eastAsia="zh-CN"/>
        </w:rPr>
        <w:tab/>
      </w:r>
      <w:r w:rsidRPr="00FD0123">
        <w:rPr>
          <w:rFonts w:eastAsia="SimSun" w:cs="Arial"/>
          <w:szCs w:val="20"/>
          <w:u w:val="single"/>
          <w:lang w:eastAsia="zh-CN"/>
        </w:rPr>
        <w:t>Budget after Transfers 2012/13</w:t>
      </w:r>
    </w:p>
    <w:p w:rsidR="000B5438" w:rsidRPr="00FD0123" w:rsidRDefault="000B5438" w:rsidP="0024474C">
      <w:pPr>
        <w:tabs>
          <w:tab w:val="left" w:pos="709"/>
        </w:tabs>
        <w:rPr>
          <w:rFonts w:eastAsia="SimSun" w:cs="Arial"/>
          <w:szCs w:val="20"/>
          <w:lang w:eastAsia="zh-CN"/>
        </w:rPr>
      </w:pPr>
    </w:p>
    <w:p w:rsidR="000B5438" w:rsidRPr="00FD0123" w:rsidRDefault="000B5438" w:rsidP="0024474C">
      <w:pPr>
        <w:keepNext/>
        <w:tabs>
          <w:tab w:val="left" w:pos="709"/>
        </w:tabs>
        <w:autoSpaceDE w:val="0"/>
        <w:autoSpaceDN w:val="0"/>
        <w:jc w:val="both"/>
        <w:rPr>
          <w:rFonts w:cs="Arial"/>
          <w:szCs w:val="20"/>
        </w:rPr>
      </w:pPr>
      <w:r w:rsidRPr="00FD0123">
        <w:rPr>
          <w:rFonts w:eastAsia="SimSun" w:cs="Arial"/>
          <w:iCs/>
          <w:szCs w:val="20"/>
          <w:lang w:eastAsia="zh-CN"/>
        </w:rPr>
        <w:t>20.26.</w:t>
      </w:r>
      <w:r w:rsidRPr="00FD0123">
        <w:rPr>
          <w:rFonts w:eastAsia="SimSun" w:cs="Arial"/>
          <w:iCs/>
          <w:szCs w:val="20"/>
          <w:lang w:eastAsia="zh-CN"/>
        </w:rPr>
        <w:tab/>
      </w:r>
      <w:r w:rsidRPr="00FD0123">
        <w:rPr>
          <w:rFonts w:cs="Arial"/>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0B5438" w:rsidRPr="00FD0123" w:rsidRDefault="000B5438" w:rsidP="0024474C">
      <w:pPr>
        <w:tabs>
          <w:tab w:val="left" w:pos="709"/>
        </w:tabs>
        <w:jc w:val="both"/>
        <w:rPr>
          <w:rFonts w:eastAsia="SimSun" w:cs="Arial"/>
          <w:szCs w:val="20"/>
          <w:lang w:eastAsia="zh-CN"/>
        </w:rPr>
      </w:pPr>
    </w:p>
    <w:p w:rsidR="000B5438" w:rsidRPr="00FD0123" w:rsidRDefault="000B5438" w:rsidP="0024474C">
      <w:pPr>
        <w:tabs>
          <w:tab w:val="left" w:pos="709"/>
        </w:tabs>
        <w:jc w:val="both"/>
        <w:rPr>
          <w:rFonts w:eastAsia="SimSun" w:cs="Arial"/>
          <w:szCs w:val="20"/>
          <w:lang w:eastAsia="zh-CN"/>
        </w:rPr>
      </w:pPr>
      <w:r w:rsidRPr="00FD0123">
        <w:rPr>
          <w:rFonts w:eastAsia="SimSun" w:cs="Arial"/>
          <w:iCs/>
          <w:szCs w:val="20"/>
          <w:lang w:eastAsia="zh-CN"/>
        </w:rPr>
        <w:t>20.27.</w:t>
      </w:r>
      <w:r w:rsidRPr="00FD0123">
        <w:rPr>
          <w:rFonts w:eastAsia="SimSun" w:cs="Arial"/>
          <w:iCs/>
          <w:szCs w:val="20"/>
          <w:lang w:eastAsia="zh-CN"/>
        </w:rPr>
        <w:tab/>
      </w:r>
      <w:r w:rsidRPr="00FD0123">
        <w:rPr>
          <w:rFonts w:eastAsia="SimSun" w:cs="Arial"/>
          <w:szCs w:val="20"/>
          <w:lang w:eastAsia="zh-CN"/>
        </w:rPr>
        <w:t>The resource distribution to individual Results primarily reflects the focus of the External Offices on services in support of WIPO’s Global IP Services, in particular under Result II.1 (Informed strategic use of the PCT) and a shift in focus for mobilizing extra-budgetary resources under Result III.10 (</w:t>
      </w:r>
      <w:r w:rsidRPr="00FD0123">
        <w:rPr>
          <w:rFonts w:cs="Arial"/>
          <w:color w:val="000000"/>
          <w:szCs w:val="20"/>
        </w:rPr>
        <w:t>Increased extra-budgetary resources)</w:t>
      </w:r>
      <w:r w:rsidRPr="00FD0123">
        <w:rPr>
          <w:rFonts w:eastAsia="SimSun" w:cs="Arial"/>
          <w:szCs w:val="20"/>
          <w:lang w:eastAsia="zh-CN"/>
        </w:rPr>
        <w:t xml:space="preserve">.  </w:t>
      </w:r>
    </w:p>
    <w:p w:rsidR="000B5438" w:rsidRPr="00FD0123" w:rsidRDefault="000B5438" w:rsidP="0024474C">
      <w:pPr>
        <w:tabs>
          <w:tab w:val="left" w:pos="709"/>
        </w:tabs>
        <w:jc w:val="both"/>
        <w:rPr>
          <w:rFonts w:eastAsia="SimSun" w:cs="Arial"/>
          <w:szCs w:val="20"/>
          <w:lang w:eastAsia="zh-CN"/>
        </w:rPr>
      </w:pPr>
    </w:p>
    <w:p w:rsidR="000B5438" w:rsidRPr="00FD0123" w:rsidRDefault="000B5438" w:rsidP="0024474C">
      <w:pPr>
        <w:tabs>
          <w:tab w:val="left" w:pos="709"/>
        </w:tabs>
        <w:jc w:val="both"/>
        <w:rPr>
          <w:rFonts w:eastAsia="SimSun" w:cs="Arial"/>
          <w:szCs w:val="20"/>
          <w:u w:val="single"/>
          <w:lang w:eastAsia="zh-CN"/>
        </w:rPr>
      </w:pPr>
      <w:r w:rsidRPr="00FD0123">
        <w:rPr>
          <w:rFonts w:eastAsia="SimSun" w:cs="Arial"/>
          <w:szCs w:val="20"/>
          <w:lang w:eastAsia="zh-CN"/>
        </w:rPr>
        <w:t>B.</w:t>
      </w:r>
      <w:r w:rsidRPr="00FD0123">
        <w:rPr>
          <w:rFonts w:eastAsia="SimSun" w:cs="Arial"/>
          <w:szCs w:val="20"/>
          <w:lang w:eastAsia="zh-CN"/>
        </w:rPr>
        <w:tab/>
      </w:r>
      <w:r w:rsidRPr="00FD0123">
        <w:rPr>
          <w:rFonts w:eastAsia="SimSun" w:cs="Arial"/>
          <w:szCs w:val="20"/>
          <w:u w:val="single"/>
          <w:lang w:eastAsia="zh-CN"/>
        </w:rPr>
        <w:t>Budget Utilization 2012/13</w:t>
      </w:r>
    </w:p>
    <w:p w:rsidR="000B5438" w:rsidRPr="00FD0123" w:rsidRDefault="000B5438" w:rsidP="0024474C">
      <w:pPr>
        <w:tabs>
          <w:tab w:val="left" w:pos="709"/>
        </w:tabs>
        <w:jc w:val="both"/>
        <w:rPr>
          <w:rFonts w:eastAsia="SimSun" w:cs="Arial"/>
          <w:szCs w:val="20"/>
          <w:u w:val="single"/>
          <w:lang w:eastAsia="zh-CN"/>
        </w:rPr>
      </w:pPr>
    </w:p>
    <w:p w:rsidR="000B5438" w:rsidRPr="00FD0123" w:rsidRDefault="000B5438" w:rsidP="0024474C">
      <w:pPr>
        <w:tabs>
          <w:tab w:val="left" w:pos="709"/>
        </w:tabs>
        <w:jc w:val="both"/>
        <w:rPr>
          <w:rFonts w:eastAsia="SimSun" w:cs="Arial"/>
          <w:szCs w:val="20"/>
          <w:lang w:eastAsia="zh-CN"/>
        </w:rPr>
      </w:pPr>
      <w:r w:rsidRPr="00FD0123">
        <w:rPr>
          <w:rFonts w:eastAsia="SimSun" w:cs="Arial"/>
          <w:iCs/>
          <w:szCs w:val="20"/>
          <w:lang w:eastAsia="zh-CN"/>
        </w:rPr>
        <w:t>20.28.</w:t>
      </w:r>
      <w:r w:rsidRPr="00FD0123">
        <w:rPr>
          <w:rFonts w:eastAsia="SimSun" w:cs="Arial"/>
          <w:iCs/>
          <w:szCs w:val="20"/>
          <w:lang w:eastAsia="zh-CN"/>
        </w:rPr>
        <w:tab/>
      </w:r>
      <w:r w:rsidRPr="00FD0123">
        <w:rPr>
          <w:rFonts w:eastAsia="SimSun" w:cs="Arial"/>
          <w:szCs w:val="20"/>
          <w:lang w:eastAsia="zh-CN"/>
        </w:rPr>
        <w:t xml:space="preserve">The budget utilization of 74 per cent relates primarily to: </w:t>
      </w:r>
    </w:p>
    <w:p w:rsidR="000B5438" w:rsidRPr="00FD0123" w:rsidRDefault="000B5438" w:rsidP="0024474C">
      <w:pPr>
        <w:tabs>
          <w:tab w:val="left" w:pos="709"/>
        </w:tabs>
        <w:jc w:val="both"/>
        <w:rPr>
          <w:rFonts w:eastAsia="SimSun" w:cs="Arial"/>
          <w:szCs w:val="20"/>
          <w:lang w:eastAsia="zh-CN"/>
        </w:rPr>
      </w:pPr>
    </w:p>
    <w:p w:rsidR="000B5438" w:rsidRPr="00FD0123" w:rsidRDefault="000B5438" w:rsidP="0024474C">
      <w:pPr>
        <w:tabs>
          <w:tab w:val="left" w:pos="709"/>
          <w:tab w:val="left" w:pos="1134"/>
        </w:tabs>
        <w:ind w:left="1134" w:hanging="425"/>
        <w:jc w:val="both"/>
        <w:rPr>
          <w:rFonts w:cs="Arial"/>
          <w:color w:val="000000"/>
          <w:szCs w:val="20"/>
        </w:rPr>
      </w:pPr>
      <w:r w:rsidRPr="00FD0123">
        <w:rPr>
          <w:rFonts w:eastAsia="SimSun" w:cs="Arial"/>
          <w:szCs w:val="20"/>
          <w:lang w:eastAsia="zh-CN"/>
        </w:rPr>
        <w:t xml:space="preserve">(i) </w:t>
      </w:r>
      <w:r w:rsidRPr="00FD0123">
        <w:rPr>
          <w:rFonts w:eastAsia="SimSun" w:cs="Arial"/>
          <w:szCs w:val="20"/>
          <w:lang w:eastAsia="zh-CN"/>
        </w:rPr>
        <w:tab/>
      </w:r>
      <w:proofErr w:type="gramStart"/>
      <w:r w:rsidRPr="00FD0123">
        <w:rPr>
          <w:rFonts w:eastAsia="SimSun" w:cs="Arial"/>
          <w:szCs w:val="20"/>
          <w:lang w:eastAsia="zh-CN"/>
        </w:rPr>
        <w:t>the</w:t>
      </w:r>
      <w:proofErr w:type="gramEnd"/>
      <w:r w:rsidRPr="00FD0123">
        <w:rPr>
          <w:rFonts w:eastAsia="SimSun" w:cs="Arial"/>
          <w:szCs w:val="20"/>
          <w:lang w:eastAsia="zh-CN"/>
        </w:rPr>
        <w:t xml:space="preserve"> mobilization of extra-budgetary resources under Result III.10 (</w:t>
      </w:r>
      <w:r w:rsidRPr="00FD0123">
        <w:rPr>
          <w:rFonts w:cs="Arial"/>
          <w:color w:val="000000"/>
          <w:szCs w:val="20"/>
        </w:rPr>
        <w:t>Increased extra-budgetary resources): change in focus and approach on resource mobilization leading to reduced expenditure;  and</w:t>
      </w:r>
    </w:p>
    <w:p w:rsidR="000B5438" w:rsidRPr="00FD0123" w:rsidRDefault="000B5438" w:rsidP="0024474C">
      <w:pPr>
        <w:tabs>
          <w:tab w:val="left" w:pos="709"/>
          <w:tab w:val="left" w:pos="1134"/>
        </w:tabs>
        <w:ind w:left="1134" w:hanging="425"/>
        <w:jc w:val="both"/>
        <w:rPr>
          <w:rFonts w:cs="Arial"/>
          <w:color w:val="000000"/>
          <w:szCs w:val="20"/>
        </w:rPr>
      </w:pPr>
    </w:p>
    <w:p w:rsidR="000B5438" w:rsidRPr="00FD0123" w:rsidRDefault="000B5438" w:rsidP="0024474C">
      <w:pPr>
        <w:tabs>
          <w:tab w:val="left" w:pos="709"/>
          <w:tab w:val="left" w:pos="1134"/>
        </w:tabs>
        <w:ind w:left="1134" w:hanging="425"/>
        <w:jc w:val="both"/>
        <w:rPr>
          <w:rFonts w:eastAsia="SimSun" w:cs="Arial"/>
          <w:szCs w:val="20"/>
          <w:u w:val="single"/>
          <w:lang w:eastAsia="zh-CN"/>
        </w:rPr>
      </w:pPr>
      <w:r w:rsidRPr="00FD0123">
        <w:rPr>
          <w:rFonts w:cs="Arial"/>
          <w:color w:val="000000"/>
          <w:szCs w:val="20"/>
        </w:rPr>
        <w:t>(ii)</w:t>
      </w:r>
      <w:r w:rsidRPr="00FD0123">
        <w:rPr>
          <w:rFonts w:eastAsia="SimSun" w:cs="Arial"/>
          <w:szCs w:val="20"/>
          <w:lang w:eastAsia="zh-CN"/>
        </w:rPr>
        <w:t xml:space="preserve"> </w:t>
      </w:r>
      <w:r w:rsidRPr="00FD0123">
        <w:rPr>
          <w:rFonts w:eastAsia="SimSun" w:cs="Arial"/>
          <w:szCs w:val="20"/>
          <w:lang w:eastAsia="zh-CN"/>
        </w:rPr>
        <w:tab/>
      </w:r>
      <w:proofErr w:type="gramStart"/>
      <w:r w:rsidRPr="00FD0123">
        <w:rPr>
          <w:rFonts w:eastAsia="SimSun" w:cs="Arial"/>
          <w:szCs w:val="20"/>
          <w:lang w:eastAsia="zh-CN"/>
        </w:rPr>
        <w:t>engagement</w:t>
      </w:r>
      <w:proofErr w:type="gramEnd"/>
      <w:r w:rsidRPr="00FD0123">
        <w:rPr>
          <w:rFonts w:eastAsia="SimSun" w:cs="Arial"/>
          <w:szCs w:val="20"/>
          <w:lang w:eastAsia="zh-CN"/>
        </w:rPr>
        <w:t xml:space="preserve"> with the UN and other intergovernmental and non-governmental organizations reflected under Results VIII.3 (</w:t>
      </w:r>
      <w:r w:rsidRPr="00FD0123">
        <w:rPr>
          <w:rFonts w:cs="Arial"/>
          <w:color w:val="000000"/>
          <w:szCs w:val="20"/>
        </w:rPr>
        <w:t>WIPO effectively interacts and partners with UN and other IGO processes) and VIII.4 (Open, transparent and responsive interaction with NGOs):  staffing gaps in the first half of the biennium which affected implementation.</w:t>
      </w:r>
    </w:p>
    <w:p w:rsidR="000B5438" w:rsidRDefault="000B5438" w:rsidP="00387ADC">
      <w:pPr>
        <w:tabs>
          <w:tab w:val="left" w:pos="709"/>
        </w:tabs>
        <w:autoSpaceDE w:val="0"/>
        <w:autoSpaceDN w:val="0"/>
        <w:adjustRightInd w:val="0"/>
        <w:jc w:val="both"/>
        <w:rPr>
          <w:rFonts w:eastAsia="SimSun"/>
          <w:color w:val="000000"/>
          <w:szCs w:val="20"/>
          <w:lang w:eastAsia="zh-CN"/>
        </w:rPr>
      </w:pPr>
    </w:p>
    <w:p w:rsidR="000B5438" w:rsidRDefault="000B5438">
      <w:pPr>
        <w:rPr>
          <w:rFonts w:eastAsia="SimSun"/>
          <w:color w:val="000000"/>
          <w:szCs w:val="20"/>
          <w:lang w:eastAsia="zh-CN"/>
        </w:rPr>
      </w:pPr>
      <w:r>
        <w:rPr>
          <w:rFonts w:eastAsia="SimSun"/>
          <w:color w:val="000000"/>
          <w:szCs w:val="20"/>
          <w:lang w:eastAsia="zh-CN"/>
        </w:rPr>
        <w:br w:type="page"/>
      </w:r>
    </w:p>
    <w:p w:rsidR="001525FC" w:rsidRPr="00A522FE" w:rsidRDefault="001525FC" w:rsidP="001525FC">
      <w:pPr>
        <w:pStyle w:val="Heading2"/>
      </w:pPr>
      <w:bookmarkStart w:id="60" w:name="_Toc301357270"/>
      <w:bookmarkStart w:id="61" w:name="_Toc393956071"/>
      <w:r w:rsidRPr="00A522FE">
        <w:lastRenderedPageBreak/>
        <w:t xml:space="preserve">STRATEGIC GOAL IX </w:t>
      </w:r>
      <w:r w:rsidRPr="00A522FE">
        <w:br/>
      </w:r>
      <w:r w:rsidRPr="00A522FE">
        <w:br/>
        <w:t>Efficient Administrative and Financial Support</w:t>
      </w:r>
      <w:bookmarkEnd w:id="60"/>
      <w:bookmarkEnd w:id="61"/>
    </w:p>
    <w:p w:rsidR="00305272" w:rsidRDefault="00305272" w:rsidP="009031B9"/>
    <w:p w:rsidR="00CA3D55" w:rsidRPr="00305272" w:rsidRDefault="00CA3D55" w:rsidP="00305272">
      <w:pPr>
        <w:jc w:val="center"/>
      </w:pPr>
    </w:p>
    <w:p w:rsidR="001525FC" w:rsidRPr="0086702C" w:rsidRDefault="001525FC" w:rsidP="00305272">
      <w:pPr>
        <w:jc w:val="center"/>
        <w:rPr>
          <w:szCs w:val="20"/>
        </w:rPr>
      </w:pPr>
      <w:r w:rsidRPr="0086702C">
        <w:rPr>
          <w:szCs w:val="20"/>
        </w:rPr>
        <w:t>BIENNIAL PERFORMANCE DASHBOARD</w:t>
      </w:r>
    </w:p>
    <w:p w:rsidR="001525FC" w:rsidRPr="00305272" w:rsidRDefault="001525FC" w:rsidP="00305272">
      <w:pPr>
        <w:jc w:val="center"/>
      </w:pPr>
    </w:p>
    <w:p w:rsidR="00CA3D55" w:rsidRDefault="001525FC" w:rsidP="001525FC">
      <w:pPr>
        <w:autoSpaceDE w:val="0"/>
        <w:autoSpaceDN w:val="0"/>
        <w:adjustRightInd w:val="0"/>
        <w:jc w:val="both"/>
        <w:rPr>
          <w:rFonts w:cs="Arial"/>
        </w:rPr>
      </w:pPr>
      <w:r>
        <w:rPr>
          <w:rFonts w:cs="Arial"/>
        </w:rPr>
        <w:t xml:space="preserve">The dashboard </w:t>
      </w:r>
      <w:r w:rsidR="00BC7E89">
        <w:rPr>
          <w:rFonts w:cs="Arial"/>
        </w:rPr>
        <w:t xml:space="preserve">below </w:t>
      </w:r>
      <w:r>
        <w:rPr>
          <w:rFonts w:cs="Arial"/>
        </w:rPr>
        <w:t xml:space="preserve">provides a summary of the achievement of the expected results in the biennium 2012/13 as measured by the indicators under the Programs contributing to this Strategic Goal. </w:t>
      </w:r>
    </w:p>
    <w:p w:rsidR="00CA3D55" w:rsidRDefault="00CA3D55" w:rsidP="001525FC">
      <w:pPr>
        <w:autoSpaceDE w:val="0"/>
        <w:autoSpaceDN w:val="0"/>
        <w:adjustRightInd w:val="0"/>
        <w:jc w:val="both"/>
        <w:rPr>
          <w:rFonts w:cs="Arial"/>
        </w:rPr>
      </w:pPr>
    </w:p>
    <w:p w:rsidR="00CA3D55" w:rsidRDefault="00B17327" w:rsidP="00CA3D55">
      <w:pPr>
        <w:autoSpaceDE w:val="0"/>
        <w:autoSpaceDN w:val="0"/>
        <w:adjustRightInd w:val="0"/>
        <w:jc w:val="center"/>
        <w:rPr>
          <w:rFonts w:cs="Arial"/>
        </w:rPr>
      </w:pPr>
      <w:r>
        <w:rPr>
          <w:noProof/>
        </w:rPr>
        <w:drawing>
          <wp:inline distT="0" distB="0" distL="0" distR="0" wp14:anchorId="496F7BF3" wp14:editId="54F2EC86">
            <wp:extent cx="3694176" cy="2031797"/>
            <wp:effectExtent l="0" t="0" r="1905" b="6985"/>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73"/>
                    <a:stretch>
                      <a:fillRect/>
                    </a:stretch>
                  </pic:blipFill>
                  <pic:spPr>
                    <a:xfrm>
                      <a:off x="0" y="0"/>
                      <a:ext cx="3694176" cy="2031797"/>
                    </a:xfrm>
                    <a:prstGeom prst="rect">
                      <a:avLst/>
                    </a:prstGeom>
                  </pic:spPr>
                </pic:pic>
              </a:graphicData>
            </a:graphic>
          </wp:inline>
        </w:drawing>
      </w:r>
    </w:p>
    <w:p w:rsidR="001525FC" w:rsidRPr="00FA331B" w:rsidRDefault="001525FC" w:rsidP="001525FC">
      <w:pPr>
        <w:autoSpaceDE w:val="0"/>
        <w:autoSpaceDN w:val="0"/>
        <w:adjustRightInd w:val="0"/>
        <w:jc w:val="both"/>
        <w:rPr>
          <w:rFonts w:cs="Arial"/>
        </w:rPr>
      </w:pPr>
      <w:r>
        <w:rPr>
          <w:rFonts w:cs="Arial"/>
        </w:rPr>
        <w:t xml:space="preserve"> </w:t>
      </w:r>
    </w:p>
    <w:p w:rsidR="001525FC" w:rsidRPr="00FD430C" w:rsidRDefault="001525FC" w:rsidP="001525FC">
      <w:pPr>
        <w:tabs>
          <w:tab w:val="left" w:pos="0"/>
        </w:tabs>
        <w:rPr>
          <w:rFonts w:cs="Arial"/>
          <w:i/>
        </w:rPr>
      </w:pPr>
    </w:p>
    <w:tbl>
      <w:tblPr>
        <w:tblW w:w="0" w:type="auto"/>
        <w:tblInd w:w="9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87"/>
        <w:gridCol w:w="3799"/>
        <w:gridCol w:w="1417"/>
        <w:gridCol w:w="1163"/>
      </w:tblGrid>
      <w:tr w:rsidR="001525FC" w:rsidRPr="00FD430C" w:rsidTr="00C07F9C">
        <w:trPr>
          <w:cantSplit/>
          <w:tblHeader/>
        </w:trPr>
        <w:tc>
          <w:tcPr>
            <w:tcW w:w="2987" w:type="dxa"/>
            <w:tcBorders>
              <w:top w:val="single" w:sz="4" w:space="0" w:color="auto"/>
              <w:bottom w:val="single" w:sz="4" w:space="0" w:color="auto"/>
            </w:tcBorders>
            <w:shd w:val="clear" w:color="auto" w:fill="CCFFFF"/>
            <w:vAlign w:val="center"/>
          </w:tcPr>
          <w:p w:rsidR="001525FC" w:rsidRPr="000B4241" w:rsidRDefault="001525FC" w:rsidP="00C07F9C">
            <w:pPr>
              <w:spacing w:before="120" w:after="120"/>
              <w:jc w:val="center"/>
              <w:rPr>
                <w:rFonts w:cs="Arial"/>
                <w:b/>
                <w:bCs/>
                <w:sz w:val="14"/>
                <w:szCs w:val="14"/>
              </w:rPr>
            </w:pPr>
            <w:r w:rsidRPr="000B4241">
              <w:rPr>
                <w:rFonts w:cs="Arial"/>
                <w:b/>
                <w:bCs/>
                <w:sz w:val="14"/>
                <w:szCs w:val="14"/>
              </w:rPr>
              <w:t>Expected Results</w:t>
            </w:r>
          </w:p>
        </w:tc>
        <w:tc>
          <w:tcPr>
            <w:tcW w:w="3799" w:type="dxa"/>
            <w:tcBorders>
              <w:top w:val="single" w:sz="4" w:space="0" w:color="auto"/>
              <w:bottom w:val="single" w:sz="4" w:space="0" w:color="auto"/>
            </w:tcBorders>
            <w:shd w:val="clear" w:color="auto" w:fill="CCFFFF"/>
            <w:vAlign w:val="center"/>
          </w:tcPr>
          <w:p w:rsidR="001525FC" w:rsidRPr="000B4241" w:rsidRDefault="001525FC" w:rsidP="00C07F9C">
            <w:pPr>
              <w:spacing w:before="120" w:after="120"/>
              <w:jc w:val="center"/>
              <w:rPr>
                <w:rFonts w:cs="Arial"/>
                <w:b/>
                <w:bCs/>
                <w:sz w:val="14"/>
                <w:szCs w:val="14"/>
              </w:rPr>
            </w:pPr>
            <w:r w:rsidRPr="000B4241">
              <w:rPr>
                <w:rFonts w:cs="Arial"/>
                <w:b/>
                <w:bCs/>
                <w:sz w:val="14"/>
                <w:szCs w:val="14"/>
              </w:rPr>
              <w:t>Performance Indicators</w:t>
            </w:r>
          </w:p>
        </w:tc>
        <w:tc>
          <w:tcPr>
            <w:tcW w:w="1417" w:type="dxa"/>
            <w:tcBorders>
              <w:top w:val="single" w:sz="4" w:space="0" w:color="auto"/>
              <w:bottom w:val="single" w:sz="4" w:space="0" w:color="auto"/>
            </w:tcBorders>
            <w:shd w:val="clear" w:color="auto" w:fill="CCFFFF"/>
            <w:vAlign w:val="center"/>
          </w:tcPr>
          <w:p w:rsidR="001525FC" w:rsidRPr="000B4241" w:rsidRDefault="001525FC" w:rsidP="00C07F9C">
            <w:pPr>
              <w:spacing w:before="120" w:after="120"/>
              <w:jc w:val="center"/>
              <w:rPr>
                <w:rFonts w:cs="Arial"/>
                <w:b/>
                <w:bCs/>
                <w:sz w:val="14"/>
                <w:szCs w:val="14"/>
              </w:rPr>
            </w:pPr>
            <w:r w:rsidRPr="000B4241">
              <w:rPr>
                <w:rFonts w:cs="Arial"/>
                <w:b/>
                <w:bCs/>
                <w:sz w:val="14"/>
                <w:szCs w:val="14"/>
              </w:rPr>
              <w:t>Responsible Program(s)</w:t>
            </w:r>
          </w:p>
        </w:tc>
        <w:tc>
          <w:tcPr>
            <w:tcW w:w="1163" w:type="dxa"/>
            <w:tcBorders>
              <w:top w:val="single" w:sz="4" w:space="0" w:color="auto"/>
              <w:bottom w:val="single" w:sz="4" w:space="0" w:color="auto"/>
            </w:tcBorders>
            <w:shd w:val="clear" w:color="auto" w:fill="CCFFFF"/>
            <w:vAlign w:val="center"/>
          </w:tcPr>
          <w:p w:rsidR="001525FC" w:rsidRPr="000B4241" w:rsidRDefault="001525FC" w:rsidP="00C07F9C">
            <w:pPr>
              <w:spacing w:before="120" w:after="120"/>
              <w:jc w:val="center"/>
              <w:rPr>
                <w:rFonts w:cs="Arial"/>
                <w:b/>
                <w:bCs/>
                <w:sz w:val="14"/>
                <w:szCs w:val="14"/>
              </w:rPr>
            </w:pPr>
            <w:r w:rsidRPr="000B4241">
              <w:rPr>
                <w:rFonts w:cs="Arial"/>
                <w:b/>
                <w:bCs/>
                <w:sz w:val="14"/>
                <w:szCs w:val="14"/>
              </w:rPr>
              <w:t>TLS</w:t>
            </w:r>
          </w:p>
        </w:tc>
      </w:tr>
      <w:tr w:rsidR="00861678" w:rsidRPr="00FD430C" w:rsidTr="00C07F9C">
        <w:trPr>
          <w:cantSplit/>
        </w:trPr>
        <w:tc>
          <w:tcPr>
            <w:tcW w:w="2987" w:type="dxa"/>
            <w:vMerge w:val="restart"/>
            <w:tcBorders>
              <w:top w:val="single" w:sz="4" w:space="0" w:color="auto"/>
            </w:tcBorders>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Effective, efficient, quality and customer-oriented support services both to internal clients and to external stakeholders (human resources, IT, conference, language, procurement, travel, printing and publication, premises management)</w:t>
            </w:r>
          </w:p>
        </w:tc>
        <w:tc>
          <w:tcPr>
            <w:tcW w:w="3799" w:type="dxa"/>
            <w:tcBorders>
              <w:top w:val="single" w:sz="4" w:space="0" w:color="auto"/>
            </w:tcBorders>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Cost savings for goods and services procured by WIPO  (derived from RFPs, negotiations, or UN globalization actions)</w:t>
            </w:r>
          </w:p>
        </w:tc>
        <w:tc>
          <w:tcPr>
            <w:tcW w:w="1417" w:type="dxa"/>
            <w:tcBorders>
              <w:top w:val="single" w:sz="4" w:space="0" w:color="auto"/>
            </w:tcBorders>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r w:rsidRPr="000B4241">
              <w:rPr>
                <w:rFonts w:cs="Arial"/>
                <w:sz w:val="14"/>
                <w:szCs w:val="14"/>
              </w:rPr>
              <w:br/>
            </w:r>
          </w:p>
        </w:tc>
        <w:tc>
          <w:tcPr>
            <w:tcW w:w="1163" w:type="dxa"/>
            <w:tcBorders>
              <w:top w:val="single" w:sz="4" w:space="0" w:color="auto"/>
            </w:tcBorders>
          </w:tcPr>
          <w:p w:rsidR="00861678" w:rsidRPr="000B4241" w:rsidRDefault="00861678" w:rsidP="00EA4E3C">
            <w:pPr>
              <w:spacing w:before="20"/>
              <w:jc w:val="center"/>
              <w:rPr>
                <w:sz w:val="22"/>
                <w:szCs w:val="22"/>
              </w:rPr>
            </w:pPr>
            <w:r w:rsidRPr="000B4241">
              <w:rPr>
                <w:rFonts w:cs="Arial"/>
                <w:color w:val="008000"/>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C07F9C">
            <w:pPr>
              <w:spacing w:before="8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 of internal clients satisfied with procurement services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6C2C13" w:rsidP="00C07F9C">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C07F9C">
            <w:pPr>
              <w:spacing w:before="8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of spend subject to UN leverage or benchmark</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6C2C13" w:rsidP="00C07F9C">
            <w:pPr>
              <w:jc w:val="center"/>
              <w:rPr>
                <w:rFonts w:cs="Arial"/>
                <w:color w:val="A6A6A6" w:themeColor="background1" w:themeShade="A6"/>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Processing time of e-Travel Authorization (TA) and e-Event Request (subject to respected deadline)</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 xml:space="preserve">Program 24 </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Processing time for 3rd party visas</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vMerge/>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Reduction in travel costs as a result of e-conferences and video conferences</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6C2C13" w:rsidP="00C07F9C">
            <w:pPr>
              <w:jc w:val="center"/>
              <w:rPr>
                <w:color w:val="008000"/>
                <w:sz w:val="22"/>
                <w:szCs w:val="22"/>
              </w:rPr>
            </w:pPr>
            <w:r w:rsidRPr="007A05CE">
              <w:rPr>
                <w:rFonts w:cs="Arial"/>
                <w:color w:val="A6A6A6" w:themeColor="background1" w:themeShade="A6"/>
                <w:sz w:val="22"/>
                <w:szCs w:val="22"/>
              </w:rPr>
              <w:sym w:font="Wingdings" w:char="F06C"/>
            </w:r>
          </w:p>
        </w:tc>
      </w:tr>
      <w:tr w:rsidR="00A7596F" w:rsidRPr="00FD430C" w:rsidTr="00C07F9C">
        <w:trPr>
          <w:cantSplit/>
        </w:trPr>
        <w:tc>
          <w:tcPr>
            <w:tcW w:w="2987" w:type="dxa"/>
            <w:shd w:val="clear" w:color="auto" w:fill="auto"/>
            <w:tcMar>
              <w:top w:w="113" w:type="dxa"/>
            </w:tcMar>
          </w:tcPr>
          <w:p w:rsidR="00A7596F" w:rsidRPr="000B4241" w:rsidRDefault="00A7596F" w:rsidP="000B4241">
            <w:pPr>
              <w:spacing w:before="80"/>
              <w:ind w:firstLineChars="100" w:firstLine="140"/>
              <w:rPr>
                <w:rFonts w:cs="Arial"/>
                <w:sz w:val="14"/>
                <w:szCs w:val="14"/>
              </w:rPr>
            </w:pPr>
          </w:p>
        </w:tc>
        <w:tc>
          <w:tcPr>
            <w:tcW w:w="3799" w:type="dxa"/>
            <w:shd w:val="clear" w:color="auto" w:fill="auto"/>
            <w:tcMar>
              <w:top w:w="113" w:type="dxa"/>
            </w:tcMar>
          </w:tcPr>
          <w:p w:rsidR="00A7596F" w:rsidRPr="000B4241" w:rsidRDefault="00A7596F" w:rsidP="00C07F9C">
            <w:pPr>
              <w:spacing w:before="80"/>
              <w:rPr>
                <w:rFonts w:cs="Arial"/>
                <w:sz w:val="14"/>
                <w:szCs w:val="14"/>
              </w:rPr>
            </w:pPr>
            <w:r w:rsidRPr="000B4241">
              <w:rPr>
                <w:rFonts w:cs="Arial"/>
                <w:sz w:val="14"/>
                <w:szCs w:val="14"/>
              </w:rPr>
              <w:t>Reduced time from submission to completion of standard human resources transactions (education, grant, dependency allowances)</w:t>
            </w:r>
          </w:p>
        </w:tc>
        <w:tc>
          <w:tcPr>
            <w:tcW w:w="1417" w:type="dxa"/>
            <w:shd w:val="clear" w:color="auto" w:fill="auto"/>
            <w:tcMar>
              <w:top w:w="113" w:type="dxa"/>
            </w:tcMar>
          </w:tcPr>
          <w:p w:rsidR="00A7596F" w:rsidRPr="000B4241" w:rsidRDefault="00A7596F" w:rsidP="00C07F9C">
            <w:pPr>
              <w:spacing w:before="80"/>
              <w:jc w:val="center"/>
              <w:rPr>
                <w:rFonts w:cs="Arial"/>
                <w:sz w:val="14"/>
                <w:szCs w:val="14"/>
              </w:rPr>
            </w:pPr>
            <w:r w:rsidRPr="000B4241">
              <w:rPr>
                <w:rFonts w:cs="Arial"/>
                <w:sz w:val="14"/>
                <w:szCs w:val="14"/>
              </w:rPr>
              <w:t>Program 23</w:t>
            </w:r>
          </w:p>
        </w:tc>
        <w:tc>
          <w:tcPr>
            <w:tcW w:w="1163" w:type="dxa"/>
          </w:tcPr>
          <w:p w:rsidR="00A7596F" w:rsidRPr="000B4241" w:rsidRDefault="00A7596F" w:rsidP="00EA4E3C">
            <w:pPr>
              <w:spacing w:before="20"/>
              <w:jc w:val="center"/>
              <w:rPr>
                <w:rFonts w:cs="Arial"/>
                <w:color w:val="FF0000"/>
                <w:sz w:val="22"/>
                <w:szCs w:val="22"/>
              </w:rPr>
            </w:pPr>
            <w:r w:rsidRPr="000B4241">
              <w:rPr>
                <w:rFonts w:cs="Arial"/>
                <w:color w:val="FF0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Ratio of employees (full time equivalent) to human resources staff</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23</w:t>
            </w:r>
          </w:p>
        </w:tc>
        <w:tc>
          <w:tcPr>
            <w:tcW w:w="1163" w:type="dxa"/>
          </w:tcPr>
          <w:p w:rsidR="00861678" w:rsidRPr="000B4241" w:rsidRDefault="00861678" w:rsidP="00EA4E3C">
            <w:pPr>
              <w:spacing w:before="20"/>
              <w:jc w:val="center"/>
              <w:rPr>
                <w:sz w:val="22"/>
                <w:szCs w:val="22"/>
              </w:rPr>
            </w:pPr>
            <w:r w:rsidRPr="000B4241">
              <w:rPr>
                <w:rFonts w:cs="Arial"/>
                <w:color w:val="FF0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of staff satisfied with HR services</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23</w:t>
            </w:r>
          </w:p>
        </w:tc>
        <w:tc>
          <w:tcPr>
            <w:tcW w:w="1163" w:type="dxa"/>
          </w:tcPr>
          <w:p w:rsidR="00861678" w:rsidRPr="000B4241" w:rsidRDefault="00861678" w:rsidP="00EA4E3C">
            <w:pPr>
              <w:spacing w:before="20"/>
              <w:jc w:val="center"/>
              <w:rPr>
                <w:sz w:val="22"/>
                <w:szCs w:val="22"/>
              </w:rPr>
            </w:pPr>
            <w:r w:rsidRPr="000B4241">
              <w:rPr>
                <w:rFonts w:cs="Arial"/>
                <w:color w:val="E36C0A" w:themeColor="accent6" w:themeShade="BF"/>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Productivity rate for calculations, data input and collection and provision of statistics (mail delivery)</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of PCT Media batch in paper and electronic format on time</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 of Madrid Notifications in paper format on time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of Madrid Romarin in electronic format on time</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6C2C13" w:rsidP="006C2C13">
            <w:pPr>
              <w:spacing w:before="20"/>
              <w:jc w:val="center"/>
              <w:rPr>
                <w:sz w:val="22"/>
                <w:szCs w:val="22"/>
              </w:rPr>
            </w:pPr>
            <w:r w:rsidRPr="000B4241">
              <w:rPr>
                <w:rFonts w:cs="Arial"/>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 of internal and external users satisfied with WIPO's conference services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Translation productivity standards and cost per page of translation</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noWrap/>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A comprehensive language policy adopted by Member States together with related resource allocation requirements</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27</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Outsourcing in operation and provision of IT technical infrastructure</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25</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WIPO meetings are accessible real-time over the Internet or after the event</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25</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No. of communication channels seamlessly integrated</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25</w:t>
            </w:r>
          </w:p>
        </w:tc>
        <w:tc>
          <w:tcPr>
            <w:tcW w:w="1163" w:type="dxa"/>
          </w:tcPr>
          <w:p w:rsidR="00861678" w:rsidRPr="000B4241" w:rsidRDefault="00861678" w:rsidP="00C07F9C">
            <w:pPr>
              <w:jc w:val="center"/>
              <w:rPr>
                <w:sz w:val="22"/>
                <w:szCs w:val="22"/>
              </w:rPr>
            </w:pPr>
            <w:r w:rsidRPr="000B4241">
              <w:rPr>
                <w:rFonts w:cs="Arial"/>
                <w:color w:val="E36C0A" w:themeColor="accent6" w:themeShade="BF"/>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ind w:firstLineChars="100" w:firstLine="140"/>
              <w:rPr>
                <w:rFonts w:cs="Arial"/>
                <w:sz w:val="14"/>
                <w:szCs w:val="14"/>
              </w:rPr>
            </w:pPr>
          </w:p>
        </w:tc>
        <w:tc>
          <w:tcPr>
            <w:tcW w:w="3799" w:type="dxa"/>
            <w:shd w:val="clear" w:color="auto" w:fill="auto"/>
            <w:tcMar>
              <w:top w:w="113" w:type="dxa"/>
            </w:tcMar>
          </w:tcPr>
          <w:p w:rsidR="00EA4E3C" w:rsidRPr="000B4241" w:rsidRDefault="00861678" w:rsidP="00C07F9C">
            <w:pPr>
              <w:spacing w:before="80"/>
              <w:rPr>
                <w:rFonts w:cs="Arial"/>
                <w:sz w:val="14"/>
                <w:szCs w:val="14"/>
              </w:rPr>
            </w:pPr>
            <w:r w:rsidRPr="000B4241">
              <w:rPr>
                <w:rFonts w:cs="Arial"/>
                <w:sz w:val="14"/>
                <w:szCs w:val="14"/>
              </w:rPr>
              <w:t>Rental of additional workplaces and related facilities (assuming same headcount as end 2011)</w:t>
            </w:r>
          </w:p>
          <w:p w:rsidR="00861678" w:rsidRPr="000B4241" w:rsidRDefault="00861678" w:rsidP="00C07F9C">
            <w:pPr>
              <w:spacing w:before="80"/>
              <w:rPr>
                <w:rFonts w:cs="Arial"/>
                <w:sz w:val="14"/>
                <w:szCs w:val="14"/>
              </w:rPr>
            </w:pPr>
            <w:r w:rsidRPr="000B4241">
              <w:rPr>
                <w:rFonts w:cs="Arial"/>
                <w:sz w:val="14"/>
                <w:szCs w:val="14"/>
              </w:rPr>
              <w:t xml:space="preserve">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861678" w:rsidP="00C07F9C">
            <w:pPr>
              <w:jc w:val="center"/>
              <w:rPr>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No. of main technical installations (electrical, sanitary, heating and cooling) improved in line with applicable standards (to be defined)</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 xml:space="preserve">Program 24 </w:t>
            </w:r>
          </w:p>
        </w:tc>
        <w:tc>
          <w:tcPr>
            <w:tcW w:w="1163" w:type="dxa"/>
          </w:tcPr>
          <w:p w:rsidR="00861678" w:rsidRPr="000B4241" w:rsidRDefault="006C2C13" w:rsidP="00C07F9C">
            <w:pPr>
              <w:jc w:val="center"/>
              <w:rPr>
                <w:sz w:val="22"/>
                <w:szCs w:val="22"/>
              </w:rPr>
            </w:pPr>
            <w:r w:rsidRPr="000B4241">
              <w:rPr>
                <w:rFonts w:cs="Arial"/>
                <w:color w:val="A6A6A6" w:themeColor="background1" w:themeShade="A6"/>
                <w:sz w:val="22"/>
                <w:szCs w:val="22"/>
              </w:rPr>
              <w:sym w:font="Wingdings" w:char="F06C"/>
            </w:r>
          </w:p>
        </w:tc>
      </w:tr>
      <w:tr w:rsidR="00EA4E3C" w:rsidRPr="00FD430C" w:rsidTr="00C07F9C">
        <w:trPr>
          <w:cantSplit/>
        </w:trPr>
        <w:tc>
          <w:tcPr>
            <w:tcW w:w="2987" w:type="dxa"/>
            <w:vMerge w:val="restart"/>
            <w:shd w:val="clear" w:color="auto" w:fill="auto"/>
            <w:tcMar>
              <w:top w:w="113" w:type="dxa"/>
            </w:tcMar>
          </w:tcPr>
          <w:p w:rsidR="00EA4E3C" w:rsidRPr="000B4241" w:rsidRDefault="00EA4E3C" w:rsidP="00C07F9C">
            <w:pPr>
              <w:keepNext/>
              <w:keepLines/>
              <w:spacing w:before="80"/>
              <w:rPr>
                <w:rFonts w:cs="Arial"/>
                <w:sz w:val="14"/>
                <w:szCs w:val="14"/>
              </w:rPr>
            </w:pPr>
            <w:r w:rsidRPr="000B4241">
              <w:rPr>
                <w:rFonts w:cs="Arial"/>
                <w:sz w:val="14"/>
                <w:szCs w:val="14"/>
              </w:rPr>
              <w:t>ICT investments are closely aligned with strategic priorities and yield business benefits</w:t>
            </w:r>
          </w:p>
        </w:tc>
        <w:tc>
          <w:tcPr>
            <w:tcW w:w="3799" w:type="dxa"/>
            <w:shd w:val="clear" w:color="auto" w:fill="auto"/>
            <w:tcMar>
              <w:top w:w="113" w:type="dxa"/>
            </w:tcMar>
          </w:tcPr>
          <w:p w:rsidR="00EA4E3C" w:rsidRPr="000B4241" w:rsidRDefault="00EA4E3C" w:rsidP="00C07F9C">
            <w:pPr>
              <w:keepNext/>
              <w:keepLines/>
              <w:spacing w:before="80"/>
              <w:rPr>
                <w:rFonts w:cs="Arial"/>
                <w:sz w:val="14"/>
                <w:szCs w:val="14"/>
              </w:rPr>
            </w:pPr>
            <w:r w:rsidRPr="000B4241">
              <w:rPr>
                <w:rFonts w:cs="Arial"/>
                <w:sz w:val="14"/>
                <w:szCs w:val="14"/>
              </w:rPr>
              <w:t>% of projects having benefit realization assessed post project implementation</w:t>
            </w:r>
          </w:p>
        </w:tc>
        <w:tc>
          <w:tcPr>
            <w:tcW w:w="1417" w:type="dxa"/>
            <w:shd w:val="clear" w:color="auto" w:fill="auto"/>
            <w:tcMar>
              <w:top w:w="113" w:type="dxa"/>
            </w:tcMar>
          </w:tcPr>
          <w:p w:rsidR="00EA4E3C" w:rsidRPr="000B4241" w:rsidRDefault="00EA4E3C" w:rsidP="00C07F9C">
            <w:pPr>
              <w:keepNext/>
              <w:keepLines/>
              <w:spacing w:before="80"/>
              <w:jc w:val="center"/>
              <w:rPr>
                <w:rFonts w:cs="Arial"/>
                <w:sz w:val="14"/>
                <w:szCs w:val="14"/>
              </w:rPr>
            </w:pPr>
            <w:r w:rsidRPr="000B4241">
              <w:rPr>
                <w:rFonts w:cs="Arial"/>
                <w:sz w:val="14"/>
                <w:szCs w:val="14"/>
              </w:rPr>
              <w:t>Program 25</w:t>
            </w:r>
          </w:p>
        </w:tc>
        <w:tc>
          <w:tcPr>
            <w:tcW w:w="1163" w:type="dxa"/>
          </w:tcPr>
          <w:p w:rsidR="00EA4E3C" w:rsidRPr="000B4241" w:rsidRDefault="00EA4E3C" w:rsidP="00EA4E3C">
            <w:pPr>
              <w:keepNext/>
              <w:keepLines/>
              <w:spacing w:before="20"/>
              <w:jc w:val="center"/>
              <w:rPr>
                <w:sz w:val="22"/>
                <w:szCs w:val="22"/>
              </w:rPr>
            </w:pPr>
            <w:r w:rsidRPr="000B4241">
              <w:rPr>
                <w:rFonts w:cs="Arial"/>
                <w:color w:val="E36C0A" w:themeColor="accent6" w:themeShade="BF"/>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Maturity level of ITIL implementation based upon the official self-assessment on scale 5</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25</w:t>
            </w:r>
          </w:p>
        </w:tc>
        <w:tc>
          <w:tcPr>
            <w:tcW w:w="1163" w:type="dxa"/>
          </w:tcPr>
          <w:p w:rsidR="00EA4E3C" w:rsidRPr="000B4241" w:rsidRDefault="00EA4E3C" w:rsidP="00EA4E3C">
            <w:pPr>
              <w:spacing w:before="20"/>
              <w:jc w:val="center"/>
              <w:rPr>
                <w:color w:val="006600"/>
                <w:sz w:val="22"/>
                <w:szCs w:val="22"/>
              </w:rPr>
            </w:pPr>
            <w:r w:rsidRPr="000B4241">
              <w:rPr>
                <w:rFonts w:cs="Arial"/>
                <w:color w:val="E36C0A" w:themeColor="accent6" w:themeShade="BF"/>
                <w:sz w:val="22"/>
                <w:szCs w:val="22"/>
              </w:rPr>
              <w:sym w:font="Wingdings" w:char="F06C"/>
            </w:r>
          </w:p>
        </w:tc>
      </w:tr>
      <w:tr w:rsidR="00EA4E3C" w:rsidRPr="00FD430C" w:rsidTr="00C07F9C">
        <w:trPr>
          <w:cantSplit/>
        </w:trPr>
        <w:tc>
          <w:tcPr>
            <w:tcW w:w="2987" w:type="dxa"/>
            <w:vMerge w:val="restart"/>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xml:space="preserve">Efficient and effective results-based programmatic and financial planning, processing, implementation, assessment and reporting </w:t>
            </w:r>
          </w:p>
        </w:tc>
        <w:tc>
          <w:tcPr>
            <w:tcW w:w="3799" w:type="dxa"/>
            <w:shd w:val="clear" w:color="auto" w:fill="auto"/>
            <w:tcMar>
              <w:top w:w="113" w:type="dxa"/>
            </w:tcMar>
          </w:tcPr>
          <w:p w:rsidR="00EA4E3C" w:rsidRPr="000B4241" w:rsidRDefault="00EA4E3C" w:rsidP="00C07F9C">
            <w:pPr>
              <w:spacing w:before="80"/>
              <w:rPr>
                <w:sz w:val="14"/>
                <w:szCs w:val="14"/>
                <w:lang w:bidi="th-TH"/>
              </w:rPr>
            </w:pPr>
            <w:r w:rsidRPr="000B4241">
              <w:rPr>
                <w:sz w:val="14"/>
                <w:szCs w:val="14"/>
                <w:lang w:bidi="th-TH"/>
              </w:rPr>
              <w:t>% of WIPO Programs using performance data for managing Program performance</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 xml:space="preserve">Program 22 </w:t>
            </w:r>
          </w:p>
        </w:tc>
        <w:tc>
          <w:tcPr>
            <w:tcW w:w="1163" w:type="dxa"/>
          </w:tcPr>
          <w:p w:rsidR="00EA4E3C" w:rsidRPr="000B4241" w:rsidRDefault="00EA4E3C" w:rsidP="00EA4E3C">
            <w:pPr>
              <w:spacing w:before="20"/>
              <w:jc w:val="center"/>
              <w:rPr>
                <w:color w:val="008000"/>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sz w:val="14"/>
                <w:szCs w:val="14"/>
                <w:lang w:bidi="th-TH"/>
              </w:rPr>
            </w:pPr>
            <w:r w:rsidRPr="000B4241">
              <w:rPr>
                <w:sz w:val="14"/>
                <w:szCs w:val="14"/>
                <w:lang w:bidi="th-TH"/>
              </w:rPr>
              <w:t>% of (WIPO) respondents who perceive that WIPO is accountable for its results</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 xml:space="preserve">Program 22 </w:t>
            </w:r>
          </w:p>
        </w:tc>
        <w:tc>
          <w:tcPr>
            <w:tcW w:w="1163" w:type="dxa"/>
          </w:tcPr>
          <w:p w:rsidR="00EA4E3C" w:rsidRPr="000B4241" w:rsidRDefault="00EA4E3C" w:rsidP="00C07F9C">
            <w:pPr>
              <w:jc w:val="center"/>
              <w:rPr>
                <w:color w:val="008000"/>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Financial operations and budget management conform to the provisions of the applicable WIPO conventions and treaties, the WIPO Financial Rules and regulations and applicable accounting standards</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 xml:space="preserve">Program 22 </w:t>
            </w:r>
          </w:p>
        </w:tc>
        <w:tc>
          <w:tcPr>
            <w:tcW w:w="1163" w:type="dxa"/>
          </w:tcPr>
          <w:p w:rsidR="00EA4E3C" w:rsidRPr="000B4241" w:rsidRDefault="00EA4E3C" w:rsidP="00C07F9C">
            <w:pPr>
              <w:jc w:val="center"/>
              <w:rPr>
                <w:color w:val="E36C0A" w:themeColor="accent6" w:themeShade="BF"/>
                <w:sz w:val="22"/>
                <w:szCs w:val="22"/>
              </w:rPr>
            </w:pPr>
            <w:r w:rsidRPr="000B4241">
              <w:rPr>
                <w:rFonts w:cs="Arial"/>
                <w:color w:val="E36C0A" w:themeColor="accent6" w:themeShade="BF"/>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Satisfactory financial report from the External Auditors confirms the conformity of accounting operations with applicable regulations, rules and standards</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 xml:space="preserve">Program 22 </w:t>
            </w:r>
          </w:p>
        </w:tc>
        <w:tc>
          <w:tcPr>
            <w:tcW w:w="1163" w:type="dxa"/>
          </w:tcPr>
          <w:p w:rsidR="00861678" w:rsidRPr="000B4241" w:rsidRDefault="008E7E92" w:rsidP="00C07F9C">
            <w:pPr>
              <w:jc w:val="center"/>
              <w:rPr>
                <w:color w:val="00B050"/>
                <w:sz w:val="22"/>
                <w:szCs w:val="22"/>
              </w:rPr>
            </w:pPr>
            <w:r w:rsidRPr="000B4241">
              <w:rPr>
                <w:rFonts w:cs="Arial"/>
                <w:color w:val="A6A6A6" w:themeColor="background1" w:themeShade="A6"/>
                <w:sz w:val="22"/>
                <w:szCs w:val="22"/>
              </w:rPr>
              <w:sym w:font="Wingdings" w:char="F06C"/>
            </w:r>
          </w:p>
        </w:tc>
      </w:tr>
      <w:tr w:rsidR="00EA4E3C" w:rsidRPr="00FD430C" w:rsidTr="00C07F9C">
        <w:trPr>
          <w:cantSplit/>
        </w:trPr>
        <w:tc>
          <w:tcPr>
            <w:tcW w:w="2987" w:type="dxa"/>
            <w:vMerge w:val="restart"/>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Well managed, diversified, motivated and appropriately skilled professional workforce</w:t>
            </w: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staff whose performance is evaluated against their individual objectives and competencies</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00B050"/>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Recruitment lead time</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00B050"/>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total mass salary invested in staff development</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sz w:val="22"/>
                <w:szCs w:val="22"/>
              </w:rPr>
            </w:pPr>
            <w:r w:rsidRPr="000B4241">
              <w:rPr>
                <w:rFonts w:cs="Arial"/>
                <w:color w:val="E36C0A" w:themeColor="accent6" w:themeShade="BF"/>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Geographical diversity - % of Member States represented</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women in professional and higher positions</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FF0000"/>
                <w:sz w:val="22"/>
                <w:szCs w:val="22"/>
              </w:rPr>
            </w:pPr>
            <w:r w:rsidRPr="000B4241">
              <w:rPr>
                <w:rFonts w:cs="Arial"/>
                <w:color w:val="FF0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Decreased absenteeism</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FF0000"/>
                <w:sz w:val="22"/>
                <w:szCs w:val="22"/>
              </w:rPr>
            </w:pPr>
            <w:r w:rsidRPr="000B4241">
              <w:rPr>
                <w:rFonts w:cs="Arial"/>
                <w:color w:val="FF0000"/>
                <w:sz w:val="22"/>
                <w:szCs w:val="22"/>
              </w:rPr>
              <w:sym w:font="Wingdings" w:char="F06C"/>
            </w:r>
          </w:p>
        </w:tc>
      </w:tr>
      <w:tr w:rsidR="00EA4E3C" w:rsidRPr="00FD430C" w:rsidTr="00C07F9C">
        <w:trPr>
          <w:cantSplit/>
        </w:trPr>
        <w:tc>
          <w:tcPr>
            <w:tcW w:w="2987" w:type="dxa"/>
            <w:vMerge/>
            <w:shd w:val="clear" w:color="auto" w:fill="auto"/>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Decreased appeals</w:t>
            </w:r>
          </w:p>
        </w:tc>
        <w:tc>
          <w:tcPr>
            <w:tcW w:w="1417" w:type="dxa"/>
            <w:shd w:val="clear" w:color="auto" w:fill="auto"/>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23</w:t>
            </w:r>
          </w:p>
        </w:tc>
        <w:tc>
          <w:tcPr>
            <w:tcW w:w="1163" w:type="dxa"/>
          </w:tcPr>
          <w:p w:rsidR="00EA4E3C" w:rsidRPr="000B4241" w:rsidRDefault="00EA4E3C" w:rsidP="00C07F9C">
            <w:pPr>
              <w:jc w:val="center"/>
              <w:rPr>
                <w:color w:val="FF0000"/>
                <w:sz w:val="22"/>
                <w:szCs w:val="22"/>
              </w:rPr>
            </w:pPr>
            <w:r w:rsidRPr="000B4241">
              <w:rPr>
                <w:rFonts w:cs="Arial"/>
                <w:color w:val="FF0000"/>
                <w:sz w:val="22"/>
                <w:szCs w:val="22"/>
              </w:rPr>
              <w:sym w:font="Wingdings" w:char="F06C"/>
            </w:r>
          </w:p>
        </w:tc>
      </w:tr>
      <w:tr w:rsidR="00EA4E3C" w:rsidRPr="00FD430C" w:rsidTr="00C07F9C">
        <w:trPr>
          <w:cantSplit/>
        </w:trPr>
        <w:tc>
          <w:tcPr>
            <w:tcW w:w="2987" w:type="dxa"/>
            <w:vMerge w:val="restart"/>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WIPO staff, delegates, visitors and information and physical assets are safe and secure</w:t>
            </w: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WIPO staff, delegates and visitors reporting a work related injury or incident</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28</w:t>
            </w:r>
          </w:p>
        </w:tc>
        <w:tc>
          <w:tcPr>
            <w:tcW w:w="1163" w:type="dxa"/>
          </w:tcPr>
          <w:p w:rsidR="00EA4E3C" w:rsidRPr="000B4241" w:rsidRDefault="00EA4E3C" w:rsidP="00C07F9C">
            <w:pPr>
              <w:jc w:val="center"/>
              <w:rPr>
                <w:sz w:val="22"/>
                <w:szCs w:val="22"/>
              </w:rPr>
            </w:pPr>
            <w:r w:rsidRPr="000B4241">
              <w:rPr>
                <w:rFonts w:cs="Arial"/>
                <w:color w:val="008000"/>
                <w:sz w:val="22"/>
                <w:szCs w:val="22"/>
              </w:rPr>
              <w:sym w:font="Wingdings" w:char="F06C"/>
            </w:r>
          </w:p>
        </w:tc>
      </w:tr>
      <w:tr w:rsidR="00EA4E3C" w:rsidRPr="00FD430C" w:rsidTr="00C07F9C">
        <w:trPr>
          <w:cantSplit/>
        </w:trPr>
        <w:tc>
          <w:tcPr>
            <w:tcW w:w="2987" w:type="dxa"/>
            <w:vMerge/>
            <w:shd w:val="clear" w:color="auto" w:fill="auto"/>
            <w:noWrap/>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 of timely requests for safety &amp; security assistance at conferences or events held in or outside of Geneva</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28</w:t>
            </w:r>
          </w:p>
        </w:tc>
        <w:tc>
          <w:tcPr>
            <w:tcW w:w="1163" w:type="dxa"/>
          </w:tcPr>
          <w:p w:rsidR="00EA4E3C" w:rsidRPr="000B4241" w:rsidRDefault="00EA4E3C" w:rsidP="00C07F9C">
            <w:pPr>
              <w:jc w:val="center"/>
              <w:rPr>
                <w:sz w:val="22"/>
                <w:szCs w:val="22"/>
              </w:rPr>
            </w:pPr>
            <w:r w:rsidRPr="000B4241">
              <w:rPr>
                <w:rFonts w:cs="Arial"/>
                <w:color w:val="008000"/>
                <w:sz w:val="22"/>
                <w:szCs w:val="22"/>
              </w:rPr>
              <w:sym w:font="Wingdings" w:char="F06C"/>
            </w:r>
            <w:r w:rsidRPr="000B4241">
              <w:rPr>
                <w:rFonts w:cs="Arial"/>
                <w:color w:val="E36C0A" w:themeColor="accent6" w:themeShade="BF"/>
                <w:sz w:val="22"/>
                <w:szCs w:val="22"/>
              </w:rPr>
              <w:sym w:font="Wingdings" w:char="F06C"/>
            </w:r>
          </w:p>
        </w:tc>
      </w:tr>
      <w:tr w:rsidR="00EA4E3C" w:rsidRPr="00FD430C" w:rsidTr="00C07F9C">
        <w:trPr>
          <w:cantSplit/>
        </w:trPr>
        <w:tc>
          <w:tcPr>
            <w:tcW w:w="2987" w:type="dxa"/>
            <w:vMerge/>
            <w:shd w:val="clear" w:color="auto" w:fill="auto"/>
            <w:noWrap/>
            <w:tcMar>
              <w:top w:w="113" w:type="dxa"/>
            </w:tcMar>
          </w:tcPr>
          <w:p w:rsidR="00EA4E3C" w:rsidRPr="000B4241" w:rsidRDefault="00EA4E3C" w:rsidP="000B4241">
            <w:pPr>
              <w:spacing w:before="80"/>
              <w:ind w:firstLineChars="100" w:firstLine="140"/>
              <w:rPr>
                <w:rFonts w:cs="Arial"/>
                <w:sz w:val="14"/>
                <w:szCs w:val="14"/>
              </w:rPr>
            </w:pPr>
          </w:p>
        </w:tc>
        <w:tc>
          <w:tcPr>
            <w:tcW w:w="3799" w:type="dxa"/>
            <w:shd w:val="clear" w:color="auto" w:fill="auto"/>
            <w:tcMar>
              <w:top w:w="113" w:type="dxa"/>
            </w:tcMar>
          </w:tcPr>
          <w:p w:rsidR="00EA4E3C" w:rsidRPr="000B4241" w:rsidRDefault="00EA4E3C" w:rsidP="00C07F9C">
            <w:pPr>
              <w:spacing w:before="80"/>
              <w:rPr>
                <w:rFonts w:cs="Arial"/>
                <w:sz w:val="14"/>
                <w:szCs w:val="14"/>
              </w:rPr>
            </w:pPr>
            <w:r w:rsidRPr="000B4241">
              <w:rPr>
                <w:rFonts w:cs="Arial"/>
                <w:sz w:val="14"/>
                <w:szCs w:val="14"/>
              </w:rPr>
              <w:t>Comprehensiveness and relevance of the set of information security policies, procedures and standards</w:t>
            </w:r>
          </w:p>
        </w:tc>
        <w:tc>
          <w:tcPr>
            <w:tcW w:w="1417" w:type="dxa"/>
            <w:shd w:val="clear" w:color="auto" w:fill="auto"/>
            <w:noWrap/>
            <w:tcMar>
              <w:top w:w="113" w:type="dxa"/>
            </w:tcMar>
          </w:tcPr>
          <w:p w:rsidR="00EA4E3C" w:rsidRPr="000B4241" w:rsidRDefault="00EA4E3C" w:rsidP="00C07F9C">
            <w:pPr>
              <w:spacing w:before="80"/>
              <w:jc w:val="center"/>
              <w:rPr>
                <w:rFonts w:cs="Arial"/>
                <w:sz w:val="14"/>
                <w:szCs w:val="14"/>
              </w:rPr>
            </w:pPr>
            <w:r w:rsidRPr="000B4241">
              <w:rPr>
                <w:rFonts w:cs="Arial"/>
                <w:sz w:val="14"/>
                <w:szCs w:val="14"/>
              </w:rPr>
              <w:t>Program 25</w:t>
            </w:r>
          </w:p>
        </w:tc>
        <w:tc>
          <w:tcPr>
            <w:tcW w:w="1163" w:type="dxa"/>
          </w:tcPr>
          <w:p w:rsidR="00EA4E3C" w:rsidRPr="000B4241" w:rsidRDefault="00EA4E3C"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noWrap/>
            <w:tcMar>
              <w:top w:w="113" w:type="dxa"/>
            </w:tcMar>
          </w:tcPr>
          <w:p w:rsidR="00861678" w:rsidRPr="000B4241" w:rsidRDefault="00861678" w:rsidP="00EA4E3C">
            <w:pPr>
              <w:spacing w:before="8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Up-to-date information security risk registry</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25</w:t>
            </w:r>
          </w:p>
        </w:tc>
        <w:tc>
          <w:tcPr>
            <w:tcW w:w="1163" w:type="dxa"/>
          </w:tcPr>
          <w:p w:rsidR="00861678" w:rsidRPr="000B4241" w:rsidRDefault="00861678"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Costs related to the new administrative building are kept to a minimum</w:t>
            </w: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Use of remaining funds available under the approved consolidated budget and provisions during the construction guarantee period</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29</w:t>
            </w:r>
          </w:p>
        </w:tc>
        <w:tc>
          <w:tcPr>
            <w:tcW w:w="1163" w:type="dxa"/>
          </w:tcPr>
          <w:p w:rsidR="00861678" w:rsidRPr="000B4241" w:rsidRDefault="006C2C13" w:rsidP="00C07F9C">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New conference hall and related facilities available for meetings of Member States </w:t>
            </w: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Construction of new conference hall and related facilities in compliance with the approved quality, budget and time framework</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29</w:t>
            </w:r>
          </w:p>
        </w:tc>
        <w:tc>
          <w:tcPr>
            <w:tcW w:w="1163" w:type="dxa"/>
          </w:tcPr>
          <w:p w:rsidR="00861678" w:rsidRPr="000B4241" w:rsidRDefault="006C2C13" w:rsidP="00C07F9C">
            <w:pPr>
              <w:jc w:val="center"/>
              <w:rPr>
                <w:color w:val="A6A6A6" w:themeColor="background1" w:themeShade="A6"/>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color w:val="000000"/>
                <w:sz w:val="14"/>
                <w:szCs w:val="14"/>
              </w:rPr>
            </w:pPr>
            <w:r w:rsidRPr="000B4241">
              <w:rPr>
                <w:rFonts w:cs="Arial"/>
                <w:color w:val="000000"/>
                <w:sz w:val="14"/>
                <w:szCs w:val="14"/>
              </w:rPr>
              <w:lastRenderedPageBreak/>
              <w:t xml:space="preserve">Enhanced </w:t>
            </w:r>
            <w:r w:rsidRPr="000B4241">
              <w:rPr>
                <w:rFonts w:cs="Arial"/>
                <w:sz w:val="14"/>
                <w:szCs w:val="14"/>
              </w:rPr>
              <w:t>coordination</w:t>
            </w:r>
            <w:r w:rsidRPr="000B4241">
              <w:rPr>
                <w:rFonts w:cs="Arial"/>
                <w:color w:val="000000"/>
                <w:sz w:val="14"/>
                <w:szCs w:val="14"/>
              </w:rPr>
              <w:t xml:space="preserve"> and coherence within the Secretariat</w:t>
            </w:r>
          </w:p>
          <w:p w:rsidR="00975A74" w:rsidRPr="000B4241" w:rsidRDefault="00975A74" w:rsidP="00C07F9C">
            <w:pPr>
              <w:spacing w:before="80"/>
              <w:rPr>
                <w:rFonts w:cs="Arial"/>
                <w:color w:val="000000"/>
                <w:sz w:val="14"/>
                <w:szCs w:val="14"/>
              </w:rPr>
            </w:pPr>
          </w:p>
        </w:tc>
        <w:tc>
          <w:tcPr>
            <w:tcW w:w="3799" w:type="dxa"/>
            <w:shd w:val="clear" w:color="auto" w:fill="auto"/>
            <w:tcMar>
              <w:top w:w="113" w:type="dxa"/>
            </w:tcMar>
          </w:tcPr>
          <w:p w:rsidR="00861678" w:rsidRPr="000B4241" w:rsidRDefault="00861678" w:rsidP="00C07F9C">
            <w:pPr>
              <w:spacing w:before="80"/>
              <w:rPr>
                <w:rFonts w:cs="Arial"/>
                <w:color w:val="000000"/>
                <w:sz w:val="14"/>
                <w:szCs w:val="14"/>
              </w:rPr>
            </w:pPr>
            <w:r w:rsidRPr="000B4241">
              <w:rPr>
                <w:rFonts w:cs="Arial"/>
                <w:sz w:val="14"/>
                <w:szCs w:val="14"/>
              </w:rPr>
              <w:t>Completion</w:t>
            </w:r>
            <w:r w:rsidRPr="000B4241">
              <w:rPr>
                <w:rFonts w:cs="Arial"/>
                <w:color w:val="000000"/>
                <w:sz w:val="14"/>
                <w:szCs w:val="14"/>
              </w:rPr>
              <w:t xml:space="preserve"> of the SRP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21</w:t>
            </w:r>
          </w:p>
        </w:tc>
        <w:tc>
          <w:tcPr>
            <w:tcW w:w="1163" w:type="dxa"/>
          </w:tcPr>
          <w:p w:rsidR="00861678" w:rsidRPr="000B4241" w:rsidRDefault="006C2C13"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noWrap/>
            <w:tcMar>
              <w:top w:w="113" w:type="dxa"/>
            </w:tcMar>
          </w:tcPr>
          <w:p w:rsidR="00861678" w:rsidRPr="000B4241" w:rsidRDefault="00861678" w:rsidP="000B4241">
            <w:pPr>
              <w:keepNext/>
              <w:keepLines/>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975A74">
            <w:pPr>
              <w:keepNext/>
              <w:keepLines/>
              <w:spacing w:before="80"/>
              <w:rPr>
                <w:rFonts w:cs="Arial"/>
                <w:color w:val="000000"/>
                <w:sz w:val="14"/>
                <w:szCs w:val="14"/>
              </w:rPr>
            </w:pPr>
            <w:r w:rsidRPr="000B4241">
              <w:rPr>
                <w:rFonts w:cs="Arial"/>
                <w:sz w:val="14"/>
                <w:szCs w:val="14"/>
              </w:rPr>
              <w:t>Achievement</w:t>
            </w:r>
            <w:r w:rsidRPr="000B4241">
              <w:rPr>
                <w:rFonts w:cs="Arial"/>
                <w:color w:val="000000"/>
                <w:sz w:val="14"/>
                <w:szCs w:val="14"/>
              </w:rPr>
              <w:t xml:space="preserve"> of SRP Value Level Outcomes</w:t>
            </w:r>
          </w:p>
        </w:tc>
        <w:tc>
          <w:tcPr>
            <w:tcW w:w="1417" w:type="dxa"/>
            <w:shd w:val="clear" w:color="auto" w:fill="auto"/>
            <w:tcMar>
              <w:top w:w="113" w:type="dxa"/>
            </w:tcMar>
          </w:tcPr>
          <w:p w:rsidR="00861678" w:rsidRPr="000B4241" w:rsidRDefault="00861678" w:rsidP="00975A74">
            <w:pPr>
              <w:keepNext/>
              <w:keepLines/>
              <w:spacing w:before="80"/>
              <w:jc w:val="center"/>
              <w:rPr>
                <w:rFonts w:cs="Arial"/>
                <w:sz w:val="14"/>
                <w:szCs w:val="14"/>
              </w:rPr>
            </w:pPr>
            <w:r w:rsidRPr="000B4241">
              <w:rPr>
                <w:rFonts w:cs="Arial"/>
                <w:sz w:val="14"/>
                <w:szCs w:val="14"/>
              </w:rPr>
              <w:t>Program 21</w:t>
            </w:r>
          </w:p>
        </w:tc>
        <w:tc>
          <w:tcPr>
            <w:tcW w:w="1163" w:type="dxa"/>
          </w:tcPr>
          <w:p w:rsidR="00861678" w:rsidRPr="000B4241" w:rsidRDefault="00861678" w:rsidP="00EA4E3C">
            <w:pPr>
              <w:keepNext/>
              <w:keepLines/>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noWrap/>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of queries for legal advice which receive a response from the Office of the Legal Counsel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21</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0B4241">
            <w:pPr>
              <w:spacing w:before="80"/>
              <w:ind w:firstLineChars="100" w:firstLine="14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color w:val="000000"/>
                <w:sz w:val="14"/>
                <w:szCs w:val="14"/>
              </w:rPr>
            </w:pPr>
            <w:r w:rsidRPr="000B4241">
              <w:rPr>
                <w:rFonts w:cs="Arial"/>
                <w:color w:val="000000"/>
                <w:sz w:val="14"/>
                <w:szCs w:val="14"/>
              </w:rPr>
              <w:t>% of adherence notifications processed in a timely manner</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21</w:t>
            </w:r>
          </w:p>
        </w:tc>
        <w:tc>
          <w:tcPr>
            <w:tcW w:w="1163" w:type="dxa"/>
          </w:tcPr>
          <w:p w:rsidR="00861678" w:rsidRPr="000B4241" w:rsidRDefault="00861678" w:rsidP="00EA4E3C">
            <w:pPr>
              <w:spacing w:before="20"/>
              <w:jc w:val="center"/>
              <w:rPr>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val="restart"/>
            <w:shd w:val="clear" w:color="auto" w:fill="auto"/>
            <w:tcMar>
              <w:top w:w="113" w:type="dxa"/>
            </w:tcMar>
          </w:tcPr>
          <w:p w:rsidR="00A7596F" w:rsidRPr="000B4241" w:rsidRDefault="00A7596F" w:rsidP="00C07F9C">
            <w:pPr>
              <w:spacing w:before="80"/>
              <w:rPr>
                <w:rFonts w:cs="Arial"/>
                <w:sz w:val="14"/>
                <w:szCs w:val="14"/>
              </w:rPr>
            </w:pPr>
          </w:p>
          <w:p w:rsidR="00A7596F" w:rsidRPr="000B4241" w:rsidRDefault="00A7596F" w:rsidP="00C07F9C">
            <w:pPr>
              <w:spacing w:before="80"/>
              <w:rPr>
                <w:rFonts w:cs="Arial"/>
                <w:sz w:val="14"/>
                <w:szCs w:val="14"/>
              </w:rPr>
            </w:pPr>
          </w:p>
          <w:p w:rsidR="00C07F9C" w:rsidRPr="000B4241" w:rsidRDefault="00C07F9C" w:rsidP="00C07F9C">
            <w:pPr>
              <w:spacing w:before="80"/>
              <w:rPr>
                <w:rFonts w:cs="Arial"/>
                <w:color w:val="000000"/>
                <w:sz w:val="14"/>
                <w:szCs w:val="14"/>
              </w:rPr>
            </w:pPr>
            <w:r w:rsidRPr="000B4241">
              <w:rPr>
                <w:rFonts w:cs="Arial"/>
                <w:sz w:val="14"/>
                <w:szCs w:val="14"/>
              </w:rPr>
              <w:t>Improved</w:t>
            </w:r>
            <w:r w:rsidRPr="000B4241">
              <w:rPr>
                <w:rFonts w:cs="Arial"/>
                <w:color w:val="000000"/>
                <w:sz w:val="14"/>
                <w:szCs w:val="14"/>
              </w:rPr>
              <w:t xml:space="preserve"> working environment supported by enabling regulatory framework and effective channels to address staff concerns</w:t>
            </w:r>
          </w:p>
        </w:tc>
        <w:tc>
          <w:tcPr>
            <w:tcW w:w="3799" w:type="dxa"/>
            <w:shd w:val="clear" w:color="auto" w:fill="auto"/>
            <w:tcMar>
              <w:top w:w="113" w:type="dxa"/>
            </w:tcMar>
          </w:tcPr>
          <w:p w:rsidR="00C07F9C" w:rsidRPr="000B4241" w:rsidRDefault="00C07F9C" w:rsidP="00C07F9C">
            <w:pPr>
              <w:spacing w:before="80"/>
              <w:rPr>
                <w:rFonts w:cs="Arial"/>
                <w:color w:val="000000"/>
                <w:sz w:val="14"/>
                <w:szCs w:val="14"/>
              </w:rPr>
            </w:pPr>
            <w:r w:rsidRPr="000B4241">
              <w:rPr>
                <w:rFonts w:cs="Arial"/>
                <w:color w:val="000000"/>
                <w:sz w:val="14"/>
                <w:szCs w:val="14"/>
              </w:rPr>
              <w:t xml:space="preserve">% of users satisfied with standard of service </w:t>
            </w:r>
            <w:r w:rsidRPr="000B4241">
              <w:rPr>
                <w:rFonts w:cs="Arial"/>
                <w:sz w:val="14"/>
                <w:szCs w:val="14"/>
              </w:rPr>
              <w:t>obtained</w:t>
            </w:r>
            <w:r w:rsidRPr="000B4241">
              <w:rPr>
                <w:rFonts w:cs="Arial"/>
                <w:color w:val="000000"/>
                <w:sz w:val="14"/>
                <w:szCs w:val="14"/>
              </w:rPr>
              <w:t xml:space="preserve"> from Ombuds-Office</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21</w:t>
            </w:r>
          </w:p>
        </w:tc>
        <w:tc>
          <w:tcPr>
            <w:tcW w:w="1163" w:type="dxa"/>
          </w:tcPr>
          <w:p w:rsidR="00C07F9C" w:rsidRPr="000B4241" w:rsidRDefault="00C07F9C" w:rsidP="00EA4E3C">
            <w:pPr>
              <w:spacing w:before="20"/>
              <w:jc w:val="center"/>
              <w:rPr>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shd w:val="clear" w:color="auto" w:fill="auto"/>
            <w:noWrap/>
            <w:tcMar>
              <w:top w:w="113" w:type="dxa"/>
            </w:tcMar>
          </w:tcPr>
          <w:p w:rsidR="00C07F9C" w:rsidRPr="000B4241" w:rsidRDefault="00C07F9C" w:rsidP="000B4241">
            <w:pPr>
              <w:spacing w:before="80"/>
              <w:ind w:firstLineChars="100" w:firstLine="140"/>
              <w:rPr>
                <w:rFonts w:cs="Arial"/>
                <w:sz w:val="14"/>
                <w:szCs w:val="14"/>
              </w:rPr>
            </w:pPr>
          </w:p>
        </w:tc>
        <w:tc>
          <w:tcPr>
            <w:tcW w:w="3799" w:type="dxa"/>
            <w:shd w:val="clear" w:color="auto" w:fill="auto"/>
            <w:tcMar>
              <w:top w:w="113" w:type="dxa"/>
            </w:tcMar>
          </w:tcPr>
          <w:p w:rsidR="00C07F9C" w:rsidRPr="000B4241" w:rsidRDefault="00A7596F" w:rsidP="00C07F9C">
            <w:pPr>
              <w:spacing w:before="80"/>
              <w:rPr>
                <w:rFonts w:cs="Arial"/>
                <w:color w:val="000000"/>
                <w:sz w:val="14"/>
                <w:szCs w:val="14"/>
              </w:rPr>
            </w:pPr>
            <w:r w:rsidRPr="000B4241">
              <w:rPr>
                <w:rFonts w:cs="Arial"/>
                <w:color w:val="000000"/>
                <w:sz w:val="14"/>
                <w:szCs w:val="14"/>
              </w:rPr>
              <w:t>%</w:t>
            </w:r>
            <w:r w:rsidR="00C07F9C" w:rsidRPr="000B4241">
              <w:rPr>
                <w:rFonts w:cs="Arial"/>
                <w:color w:val="000000"/>
                <w:sz w:val="14"/>
                <w:szCs w:val="14"/>
              </w:rPr>
              <w:t xml:space="preserve"> of staff aware of WIPO ethical principles and policies</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21</w:t>
            </w:r>
          </w:p>
        </w:tc>
        <w:tc>
          <w:tcPr>
            <w:tcW w:w="1163" w:type="dxa"/>
          </w:tcPr>
          <w:p w:rsidR="00C07F9C" w:rsidRPr="000B4241" w:rsidRDefault="00C07F9C" w:rsidP="00C07F9C">
            <w:pPr>
              <w:jc w:val="center"/>
              <w:rPr>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val="restart"/>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 xml:space="preserve">Reduced impact of WIPO’s activities on the environment </w:t>
            </w: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 xml:space="preserve">No. of Programs with environmental improvement indicators, baselines and targets.  </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24</w:t>
            </w:r>
          </w:p>
        </w:tc>
        <w:tc>
          <w:tcPr>
            <w:tcW w:w="1163" w:type="dxa"/>
          </w:tcPr>
          <w:p w:rsidR="00C07F9C" w:rsidRPr="000B4241" w:rsidRDefault="00C07F9C" w:rsidP="00C07F9C">
            <w:pPr>
              <w:jc w:val="center"/>
              <w:rPr>
                <w:sz w:val="22"/>
                <w:szCs w:val="22"/>
              </w:rPr>
            </w:pPr>
            <w:r w:rsidRPr="000B4241">
              <w:rPr>
                <w:rFonts w:cs="Arial"/>
                <w:color w:val="FF0000"/>
                <w:sz w:val="22"/>
                <w:szCs w:val="22"/>
              </w:rPr>
              <w:sym w:font="Wingdings" w:char="F06C"/>
            </w:r>
          </w:p>
        </w:tc>
      </w:tr>
      <w:tr w:rsidR="00C07F9C" w:rsidRPr="00FD430C" w:rsidTr="00C07F9C">
        <w:trPr>
          <w:cantSplit/>
        </w:trPr>
        <w:tc>
          <w:tcPr>
            <w:tcW w:w="2987" w:type="dxa"/>
            <w:vMerge/>
            <w:shd w:val="clear" w:color="auto" w:fill="auto"/>
            <w:tcMar>
              <w:top w:w="113" w:type="dxa"/>
            </w:tcMar>
          </w:tcPr>
          <w:p w:rsidR="00C07F9C" w:rsidRPr="000B4241" w:rsidRDefault="00C07F9C" w:rsidP="000B4241">
            <w:pPr>
              <w:spacing w:before="80"/>
              <w:ind w:firstLineChars="100" w:firstLine="140"/>
              <w:rPr>
                <w:rFonts w:cs="Arial"/>
                <w:sz w:val="14"/>
                <w:szCs w:val="14"/>
              </w:rPr>
            </w:pP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 of reduction in carbon emissions in respect of energy consumption (in relation to WIPO buildings)</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24</w:t>
            </w:r>
          </w:p>
        </w:tc>
        <w:tc>
          <w:tcPr>
            <w:tcW w:w="1163" w:type="dxa"/>
          </w:tcPr>
          <w:p w:rsidR="00C07F9C" w:rsidRPr="000B4241" w:rsidRDefault="006C2C13" w:rsidP="00C07F9C">
            <w:pPr>
              <w:jc w:val="center"/>
              <w:rPr>
                <w:sz w:val="22"/>
                <w:szCs w:val="22"/>
              </w:rPr>
            </w:pPr>
            <w:r w:rsidRPr="000B4241">
              <w:rPr>
                <w:rFonts w:cs="Arial"/>
                <w:color w:val="A6A6A6" w:themeColor="background1" w:themeShade="A6"/>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Improved physical access to the WIPO Campus </w:t>
            </w: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 xml:space="preserve">No. of relevant Programs with physical accessibility indicators, baselines and targets </w:t>
            </w:r>
          </w:p>
        </w:tc>
        <w:tc>
          <w:tcPr>
            <w:tcW w:w="1417" w:type="dxa"/>
            <w:shd w:val="clear" w:color="auto" w:fill="auto"/>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24</w:t>
            </w:r>
          </w:p>
        </w:tc>
        <w:tc>
          <w:tcPr>
            <w:tcW w:w="1163" w:type="dxa"/>
          </w:tcPr>
          <w:p w:rsidR="00861678" w:rsidRPr="000B4241" w:rsidRDefault="00861678" w:rsidP="00C07F9C">
            <w:pPr>
              <w:jc w:val="center"/>
              <w:rPr>
                <w:sz w:val="22"/>
                <w:szCs w:val="22"/>
              </w:rPr>
            </w:pPr>
            <w:r w:rsidRPr="000B4241">
              <w:rPr>
                <w:rFonts w:cs="Arial"/>
                <w:color w:val="E36C0A" w:themeColor="accent6" w:themeShade="BF"/>
                <w:sz w:val="22"/>
                <w:szCs w:val="22"/>
              </w:rPr>
              <w:sym w:font="Wingdings" w:char="F06C"/>
            </w:r>
          </w:p>
        </w:tc>
      </w:tr>
      <w:tr w:rsidR="00C07F9C" w:rsidRPr="00FD430C" w:rsidTr="00C07F9C">
        <w:trPr>
          <w:cantSplit/>
        </w:trPr>
        <w:tc>
          <w:tcPr>
            <w:tcW w:w="2987" w:type="dxa"/>
            <w:vMerge w:val="restart"/>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An effective and professional internal audit function is in place covering all high risk work areas</w:t>
            </w: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 xml:space="preserve">No. of audits performed in high risk areas </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26</w:t>
            </w:r>
          </w:p>
        </w:tc>
        <w:tc>
          <w:tcPr>
            <w:tcW w:w="1163" w:type="dxa"/>
          </w:tcPr>
          <w:p w:rsidR="00C07F9C" w:rsidRPr="000B4241" w:rsidRDefault="00C07F9C" w:rsidP="00C07F9C">
            <w:pPr>
              <w:jc w:val="center"/>
              <w:rPr>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shd w:val="clear" w:color="auto" w:fill="auto"/>
            <w:tcMar>
              <w:top w:w="113" w:type="dxa"/>
            </w:tcMar>
          </w:tcPr>
          <w:p w:rsidR="00C07F9C" w:rsidRPr="000B4241" w:rsidRDefault="00C07F9C" w:rsidP="00C07F9C">
            <w:pPr>
              <w:spacing w:before="80"/>
              <w:rPr>
                <w:rFonts w:cs="Arial"/>
                <w:sz w:val="14"/>
                <w:szCs w:val="14"/>
              </w:rPr>
            </w:pP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The professional standards, code of ethics, and practice advisories of the Institute of Internal Auditors (IIA) are applied</w:t>
            </w:r>
          </w:p>
        </w:tc>
        <w:tc>
          <w:tcPr>
            <w:tcW w:w="1417" w:type="dxa"/>
            <w:shd w:val="clear" w:color="auto" w:fill="auto"/>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26</w:t>
            </w:r>
          </w:p>
        </w:tc>
        <w:tc>
          <w:tcPr>
            <w:tcW w:w="1163" w:type="dxa"/>
          </w:tcPr>
          <w:p w:rsidR="00C07F9C" w:rsidRPr="000B4241" w:rsidRDefault="00C07F9C" w:rsidP="00C07F9C">
            <w:pPr>
              <w:jc w:val="center"/>
              <w:rPr>
                <w:rFonts w:cs="Arial"/>
                <w:color w:val="008000"/>
                <w:sz w:val="22"/>
                <w:szCs w:val="22"/>
              </w:rPr>
            </w:pPr>
            <w:r w:rsidRPr="000B4241">
              <w:rPr>
                <w:rFonts w:cs="Arial"/>
                <w:color w:val="008000"/>
                <w:sz w:val="22"/>
                <w:szCs w:val="22"/>
              </w:rPr>
              <w:sym w:font="Wingdings" w:char="F06C"/>
            </w:r>
          </w:p>
        </w:tc>
      </w:tr>
      <w:tr w:rsidR="00C07F9C" w:rsidRPr="00FD430C" w:rsidTr="00C07F9C">
        <w:trPr>
          <w:cantSplit/>
        </w:trPr>
        <w:tc>
          <w:tcPr>
            <w:tcW w:w="2987" w:type="dxa"/>
            <w:vMerge/>
            <w:shd w:val="clear" w:color="auto" w:fill="auto"/>
            <w:tcMar>
              <w:top w:w="113" w:type="dxa"/>
            </w:tcMar>
          </w:tcPr>
          <w:p w:rsidR="00C07F9C" w:rsidRPr="000B4241" w:rsidRDefault="00C07F9C" w:rsidP="000B4241">
            <w:pPr>
              <w:spacing w:before="80"/>
              <w:ind w:firstLineChars="100" w:firstLine="140"/>
              <w:rPr>
                <w:rFonts w:cs="Arial"/>
                <w:sz w:val="14"/>
                <w:szCs w:val="14"/>
              </w:rPr>
            </w:pPr>
          </w:p>
        </w:tc>
        <w:tc>
          <w:tcPr>
            <w:tcW w:w="3799" w:type="dxa"/>
            <w:shd w:val="clear" w:color="auto" w:fill="auto"/>
            <w:tcMar>
              <w:top w:w="113" w:type="dxa"/>
            </w:tcMar>
          </w:tcPr>
          <w:p w:rsidR="00C07F9C" w:rsidRPr="000B4241" w:rsidRDefault="00C07F9C" w:rsidP="00C07F9C">
            <w:pPr>
              <w:spacing w:before="80"/>
              <w:rPr>
                <w:rFonts w:cs="Arial"/>
                <w:sz w:val="14"/>
                <w:szCs w:val="14"/>
              </w:rPr>
            </w:pPr>
            <w:r w:rsidRPr="000B4241">
              <w:rPr>
                <w:rFonts w:cs="Arial"/>
                <w:sz w:val="14"/>
                <w:szCs w:val="14"/>
              </w:rPr>
              <w:t>Complete and accurate tracking of the implementation of oversight recommendations, showing all historical recommendations made, new ones added and their status</w:t>
            </w:r>
          </w:p>
        </w:tc>
        <w:tc>
          <w:tcPr>
            <w:tcW w:w="1417" w:type="dxa"/>
            <w:shd w:val="clear" w:color="auto" w:fill="auto"/>
            <w:noWrap/>
            <w:tcMar>
              <w:top w:w="113" w:type="dxa"/>
            </w:tcMar>
          </w:tcPr>
          <w:p w:rsidR="00C07F9C" w:rsidRPr="000B4241" w:rsidRDefault="00C07F9C" w:rsidP="00C07F9C">
            <w:pPr>
              <w:spacing w:before="80"/>
              <w:jc w:val="center"/>
              <w:rPr>
                <w:rFonts w:cs="Arial"/>
                <w:sz w:val="14"/>
                <w:szCs w:val="14"/>
              </w:rPr>
            </w:pPr>
            <w:r w:rsidRPr="000B4241">
              <w:rPr>
                <w:rFonts w:cs="Arial"/>
                <w:sz w:val="14"/>
                <w:szCs w:val="14"/>
              </w:rPr>
              <w:t>Program 26</w:t>
            </w:r>
          </w:p>
        </w:tc>
        <w:tc>
          <w:tcPr>
            <w:tcW w:w="1163" w:type="dxa"/>
          </w:tcPr>
          <w:p w:rsidR="00C07F9C" w:rsidRPr="000B4241" w:rsidRDefault="00C07F9C"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Investigation reports provide a sound basis for decision making by the Director General.</w:t>
            </w: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Investigation activity is carried out in accordance with the Internal Oversight Charter, UN Uniform Guidelines for Investigation, the Investigation Procedures Manual and the Investigation Policy (currently in draft).</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26</w:t>
            </w:r>
          </w:p>
        </w:tc>
        <w:tc>
          <w:tcPr>
            <w:tcW w:w="1163" w:type="dxa"/>
          </w:tcPr>
          <w:p w:rsidR="00861678" w:rsidRPr="000B4241" w:rsidRDefault="00861678" w:rsidP="00C07F9C">
            <w:pPr>
              <w:jc w:val="center"/>
              <w:rPr>
                <w:color w:val="008000"/>
                <w:sz w:val="22"/>
                <w:szCs w:val="22"/>
              </w:rPr>
            </w:pPr>
            <w:r w:rsidRPr="000B4241">
              <w:rPr>
                <w:rFonts w:cs="Arial"/>
                <w:color w:val="008000"/>
                <w:sz w:val="22"/>
                <w:szCs w:val="22"/>
              </w:rPr>
              <w:sym w:font="Wingdings" w:char="F06C"/>
            </w:r>
          </w:p>
        </w:tc>
      </w:tr>
      <w:tr w:rsidR="00861678" w:rsidRPr="00FD430C" w:rsidTr="00C07F9C">
        <w:trPr>
          <w:cantSplit/>
        </w:trPr>
        <w:tc>
          <w:tcPr>
            <w:tcW w:w="2987"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Evidence-based evaluative information is available to senior management, program managers and Member States for decision making</w:t>
            </w:r>
          </w:p>
          <w:p w:rsidR="00975A74" w:rsidRPr="000B4241" w:rsidRDefault="00975A74" w:rsidP="00C07F9C">
            <w:pPr>
              <w:spacing w:before="80"/>
              <w:rPr>
                <w:rFonts w:cs="Arial"/>
                <w:sz w:val="14"/>
                <w:szCs w:val="14"/>
              </w:rPr>
            </w:pPr>
          </w:p>
        </w:tc>
        <w:tc>
          <w:tcPr>
            <w:tcW w:w="3799" w:type="dxa"/>
            <w:shd w:val="clear" w:color="auto" w:fill="auto"/>
            <w:tcMar>
              <w:top w:w="113" w:type="dxa"/>
            </w:tcMar>
          </w:tcPr>
          <w:p w:rsidR="00861678" w:rsidRPr="000B4241" w:rsidRDefault="00861678" w:rsidP="00C07F9C">
            <w:pPr>
              <w:spacing w:before="80"/>
              <w:rPr>
                <w:rFonts w:cs="Arial"/>
                <w:sz w:val="14"/>
                <w:szCs w:val="14"/>
              </w:rPr>
            </w:pPr>
            <w:r w:rsidRPr="000B4241">
              <w:rPr>
                <w:rFonts w:cs="Arial"/>
                <w:sz w:val="14"/>
                <w:szCs w:val="14"/>
              </w:rPr>
              <w:t>Evaluations are produced in line with the Evaluation Policy and Evaluation Section Procedures Manual.</w:t>
            </w:r>
          </w:p>
        </w:tc>
        <w:tc>
          <w:tcPr>
            <w:tcW w:w="1417" w:type="dxa"/>
            <w:shd w:val="clear" w:color="auto" w:fill="auto"/>
            <w:noWrap/>
            <w:tcMar>
              <w:top w:w="113" w:type="dxa"/>
            </w:tcMar>
          </w:tcPr>
          <w:p w:rsidR="00861678" w:rsidRPr="000B4241" w:rsidRDefault="00861678" w:rsidP="00C07F9C">
            <w:pPr>
              <w:spacing w:before="80"/>
              <w:jc w:val="center"/>
              <w:rPr>
                <w:rFonts w:cs="Arial"/>
                <w:sz w:val="14"/>
                <w:szCs w:val="14"/>
              </w:rPr>
            </w:pPr>
            <w:r w:rsidRPr="000B4241">
              <w:rPr>
                <w:rFonts w:cs="Arial"/>
                <w:sz w:val="14"/>
                <w:szCs w:val="14"/>
              </w:rPr>
              <w:t>Program 26</w:t>
            </w:r>
          </w:p>
        </w:tc>
        <w:tc>
          <w:tcPr>
            <w:tcW w:w="1163" w:type="dxa"/>
          </w:tcPr>
          <w:p w:rsidR="00861678" w:rsidRPr="000B4241" w:rsidRDefault="00861678" w:rsidP="00C07F9C">
            <w:pPr>
              <w:jc w:val="center"/>
              <w:rPr>
                <w:color w:val="008000"/>
                <w:sz w:val="22"/>
                <w:szCs w:val="22"/>
              </w:rPr>
            </w:pPr>
            <w:r w:rsidRPr="000B4241">
              <w:rPr>
                <w:rFonts w:cs="Arial"/>
                <w:color w:val="008000"/>
                <w:sz w:val="22"/>
                <w:szCs w:val="22"/>
              </w:rPr>
              <w:sym w:font="Wingdings" w:char="F06C"/>
            </w:r>
          </w:p>
        </w:tc>
      </w:tr>
    </w:tbl>
    <w:p w:rsidR="001525FC" w:rsidRPr="00C57525" w:rsidRDefault="001525FC" w:rsidP="001525FC">
      <w:pPr>
        <w:pStyle w:val="StyleHeading3ComplexItalic"/>
        <w:keepNext w:val="0"/>
        <w:tabs>
          <w:tab w:val="clear" w:pos="1985"/>
          <w:tab w:val="left" w:pos="1418"/>
        </w:tabs>
        <w:ind w:left="1418" w:hanging="1418"/>
        <w:rPr>
          <w:snapToGrid w:val="0"/>
          <w:color w:val="000000"/>
          <w:sz w:val="19"/>
          <w:szCs w:val="19"/>
        </w:rPr>
      </w:pPr>
    </w:p>
    <w:p w:rsidR="001525FC" w:rsidRDefault="001525FC">
      <w:pPr>
        <w:rPr>
          <w:rFonts w:ascii="Arial Bold" w:eastAsiaTheme="majorEastAsia" w:hAnsi="Arial Bold" w:cstheme="majorBidi"/>
          <w:b/>
          <w:bCs/>
          <w:sz w:val="22"/>
        </w:rPr>
      </w:pPr>
      <w:r>
        <w:br w:type="page"/>
      </w:r>
    </w:p>
    <w:p w:rsidR="000B5438" w:rsidRPr="006F08EA" w:rsidRDefault="006F08EA" w:rsidP="006F08EA">
      <w:pPr>
        <w:pStyle w:val="Heading3"/>
      </w:pPr>
      <w:bookmarkStart w:id="62" w:name="_Toc393956072"/>
      <w:r w:rsidRPr="006F08EA">
        <w:lastRenderedPageBreak/>
        <w:t>Program 21</w:t>
      </w:r>
      <w:r w:rsidRPr="006F08EA">
        <w:tab/>
        <w:t>Executive Management</w:t>
      </w:r>
      <w:bookmarkEnd w:id="62"/>
    </w:p>
    <w:p w:rsidR="000B5438" w:rsidRPr="005170DA" w:rsidRDefault="000B5438" w:rsidP="000B5438">
      <w:pPr>
        <w:ind w:left="2268" w:hanging="2268"/>
        <w:rPr>
          <w:rFonts w:cs="Arial"/>
          <w:b/>
          <w:sz w:val="22"/>
          <w:szCs w:val="22"/>
        </w:rPr>
      </w:pPr>
    </w:p>
    <w:p w:rsidR="000B5438" w:rsidRPr="005170DA" w:rsidRDefault="000B5438" w:rsidP="000B5438">
      <w:pPr>
        <w:ind w:left="2268" w:hanging="2268"/>
        <w:rPr>
          <w:rFonts w:cs="Arial"/>
          <w:b/>
          <w:sz w:val="22"/>
          <w:szCs w:val="22"/>
        </w:rPr>
      </w:pPr>
      <w:r w:rsidRPr="005170DA">
        <w:rPr>
          <w:rFonts w:cs="Arial"/>
          <w:b/>
          <w:sz w:val="22"/>
          <w:szCs w:val="22"/>
        </w:rPr>
        <w:t>Program Manager</w:t>
      </w:r>
      <w:r w:rsidRPr="005170DA">
        <w:rPr>
          <w:rFonts w:cs="Arial"/>
          <w:b/>
          <w:sz w:val="22"/>
          <w:szCs w:val="22"/>
        </w:rPr>
        <w:tab/>
      </w:r>
      <w:r w:rsidRPr="005170DA">
        <w:rPr>
          <w:rFonts w:cs="Arial"/>
          <w:b/>
          <w:sz w:val="22"/>
          <w:szCs w:val="22"/>
        </w:rPr>
        <w:tab/>
      </w:r>
      <w:r w:rsidRPr="005170DA">
        <w:rPr>
          <w:rFonts w:cs="Arial"/>
          <w:b/>
          <w:bCs/>
          <w:sz w:val="22"/>
          <w:szCs w:val="22"/>
        </w:rPr>
        <w:t>Director General</w:t>
      </w:r>
    </w:p>
    <w:p w:rsidR="000B5438" w:rsidRPr="005170DA" w:rsidRDefault="000B5438" w:rsidP="000B5438">
      <w:pPr>
        <w:rPr>
          <w:rFonts w:cs="Arial"/>
          <w:sz w:val="22"/>
          <w:szCs w:val="22"/>
        </w:rPr>
      </w:pPr>
    </w:p>
    <w:p w:rsidR="000B5438" w:rsidRPr="005170DA" w:rsidRDefault="000B5438" w:rsidP="000B5438">
      <w:pPr>
        <w:rPr>
          <w:rFonts w:cs="Arial"/>
          <w:bCs/>
          <w:sz w:val="22"/>
          <w:szCs w:val="22"/>
        </w:rPr>
      </w:pPr>
    </w:p>
    <w:p w:rsidR="000B5438" w:rsidRPr="005170DA" w:rsidRDefault="000B5438" w:rsidP="000B5438">
      <w:pPr>
        <w:rPr>
          <w:rFonts w:cs="Arial"/>
          <w:sz w:val="22"/>
          <w:szCs w:val="22"/>
        </w:rPr>
      </w:pPr>
      <w:r w:rsidRPr="005170DA">
        <w:rPr>
          <w:rFonts w:cs="Arial"/>
          <w:bCs/>
          <w:sz w:val="22"/>
          <w:szCs w:val="22"/>
        </w:rPr>
        <w:t>ACHIEVEMENTS IN THE 2012/13 BIENNIUM</w:t>
      </w:r>
    </w:p>
    <w:p w:rsidR="000B5438" w:rsidRPr="005170DA" w:rsidRDefault="000B5438" w:rsidP="000B5438">
      <w:pPr>
        <w:rPr>
          <w:rFonts w:cs="Arial"/>
          <w:sz w:val="22"/>
          <w:szCs w:val="22"/>
        </w:rPr>
      </w:pPr>
    </w:p>
    <w:p w:rsidR="000B5438" w:rsidRPr="00DC68DB" w:rsidRDefault="000B5438" w:rsidP="005703CF">
      <w:pPr>
        <w:numPr>
          <w:ilvl w:val="0"/>
          <w:numId w:val="55"/>
        </w:numPr>
        <w:autoSpaceDE w:val="0"/>
        <w:autoSpaceDN w:val="0"/>
        <w:adjustRightInd w:val="0"/>
        <w:jc w:val="both"/>
        <w:rPr>
          <w:rFonts w:eastAsia="SimSun" w:cs="Arial"/>
          <w:szCs w:val="20"/>
          <w:lang w:eastAsia="zh-CN"/>
        </w:rPr>
      </w:pPr>
      <w:r w:rsidRPr="00DC68DB">
        <w:rPr>
          <w:rFonts w:eastAsia="SimSun" w:cs="Arial"/>
          <w:szCs w:val="20"/>
          <w:lang w:eastAsia="zh-CN"/>
        </w:rPr>
        <w:t>Program 21 covers the Office of the Director General (ODG), the Office of the Legal Counsel (OLC), the Assemblies Affairs and Documentation Division (AADD), the Office of the Ombudsman, the Ethics Office and the Protocol Service.</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bCs/>
          <w:color w:val="000000"/>
          <w:szCs w:val="20"/>
          <w:lang w:eastAsia="zh-CN"/>
        </w:rPr>
      </w:pPr>
      <w:r w:rsidRPr="00DC68DB">
        <w:rPr>
          <w:rFonts w:eastAsia="SimSun" w:cs="Arial"/>
          <w:bCs/>
          <w:color w:val="000000"/>
          <w:szCs w:val="20"/>
          <w:lang w:eastAsia="zh-CN"/>
        </w:rPr>
        <w:t xml:space="preserve">Effective engagement with Member States and other stakeholders remains a cornerstone for continued progress towards realization of the Organization’s nine Strategic Goals.  Such engagement was important throughout the biennium in support of the considerable change, which took place in the Organization </w:t>
      </w:r>
      <w:r>
        <w:rPr>
          <w:rFonts w:eastAsia="SimSun" w:cs="Arial"/>
          <w:bCs/>
          <w:color w:val="000000"/>
          <w:szCs w:val="20"/>
          <w:lang w:eastAsia="zh-CN"/>
        </w:rPr>
        <w:t xml:space="preserve">in respect of </w:t>
      </w:r>
      <w:r w:rsidRPr="00DC68DB">
        <w:rPr>
          <w:rFonts w:eastAsia="SimSun" w:cs="Arial"/>
          <w:bCs/>
          <w:color w:val="000000"/>
          <w:szCs w:val="20"/>
          <w:lang w:eastAsia="zh-CN"/>
        </w:rPr>
        <w:t xml:space="preserve">organizational reform and improvement, in support of advances on the normative front and in program implementation.  To this end, the Director General conducted regular briefings for Ambassadors and </w:t>
      </w:r>
      <w:r>
        <w:rPr>
          <w:rFonts w:eastAsia="SimSun" w:cs="Arial"/>
          <w:bCs/>
          <w:color w:val="000000"/>
          <w:szCs w:val="20"/>
          <w:lang w:eastAsia="zh-CN"/>
        </w:rPr>
        <w:t xml:space="preserve">held </w:t>
      </w:r>
      <w:r w:rsidRPr="00DC68DB">
        <w:rPr>
          <w:rFonts w:eastAsia="SimSun" w:cs="Arial"/>
          <w:bCs/>
          <w:color w:val="000000"/>
          <w:szCs w:val="20"/>
          <w:lang w:eastAsia="zh-CN"/>
        </w:rPr>
        <w:t xml:space="preserve">meetings with Member States, which proved to be an invaluable means by which to receive feedback and advice </w:t>
      </w:r>
      <w:r>
        <w:rPr>
          <w:rFonts w:eastAsia="SimSun" w:cs="Arial"/>
          <w:bCs/>
          <w:color w:val="000000"/>
          <w:szCs w:val="20"/>
          <w:lang w:eastAsia="zh-CN"/>
        </w:rPr>
        <w:t>to</w:t>
      </w:r>
      <w:r w:rsidRPr="00DC68DB">
        <w:rPr>
          <w:rFonts w:eastAsia="SimSun" w:cs="Arial"/>
          <w:bCs/>
          <w:color w:val="000000"/>
          <w:szCs w:val="20"/>
          <w:lang w:eastAsia="zh-CN"/>
        </w:rPr>
        <w:t xml:space="preserve"> enhance progress on many issues. </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bCs/>
          <w:color w:val="000000"/>
          <w:szCs w:val="20"/>
          <w:lang w:eastAsia="zh-CN"/>
        </w:rPr>
      </w:pPr>
      <w:r w:rsidRPr="00DC68DB">
        <w:rPr>
          <w:rFonts w:eastAsia="SimSun" w:cs="Arial"/>
          <w:bCs/>
          <w:color w:val="000000"/>
          <w:szCs w:val="20"/>
          <w:lang w:eastAsia="zh-CN"/>
        </w:rPr>
        <w:t xml:space="preserve">Internal engagement was equally a focus, particularly with respect to managing change and building support for it across the Organization.  In this regard, the regular sessions of the Senior Management Team (SMT) provided direction to organizational units </w:t>
      </w:r>
      <w:r>
        <w:rPr>
          <w:rFonts w:eastAsia="SimSun" w:cs="Arial"/>
          <w:bCs/>
          <w:color w:val="000000"/>
          <w:szCs w:val="20"/>
          <w:lang w:eastAsia="zh-CN"/>
        </w:rPr>
        <w:t>translating</w:t>
      </w:r>
      <w:r w:rsidRPr="00DC68DB">
        <w:rPr>
          <w:rFonts w:eastAsia="SimSun" w:cs="Arial"/>
          <w:bCs/>
          <w:color w:val="000000"/>
          <w:szCs w:val="20"/>
          <w:lang w:eastAsia="zh-CN"/>
        </w:rPr>
        <w:t xml:space="preserve"> strategic decisions into operational realities.  The Director General devoted considerable attention to reaching out to managers</w:t>
      </w:r>
      <w:r>
        <w:rPr>
          <w:rFonts w:eastAsia="SimSun" w:cs="Arial"/>
          <w:bCs/>
          <w:color w:val="000000"/>
          <w:szCs w:val="20"/>
          <w:lang w:eastAsia="zh-CN"/>
        </w:rPr>
        <w:t xml:space="preserve"> and</w:t>
      </w:r>
      <w:r w:rsidRPr="00DC68DB">
        <w:rPr>
          <w:rFonts w:eastAsia="SimSun" w:cs="Arial"/>
          <w:bCs/>
          <w:color w:val="000000"/>
          <w:szCs w:val="20"/>
          <w:lang w:eastAsia="zh-CN"/>
        </w:rPr>
        <w:t xml:space="preserve"> the staff at large to ensure a consistent messag</w:t>
      </w:r>
      <w:r>
        <w:rPr>
          <w:rFonts w:eastAsia="SimSun" w:cs="Arial"/>
          <w:bCs/>
          <w:color w:val="000000"/>
          <w:szCs w:val="20"/>
          <w:lang w:eastAsia="zh-CN"/>
        </w:rPr>
        <w:t>ing</w:t>
      </w:r>
      <w:r w:rsidRPr="00DC68DB">
        <w:rPr>
          <w:rFonts w:eastAsia="SimSun" w:cs="Arial"/>
          <w:bCs/>
          <w:color w:val="000000"/>
          <w:szCs w:val="20"/>
          <w:lang w:eastAsia="zh-CN"/>
        </w:rPr>
        <w:t xml:space="preserve"> across the Organization.</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bCs/>
          <w:color w:val="000000"/>
          <w:szCs w:val="20"/>
          <w:lang w:eastAsia="zh-CN"/>
        </w:rPr>
      </w:pPr>
      <w:r w:rsidRPr="00DC68DB">
        <w:rPr>
          <w:rFonts w:eastAsia="SimSun" w:cs="Arial"/>
          <w:bCs/>
          <w:color w:val="000000"/>
          <w:szCs w:val="20"/>
          <w:lang w:eastAsia="zh-CN"/>
        </w:rPr>
        <w:t xml:space="preserve">A key element of the change process throughout the biennium was bringing </w:t>
      </w:r>
      <w:r w:rsidRPr="00DC68DB">
        <w:rPr>
          <w:rFonts w:eastAsia="SimSun" w:cs="Arial"/>
          <w:szCs w:val="20"/>
          <w:lang w:eastAsia="zh-CN"/>
        </w:rPr>
        <w:t xml:space="preserve">WIPO’s Strategic Realignment Program (SRP) to a successful conclusion as a portfolio of initiatives generating comprehensive organizational improvement.  The SRP contained 19 interrelated initiatives grouped under the Organization’s four aspirational Core Values, and its outcomes were measured by a staff survey and results dashboard (both available to Member States on the </w:t>
      </w:r>
      <w:r>
        <w:rPr>
          <w:rFonts w:eastAsia="SimSun" w:cs="Arial"/>
          <w:szCs w:val="20"/>
          <w:lang w:eastAsia="zh-CN"/>
        </w:rPr>
        <w:t>I</w:t>
      </w:r>
      <w:r w:rsidRPr="00DC68DB">
        <w:rPr>
          <w:rFonts w:eastAsia="SimSun" w:cs="Arial"/>
          <w:szCs w:val="20"/>
          <w:lang w:eastAsia="zh-CN"/>
        </w:rPr>
        <w:t>nternet).  The results were encouraging, indicating that in many respects, the SRP brought a new focus to the Secretariat’s culture and values, a greater efficiency to its business processes and better alignment of Programs, structure and resources to the Strategic Goals of the Organization.</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bCs/>
          <w:color w:val="000000"/>
          <w:szCs w:val="20"/>
          <w:lang w:eastAsia="zh-CN"/>
        </w:rPr>
      </w:pPr>
      <w:r w:rsidRPr="00DC68DB">
        <w:rPr>
          <w:rFonts w:eastAsia="SimSun" w:cs="Arial"/>
          <w:bCs/>
          <w:color w:val="000000"/>
          <w:szCs w:val="20"/>
          <w:lang w:eastAsia="zh-CN"/>
        </w:rPr>
        <w:t xml:space="preserve">This was the first biennium during which the AADD </w:t>
      </w:r>
      <w:r w:rsidRPr="00DC68DB">
        <w:rPr>
          <w:rFonts w:eastAsia="SimSun" w:cs="Arial"/>
          <w:szCs w:val="20"/>
          <w:lang w:eastAsia="zh-CN"/>
        </w:rPr>
        <w:t xml:space="preserve">was operational, and the benefits of establishing a dedicated and centralized unit to manage delivery of the Assemblies continued to be realized.  The efficient organization of an extraordinary session of the Assemblies in late 2013, with two months’ notice, was an example of this.  Organizational innovations and rationalizations such as webcasting of proceedings, electronic registration and new travel procedures were continued and refined.  Documentation was delivered well in advance and earlier than previously and </w:t>
      </w:r>
      <w:proofErr w:type="gramStart"/>
      <w:r w:rsidRPr="00DC68DB">
        <w:rPr>
          <w:rFonts w:eastAsia="SimSun" w:cs="Arial"/>
          <w:szCs w:val="20"/>
          <w:lang w:eastAsia="zh-CN"/>
        </w:rPr>
        <w:t>a new tool developed to assist delegates identify</w:t>
      </w:r>
      <w:proofErr w:type="gramEnd"/>
      <w:r w:rsidRPr="00DC68DB">
        <w:rPr>
          <w:rFonts w:eastAsia="SimSun" w:cs="Arial"/>
          <w:szCs w:val="20"/>
          <w:lang w:eastAsia="zh-CN"/>
        </w:rPr>
        <w:t xml:space="preserve"> the key passages of reports.  The number and quality of side-events was enhanced.  The attention to improving the efficiency and Member State experience of the Assemblies was reflected in the very high satisfaction levels achieved in a survey of delegates.</w:t>
      </w:r>
    </w:p>
    <w:p w:rsidR="000B5438" w:rsidRPr="00DC68DB" w:rsidRDefault="000B5438" w:rsidP="000B5438">
      <w:pPr>
        <w:autoSpaceDE w:val="0"/>
        <w:autoSpaceDN w:val="0"/>
        <w:adjustRightInd w:val="0"/>
        <w:jc w:val="both"/>
        <w:rPr>
          <w:rFonts w:eastAsia="SimSun" w:cs="Arial"/>
          <w:bCs/>
          <w:color w:val="000000"/>
          <w:szCs w:val="20"/>
          <w:lang w:eastAsia="zh-CN"/>
        </w:rPr>
      </w:pPr>
    </w:p>
    <w:p w:rsidR="000B5438" w:rsidRPr="00DC68DB" w:rsidRDefault="000B5438" w:rsidP="005703CF">
      <w:pPr>
        <w:numPr>
          <w:ilvl w:val="0"/>
          <w:numId w:val="55"/>
        </w:numPr>
        <w:autoSpaceDE w:val="0"/>
        <w:autoSpaceDN w:val="0"/>
        <w:adjustRightInd w:val="0"/>
        <w:jc w:val="both"/>
        <w:rPr>
          <w:rFonts w:eastAsia="SimSun" w:cs="Arial"/>
          <w:szCs w:val="20"/>
          <w:lang w:eastAsia="zh-CN"/>
        </w:rPr>
      </w:pPr>
      <w:r w:rsidRPr="00DC68DB">
        <w:rPr>
          <w:rFonts w:eastAsia="SimSun" w:cs="Arial"/>
          <w:szCs w:val="20"/>
          <w:lang w:eastAsia="zh-CN"/>
        </w:rPr>
        <w:t xml:space="preserve">The OLC faced a challenging biennium characterized by increased demand for its services.  The Office continued to provide prompt, independent and reliable legal advice and services on constitutional and general legal issues, contracts, treaty law, administrative and human resource related matters and on IP law, to the Director General, the Secretariat and Member States.  The depository functions of WIPO-administered treaties continued to function efficiently.  The WIPO Lex on-line database of IP-related laws and treaties was extended to all </w:t>
      </w:r>
      <w:r>
        <w:rPr>
          <w:rFonts w:eastAsia="SimSun" w:cs="Arial"/>
          <w:szCs w:val="20"/>
          <w:lang w:eastAsia="zh-CN"/>
        </w:rPr>
        <w:t>six</w:t>
      </w:r>
      <w:r w:rsidRPr="00DC68DB">
        <w:rPr>
          <w:rFonts w:eastAsia="SimSun" w:cs="Arial"/>
          <w:szCs w:val="20"/>
          <w:lang w:eastAsia="zh-CN"/>
        </w:rPr>
        <w:t xml:space="preserve"> UN languages.  At the same time, there was a significant increase in workload associated with Member States’ meetings.  The provision of advice and services to the Beijing and Marrakesh Diplomatic Conferences, including in the lead up to the meetings, was effectively managed.  The continued provision of timely and effective legal advice associated with the </w:t>
      </w:r>
      <w:r w:rsidR="0097619F">
        <w:rPr>
          <w:rFonts w:eastAsia="SimSun" w:cs="Arial"/>
          <w:szCs w:val="20"/>
          <w:lang w:eastAsia="zh-CN"/>
        </w:rPr>
        <w:t>N</w:t>
      </w:r>
      <w:r w:rsidR="0097619F" w:rsidRPr="00DC68DB">
        <w:rPr>
          <w:rFonts w:eastAsia="SimSun" w:cs="Arial"/>
          <w:szCs w:val="20"/>
          <w:lang w:eastAsia="zh-CN"/>
        </w:rPr>
        <w:t xml:space="preserve">ew </w:t>
      </w:r>
      <w:r w:rsidR="0097619F">
        <w:rPr>
          <w:rFonts w:eastAsia="SimSun" w:cs="Arial"/>
          <w:szCs w:val="20"/>
          <w:lang w:eastAsia="zh-CN"/>
        </w:rPr>
        <w:t>C</w:t>
      </w:r>
      <w:r w:rsidRPr="00DC68DB">
        <w:rPr>
          <w:rFonts w:eastAsia="SimSun" w:cs="Arial"/>
          <w:szCs w:val="20"/>
          <w:lang w:eastAsia="zh-CN"/>
        </w:rPr>
        <w:t xml:space="preserve">onference </w:t>
      </w:r>
      <w:r w:rsidR="0097619F">
        <w:rPr>
          <w:rFonts w:eastAsia="SimSun" w:cs="Arial"/>
          <w:szCs w:val="20"/>
          <w:lang w:eastAsia="zh-CN"/>
        </w:rPr>
        <w:t>H</w:t>
      </w:r>
      <w:r w:rsidR="0097619F" w:rsidRPr="00DC68DB">
        <w:rPr>
          <w:rFonts w:eastAsia="SimSun" w:cs="Arial"/>
          <w:szCs w:val="20"/>
          <w:lang w:eastAsia="zh-CN"/>
        </w:rPr>
        <w:t xml:space="preserve">all </w:t>
      </w:r>
      <w:r w:rsidRPr="00DC68DB">
        <w:rPr>
          <w:rFonts w:eastAsia="SimSun" w:cs="Arial"/>
          <w:szCs w:val="20"/>
          <w:lang w:eastAsia="zh-CN"/>
        </w:rPr>
        <w:t>also contributed to the good progress of the project within an adequate quality framework.</w:t>
      </w:r>
    </w:p>
    <w:p w:rsidR="000B5438" w:rsidRPr="00DC68DB" w:rsidRDefault="000B5438" w:rsidP="000B5438">
      <w:pPr>
        <w:autoSpaceDE w:val="0"/>
        <w:autoSpaceDN w:val="0"/>
        <w:adjustRightInd w:val="0"/>
        <w:jc w:val="both"/>
        <w:rPr>
          <w:rFonts w:eastAsia="SimSun" w:cs="Arial"/>
          <w:szCs w:val="20"/>
          <w:lang w:eastAsia="zh-CN"/>
        </w:rPr>
      </w:pPr>
    </w:p>
    <w:p w:rsidR="000B5438" w:rsidRPr="00DC68DB" w:rsidRDefault="000B5438" w:rsidP="005703CF">
      <w:pPr>
        <w:numPr>
          <w:ilvl w:val="0"/>
          <w:numId w:val="55"/>
        </w:numPr>
        <w:jc w:val="both"/>
        <w:rPr>
          <w:rFonts w:eastAsia="SimSun" w:cs="Arial"/>
          <w:szCs w:val="20"/>
          <w:lang w:eastAsia="zh-CN"/>
        </w:rPr>
      </w:pPr>
      <w:r w:rsidRPr="00DC68DB">
        <w:rPr>
          <w:rFonts w:eastAsia="SimSun" w:cs="Arial"/>
          <w:szCs w:val="20"/>
          <w:lang w:eastAsia="zh-CN"/>
        </w:rPr>
        <w:t xml:space="preserve">WIPO continued to </w:t>
      </w:r>
      <w:r>
        <w:rPr>
          <w:rFonts w:eastAsia="SimSun" w:cs="Arial"/>
          <w:szCs w:val="20"/>
          <w:lang w:eastAsia="zh-CN"/>
        </w:rPr>
        <w:t>engage</w:t>
      </w:r>
      <w:r w:rsidRPr="00DC68DB">
        <w:rPr>
          <w:rFonts w:eastAsia="SimSun" w:cs="Arial"/>
          <w:szCs w:val="20"/>
          <w:lang w:eastAsia="zh-CN"/>
        </w:rPr>
        <w:t xml:space="preserve"> actively </w:t>
      </w:r>
      <w:r>
        <w:rPr>
          <w:rFonts w:eastAsia="SimSun" w:cs="Arial"/>
          <w:szCs w:val="20"/>
          <w:lang w:eastAsia="zh-CN"/>
        </w:rPr>
        <w:t>with</w:t>
      </w:r>
      <w:r w:rsidRPr="00DC68DB">
        <w:rPr>
          <w:rFonts w:eastAsia="SimSun" w:cs="Arial"/>
          <w:szCs w:val="20"/>
          <w:lang w:eastAsia="zh-CN"/>
        </w:rPr>
        <w:t xml:space="preserve"> the UN system, including in the CEB and in its two committees – the High Level Committee on Management (HLCM) and the High Level Committee on Programmes (HLCP). </w:t>
      </w:r>
      <w:r w:rsidR="00ED2665">
        <w:rPr>
          <w:rFonts w:eastAsia="SimSun" w:cs="Arial"/>
          <w:szCs w:val="20"/>
          <w:lang w:eastAsia="zh-CN"/>
        </w:rPr>
        <w:t xml:space="preserve"> </w:t>
      </w:r>
      <w:r w:rsidRPr="00DC68DB">
        <w:rPr>
          <w:rFonts w:eastAsia="SimSun" w:cs="Arial"/>
          <w:szCs w:val="20"/>
          <w:lang w:eastAsia="zh-CN"/>
        </w:rPr>
        <w:t xml:space="preserve">The Director General is the current HLCM Chair (since September 2012). </w:t>
      </w:r>
      <w:r w:rsidR="00ED2665">
        <w:rPr>
          <w:rFonts w:eastAsia="SimSun" w:cs="Arial"/>
          <w:szCs w:val="20"/>
          <w:lang w:eastAsia="zh-CN"/>
        </w:rPr>
        <w:t xml:space="preserve"> </w:t>
      </w:r>
      <w:r w:rsidRPr="00DC68DB">
        <w:rPr>
          <w:rFonts w:eastAsia="SimSun" w:cs="Arial"/>
          <w:szCs w:val="20"/>
          <w:lang w:eastAsia="zh-CN"/>
        </w:rPr>
        <w:t>WIPO is actively collaborating with other UN bodies in contributing substantively on issues dealt with by the CEB, in particular the post-2015 development agenda.</w:t>
      </w:r>
    </w:p>
    <w:p w:rsidR="000B5438" w:rsidRPr="00DC68DB" w:rsidRDefault="000B5438" w:rsidP="000B5438">
      <w:pPr>
        <w:autoSpaceDE w:val="0"/>
        <w:autoSpaceDN w:val="0"/>
        <w:adjustRightInd w:val="0"/>
        <w:jc w:val="both"/>
        <w:rPr>
          <w:rFonts w:eastAsia="SimSun" w:cs="Arial"/>
          <w:szCs w:val="20"/>
          <w:lang w:eastAsia="zh-CN"/>
        </w:rPr>
      </w:pPr>
    </w:p>
    <w:p w:rsidR="000B5438" w:rsidRPr="00DC68DB" w:rsidRDefault="000B5438" w:rsidP="005703CF">
      <w:pPr>
        <w:numPr>
          <w:ilvl w:val="0"/>
          <w:numId w:val="55"/>
        </w:numPr>
        <w:autoSpaceDE w:val="0"/>
        <w:autoSpaceDN w:val="0"/>
        <w:adjustRightInd w:val="0"/>
        <w:jc w:val="both"/>
        <w:rPr>
          <w:rFonts w:eastAsia="SimSun" w:cs="Arial"/>
          <w:szCs w:val="20"/>
          <w:lang w:eastAsia="zh-CN"/>
        </w:rPr>
      </w:pPr>
      <w:r w:rsidRPr="00DC68DB">
        <w:rPr>
          <w:rFonts w:eastAsia="SimSun" w:cs="Arial"/>
          <w:szCs w:val="20"/>
          <w:lang w:eastAsia="zh-CN"/>
        </w:rPr>
        <w:t xml:space="preserve">Substantial results were achieved in delivering on the Director General’s commitment to establish a comprehensive ethics and integrity system at WIPO.  Two key elements of the ethics and integrity framework were put in place during the biennium following extensive internal consultations.  The WIPO Code of Ethics provides a common platform of guiding principles and values expected to be observed by WIPO staff in the conduct of their functions.  The WIPO Whistleblower Protection Policy articulates the value the Organization places on the participation of WIPO staff members in the Organization’s oversight activities and the protection afforded </w:t>
      </w:r>
      <w:r>
        <w:rPr>
          <w:rFonts w:eastAsia="SimSun" w:cs="Arial"/>
          <w:szCs w:val="20"/>
          <w:lang w:eastAsia="zh-CN"/>
        </w:rPr>
        <w:t>to</w:t>
      </w:r>
      <w:r w:rsidRPr="00DC68DB">
        <w:rPr>
          <w:rFonts w:eastAsia="SimSun" w:cs="Arial"/>
          <w:szCs w:val="20"/>
          <w:lang w:eastAsia="zh-CN"/>
        </w:rPr>
        <w:t xml:space="preserve"> staff encountering retaliation linked to such participation.  In addition, a comprehensive </w:t>
      </w:r>
      <w:r>
        <w:rPr>
          <w:rFonts w:eastAsia="SimSun" w:cs="Arial"/>
          <w:szCs w:val="20"/>
          <w:lang w:eastAsia="zh-CN"/>
        </w:rPr>
        <w:t xml:space="preserve">mandatory </w:t>
      </w:r>
      <w:r w:rsidRPr="00DC68DB">
        <w:rPr>
          <w:rFonts w:eastAsia="SimSun" w:cs="Arial"/>
          <w:szCs w:val="20"/>
          <w:lang w:eastAsia="zh-CN"/>
        </w:rPr>
        <w:t>training program was launched and completed</w:t>
      </w:r>
      <w:r>
        <w:rPr>
          <w:rFonts w:eastAsia="SimSun" w:cs="Arial"/>
          <w:szCs w:val="20"/>
          <w:lang w:eastAsia="zh-CN"/>
        </w:rPr>
        <w:t xml:space="preserve"> during the biennium.</w:t>
      </w:r>
      <w:r w:rsidRPr="00DC68DB">
        <w:rPr>
          <w:rFonts w:eastAsia="SimSun" w:cs="Arial"/>
          <w:szCs w:val="20"/>
          <w:lang w:eastAsia="zh-CN"/>
        </w:rPr>
        <w:t xml:space="preserve"> </w:t>
      </w:r>
      <w:r w:rsidR="00ED2665">
        <w:rPr>
          <w:rFonts w:eastAsia="SimSun" w:cs="Arial"/>
          <w:szCs w:val="20"/>
          <w:lang w:eastAsia="zh-CN"/>
        </w:rPr>
        <w:t xml:space="preserve"> </w:t>
      </w:r>
      <w:r>
        <w:rPr>
          <w:rFonts w:eastAsia="SimSun" w:cs="Arial"/>
          <w:szCs w:val="20"/>
          <w:lang w:eastAsia="zh-CN"/>
        </w:rPr>
        <w:t xml:space="preserve">The </w:t>
      </w:r>
      <w:r w:rsidRPr="00DC68DB">
        <w:rPr>
          <w:rFonts w:eastAsia="SimSun" w:cs="Arial"/>
          <w:szCs w:val="20"/>
          <w:lang w:eastAsia="zh-CN"/>
        </w:rPr>
        <w:t>feedback from staff surveys demonstrated high levels of awareness of ethics principles and the procedures for reporting misconduct</w:t>
      </w:r>
      <w:r>
        <w:rPr>
          <w:rFonts w:eastAsia="SimSun" w:cs="Arial"/>
          <w:szCs w:val="20"/>
          <w:lang w:eastAsia="zh-CN"/>
        </w:rPr>
        <w:t xml:space="preserve">. </w:t>
      </w:r>
      <w:r w:rsidR="00ED2665">
        <w:rPr>
          <w:rFonts w:eastAsia="SimSun" w:cs="Arial"/>
          <w:szCs w:val="20"/>
          <w:lang w:eastAsia="zh-CN"/>
        </w:rPr>
        <w:t xml:space="preserve"> </w:t>
      </w:r>
      <w:r>
        <w:rPr>
          <w:rFonts w:eastAsia="SimSun" w:cs="Arial"/>
          <w:szCs w:val="20"/>
          <w:lang w:eastAsia="zh-CN"/>
        </w:rPr>
        <w:t xml:space="preserve">An </w:t>
      </w:r>
      <w:r w:rsidRPr="00DC68DB">
        <w:rPr>
          <w:rFonts w:eastAsia="SimSun" w:cs="Arial"/>
          <w:szCs w:val="20"/>
          <w:lang w:eastAsia="zh-CN"/>
        </w:rPr>
        <w:t xml:space="preserve">increasing number of staff at all levels </w:t>
      </w:r>
      <w:r>
        <w:rPr>
          <w:rFonts w:eastAsia="SimSun" w:cs="Arial"/>
          <w:szCs w:val="20"/>
          <w:lang w:eastAsia="zh-CN"/>
        </w:rPr>
        <w:t xml:space="preserve">was also </w:t>
      </w:r>
      <w:r w:rsidRPr="00DC68DB">
        <w:rPr>
          <w:rFonts w:eastAsia="SimSun" w:cs="Arial"/>
          <w:szCs w:val="20"/>
          <w:lang w:eastAsia="zh-CN"/>
        </w:rPr>
        <w:t>making use of the advisory services of the Ethics Office</w:t>
      </w:r>
      <w:r>
        <w:rPr>
          <w:rFonts w:eastAsia="SimSun" w:cs="Arial"/>
          <w:szCs w:val="20"/>
          <w:lang w:eastAsia="zh-CN"/>
        </w:rPr>
        <w:t xml:space="preserve">. </w:t>
      </w:r>
      <w:r w:rsidR="00ED2665">
        <w:rPr>
          <w:rFonts w:eastAsia="SimSun" w:cs="Arial"/>
          <w:szCs w:val="20"/>
          <w:lang w:eastAsia="zh-CN"/>
        </w:rPr>
        <w:t xml:space="preserve"> </w:t>
      </w:r>
      <w:r>
        <w:rPr>
          <w:rFonts w:eastAsia="SimSun" w:cs="Arial"/>
          <w:szCs w:val="20"/>
          <w:lang w:eastAsia="zh-CN"/>
        </w:rPr>
        <w:t xml:space="preserve">This </w:t>
      </w:r>
      <w:r w:rsidRPr="00DC68DB">
        <w:rPr>
          <w:rFonts w:eastAsia="SimSun" w:cs="Arial"/>
          <w:szCs w:val="20"/>
          <w:lang w:eastAsia="zh-CN"/>
        </w:rPr>
        <w:t>was a welcome indication of an increased awareness of</w:t>
      </w:r>
      <w:r>
        <w:rPr>
          <w:rFonts w:eastAsia="SimSun" w:cs="Arial"/>
          <w:szCs w:val="20"/>
          <w:lang w:eastAsia="zh-CN"/>
        </w:rPr>
        <w:t>,</w:t>
      </w:r>
      <w:r w:rsidRPr="00DC68DB">
        <w:rPr>
          <w:rFonts w:eastAsia="SimSun" w:cs="Arial"/>
          <w:szCs w:val="20"/>
          <w:lang w:eastAsia="zh-CN"/>
        </w:rPr>
        <w:t xml:space="preserve"> and commitment to</w:t>
      </w:r>
      <w:r>
        <w:rPr>
          <w:rFonts w:eastAsia="SimSun" w:cs="Arial"/>
          <w:szCs w:val="20"/>
          <w:lang w:eastAsia="zh-CN"/>
        </w:rPr>
        <w:t>,</w:t>
      </w:r>
      <w:r w:rsidRPr="00DC68DB">
        <w:rPr>
          <w:rFonts w:eastAsia="SimSun" w:cs="Arial"/>
          <w:szCs w:val="20"/>
          <w:lang w:eastAsia="zh-CN"/>
        </w:rPr>
        <w:t xml:space="preserve"> observing ethics principles in the Organization.</w:t>
      </w:r>
    </w:p>
    <w:p w:rsidR="000B5438" w:rsidRPr="00DC68DB" w:rsidRDefault="000B5438" w:rsidP="000B5438">
      <w:pPr>
        <w:jc w:val="both"/>
        <w:rPr>
          <w:rFonts w:eastAsia="SimSun" w:cs="Arial"/>
          <w:szCs w:val="20"/>
          <w:lang w:eastAsia="zh-CN"/>
        </w:rPr>
      </w:pPr>
    </w:p>
    <w:p w:rsidR="000B5438" w:rsidRPr="00DC68DB" w:rsidRDefault="000B5438" w:rsidP="005703CF">
      <w:pPr>
        <w:numPr>
          <w:ilvl w:val="0"/>
          <w:numId w:val="55"/>
        </w:numPr>
        <w:autoSpaceDE w:val="0"/>
        <w:autoSpaceDN w:val="0"/>
        <w:adjustRightInd w:val="0"/>
        <w:jc w:val="both"/>
        <w:rPr>
          <w:rFonts w:eastAsia="SimSun" w:cs="Arial"/>
          <w:szCs w:val="20"/>
          <w:lang w:eastAsia="zh-CN"/>
        </w:rPr>
      </w:pPr>
      <w:r w:rsidRPr="00DC68DB">
        <w:rPr>
          <w:rFonts w:eastAsia="SimSun" w:cs="Arial"/>
          <w:szCs w:val="20"/>
          <w:lang w:eastAsia="zh-CN"/>
        </w:rPr>
        <w:t>During the biennium, the Ombuds</w:t>
      </w:r>
      <w:r>
        <w:rPr>
          <w:rFonts w:eastAsia="SimSun" w:cs="Arial"/>
          <w:szCs w:val="20"/>
          <w:lang w:eastAsia="zh-CN"/>
        </w:rPr>
        <w:t>-</w:t>
      </w:r>
      <w:r w:rsidRPr="00DC68DB">
        <w:rPr>
          <w:rFonts w:eastAsia="SimSun" w:cs="Arial"/>
          <w:szCs w:val="20"/>
          <w:lang w:eastAsia="zh-CN"/>
        </w:rPr>
        <w:t>Office became an established part of WIPO’s accountability and integrity framework.  The Office continued to actively promote an alternative approach towards workplace conflict, conducting regular outreach to staff and providing coaching and mediation services towards finding amicable and sustainable solutions.  The visitor statistics over the period point to a steady and positive trend in the staff’s uptake of informal conflict resolution through the Ombuds-Office.</w:t>
      </w:r>
    </w:p>
    <w:p w:rsidR="000B5438" w:rsidRPr="00DC68DB" w:rsidRDefault="000B5438" w:rsidP="000B5438">
      <w:pPr>
        <w:jc w:val="both"/>
        <w:rPr>
          <w:rFonts w:eastAsia="SimSun" w:cs="Arial"/>
          <w:szCs w:val="20"/>
          <w:lang w:eastAsia="zh-CN"/>
        </w:rPr>
      </w:pPr>
    </w:p>
    <w:p w:rsidR="000B5438" w:rsidRPr="00B31496" w:rsidRDefault="000B5438" w:rsidP="000B5438">
      <w:pPr>
        <w:autoSpaceDE w:val="0"/>
        <w:autoSpaceDN w:val="0"/>
        <w:adjustRightInd w:val="0"/>
        <w:jc w:val="both"/>
        <w:rPr>
          <w:rFonts w:eastAsia="SimSun" w:cs="Arial"/>
          <w:szCs w:val="20"/>
          <w:lang w:eastAsia="zh-CN"/>
        </w:rPr>
      </w:pPr>
      <w:r w:rsidRPr="00B31496">
        <w:rPr>
          <w:rFonts w:eastAsia="SimSun" w:cs="Arial"/>
          <w:szCs w:val="20"/>
          <w:lang w:eastAsia="zh-CN"/>
        </w:rPr>
        <w:t>IMPLEMENTATION OF THE DEVELOPMENT AGENDA</w:t>
      </w:r>
    </w:p>
    <w:p w:rsidR="000B5438" w:rsidRPr="00B31496" w:rsidRDefault="000B5438" w:rsidP="000B5438">
      <w:pPr>
        <w:autoSpaceDE w:val="0"/>
        <w:autoSpaceDN w:val="0"/>
        <w:adjustRightInd w:val="0"/>
        <w:jc w:val="both"/>
        <w:rPr>
          <w:rFonts w:eastAsia="SimSun" w:cs="Arial"/>
          <w:szCs w:val="20"/>
          <w:lang w:eastAsia="zh-CN"/>
        </w:rPr>
      </w:pPr>
    </w:p>
    <w:p w:rsidR="000B5438" w:rsidRPr="005170DA" w:rsidRDefault="000B5438" w:rsidP="000B5438">
      <w:pPr>
        <w:tabs>
          <w:tab w:val="left" w:pos="709"/>
        </w:tabs>
        <w:jc w:val="both"/>
        <w:rPr>
          <w:rFonts w:eastAsia="MS Mincho" w:cs="Arial"/>
          <w:sz w:val="22"/>
          <w:szCs w:val="22"/>
          <w:lang w:eastAsia="ja-JP" w:bidi="th-TH"/>
        </w:rPr>
      </w:pPr>
      <w:r>
        <w:rPr>
          <w:rFonts w:eastAsia="SimSun" w:cs="Arial"/>
          <w:szCs w:val="20"/>
          <w:lang w:eastAsia="zh-CN"/>
        </w:rPr>
        <w:t>21.10.</w:t>
      </w:r>
      <w:r>
        <w:rPr>
          <w:rFonts w:eastAsia="SimSun" w:cs="Arial"/>
          <w:szCs w:val="20"/>
          <w:lang w:eastAsia="zh-CN"/>
        </w:rPr>
        <w:tab/>
      </w:r>
      <w:r w:rsidRPr="00B31496">
        <w:rPr>
          <w:rFonts w:eastAsia="SimSun" w:cs="Arial"/>
          <w:szCs w:val="20"/>
          <w:lang w:eastAsia="zh-CN"/>
        </w:rPr>
        <w:t xml:space="preserve">Program 21, which includes the work of the Office of the Director General, plays a key role in providing the overall strategic guidance and oversight to facilitate the mainstreaming and implementation of the WIPO Development Agenda by all relevant Sectors within WIPO. </w:t>
      </w:r>
      <w:r w:rsidR="00ED2665">
        <w:rPr>
          <w:rFonts w:eastAsia="SimSun" w:cs="Arial"/>
          <w:szCs w:val="20"/>
          <w:lang w:eastAsia="zh-CN"/>
        </w:rPr>
        <w:t xml:space="preserve"> </w:t>
      </w:r>
      <w:r w:rsidRPr="00B31496">
        <w:rPr>
          <w:rFonts w:eastAsia="SimSun" w:cs="Arial"/>
          <w:szCs w:val="20"/>
          <w:lang w:eastAsia="zh-CN"/>
        </w:rPr>
        <w:t>In order to implement the DA Recommendation 6, a WIPO Ethics Office was established and a Code of Ethics issued following consultations with the WIPO Staff Council and all staff.  This Recommendation began to be mainstreamed into WIPO activities in 2013, following the conclusion of the Strategic Realignment Program (SRP).  One of the highlights of the activities of the Ethics Office in 2013 relates to the comprehensive ethics and integrity training program which was initiated in 2012 and completed in 2013.</w:t>
      </w:r>
      <w:r w:rsidRPr="00B31496" w:rsidDel="00341055">
        <w:rPr>
          <w:rFonts w:eastAsia="SimSun" w:cs="Arial"/>
          <w:szCs w:val="20"/>
          <w:lang w:eastAsia="zh-CN"/>
        </w:rPr>
        <w:t xml:space="preserve"> </w:t>
      </w:r>
    </w:p>
    <w:p w:rsidR="000B5438" w:rsidRDefault="000B5438" w:rsidP="000B5438">
      <w:pPr>
        <w:rPr>
          <w:rFonts w:eastAsia="MS Mincho" w:cs="Arial"/>
          <w:sz w:val="22"/>
          <w:szCs w:val="22"/>
          <w:lang w:eastAsia="ja-JP" w:bidi="th-TH"/>
        </w:rPr>
      </w:pPr>
    </w:p>
    <w:p w:rsidR="000B5438" w:rsidRPr="005170DA" w:rsidRDefault="000B5438" w:rsidP="000B5438">
      <w:pPr>
        <w:rPr>
          <w:rFonts w:eastAsia="MS Mincho" w:cs="Arial"/>
          <w:sz w:val="22"/>
          <w:szCs w:val="22"/>
          <w:lang w:eastAsia="ja-JP" w:bidi="th-TH"/>
        </w:rPr>
      </w:pPr>
    </w:p>
    <w:p w:rsidR="000B5438" w:rsidRPr="005170DA" w:rsidRDefault="000B5438" w:rsidP="000B5438">
      <w:pPr>
        <w:rPr>
          <w:rFonts w:cs="Arial"/>
          <w:sz w:val="22"/>
          <w:szCs w:val="22"/>
        </w:rPr>
      </w:pPr>
      <w:r w:rsidRPr="005170DA">
        <w:rPr>
          <w:rFonts w:cs="Arial"/>
          <w:sz w:val="22"/>
          <w:szCs w:val="22"/>
        </w:rPr>
        <w:t>PERFORMANCE DATA</w:t>
      </w:r>
    </w:p>
    <w:p w:rsidR="000B5438" w:rsidRPr="005170DA" w:rsidRDefault="000B5438" w:rsidP="000B5438">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76"/>
        <w:gridCol w:w="1710"/>
        <w:gridCol w:w="1561"/>
        <w:gridCol w:w="3397"/>
        <w:gridCol w:w="1213"/>
      </w:tblGrid>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628E3">
              <w:rPr>
                <w:rFonts w:cs="Arial"/>
                <w:color w:val="000000"/>
                <w:sz w:val="16"/>
                <w:szCs w:val="16"/>
              </w:rPr>
              <w:t>Effective engagement with Member States</w:t>
            </w:r>
          </w:p>
        </w:tc>
      </w:tr>
      <w:tr w:rsidR="000B5438" w:rsidRPr="00567588" w:rsidTr="000B2E9F">
        <w:trPr>
          <w:cantSplit/>
        </w:trPr>
        <w:tc>
          <w:tcPr>
            <w:tcW w:w="789" w:type="pct"/>
            <w:tcBorders>
              <w:top w:val="single" w:sz="4" w:space="0" w:color="auto"/>
            </w:tcBorders>
            <w:shd w:val="clear" w:color="auto" w:fill="auto"/>
            <w:vAlign w:val="center"/>
          </w:tcPr>
          <w:p w:rsidR="000B5438" w:rsidRPr="00567588" w:rsidRDefault="000B5438" w:rsidP="007C0423">
            <w:pPr>
              <w:rPr>
                <w:rFonts w:cs="Arial"/>
                <w:sz w:val="16"/>
                <w:szCs w:val="16"/>
              </w:rPr>
            </w:pPr>
            <w:r w:rsidRPr="00567588">
              <w:rPr>
                <w:rFonts w:cs="Arial"/>
                <w:b/>
                <w:bCs/>
                <w:sz w:val="16"/>
                <w:szCs w:val="16"/>
              </w:rPr>
              <w:t>Performance Indicators</w:t>
            </w:r>
          </w:p>
        </w:tc>
        <w:tc>
          <w:tcPr>
            <w:tcW w:w="914" w:type="pct"/>
            <w:tcBorders>
              <w:top w:val="single" w:sz="4" w:space="0" w:color="auto"/>
            </w:tcBorders>
            <w:shd w:val="clear" w:color="auto" w:fill="auto"/>
            <w:vAlign w:val="center"/>
          </w:tcPr>
          <w:p w:rsidR="000B5438" w:rsidRPr="00567588" w:rsidRDefault="000B5438" w:rsidP="007C0423">
            <w:pPr>
              <w:rPr>
                <w:rFonts w:cs="Arial"/>
                <w:b/>
                <w:bCs/>
                <w:sz w:val="16"/>
                <w:szCs w:val="16"/>
              </w:rPr>
            </w:pPr>
            <w:r w:rsidRPr="0027745B">
              <w:rPr>
                <w:rFonts w:cs="Arial"/>
                <w:b/>
                <w:bCs/>
                <w:sz w:val="16"/>
                <w:szCs w:val="16"/>
              </w:rPr>
              <w:t>Baselines</w:t>
            </w:r>
          </w:p>
        </w:tc>
        <w:tc>
          <w:tcPr>
            <w:tcW w:w="834" w:type="pct"/>
            <w:tcBorders>
              <w:top w:val="single" w:sz="4" w:space="0" w:color="auto"/>
            </w:tcBorders>
            <w:shd w:val="clear" w:color="auto" w:fill="auto"/>
            <w:tcMar>
              <w:top w:w="110" w:type="dxa"/>
            </w:tcMar>
            <w:vAlign w:val="center"/>
          </w:tcPr>
          <w:p w:rsidR="000B5438" w:rsidRPr="0027745B" w:rsidRDefault="000B5438" w:rsidP="007C0423">
            <w:pPr>
              <w:rPr>
                <w:rFonts w:cs="Arial"/>
                <w:b/>
                <w:sz w:val="16"/>
                <w:szCs w:val="16"/>
              </w:rPr>
            </w:pPr>
            <w:r w:rsidRPr="0027745B">
              <w:rPr>
                <w:rFonts w:cs="Arial"/>
                <w:b/>
                <w:sz w:val="16"/>
                <w:szCs w:val="16"/>
              </w:rPr>
              <w:t>Target</w:t>
            </w:r>
            <w:r w:rsidR="002F7D53">
              <w:rPr>
                <w:rFonts w:cs="Arial"/>
                <w:b/>
                <w:sz w:val="16"/>
                <w:szCs w:val="16"/>
              </w:rPr>
              <w:t>s</w:t>
            </w:r>
          </w:p>
        </w:tc>
        <w:tc>
          <w:tcPr>
            <w:tcW w:w="1815" w:type="pct"/>
            <w:tcBorders>
              <w:top w:val="single" w:sz="4" w:space="0" w:color="auto"/>
            </w:tcBorders>
            <w:shd w:val="clear" w:color="auto" w:fill="FFFFFF"/>
            <w:tcMar>
              <w:top w:w="110" w:type="dxa"/>
            </w:tcMar>
            <w:vAlign w:val="center"/>
          </w:tcPr>
          <w:p w:rsidR="000B5438" w:rsidRPr="00567588" w:rsidRDefault="000B5438" w:rsidP="007C0423">
            <w:pPr>
              <w:rPr>
                <w:rFonts w:cs="Arial"/>
                <w:sz w:val="16"/>
                <w:szCs w:val="16"/>
              </w:rPr>
            </w:pPr>
            <w:r w:rsidRPr="00567588">
              <w:rPr>
                <w:rFonts w:cs="Arial"/>
                <w:b/>
                <w:bCs/>
                <w:sz w:val="16"/>
                <w:szCs w:val="16"/>
              </w:rPr>
              <w:t>Performance Data</w:t>
            </w:r>
          </w:p>
        </w:tc>
        <w:tc>
          <w:tcPr>
            <w:tcW w:w="648" w:type="pct"/>
            <w:tcBorders>
              <w:top w:val="single" w:sz="4" w:space="0" w:color="auto"/>
            </w:tcBorders>
            <w:shd w:val="clear" w:color="auto" w:fill="auto"/>
            <w:tcMar>
              <w:top w:w="110" w:type="dxa"/>
            </w:tcMar>
            <w:vAlign w:val="center"/>
          </w:tcPr>
          <w:p w:rsidR="000B5438" w:rsidRPr="0027745B" w:rsidRDefault="000B5438" w:rsidP="007C0423">
            <w:pPr>
              <w:keepNext/>
              <w:keepLines/>
              <w:jc w:val="center"/>
              <w:rPr>
                <w:rFonts w:cs="Arial"/>
                <w:b/>
                <w:bCs/>
                <w:sz w:val="16"/>
                <w:szCs w:val="16"/>
              </w:rPr>
            </w:pPr>
            <w:r w:rsidRPr="00567588">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 of Committee Meetings for which pre-Committee information meetings for M</w:t>
            </w:r>
            <w:r>
              <w:rPr>
                <w:rFonts w:cs="Arial"/>
                <w:color w:val="000000"/>
                <w:sz w:val="16"/>
                <w:szCs w:val="16"/>
              </w:rPr>
              <w:t xml:space="preserve">ember </w:t>
            </w:r>
            <w:r w:rsidRPr="003628E3">
              <w:rPr>
                <w:rFonts w:cs="Arial"/>
                <w:color w:val="000000"/>
                <w:sz w:val="16"/>
                <w:szCs w:val="16"/>
              </w:rPr>
              <w:t>S</w:t>
            </w:r>
            <w:r>
              <w:rPr>
                <w:rFonts w:cs="Arial"/>
                <w:color w:val="000000"/>
                <w:sz w:val="16"/>
                <w:szCs w:val="16"/>
              </w:rPr>
              <w:t>tates</w:t>
            </w:r>
            <w:r w:rsidRPr="003628E3">
              <w:rPr>
                <w:rFonts w:cs="Arial"/>
                <w:color w:val="000000"/>
                <w:sz w:val="16"/>
                <w:szCs w:val="16"/>
              </w:rPr>
              <w:t xml:space="preserve"> are held</w:t>
            </w:r>
          </w:p>
        </w:tc>
        <w:tc>
          <w:tcPr>
            <w:tcW w:w="914" w:type="pct"/>
            <w:shd w:val="clear" w:color="auto" w:fill="auto"/>
          </w:tcPr>
          <w:p w:rsidR="000B5438" w:rsidRPr="0027745B" w:rsidRDefault="000B5438" w:rsidP="007C0423">
            <w:pPr>
              <w:rPr>
                <w:rFonts w:cs="Arial"/>
                <w:i/>
                <w:color w:val="002060"/>
                <w:sz w:val="16"/>
                <w:szCs w:val="16"/>
              </w:rPr>
            </w:pPr>
            <w:r w:rsidRPr="0027745B">
              <w:rPr>
                <w:rFonts w:cs="Arial"/>
                <w:i/>
                <w:color w:val="002060"/>
                <w:sz w:val="16"/>
                <w:szCs w:val="16"/>
              </w:rPr>
              <w:t xml:space="preserve">Updated Baseline end 2011:  </w:t>
            </w:r>
          </w:p>
          <w:p w:rsidR="000B5438" w:rsidRPr="0027745B" w:rsidRDefault="000B5438" w:rsidP="007C0423">
            <w:pPr>
              <w:rPr>
                <w:rFonts w:cs="Arial"/>
                <w:color w:val="002060"/>
                <w:sz w:val="16"/>
                <w:szCs w:val="16"/>
              </w:rPr>
            </w:pPr>
            <w:r w:rsidRPr="0027745B">
              <w:rPr>
                <w:rFonts w:cs="Arial"/>
                <w:color w:val="002060"/>
                <w:sz w:val="16"/>
                <w:szCs w:val="16"/>
              </w:rPr>
              <w:t>No. of information meetings before committee meetings in 2011: 80%</w:t>
            </w:r>
          </w:p>
          <w:p w:rsidR="000B5438" w:rsidRPr="0024474C" w:rsidRDefault="000B5438" w:rsidP="007C0423">
            <w:pPr>
              <w:rPr>
                <w:rFonts w:cs="Arial"/>
                <w:i/>
                <w:sz w:val="8"/>
                <w:szCs w:val="8"/>
              </w:rPr>
            </w:pPr>
          </w:p>
          <w:p w:rsidR="000B5438" w:rsidRPr="003628E3" w:rsidRDefault="000B5438" w:rsidP="007C0423">
            <w:pPr>
              <w:rPr>
                <w:rFonts w:cs="Arial"/>
                <w:color w:val="000000"/>
                <w:sz w:val="16"/>
                <w:szCs w:val="16"/>
              </w:rPr>
            </w:pPr>
            <w:r w:rsidRPr="0027745B">
              <w:rPr>
                <w:rFonts w:cs="Arial"/>
                <w:i/>
                <w:sz w:val="16"/>
                <w:szCs w:val="16"/>
              </w:rPr>
              <w:t xml:space="preserve">Original Baseline P&amp;B 2012/13:  </w:t>
            </w:r>
            <w:r w:rsidRPr="0027745B">
              <w:rPr>
                <w:rFonts w:cs="Arial"/>
                <w:i/>
                <w:sz w:val="16"/>
                <w:szCs w:val="16"/>
              </w:rPr>
              <w:br/>
            </w:r>
            <w:r w:rsidRPr="0027745B">
              <w:rPr>
                <w:rFonts w:cs="Arial"/>
                <w:sz w:val="16"/>
                <w:szCs w:val="16"/>
              </w:rPr>
              <w:t>Tbd:  No. of information meetings before committee meetings in 2010/11</w:t>
            </w:r>
          </w:p>
        </w:tc>
        <w:tc>
          <w:tcPr>
            <w:tcW w:w="834" w:type="pct"/>
            <w:shd w:val="clear" w:color="auto" w:fill="auto"/>
            <w:tcMar>
              <w:top w:w="110" w:type="dxa"/>
            </w:tcMar>
          </w:tcPr>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90% of Committee</w:t>
            </w:r>
          </w:p>
          <w:p w:rsidR="000B5438" w:rsidRPr="0027745B" w:rsidRDefault="000B5438" w:rsidP="007C0423">
            <w:pPr>
              <w:rPr>
                <w:rFonts w:cs="Arial"/>
                <w:sz w:val="16"/>
                <w:szCs w:val="16"/>
                <w:lang w:bidi="th-TH"/>
              </w:rPr>
            </w:pPr>
            <w:r w:rsidRPr="00567588">
              <w:rPr>
                <w:rFonts w:ascii="ArialMT" w:hAnsi="ArialMT" w:cs="ArialMT"/>
                <w:sz w:val="16"/>
                <w:szCs w:val="16"/>
              </w:rPr>
              <w:t>Meetings</w:t>
            </w:r>
            <w:r w:rsidRPr="0027745B" w:rsidDel="00567588">
              <w:rPr>
                <w:rFonts w:cs="Arial"/>
                <w:sz w:val="16"/>
                <w:szCs w:val="16"/>
              </w:rPr>
              <w:t xml:space="preserve"> </w:t>
            </w:r>
          </w:p>
        </w:tc>
        <w:tc>
          <w:tcPr>
            <w:tcW w:w="1815" w:type="pct"/>
            <w:shd w:val="clear" w:color="auto" w:fill="FFFFFF"/>
            <w:tcMar>
              <w:top w:w="110" w:type="dxa"/>
            </w:tcMar>
          </w:tcPr>
          <w:p w:rsidR="000B5438" w:rsidRPr="00567588" w:rsidRDefault="000B5438" w:rsidP="007C0423">
            <w:pPr>
              <w:rPr>
                <w:rFonts w:cs="Arial"/>
                <w:sz w:val="16"/>
                <w:szCs w:val="16"/>
              </w:rPr>
            </w:pPr>
            <w:r w:rsidRPr="00567588">
              <w:rPr>
                <w:rFonts w:cs="Arial"/>
                <w:sz w:val="16"/>
                <w:szCs w:val="16"/>
              </w:rPr>
              <w:t>81% from a survey of secretaries of committees</w:t>
            </w:r>
            <w:r w:rsidR="00FB33D5">
              <w:rPr>
                <w:rFonts w:cs="Arial"/>
                <w:sz w:val="16"/>
                <w:szCs w:val="16"/>
              </w:rPr>
              <w:t>.</w:t>
            </w:r>
          </w:p>
        </w:tc>
        <w:tc>
          <w:tcPr>
            <w:tcW w:w="648" w:type="pct"/>
            <w:shd w:val="clear" w:color="auto" w:fill="auto"/>
            <w:tcMar>
              <w:top w:w="110" w:type="dxa"/>
            </w:tcMar>
          </w:tcPr>
          <w:p w:rsidR="000B5438" w:rsidRPr="00B202D2" w:rsidRDefault="000B5438" w:rsidP="007C0423">
            <w:pPr>
              <w:keepNext/>
              <w:keepLines/>
              <w:jc w:val="center"/>
              <w:rPr>
                <w:rFonts w:cs="Arial"/>
                <w:bCs/>
                <w:color w:val="808080"/>
                <w:sz w:val="16"/>
                <w:szCs w:val="16"/>
              </w:rPr>
            </w:pPr>
            <w:r w:rsidRPr="0027745B">
              <w:rPr>
                <w:rFonts w:cs="Arial"/>
                <w:bCs/>
                <w:color w:val="008000"/>
                <w:sz w:val="16"/>
                <w:szCs w:val="16"/>
              </w:rPr>
              <w:t>Fully</w:t>
            </w:r>
            <w:r w:rsidRPr="0027745B">
              <w:rPr>
                <w:rFonts w:cs="Arial"/>
                <w:bCs/>
                <w:color w:val="008000"/>
                <w:sz w:val="16"/>
                <w:szCs w:val="16"/>
              </w:rPr>
              <w:br/>
              <w:t>Achieved</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 of letters to the DG from Member States are responded to within 2 weeks</w:t>
            </w:r>
          </w:p>
        </w:tc>
        <w:tc>
          <w:tcPr>
            <w:tcW w:w="914" w:type="pct"/>
            <w:shd w:val="clear" w:color="auto" w:fill="auto"/>
          </w:tcPr>
          <w:p w:rsidR="000B5438" w:rsidRPr="000969AB" w:rsidRDefault="000B5438" w:rsidP="007C0423">
            <w:pPr>
              <w:rPr>
                <w:rFonts w:cs="Arial"/>
                <w:i/>
                <w:color w:val="002060"/>
                <w:sz w:val="16"/>
                <w:szCs w:val="16"/>
              </w:rPr>
            </w:pPr>
            <w:r w:rsidRPr="000969AB">
              <w:rPr>
                <w:rFonts w:cs="Arial"/>
                <w:i/>
                <w:color w:val="002060"/>
                <w:sz w:val="16"/>
                <w:szCs w:val="16"/>
              </w:rPr>
              <w:t xml:space="preserve">Updated Baseline end 2011:  </w:t>
            </w:r>
            <w:r w:rsidRPr="0027745B">
              <w:rPr>
                <w:rFonts w:cs="Arial"/>
                <w:color w:val="002060"/>
                <w:sz w:val="16"/>
                <w:szCs w:val="16"/>
                <w:lang w:bidi="th-TH"/>
              </w:rPr>
              <w:t>80%</w:t>
            </w:r>
          </w:p>
          <w:p w:rsidR="000B5438" w:rsidRPr="0024474C" w:rsidRDefault="000B5438" w:rsidP="007C0423">
            <w:pPr>
              <w:rPr>
                <w:rFonts w:cs="Arial"/>
                <w:i/>
                <w:color w:val="000000"/>
                <w:sz w:val="8"/>
                <w:szCs w:val="8"/>
              </w:rPr>
            </w:pPr>
          </w:p>
          <w:p w:rsidR="000B5438" w:rsidRPr="003628E3"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i/>
                <w:color w:val="000000"/>
                <w:sz w:val="16"/>
                <w:szCs w:val="16"/>
              </w:rPr>
              <w:br/>
            </w:r>
            <w:r w:rsidRPr="003628E3">
              <w:rPr>
                <w:rFonts w:cs="Arial"/>
                <w:color w:val="000000"/>
                <w:sz w:val="16"/>
                <w:szCs w:val="16"/>
              </w:rPr>
              <w:t>Tbd</w:t>
            </w:r>
          </w:p>
        </w:tc>
        <w:tc>
          <w:tcPr>
            <w:tcW w:w="834" w:type="pct"/>
            <w:shd w:val="clear" w:color="auto" w:fill="auto"/>
            <w:tcMar>
              <w:top w:w="110" w:type="dxa"/>
            </w:tcMar>
          </w:tcPr>
          <w:p w:rsidR="000B5438" w:rsidRPr="0027745B" w:rsidRDefault="000B5438" w:rsidP="007C0423">
            <w:pPr>
              <w:rPr>
                <w:rFonts w:cs="Arial"/>
                <w:sz w:val="16"/>
                <w:szCs w:val="16"/>
                <w:lang w:bidi="th-TH"/>
              </w:rPr>
            </w:pPr>
            <w:r w:rsidRPr="00567588">
              <w:rPr>
                <w:rFonts w:ascii="ArialMT" w:hAnsi="ArialMT" w:cs="ArialMT"/>
                <w:sz w:val="16"/>
                <w:szCs w:val="16"/>
              </w:rPr>
              <w:t>Average 80%</w:t>
            </w:r>
          </w:p>
        </w:tc>
        <w:tc>
          <w:tcPr>
            <w:tcW w:w="1815" w:type="pct"/>
            <w:shd w:val="clear" w:color="auto" w:fill="FFFFFF"/>
            <w:tcMar>
              <w:top w:w="110" w:type="dxa"/>
            </w:tcMar>
          </w:tcPr>
          <w:p w:rsidR="000B5438" w:rsidRPr="00567588" w:rsidRDefault="000B5438" w:rsidP="007C0423">
            <w:pPr>
              <w:rPr>
                <w:rFonts w:cs="Arial"/>
                <w:sz w:val="16"/>
                <w:szCs w:val="16"/>
              </w:rPr>
            </w:pPr>
            <w:r w:rsidRPr="00567588">
              <w:rPr>
                <w:rFonts w:cs="Arial"/>
                <w:sz w:val="16"/>
                <w:szCs w:val="16"/>
              </w:rPr>
              <w:t>81% from an assessment of incoming and outgoing correspondence</w:t>
            </w:r>
            <w:r w:rsidR="00FB33D5">
              <w:rPr>
                <w:rFonts w:cs="Arial"/>
                <w:sz w:val="16"/>
                <w:szCs w:val="16"/>
              </w:rPr>
              <w:t>.</w:t>
            </w:r>
          </w:p>
        </w:tc>
        <w:tc>
          <w:tcPr>
            <w:tcW w:w="648" w:type="pct"/>
            <w:shd w:val="clear" w:color="auto" w:fill="auto"/>
            <w:tcMar>
              <w:top w:w="110" w:type="dxa"/>
            </w:tcMar>
          </w:tcPr>
          <w:p w:rsidR="000B5438" w:rsidRPr="005E6AFC" w:rsidRDefault="000B5438" w:rsidP="007C0423">
            <w:pPr>
              <w:keepNext/>
              <w:keepLines/>
              <w:jc w:val="center"/>
              <w:rPr>
                <w:rFonts w:cs="Arial"/>
                <w:bCs/>
                <w:color w:val="808080"/>
                <w:sz w:val="16"/>
                <w:szCs w:val="16"/>
              </w:rPr>
            </w:pPr>
            <w:r w:rsidRPr="000969AB">
              <w:rPr>
                <w:rFonts w:cs="Arial"/>
                <w:bCs/>
                <w:color w:val="008000"/>
                <w:sz w:val="16"/>
                <w:szCs w:val="16"/>
              </w:rPr>
              <w:t>Fully</w:t>
            </w:r>
            <w:r w:rsidRPr="000969AB">
              <w:rPr>
                <w:rFonts w:cs="Arial"/>
                <w:bCs/>
                <w:color w:val="008000"/>
                <w:sz w:val="16"/>
                <w:szCs w:val="16"/>
              </w:rPr>
              <w:br/>
              <w:t>Achieved</w:t>
            </w:r>
            <w:r w:rsidDel="00B202D2">
              <w:rPr>
                <w:rStyle w:val="Style5"/>
                <w:rFonts w:cs="Arial"/>
                <w:sz w:val="16"/>
                <w:szCs w:val="16"/>
              </w:rPr>
              <w:t xml:space="preserve"> </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Member States satisfaction levels with the preparation and functioning of the Assemblies</w:t>
            </w:r>
            <w:r w:rsidR="0097619F">
              <w:rPr>
                <w:rFonts w:cs="Arial"/>
                <w:color w:val="000000"/>
                <w:sz w:val="16"/>
                <w:szCs w:val="16"/>
              </w:rPr>
              <w:br/>
            </w:r>
          </w:p>
        </w:tc>
        <w:tc>
          <w:tcPr>
            <w:tcW w:w="914" w:type="pct"/>
            <w:shd w:val="clear" w:color="auto" w:fill="auto"/>
          </w:tcPr>
          <w:p w:rsidR="000B5438" w:rsidRPr="003A0ED0" w:rsidRDefault="000B5438" w:rsidP="007C0423">
            <w:pPr>
              <w:rPr>
                <w:rFonts w:ascii="ArialMT" w:hAnsi="ArialMT" w:cs="ArialMT"/>
                <w:sz w:val="16"/>
                <w:szCs w:val="16"/>
              </w:rPr>
            </w:pPr>
            <w:r w:rsidRPr="003628E3">
              <w:rPr>
                <w:rFonts w:cs="Arial"/>
                <w:color w:val="000000"/>
                <w:sz w:val="16"/>
                <w:szCs w:val="16"/>
              </w:rPr>
              <w:t>Data currently not available</w:t>
            </w:r>
          </w:p>
        </w:tc>
        <w:tc>
          <w:tcPr>
            <w:tcW w:w="834" w:type="pct"/>
            <w:shd w:val="clear" w:color="auto" w:fill="auto"/>
            <w:tcMar>
              <w:top w:w="110" w:type="dxa"/>
            </w:tcMar>
          </w:tcPr>
          <w:p w:rsidR="000B5438" w:rsidRPr="003628E3" w:rsidRDefault="000B5438" w:rsidP="007C0423">
            <w:pPr>
              <w:rPr>
                <w:rFonts w:cs="Arial"/>
                <w:color w:val="000000"/>
                <w:sz w:val="16"/>
                <w:szCs w:val="16"/>
              </w:rPr>
            </w:pPr>
            <w:r>
              <w:rPr>
                <w:rFonts w:ascii="ArialMT" w:hAnsi="ArialMT" w:cs="ArialMT"/>
                <w:sz w:val="16"/>
                <w:szCs w:val="16"/>
              </w:rPr>
              <w:t>85% satisfied with arrangements</w:t>
            </w:r>
            <w:r w:rsidDel="00567588">
              <w:rPr>
                <w:rFonts w:cs="Arial"/>
                <w:color w:val="993300"/>
                <w:sz w:val="16"/>
                <w:szCs w:val="16"/>
                <w:lang w:bidi="th-TH"/>
              </w:rPr>
              <w:t xml:space="preserve"> </w:t>
            </w:r>
          </w:p>
        </w:tc>
        <w:tc>
          <w:tcPr>
            <w:tcW w:w="1815" w:type="pct"/>
            <w:shd w:val="clear" w:color="auto" w:fill="FFFFFF"/>
            <w:tcMar>
              <w:top w:w="110" w:type="dxa"/>
            </w:tcMar>
          </w:tcPr>
          <w:p w:rsidR="000B5438" w:rsidRPr="005E6AFC" w:rsidRDefault="000B5438" w:rsidP="007C0423">
            <w:pPr>
              <w:rPr>
                <w:rFonts w:cs="Arial"/>
                <w:sz w:val="16"/>
                <w:szCs w:val="16"/>
              </w:rPr>
            </w:pPr>
            <w:r w:rsidRPr="00CF33C3">
              <w:rPr>
                <w:rFonts w:eastAsia="SimSun" w:cs="Arial"/>
                <w:sz w:val="16"/>
                <w:szCs w:val="16"/>
                <w:lang w:eastAsia="zh-CN"/>
              </w:rPr>
              <w:t>88% from the 2012 WIPO Assemblies survey</w:t>
            </w:r>
            <w:r>
              <w:rPr>
                <w:rFonts w:eastAsia="SimSun" w:cs="Arial"/>
                <w:sz w:val="16"/>
                <w:szCs w:val="16"/>
                <w:lang w:eastAsia="zh-CN"/>
              </w:rPr>
              <w:t xml:space="preserve"> (a survey was not possible in 2013 due to exceptional circumstances; survey will be reintroduced in 2014)</w:t>
            </w:r>
            <w:r w:rsidR="00FB33D5">
              <w:rPr>
                <w:rFonts w:eastAsia="SimSun" w:cs="Arial"/>
                <w:sz w:val="16"/>
                <w:szCs w:val="16"/>
                <w:lang w:eastAsia="zh-CN"/>
              </w:rPr>
              <w:t>.</w:t>
            </w:r>
          </w:p>
        </w:tc>
        <w:tc>
          <w:tcPr>
            <w:tcW w:w="648" w:type="pct"/>
            <w:shd w:val="clear" w:color="auto" w:fill="auto"/>
            <w:tcMar>
              <w:top w:w="110" w:type="dxa"/>
            </w:tcMar>
          </w:tcPr>
          <w:p w:rsidR="000B5438" w:rsidRPr="005E6AFC" w:rsidRDefault="000B5438" w:rsidP="007C0423">
            <w:pPr>
              <w:keepNext/>
              <w:keepLines/>
              <w:jc w:val="center"/>
              <w:rPr>
                <w:rFonts w:cs="Arial"/>
                <w:bCs/>
                <w:color w:val="808080"/>
                <w:sz w:val="16"/>
                <w:szCs w:val="16"/>
              </w:rPr>
            </w:pPr>
            <w:r w:rsidRPr="000969AB">
              <w:rPr>
                <w:rFonts w:cs="Arial"/>
                <w:bCs/>
                <w:color w:val="008000"/>
                <w:sz w:val="16"/>
                <w:szCs w:val="16"/>
              </w:rPr>
              <w:t>Fully</w:t>
            </w:r>
            <w:r w:rsidRPr="000969AB">
              <w:rPr>
                <w:rFonts w:cs="Arial"/>
                <w:bCs/>
                <w:color w:val="008000"/>
                <w:sz w:val="16"/>
                <w:szCs w:val="16"/>
              </w:rPr>
              <w:br/>
              <w:t>Achieved</w:t>
            </w:r>
            <w:r w:rsidDel="00B202D2">
              <w:rPr>
                <w:rStyle w:val="Style5"/>
                <w:rFonts w:cs="Arial"/>
                <w:sz w:val="16"/>
                <w:szCs w:val="16"/>
              </w:rPr>
              <w:t xml:space="preserve"> </w:t>
            </w:r>
          </w:p>
        </w:tc>
      </w:tr>
      <w:tr w:rsidR="000B5438" w:rsidTr="000B2E9F">
        <w:trPr>
          <w:cantSplit/>
        </w:trPr>
        <w:tc>
          <w:tcPr>
            <w:tcW w:w="789" w:type="pct"/>
            <w:tcBorders>
              <w:bottom w:val="single" w:sz="4" w:space="0" w:color="auto"/>
            </w:tcBorders>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lastRenderedPageBreak/>
              <w:t>Timeliness of publication of Assembly documents</w:t>
            </w:r>
          </w:p>
        </w:tc>
        <w:tc>
          <w:tcPr>
            <w:tcW w:w="914" w:type="pct"/>
            <w:tcBorders>
              <w:bottom w:val="single" w:sz="4" w:space="0" w:color="auto"/>
            </w:tcBorders>
            <w:shd w:val="clear" w:color="auto" w:fill="auto"/>
          </w:tcPr>
          <w:p w:rsidR="000B5438" w:rsidRPr="003628E3" w:rsidRDefault="000B5438" w:rsidP="007C0423">
            <w:pPr>
              <w:rPr>
                <w:rFonts w:cs="Arial"/>
                <w:color w:val="000000"/>
                <w:sz w:val="16"/>
                <w:szCs w:val="16"/>
              </w:rPr>
            </w:pPr>
            <w:r>
              <w:rPr>
                <w:rFonts w:cs="Arial"/>
                <w:color w:val="000000"/>
                <w:sz w:val="16"/>
                <w:szCs w:val="16"/>
              </w:rPr>
              <w:t>90% published at least two</w:t>
            </w:r>
            <w:r w:rsidRPr="003628E3">
              <w:rPr>
                <w:rFonts w:cs="Arial"/>
                <w:color w:val="000000"/>
                <w:sz w:val="16"/>
                <w:szCs w:val="16"/>
              </w:rPr>
              <w:t xml:space="preserve"> months before Assemblies</w:t>
            </w:r>
          </w:p>
        </w:tc>
        <w:tc>
          <w:tcPr>
            <w:tcW w:w="834" w:type="pct"/>
            <w:tcBorders>
              <w:bottom w:val="single" w:sz="4" w:space="0" w:color="auto"/>
            </w:tcBorders>
            <w:shd w:val="clear" w:color="auto" w:fill="auto"/>
            <w:tcMar>
              <w:top w:w="110" w:type="dxa"/>
            </w:tcMar>
          </w:tcPr>
          <w:p w:rsidR="000B5438" w:rsidRPr="00FB33D5" w:rsidRDefault="000B5438" w:rsidP="00FB33D5">
            <w:pPr>
              <w:autoSpaceDE w:val="0"/>
              <w:autoSpaceDN w:val="0"/>
              <w:adjustRightInd w:val="0"/>
              <w:rPr>
                <w:rFonts w:ascii="ArialMT" w:hAnsi="ArialMT" w:cs="ArialMT"/>
                <w:sz w:val="16"/>
                <w:szCs w:val="16"/>
              </w:rPr>
            </w:pPr>
            <w:r>
              <w:rPr>
                <w:rFonts w:ascii="ArialMT" w:hAnsi="ArialMT" w:cs="ArialMT"/>
                <w:sz w:val="16"/>
                <w:szCs w:val="16"/>
              </w:rPr>
              <w:t>All documents</w:t>
            </w:r>
            <w:r w:rsidR="00FB33D5">
              <w:rPr>
                <w:rFonts w:ascii="ArialMT" w:hAnsi="ArialMT" w:cs="ArialMT"/>
                <w:sz w:val="16"/>
                <w:szCs w:val="16"/>
              </w:rPr>
              <w:t xml:space="preserve"> </w:t>
            </w:r>
            <w:r>
              <w:rPr>
                <w:rFonts w:ascii="ArialMT" w:hAnsi="ArialMT" w:cs="ArialMT"/>
                <w:sz w:val="16"/>
                <w:szCs w:val="16"/>
              </w:rPr>
              <w:t>published two</w:t>
            </w:r>
            <w:r w:rsidR="00FB33D5">
              <w:rPr>
                <w:rFonts w:ascii="ArialMT" w:hAnsi="ArialMT" w:cs="ArialMT"/>
                <w:sz w:val="16"/>
                <w:szCs w:val="16"/>
              </w:rPr>
              <w:t xml:space="preserve"> </w:t>
            </w:r>
            <w:r>
              <w:rPr>
                <w:rFonts w:ascii="ArialMT" w:hAnsi="ArialMT" w:cs="ArialMT"/>
                <w:sz w:val="16"/>
                <w:szCs w:val="16"/>
              </w:rPr>
              <w:t>months before</w:t>
            </w:r>
            <w:r w:rsidR="00FB33D5">
              <w:rPr>
                <w:rFonts w:ascii="ArialMT" w:hAnsi="ArialMT" w:cs="ArialMT"/>
                <w:sz w:val="16"/>
                <w:szCs w:val="16"/>
              </w:rPr>
              <w:t xml:space="preserve"> </w:t>
            </w:r>
            <w:r>
              <w:rPr>
                <w:rFonts w:ascii="ArialMT" w:hAnsi="ArialMT" w:cs="ArialMT"/>
                <w:sz w:val="16"/>
                <w:szCs w:val="16"/>
              </w:rPr>
              <w:t>Assemblies</w:t>
            </w:r>
          </w:p>
        </w:tc>
        <w:tc>
          <w:tcPr>
            <w:tcW w:w="1815" w:type="pct"/>
            <w:tcBorders>
              <w:bottom w:val="single" w:sz="4" w:space="0" w:color="auto"/>
            </w:tcBorders>
            <w:shd w:val="clear" w:color="auto" w:fill="FFFFFF"/>
            <w:tcMar>
              <w:top w:w="110" w:type="dxa"/>
            </w:tcMar>
          </w:tcPr>
          <w:p w:rsidR="000B5438" w:rsidRDefault="000B5438" w:rsidP="007C0423">
            <w:pPr>
              <w:rPr>
                <w:rFonts w:eastAsia="SimSun" w:cs="Arial"/>
                <w:sz w:val="16"/>
                <w:szCs w:val="16"/>
                <w:lang w:eastAsia="zh-CN"/>
              </w:rPr>
            </w:pPr>
            <w:r w:rsidRPr="00CF33C3">
              <w:rPr>
                <w:rFonts w:eastAsia="SimSun" w:cs="Arial"/>
                <w:sz w:val="16"/>
                <w:szCs w:val="16"/>
                <w:lang w:eastAsia="zh-CN"/>
              </w:rPr>
              <w:t xml:space="preserve">For the </w:t>
            </w:r>
            <w:r>
              <w:rPr>
                <w:rFonts w:eastAsia="SimSun" w:cs="Arial"/>
                <w:sz w:val="16"/>
                <w:szCs w:val="16"/>
                <w:lang w:eastAsia="zh-CN"/>
              </w:rPr>
              <w:t xml:space="preserve">regular </w:t>
            </w:r>
            <w:r w:rsidRPr="00CF33C3">
              <w:rPr>
                <w:rFonts w:eastAsia="SimSun" w:cs="Arial"/>
                <w:sz w:val="16"/>
                <w:szCs w:val="16"/>
                <w:lang w:eastAsia="zh-CN"/>
              </w:rPr>
              <w:t>Assemblies</w:t>
            </w:r>
            <w:r>
              <w:rPr>
                <w:rFonts w:eastAsia="SimSun" w:cs="Arial"/>
                <w:sz w:val="16"/>
                <w:szCs w:val="16"/>
                <w:lang w:eastAsia="zh-CN"/>
              </w:rPr>
              <w:t xml:space="preserve">, 95% of </w:t>
            </w:r>
            <w:r w:rsidRPr="00CF33C3">
              <w:rPr>
                <w:rFonts w:eastAsia="SimSun" w:cs="Arial"/>
                <w:sz w:val="16"/>
                <w:szCs w:val="16"/>
                <w:lang w:eastAsia="zh-CN"/>
              </w:rPr>
              <w:t xml:space="preserve">all documents were published at least two months in advance of the Assemblies.  This does not include those documents, which, by their nature, are always published closer to the date of the Assemblies (e.g. the list of participants, the list of documents, the list of officers, </w:t>
            </w:r>
            <w:r>
              <w:rPr>
                <w:rFonts w:eastAsia="SimSun" w:cs="Arial"/>
                <w:sz w:val="16"/>
                <w:szCs w:val="16"/>
                <w:lang w:eastAsia="zh-CN"/>
              </w:rPr>
              <w:t xml:space="preserve">and </w:t>
            </w:r>
            <w:r w:rsidRPr="00CF33C3">
              <w:rPr>
                <w:rFonts w:eastAsia="SimSun" w:cs="Arial"/>
                <w:sz w:val="16"/>
                <w:szCs w:val="16"/>
                <w:lang w:eastAsia="zh-CN"/>
              </w:rPr>
              <w:t>the summary of the September PBC Decisions).</w:t>
            </w:r>
          </w:p>
          <w:p w:rsidR="000B5438" w:rsidRPr="005E6AFC" w:rsidRDefault="000B5438" w:rsidP="007C0423">
            <w:pPr>
              <w:rPr>
                <w:rFonts w:cs="Arial"/>
                <w:sz w:val="16"/>
                <w:szCs w:val="16"/>
              </w:rPr>
            </w:pPr>
          </w:p>
        </w:tc>
        <w:tc>
          <w:tcPr>
            <w:tcW w:w="648" w:type="pct"/>
            <w:tcBorders>
              <w:bottom w:val="single" w:sz="4" w:space="0" w:color="auto"/>
            </w:tcBorders>
            <w:shd w:val="clear" w:color="auto" w:fill="auto"/>
            <w:tcMar>
              <w:top w:w="110" w:type="dxa"/>
            </w:tcMar>
          </w:tcPr>
          <w:p w:rsidR="000B5438" w:rsidRPr="005E6AFC" w:rsidRDefault="000B5438" w:rsidP="007C0423">
            <w:pPr>
              <w:keepNext/>
              <w:keepLines/>
              <w:jc w:val="center"/>
              <w:rPr>
                <w:rFonts w:cs="Arial"/>
                <w:bCs/>
                <w:color w:val="808080"/>
                <w:sz w:val="16"/>
                <w:szCs w:val="16"/>
              </w:rPr>
            </w:pPr>
            <w:r w:rsidRPr="000969AB">
              <w:rPr>
                <w:rFonts w:cs="Arial"/>
                <w:bCs/>
                <w:color w:val="008000"/>
                <w:sz w:val="16"/>
                <w:szCs w:val="16"/>
              </w:rPr>
              <w:t>Fully</w:t>
            </w:r>
            <w:r w:rsidRPr="000969AB">
              <w:rPr>
                <w:rFonts w:cs="Arial"/>
                <w:bCs/>
                <w:color w:val="008000"/>
                <w:sz w:val="16"/>
                <w:szCs w:val="16"/>
              </w:rPr>
              <w:br/>
              <w:t>Achieved</w:t>
            </w:r>
            <w:r w:rsidDel="00B202D2">
              <w:rPr>
                <w:rStyle w:val="Style5"/>
                <w:rFonts w:cs="Arial"/>
                <w:sz w:val="16"/>
                <w:szCs w:val="16"/>
              </w:rPr>
              <w:t xml:space="preserve"> </w:t>
            </w:r>
          </w:p>
        </w:tc>
      </w:tr>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628E3">
              <w:rPr>
                <w:rFonts w:cs="Arial"/>
                <w:color w:val="000000"/>
                <w:sz w:val="16"/>
                <w:szCs w:val="16"/>
              </w:rPr>
              <w:t>Enhanced coordination and coherence within the Secretariat</w:t>
            </w:r>
          </w:p>
        </w:tc>
      </w:tr>
      <w:tr w:rsidR="00FB33D5" w:rsidRPr="00FB33D5" w:rsidTr="000B2E9F">
        <w:trPr>
          <w:cantSplit/>
        </w:trPr>
        <w:tc>
          <w:tcPr>
            <w:tcW w:w="789" w:type="pct"/>
            <w:tcBorders>
              <w:top w:val="single" w:sz="4" w:space="0" w:color="auto"/>
            </w:tcBorders>
            <w:shd w:val="clear" w:color="auto" w:fill="auto"/>
            <w:vAlign w:val="center"/>
          </w:tcPr>
          <w:p w:rsidR="000B5438" w:rsidRPr="00FB33D5" w:rsidRDefault="000B5438" w:rsidP="007C0423">
            <w:pPr>
              <w:rPr>
                <w:rFonts w:cs="Arial"/>
                <w:sz w:val="16"/>
                <w:szCs w:val="16"/>
              </w:rPr>
            </w:pPr>
            <w:r w:rsidRPr="00FB33D5">
              <w:rPr>
                <w:rFonts w:cs="Arial"/>
                <w:b/>
                <w:bCs/>
                <w:sz w:val="16"/>
                <w:szCs w:val="16"/>
              </w:rPr>
              <w:t>Performance Indicators</w:t>
            </w:r>
          </w:p>
        </w:tc>
        <w:tc>
          <w:tcPr>
            <w:tcW w:w="914" w:type="pct"/>
            <w:tcBorders>
              <w:top w:val="single" w:sz="4" w:space="0" w:color="auto"/>
            </w:tcBorders>
            <w:shd w:val="clear" w:color="auto" w:fill="auto"/>
            <w:vAlign w:val="center"/>
          </w:tcPr>
          <w:p w:rsidR="000B5438" w:rsidRPr="00FB33D5" w:rsidRDefault="000B5438" w:rsidP="007C0423">
            <w:pPr>
              <w:rPr>
                <w:rFonts w:cs="Arial"/>
                <w:b/>
                <w:bCs/>
                <w:sz w:val="16"/>
                <w:szCs w:val="16"/>
              </w:rPr>
            </w:pPr>
            <w:r w:rsidRPr="00FB33D5">
              <w:rPr>
                <w:rFonts w:cs="Arial"/>
                <w:b/>
                <w:bCs/>
                <w:sz w:val="16"/>
                <w:szCs w:val="16"/>
              </w:rPr>
              <w:t>Baselines</w:t>
            </w:r>
          </w:p>
        </w:tc>
        <w:tc>
          <w:tcPr>
            <w:tcW w:w="834" w:type="pct"/>
            <w:tcBorders>
              <w:top w:val="single" w:sz="4" w:space="0" w:color="auto"/>
            </w:tcBorders>
            <w:shd w:val="clear" w:color="auto" w:fill="auto"/>
            <w:tcMar>
              <w:top w:w="110" w:type="dxa"/>
            </w:tcMar>
            <w:vAlign w:val="center"/>
          </w:tcPr>
          <w:p w:rsidR="000B5438" w:rsidRPr="00FB33D5" w:rsidRDefault="000B5438" w:rsidP="007C0423">
            <w:pPr>
              <w:rPr>
                <w:rFonts w:cs="Arial"/>
                <w:b/>
                <w:sz w:val="16"/>
                <w:szCs w:val="16"/>
              </w:rPr>
            </w:pPr>
            <w:r w:rsidRPr="00FB33D5">
              <w:rPr>
                <w:rFonts w:cs="Arial"/>
                <w:b/>
                <w:sz w:val="16"/>
                <w:szCs w:val="16"/>
              </w:rPr>
              <w:t>Target</w:t>
            </w:r>
            <w:r w:rsidR="002F7D53" w:rsidRPr="00FB33D5">
              <w:rPr>
                <w:rFonts w:cs="Arial"/>
                <w:b/>
                <w:sz w:val="16"/>
                <w:szCs w:val="16"/>
              </w:rPr>
              <w:t>s</w:t>
            </w:r>
          </w:p>
        </w:tc>
        <w:tc>
          <w:tcPr>
            <w:tcW w:w="1815" w:type="pct"/>
            <w:tcBorders>
              <w:top w:val="single" w:sz="4" w:space="0" w:color="auto"/>
            </w:tcBorders>
            <w:shd w:val="clear" w:color="auto" w:fill="FFFFFF"/>
            <w:tcMar>
              <w:top w:w="110" w:type="dxa"/>
            </w:tcMar>
            <w:vAlign w:val="center"/>
          </w:tcPr>
          <w:p w:rsidR="000B5438" w:rsidRPr="00FB33D5" w:rsidRDefault="000B5438" w:rsidP="007C0423">
            <w:pPr>
              <w:rPr>
                <w:rFonts w:cs="Arial"/>
                <w:sz w:val="16"/>
                <w:szCs w:val="16"/>
              </w:rPr>
            </w:pPr>
            <w:r w:rsidRPr="00FB33D5">
              <w:rPr>
                <w:rFonts w:cs="Arial"/>
                <w:b/>
                <w:bCs/>
                <w:sz w:val="16"/>
                <w:szCs w:val="16"/>
              </w:rPr>
              <w:t>Performance Data</w:t>
            </w:r>
          </w:p>
        </w:tc>
        <w:tc>
          <w:tcPr>
            <w:tcW w:w="648" w:type="pct"/>
            <w:tcBorders>
              <w:top w:val="single" w:sz="4" w:space="0" w:color="auto"/>
            </w:tcBorders>
            <w:shd w:val="clear" w:color="auto" w:fill="auto"/>
            <w:tcMar>
              <w:top w:w="110" w:type="dxa"/>
            </w:tcMar>
            <w:vAlign w:val="center"/>
          </w:tcPr>
          <w:p w:rsidR="000B5438" w:rsidRPr="00FB33D5" w:rsidRDefault="000B5438" w:rsidP="007C0423">
            <w:pPr>
              <w:keepNext/>
              <w:keepLines/>
              <w:jc w:val="center"/>
              <w:rPr>
                <w:rFonts w:cs="Arial"/>
                <w:b/>
                <w:bCs/>
                <w:sz w:val="16"/>
                <w:szCs w:val="16"/>
              </w:rPr>
            </w:pPr>
            <w:r w:rsidRPr="00FB33D5">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 xml:space="preserve">Completion of the SRP </w:t>
            </w:r>
          </w:p>
        </w:tc>
        <w:tc>
          <w:tcPr>
            <w:tcW w:w="914" w:type="pct"/>
            <w:shd w:val="clear" w:color="auto" w:fill="auto"/>
          </w:tcPr>
          <w:p w:rsidR="000B5438" w:rsidRDefault="000B5438" w:rsidP="007C0423">
            <w:pPr>
              <w:rPr>
                <w:rFonts w:cs="Arial"/>
                <w:i/>
                <w:color w:val="002060"/>
                <w:sz w:val="16"/>
                <w:szCs w:val="16"/>
              </w:rPr>
            </w:pPr>
            <w:r w:rsidRPr="000969AB">
              <w:rPr>
                <w:rFonts w:cs="Arial"/>
                <w:i/>
                <w:color w:val="002060"/>
                <w:sz w:val="16"/>
                <w:szCs w:val="16"/>
              </w:rPr>
              <w:t xml:space="preserve">Updated Baseline end 2011:  </w:t>
            </w:r>
            <w:r w:rsidRPr="0027745B">
              <w:rPr>
                <w:rFonts w:cs="Arial"/>
                <w:color w:val="002060"/>
                <w:sz w:val="16"/>
                <w:szCs w:val="16"/>
              </w:rPr>
              <w:t>One out of 19 initiatives complete (MTSP)</w:t>
            </w:r>
          </w:p>
          <w:p w:rsidR="000B5438" w:rsidRPr="0024474C" w:rsidRDefault="000B5438" w:rsidP="007C0423">
            <w:pPr>
              <w:rPr>
                <w:rFonts w:cs="Arial"/>
                <w:i/>
                <w:color w:val="002060"/>
                <w:sz w:val="8"/>
                <w:szCs w:val="8"/>
              </w:rPr>
            </w:pPr>
          </w:p>
          <w:p w:rsidR="000B5438" w:rsidRPr="003628E3"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i/>
                <w:color w:val="000000"/>
                <w:sz w:val="16"/>
                <w:szCs w:val="16"/>
              </w:rPr>
              <w:br/>
            </w:r>
            <w:r>
              <w:rPr>
                <w:rFonts w:cs="Arial"/>
                <w:color w:val="000000"/>
                <w:sz w:val="16"/>
                <w:szCs w:val="16"/>
              </w:rPr>
              <w:t>One</w:t>
            </w:r>
            <w:r w:rsidRPr="003628E3">
              <w:rPr>
                <w:rFonts w:cs="Arial"/>
                <w:color w:val="000000"/>
                <w:sz w:val="16"/>
                <w:szCs w:val="16"/>
              </w:rPr>
              <w:t xml:space="preserve"> out of 19 initiatives completed in 2010</w:t>
            </w:r>
          </w:p>
        </w:tc>
        <w:tc>
          <w:tcPr>
            <w:tcW w:w="834" w:type="pct"/>
            <w:shd w:val="clear" w:color="auto" w:fill="auto"/>
            <w:tcMar>
              <w:top w:w="110" w:type="dxa"/>
            </w:tcMar>
          </w:tcPr>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All initiatives</w:t>
            </w:r>
          </w:p>
          <w:p w:rsidR="000B5438" w:rsidRPr="0027745B" w:rsidRDefault="000B5438" w:rsidP="007C0423">
            <w:pPr>
              <w:rPr>
                <w:rFonts w:cs="Arial"/>
                <w:sz w:val="16"/>
                <w:szCs w:val="16"/>
              </w:rPr>
            </w:pPr>
            <w:r w:rsidRPr="00567588">
              <w:rPr>
                <w:rFonts w:ascii="ArialMT" w:hAnsi="ArialMT" w:cs="ArialMT"/>
                <w:sz w:val="16"/>
                <w:szCs w:val="16"/>
              </w:rPr>
              <w:t>completed</w:t>
            </w:r>
            <w:r w:rsidRPr="0027745B" w:rsidDel="00567588">
              <w:rPr>
                <w:rFonts w:cs="Arial"/>
                <w:sz w:val="16"/>
                <w:szCs w:val="16"/>
              </w:rPr>
              <w:t xml:space="preserve"> </w:t>
            </w:r>
          </w:p>
        </w:tc>
        <w:tc>
          <w:tcPr>
            <w:tcW w:w="1815" w:type="pct"/>
            <w:shd w:val="clear" w:color="auto" w:fill="FFFFFF"/>
            <w:tcMar>
              <w:top w:w="110" w:type="dxa"/>
            </w:tcMar>
          </w:tcPr>
          <w:p w:rsidR="000B5438" w:rsidRPr="00567588" w:rsidRDefault="000B5438" w:rsidP="007C0423">
            <w:pPr>
              <w:rPr>
                <w:rFonts w:cs="Arial"/>
                <w:sz w:val="16"/>
                <w:szCs w:val="16"/>
              </w:rPr>
            </w:pPr>
            <w:r w:rsidRPr="00567588">
              <w:rPr>
                <w:rFonts w:cs="Arial"/>
                <w:sz w:val="16"/>
                <w:szCs w:val="16"/>
              </w:rPr>
              <w:t xml:space="preserve">Seventeen out of 19 initiatives have been completed, and each project integrated into the Organization’s workplans. </w:t>
            </w:r>
            <w:r w:rsidR="00FB33D5">
              <w:rPr>
                <w:rFonts w:cs="Arial"/>
                <w:sz w:val="16"/>
                <w:szCs w:val="16"/>
              </w:rPr>
              <w:t xml:space="preserve"> </w:t>
            </w:r>
            <w:r w:rsidRPr="00567588">
              <w:rPr>
                <w:rFonts w:cs="Arial"/>
                <w:sz w:val="16"/>
                <w:szCs w:val="16"/>
              </w:rPr>
              <w:t xml:space="preserve">The SRP scope of the remaining two projects, ERP Project and the Internal Communications Project has been delivered. </w:t>
            </w:r>
            <w:r w:rsidR="00FB33D5">
              <w:rPr>
                <w:rFonts w:cs="Arial"/>
                <w:sz w:val="16"/>
                <w:szCs w:val="16"/>
              </w:rPr>
              <w:t xml:space="preserve"> </w:t>
            </w:r>
            <w:r w:rsidRPr="00567588">
              <w:rPr>
                <w:rFonts w:cs="Arial"/>
                <w:sz w:val="16"/>
                <w:szCs w:val="16"/>
              </w:rPr>
              <w:t xml:space="preserve">These Projects continue independently of the SRP. </w:t>
            </w:r>
          </w:p>
        </w:tc>
        <w:tc>
          <w:tcPr>
            <w:tcW w:w="648" w:type="pct"/>
            <w:shd w:val="clear" w:color="auto" w:fill="auto"/>
            <w:tcMar>
              <w:top w:w="110" w:type="dxa"/>
            </w:tcMar>
          </w:tcPr>
          <w:p w:rsidR="000B5438" w:rsidRPr="005E6AFC" w:rsidRDefault="000B5438" w:rsidP="007C0423">
            <w:pPr>
              <w:keepNext/>
              <w:keepLines/>
              <w:jc w:val="center"/>
              <w:rPr>
                <w:rFonts w:cs="Arial"/>
                <w:bCs/>
                <w:color w:val="808080"/>
                <w:sz w:val="16"/>
                <w:szCs w:val="16"/>
              </w:rPr>
            </w:pPr>
            <w:r w:rsidRPr="000969AB">
              <w:rPr>
                <w:rFonts w:cs="Arial"/>
                <w:bCs/>
                <w:color w:val="008000"/>
                <w:sz w:val="16"/>
                <w:szCs w:val="16"/>
              </w:rPr>
              <w:t>Fully</w:t>
            </w:r>
            <w:r w:rsidRPr="000969AB">
              <w:rPr>
                <w:rFonts w:cs="Arial"/>
                <w:bCs/>
                <w:color w:val="008000"/>
                <w:sz w:val="16"/>
                <w:szCs w:val="16"/>
              </w:rPr>
              <w:br/>
              <w:t>Achieved</w:t>
            </w:r>
            <w:r w:rsidDel="00B202D2">
              <w:rPr>
                <w:rStyle w:val="Style5"/>
                <w:rFonts w:cs="Arial"/>
                <w:sz w:val="16"/>
                <w:szCs w:val="16"/>
              </w:rPr>
              <w:t xml:space="preserve"> </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Achievement of SRP Value Level Outcomes</w:t>
            </w:r>
            <w:r>
              <w:rPr>
                <w:rFonts w:cs="Arial"/>
                <w:color w:val="000000"/>
                <w:sz w:val="16"/>
                <w:szCs w:val="16"/>
              </w:rPr>
              <w:t>.  Perception of staff that WIPO is good/excellent at specified value</w:t>
            </w:r>
          </w:p>
        </w:tc>
        <w:tc>
          <w:tcPr>
            <w:tcW w:w="914" w:type="pct"/>
            <w:shd w:val="clear" w:color="auto" w:fill="auto"/>
          </w:tcPr>
          <w:p w:rsidR="000B5438" w:rsidRPr="00567588" w:rsidRDefault="000B5438" w:rsidP="007C0423">
            <w:pPr>
              <w:rPr>
                <w:rFonts w:cs="Arial"/>
                <w:i/>
                <w:color w:val="002060"/>
                <w:sz w:val="16"/>
                <w:szCs w:val="16"/>
              </w:rPr>
            </w:pPr>
            <w:r w:rsidRPr="00567588">
              <w:rPr>
                <w:rFonts w:cs="Arial"/>
                <w:i/>
                <w:color w:val="002060"/>
                <w:sz w:val="16"/>
                <w:szCs w:val="16"/>
              </w:rPr>
              <w:t xml:space="preserve">Updated Baseline end 2011:  </w:t>
            </w:r>
          </w:p>
          <w:p w:rsidR="000B5438" w:rsidRPr="0027745B" w:rsidRDefault="000B5438" w:rsidP="007C0423">
            <w:pPr>
              <w:rPr>
                <w:rFonts w:eastAsia="SimSun" w:cs="Arial"/>
                <w:color w:val="002060"/>
                <w:sz w:val="16"/>
                <w:szCs w:val="16"/>
                <w:lang w:eastAsia="zh-CN"/>
              </w:rPr>
            </w:pPr>
            <w:r>
              <w:rPr>
                <w:rFonts w:eastAsia="SimSun" w:cs="Arial"/>
                <w:color w:val="002060"/>
                <w:sz w:val="16"/>
                <w:szCs w:val="16"/>
                <w:lang w:eastAsia="zh-CN"/>
              </w:rPr>
              <w:t xml:space="preserve">Service orientation: </w:t>
            </w:r>
            <w:r w:rsidRPr="0027745B">
              <w:rPr>
                <w:rFonts w:eastAsia="SimSun" w:cs="Arial"/>
                <w:color w:val="002060"/>
                <w:sz w:val="16"/>
                <w:szCs w:val="16"/>
                <w:lang w:eastAsia="zh-CN"/>
              </w:rPr>
              <w:t>45%</w:t>
            </w:r>
            <w:r w:rsidRPr="0027745B">
              <w:rPr>
                <w:rStyle w:val="FootnoteReference"/>
                <w:rFonts w:eastAsia="SimSun" w:cs="Arial"/>
                <w:color w:val="002060"/>
                <w:sz w:val="22"/>
                <w:szCs w:val="22"/>
                <w:lang w:eastAsia="zh-CN"/>
              </w:rPr>
              <w:footnoteReference w:id="38"/>
            </w:r>
          </w:p>
          <w:p w:rsidR="000B5438" w:rsidRPr="0027745B" w:rsidRDefault="000B5438" w:rsidP="007C0423">
            <w:pPr>
              <w:rPr>
                <w:rFonts w:eastAsia="SimSun" w:cs="Arial"/>
                <w:color w:val="002060"/>
                <w:sz w:val="16"/>
                <w:szCs w:val="16"/>
                <w:lang w:eastAsia="zh-CN"/>
              </w:rPr>
            </w:pPr>
            <w:r w:rsidRPr="0027745B">
              <w:rPr>
                <w:rFonts w:eastAsia="SimSun" w:cs="Arial"/>
                <w:color w:val="002060"/>
                <w:sz w:val="16"/>
                <w:szCs w:val="16"/>
                <w:lang w:eastAsia="zh-CN"/>
              </w:rPr>
              <w:t>Working as One 37%*</w:t>
            </w:r>
          </w:p>
          <w:p w:rsidR="000B5438" w:rsidRPr="0027745B" w:rsidRDefault="000B5438" w:rsidP="007C0423">
            <w:pPr>
              <w:rPr>
                <w:rFonts w:eastAsia="SimSun" w:cs="Arial"/>
                <w:color w:val="002060"/>
                <w:sz w:val="16"/>
                <w:szCs w:val="16"/>
                <w:lang w:eastAsia="zh-CN"/>
              </w:rPr>
            </w:pPr>
            <w:r w:rsidRPr="0027745B">
              <w:rPr>
                <w:rFonts w:eastAsia="SimSun" w:cs="Arial"/>
                <w:color w:val="002060"/>
                <w:sz w:val="16"/>
                <w:szCs w:val="16"/>
                <w:lang w:eastAsia="zh-CN"/>
              </w:rPr>
              <w:t>Accountability for Results 68%*</w:t>
            </w:r>
          </w:p>
          <w:p w:rsidR="000B5438" w:rsidRPr="00567588" w:rsidRDefault="000B5438" w:rsidP="007C0423">
            <w:pPr>
              <w:rPr>
                <w:rFonts w:cs="Arial"/>
                <w:i/>
                <w:color w:val="002060"/>
                <w:sz w:val="16"/>
                <w:szCs w:val="16"/>
              </w:rPr>
            </w:pPr>
            <w:r w:rsidRPr="0027745B">
              <w:rPr>
                <w:rFonts w:eastAsia="SimSun" w:cs="Arial"/>
                <w:color w:val="002060"/>
                <w:sz w:val="16"/>
                <w:szCs w:val="16"/>
                <w:lang w:eastAsia="zh-CN"/>
              </w:rPr>
              <w:t>Environmental, social &amp; governance responsibility 63%*</w:t>
            </w:r>
          </w:p>
          <w:p w:rsidR="000B5438" w:rsidRPr="0024474C" w:rsidRDefault="000B5438" w:rsidP="007C0423">
            <w:pPr>
              <w:rPr>
                <w:rFonts w:cs="Arial"/>
                <w:i/>
                <w:color w:val="002060"/>
                <w:sz w:val="8"/>
                <w:szCs w:val="8"/>
              </w:rPr>
            </w:pPr>
          </w:p>
          <w:p w:rsidR="000B5438"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i/>
                <w:color w:val="000000"/>
                <w:sz w:val="16"/>
                <w:szCs w:val="16"/>
              </w:rPr>
              <w:br/>
            </w:r>
            <w:r>
              <w:rPr>
                <w:rFonts w:cs="Arial"/>
                <w:color w:val="000000"/>
                <w:sz w:val="16"/>
                <w:szCs w:val="16"/>
              </w:rPr>
              <w:t>See Annex on</w:t>
            </w:r>
            <w:r w:rsidRPr="003628E3">
              <w:rPr>
                <w:rFonts w:cs="Arial"/>
                <w:color w:val="000000"/>
                <w:sz w:val="16"/>
                <w:szCs w:val="16"/>
              </w:rPr>
              <w:t xml:space="preserve"> SRP Baseline Report </w:t>
            </w:r>
          </w:p>
          <w:p w:rsidR="000B5438" w:rsidRPr="0027745B" w:rsidRDefault="000B5438" w:rsidP="007C0423">
            <w:pPr>
              <w:rPr>
                <w:rFonts w:cs="Arial"/>
                <w:color w:val="000000"/>
                <w:sz w:val="16"/>
                <w:szCs w:val="16"/>
              </w:rPr>
            </w:pPr>
            <w:r w:rsidRPr="003628E3">
              <w:rPr>
                <w:rFonts w:cs="Arial"/>
                <w:color w:val="000000"/>
                <w:sz w:val="16"/>
                <w:szCs w:val="16"/>
              </w:rPr>
              <w:t>(URL)</w:t>
            </w:r>
          </w:p>
        </w:tc>
        <w:tc>
          <w:tcPr>
            <w:tcW w:w="834" w:type="pct"/>
            <w:shd w:val="clear" w:color="auto" w:fill="auto"/>
            <w:tcMar>
              <w:top w:w="110" w:type="dxa"/>
            </w:tcMar>
          </w:tcPr>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75% of Outcomes</w:t>
            </w:r>
          </w:p>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achieved (ref: SRP</w:t>
            </w:r>
          </w:p>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Results Framework</w:t>
            </w:r>
          </w:p>
          <w:p w:rsidR="000B5438" w:rsidRPr="0027745B" w:rsidRDefault="000B5438" w:rsidP="007C0423">
            <w:pPr>
              <w:rPr>
                <w:rFonts w:cs="Arial"/>
                <w:sz w:val="16"/>
                <w:szCs w:val="16"/>
              </w:rPr>
            </w:pPr>
            <w:r w:rsidRPr="00567588">
              <w:rPr>
                <w:rFonts w:ascii="ArialMT" w:hAnsi="ArialMT" w:cs="ArialMT"/>
                <w:sz w:val="16"/>
                <w:szCs w:val="16"/>
              </w:rPr>
              <w:t>Dashboard)</w:t>
            </w:r>
          </w:p>
        </w:tc>
        <w:tc>
          <w:tcPr>
            <w:tcW w:w="1815" w:type="pct"/>
            <w:shd w:val="clear" w:color="auto" w:fill="FFFFFF"/>
            <w:tcMar>
              <w:top w:w="110" w:type="dxa"/>
            </w:tcMar>
          </w:tcPr>
          <w:p w:rsidR="000B5438" w:rsidRPr="00567588" w:rsidRDefault="000B5438" w:rsidP="007C0423">
            <w:pPr>
              <w:spacing w:after="80"/>
              <w:rPr>
                <w:rFonts w:cs="Arial"/>
                <w:sz w:val="16"/>
                <w:szCs w:val="16"/>
                <w:lang w:eastAsia="zh-CN"/>
              </w:rPr>
            </w:pPr>
            <w:r w:rsidRPr="00567588">
              <w:rPr>
                <w:rFonts w:cs="Arial"/>
                <w:sz w:val="16"/>
                <w:szCs w:val="16"/>
              </w:rPr>
              <w:t xml:space="preserve">Service orientation: </w:t>
            </w:r>
            <w:r w:rsidR="00FB33D5">
              <w:rPr>
                <w:rFonts w:cs="Arial"/>
                <w:sz w:val="16"/>
                <w:szCs w:val="16"/>
              </w:rPr>
              <w:t xml:space="preserve"> </w:t>
            </w:r>
            <w:r w:rsidRPr="00567588">
              <w:rPr>
                <w:rFonts w:cs="Arial"/>
                <w:sz w:val="16"/>
                <w:szCs w:val="16"/>
              </w:rPr>
              <w:t>56%</w:t>
            </w:r>
            <w:r w:rsidRPr="00567588">
              <w:rPr>
                <w:rStyle w:val="FootnoteReference"/>
                <w:rFonts w:cs="Arial"/>
                <w:sz w:val="16"/>
                <w:szCs w:val="16"/>
              </w:rPr>
              <w:footnoteReference w:customMarkFollows="1" w:id="39"/>
              <w:t>[1]</w:t>
            </w:r>
          </w:p>
          <w:p w:rsidR="000B5438" w:rsidRPr="00567588" w:rsidRDefault="000B5438" w:rsidP="007C0423">
            <w:pPr>
              <w:spacing w:after="80"/>
              <w:rPr>
                <w:rFonts w:cs="Arial"/>
                <w:sz w:val="16"/>
                <w:szCs w:val="16"/>
              </w:rPr>
            </w:pPr>
            <w:r w:rsidRPr="00567588">
              <w:rPr>
                <w:rFonts w:cs="Arial"/>
                <w:sz w:val="16"/>
                <w:szCs w:val="16"/>
              </w:rPr>
              <w:t xml:space="preserve">Working as One: </w:t>
            </w:r>
            <w:r w:rsidR="00FB33D5">
              <w:rPr>
                <w:rFonts w:cs="Arial"/>
                <w:sz w:val="16"/>
                <w:szCs w:val="16"/>
              </w:rPr>
              <w:t xml:space="preserve"> </w:t>
            </w:r>
            <w:r w:rsidRPr="00567588">
              <w:rPr>
                <w:rFonts w:cs="Arial"/>
                <w:sz w:val="16"/>
                <w:szCs w:val="16"/>
              </w:rPr>
              <w:t>55%</w:t>
            </w:r>
          </w:p>
          <w:p w:rsidR="000B5438" w:rsidRPr="00567588" w:rsidRDefault="000B5438" w:rsidP="007C0423">
            <w:pPr>
              <w:spacing w:after="80"/>
              <w:rPr>
                <w:rFonts w:cs="Arial"/>
                <w:sz w:val="16"/>
                <w:szCs w:val="16"/>
              </w:rPr>
            </w:pPr>
            <w:r w:rsidRPr="00567588">
              <w:rPr>
                <w:rFonts w:cs="Arial"/>
                <w:sz w:val="16"/>
                <w:szCs w:val="16"/>
              </w:rPr>
              <w:t xml:space="preserve">Accountability for Results: </w:t>
            </w:r>
            <w:r w:rsidR="00FB33D5">
              <w:rPr>
                <w:rFonts w:cs="Arial"/>
                <w:sz w:val="16"/>
                <w:szCs w:val="16"/>
              </w:rPr>
              <w:t xml:space="preserve"> </w:t>
            </w:r>
            <w:r w:rsidRPr="00567588">
              <w:rPr>
                <w:rFonts w:cs="Arial"/>
                <w:sz w:val="16"/>
                <w:szCs w:val="16"/>
              </w:rPr>
              <w:t>80%</w:t>
            </w:r>
          </w:p>
          <w:p w:rsidR="000B5438" w:rsidRPr="00567588" w:rsidRDefault="000B5438" w:rsidP="007C0423">
            <w:pPr>
              <w:rPr>
                <w:rFonts w:cs="Arial"/>
                <w:sz w:val="16"/>
                <w:szCs w:val="16"/>
              </w:rPr>
            </w:pPr>
            <w:r w:rsidRPr="00567588">
              <w:rPr>
                <w:rFonts w:cs="Arial"/>
                <w:sz w:val="16"/>
                <w:szCs w:val="16"/>
              </w:rPr>
              <w:t xml:space="preserve">Environmental, social &amp; governance </w:t>
            </w:r>
          </w:p>
          <w:p w:rsidR="000B5438" w:rsidRPr="00567588" w:rsidRDefault="000B5438" w:rsidP="007C0423">
            <w:pPr>
              <w:rPr>
                <w:rFonts w:cs="Arial"/>
                <w:sz w:val="16"/>
                <w:szCs w:val="16"/>
              </w:rPr>
            </w:pPr>
            <w:r w:rsidRPr="00567588">
              <w:rPr>
                <w:rFonts w:cs="Arial"/>
                <w:sz w:val="16"/>
                <w:szCs w:val="16"/>
              </w:rPr>
              <w:t xml:space="preserve">responsibility: </w:t>
            </w:r>
            <w:r w:rsidR="00FB33D5">
              <w:rPr>
                <w:rFonts w:cs="Arial"/>
                <w:sz w:val="16"/>
                <w:szCs w:val="16"/>
              </w:rPr>
              <w:t xml:space="preserve"> </w:t>
            </w:r>
            <w:r w:rsidRPr="00567588">
              <w:rPr>
                <w:rFonts w:cs="Arial"/>
                <w:sz w:val="16"/>
                <w:szCs w:val="16"/>
              </w:rPr>
              <w:t>70%</w:t>
            </w:r>
            <w:r w:rsidRPr="00567588">
              <w:rPr>
                <w:rStyle w:val="FootnoteReference"/>
                <w:rFonts w:cs="Arial"/>
                <w:sz w:val="16"/>
                <w:szCs w:val="16"/>
              </w:rPr>
              <w:footnoteReference w:customMarkFollows="1" w:id="40"/>
              <w:t>[2]</w:t>
            </w:r>
          </w:p>
        </w:tc>
        <w:tc>
          <w:tcPr>
            <w:tcW w:w="648" w:type="pct"/>
            <w:shd w:val="clear" w:color="auto" w:fill="auto"/>
            <w:tcMar>
              <w:top w:w="110" w:type="dxa"/>
            </w:tcMar>
          </w:tcPr>
          <w:p w:rsidR="000B5438" w:rsidRDefault="000B5438" w:rsidP="007C0423">
            <w:pPr>
              <w:keepNext/>
              <w:keepLines/>
              <w:jc w:val="center"/>
              <w:rPr>
                <w:rStyle w:val="Style5"/>
                <w:rFonts w:cs="Arial"/>
                <w:sz w:val="16"/>
                <w:szCs w:val="16"/>
              </w:rPr>
            </w:pPr>
            <w:r w:rsidRPr="000969AB">
              <w:rPr>
                <w:rFonts w:cs="Arial"/>
                <w:bCs/>
                <w:color w:val="008000"/>
                <w:sz w:val="16"/>
                <w:szCs w:val="16"/>
              </w:rPr>
              <w:t>Fully</w:t>
            </w:r>
            <w:r w:rsidRPr="000969AB">
              <w:rPr>
                <w:rFonts w:cs="Arial"/>
                <w:bCs/>
                <w:color w:val="008000"/>
                <w:sz w:val="16"/>
                <w:szCs w:val="16"/>
              </w:rPr>
              <w:br/>
              <w:t>Achieved</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817B52">
              <w:rPr>
                <w:rFonts w:cs="Arial"/>
                <w:color w:val="000000"/>
                <w:sz w:val="16"/>
                <w:szCs w:val="16"/>
              </w:rPr>
              <w:t xml:space="preserve">% of queries for legal advice which receive </w:t>
            </w:r>
            <w:r w:rsidRPr="00817B52">
              <w:rPr>
                <w:rFonts w:cs="Arial"/>
                <w:bCs/>
                <w:i/>
                <w:sz w:val="16"/>
                <w:szCs w:val="16"/>
              </w:rPr>
              <w:t>prompt</w:t>
            </w:r>
            <w:r>
              <w:rPr>
                <w:rFonts w:cs="Arial"/>
                <w:bCs/>
                <w:i/>
                <w:sz w:val="16"/>
                <w:szCs w:val="16"/>
              </w:rPr>
              <w:t>,</w:t>
            </w:r>
            <w:r w:rsidRPr="00817B52">
              <w:rPr>
                <w:rFonts w:cs="Arial"/>
                <w:bCs/>
                <w:i/>
                <w:sz w:val="16"/>
                <w:szCs w:val="16"/>
              </w:rPr>
              <w:t xml:space="preserve"> independent and reliable</w:t>
            </w:r>
            <w:r w:rsidRPr="00817B52">
              <w:rPr>
                <w:rFonts w:cs="Arial"/>
                <w:color w:val="000000"/>
                <w:sz w:val="16"/>
                <w:szCs w:val="16"/>
              </w:rPr>
              <w:t xml:space="preserve">  responses from </w:t>
            </w:r>
            <w:r>
              <w:rPr>
                <w:rFonts w:cs="Arial"/>
                <w:color w:val="000000"/>
                <w:sz w:val="16"/>
                <w:szCs w:val="16"/>
              </w:rPr>
              <w:t>the Office of the Legal Counsel</w:t>
            </w:r>
          </w:p>
        </w:tc>
        <w:tc>
          <w:tcPr>
            <w:tcW w:w="914" w:type="pct"/>
            <w:shd w:val="clear" w:color="auto" w:fill="auto"/>
          </w:tcPr>
          <w:p w:rsidR="000B5438" w:rsidRPr="0027745B" w:rsidRDefault="000B5438" w:rsidP="007C0423">
            <w:pPr>
              <w:rPr>
                <w:rFonts w:cs="Arial"/>
                <w:sz w:val="16"/>
                <w:szCs w:val="16"/>
              </w:rPr>
            </w:pPr>
            <w:r>
              <w:rPr>
                <w:rFonts w:cs="Arial"/>
                <w:sz w:val="16"/>
                <w:szCs w:val="16"/>
              </w:rPr>
              <w:t>100%</w:t>
            </w:r>
          </w:p>
        </w:tc>
        <w:tc>
          <w:tcPr>
            <w:tcW w:w="834" w:type="pct"/>
            <w:shd w:val="clear" w:color="auto" w:fill="auto"/>
            <w:tcMar>
              <w:top w:w="110" w:type="dxa"/>
            </w:tcMar>
          </w:tcPr>
          <w:p w:rsidR="000B5438" w:rsidRPr="0027745B" w:rsidRDefault="000B5438" w:rsidP="007C0423">
            <w:pPr>
              <w:rPr>
                <w:rFonts w:eastAsia="SimSun" w:cs="Arial"/>
                <w:sz w:val="16"/>
                <w:szCs w:val="16"/>
                <w:lang w:eastAsia="zh-CN"/>
              </w:rPr>
            </w:pPr>
            <w:r w:rsidRPr="00567588">
              <w:rPr>
                <w:rFonts w:ascii="ArialMT" w:hAnsi="ArialMT" w:cs="ArialMT"/>
                <w:sz w:val="16"/>
                <w:szCs w:val="16"/>
              </w:rPr>
              <w:t>95%</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Despite an increase in the number of requests for advice as well as the fields covered, 98% of the queries received prompt and reliable responses from the OLC.</w:t>
            </w:r>
          </w:p>
        </w:tc>
        <w:tc>
          <w:tcPr>
            <w:tcW w:w="648" w:type="pct"/>
            <w:shd w:val="clear" w:color="auto" w:fill="auto"/>
            <w:tcMar>
              <w:top w:w="110" w:type="dxa"/>
            </w:tcMar>
          </w:tcPr>
          <w:p w:rsidR="000B5438" w:rsidRDefault="000B5438" w:rsidP="007C0423">
            <w:pPr>
              <w:keepNext/>
              <w:keepLines/>
              <w:jc w:val="center"/>
              <w:rPr>
                <w:rStyle w:val="Style5"/>
                <w:rFonts w:cs="Arial"/>
                <w:sz w:val="16"/>
                <w:szCs w:val="16"/>
              </w:rPr>
            </w:pPr>
            <w:r w:rsidRPr="000969AB">
              <w:rPr>
                <w:rFonts w:cs="Arial"/>
                <w:bCs/>
                <w:color w:val="008000"/>
                <w:sz w:val="16"/>
                <w:szCs w:val="16"/>
              </w:rPr>
              <w:t>Fully</w:t>
            </w:r>
            <w:r w:rsidRPr="000969AB">
              <w:rPr>
                <w:rFonts w:cs="Arial"/>
                <w:bCs/>
                <w:color w:val="008000"/>
                <w:sz w:val="16"/>
                <w:szCs w:val="16"/>
              </w:rPr>
              <w:br/>
              <w:t>Achieved</w:t>
            </w:r>
          </w:p>
        </w:tc>
      </w:tr>
      <w:tr w:rsidR="000B5438" w:rsidTr="000B2E9F">
        <w:trPr>
          <w:cantSplit/>
        </w:trPr>
        <w:tc>
          <w:tcPr>
            <w:tcW w:w="789" w:type="pct"/>
            <w:shd w:val="clear" w:color="auto" w:fill="auto"/>
          </w:tcPr>
          <w:p w:rsidR="000B5438" w:rsidRPr="00817B52" w:rsidRDefault="000B5438" w:rsidP="007C0423">
            <w:pPr>
              <w:rPr>
                <w:rFonts w:cs="Arial"/>
                <w:color w:val="000000"/>
                <w:sz w:val="16"/>
                <w:szCs w:val="16"/>
              </w:rPr>
            </w:pPr>
            <w:r w:rsidRPr="003628E3">
              <w:rPr>
                <w:rFonts w:cs="Arial"/>
                <w:color w:val="000000"/>
                <w:sz w:val="16"/>
                <w:szCs w:val="16"/>
              </w:rPr>
              <w:t>% of adherence notifications processed in a timely manner</w:t>
            </w:r>
          </w:p>
        </w:tc>
        <w:tc>
          <w:tcPr>
            <w:tcW w:w="914" w:type="pct"/>
            <w:shd w:val="clear" w:color="auto" w:fill="auto"/>
          </w:tcPr>
          <w:p w:rsidR="000B5438" w:rsidRPr="0027745B" w:rsidRDefault="000B5438" w:rsidP="007C0423">
            <w:pPr>
              <w:rPr>
                <w:rFonts w:cs="Arial"/>
                <w:sz w:val="16"/>
                <w:szCs w:val="16"/>
              </w:rPr>
            </w:pPr>
            <w:r>
              <w:rPr>
                <w:rFonts w:cs="Arial"/>
                <w:sz w:val="16"/>
                <w:szCs w:val="16"/>
              </w:rPr>
              <w:t>100% processed within three</w:t>
            </w:r>
            <w:r w:rsidRPr="003628E3">
              <w:rPr>
                <w:rFonts w:cs="Arial"/>
                <w:sz w:val="16"/>
                <w:szCs w:val="16"/>
              </w:rPr>
              <w:t xml:space="preserve"> days</w:t>
            </w:r>
          </w:p>
        </w:tc>
        <w:tc>
          <w:tcPr>
            <w:tcW w:w="834" w:type="pct"/>
            <w:shd w:val="clear" w:color="auto" w:fill="auto"/>
            <w:tcMar>
              <w:top w:w="110" w:type="dxa"/>
            </w:tcMar>
          </w:tcPr>
          <w:p w:rsidR="000B5438" w:rsidRPr="00567588" w:rsidRDefault="000B5438" w:rsidP="007C0423">
            <w:pPr>
              <w:autoSpaceDE w:val="0"/>
              <w:autoSpaceDN w:val="0"/>
              <w:adjustRightInd w:val="0"/>
              <w:rPr>
                <w:rFonts w:ascii="ArialMT" w:hAnsi="ArialMT" w:cs="ArialMT"/>
                <w:sz w:val="16"/>
                <w:szCs w:val="16"/>
              </w:rPr>
            </w:pPr>
            <w:r w:rsidRPr="00567588">
              <w:rPr>
                <w:rFonts w:ascii="ArialMT" w:hAnsi="ArialMT" w:cs="ArialMT"/>
                <w:sz w:val="16"/>
                <w:szCs w:val="16"/>
              </w:rPr>
              <w:t>95% processed</w:t>
            </w:r>
          </w:p>
          <w:p w:rsidR="000B5438" w:rsidRPr="0027745B" w:rsidRDefault="000B5438" w:rsidP="007C0423">
            <w:pPr>
              <w:rPr>
                <w:rFonts w:cs="Arial"/>
                <w:sz w:val="16"/>
                <w:szCs w:val="16"/>
                <w:lang w:bidi="th-TH"/>
              </w:rPr>
            </w:pPr>
            <w:r w:rsidRPr="00567588">
              <w:rPr>
                <w:rFonts w:ascii="ArialMT" w:hAnsi="ArialMT" w:cs="ArialMT"/>
                <w:sz w:val="16"/>
                <w:szCs w:val="16"/>
              </w:rPr>
              <w:t>within three days</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98% of notifications of adherence and other treaty related actions processed within three days.</w:t>
            </w:r>
          </w:p>
        </w:tc>
        <w:tc>
          <w:tcPr>
            <w:tcW w:w="648" w:type="pct"/>
            <w:shd w:val="clear" w:color="auto" w:fill="auto"/>
            <w:tcMar>
              <w:top w:w="110" w:type="dxa"/>
            </w:tcMar>
          </w:tcPr>
          <w:p w:rsidR="000B5438" w:rsidRDefault="000B5438" w:rsidP="007C0423">
            <w:pPr>
              <w:keepNext/>
              <w:keepLines/>
              <w:jc w:val="center"/>
              <w:rPr>
                <w:rStyle w:val="Style5"/>
                <w:rFonts w:cs="Arial"/>
                <w:sz w:val="16"/>
                <w:szCs w:val="16"/>
              </w:rPr>
            </w:pPr>
            <w:r w:rsidRPr="000969AB">
              <w:rPr>
                <w:rFonts w:cs="Arial"/>
                <w:bCs/>
                <w:color w:val="008000"/>
                <w:sz w:val="16"/>
                <w:szCs w:val="16"/>
              </w:rPr>
              <w:t>Fully</w:t>
            </w:r>
            <w:r w:rsidRPr="000969AB">
              <w:rPr>
                <w:rFonts w:cs="Arial"/>
                <w:bCs/>
                <w:color w:val="008000"/>
                <w:sz w:val="16"/>
                <w:szCs w:val="16"/>
              </w:rPr>
              <w:br/>
              <w:t>Achieved</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 of users satisfied with standard of service obtained from Ombuds-Office</w:t>
            </w:r>
          </w:p>
        </w:tc>
        <w:tc>
          <w:tcPr>
            <w:tcW w:w="914" w:type="pct"/>
            <w:shd w:val="clear" w:color="auto" w:fill="auto"/>
          </w:tcPr>
          <w:p w:rsidR="000B5438" w:rsidRPr="000969AB" w:rsidRDefault="000B5438" w:rsidP="007C0423">
            <w:pPr>
              <w:rPr>
                <w:rFonts w:cs="Arial"/>
                <w:i/>
                <w:color w:val="002060"/>
                <w:sz w:val="16"/>
                <w:szCs w:val="16"/>
              </w:rPr>
            </w:pPr>
            <w:r w:rsidRPr="000969AB">
              <w:rPr>
                <w:rFonts w:cs="Arial"/>
                <w:i/>
                <w:color w:val="002060"/>
                <w:sz w:val="16"/>
                <w:szCs w:val="16"/>
              </w:rPr>
              <w:t xml:space="preserve">Updated Baseline end 2011:  </w:t>
            </w:r>
            <w:r w:rsidRPr="0027745B">
              <w:rPr>
                <w:rFonts w:cs="Arial"/>
                <w:color w:val="002060"/>
                <w:sz w:val="16"/>
                <w:szCs w:val="16"/>
              </w:rPr>
              <w:t>76%</w:t>
            </w:r>
          </w:p>
          <w:p w:rsidR="000B5438" w:rsidRPr="0024474C" w:rsidRDefault="000B5438" w:rsidP="007C0423">
            <w:pPr>
              <w:rPr>
                <w:rFonts w:cs="Arial"/>
                <w:i/>
                <w:color w:val="000000"/>
                <w:sz w:val="8"/>
                <w:szCs w:val="8"/>
              </w:rPr>
            </w:pPr>
          </w:p>
          <w:p w:rsidR="000B5438"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i/>
                <w:color w:val="000000"/>
                <w:sz w:val="16"/>
                <w:szCs w:val="16"/>
              </w:rPr>
              <w:br/>
            </w:r>
            <w:r>
              <w:rPr>
                <w:rFonts w:cs="Arial"/>
                <w:color w:val="000000"/>
                <w:sz w:val="16"/>
                <w:szCs w:val="16"/>
              </w:rPr>
              <w:t>Data not available</w:t>
            </w:r>
          </w:p>
          <w:p w:rsidR="000B5438" w:rsidRPr="0027745B" w:rsidRDefault="000B5438" w:rsidP="007C0423">
            <w:pPr>
              <w:rPr>
                <w:rFonts w:ascii="ArialMT" w:hAnsi="ArialMT" w:cs="ArialMT"/>
                <w:sz w:val="16"/>
                <w:szCs w:val="16"/>
              </w:rPr>
            </w:pPr>
          </w:p>
        </w:tc>
        <w:tc>
          <w:tcPr>
            <w:tcW w:w="834" w:type="pct"/>
            <w:shd w:val="clear" w:color="auto" w:fill="auto"/>
            <w:tcMar>
              <w:top w:w="110" w:type="dxa"/>
            </w:tcMar>
          </w:tcPr>
          <w:p w:rsidR="000B5438" w:rsidRPr="0027745B" w:rsidRDefault="000B5438" w:rsidP="007C0423">
            <w:pPr>
              <w:rPr>
                <w:rFonts w:cs="Arial"/>
                <w:sz w:val="16"/>
                <w:szCs w:val="16"/>
                <w:lang w:bidi="th-TH"/>
              </w:rPr>
            </w:pPr>
            <w:r w:rsidRPr="00567588">
              <w:rPr>
                <w:rFonts w:ascii="ArialMT" w:hAnsi="ArialMT" w:cs="ArialMT"/>
                <w:sz w:val="16"/>
                <w:szCs w:val="16"/>
              </w:rPr>
              <w:t>70%</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77% as per the 2012 user feedback survey (conducted in March 2013)</w:t>
            </w:r>
            <w:r w:rsidR="00FB33D5">
              <w:rPr>
                <w:rFonts w:cs="Arial"/>
                <w:sz w:val="16"/>
                <w:szCs w:val="16"/>
                <w:lang w:bidi="th-TH"/>
              </w:rPr>
              <w:t>.</w:t>
            </w:r>
          </w:p>
        </w:tc>
        <w:tc>
          <w:tcPr>
            <w:tcW w:w="648" w:type="pct"/>
            <w:shd w:val="clear" w:color="auto" w:fill="auto"/>
            <w:tcMar>
              <w:top w:w="110" w:type="dxa"/>
            </w:tcMar>
          </w:tcPr>
          <w:p w:rsidR="000B5438" w:rsidRDefault="000B5438" w:rsidP="007C0423">
            <w:pPr>
              <w:keepNext/>
              <w:keepLines/>
              <w:jc w:val="center"/>
              <w:rPr>
                <w:rStyle w:val="Style5"/>
                <w:rFonts w:cs="Arial"/>
                <w:sz w:val="16"/>
                <w:szCs w:val="16"/>
              </w:rPr>
            </w:pPr>
            <w:r w:rsidRPr="000969AB">
              <w:rPr>
                <w:rFonts w:cs="Arial"/>
                <w:bCs/>
                <w:color w:val="008000"/>
                <w:sz w:val="16"/>
                <w:szCs w:val="16"/>
              </w:rPr>
              <w:t>Fully</w:t>
            </w:r>
            <w:r w:rsidRPr="000969AB">
              <w:rPr>
                <w:rFonts w:cs="Arial"/>
                <w:bCs/>
                <w:color w:val="008000"/>
                <w:sz w:val="16"/>
                <w:szCs w:val="16"/>
              </w:rPr>
              <w:br/>
              <w:t>Achieved</w:t>
            </w:r>
            <w:r>
              <w:rPr>
                <w:rStyle w:val="Style5"/>
                <w:rFonts w:cs="Arial"/>
                <w:sz w:val="16"/>
                <w:szCs w:val="16"/>
              </w:rPr>
              <w:t xml:space="preserve"> </w:t>
            </w:r>
          </w:p>
        </w:tc>
      </w:tr>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lastRenderedPageBreak/>
              <w:t>Expected Result</w:t>
            </w:r>
            <w:r>
              <w:rPr>
                <w:rFonts w:cs="Arial"/>
                <w:b/>
                <w:bCs/>
                <w:sz w:val="16"/>
                <w:szCs w:val="16"/>
              </w:rPr>
              <w:t>:</w:t>
            </w:r>
            <w:r>
              <w:rPr>
                <w:rFonts w:cs="Arial"/>
                <w:b/>
                <w:bCs/>
                <w:sz w:val="16"/>
                <w:szCs w:val="16"/>
              </w:rPr>
              <w:tab/>
            </w:r>
            <w:r w:rsidRPr="003628E3">
              <w:rPr>
                <w:rFonts w:cs="Arial"/>
                <w:color w:val="000000"/>
                <w:sz w:val="16"/>
                <w:szCs w:val="16"/>
              </w:rPr>
              <w:t>Improved working environment supported by enabling regulatory framework and effective channels to address staff concerns</w:t>
            </w:r>
          </w:p>
        </w:tc>
      </w:tr>
      <w:tr w:rsidR="00FB33D5" w:rsidRPr="00FB33D5" w:rsidTr="000B2E9F">
        <w:trPr>
          <w:cantSplit/>
        </w:trPr>
        <w:tc>
          <w:tcPr>
            <w:tcW w:w="789" w:type="pct"/>
            <w:shd w:val="clear" w:color="auto" w:fill="auto"/>
            <w:vAlign w:val="center"/>
          </w:tcPr>
          <w:p w:rsidR="000B5438" w:rsidRPr="00FB33D5" w:rsidRDefault="000B5438" w:rsidP="007C0423">
            <w:pPr>
              <w:rPr>
                <w:rFonts w:cs="Arial"/>
                <w:sz w:val="16"/>
                <w:szCs w:val="16"/>
              </w:rPr>
            </w:pPr>
            <w:r w:rsidRPr="00FB33D5">
              <w:rPr>
                <w:rFonts w:cs="Arial"/>
                <w:b/>
                <w:bCs/>
                <w:sz w:val="16"/>
                <w:szCs w:val="16"/>
              </w:rPr>
              <w:t>Performance Indicators</w:t>
            </w:r>
          </w:p>
        </w:tc>
        <w:tc>
          <w:tcPr>
            <w:tcW w:w="914" w:type="pct"/>
            <w:shd w:val="clear" w:color="auto" w:fill="auto"/>
            <w:vAlign w:val="center"/>
          </w:tcPr>
          <w:p w:rsidR="000B5438" w:rsidRPr="00FB33D5" w:rsidRDefault="000B5438" w:rsidP="007C0423">
            <w:pPr>
              <w:rPr>
                <w:rFonts w:cs="Arial"/>
                <w:i/>
                <w:sz w:val="16"/>
                <w:szCs w:val="16"/>
              </w:rPr>
            </w:pPr>
            <w:r w:rsidRPr="00FB33D5">
              <w:rPr>
                <w:rFonts w:cs="Arial"/>
                <w:b/>
                <w:bCs/>
                <w:sz w:val="16"/>
                <w:szCs w:val="16"/>
              </w:rPr>
              <w:t>Baselines</w:t>
            </w:r>
          </w:p>
        </w:tc>
        <w:tc>
          <w:tcPr>
            <w:tcW w:w="834" w:type="pct"/>
            <w:shd w:val="clear" w:color="auto" w:fill="auto"/>
            <w:tcMar>
              <w:top w:w="110" w:type="dxa"/>
            </w:tcMar>
            <w:vAlign w:val="center"/>
          </w:tcPr>
          <w:p w:rsidR="000B5438" w:rsidRPr="00FB33D5" w:rsidRDefault="000B5438" w:rsidP="007C0423">
            <w:pPr>
              <w:rPr>
                <w:rFonts w:cs="Arial"/>
                <w:sz w:val="16"/>
                <w:szCs w:val="16"/>
              </w:rPr>
            </w:pPr>
            <w:r w:rsidRPr="00FB33D5">
              <w:rPr>
                <w:rFonts w:cs="Arial"/>
                <w:b/>
                <w:sz w:val="16"/>
                <w:szCs w:val="16"/>
              </w:rPr>
              <w:t>Target</w:t>
            </w:r>
            <w:r w:rsidR="002F7D53" w:rsidRPr="00FB33D5">
              <w:rPr>
                <w:rFonts w:cs="Arial"/>
                <w:b/>
                <w:sz w:val="16"/>
                <w:szCs w:val="16"/>
              </w:rPr>
              <w:t>s</w:t>
            </w:r>
          </w:p>
        </w:tc>
        <w:tc>
          <w:tcPr>
            <w:tcW w:w="1815" w:type="pct"/>
            <w:shd w:val="clear" w:color="auto" w:fill="FFFFFF"/>
            <w:tcMar>
              <w:top w:w="110" w:type="dxa"/>
            </w:tcMar>
            <w:vAlign w:val="center"/>
          </w:tcPr>
          <w:p w:rsidR="000B5438" w:rsidRPr="00FB33D5" w:rsidRDefault="000B5438" w:rsidP="007C0423">
            <w:pPr>
              <w:rPr>
                <w:rFonts w:cs="Arial"/>
                <w:sz w:val="16"/>
                <w:szCs w:val="16"/>
                <w:lang w:bidi="th-TH"/>
              </w:rPr>
            </w:pPr>
            <w:r w:rsidRPr="00FB33D5">
              <w:rPr>
                <w:rFonts w:cs="Arial"/>
                <w:b/>
                <w:bCs/>
                <w:sz w:val="16"/>
                <w:szCs w:val="16"/>
              </w:rPr>
              <w:t>Performance Data</w:t>
            </w:r>
          </w:p>
        </w:tc>
        <w:tc>
          <w:tcPr>
            <w:tcW w:w="648" w:type="pct"/>
            <w:shd w:val="clear" w:color="auto" w:fill="auto"/>
            <w:tcMar>
              <w:top w:w="110" w:type="dxa"/>
            </w:tcMar>
            <w:vAlign w:val="center"/>
          </w:tcPr>
          <w:p w:rsidR="000B5438" w:rsidRPr="00FB33D5" w:rsidRDefault="000B5438" w:rsidP="007C0423">
            <w:pPr>
              <w:keepNext/>
              <w:keepLines/>
              <w:jc w:val="center"/>
              <w:rPr>
                <w:rFonts w:cs="Arial"/>
                <w:bCs/>
                <w:sz w:val="16"/>
                <w:szCs w:val="16"/>
              </w:rPr>
            </w:pPr>
            <w:r w:rsidRPr="00FB33D5">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Pr>
                <w:rFonts w:cs="Arial"/>
                <w:color w:val="000000"/>
                <w:sz w:val="16"/>
                <w:szCs w:val="16"/>
              </w:rPr>
              <w:t>%</w:t>
            </w:r>
            <w:r w:rsidRPr="003628E3">
              <w:rPr>
                <w:rFonts w:cs="Arial"/>
                <w:color w:val="000000"/>
                <w:sz w:val="16"/>
                <w:szCs w:val="16"/>
              </w:rPr>
              <w:t xml:space="preserve"> of staff aware of WIPO ethical principles and policies</w:t>
            </w:r>
          </w:p>
        </w:tc>
        <w:tc>
          <w:tcPr>
            <w:tcW w:w="914" w:type="pct"/>
            <w:shd w:val="clear" w:color="auto" w:fill="auto"/>
          </w:tcPr>
          <w:p w:rsidR="000B5438" w:rsidRPr="00567588" w:rsidRDefault="000B5438" w:rsidP="007C0423">
            <w:pPr>
              <w:rPr>
                <w:rFonts w:cs="Arial"/>
                <w:i/>
                <w:color w:val="002060"/>
                <w:sz w:val="16"/>
                <w:szCs w:val="16"/>
              </w:rPr>
            </w:pPr>
            <w:r w:rsidRPr="00567588">
              <w:rPr>
                <w:rFonts w:cs="Arial"/>
                <w:i/>
                <w:color w:val="002060"/>
                <w:sz w:val="16"/>
                <w:szCs w:val="16"/>
              </w:rPr>
              <w:t xml:space="preserve">Updated Baseline end 2011:  </w:t>
            </w:r>
            <w:r w:rsidRPr="0027745B">
              <w:rPr>
                <w:rFonts w:cs="Arial"/>
                <w:color w:val="002060"/>
                <w:sz w:val="16"/>
                <w:szCs w:val="16"/>
              </w:rPr>
              <w:t>74%</w:t>
            </w:r>
          </w:p>
          <w:p w:rsidR="000B5438" w:rsidRPr="0024474C" w:rsidRDefault="000B5438" w:rsidP="007C0423">
            <w:pPr>
              <w:rPr>
                <w:rFonts w:cs="Arial"/>
                <w:i/>
                <w:color w:val="002060"/>
                <w:sz w:val="8"/>
                <w:szCs w:val="8"/>
              </w:rPr>
            </w:pPr>
          </w:p>
          <w:p w:rsidR="000B5438" w:rsidRDefault="000B5438" w:rsidP="007C0423">
            <w:pPr>
              <w:rPr>
                <w:rFonts w:cs="Arial"/>
                <w:color w:val="000000"/>
                <w:sz w:val="16"/>
                <w:szCs w:val="16"/>
              </w:rPr>
            </w:pPr>
            <w:r w:rsidRPr="00567588">
              <w:rPr>
                <w:rFonts w:cs="Arial"/>
                <w:i/>
                <w:color w:val="000000"/>
                <w:sz w:val="16"/>
                <w:szCs w:val="16"/>
              </w:rPr>
              <w:t>Original Baseline P&amp;B 2012/13:</w:t>
            </w:r>
            <w:r>
              <w:rPr>
                <w:rFonts w:cs="Arial"/>
                <w:i/>
                <w:color w:val="000000"/>
                <w:sz w:val="16"/>
                <w:szCs w:val="16"/>
              </w:rPr>
              <w:t xml:space="preserve">  </w:t>
            </w:r>
            <w:r>
              <w:rPr>
                <w:rFonts w:cs="Arial"/>
                <w:color w:val="000000"/>
                <w:sz w:val="16"/>
                <w:szCs w:val="16"/>
              </w:rPr>
              <w:t>64%</w:t>
            </w:r>
          </w:p>
          <w:p w:rsidR="000B5438" w:rsidRPr="0027745B" w:rsidRDefault="000B5438" w:rsidP="007C0423">
            <w:pPr>
              <w:rPr>
                <w:rFonts w:cs="Arial"/>
                <w:color w:val="000000"/>
                <w:sz w:val="16"/>
                <w:szCs w:val="16"/>
              </w:rPr>
            </w:pPr>
          </w:p>
        </w:tc>
        <w:tc>
          <w:tcPr>
            <w:tcW w:w="834" w:type="pct"/>
            <w:shd w:val="clear" w:color="auto" w:fill="auto"/>
            <w:tcMar>
              <w:top w:w="110" w:type="dxa"/>
            </w:tcMar>
          </w:tcPr>
          <w:p w:rsidR="000B5438" w:rsidRPr="0027745B" w:rsidRDefault="000B5438" w:rsidP="007C0423">
            <w:pPr>
              <w:rPr>
                <w:rFonts w:ascii="ArialMT" w:hAnsi="ArialMT" w:cs="ArialMT"/>
                <w:sz w:val="16"/>
                <w:szCs w:val="16"/>
              </w:rPr>
            </w:pPr>
            <w:r w:rsidRPr="00567588">
              <w:rPr>
                <w:rFonts w:ascii="ArialMT" w:hAnsi="ArialMT" w:cs="ArialMT"/>
                <w:sz w:val="16"/>
                <w:szCs w:val="16"/>
              </w:rPr>
              <w:t>+</w:t>
            </w:r>
            <w:r w:rsidR="00EC1008">
              <w:rPr>
                <w:rFonts w:ascii="ArialMT" w:hAnsi="ArialMT" w:cs="ArialMT"/>
                <w:sz w:val="16"/>
                <w:szCs w:val="16"/>
              </w:rPr>
              <w:t>ten per cent</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98% from the SRP Core Values Survey (conducted from January to February 2013)</w:t>
            </w:r>
            <w:r w:rsidR="00FB33D5">
              <w:rPr>
                <w:rFonts w:cs="Arial"/>
                <w:sz w:val="16"/>
                <w:szCs w:val="16"/>
                <w:lang w:bidi="th-TH"/>
              </w:rPr>
              <w:t>.</w:t>
            </w:r>
          </w:p>
        </w:tc>
        <w:tc>
          <w:tcPr>
            <w:tcW w:w="648" w:type="pct"/>
            <w:shd w:val="clear" w:color="auto" w:fill="auto"/>
            <w:tcMar>
              <w:top w:w="110" w:type="dxa"/>
            </w:tcMar>
          </w:tcPr>
          <w:p w:rsidR="000B5438" w:rsidRDefault="000B5438" w:rsidP="007C0423">
            <w:pPr>
              <w:keepNext/>
              <w:keepLines/>
              <w:jc w:val="center"/>
              <w:rPr>
                <w:rFonts w:cs="Arial"/>
                <w:bCs/>
                <w:color w:val="008000"/>
                <w:sz w:val="16"/>
                <w:szCs w:val="16"/>
              </w:rPr>
            </w:pPr>
            <w:r w:rsidRPr="000969AB">
              <w:rPr>
                <w:rFonts w:cs="Arial"/>
                <w:bCs/>
                <w:color w:val="008000"/>
                <w:sz w:val="16"/>
                <w:szCs w:val="16"/>
              </w:rPr>
              <w:t>Fully</w:t>
            </w:r>
            <w:r w:rsidRPr="000969AB">
              <w:rPr>
                <w:rFonts w:cs="Arial"/>
                <w:bCs/>
                <w:color w:val="008000"/>
                <w:sz w:val="16"/>
                <w:szCs w:val="16"/>
              </w:rPr>
              <w:br/>
              <w:t>Achieved</w:t>
            </w:r>
            <w:r>
              <w:rPr>
                <w:rFonts w:cs="Arial"/>
                <w:bCs/>
                <w:color w:val="008000"/>
                <w:sz w:val="16"/>
                <w:szCs w:val="16"/>
              </w:rPr>
              <w:t xml:space="preserve"> </w:t>
            </w:r>
          </w:p>
        </w:tc>
      </w:tr>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628E3">
              <w:rPr>
                <w:rFonts w:cs="Arial"/>
                <w:color w:val="000000"/>
                <w:sz w:val="16"/>
                <w:szCs w:val="16"/>
              </w:rPr>
              <w:t>WIPO effectively interacts and partners with UN and other IGO processes and negotiations</w:t>
            </w:r>
          </w:p>
        </w:tc>
      </w:tr>
      <w:tr w:rsidR="00FB33D5" w:rsidRPr="00FB33D5" w:rsidTr="000B2E9F">
        <w:trPr>
          <w:cantSplit/>
        </w:trPr>
        <w:tc>
          <w:tcPr>
            <w:tcW w:w="789" w:type="pct"/>
            <w:shd w:val="clear" w:color="auto" w:fill="auto"/>
            <w:vAlign w:val="center"/>
          </w:tcPr>
          <w:p w:rsidR="000B5438" w:rsidRPr="00FB33D5" w:rsidRDefault="000B5438" w:rsidP="007C0423">
            <w:pPr>
              <w:rPr>
                <w:rFonts w:cs="Arial"/>
                <w:sz w:val="16"/>
                <w:szCs w:val="16"/>
              </w:rPr>
            </w:pPr>
            <w:r w:rsidRPr="00FB33D5">
              <w:rPr>
                <w:rFonts w:cs="Arial"/>
                <w:b/>
                <w:bCs/>
                <w:sz w:val="16"/>
                <w:szCs w:val="16"/>
              </w:rPr>
              <w:t>Performance Indicators</w:t>
            </w:r>
          </w:p>
        </w:tc>
        <w:tc>
          <w:tcPr>
            <w:tcW w:w="914" w:type="pct"/>
            <w:shd w:val="clear" w:color="auto" w:fill="auto"/>
            <w:vAlign w:val="center"/>
          </w:tcPr>
          <w:p w:rsidR="000B5438" w:rsidRPr="00FB33D5" w:rsidRDefault="000B5438" w:rsidP="007C0423">
            <w:pPr>
              <w:rPr>
                <w:rFonts w:cs="Arial"/>
                <w:i/>
                <w:sz w:val="16"/>
                <w:szCs w:val="16"/>
              </w:rPr>
            </w:pPr>
            <w:r w:rsidRPr="00FB33D5">
              <w:rPr>
                <w:rFonts w:cs="Arial"/>
                <w:b/>
                <w:bCs/>
                <w:sz w:val="16"/>
                <w:szCs w:val="16"/>
              </w:rPr>
              <w:t>Baselines</w:t>
            </w:r>
          </w:p>
        </w:tc>
        <w:tc>
          <w:tcPr>
            <w:tcW w:w="834" w:type="pct"/>
            <w:shd w:val="clear" w:color="auto" w:fill="auto"/>
            <w:tcMar>
              <w:top w:w="110" w:type="dxa"/>
            </w:tcMar>
            <w:vAlign w:val="center"/>
          </w:tcPr>
          <w:p w:rsidR="000B5438" w:rsidRPr="00FB33D5" w:rsidRDefault="000B5438" w:rsidP="007C0423">
            <w:pPr>
              <w:rPr>
                <w:rFonts w:cs="Arial"/>
                <w:sz w:val="16"/>
                <w:szCs w:val="16"/>
              </w:rPr>
            </w:pPr>
            <w:r w:rsidRPr="00FB33D5">
              <w:rPr>
                <w:rFonts w:cs="Arial"/>
                <w:b/>
                <w:sz w:val="16"/>
                <w:szCs w:val="16"/>
              </w:rPr>
              <w:t>Target</w:t>
            </w:r>
            <w:r w:rsidR="002F7D53" w:rsidRPr="00FB33D5">
              <w:rPr>
                <w:rFonts w:cs="Arial"/>
                <w:b/>
                <w:sz w:val="16"/>
                <w:szCs w:val="16"/>
              </w:rPr>
              <w:t>s</w:t>
            </w:r>
          </w:p>
        </w:tc>
        <w:tc>
          <w:tcPr>
            <w:tcW w:w="1815" w:type="pct"/>
            <w:shd w:val="clear" w:color="auto" w:fill="FFFFFF"/>
            <w:tcMar>
              <w:top w:w="110" w:type="dxa"/>
            </w:tcMar>
            <w:vAlign w:val="center"/>
          </w:tcPr>
          <w:p w:rsidR="000B5438" w:rsidRPr="00FB33D5" w:rsidRDefault="000B5438" w:rsidP="007C0423">
            <w:pPr>
              <w:rPr>
                <w:rFonts w:cs="Arial"/>
                <w:sz w:val="16"/>
                <w:szCs w:val="16"/>
                <w:lang w:bidi="th-TH"/>
              </w:rPr>
            </w:pPr>
            <w:r w:rsidRPr="00FB33D5">
              <w:rPr>
                <w:rFonts w:cs="Arial"/>
                <w:b/>
                <w:bCs/>
                <w:sz w:val="16"/>
                <w:szCs w:val="16"/>
              </w:rPr>
              <w:t>Performance Data</w:t>
            </w:r>
          </w:p>
        </w:tc>
        <w:tc>
          <w:tcPr>
            <w:tcW w:w="648" w:type="pct"/>
            <w:shd w:val="clear" w:color="auto" w:fill="auto"/>
            <w:tcMar>
              <w:top w:w="110" w:type="dxa"/>
            </w:tcMar>
            <w:vAlign w:val="center"/>
          </w:tcPr>
          <w:p w:rsidR="000B5438" w:rsidRPr="00FB33D5" w:rsidRDefault="000B5438" w:rsidP="007C0423">
            <w:pPr>
              <w:keepNext/>
              <w:keepLines/>
              <w:jc w:val="center"/>
              <w:rPr>
                <w:rFonts w:cs="Arial"/>
                <w:bCs/>
                <w:sz w:val="16"/>
                <w:szCs w:val="16"/>
              </w:rPr>
            </w:pPr>
            <w:r w:rsidRPr="00FB33D5">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Pr>
                <w:rFonts w:cs="Arial"/>
                <w:color w:val="000000"/>
                <w:sz w:val="16"/>
                <w:szCs w:val="16"/>
              </w:rPr>
              <w:t>New joint initiatives with other UN agencies</w:t>
            </w:r>
          </w:p>
        </w:tc>
        <w:tc>
          <w:tcPr>
            <w:tcW w:w="914" w:type="pct"/>
            <w:shd w:val="clear" w:color="auto" w:fill="auto"/>
          </w:tcPr>
          <w:p w:rsidR="000B5438" w:rsidRPr="0027745B" w:rsidRDefault="000B5438" w:rsidP="007C0423">
            <w:pPr>
              <w:pStyle w:val="Default"/>
              <w:rPr>
                <w:color w:val="002060"/>
                <w:sz w:val="16"/>
                <w:szCs w:val="16"/>
              </w:rPr>
            </w:pPr>
            <w:r w:rsidRPr="000969AB">
              <w:rPr>
                <w:i/>
                <w:color w:val="002060"/>
                <w:sz w:val="16"/>
                <w:szCs w:val="16"/>
              </w:rPr>
              <w:t xml:space="preserve">Updated Baseline end 2011:  </w:t>
            </w:r>
            <w:r w:rsidRPr="0027745B">
              <w:rPr>
                <w:color w:val="002060"/>
                <w:sz w:val="16"/>
                <w:szCs w:val="16"/>
              </w:rPr>
              <w:t xml:space="preserve">Two for the 2012/13 biennium </w:t>
            </w:r>
          </w:p>
          <w:p w:rsidR="000B5438" w:rsidRPr="0024474C" w:rsidRDefault="000B5438" w:rsidP="007C0423">
            <w:pPr>
              <w:rPr>
                <w:rFonts w:cs="Arial"/>
                <w:i/>
                <w:color w:val="002060"/>
                <w:sz w:val="8"/>
                <w:szCs w:val="8"/>
              </w:rPr>
            </w:pPr>
          </w:p>
          <w:p w:rsidR="000B5438" w:rsidRPr="002C4083" w:rsidRDefault="000B5438" w:rsidP="007C0423">
            <w:pPr>
              <w:rPr>
                <w:rFonts w:cs="Arial"/>
                <w:color w:val="000000"/>
                <w:sz w:val="16"/>
                <w:szCs w:val="16"/>
                <w:lang w:val="pt-BR"/>
              </w:rPr>
            </w:pPr>
            <w:r w:rsidRPr="002C4083">
              <w:rPr>
                <w:rFonts w:cs="Arial"/>
                <w:i/>
                <w:color w:val="000000"/>
                <w:sz w:val="16"/>
                <w:szCs w:val="16"/>
                <w:lang w:val="pt-BR"/>
              </w:rPr>
              <w:t xml:space="preserve">Original Baseline P&amp;B 2012/13:  </w:t>
            </w:r>
            <w:r w:rsidRPr="002C4083">
              <w:rPr>
                <w:rFonts w:cs="Arial"/>
                <w:color w:val="000000"/>
                <w:sz w:val="16"/>
                <w:szCs w:val="16"/>
                <w:lang w:val="pt-BR"/>
              </w:rPr>
              <w:t>n/a</w:t>
            </w:r>
          </w:p>
          <w:p w:rsidR="000B5438" w:rsidRPr="002C4083" w:rsidRDefault="000B5438" w:rsidP="007C0423">
            <w:pPr>
              <w:rPr>
                <w:rFonts w:cs="Arial"/>
                <w:i/>
                <w:color w:val="000000"/>
                <w:sz w:val="16"/>
                <w:szCs w:val="16"/>
                <w:lang w:val="pt-BR"/>
              </w:rPr>
            </w:pPr>
          </w:p>
        </w:tc>
        <w:tc>
          <w:tcPr>
            <w:tcW w:w="834" w:type="pct"/>
            <w:shd w:val="clear" w:color="auto" w:fill="auto"/>
            <w:tcMar>
              <w:top w:w="110" w:type="dxa"/>
            </w:tcMar>
          </w:tcPr>
          <w:p w:rsidR="000B5438" w:rsidRPr="0027745B" w:rsidRDefault="000B5438" w:rsidP="007C0423">
            <w:pPr>
              <w:rPr>
                <w:rFonts w:ascii="ArialMT" w:hAnsi="ArialMT" w:cs="ArialMT"/>
                <w:sz w:val="16"/>
                <w:szCs w:val="16"/>
              </w:rPr>
            </w:pPr>
            <w:r w:rsidRPr="00567588">
              <w:rPr>
                <w:rFonts w:ascii="ArialMT" w:hAnsi="ArialMT" w:cs="ArialMT"/>
                <w:sz w:val="16"/>
                <w:szCs w:val="16"/>
              </w:rPr>
              <w:t>Two</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Two new initiatives undertaken by the Director General (Director General Chaired the HLCM in 2012; launch by the Director General of the Global Innovation Index at ECOSOC in Geneva in 2013)</w:t>
            </w:r>
            <w:r w:rsidR="00FB33D5">
              <w:rPr>
                <w:rFonts w:cs="Arial"/>
                <w:sz w:val="16"/>
                <w:szCs w:val="16"/>
                <w:lang w:bidi="th-TH"/>
              </w:rPr>
              <w:t>.</w:t>
            </w:r>
          </w:p>
        </w:tc>
        <w:tc>
          <w:tcPr>
            <w:tcW w:w="648" w:type="pct"/>
            <w:shd w:val="clear" w:color="auto" w:fill="auto"/>
            <w:tcMar>
              <w:top w:w="110" w:type="dxa"/>
            </w:tcMar>
          </w:tcPr>
          <w:p w:rsidR="000B5438" w:rsidRDefault="000B5438" w:rsidP="007C0423">
            <w:pPr>
              <w:keepNext/>
              <w:keepLines/>
              <w:jc w:val="center"/>
              <w:rPr>
                <w:rFonts w:cs="Arial"/>
                <w:bCs/>
                <w:color w:val="008000"/>
                <w:sz w:val="16"/>
                <w:szCs w:val="16"/>
              </w:rPr>
            </w:pPr>
            <w:r w:rsidRPr="000969AB">
              <w:rPr>
                <w:rFonts w:cs="Arial"/>
                <w:bCs/>
                <w:color w:val="008000"/>
                <w:sz w:val="16"/>
                <w:szCs w:val="16"/>
              </w:rPr>
              <w:t>Fully</w:t>
            </w:r>
            <w:r w:rsidRPr="000969AB">
              <w:rPr>
                <w:rFonts w:cs="Arial"/>
                <w:bCs/>
                <w:color w:val="008000"/>
                <w:sz w:val="16"/>
                <w:szCs w:val="16"/>
              </w:rPr>
              <w:br/>
              <w:t>Achieved</w:t>
            </w:r>
          </w:p>
        </w:tc>
      </w:tr>
      <w:tr w:rsidR="000B5438" w:rsidTr="007C0423">
        <w:trPr>
          <w:cantSplit/>
        </w:trPr>
        <w:tc>
          <w:tcPr>
            <w:tcW w:w="5000" w:type="pct"/>
            <w:gridSpan w:val="5"/>
            <w:tcBorders>
              <w:top w:val="single" w:sz="4" w:space="0" w:color="auto"/>
              <w:bottom w:val="single" w:sz="4" w:space="0" w:color="auto"/>
            </w:tcBorders>
            <w:shd w:val="clear" w:color="auto" w:fill="CCFFFF"/>
            <w:vAlign w:val="center"/>
          </w:tcPr>
          <w:p w:rsidR="000B5438" w:rsidRDefault="000B5438" w:rsidP="007C0423">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628E3">
              <w:rPr>
                <w:rFonts w:cs="Arial"/>
                <w:color w:val="000000"/>
                <w:sz w:val="16"/>
                <w:szCs w:val="16"/>
              </w:rPr>
              <w:t>Enhanced</w:t>
            </w:r>
            <w:r w:rsidRPr="003628E3">
              <w:rPr>
                <w:rFonts w:cs="Arial"/>
                <w:sz w:val="16"/>
                <w:szCs w:val="16"/>
              </w:rPr>
              <w:t xml:space="preserve"> access to, and use of, IP-related legal information</w:t>
            </w:r>
          </w:p>
        </w:tc>
      </w:tr>
      <w:tr w:rsidR="00FB33D5" w:rsidRPr="00FB33D5" w:rsidTr="000B2E9F">
        <w:trPr>
          <w:cantSplit/>
        </w:trPr>
        <w:tc>
          <w:tcPr>
            <w:tcW w:w="789" w:type="pct"/>
            <w:shd w:val="clear" w:color="auto" w:fill="auto"/>
            <w:vAlign w:val="center"/>
          </w:tcPr>
          <w:p w:rsidR="000B5438" w:rsidRPr="00FB33D5" w:rsidRDefault="000B5438" w:rsidP="007C0423">
            <w:pPr>
              <w:rPr>
                <w:rFonts w:cs="Arial"/>
                <w:sz w:val="16"/>
                <w:szCs w:val="16"/>
              </w:rPr>
            </w:pPr>
            <w:r w:rsidRPr="00FB33D5">
              <w:rPr>
                <w:rFonts w:cs="Arial"/>
                <w:b/>
                <w:bCs/>
                <w:sz w:val="16"/>
                <w:szCs w:val="16"/>
              </w:rPr>
              <w:t>Performance Indicators</w:t>
            </w:r>
          </w:p>
        </w:tc>
        <w:tc>
          <w:tcPr>
            <w:tcW w:w="914" w:type="pct"/>
            <w:shd w:val="clear" w:color="auto" w:fill="auto"/>
            <w:vAlign w:val="center"/>
          </w:tcPr>
          <w:p w:rsidR="000B5438" w:rsidRPr="00FB33D5" w:rsidRDefault="000B5438" w:rsidP="007C0423">
            <w:pPr>
              <w:rPr>
                <w:rFonts w:cs="Arial"/>
                <w:i/>
                <w:sz w:val="16"/>
                <w:szCs w:val="16"/>
              </w:rPr>
            </w:pPr>
            <w:r w:rsidRPr="00FB33D5">
              <w:rPr>
                <w:rFonts w:cs="Arial"/>
                <w:b/>
                <w:bCs/>
                <w:sz w:val="16"/>
                <w:szCs w:val="16"/>
              </w:rPr>
              <w:t>Baselines</w:t>
            </w:r>
          </w:p>
        </w:tc>
        <w:tc>
          <w:tcPr>
            <w:tcW w:w="834" w:type="pct"/>
            <w:shd w:val="clear" w:color="auto" w:fill="auto"/>
            <w:tcMar>
              <w:top w:w="110" w:type="dxa"/>
            </w:tcMar>
            <w:vAlign w:val="center"/>
          </w:tcPr>
          <w:p w:rsidR="000B5438" w:rsidRPr="00FB33D5" w:rsidRDefault="000B5438" w:rsidP="007C0423">
            <w:pPr>
              <w:rPr>
                <w:rFonts w:cs="Arial"/>
                <w:sz w:val="16"/>
                <w:szCs w:val="16"/>
              </w:rPr>
            </w:pPr>
            <w:r w:rsidRPr="00FB33D5">
              <w:rPr>
                <w:rFonts w:cs="Arial"/>
                <w:b/>
                <w:sz w:val="16"/>
                <w:szCs w:val="16"/>
              </w:rPr>
              <w:t>Target</w:t>
            </w:r>
            <w:r w:rsidR="002F7D53" w:rsidRPr="00FB33D5">
              <w:rPr>
                <w:rFonts w:cs="Arial"/>
                <w:b/>
                <w:sz w:val="16"/>
                <w:szCs w:val="16"/>
              </w:rPr>
              <w:t>s</w:t>
            </w:r>
          </w:p>
        </w:tc>
        <w:tc>
          <w:tcPr>
            <w:tcW w:w="1815" w:type="pct"/>
            <w:shd w:val="clear" w:color="auto" w:fill="FFFFFF"/>
            <w:tcMar>
              <w:top w:w="110" w:type="dxa"/>
            </w:tcMar>
            <w:vAlign w:val="center"/>
          </w:tcPr>
          <w:p w:rsidR="000B5438" w:rsidRPr="00FB33D5" w:rsidRDefault="000B5438" w:rsidP="007C0423">
            <w:pPr>
              <w:rPr>
                <w:rFonts w:cs="Arial"/>
                <w:sz w:val="16"/>
                <w:szCs w:val="16"/>
                <w:lang w:bidi="th-TH"/>
              </w:rPr>
            </w:pPr>
            <w:r w:rsidRPr="00FB33D5">
              <w:rPr>
                <w:rFonts w:cs="Arial"/>
                <w:b/>
                <w:bCs/>
                <w:sz w:val="16"/>
                <w:szCs w:val="16"/>
              </w:rPr>
              <w:t>Performance Data</w:t>
            </w:r>
          </w:p>
        </w:tc>
        <w:tc>
          <w:tcPr>
            <w:tcW w:w="648" w:type="pct"/>
            <w:shd w:val="clear" w:color="auto" w:fill="auto"/>
            <w:tcMar>
              <w:top w:w="110" w:type="dxa"/>
            </w:tcMar>
            <w:vAlign w:val="center"/>
          </w:tcPr>
          <w:p w:rsidR="000B5438" w:rsidRPr="00FB33D5" w:rsidRDefault="000B5438" w:rsidP="007C0423">
            <w:pPr>
              <w:keepNext/>
              <w:keepLines/>
              <w:jc w:val="center"/>
              <w:rPr>
                <w:rFonts w:cs="Arial"/>
                <w:bCs/>
                <w:sz w:val="16"/>
                <w:szCs w:val="16"/>
              </w:rPr>
            </w:pPr>
            <w:r w:rsidRPr="00FB33D5">
              <w:rPr>
                <w:rFonts w:cs="Arial"/>
                <w:b/>
                <w:bCs/>
                <w:sz w:val="16"/>
                <w:szCs w:val="16"/>
              </w:rPr>
              <w:t>TLS</w:t>
            </w:r>
          </w:p>
        </w:tc>
      </w:tr>
      <w:tr w:rsidR="000B5438" w:rsidTr="000B2E9F">
        <w:trPr>
          <w:cantSplit/>
        </w:trPr>
        <w:tc>
          <w:tcPr>
            <w:tcW w:w="789" w:type="pct"/>
            <w:shd w:val="clear" w:color="auto" w:fill="auto"/>
          </w:tcPr>
          <w:p w:rsidR="000B5438" w:rsidRPr="003628E3" w:rsidRDefault="000B5438" w:rsidP="007C0423">
            <w:pPr>
              <w:rPr>
                <w:rFonts w:cs="Arial"/>
                <w:color w:val="000000"/>
                <w:sz w:val="16"/>
                <w:szCs w:val="16"/>
              </w:rPr>
            </w:pPr>
            <w:r w:rsidRPr="003628E3">
              <w:rPr>
                <w:rFonts w:cs="Arial"/>
                <w:color w:val="000000"/>
                <w:sz w:val="16"/>
                <w:szCs w:val="16"/>
              </w:rPr>
              <w:t>Enhanced coverage in WIPO Lex database of IP-related legal information</w:t>
            </w:r>
          </w:p>
        </w:tc>
        <w:tc>
          <w:tcPr>
            <w:tcW w:w="914" w:type="pct"/>
            <w:shd w:val="clear" w:color="auto" w:fill="auto"/>
          </w:tcPr>
          <w:p w:rsidR="000B5438" w:rsidRPr="0027745B" w:rsidRDefault="000B5438" w:rsidP="007C0423">
            <w:pPr>
              <w:rPr>
                <w:rFonts w:cs="Arial"/>
                <w:sz w:val="16"/>
                <w:szCs w:val="16"/>
              </w:rPr>
            </w:pPr>
            <w:r w:rsidRPr="003628E3">
              <w:rPr>
                <w:rFonts w:cs="Arial"/>
                <w:color w:val="000000"/>
                <w:sz w:val="16"/>
                <w:szCs w:val="16"/>
              </w:rPr>
              <w:t>Limited coverage of regional economic integration treaties</w:t>
            </w:r>
            <w:r>
              <w:rPr>
                <w:rFonts w:cs="Arial"/>
                <w:color w:val="000000"/>
                <w:sz w:val="16"/>
                <w:szCs w:val="16"/>
              </w:rPr>
              <w:t xml:space="preserve"> (23 of which 13 have been notified to WTO</w:t>
            </w:r>
            <w:r w:rsidRPr="003628E3">
              <w:rPr>
                <w:rFonts w:cs="Arial"/>
                <w:color w:val="000000"/>
                <w:sz w:val="16"/>
                <w:szCs w:val="16"/>
              </w:rPr>
              <w:t xml:space="preserve"> and of bilateral</w:t>
            </w:r>
            <w:r w:rsidRPr="003628E3">
              <w:rPr>
                <w:rFonts w:cs="Arial"/>
                <w:sz w:val="16"/>
                <w:szCs w:val="16"/>
              </w:rPr>
              <w:t xml:space="preserve"> </w:t>
            </w:r>
            <w:r w:rsidRPr="003628E3">
              <w:rPr>
                <w:rFonts w:cs="Arial"/>
                <w:color w:val="000000"/>
                <w:sz w:val="16"/>
                <w:szCs w:val="16"/>
              </w:rPr>
              <w:t>treaties with IP-related provisions</w:t>
            </w:r>
            <w:r>
              <w:rPr>
                <w:rFonts w:cs="Arial"/>
                <w:color w:val="000000"/>
                <w:sz w:val="16"/>
                <w:szCs w:val="16"/>
              </w:rPr>
              <w:t xml:space="preserve"> (currently 90 of which 40 have been notified to WTO)</w:t>
            </w:r>
          </w:p>
        </w:tc>
        <w:tc>
          <w:tcPr>
            <w:tcW w:w="834" w:type="pct"/>
            <w:shd w:val="clear" w:color="auto" w:fill="auto"/>
            <w:tcMar>
              <w:top w:w="110" w:type="dxa"/>
            </w:tcMar>
          </w:tcPr>
          <w:p w:rsidR="000B5438" w:rsidRPr="0027745B" w:rsidRDefault="000B5438" w:rsidP="00FB33D5">
            <w:pPr>
              <w:autoSpaceDE w:val="0"/>
              <w:autoSpaceDN w:val="0"/>
              <w:adjustRightInd w:val="0"/>
              <w:rPr>
                <w:rFonts w:ascii="ArialMT" w:hAnsi="ArialMT" w:cs="ArialMT"/>
                <w:sz w:val="16"/>
                <w:szCs w:val="16"/>
              </w:rPr>
            </w:pPr>
            <w:r w:rsidRPr="00567588">
              <w:rPr>
                <w:rFonts w:ascii="ArialMT" w:hAnsi="ArialMT" w:cs="ArialMT"/>
                <w:sz w:val="16"/>
                <w:szCs w:val="16"/>
              </w:rPr>
              <w:t>Substantial</w:t>
            </w:r>
            <w:r w:rsidR="00FB33D5">
              <w:rPr>
                <w:rFonts w:ascii="ArialMT" w:hAnsi="ArialMT" w:cs="ArialMT"/>
                <w:sz w:val="16"/>
                <w:szCs w:val="16"/>
              </w:rPr>
              <w:t xml:space="preserve"> </w:t>
            </w:r>
            <w:r w:rsidRPr="00567588">
              <w:rPr>
                <w:rFonts w:ascii="ArialMT" w:hAnsi="ArialMT" w:cs="ArialMT"/>
                <w:sz w:val="16"/>
                <w:szCs w:val="16"/>
              </w:rPr>
              <w:t>coverage of over</w:t>
            </w:r>
            <w:r w:rsidR="00FB33D5">
              <w:rPr>
                <w:rFonts w:ascii="ArialMT" w:hAnsi="ArialMT" w:cs="ArialMT"/>
                <w:sz w:val="16"/>
                <w:szCs w:val="16"/>
              </w:rPr>
              <w:t xml:space="preserve"> </w:t>
            </w:r>
            <w:r w:rsidRPr="00567588">
              <w:rPr>
                <w:rFonts w:ascii="ArialMT" w:hAnsi="ArialMT" w:cs="ArialMT"/>
                <w:sz w:val="16"/>
                <w:szCs w:val="16"/>
              </w:rPr>
              <w:t>200 regional</w:t>
            </w:r>
            <w:r w:rsidR="00FB33D5">
              <w:rPr>
                <w:rFonts w:ascii="ArialMT" w:hAnsi="ArialMT" w:cs="ArialMT"/>
                <w:sz w:val="16"/>
                <w:szCs w:val="16"/>
              </w:rPr>
              <w:t xml:space="preserve"> </w:t>
            </w:r>
            <w:r w:rsidRPr="00567588">
              <w:rPr>
                <w:rFonts w:ascii="ArialMT" w:hAnsi="ArialMT" w:cs="ArialMT"/>
                <w:sz w:val="16"/>
                <w:szCs w:val="16"/>
              </w:rPr>
              <w:t>economic integration</w:t>
            </w:r>
            <w:r w:rsidR="00FB33D5">
              <w:rPr>
                <w:rFonts w:ascii="ArialMT" w:hAnsi="ArialMT" w:cs="ArialMT"/>
                <w:sz w:val="16"/>
                <w:szCs w:val="16"/>
              </w:rPr>
              <w:t xml:space="preserve"> </w:t>
            </w:r>
            <w:r w:rsidRPr="00567588">
              <w:rPr>
                <w:rFonts w:ascii="ArialMT" w:hAnsi="ArialMT" w:cs="ArialMT"/>
                <w:sz w:val="16"/>
                <w:szCs w:val="16"/>
              </w:rPr>
              <w:t>treaties and bilateral</w:t>
            </w:r>
            <w:r w:rsidR="00FB33D5">
              <w:rPr>
                <w:rFonts w:ascii="ArialMT" w:hAnsi="ArialMT" w:cs="ArialMT"/>
                <w:sz w:val="16"/>
                <w:szCs w:val="16"/>
              </w:rPr>
              <w:t xml:space="preserve"> </w:t>
            </w:r>
            <w:r w:rsidRPr="00567588">
              <w:rPr>
                <w:rFonts w:ascii="ArialMT" w:hAnsi="ArialMT" w:cs="ArialMT"/>
                <w:sz w:val="16"/>
                <w:szCs w:val="16"/>
              </w:rPr>
              <w:t>treaties in the WTO database. Some coverage those outside the</w:t>
            </w:r>
            <w:r w:rsidR="00FB33D5">
              <w:rPr>
                <w:rFonts w:ascii="ArialMT" w:hAnsi="ArialMT" w:cs="ArialMT"/>
                <w:sz w:val="16"/>
                <w:szCs w:val="16"/>
              </w:rPr>
              <w:t xml:space="preserve"> </w:t>
            </w:r>
            <w:r w:rsidRPr="00567588">
              <w:rPr>
                <w:rFonts w:ascii="ArialMT" w:hAnsi="ArialMT" w:cs="ArialMT"/>
                <w:sz w:val="16"/>
                <w:szCs w:val="16"/>
              </w:rPr>
              <w:t>database</w:t>
            </w:r>
          </w:p>
        </w:tc>
        <w:tc>
          <w:tcPr>
            <w:tcW w:w="1815" w:type="pct"/>
            <w:shd w:val="clear" w:color="auto" w:fill="FFFFFF"/>
            <w:tcMar>
              <w:top w:w="110" w:type="dxa"/>
            </w:tcMar>
          </w:tcPr>
          <w:p w:rsidR="000B5438" w:rsidRPr="00567588" w:rsidRDefault="000B5438" w:rsidP="007C0423">
            <w:pPr>
              <w:rPr>
                <w:rFonts w:cs="Arial"/>
                <w:sz w:val="16"/>
                <w:szCs w:val="16"/>
                <w:lang w:bidi="th-TH"/>
              </w:rPr>
            </w:pPr>
            <w:r w:rsidRPr="00567588">
              <w:rPr>
                <w:rFonts w:cs="Arial"/>
                <w:sz w:val="16"/>
                <w:szCs w:val="16"/>
                <w:lang w:bidi="th-TH"/>
              </w:rPr>
              <w:t>The database includes 735 international IP-related treaties:</w:t>
            </w:r>
          </w:p>
          <w:p w:rsidR="000B5438" w:rsidRPr="00567588" w:rsidRDefault="000B5438" w:rsidP="00FB33D5">
            <w:pPr>
              <w:pStyle w:val="ListParagraph"/>
              <w:numPr>
                <w:ilvl w:val="0"/>
                <w:numId w:val="56"/>
              </w:numPr>
              <w:ind w:left="248" w:hanging="248"/>
              <w:rPr>
                <w:rFonts w:cs="Arial"/>
                <w:sz w:val="16"/>
                <w:szCs w:val="16"/>
                <w:lang w:bidi="th-TH"/>
              </w:rPr>
            </w:pPr>
            <w:r w:rsidRPr="00567588">
              <w:rPr>
                <w:rFonts w:cs="Arial"/>
                <w:sz w:val="16"/>
                <w:szCs w:val="16"/>
                <w:lang w:bidi="th-TH"/>
              </w:rPr>
              <w:t>623 regional economic integration and bilateral (56 regional economic integration treaties and 567 bilateral treaties);</w:t>
            </w:r>
          </w:p>
          <w:p w:rsidR="000B5438" w:rsidRPr="00567588" w:rsidRDefault="000B5438" w:rsidP="00FB33D5">
            <w:pPr>
              <w:pStyle w:val="ListParagraph"/>
              <w:numPr>
                <w:ilvl w:val="0"/>
                <w:numId w:val="56"/>
              </w:numPr>
              <w:ind w:left="248" w:hanging="248"/>
              <w:rPr>
                <w:rFonts w:cs="Arial"/>
                <w:sz w:val="16"/>
                <w:szCs w:val="16"/>
                <w:lang w:bidi="th-TH"/>
              </w:rPr>
            </w:pPr>
            <w:r w:rsidRPr="00567588">
              <w:rPr>
                <w:rFonts w:cs="Arial"/>
                <w:sz w:val="16"/>
                <w:szCs w:val="16"/>
                <w:lang w:bidi="th-TH"/>
              </w:rPr>
              <w:t xml:space="preserve">26 WIPO-administered treaties; </w:t>
            </w:r>
          </w:p>
          <w:p w:rsidR="000B5438" w:rsidRPr="00567588" w:rsidRDefault="000B5438" w:rsidP="00FB33D5">
            <w:pPr>
              <w:pStyle w:val="ListParagraph"/>
              <w:numPr>
                <w:ilvl w:val="0"/>
                <w:numId w:val="56"/>
              </w:numPr>
              <w:ind w:left="248" w:hanging="248"/>
              <w:rPr>
                <w:rFonts w:cs="Arial"/>
                <w:sz w:val="16"/>
                <w:szCs w:val="16"/>
                <w:lang w:bidi="th-TH"/>
              </w:rPr>
            </w:pPr>
            <w:r w:rsidRPr="00567588">
              <w:rPr>
                <w:rFonts w:cs="Arial"/>
                <w:sz w:val="16"/>
                <w:szCs w:val="16"/>
                <w:lang w:bidi="th-TH"/>
              </w:rPr>
              <w:t xml:space="preserve">59 multilateral treaties; </w:t>
            </w:r>
            <w:r w:rsidR="00FB33D5">
              <w:rPr>
                <w:rFonts w:cs="Arial"/>
                <w:sz w:val="16"/>
                <w:szCs w:val="16"/>
                <w:lang w:bidi="th-TH"/>
              </w:rPr>
              <w:t xml:space="preserve"> </w:t>
            </w:r>
            <w:r w:rsidRPr="00567588">
              <w:rPr>
                <w:rFonts w:cs="Arial"/>
                <w:sz w:val="16"/>
                <w:szCs w:val="16"/>
                <w:lang w:bidi="th-TH"/>
              </w:rPr>
              <w:t xml:space="preserve">and </w:t>
            </w:r>
          </w:p>
          <w:p w:rsidR="000B5438" w:rsidRPr="00567588" w:rsidRDefault="000B5438" w:rsidP="00FB33D5">
            <w:pPr>
              <w:pStyle w:val="ListParagraph"/>
              <w:numPr>
                <w:ilvl w:val="0"/>
                <w:numId w:val="56"/>
              </w:numPr>
              <w:ind w:left="248" w:hanging="248"/>
              <w:rPr>
                <w:rFonts w:cs="Arial"/>
                <w:sz w:val="16"/>
                <w:szCs w:val="16"/>
                <w:lang w:bidi="th-TH"/>
              </w:rPr>
            </w:pPr>
            <w:r w:rsidRPr="00567588">
              <w:rPr>
                <w:rFonts w:cs="Arial"/>
                <w:sz w:val="16"/>
                <w:szCs w:val="16"/>
                <w:lang w:bidi="th-TH"/>
              </w:rPr>
              <w:t>27 IP regional treaties.</w:t>
            </w:r>
          </w:p>
          <w:p w:rsidR="000B5438" w:rsidRPr="00567588" w:rsidRDefault="000B5438" w:rsidP="007C0423">
            <w:pPr>
              <w:rPr>
                <w:rFonts w:cs="Arial"/>
                <w:sz w:val="16"/>
                <w:szCs w:val="16"/>
                <w:lang w:bidi="th-TH"/>
              </w:rPr>
            </w:pPr>
          </w:p>
          <w:p w:rsidR="000B5438" w:rsidRPr="00567588" w:rsidRDefault="000B5438" w:rsidP="007C0423">
            <w:pPr>
              <w:rPr>
                <w:rFonts w:cs="Arial"/>
                <w:sz w:val="16"/>
                <w:szCs w:val="16"/>
                <w:lang w:bidi="th-TH"/>
              </w:rPr>
            </w:pPr>
            <w:r w:rsidRPr="00567588">
              <w:rPr>
                <w:rFonts w:cs="Arial"/>
                <w:sz w:val="16"/>
                <w:szCs w:val="16"/>
                <w:lang w:bidi="th-TH"/>
              </w:rPr>
              <w:t>The laws component contains more than 12,000 legal texts.</w:t>
            </w:r>
          </w:p>
          <w:p w:rsidR="000B5438" w:rsidRPr="00567588" w:rsidRDefault="000B5438" w:rsidP="007C0423">
            <w:pPr>
              <w:rPr>
                <w:rFonts w:cs="Arial"/>
                <w:sz w:val="16"/>
                <w:szCs w:val="16"/>
                <w:lang w:bidi="th-TH"/>
              </w:rPr>
            </w:pPr>
          </w:p>
          <w:p w:rsidR="000B5438" w:rsidRPr="00567588" w:rsidRDefault="000B5438" w:rsidP="007C0423">
            <w:pPr>
              <w:rPr>
                <w:rFonts w:cs="Arial"/>
                <w:sz w:val="16"/>
                <w:szCs w:val="16"/>
                <w:lang w:bidi="th-TH"/>
              </w:rPr>
            </w:pPr>
            <w:r w:rsidRPr="00567588">
              <w:rPr>
                <w:rFonts w:cs="Arial"/>
                <w:sz w:val="16"/>
                <w:szCs w:val="16"/>
                <w:lang w:bidi="th-TH"/>
              </w:rPr>
              <w:t xml:space="preserve">The number of visitors reached 2,013,651 in 2013 compared to 1,128,969 in 2012.  </w:t>
            </w:r>
          </w:p>
          <w:p w:rsidR="000B5438" w:rsidRPr="00567588" w:rsidRDefault="000B5438" w:rsidP="007C0423">
            <w:pPr>
              <w:rPr>
                <w:rFonts w:cs="Arial"/>
                <w:sz w:val="16"/>
                <w:szCs w:val="16"/>
                <w:lang w:bidi="th-TH"/>
              </w:rPr>
            </w:pPr>
          </w:p>
          <w:p w:rsidR="000B5438" w:rsidRDefault="000B5438" w:rsidP="007C0423">
            <w:pPr>
              <w:rPr>
                <w:rFonts w:cs="Arial"/>
                <w:sz w:val="16"/>
                <w:szCs w:val="16"/>
                <w:lang w:bidi="th-TH"/>
              </w:rPr>
            </w:pPr>
            <w:r w:rsidRPr="00567588">
              <w:rPr>
                <w:rFonts w:cs="Arial"/>
                <w:sz w:val="16"/>
                <w:szCs w:val="16"/>
                <w:lang w:bidi="th-TH"/>
              </w:rPr>
              <w:t>The number of page views reached 4,315,030 in 2013 compared to 2,880,905 in 2012.</w:t>
            </w:r>
          </w:p>
          <w:p w:rsidR="000B5438" w:rsidRPr="00567588" w:rsidRDefault="000B5438" w:rsidP="007C0423">
            <w:pPr>
              <w:rPr>
                <w:rFonts w:cs="Arial"/>
                <w:sz w:val="16"/>
                <w:szCs w:val="16"/>
                <w:lang w:bidi="th-TH"/>
              </w:rPr>
            </w:pPr>
          </w:p>
        </w:tc>
        <w:tc>
          <w:tcPr>
            <w:tcW w:w="648" w:type="pct"/>
            <w:shd w:val="clear" w:color="auto" w:fill="auto"/>
            <w:tcMar>
              <w:top w:w="110" w:type="dxa"/>
            </w:tcMar>
          </w:tcPr>
          <w:p w:rsidR="000B5438" w:rsidRDefault="000B5438" w:rsidP="007C0423">
            <w:pPr>
              <w:keepNext/>
              <w:keepLines/>
              <w:jc w:val="center"/>
              <w:rPr>
                <w:rFonts w:cs="Arial"/>
                <w:bCs/>
                <w:color w:val="008000"/>
                <w:sz w:val="16"/>
                <w:szCs w:val="16"/>
              </w:rPr>
            </w:pPr>
            <w:r w:rsidRPr="000969AB">
              <w:rPr>
                <w:rFonts w:cs="Arial"/>
                <w:bCs/>
                <w:color w:val="008000"/>
                <w:sz w:val="16"/>
                <w:szCs w:val="16"/>
              </w:rPr>
              <w:t>Fully</w:t>
            </w:r>
            <w:r w:rsidRPr="000969AB">
              <w:rPr>
                <w:rFonts w:cs="Arial"/>
                <w:bCs/>
                <w:color w:val="008000"/>
                <w:sz w:val="16"/>
                <w:szCs w:val="16"/>
              </w:rPr>
              <w:br/>
              <w:t>Achieved</w:t>
            </w:r>
          </w:p>
        </w:tc>
      </w:tr>
    </w:tbl>
    <w:p w:rsidR="000B5438" w:rsidRPr="005170DA" w:rsidRDefault="000B5438" w:rsidP="000B5438">
      <w:pPr>
        <w:rPr>
          <w:rFonts w:cs="Arial"/>
        </w:rPr>
      </w:pPr>
    </w:p>
    <w:p w:rsidR="000B5438" w:rsidRPr="005170DA" w:rsidRDefault="000B5438" w:rsidP="000B5438">
      <w:pPr>
        <w:rPr>
          <w:rFonts w:cs="Arial"/>
        </w:rPr>
      </w:pPr>
    </w:p>
    <w:p w:rsidR="000B5438" w:rsidRPr="005170DA" w:rsidRDefault="000B5438" w:rsidP="000B5438">
      <w:pPr>
        <w:rPr>
          <w:rFonts w:cs="Arial"/>
        </w:rPr>
      </w:pPr>
    </w:p>
    <w:p w:rsidR="000B5438" w:rsidRDefault="000B5438" w:rsidP="000B5438">
      <w:pPr>
        <w:rPr>
          <w:rFonts w:cs="Arial"/>
          <w:sz w:val="22"/>
          <w:szCs w:val="22"/>
        </w:rPr>
      </w:pPr>
      <w:r>
        <w:rPr>
          <w:rFonts w:cs="Arial"/>
          <w:sz w:val="22"/>
          <w:szCs w:val="22"/>
        </w:rPr>
        <w:br w:type="page"/>
      </w:r>
    </w:p>
    <w:p w:rsidR="000B5438" w:rsidRDefault="00B44D3B" w:rsidP="000B5438">
      <w:pPr>
        <w:rPr>
          <w:rFonts w:cs="Arial"/>
          <w:sz w:val="22"/>
          <w:szCs w:val="22"/>
        </w:rPr>
      </w:pPr>
      <w:r w:rsidRPr="005170DA">
        <w:rPr>
          <w:rFonts w:cs="Arial"/>
          <w:sz w:val="22"/>
          <w:szCs w:val="22"/>
        </w:rPr>
        <w:lastRenderedPageBreak/>
        <w:t xml:space="preserve">BUDGET </w:t>
      </w:r>
      <w:r>
        <w:rPr>
          <w:rFonts w:cs="Arial"/>
          <w:sz w:val="22"/>
          <w:szCs w:val="22"/>
        </w:rPr>
        <w:t>AND</w:t>
      </w:r>
      <w:r w:rsidR="000B5438">
        <w:rPr>
          <w:rFonts w:cs="Arial"/>
          <w:sz w:val="22"/>
          <w:szCs w:val="22"/>
        </w:rPr>
        <w:t xml:space="preserve"> ACTUAL EXPENDITURE</w:t>
      </w:r>
    </w:p>
    <w:p w:rsidR="000B5438" w:rsidRPr="0027745B" w:rsidRDefault="000B5438" w:rsidP="000B5438">
      <w:pPr>
        <w:rPr>
          <w:rFonts w:cs="Arial"/>
          <w:szCs w:val="20"/>
        </w:rPr>
      </w:pPr>
    </w:p>
    <w:p w:rsidR="000B5438" w:rsidRPr="0027745B" w:rsidRDefault="000B5438" w:rsidP="000B5438">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0B5438" w:rsidRPr="0027745B" w:rsidRDefault="000B5438" w:rsidP="000B5438">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B5438" w:rsidRPr="0027745B" w:rsidRDefault="000B5438" w:rsidP="000B5438">
      <w:pPr>
        <w:rPr>
          <w:rFonts w:cs="Arial"/>
          <w:szCs w:val="20"/>
        </w:rPr>
      </w:pPr>
    </w:p>
    <w:tbl>
      <w:tblPr>
        <w:tblW w:w="0" w:type="auto"/>
        <w:tblInd w:w="108" w:type="dxa"/>
        <w:tblLook w:val="04A0" w:firstRow="1" w:lastRow="0" w:firstColumn="1" w:lastColumn="0" w:noHBand="0" w:noVBand="1"/>
      </w:tblPr>
      <w:tblGrid>
        <w:gridCol w:w="590"/>
        <w:gridCol w:w="4291"/>
        <w:gridCol w:w="1512"/>
        <w:gridCol w:w="1512"/>
        <w:gridCol w:w="1512"/>
      </w:tblGrid>
      <w:tr w:rsidR="000B5438" w:rsidRPr="0024474C" w:rsidTr="00982926">
        <w:tc>
          <w:tcPr>
            <w:tcW w:w="482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 xml:space="preserve">2012/13 Budget </w:t>
            </w:r>
            <w:r w:rsidRPr="0024474C">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2012 /13</w:t>
            </w:r>
            <w:r w:rsidRPr="0024474C">
              <w:rPr>
                <w:rFonts w:cs="Arial"/>
                <w:bCs/>
                <w:color w:val="000000"/>
                <w:sz w:val="16"/>
                <w:szCs w:val="16"/>
              </w:rPr>
              <w:br/>
              <w:t>Expenditure</w:t>
            </w:r>
          </w:p>
        </w:tc>
      </w:tr>
      <w:tr w:rsidR="000B5438" w:rsidRPr="00567588" w:rsidTr="00982926">
        <w:tc>
          <w:tcPr>
            <w:tcW w:w="529" w:type="dxa"/>
            <w:tcBorders>
              <w:top w:val="nil"/>
              <w:left w:val="single" w:sz="4" w:space="0" w:color="auto"/>
              <w:bottom w:val="nil"/>
              <w:right w:val="nil"/>
            </w:tcBorders>
            <w:shd w:val="clear" w:color="000000" w:fill="FFFFFF"/>
            <w:noWrap/>
            <w:hideMark/>
          </w:tcPr>
          <w:p w:rsidR="000B5438" w:rsidRPr="0027745B" w:rsidRDefault="000B5438" w:rsidP="0024474C">
            <w:pPr>
              <w:spacing w:before="120"/>
              <w:jc w:val="center"/>
              <w:rPr>
                <w:rFonts w:cs="Arial"/>
                <w:color w:val="000000"/>
                <w:sz w:val="16"/>
                <w:szCs w:val="16"/>
              </w:rPr>
            </w:pPr>
            <w:r w:rsidRPr="0027745B">
              <w:rPr>
                <w:rFonts w:cs="Arial"/>
                <w:color w:val="000000"/>
                <w:sz w:val="16"/>
                <w:szCs w:val="16"/>
              </w:rPr>
              <w:t>V.3</w:t>
            </w:r>
          </w:p>
        </w:tc>
        <w:tc>
          <w:tcPr>
            <w:tcW w:w="4291" w:type="dxa"/>
            <w:tcBorders>
              <w:top w:val="nil"/>
              <w:left w:val="nil"/>
              <w:bottom w:val="nil"/>
              <w:right w:val="nil"/>
            </w:tcBorders>
            <w:shd w:val="clear" w:color="000000" w:fill="FFFFFF"/>
            <w:hideMark/>
          </w:tcPr>
          <w:p w:rsidR="000B5438" w:rsidRPr="0027745B" w:rsidRDefault="000B5438" w:rsidP="0024474C">
            <w:pPr>
              <w:spacing w:before="120"/>
              <w:rPr>
                <w:rFonts w:cs="Arial"/>
                <w:color w:val="000000"/>
                <w:sz w:val="16"/>
                <w:szCs w:val="16"/>
              </w:rPr>
            </w:pPr>
            <w:r w:rsidRPr="0027745B">
              <w:rPr>
                <w:rFonts w:cs="Arial"/>
                <w:color w:val="000000"/>
                <w:sz w:val="16"/>
                <w:szCs w:val="16"/>
              </w:rPr>
              <w:t>Enhanced access to, and use of, IP-related legal information</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2,244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2,042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1,992</w:t>
            </w:r>
          </w:p>
        </w:tc>
      </w:tr>
      <w:tr w:rsidR="000B5438" w:rsidRPr="00567588" w:rsidTr="00982926">
        <w:tc>
          <w:tcPr>
            <w:tcW w:w="529" w:type="dxa"/>
            <w:tcBorders>
              <w:top w:val="nil"/>
              <w:left w:val="single" w:sz="4" w:space="0" w:color="auto"/>
              <w:bottom w:val="nil"/>
              <w:right w:val="nil"/>
            </w:tcBorders>
            <w:shd w:val="clear" w:color="000000" w:fill="FFFFFF"/>
            <w:noWrap/>
            <w:hideMark/>
          </w:tcPr>
          <w:p w:rsidR="000B5438" w:rsidRPr="0027745B" w:rsidRDefault="000B5438" w:rsidP="0024474C">
            <w:pPr>
              <w:spacing w:before="120"/>
              <w:jc w:val="center"/>
              <w:rPr>
                <w:rFonts w:cs="Arial"/>
                <w:color w:val="000000"/>
                <w:sz w:val="16"/>
                <w:szCs w:val="16"/>
              </w:rPr>
            </w:pPr>
            <w:r w:rsidRPr="0027745B">
              <w:rPr>
                <w:rFonts w:cs="Arial"/>
                <w:color w:val="000000"/>
                <w:sz w:val="16"/>
                <w:szCs w:val="16"/>
              </w:rPr>
              <w:t>VIII.3</w:t>
            </w:r>
          </w:p>
        </w:tc>
        <w:tc>
          <w:tcPr>
            <w:tcW w:w="4291" w:type="dxa"/>
            <w:tcBorders>
              <w:top w:val="nil"/>
              <w:left w:val="nil"/>
              <w:bottom w:val="nil"/>
              <w:right w:val="nil"/>
            </w:tcBorders>
            <w:shd w:val="clear" w:color="000000" w:fill="FFFFFF"/>
            <w:hideMark/>
          </w:tcPr>
          <w:p w:rsidR="000B5438" w:rsidRPr="0027745B" w:rsidRDefault="000B5438" w:rsidP="0024474C">
            <w:pPr>
              <w:spacing w:before="120"/>
              <w:rPr>
                <w:rFonts w:cs="Arial"/>
                <w:color w:val="000000"/>
                <w:sz w:val="16"/>
                <w:szCs w:val="16"/>
              </w:rPr>
            </w:pPr>
            <w:r w:rsidRPr="0027745B">
              <w:rPr>
                <w:rFonts w:cs="Arial"/>
                <w:color w:val="000000"/>
                <w:sz w:val="16"/>
                <w:szCs w:val="16"/>
              </w:rPr>
              <w:t>WIPO effectively interacts and partners with UN and other IGO processes and negotiations</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100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90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61 </w:t>
            </w:r>
          </w:p>
        </w:tc>
      </w:tr>
      <w:tr w:rsidR="000B5438" w:rsidRPr="00567588" w:rsidTr="00982926">
        <w:tc>
          <w:tcPr>
            <w:tcW w:w="529" w:type="dxa"/>
            <w:tcBorders>
              <w:top w:val="nil"/>
              <w:left w:val="single" w:sz="4" w:space="0" w:color="auto"/>
              <w:bottom w:val="nil"/>
              <w:right w:val="nil"/>
            </w:tcBorders>
            <w:shd w:val="clear" w:color="000000" w:fill="FFFFFF"/>
            <w:noWrap/>
            <w:hideMark/>
          </w:tcPr>
          <w:p w:rsidR="000B5438" w:rsidRPr="0027745B" w:rsidRDefault="000B5438" w:rsidP="0024474C">
            <w:pPr>
              <w:spacing w:before="120"/>
              <w:jc w:val="center"/>
              <w:rPr>
                <w:rFonts w:cs="Arial"/>
                <w:color w:val="000000"/>
                <w:sz w:val="16"/>
                <w:szCs w:val="16"/>
              </w:rPr>
            </w:pPr>
            <w:r w:rsidRPr="0027745B">
              <w:rPr>
                <w:rFonts w:cs="Arial"/>
                <w:color w:val="000000"/>
                <w:sz w:val="16"/>
                <w:szCs w:val="16"/>
              </w:rPr>
              <w:t>VIII.5</w:t>
            </w:r>
          </w:p>
        </w:tc>
        <w:tc>
          <w:tcPr>
            <w:tcW w:w="4291" w:type="dxa"/>
            <w:tcBorders>
              <w:top w:val="nil"/>
              <w:left w:val="nil"/>
              <w:bottom w:val="nil"/>
              <w:right w:val="nil"/>
            </w:tcBorders>
            <w:shd w:val="clear" w:color="000000" w:fill="FFFFFF"/>
            <w:hideMark/>
          </w:tcPr>
          <w:p w:rsidR="000B5438" w:rsidRPr="0027745B" w:rsidRDefault="000B5438" w:rsidP="0024474C">
            <w:pPr>
              <w:spacing w:before="120"/>
              <w:rPr>
                <w:rFonts w:cs="Arial"/>
                <w:color w:val="000000"/>
                <w:sz w:val="16"/>
                <w:szCs w:val="16"/>
              </w:rPr>
            </w:pPr>
            <w:r w:rsidRPr="0027745B">
              <w:rPr>
                <w:rFonts w:cs="Arial"/>
                <w:color w:val="000000"/>
                <w:sz w:val="16"/>
                <w:szCs w:val="16"/>
              </w:rPr>
              <w:t>Effective engagement with Member States</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5,311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4,531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4,517 </w:t>
            </w:r>
          </w:p>
        </w:tc>
      </w:tr>
      <w:tr w:rsidR="000B5438" w:rsidRPr="00567588" w:rsidTr="00982926">
        <w:tc>
          <w:tcPr>
            <w:tcW w:w="529" w:type="dxa"/>
            <w:tcBorders>
              <w:top w:val="nil"/>
              <w:left w:val="single" w:sz="4" w:space="0" w:color="auto"/>
              <w:bottom w:val="nil"/>
              <w:right w:val="nil"/>
            </w:tcBorders>
            <w:shd w:val="clear" w:color="000000" w:fill="FFFFFF"/>
            <w:noWrap/>
            <w:hideMark/>
          </w:tcPr>
          <w:p w:rsidR="000B5438" w:rsidRPr="0027745B" w:rsidRDefault="000B5438" w:rsidP="0024474C">
            <w:pPr>
              <w:spacing w:before="120"/>
              <w:jc w:val="center"/>
              <w:rPr>
                <w:rFonts w:cs="Arial"/>
                <w:color w:val="000000"/>
                <w:sz w:val="16"/>
                <w:szCs w:val="16"/>
              </w:rPr>
            </w:pPr>
            <w:r w:rsidRPr="0027745B">
              <w:rPr>
                <w:rFonts w:cs="Arial"/>
                <w:color w:val="000000"/>
                <w:sz w:val="16"/>
                <w:szCs w:val="16"/>
              </w:rPr>
              <w:t>IX.7</w:t>
            </w:r>
          </w:p>
        </w:tc>
        <w:tc>
          <w:tcPr>
            <w:tcW w:w="4291" w:type="dxa"/>
            <w:tcBorders>
              <w:top w:val="nil"/>
              <w:left w:val="nil"/>
              <w:bottom w:val="nil"/>
              <w:right w:val="nil"/>
            </w:tcBorders>
            <w:shd w:val="clear" w:color="000000" w:fill="FFFFFF"/>
            <w:hideMark/>
          </w:tcPr>
          <w:p w:rsidR="000B5438" w:rsidRPr="0027745B" w:rsidRDefault="000B5438" w:rsidP="0024474C">
            <w:pPr>
              <w:spacing w:before="120"/>
              <w:rPr>
                <w:rFonts w:cs="Arial"/>
                <w:color w:val="000000"/>
                <w:sz w:val="16"/>
                <w:szCs w:val="16"/>
              </w:rPr>
            </w:pPr>
            <w:r w:rsidRPr="0027745B">
              <w:rPr>
                <w:rFonts w:cs="Arial"/>
                <w:color w:val="000000"/>
                <w:sz w:val="16"/>
                <w:szCs w:val="16"/>
              </w:rPr>
              <w:t>Enhanced coordination and coherence within the Secretariat</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10,255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11,213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jc w:val="right"/>
              <w:rPr>
                <w:rFonts w:cs="Arial"/>
                <w:color w:val="000000"/>
                <w:sz w:val="16"/>
                <w:szCs w:val="16"/>
              </w:rPr>
            </w:pPr>
            <w:r w:rsidRPr="0027745B">
              <w:rPr>
                <w:rFonts w:cs="Arial"/>
                <w:color w:val="000000"/>
                <w:sz w:val="16"/>
                <w:szCs w:val="16"/>
              </w:rPr>
              <w:t xml:space="preserve">10,769 </w:t>
            </w:r>
          </w:p>
        </w:tc>
      </w:tr>
      <w:tr w:rsidR="000B5438" w:rsidRPr="00567588" w:rsidTr="00982926">
        <w:tc>
          <w:tcPr>
            <w:tcW w:w="529" w:type="dxa"/>
            <w:tcBorders>
              <w:top w:val="nil"/>
              <w:left w:val="single" w:sz="4" w:space="0" w:color="auto"/>
              <w:bottom w:val="single" w:sz="4" w:space="0" w:color="auto"/>
              <w:right w:val="nil"/>
            </w:tcBorders>
            <w:shd w:val="clear" w:color="000000" w:fill="FFFFFF"/>
            <w:noWrap/>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IX.8</w:t>
            </w:r>
          </w:p>
        </w:tc>
        <w:tc>
          <w:tcPr>
            <w:tcW w:w="4291" w:type="dxa"/>
            <w:tcBorders>
              <w:top w:val="nil"/>
              <w:left w:val="nil"/>
              <w:bottom w:val="single" w:sz="4" w:space="0" w:color="auto"/>
              <w:right w:val="nil"/>
            </w:tcBorders>
            <w:shd w:val="clear" w:color="000000" w:fill="FFFFFF"/>
            <w:hideMark/>
          </w:tcPr>
          <w:p w:rsidR="000B5438" w:rsidRPr="0027745B" w:rsidRDefault="000B5438" w:rsidP="0024474C">
            <w:pPr>
              <w:spacing w:before="120" w:after="120"/>
              <w:rPr>
                <w:rFonts w:cs="Arial"/>
                <w:color w:val="000000"/>
                <w:sz w:val="16"/>
                <w:szCs w:val="16"/>
              </w:rPr>
            </w:pPr>
            <w:r w:rsidRPr="0027745B">
              <w:rPr>
                <w:rFonts w:cs="Arial"/>
                <w:color w:val="000000"/>
                <w:sz w:val="16"/>
                <w:szCs w:val="16"/>
              </w:rPr>
              <w:t>Improved working environment supported by enabling regulatory framework and effective channels to address staff concerns</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after="120"/>
              <w:jc w:val="right"/>
              <w:rPr>
                <w:rFonts w:cs="Arial"/>
                <w:color w:val="000000"/>
                <w:sz w:val="16"/>
                <w:szCs w:val="16"/>
              </w:rPr>
            </w:pPr>
            <w:r w:rsidRPr="0027745B">
              <w:rPr>
                <w:rFonts w:cs="Arial"/>
                <w:color w:val="000000"/>
                <w:sz w:val="16"/>
                <w:szCs w:val="16"/>
              </w:rPr>
              <w:t xml:space="preserve">1,038 </w:t>
            </w:r>
          </w:p>
        </w:tc>
        <w:tc>
          <w:tcPr>
            <w:tcW w:w="1512" w:type="dxa"/>
            <w:tcBorders>
              <w:top w:val="nil"/>
              <w:left w:val="nil"/>
              <w:bottom w:val="nil"/>
              <w:right w:val="nil"/>
            </w:tcBorders>
            <w:shd w:val="clear" w:color="000000" w:fill="FFFFFF"/>
            <w:vAlign w:val="center"/>
            <w:hideMark/>
          </w:tcPr>
          <w:p w:rsidR="000B5438" w:rsidRPr="0027745B" w:rsidRDefault="000B5438" w:rsidP="0024474C">
            <w:pPr>
              <w:spacing w:before="120" w:after="120"/>
              <w:jc w:val="right"/>
              <w:rPr>
                <w:rFonts w:cs="Arial"/>
                <w:color w:val="000000"/>
                <w:sz w:val="16"/>
                <w:szCs w:val="16"/>
              </w:rPr>
            </w:pPr>
            <w:r w:rsidRPr="0027745B">
              <w:rPr>
                <w:rFonts w:cs="Arial"/>
                <w:color w:val="000000"/>
                <w:sz w:val="16"/>
                <w:szCs w:val="16"/>
              </w:rPr>
              <w:t xml:space="preserve">962 </w:t>
            </w:r>
          </w:p>
        </w:tc>
        <w:tc>
          <w:tcPr>
            <w:tcW w:w="1512" w:type="dxa"/>
            <w:tcBorders>
              <w:top w:val="nil"/>
              <w:left w:val="nil"/>
              <w:bottom w:val="nil"/>
              <w:right w:val="single" w:sz="4" w:space="0" w:color="auto"/>
            </w:tcBorders>
            <w:shd w:val="clear" w:color="000000" w:fill="FFFFFF"/>
            <w:vAlign w:val="center"/>
            <w:hideMark/>
          </w:tcPr>
          <w:p w:rsidR="000B5438" w:rsidRPr="0027745B" w:rsidRDefault="000B5438" w:rsidP="0024474C">
            <w:pPr>
              <w:spacing w:before="120" w:after="120"/>
              <w:jc w:val="right"/>
              <w:rPr>
                <w:rFonts w:cs="Arial"/>
                <w:color w:val="000000"/>
                <w:sz w:val="16"/>
                <w:szCs w:val="16"/>
              </w:rPr>
            </w:pPr>
            <w:r w:rsidRPr="0027745B">
              <w:rPr>
                <w:rFonts w:cs="Arial"/>
                <w:color w:val="000000"/>
                <w:sz w:val="16"/>
                <w:szCs w:val="16"/>
              </w:rPr>
              <w:t xml:space="preserve">918 </w:t>
            </w:r>
          </w:p>
        </w:tc>
      </w:tr>
      <w:tr w:rsidR="000B5438" w:rsidRPr="00567588" w:rsidTr="00982926">
        <w:tc>
          <w:tcPr>
            <w:tcW w:w="529" w:type="dxa"/>
            <w:tcBorders>
              <w:top w:val="nil"/>
              <w:left w:val="single" w:sz="4" w:space="0" w:color="auto"/>
              <w:bottom w:val="single" w:sz="4" w:space="0" w:color="auto"/>
              <w:right w:val="nil"/>
            </w:tcBorders>
            <w:shd w:val="clear" w:color="000000" w:fill="CCFFFF"/>
            <w:noWrap/>
            <w:vAlign w:val="bottom"/>
            <w:hideMark/>
          </w:tcPr>
          <w:p w:rsidR="000B5438" w:rsidRPr="0027745B" w:rsidRDefault="000B5438" w:rsidP="0024474C">
            <w:pPr>
              <w:spacing w:before="120" w:after="120"/>
              <w:jc w:val="center"/>
              <w:rPr>
                <w:rFonts w:cs="Arial"/>
                <w:b/>
                <w:bCs/>
                <w:color w:val="000000"/>
                <w:sz w:val="16"/>
                <w:szCs w:val="16"/>
              </w:rPr>
            </w:pPr>
            <w:r w:rsidRPr="0027745B">
              <w:rPr>
                <w:rFonts w:cs="Arial"/>
                <w:b/>
                <w:bCs/>
                <w:color w:val="000000"/>
                <w:sz w:val="16"/>
                <w:szCs w:val="16"/>
              </w:rPr>
              <w:t> </w:t>
            </w:r>
          </w:p>
        </w:tc>
        <w:tc>
          <w:tcPr>
            <w:tcW w:w="4291" w:type="dxa"/>
            <w:tcBorders>
              <w:top w:val="nil"/>
              <w:left w:val="nil"/>
              <w:bottom w:val="single" w:sz="4" w:space="0" w:color="auto"/>
              <w:right w:val="nil"/>
            </w:tcBorders>
            <w:shd w:val="clear" w:color="000000" w:fill="CCFFFF"/>
            <w:noWrap/>
            <w:vAlign w:val="center"/>
            <w:hideMark/>
          </w:tcPr>
          <w:p w:rsidR="000B5438" w:rsidRPr="0027745B" w:rsidRDefault="000B5438" w:rsidP="0024474C">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0B5438" w:rsidRPr="0027745B" w:rsidRDefault="000B5438" w:rsidP="0024474C">
            <w:pPr>
              <w:spacing w:before="120" w:after="120"/>
              <w:jc w:val="right"/>
              <w:rPr>
                <w:rFonts w:cs="Arial"/>
                <w:b/>
                <w:bCs/>
                <w:color w:val="000000"/>
                <w:sz w:val="16"/>
                <w:szCs w:val="16"/>
              </w:rPr>
            </w:pPr>
            <w:r w:rsidRPr="0027745B">
              <w:rPr>
                <w:rFonts w:cs="Arial"/>
                <w:b/>
                <w:bCs/>
                <w:color w:val="000000"/>
                <w:sz w:val="16"/>
                <w:szCs w:val="16"/>
              </w:rPr>
              <w:t>18,948</w:t>
            </w:r>
          </w:p>
        </w:tc>
        <w:tc>
          <w:tcPr>
            <w:tcW w:w="1512" w:type="dxa"/>
            <w:tcBorders>
              <w:top w:val="single" w:sz="4" w:space="0" w:color="auto"/>
              <w:left w:val="nil"/>
              <w:bottom w:val="single" w:sz="4" w:space="0" w:color="auto"/>
              <w:right w:val="single" w:sz="4" w:space="0" w:color="auto"/>
            </w:tcBorders>
            <w:shd w:val="clear" w:color="000000" w:fill="CCFFFF"/>
            <w:noWrap/>
            <w:vAlign w:val="center"/>
            <w:hideMark/>
          </w:tcPr>
          <w:p w:rsidR="000B5438" w:rsidRPr="0027745B" w:rsidRDefault="000B5438" w:rsidP="0024474C">
            <w:pPr>
              <w:spacing w:before="120" w:after="120"/>
              <w:jc w:val="right"/>
              <w:rPr>
                <w:rFonts w:cs="Arial"/>
                <w:b/>
                <w:bCs/>
                <w:color w:val="000000"/>
                <w:sz w:val="16"/>
                <w:szCs w:val="16"/>
              </w:rPr>
            </w:pPr>
            <w:r w:rsidRPr="0027745B">
              <w:rPr>
                <w:rFonts w:cs="Arial"/>
                <w:b/>
                <w:bCs/>
                <w:color w:val="000000"/>
                <w:sz w:val="16"/>
                <w:szCs w:val="16"/>
              </w:rPr>
              <w:t>18,838</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0B5438" w:rsidRPr="0027745B" w:rsidRDefault="000B5438" w:rsidP="0024474C">
            <w:pPr>
              <w:spacing w:before="120" w:after="120"/>
              <w:jc w:val="right"/>
              <w:rPr>
                <w:rFonts w:cs="Arial"/>
                <w:b/>
                <w:bCs/>
                <w:color w:val="000000"/>
                <w:sz w:val="16"/>
                <w:szCs w:val="16"/>
              </w:rPr>
            </w:pPr>
            <w:r w:rsidRPr="0027745B">
              <w:rPr>
                <w:rFonts w:cs="Arial"/>
                <w:b/>
                <w:bCs/>
                <w:color w:val="000000"/>
                <w:sz w:val="16"/>
                <w:szCs w:val="16"/>
              </w:rPr>
              <w:t>18,257</w:t>
            </w:r>
          </w:p>
        </w:tc>
      </w:tr>
    </w:tbl>
    <w:p w:rsidR="000B5438" w:rsidRDefault="000B5438" w:rsidP="000B5438">
      <w:pPr>
        <w:rPr>
          <w:rFonts w:cs="Arial"/>
          <w:szCs w:val="20"/>
        </w:rPr>
      </w:pPr>
    </w:p>
    <w:p w:rsidR="000B5438" w:rsidRPr="005170DA" w:rsidRDefault="000B5438" w:rsidP="000B5438">
      <w:pPr>
        <w:rPr>
          <w:rFonts w:cs="Arial"/>
          <w:szCs w:val="20"/>
        </w:rPr>
      </w:pPr>
    </w:p>
    <w:p w:rsidR="000B5438" w:rsidRPr="0027745B" w:rsidRDefault="000B5438" w:rsidP="000B5438">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0B5438" w:rsidRPr="0027745B" w:rsidRDefault="000B5438" w:rsidP="000B5438">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0B5438" w:rsidRPr="0027745B" w:rsidRDefault="000B5438" w:rsidP="000B5438">
      <w:pPr>
        <w:rPr>
          <w:rFonts w:cs="Arial"/>
          <w:szCs w:val="20"/>
        </w:rPr>
      </w:pPr>
    </w:p>
    <w:tbl>
      <w:tblPr>
        <w:tblpPr w:leftFromText="180" w:rightFromText="180" w:vertAnchor="text" w:horzAnchor="margin" w:tblpX="108" w:tblpY="179"/>
        <w:tblW w:w="0" w:type="auto"/>
        <w:tblLook w:val="04A0" w:firstRow="1" w:lastRow="0" w:firstColumn="1" w:lastColumn="0" w:noHBand="0" w:noVBand="1"/>
      </w:tblPr>
      <w:tblGrid>
        <w:gridCol w:w="2652"/>
        <w:gridCol w:w="1596"/>
        <w:gridCol w:w="1596"/>
        <w:gridCol w:w="1596"/>
        <w:gridCol w:w="1916"/>
      </w:tblGrid>
      <w:tr w:rsidR="000B5438" w:rsidRPr="00181AFA" w:rsidTr="00982926">
        <w:tc>
          <w:tcPr>
            <w:tcW w:w="2652"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27745B" w:rsidRDefault="000B5438" w:rsidP="0024474C">
            <w:pPr>
              <w:spacing w:before="120" w:after="120"/>
              <w:rPr>
                <w:rFonts w:cs="Arial"/>
                <w:color w:val="000000"/>
                <w:sz w:val="16"/>
                <w:szCs w:val="16"/>
              </w:rPr>
            </w:pPr>
            <w:r w:rsidRPr="0027745B">
              <w:rPr>
                <w:rFonts w:cs="Arial"/>
                <w:color w:val="000000"/>
                <w:sz w:val="16"/>
                <w:szCs w:val="16"/>
              </w:rPr>
              <w:t> </w:t>
            </w:r>
          </w:p>
        </w:tc>
        <w:tc>
          <w:tcPr>
            <w:tcW w:w="1596" w:type="dxa"/>
            <w:tcBorders>
              <w:top w:val="single" w:sz="4" w:space="0" w:color="auto"/>
              <w:left w:val="nil"/>
              <w:bottom w:val="nil"/>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Approved Budget 2012/13</w:t>
            </w:r>
          </w:p>
        </w:tc>
        <w:tc>
          <w:tcPr>
            <w:tcW w:w="1596" w:type="dxa"/>
            <w:tcBorders>
              <w:top w:val="single" w:sz="4" w:space="0" w:color="auto"/>
              <w:left w:val="nil"/>
              <w:bottom w:val="nil"/>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Budget after transfers 2012/13</w:t>
            </w:r>
          </w:p>
        </w:tc>
        <w:tc>
          <w:tcPr>
            <w:tcW w:w="1596" w:type="dxa"/>
            <w:tcBorders>
              <w:top w:val="single" w:sz="4" w:space="0" w:color="auto"/>
              <w:left w:val="nil"/>
              <w:bottom w:val="nil"/>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Expenditures 2012/13</w:t>
            </w:r>
          </w:p>
        </w:tc>
        <w:tc>
          <w:tcPr>
            <w:tcW w:w="1916" w:type="dxa"/>
            <w:tcBorders>
              <w:top w:val="single" w:sz="4" w:space="0" w:color="auto"/>
              <w:left w:val="nil"/>
              <w:bottom w:val="nil"/>
              <w:right w:val="single" w:sz="4" w:space="0" w:color="auto"/>
            </w:tcBorders>
            <w:shd w:val="clear" w:color="000000" w:fill="CCFFFF"/>
            <w:vAlign w:val="center"/>
            <w:hideMark/>
          </w:tcPr>
          <w:p w:rsidR="000B5438" w:rsidRPr="0024474C" w:rsidRDefault="000B5438" w:rsidP="0024474C">
            <w:pPr>
              <w:spacing w:before="120" w:after="120"/>
              <w:jc w:val="center"/>
              <w:rPr>
                <w:rFonts w:cs="Arial"/>
                <w:bCs/>
                <w:color w:val="000000"/>
                <w:sz w:val="16"/>
                <w:szCs w:val="16"/>
              </w:rPr>
            </w:pPr>
            <w:r w:rsidRPr="0024474C">
              <w:rPr>
                <w:rFonts w:cs="Arial"/>
                <w:bCs/>
                <w:color w:val="000000"/>
                <w:sz w:val="16"/>
                <w:szCs w:val="16"/>
              </w:rPr>
              <w:t>Utilization rate (%)</w:t>
            </w:r>
          </w:p>
        </w:tc>
      </w:tr>
      <w:tr w:rsidR="000B5438" w:rsidRPr="00181AFA" w:rsidTr="0098292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4474C">
            <w:pPr>
              <w:spacing w:before="120" w:after="120"/>
              <w:rPr>
                <w:rFonts w:cs="Arial"/>
                <w:color w:val="000000"/>
                <w:sz w:val="16"/>
                <w:szCs w:val="16"/>
              </w:rPr>
            </w:pPr>
            <w:r w:rsidRPr="0027745B">
              <w:rPr>
                <w:rFonts w:cs="Arial"/>
                <w:color w:val="000000"/>
                <w:sz w:val="16"/>
                <w:szCs w:val="16"/>
              </w:rPr>
              <w:t xml:space="preserve"> Personnel Resources  </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16,420</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15,253</w:t>
            </w:r>
          </w:p>
        </w:tc>
        <w:tc>
          <w:tcPr>
            <w:tcW w:w="1596"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15,253</w:t>
            </w:r>
          </w:p>
        </w:tc>
        <w:tc>
          <w:tcPr>
            <w:tcW w:w="1916"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100%</w:t>
            </w:r>
          </w:p>
        </w:tc>
      </w:tr>
      <w:tr w:rsidR="000B5438" w:rsidRPr="00181AFA" w:rsidTr="0098292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4474C">
            <w:pPr>
              <w:spacing w:before="120" w:after="120"/>
              <w:rPr>
                <w:rFonts w:cs="Arial"/>
                <w:color w:val="000000"/>
                <w:sz w:val="16"/>
                <w:szCs w:val="16"/>
              </w:rPr>
            </w:pPr>
            <w:r w:rsidRPr="0027745B">
              <w:rPr>
                <w:rFonts w:cs="Arial"/>
                <w:color w:val="000000"/>
                <w:sz w:val="16"/>
                <w:szCs w:val="16"/>
              </w:rPr>
              <w:t xml:space="preserve"> Non-personnel Resources </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2,528</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3,585</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3,005</w:t>
            </w:r>
          </w:p>
        </w:tc>
        <w:tc>
          <w:tcPr>
            <w:tcW w:w="191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color w:val="000000"/>
                <w:sz w:val="16"/>
                <w:szCs w:val="16"/>
              </w:rPr>
            </w:pPr>
            <w:r w:rsidRPr="0027745B">
              <w:rPr>
                <w:rFonts w:cs="Arial"/>
                <w:color w:val="000000"/>
                <w:sz w:val="16"/>
                <w:szCs w:val="16"/>
              </w:rPr>
              <w:t>84%</w:t>
            </w:r>
          </w:p>
        </w:tc>
      </w:tr>
      <w:tr w:rsidR="000B5438" w:rsidRPr="00181AFA" w:rsidTr="00982926">
        <w:tc>
          <w:tcPr>
            <w:tcW w:w="2652"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4474C">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b/>
                <w:bCs/>
                <w:color w:val="000000"/>
                <w:sz w:val="16"/>
                <w:szCs w:val="16"/>
              </w:rPr>
            </w:pPr>
            <w:r w:rsidRPr="0027745B">
              <w:rPr>
                <w:rFonts w:cs="Arial"/>
                <w:b/>
                <w:bCs/>
                <w:color w:val="000000"/>
                <w:sz w:val="16"/>
                <w:szCs w:val="16"/>
              </w:rPr>
              <w:t>18,948</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b/>
                <w:color w:val="000000"/>
                <w:sz w:val="16"/>
                <w:szCs w:val="16"/>
              </w:rPr>
            </w:pPr>
            <w:r w:rsidRPr="0027745B">
              <w:rPr>
                <w:rFonts w:cs="Arial"/>
                <w:b/>
                <w:color w:val="000000"/>
                <w:sz w:val="16"/>
                <w:szCs w:val="16"/>
              </w:rPr>
              <w:t>18,838</w:t>
            </w:r>
          </w:p>
        </w:tc>
        <w:tc>
          <w:tcPr>
            <w:tcW w:w="159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b/>
                <w:color w:val="000000"/>
                <w:sz w:val="16"/>
                <w:szCs w:val="16"/>
              </w:rPr>
            </w:pPr>
            <w:r w:rsidRPr="0027745B">
              <w:rPr>
                <w:rFonts w:cs="Arial"/>
                <w:b/>
                <w:color w:val="000000"/>
                <w:sz w:val="16"/>
                <w:szCs w:val="16"/>
              </w:rPr>
              <w:t>18,257</w:t>
            </w:r>
          </w:p>
        </w:tc>
        <w:tc>
          <w:tcPr>
            <w:tcW w:w="1916"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4474C">
            <w:pPr>
              <w:spacing w:before="120" w:after="120"/>
              <w:jc w:val="center"/>
              <w:rPr>
                <w:rFonts w:cs="Arial"/>
                <w:b/>
                <w:color w:val="000000"/>
                <w:sz w:val="16"/>
                <w:szCs w:val="16"/>
              </w:rPr>
            </w:pPr>
            <w:r w:rsidRPr="0027745B">
              <w:rPr>
                <w:rFonts w:cs="Arial"/>
                <w:b/>
                <w:color w:val="000000"/>
                <w:sz w:val="16"/>
                <w:szCs w:val="16"/>
              </w:rPr>
              <w:t>97%</w:t>
            </w:r>
          </w:p>
        </w:tc>
      </w:tr>
    </w:tbl>
    <w:p w:rsidR="000B5438" w:rsidRPr="00181AFA" w:rsidRDefault="000B5438" w:rsidP="000B5438">
      <w:pPr>
        <w:rPr>
          <w:rFonts w:cs="Arial"/>
        </w:rPr>
      </w:pPr>
    </w:p>
    <w:p w:rsidR="000B5438" w:rsidRPr="0027745B" w:rsidRDefault="000B5438" w:rsidP="000B5438">
      <w:pPr>
        <w:keepNext/>
        <w:keepLines/>
        <w:autoSpaceDE w:val="0"/>
        <w:autoSpaceDN w:val="0"/>
        <w:adjustRightInd w:val="0"/>
        <w:rPr>
          <w:rFonts w:cs="Arial"/>
          <w:sz w:val="16"/>
          <w:szCs w:val="16"/>
        </w:rPr>
      </w:pPr>
      <w:r w:rsidRPr="0027745B">
        <w:rPr>
          <w:rFonts w:cs="Arial"/>
          <w:sz w:val="16"/>
          <w:szCs w:val="16"/>
        </w:rPr>
        <w:t>NOTES:</w:t>
      </w:r>
    </w:p>
    <w:p w:rsidR="000B5438" w:rsidRPr="0027745B" w:rsidRDefault="000B5438" w:rsidP="000B5438">
      <w:pPr>
        <w:keepNext/>
        <w:keepLines/>
        <w:autoSpaceDE w:val="0"/>
        <w:autoSpaceDN w:val="0"/>
        <w:adjustRightInd w:val="0"/>
        <w:rPr>
          <w:rFonts w:cs="Arial"/>
          <w:sz w:val="16"/>
          <w:szCs w:val="16"/>
        </w:rPr>
      </w:pPr>
    </w:p>
    <w:p w:rsidR="000B5438" w:rsidRPr="0027745B" w:rsidRDefault="000B5438" w:rsidP="000B5438">
      <w:pPr>
        <w:keepNext/>
        <w:keepLines/>
        <w:autoSpaceDE w:val="0"/>
        <w:autoSpaceDN w:val="0"/>
        <w:adjustRightInd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0B5438" w:rsidRPr="0027745B" w:rsidRDefault="000B5438" w:rsidP="000B5438">
      <w:pPr>
        <w:keepNext/>
        <w:keepLines/>
        <w:autoSpaceDE w:val="0"/>
        <w:autoSpaceDN w:val="0"/>
        <w:adjustRightInd w:val="0"/>
        <w:rPr>
          <w:rFonts w:cs="Arial"/>
          <w:sz w:val="16"/>
          <w:szCs w:val="16"/>
        </w:rPr>
      </w:pPr>
    </w:p>
    <w:p w:rsidR="000B5438" w:rsidRPr="0027745B" w:rsidRDefault="00DC2CFA" w:rsidP="000B5438">
      <w:pPr>
        <w:keepNext/>
        <w:keepLines/>
        <w:autoSpaceDE w:val="0"/>
        <w:autoSpaceDN w:val="0"/>
        <w:adjustRightInd w:val="0"/>
        <w:rPr>
          <w:rFonts w:cs="Arial"/>
          <w:sz w:val="16"/>
          <w:szCs w:val="16"/>
        </w:rPr>
      </w:pPr>
      <w:r>
        <w:rPr>
          <w:rFonts w:cs="Arial"/>
          <w:sz w:val="16"/>
          <w:szCs w:val="16"/>
        </w:rPr>
        <w:t xml:space="preserve">(2)  The personnel allocation for the 2012/13 Budget after transfers represents actual expenditures incurred in the biennium. </w:t>
      </w:r>
      <w:r w:rsidR="000B5438" w:rsidRPr="0027745B">
        <w:rPr>
          <w:rFonts w:cs="Arial"/>
          <w:sz w:val="16"/>
          <w:szCs w:val="16"/>
        </w:rPr>
        <w:t xml:space="preserve"> </w:t>
      </w:r>
    </w:p>
    <w:p w:rsidR="000B5438" w:rsidRDefault="000B5438" w:rsidP="000B5438">
      <w:pPr>
        <w:rPr>
          <w:rFonts w:cs="Arial"/>
        </w:rPr>
      </w:pPr>
    </w:p>
    <w:p w:rsidR="000B5438" w:rsidRPr="00B31496" w:rsidRDefault="000B5438" w:rsidP="000B5438">
      <w:pPr>
        <w:tabs>
          <w:tab w:val="left" w:pos="709"/>
        </w:tabs>
        <w:jc w:val="both"/>
        <w:rPr>
          <w:rFonts w:cs="Arial"/>
          <w:szCs w:val="20"/>
          <w:u w:val="single"/>
        </w:rPr>
      </w:pPr>
      <w:r w:rsidRPr="0027745B">
        <w:rPr>
          <w:rFonts w:cs="Arial"/>
          <w:szCs w:val="20"/>
        </w:rPr>
        <w:t>A.</w:t>
      </w:r>
      <w:r w:rsidRPr="0027745B">
        <w:rPr>
          <w:rFonts w:cs="Arial"/>
          <w:szCs w:val="20"/>
        </w:rPr>
        <w:tab/>
      </w:r>
      <w:r w:rsidRPr="00B31496">
        <w:rPr>
          <w:rFonts w:cs="Arial"/>
          <w:szCs w:val="20"/>
          <w:u w:val="single"/>
        </w:rPr>
        <w:t>Budget after Transfers 2012/13</w:t>
      </w:r>
    </w:p>
    <w:p w:rsidR="000B5438" w:rsidRPr="00B31496" w:rsidRDefault="000B5438" w:rsidP="000B5438">
      <w:pPr>
        <w:jc w:val="both"/>
        <w:rPr>
          <w:rFonts w:cs="Arial"/>
          <w:szCs w:val="20"/>
          <w:u w:val="single"/>
        </w:rPr>
      </w:pPr>
    </w:p>
    <w:p w:rsidR="000B5438" w:rsidRPr="00B31496" w:rsidRDefault="000B5438" w:rsidP="00FB33D5">
      <w:pPr>
        <w:tabs>
          <w:tab w:val="left" w:pos="709"/>
        </w:tabs>
        <w:jc w:val="both"/>
        <w:rPr>
          <w:rFonts w:cs="Arial"/>
          <w:color w:val="000000"/>
          <w:sz w:val="18"/>
          <w:szCs w:val="18"/>
        </w:rPr>
      </w:pPr>
      <w:r>
        <w:rPr>
          <w:rFonts w:cs="Arial"/>
          <w:szCs w:val="20"/>
        </w:rPr>
        <w:t>21.11.</w:t>
      </w:r>
      <w:r>
        <w:rPr>
          <w:rFonts w:cs="Arial"/>
          <w:szCs w:val="20"/>
        </w:rPr>
        <w:tab/>
      </w:r>
      <w:r w:rsidRPr="00B31496">
        <w:rPr>
          <w:rFonts w:cs="Arial"/>
          <w:szCs w:val="20"/>
        </w:rPr>
        <w:t xml:space="preserve">The 2012/13 Budget after Transfers reflects </w:t>
      </w:r>
      <w:r>
        <w:rPr>
          <w:rFonts w:cs="Arial"/>
          <w:szCs w:val="20"/>
        </w:rPr>
        <w:t>a</w:t>
      </w:r>
      <w:r w:rsidRPr="00B31496">
        <w:rPr>
          <w:rFonts w:cs="Arial"/>
          <w:szCs w:val="20"/>
        </w:rPr>
        <w:t xml:space="preserve"> net increase in non-personnel resources </w:t>
      </w:r>
      <w:r>
        <w:rPr>
          <w:rFonts w:cs="Arial"/>
          <w:szCs w:val="20"/>
        </w:rPr>
        <w:t>of</w:t>
      </w:r>
      <w:r w:rsidRPr="00B31496">
        <w:rPr>
          <w:rFonts w:cs="Arial"/>
          <w:szCs w:val="20"/>
        </w:rPr>
        <w:t xml:space="preserve"> </w:t>
      </w:r>
      <w:r>
        <w:rPr>
          <w:rFonts w:cs="Arial"/>
          <w:szCs w:val="20"/>
        </w:rPr>
        <w:t>one</w:t>
      </w:r>
      <w:r w:rsidR="00FB33D5">
        <w:rPr>
          <w:rFonts w:cs="Arial"/>
          <w:szCs w:val="20"/>
        </w:rPr>
        <w:t> </w:t>
      </w:r>
      <w:r w:rsidRPr="00B31496">
        <w:rPr>
          <w:rFonts w:cs="Arial"/>
          <w:szCs w:val="20"/>
        </w:rPr>
        <w:t>million Swiss francs allocat</w:t>
      </w:r>
      <w:r>
        <w:rPr>
          <w:rFonts w:cs="Arial"/>
          <w:szCs w:val="20"/>
        </w:rPr>
        <w:t xml:space="preserve">ed </w:t>
      </w:r>
      <w:r w:rsidRPr="00B31496">
        <w:rPr>
          <w:rFonts w:cs="Arial"/>
          <w:szCs w:val="20"/>
        </w:rPr>
        <w:t>for the implementation of the SRP</w:t>
      </w:r>
      <w:r>
        <w:rPr>
          <w:rFonts w:cs="Arial"/>
          <w:szCs w:val="20"/>
        </w:rPr>
        <w:t xml:space="preserve"> under Resu</w:t>
      </w:r>
      <w:r w:rsidRPr="00D40D36">
        <w:rPr>
          <w:rFonts w:cs="Arial"/>
          <w:szCs w:val="20"/>
        </w:rPr>
        <w:t>lt IX.7 (</w:t>
      </w:r>
      <w:r w:rsidRPr="00B31496">
        <w:rPr>
          <w:rFonts w:cs="Arial"/>
          <w:color w:val="000000"/>
          <w:szCs w:val="20"/>
        </w:rPr>
        <w:t>Enhanced coordination and coherence within the Secretariat</w:t>
      </w:r>
      <w:r w:rsidRPr="00D40D36">
        <w:rPr>
          <w:rFonts w:cs="Arial"/>
          <w:szCs w:val="20"/>
        </w:rPr>
        <w:t>)</w:t>
      </w:r>
      <w:r w:rsidRPr="00B31496">
        <w:rPr>
          <w:rFonts w:cs="Arial"/>
          <w:szCs w:val="20"/>
        </w:rPr>
        <w:t xml:space="preserve">. </w:t>
      </w:r>
      <w:r w:rsidR="00FB33D5">
        <w:rPr>
          <w:rFonts w:cs="Arial"/>
          <w:szCs w:val="20"/>
        </w:rPr>
        <w:t xml:space="preserve"> </w:t>
      </w:r>
      <w:r>
        <w:rPr>
          <w:rFonts w:cs="Arial"/>
          <w:szCs w:val="20"/>
        </w:rPr>
        <w:t xml:space="preserve">This was partly due to the postponement of certain activities from the 2010/11 to the 2012/13 biennium and partly from </w:t>
      </w:r>
      <w:r w:rsidRPr="00B31496">
        <w:rPr>
          <w:rFonts w:cs="Arial"/>
          <w:szCs w:val="20"/>
        </w:rPr>
        <w:t xml:space="preserve">an increase in the scope of </w:t>
      </w:r>
      <w:r>
        <w:rPr>
          <w:rFonts w:cs="Arial"/>
          <w:szCs w:val="20"/>
        </w:rPr>
        <w:t xml:space="preserve">certain </w:t>
      </w:r>
      <w:r w:rsidRPr="00B31496">
        <w:rPr>
          <w:rFonts w:cs="Arial"/>
          <w:szCs w:val="20"/>
        </w:rPr>
        <w:t xml:space="preserve">initiatives, </w:t>
      </w:r>
      <w:r>
        <w:rPr>
          <w:rFonts w:cs="Arial"/>
          <w:szCs w:val="20"/>
        </w:rPr>
        <w:t>notably the</w:t>
      </w:r>
      <w:r w:rsidRPr="00B31496">
        <w:rPr>
          <w:rFonts w:cs="Arial"/>
          <w:szCs w:val="20"/>
        </w:rPr>
        <w:t xml:space="preserve"> strengthen</w:t>
      </w:r>
      <w:r>
        <w:rPr>
          <w:rFonts w:cs="Arial"/>
          <w:szCs w:val="20"/>
        </w:rPr>
        <w:t>ing</w:t>
      </w:r>
      <w:r w:rsidRPr="00B31496">
        <w:rPr>
          <w:rFonts w:cs="Arial"/>
          <w:szCs w:val="20"/>
        </w:rPr>
        <w:t xml:space="preserve"> </w:t>
      </w:r>
      <w:r>
        <w:rPr>
          <w:rFonts w:cs="Arial"/>
          <w:szCs w:val="20"/>
        </w:rPr>
        <w:t xml:space="preserve">of </w:t>
      </w:r>
      <w:r w:rsidRPr="00B31496">
        <w:rPr>
          <w:rFonts w:cs="Arial"/>
          <w:szCs w:val="20"/>
        </w:rPr>
        <w:t>internal controls and organizational design.  The 2012/13 Budget after Transfers also reflect</w:t>
      </w:r>
      <w:r>
        <w:rPr>
          <w:rFonts w:cs="Arial"/>
          <w:szCs w:val="20"/>
        </w:rPr>
        <w:t>s</w:t>
      </w:r>
      <w:r w:rsidRPr="00B31496">
        <w:rPr>
          <w:rFonts w:cs="Arial"/>
          <w:szCs w:val="20"/>
        </w:rPr>
        <w:t xml:space="preserve"> a decrease in personnel resources by about 1.2 million Swiss francs mainly due to a number of vacant posts in the Office of the Director General.</w:t>
      </w:r>
    </w:p>
    <w:p w:rsidR="000B5438" w:rsidRPr="00B31496" w:rsidRDefault="000B5438" w:rsidP="00FB33D5">
      <w:pPr>
        <w:jc w:val="both"/>
        <w:rPr>
          <w:rFonts w:cs="Arial"/>
          <w:szCs w:val="20"/>
        </w:rPr>
      </w:pPr>
    </w:p>
    <w:p w:rsidR="000B5438" w:rsidRPr="00B31496" w:rsidRDefault="000B5438" w:rsidP="00FB33D5">
      <w:pPr>
        <w:tabs>
          <w:tab w:val="left" w:pos="709"/>
        </w:tabs>
        <w:jc w:val="both"/>
        <w:rPr>
          <w:rFonts w:cs="Arial"/>
          <w:szCs w:val="20"/>
          <w:u w:val="single"/>
        </w:rPr>
      </w:pPr>
      <w:r w:rsidRPr="0027745B">
        <w:rPr>
          <w:rFonts w:cs="Arial"/>
          <w:szCs w:val="20"/>
        </w:rPr>
        <w:t>B.</w:t>
      </w:r>
      <w:r w:rsidRPr="0027745B">
        <w:rPr>
          <w:rFonts w:cs="Arial"/>
          <w:szCs w:val="20"/>
        </w:rPr>
        <w:tab/>
      </w:r>
      <w:r w:rsidR="00D44A34">
        <w:rPr>
          <w:rFonts w:cs="Arial"/>
          <w:szCs w:val="20"/>
          <w:u w:val="single"/>
        </w:rPr>
        <w:t>Budget U</w:t>
      </w:r>
      <w:r w:rsidRPr="00B31496">
        <w:rPr>
          <w:rFonts w:cs="Arial"/>
          <w:szCs w:val="20"/>
          <w:u w:val="single"/>
        </w:rPr>
        <w:t>tilization 2012/13</w:t>
      </w:r>
    </w:p>
    <w:p w:rsidR="000B5438" w:rsidRPr="00B31496" w:rsidRDefault="000B5438" w:rsidP="00FB33D5">
      <w:pPr>
        <w:jc w:val="both"/>
        <w:rPr>
          <w:rFonts w:cs="Arial"/>
          <w:szCs w:val="20"/>
        </w:rPr>
      </w:pPr>
    </w:p>
    <w:p w:rsidR="000B5438" w:rsidRPr="00B31496" w:rsidRDefault="000B5438" w:rsidP="00FB33D5">
      <w:pPr>
        <w:tabs>
          <w:tab w:val="left" w:pos="709"/>
        </w:tabs>
        <w:jc w:val="both"/>
        <w:rPr>
          <w:rFonts w:cs="Arial"/>
          <w:szCs w:val="20"/>
        </w:rPr>
      </w:pPr>
      <w:r>
        <w:rPr>
          <w:rFonts w:cs="Arial"/>
          <w:szCs w:val="20"/>
        </w:rPr>
        <w:t>21.12.</w:t>
      </w:r>
      <w:r>
        <w:rPr>
          <w:rFonts w:cs="Arial"/>
          <w:szCs w:val="20"/>
        </w:rPr>
        <w:tab/>
        <w:t xml:space="preserve">Budget utilization amounted to 84 per cent primarily due to savings under </w:t>
      </w:r>
      <w:r w:rsidRPr="00B31496">
        <w:rPr>
          <w:rFonts w:cs="Arial"/>
          <w:szCs w:val="20"/>
        </w:rPr>
        <w:t xml:space="preserve">the </w:t>
      </w:r>
      <w:r w:rsidR="00D04278">
        <w:rPr>
          <w:rFonts w:cs="Arial"/>
          <w:szCs w:val="20"/>
        </w:rPr>
        <w:t>SRP</w:t>
      </w:r>
      <w:r>
        <w:rPr>
          <w:rFonts w:cs="Arial"/>
          <w:szCs w:val="20"/>
        </w:rPr>
        <w:t xml:space="preserve"> reflected under Resu</w:t>
      </w:r>
      <w:r w:rsidRPr="00D40D36">
        <w:rPr>
          <w:rFonts w:cs="Arial"/>
          <w:szCs w:val="20"/>
        </w:rPr>
        <w:t>lt IX.7 (</w:t>
      </w:r>
      <w:r w:rsidRPr="004B56E5">
        <w:rPr>
          <w:rFonts w:cs="Arial"/>
          <w:color w:val="000000"/>
          <w:szCs w:val="20"/>
        </w:rPr>
        <w:t>Enhanced coordination and coherence within the Secretariat</w:t>
      </w:r>
      <w:r w:rsidRPr="00D40D36">
        <w:rPr>
          <w:rFonts w:cs="Arial"/>
          <w:szCs w:val="20"/>
        </w:rPr>
        <w:t>)</w:t>
      </w:r>
    </w:p>
    <w:p w:rsidR="000B5438" w:rsidRDefault="000B5438">
      <w:pPr>
        <w:rPr>
          <w:rFonts w:eastAsia="SimSun"/>
          <w:color w:val="000000"/>
          <w:szCs w:val="20"/>
          <w:lang w:eastAsia="zh-CN"/>
        </w:rPr>
      </w:pPr>
      <w:r>
        <w:rPr>
          <w:rFonts w:eastAsia="SimSun"/>
          <w:color w:val="000000"/>
          <w:szCs w:val="20"/>
          <w:lang w:eastAsia="zh-CN"/>
        </w:rPr>
        <w:br w:type="page"/>
      </w:r>
    </w:p>
    <w:p w:rsidR="001C67B1" w:rsidRPr="00C568E4" w:rsidRDefault="001C67B1" w:rsidP="00C568E4">
      <w:pPr>
        <w:pStyle w:val="Heading3"/>
      </w:pPr>
      <w:bookmarkStart w:id="63" w:name="_Toc393956073"/>
      <w:r w:rsidRPr="00C568E4">
        <w:lastRenderedPageBreak/>
        <w:t>PROGRAM 22</w:t>
      </w:r>
      <w:r w:rsidRPr="00C568E4">
        <w:tab/>
        <w:t>PROGRAM AND RESOURCE MANAGEMENT</w:t>
      </w:r>
      <w:bookmarkEnd w:id="63"/>
    </w:p>
    <w:p w:rsidR="001C67B1" w:rsidRPr="00C568E4" w:rsidRDefault="001C67B1" w:rsidP="00C568E4">
      <w:pPr>
        <w:pStyle w:val="Heading3"/>
      </w:pPr>
    </w:p>
    <w:p w:rsidR="001C67B1" w:rsidRDefault="001C67B1" w:rsidP="001C67B1">
      <w:pPr>
        <w:ind w:left="2268" w:hanging="2268"/>
        <w:rPr>
          <w:rFonts w:cs="Arial"/>
          <w:b/>
          <w:sz w:val="22"/>
          <w:szCs w:val="22"/>
        </w:rPr>
      </w:pPr>
      <w:r>
        <w:rPr>
          <w:rFonts w:cs="Arial"/>
          <w:b/>
          <w:sz w:val="22"/>
          <w:szCs w:val="22"/>
        </w:rPr>
        <w:t>Program Manager</w:t>
      </w:r>
      <w:r>
        <w:rPr>
          <w:rFonts w:cs="Arial"/>
          <w:b/>
          <w:sz w:val="22"/>
          <w:szCs w:val="22"/>
        </w:rPr>
        <w:tab/>
      </w:r>
      <w:r>
        <w:rPr>
          <w:rFonts w:cs="Arial"/>
          <w:b/>
          <w:sz w:val="22"/>
          <w:szCs w:val="22"/>
        </w:rPr>
        <w:tab/>
      </w:r>
      <w:r>
        <w:rPr>
          <w:rFonts w:cs="Arial"/>
          <w:b/>
          <w:bCs/>
          <w:sz w:val="22"/>
          <w:szCs w:val="22"/>
        </w:rPr>
        <w:t>Mr. A. Sundaram</w:t>
      </w:r>
    </w:p>
    <w:p w:rsidR="001C67B1" w:rsidRPr="001C67B1" w:rsidRDefault="001C67B1" w:rsidP="001C67B1">
      <w:pPr>
        <w:rPr>
          <w:rFonts w:cs="Arial"/>
          <w:szCs w:val="20"/>
        </w:rPr>
      </w:pPr>
    </w:p>
    <w:p w:rsidR="001C67B1" w:rsidRPr="001C67B1" w:rsidRDefault="001C67B1" w:rsidP="001C67B1">
      <w:pPr>
        <w:rPr>
          <w:rFonts w:cs="Arial"/>
          <w:bCs/>
          <w:szCs w:val="20"/>
        </w:rPr>
      </w:pPr>
    </w:p>
    <w:p w:rsidR="001C67B1" w:rsidRDefault="001C67B1" w:rsidP="001C67B1">
      <w:pPr>
        <w:rPr>
          <w:rFonts w:cs="Arial"/>
          <w:sz w:val="22"/>
          <w:szCs w:val="22"/>
        </w:rPr>
      </w:pPr>
      <w:r>
        <w:rPr>
          <w:rFonts w:cs="Arial"/>
          <w:sz w:val="22"/>
          <w:szCs w:val="22"/>
        </w:rPr>
        <w:t>ACHIEVEMENTS IN THE 2012/13 BIENNIUM</w:t>
      </w:r>
    </w:p>
    <w:p w:rsidR="001C67B1" w:rsidRPr="001C67B1" w:rsidRDefault="001C67B1" w:rsidP="001C67B1">
      <w:pPr>
        <w:rPr>
          <w:rFonts w:cs="Arial"/>
          <w:sz w:val="16"/>
          <w:szCs w:val="16"/>
        </w:rPr>
      </w:pPr>
    </w:p>
    <w:p w:rsidR="001C67B1" w:rsidRDefault="001C67B1" w:rsidP="001C67B1">
      <w:pPr>
        <w:tabs>
          <w:tab w:val="left" w:pos="709"/>
        </w:tabs>
        <w:autoSpaceDE w:val="0"/>
        <w:autoSpaceDN w:val="0"/>
        <w:adjustRightInd w:val="0"/>
        <w:jc w:val="both"/>
        <w:rPr>
          <w:rFonts w:cs="Arial"/>
          <w:szCs w:val="20"/>
        </w:rPr>
      </w:pPr>
      <w:r>
        <w:rPr>
          <w:rFonts w:cs="Arial"/>
          <w:szCs w:val="20"/>
        </w:rPr>
        <w:t>22.1.</w:t>
      </w:r>
      <w:r>
        <w:rPr>
          <w:rFonts w:cs="Arial"/>
          <w:szCs w:val="20"/>
        </w:rPr>
        <w:tab/>
        <w:t xml:space="preserve">The stronger planning platform provided in the Program and Budget 2012/13 formed the basis for continuing program and financial management enhancements in the biennium. </w:t>
      </w:r>
    </w:p>
    <w:p w:rsidR="001C67B1" w:rsidRPr="001C67B1" w:rsidRDefault="001C67B1" w:rsidP="001C67B1">
      <w:pPr>
        <w:tabs>
          <w:tab w:val="left" w:pos="709"/>
        </w:tabs>
        <w:autoSpaceDE w:val="0"/>
        <w:autoSpaceDN w:val="0"/>
        <w:adjustRightInd w:val="0"/>
        <w:jc w:val="both"/>
        <w:rPr>
          <w:rFonts w:cs="Arial"/>
          <w:sz w:val="16"/>
          <w:szCs w:val="16"/>
        </w:rPr>
      </w:pPr>
    </w:p>
    <w:p w:rsidR="001C67B1" w:rsidRDefault="001C67B1" w:rsidP="001C67B1">
      <w:pPr>
        <w:tabs>
          <w:tab w:val="left" w:pos="709"/>
        </w:tabs>
        <w:autoSpaceDE w:val="0"/>
        <w:autoSpaceDN w:val="0"/>
        <w:adjustRightInd w:val="0"/>
        <w:jc w:val="both"/>
        <w:rPr>
          <w:rFonts w:cs="Arial"/>
          <w:szCs w:val="20"/>
        </w:rPr>
      </w:pPr>
      <w:r>
        <w:rPr>
          <w:rFonts w:cs="Arial"/>
          <w:szCs w:val="20"/>
        </w:rPr>
        <w:t>22.2.</w:t>
      </w:r>
      <w:r>
        <w:rPr>
          <w:rFonts w:cs="Arial"/>
          <w:szCs w:val="20"/>
        </w:rPr>
        <w:tab/>
        <w:t>The 2012 and 2013 annual workplanning processes were further improved, supported by a first and second generation workplanning tool delivered by the ERP EPM project, closely aligning resources with Expected Results through the workplan activities.  For the first time, this enabled the Secretariat to perform cross-organizational analysis of workplan activities on several dimensions, such as results and countries, contributing to better coordination among implementing entities</w:t>
      </w:r>
      <w:r w:rsidR="00D04278">
        <w:rPr>
          <w:rFonts w:cs="Arial"/>
          <w:szCs w:val="20"/>
        </w:rPr>
        <w:t xml:space="preserve"> and coherence in the delivery of WIPO’s services</w:t>
      </w:r>
      <w:r>
        <w:rPr>
          <w:rFonts w:cs="Arial"/>
          <w:szCs w:val="20"/>
        </w:rPr>
        <w:t xml:space="preserve">.  This system also allowed managers to track, for the first time, actual expenditure against their workplan during implementation.  </w:t>
      </w:r>
    </w:p>
    <w:p w:rsidR="001C67B1" w:rsidRPr="001C67B1" w:rsidRDefault="001C67B1" w:rsidP="001C67B1">
      <w:pPr>
        <w:tabs>
          <w:tab w:val="left" w:pos="709"/>
        </w:tabs>
        <w:autoSpaceDE w:val="0"/>
        <w:autoSpaceDN w:val="0"/>
        <w:adjustRightInd w:val="0"/>
        <w:jc w:val="both"/>
        <w:rPr>
          <w:rFonts w:cs="Arial"/>
          <w:sz w:val="16"/>
          <w:szCs w:val="16"/>
        </w:rPr>
      </w:pPr>
    </w:p>
    <w:p w:rsidR="001C67B1" w:rsidRDefault="001C67B1" w:rsidP="001C67B1">
      <w:pPr>
        <w:tabs>
          <w:tab w:val="left" w:pos="709"/>
        </w:tabs>
        <w:autoSpaceDE w:val="0"/>
        <w:autoSpaceDN w:val="0"/>
        <w:adjustRightInd w:val="0"/>
        <w:jc w:val="both"/>
        <w:rPr>
          <w:rFonts w:cs="Arial"/>
          <w:szCs w:val="20"/>
        </w:rPr>
      </w:pPr>
      <w:r>
        <w:rPr>
          <w:rFonts w:cs="Arial"/>
          <w:szCs w:val="20"/>
        </w:rPr>
        <w:t>22.3.</w:t>
      </w:r>
      <w:r>
        <w:rPr>
          <w:rFonts w:cs="Arial"/>
          <w:szCs w:val="20"/>
        </w:rPr>
        <w:tab/>
        <w:t xml:space="preserve">In addition, the EPM tool to support the planning process for the biennium 2014/15 was completed and rolled-out to managers at the beginning of 2013.  The tool enhanced the efficiency of the planning process and considerably improved the ability to analyze Program Managers’ submissions. </w:t>
      </w:r>
    </w:p>
    <w:p w:rsidR="001C67B1" w:rsidRPr="001C67B1" w:rsidRDefault="001C67B1" w:rsidP="001C67B1">
      <w:pPr>
        <w:tabs>
          <w:tab w:val="left" w:pos="709"/>
        </w:tabs>
        <w:autoSpaceDE w:val="0"/>
        <w:autoSpaceDN w:val="0"/>
        <w:adjustRightInd w:val="0"/>
        <w:rPr>
          <w:rFonts w:cs="Arial"/>
          <w:sz w:val="16"/>
          <w:szCs w:val="16"/>
        </w:rPr>
      </w:pPr>
    </w:p>
    <w:p w:rsidR="001C67B1" w:rsidRDefault="001C67B1" w:rsidP="001C67B1">
      <w:pPr>
        <w:tabs>
          <w:tab w:val="left" w:pos="709"/>
        </w:tabs>
        <w:autoSpaceDE w:val="0"/>
        <w:autoSpaceDN w:val="0"/>
        <w:adjustRightInd w:val="0"/>
        <w:rPr>
          <w:rFonts w:cs="Arial"/>
          <w:szCs w:val="20"/>
        </w:rPr>
      </w:pPr>
      <w:r>
        <w:rPr>
          <w:rFonts w:cs="Arial"/>
          <w:szCs w:val="20"/>
        </w:rPr>
        <w:t>22.4.</w:t>
      </w:r>
      <w:r>
        <w:rPr>
          <w:rFonts w:cs="Arial"/>
          <w:szCs w:val="20"/>
        </w:rPr>
        <w:tab/>
        <w:t xml:space="preserve">Of the key priorities established for 2012/13, good progress was also made in the biennium in respect of: </w:t>
      </w:r>
    </w:p>
    <w:p w:rsidR="001C67B1" w:rsidRPr="001C67B1" w:rsidRDefault="001C67B1" w:rsidP="001C67B1">
      <w:pPr>
        <w:autoSpaceDE w:val="0"/>
        <w:autoSpaceDN w:val="0"/>
        <w:adjustRightInd w:val="0"/>
        <w:rPr>
          <w:rFonts w:cs="Arial"/>
          <w:sz w:val="8"/>
          <w:szCs w:val="8"/>
        </w:rPr>
      </w:pPr>
    </w:p>
    <w:p w:rsidR="001C67B1" w:rsidRDefault="001C67B1" w:rsidP="007B2B25">
      <w:pPr>
        <w:numPr>
          <w:ilvl w:val="0"/>
          <w:numId w:val="75"/>
        </w:numPr>
        <w:tabs>
          <w:tab w:val="clear" w:pos="1080"/>
          <w:tab w:val="num" w:pos="1276"/>
        </w:tabs>
        <w:autoSpaceDE w:val="0"/>
        <w:autoSpaceDN w:val="0"/>
        <w:adjustRightInd w:val="0"/>
        <w:ind w:left="1276" w:hanging="567"/>
        <w:rPr>
          <w:rFonts w:cs="Arial"/>
          <w:szCs w:val="20"/>
        </w:rPr>
      </w:pPr>
      <w:r>
        <w:rPr>
          <w:rFonts w:cs="Arial"/>
          <w:szCs w:val="20"/>
        </w:rPr>
        <w:t xml:space="preserve">the review of processes related to the management and forecasting of WIPO’s income, in preparation for the preparation of the Program and Budget 2014/15; </w:t>
      </w:r>
    </w:p>
    <w:p w:rsidR="001C67B1" w:rsidRPr="001C67B1" w:rsidRDefault="001C67B1" w:rsidP="000C62A5">
      <w:pPr>
        <w:tabs>
          <w:tab w:val="num" w:pos="1276"/>
        </w:tabs>
        <w:autoSpaceDE w:val="0"/>
        <w:autoSpaceDN w:val="0"/>
        <w:adjustRightInd w:val="0"/>
        <w:ind w:left="1276" w:hanging="567"/>
        <w:rPr>
          <w:rFonts w:cs="Arial"/>
          <w:sz w:val="8"/>
          <w:szCs w:val="8"/>
        </w:rPr>
      </w:pPr>
    </w:p>
    <w:p w:rsidR="001C67B1" w:rsidRDefault="001C67B1" w:rsidP="007B2B25">
      <w:pPr>
        <w:numPr>
          <w:ilvl w:val="0"/>
          <w:numId w:val="75"/>
        </w:numPr>
        <w:tabs>
          <w:tab w:val="clear" w:pos="1080"/>
          <w:tab w:val="num" w:pos="1276"/>
        </w:tabs>
        <w:autoSpaceDE w:val="0"/>
        <w:autoSpaceDN w:val="0"/>
        <w:adjustRightInd w:val="0"/>
        <w:ind w:left="1276" w:hanging="567"/>
        <w:rPr>
          <w:rFonts w:cs="Arial"/>
          <w:szCs w:val="20"/>
        </w:rPr>
      </w:pPr>
      <w:proofErr w:type="gramStart"/>
      <w:r>
        <w:rPr>
          <w:rFonts w:cs="Arial"/>
          <w:szCs w:val="20"/>
        </w:rPr>
        <w:t>institutionalization</w:t>
      </w:r>
      <w:proofErr w:type="gramEnd"/>
      <w:r>
        <w:rPr>
          <w:rFonts w:cs="Arial"/>
          <w:szCs w:val="20"/>
        </w:rPr>
        <w:t xml:space="preserve"> of a responsible spending culture, with revised and new Office Instructions (OIs) issued to reflect cost efficiency measures including </w:t>
      </w:r>
      <w:r>
        <w:rPr>
          <w:rFonts w:cs="Arial"/>
          <w:bCs/>
          <w:szCs w:val="20"/>
        </w:rPr>
        <w:t xml:space="preserve">in respect of internships, hospitality, honoraria and fees for speakers and special service agreement holders and travel. </w:t>
      </w:r>
      <w:r w:rsidR="00F164FB">
        <w:rPr>
          <w:rFonts w:cs="Arial"/>
          <w:bCs/>
          <w:szCs w:val="20"/>
        </w:rPr>
        <w:t xml:space="preserve"> </w:t>
      </w:r>
      <w:r>
        <w:rPr>
          <w:rFonts w:cs="Arial"/>
          <w:szCs w:val="20"/>
        </w:rPr>
        <w:t xml:space="preserve">The implementation of such measures resulted in significant savings with no adverse effect on Program delivery, results and targets; </w:t>
      </w:r>
    </w:p>
    <w:p w:rsidR="001C67B1" w:rsidRPr="001C67B1" w:rsidRDefault="001C67B1" w:rsidP="000C62A5">
      <w:pPr>
        <w:tabs>
          <w:tab w:val="num" w:pos="1276"/>
        </w:tabs>
        <w:autoSpaceDE w:val="0"/>
        <w:autoSpaceDN w:val="0"/>
        <w:adjustRightInd w:val="0"/>
        <w:ind w:left="1276" w:hanging="567"/>
        <w:rPr>
          <w:rFonts w:cs="Arial"/>
          <w:sz w:val="8"/>
          <w:szCs w:val="8"/>
        </w:rPr>
      </w:pPr>
    </w:p>
    <w:p w:rsidR="001C67B1" w:rsidRDefault="001C67B1" w:rsidP="007B2B25">
      <w:pPr>
        <w:numPr>
          <w:ilvl w:val="0"/>
          <w:numId w:val="75"/>
        </w:numPr>
        <w:tabs>
          <w:tab w:val="clear" w:pos="1080"/>
          <w:tab w:val="num" w:pos="1276"/>
        </w:tabs>
        <w:autoSpaceDE w:val="0"/>
        <w:autoSpaceDN w:val="0"/>
        <w:adjustRightInd w:val="0"/>
        <w:ind w:left="1276" w:hanging="567"/>
        <w:rPr>
          <w:rFonts w:cs="Arial"/>
          <w:szCs w:val="20"/>
        </w:rPr>
      </w:pPr>
      <w:r>
        <w:rPr>
          <w:rFonts w:cs="Arial"/>
          <w:szCs w:val="20"/>
        </w:rPr>
        <w:t xml:space="preserve">enhancement of the Organization’s ability to track development-related expenditure; </w:t>
      </w:r>
    </w:p>
    <w:p w:rsidR="001C67B1" w:rsidRPr="001C67B1" w:rsidRDefault="001C67B1" w:rsidP="000C62A5">
      <w:pPr>
        <w:tabs>
          <w:tab w:val="num" w:pos="1276"/>
        </w:tabs>
        <w:autoSpaceDE w:val="0"/>
        <w:autoSpaceDN w:val="0"/>
        <w:adjustRightInd w:val="0"/>
        <w:ind w:left="1276" w:hanging="567"/>
        <w:rPr>
          <w:rFonts w:cs="Arial"/>
          <w:sz w:val="8"/>
          <w:szCs w:val="8"/>
        </w:rPr>
      </w:pPr>
    </w:p>
    <w:p w:rsidR="001C67B1" w:rsidRDefault="001C67B1" w:rsidP="007B2B25">
      <w:pPr>
        <w:numPr>
          <w:ilvl w:val="0"/>
          <w:numId w:val="75"/>
        </w:numPr>
        <w:tabs>
          <w:tab w:val="clear" w:pos="1080"/>
          <w:tab w:val="num" w:pos="1276"/>
        </w:tabs>
        <w:autoSpaceDE w:val="0"/>
        <w:autoSpaceDN w:val="0"/>
        <w:adjustRightInd w:val="0"/>
        <w:ind w:left="1276" w:hanging="567"/>
        <w:rPr>
          <w:rFonts w:cs="Arial"/>
          <w:szCs w:val="20"/>
        </w:rPr>
      </w:pPr>
      <w:r>
        <w:rPr>
          <w:rFonts w:cs="Arial"/>
          <w:szCs w:val="20"/>
        </w:rPr>
        <w:t>identification of areas where stronger controls could be introduced for ensuring compliance with both programmatic and resource management;  and</w:t>
      </w:r>
    </w:p>
    <w:p w:rsidR="001C67B1" w:rsidRPr="001C67B1" w:rsidRDefault="001C67B1" w:rsidP="000C62A5">
      <w:pPr>
        <w:tabs>
          <w:tab w:val="num" w:pos="1276"/>
        </w:tabs>
        <w:autoSpaceDE w:val="0"/>
        <w:autoSpaceDN w:val="0"/>
        <w:adjustRightInd w:val="0"/>
        <w:ind w:left="1276" w:hanging="567"/>
        <w:rPr>
          <w:rFonts w:cs="Arial"/>
          <w:sz w:val="8"/>
          <w:szCs w:val="8"/>
        </w:rPr>
      </w:pPr>
    </w:p>
    <w:p w:rsidR="001C67B1" w:rsidRPr="003C5DE4" w:rsidRDefault="001C67B1" w:rsidP="007B2B25">
      <w:pPr>
        <w:numPr>
          <w:ilvl w:val="0"/>
          <w:numId w:val="75"/>
        </w:numPr>
        <w:tabs>
          <w:tab w:val="clear" w:pos="1080"/>
          <w:tab w:val="num" w:pos="1276"/>
        </w:tabs>
        <w:autoSpaceDE w:val="0"/>
        <w:autoSpaceDN w:val="0"/>
        <w:adjustRightInd w:val="0"/>
        <w:ind w:left="1276" w:hanging="567"/>
        <w:rPr>
          <w:rFonts w:cs="Arial"/>
          <w:szCs w:val="20"/>
        </w:rPr>
      </w:pPr>
      <w:proofErr w:type="gramStart"/>
      <w:r w:rsidRPr="003C5DE4">
        <w:rPr>
          <w:rFonts w:cs="Arial"/>
          <w:szCs w:val="20"/>
        </w:rPr>
        <w:t>implementation</w:t>
      </w:r>
      <w:proofErr w:type="gramEnd"/>
      <w:r w:rsidRPr="003C5DE4">
        <w:rPr>
          <w:rFonts w:cs="Arial"/>
          <w:szCs w:val="20"/>
        </w:rPr>
        <w:t xml:space="preserve"> of the ERP Human Resources/Payroll module which went live in January</w:t>
      </w:r>
      <w:r w:rsidR="00F164FB">
        <w:rPr>
          <w:rFonts w:cs="Arial"/>
          <w:szCs w:val="20"/>
        </w:rPr>
        <w:t> </w:t>
      </w:r>
      <w:r w:rsidRPr="003C5DE4">
        <w:rPr>
          <w:rFonts w:cs="Arial"/>
          <w:szCs w:val="20"/>
        </w:rPr>
        <w:t xml:space="preserve">2014. </w:t>
      </w:r>
      <w:r w:rsidRPr="003C5DE4">
        <w:rPr>
          <w:rFonts w:cs="Arial"/>
          <w:szCs w:val="20"/>
        </w:rPr>
        <w:br/>
      </w:r>
    </w:p>
    <w:p w:rsidR="001C67B1" w:rsidRDefault="001C67B1" w:rsidP="001C67B1">
      <w:pPr>
        <w:tabs>
          <w:tab w:val="left" w:pos="709"/>
        </w:tabs>
        <w:autoSpaceDE w:val="0"/>
        <w:autoSpaceDN w:val="0"/>
        <w:adjustRightInd w:val="0"/>
        <w:jc w:val="both"/>
        <w:rPr>
          <w:rFonts w:cs="Arial"/>
          <w:bCs/>
          <w:szCs w:val="20"/>
        </w:rPr>
      </w:pPr>
      <w:r>
        <w:rPr>
          <w:rFonts w:cs="Arial"/>
          <w:bCs/>
          <w:szCs w:val="20"/>
        </w:rPr>
        <w:t>22.5.</w:t>
      </w:r>
      <w:r>
        <w:rPr>
          <w:rFonts w:cs="Arial"/>
          <w:bCs/>
          <w:szCs w:val="20"/>
        </w:rPr>
        <w:tab/>
        <w:t>Following the approval and issuance of the new revised Staff Regulations and Rules (SRR), the Program contributed to the implementation of the revised SRR, including the review and update of related procedures and policy documents</w:t>
      </w:r>
      <w:r w:rsidR="00D04278">
        <w:rPr>
          <w:rFonts w:cs="Arial"/>
          <w:bCs/>
          <w:szCs w:val="20"/>
        </w:rPr>
        <w:t>.  This resulted</w:t>
      </w:r>
      <w:r>
        <w:rPr>
          <w:rFonts w:cs="Arial"/>
          <w:bCs/>
          <w:szCs w:val="20"/>
        </w:rPr>
        <w:t xml:space="preserve"> in significant progress in the clarification of processes, roles and responsibilities and the formulation of OIs for addressing these (interns, fellowships, individual contractual services).</w:t>
      </w:r>
    </w:p>
    <w:p w:rsidR="001C67B1" w:rsidRPr="001C67B1" w:rsidRDefault="001C67B1" w:rsidP="001C67B1">
      <w:pPr>
        <w:jc w:val="both"/>
        <w:rPr>
          <w:rFonts w:cs="Arial"/>
          <w:bCs/>
          <w:sz w:val="16"/>
          <w:szCs w:val="16"/>
        </w:rPr>
      </w:pPr>
    </w:p>
    <w:p w:rsidR="001C67B1" w:rsidRDefault="001C67B1" w:rsidP="001C67B1">
      <w:pPr>
        <w:tabs>
          <w:tab w:val="left" w:pos="709"/>
        </w:tabs>
        <w:autoSpaceDE w:val="0"/>
        <w:autoSpaceDN w:val="0"/>
        <w:adjustRightInd w:val="0"/>
        <w:jc w:val="both"/>
        <w:rPr>
          <w:rFonts w:cs="Arial"/>
          <w:bCs/>
          <w:szCs w:val="20"/>
        </w:rPr>
      </w:pPr>
      <w:r>
        <w:rPr>
          <w:rFonts w:cs="Arial"/>
          <w:szCs w:val="20"/>
        </w:rPr>
        <w:t>22.6.</w:t>
      </w:r>
      <w:r>
        <w:rPr>
          <w:rFonts w:cs="Arial"/>
          <w:szCs w:val="20"/>
        </w:rPr>
        <w:tab/>
        <w:t xml:space="preserve">A comprehensive study of WIPO’s treasury practices and risks was launched, which will make recommendations for the future development of WIPO’s treasury.  Work began on the study in November 2013 with the final report expected to be received in March 2014. </w:t>
      </w:r>
      <w:r w:rsidR="00F164FB">
        <w:rPr>
          <w:rFonts w:cs="Arial"/>
          <w:szCs w:val="20"/>
        </w:rPr>
        <w:t xml:space="preserve"> </w:t>
      </w:r>
      <w:r>
        <w:rPr>
          <w:rFonts w:cs="Arial"/>
          <w:szCs w:val="20"/>
        </w:rPr>
        <w:t xml:space="preserve">Further initiatives implemented in the treasury area included: </w:t>
      </w:r>
      <w:r w:rsidR="00F164FB">
        <w:rPr>
          <w:rFonts w:cs="Arial"/>
          <w:szCs w:val="20"/>
        </w:rPr>
        <w:t xml:space="preserve"> (</w:t>
      </w:r>
      <w:r>
        <w:rPr>
          <w:rFonts w:cs="Arial"/>
          <w:szCs w:val="20"/>
        </w:rPr>
        <w:t xml:space="preserve">a) the establishment of a centralized payments unit for Expenditure, which has increased segregation of duties and thus strengthened internal controls; </w:t>
      </w:r>
      <w:r w:rsidR="00F164FB">
        <w:rPr>
          <w:rFonts w:cs="Arial"/>
          <w:szCs w:val="20"/>
        </w:rPr>
        <w:t xml:space="preserve"> (</w:t>
      </w:r>
      <w:r>
        <w:rPr>
          <w:rFonts w:cs="Arial"/>
          <w:szCs w:val="20"/>
        </w:rPr>
        <w:t xml:space="preserve">b) the enhancement of security surrounding the transmission of payment files to banks and various changes in payment methods, which have had the effect of reducing foreign exchange risk in one instance and bank charges in another; </w:t>
      </w:r>
      <w:r w:rsidR="00F164FB">
        <w:rPr>
          <w:rFonts w:cs="Arial"/>
          <w:szCs w:val="20"/>
        </w:rPr>
        <w:t xml:space="preserve"> (</w:t>
      </w:r>
      <w:r>
        <w:rPr>
          <w:rFonts w:cs="Arial"/>
          <w:szCs w:val="20"/>
        </w:rPr>
        <w:t>c</w:t>
      </w:r>
      <w:r w:rsidR="00F164FB">
        <w:rPr>
          <w:rFonts w:cs="Arial"/>
          <w:szCs w:val="20"/>
        </w:rPr>
        <w:t>) </w:t>
      </w:r>
      <w:r>
        <w:rPr>
          <w:rFonts w:cs="Arial"/>
          <w:szCs w:val="20"/>
        </w:rPr>
        <w:t xml:space="preserve">the extension of the automation of bank reconciliations to Funds-in-Trust (FIT) bank accounts and analysis of the payment patterns of Receiving Offices as part of an exercise to strengthen the model used to calculate the PCT revenue deferral made in accordance with the International Public Sector Accounting Standards (IPSAS). </w:t>
      </w:r>
    </w:p>
    <w:p w:rsidR="001C67B1" w:rsidRPr="001C67B1" w:rsidRDefault="001C67B1" w:rsidP="001C67B1">
      <w:pPr>
        <w:pStyle w:val="ListParagraph"/>
        <w:rPr>
          <w:rFonts w:cs="Arial"/>
          <w:sz w:val="16"/>
          <w:szCs w:val="16"/>
        </w:rPr>
      </w:pPr>
    </w:p>
    <w:p w:rsidR="001C67B1" w:rsidRDefault="001C67B1" w:rsidP="001C67B1">
      <w:pPr>
        <w:tabs>
          <w:tab w:val="left" w:pos="709"/>
        </w:tabs>
        <w:autoSpaceDE w:val="0"/>
        <w:autoSpaceDN w:val="0"/>
        <w:adjustRightInd w:val="0"/>
        <w:jc w:val="both"/>
        <w:rPr>
          <w:rFonts w:cs="Arial"/>
          <w:bCs/>
          <w:szCs w:val="20"/>
        </w:rPr>
      </w:pPr>
      <w:r>
        <w:rPr>
          <w:rFonts w:cs="Arial"/>
          <w:szCs w:val="20"/>
        </w:rPr>
        <w:t>22.7.</w:t>
      </w:r>
      <w:r>
        <w:rPr>
          <w:rFonts w:cs="Arial"/>
          <w:szCs w:val="20"/>
        </w:rPr>
        <w:tab/>
        <w:t xml:space="preserve">Within the context of the SRP, the strengthening of risk management and internal control systems at WIPO continued.  A number of important milestones were achieved, including the integration of risk management into the annual work planning cycle, and the identification of risks and risk mitigation measures in the 2014/15 Program and Budget.  Risk management focal points were appointed for all </w:t>
      </w:r>
      <w:r>
        <w:rPr>
          <w:rFonts w:cs="Arial"/>
          <w:szCs w:val="20"/>
        </w:rPr>
        <w:lastRenderedPageBreak/>
        <w:t xml:space="preserve">Sectors, and risk registers established for all Programs, clearly setting out potential events, which may adversely affect the achievement of the Organization’s expected results and/or strategic goals.  </w:t>
      </w:r>
    </w:p>
    <w:p w:rsidR="001C67B1" w:rsidRDefault="001C67B1" w:rsidP="00F164FB">
      <w:pPr>
        <w:pStyle w:val="Style1"/>
        <w:numPr>
          <w:ilvl w:val="0"/>
          <w:numId w:val="0"/>
        </w:numPr>
        <w:tabs>
          <w:tab w:val="left" w:pos="709"/>
        </w:tabs>
        <w:jc w:val="both"/>
        <w:rPr>
          <w:rFonts w:cs="Arial"/>
          <w:szCs w:val="20"/>
        </w:rPr>
      </w:pPr>
      <w:r>
        <w:rPr>
          <w:szCs w:val="20"/>
        </w:rPr>
        <w:t>22.8.</w:t>
      </w:r>
      <w:r>
        <w:rPr>
          <w:szCs w:val="20"/>
        </w:rPr>
        <w:tab/>
        <w:t>Work also continued in the area of internal controls with a continued effort to document controls and risks in the Finance Division.  In addition, common operational procedures have been aligned between Finance and PCT, which have facilitated regular reconciliations between the systems operated by both areas (AIMS and Bibadmin respectively).</w:t>
      </w:r>
    </w:p>
    <w:p w:rsidR="001C67B1" w:rsidRDefault="001C67B1" w:rsidP="00F164FB">
      <w:pPr>
        <w:pStyle w:val="ListParagraph"/>
        <w:ind w:left="0"/>
        <w:jc w:val="both"/>
        <w:rPr>
          <w:rFonts w:cs="Arial"/>
        </w:rPr>
      </w:pPr>
    </w:p>
    <w:p w:rsidR="001C67B1" w:rsidRDefault="001C67B1" w:rsidP="00F164FB">
      <w:pPr>
        <w:tabs>
          <w:tab w:val="left" w:pos="709"/>
        </w:tabs>
        <w:autoSpaceDE w:val="0"/>
        <w:autoSpaceDN w:val="0"/>
        <w:adjustRightInd w:val="0"/>
        <w:jc w:val="both"/>
        <w:rPr>
          <w:rFonts w:cs="Arial"/>
          <w:bCs/>
          <w:szCs w:val="20"/>
        </w:rPr>
      </w:pPr>
      <w:r>
        <w:rPr>
          <w:rFonts w:cs="Arial"/>
          <w:szCs w:val="20"/>
        </w:rPr>
        <w:t>22.9.</w:t>
      </w:r>
      <w:r>
        <w:rPr>
          <w:rFonts w:cs="Arial"/>
          <w:szCs w:val="20"/>
        </w:rPr>
        <w:tab/>
        <w:t xml:space="preserve">The operational terms of a MoU, negotiated during the biennium between USPTO, EPO and the IB, were successfully tested. The MoU came into effect in January 2014.  The MOU represents a one year trial with a view to establishing whether the management of foreign exchange risks associated with the payment of search fees can be improved.  </w:t>
      </w:r>
    </w:p>
    <w:p w:rsidR="001C67B1" w:rsidRDefault="001C67B1" w:rsidP="001C67B1">
      <w:pPr>
        <w:pStyle w:val="ListParagraph"/>
        <w:ind w:left="0"/>
        <w:rPr>
          <w:rFonts w:cs="Arial"/>
          <w:sz w:val="22"/>
          <w:szCs w:val="22"/>
        </w:rPr>
      </w:pPr>
    </w:p>
    <w:p w:rsidR="000C62A5" w:rsidRDefault="000C62A5" w:rsidP="001C67B1">
      <w:pPr>
        <w:pStyle w:val="ListParagraph"/>
        <w:ind w:left="0"/>
        <w:rPr>
          <w:rFonts w:cs="Arial"/>
          <w:sz w:val="22"/>
          <w:szCs w:val="22"/>
        </w:rPr>
      </w:pPr>
    </w:p>
    <w:p w:rsidR="00B5772F" w:rsidRPr="002C4083" w:rsidRDefault="00B5772F" w:rsidP="000C62A5">
      <w:pPr>
        <w:tabs>
          <w:tab w:val="left" w:pos="709"/>
        </w:tabs>
        <w:rPr>
          <w:rFonts w:cs="Arial"/>
          <w:bCs/>
          <w:szCs w:val="22"/>
        </w:rPr>
      </w:pPr>
      <w:r w:rsidRPr="002C4083">
        <w:rPr>
          <w:rFonts w:cs="Arial"/>
          <w:bCs/>
          <w:szCs w:val="22"/>
        </w:rPr>
        <w:t xml:space="preserve">IMPLEMENTATION OF THE DEVELOPMENT AGENDA  </w:t>
      </w:r>
    </w:p>
    <w:p w:rsidR="000C62A5" w:rsidRPr="002C4083" w:rsidRDefault="000C62A5" w:rsidP="000C62A5">
      <w:pPr>
        <w:tabs>
          <w:tab w:val="left" w:pos="709"/>
        </w:tabs>
        <w:rPr>
          <w:rFonts w:cs="Arial"/>
          <w:bCs/>
          <w:szCs w:val="22"/>
        </w:rPr>
      </w:pPr>
    </w:p>
    <w:p w:rsidR="00086F93" w:rsidRPr="00086F93" w:rsidRDefault="000C62A5" w:rsidP="000C62A5">
      <w:pPr>
        <w:tabs>
          <w:tab w:val="left" w:pos="-31680"/>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jc w:val="both"/>
        <w:rPr>
          <w:rFonts w:cs="Arial"/>
        </w:rPr>
      </w:pPr>
      <w:r>
        <w:rPr>
          <w:rFonts w:cs="Arial"/>
        </w:rPr>
        <w:t>22.10.</w:t>
      </w:r>
      <w:r>
        <w:rPr>
          <w:rFonts w:cs="Arial"/>
        </w:rPr>
        <w:tab/>
      </w:r>
      <w:r w:rsidR="00086F93" w:rsidRPr="00086F93">
        <w:rPr>
          <w:rFonts w:cs="Arial"/>
        </w:rPr>
        <w:t xml:space="preserve">The CDIP RBM project, completed in 2013, focused on strengthening biennial results frameworks and measurement metrics thus providing a stronger basis for monitoring and evaluation of WIPO’s activities, including in the area of cooperation for development.  Development has been mainstreamed throughout the substantive Strategic Goals in line with the Development Agenda recommendations. </w:t>
      </w:r>
    </w:p>
    <w:p w:rsidR="00086F93" w:rsidRPr="005A4D69" w:rsidRDefault="00086F93" w:rsidP="000C62A5">
      <w:pPr>
        <w:tabs>
          <w:tab w:val="left" w:pos="-31680"/>
          <w:tab w:val="left" w:pos="-31680"/>
          <w:tab w:val="left" w:pos="-31516"/>
          <w:tab w:val="left" w:pos="-30949"/>
          <w:tab w:val="left" w:pos="-30382"/>
          <w:tab w:val="left" w:pos="-29815"/>
          <w:tab w:val="left" w:pos="-29248"/>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jc w:val="both"/>
        <w:rPr>
          <w:rFonts w:cs="Arial"/>
          <w:szCs w:val="20"/>
        </w:rPr>
      </w:pPr>
    </w:p>
    <w:p w:rsidR="00086F93" w:rsidRPr="005A4D69" w:rsidRDefault="000C62A5" w:rsidP="000C62A5">
      <w:pPr>
        <w:tabs>
          <w:tab w:val="left" w:pos="-31680"/>
          <w:tab w:val="left" w:pos="-31680"/>
          <w:tab w:val="left" w:pos="-31516"/>
          <w:tab w:val="left" w:pos="-30949"/>
          <w:tab w:val="left" w:pos="-30382"/>
          <w:tab w:val="left" w:pos="-29815"/>
          <w:tab w:val="left" w:pos="-29248"/>
          <w:tab w:val="left" w:pos="709"/>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 w:val="left" w:pos="22113"/>
          <w:tab w:val="left" w:pos="22680"/>
          <w:tab w:val="left" w:pos="23247"/>
          <w:tab w:val="left" w:pos="23814"/>
          <w:tab w:val="left" w:pos="24381"/>
          <w:tab w:val="left" w:pos="24948"/>
          <w:tab w:val="left" w:pos="25515"/>
          <w:tab w:val="left" w:pos="26082"/>
          <w:tab w:val="left" w:pos="26649"/>
          <w:tab w:val="left" w:pos="27216"/>
          <w:tab w:val="left" w:pos="27783"/>
          <w:tab w:val="left" w:pos="28350"/>
          <w:tab w:val="left" w:pos="28917"/>
          <w:tab w:val="left" w:pos="29484"/>
          <w:tab w:val="left" w:pos="30051"/>
          <w:tab w:val="left" w:pos="30618"/>
          <w:tab w:val="left" w:pos="31185"/>
          <w:tab w:val="left" w:pos="31680"/>
          <w:tab w:val="left" w:pos="31680"/>
        </w:tabs>
        <w:jc w:val="both"/>
        <w:rPr>
          <w:rFonts w:cs="Arial"/>
          <w:szCs w:val="20"/>
        </w:rPr>
      </w:pPr>
      <w:r>
        <w:rPr>
          <w:rFonts w:cs="Arial"/>
          <w:szCs w:val="20"/>
        </w:rPr>
        <w:t>22.11.</w:t>
      </w:r>
      <w:r>
        <w:rPr>
          <w:rFonts w:cs="Arial"/>
          <w:szCs w:val="20"/>
        </w:rPr>
        <w:tab/>
      </w:r>
      <w:r w:rsidR="00086F93" w:rsidRPr="005A4D69">
        <w:rPr>
          <w:rFonts w:cs="Arial"/>
          <w:szCs w:val="20"/>
        </w:rPr>
        <w:t xml:space="preserve">The project also supported Program 8 in the institutionalization of an independent evaluation </w:t>
      </w:r>
      <w:r w:rsidR="00086F93">
        <w:rPr>
          <w:rFonts w:cs="Arial"/>
          <w:szCs w:val="20"/>
        </w:rPr>
        <w:t>mechanism</w:t>
      </w:r>
      <w:r w:rsidR="00086F93" w:rsidRPr="005A4D69">
        <w:rPr>
          <w:rFonts w:cs="Arial"/>
          <w:szCs w:val="20"/>
        </w:rPr>
        <w:t xml:space="preserve"> for all completed DA projects.  Evaluation reports have been submitted and subsequently discussed in the CDIP to support decision making.</w:t>
      </w:r>
    </w:p>
    <w:p w:rsidR="001C67B1" w:rsidRDefault="001C67B1" w:rsidP="000C62A5">
      <w:pPr>
        <w:jc w:val="both"/>
        <w:rPr>
          <w:rFonts w:cs="Arial"/>
          <w:sz w:val="22"/>
          <w:szCs w:val="22"/>
        </w:rPr>
      </w:pPr>
    </w:p>
    <w:p w:rsidR="00086F93" w:rsidRDefault="00086F93" w:rsidP="001C67B1">
      <w:pPr>
        <w:rPr>
          <w:rFonts w:cs="Arial"/>
          <w:sz w:val="22"/>
          <w:szCs w:val="22"/>
        </w:rPr>
      </w:pPr>
    </w:p>
    <w:p w:rsidR="001C67B1" w:rsidRDefault="001C67B1" w:rsidP="001C67B1">
      <w:pPr>
        <w:rPr>
          <w:rFonts w:cs="Arial"/>
          <w:sz w:val="22"/>
          <w:szCs w:val="22"/>
        </w:rPr>
      </w:pPr>
      <w:r>
        <w:rPr>
          <w:rFonts w:cs="Arial"/>
          <w:sz w:val="22"/>
          <w:szCs w:val="22"/>
        </w:rPr>
        <w:t>PERFORMANCE DATA</w:t>
      </w:r>
    </w:p>
    <w:p w:rsidR="001C67B1" w:rsidRDefault="001C67B1" w:rsidP="001C67B1">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1"/>
        <w:gridCol w:w="2321"/>
        <w:gridCol w:w="1239"/>
        <w:gridCol w:w="2848"/>
        <w:gridCol w:w="1278"/>
      </w:tblGrid>
      <w:tr w:rsidR="001C67B1" w:rsidRPr="001C67B1" w:rsidTr="000C62A5">
        <w:trPr>
          <w:cantSplit/>
        </w:trPr>
        <w:tc>
          <w:tcPr>
            <w:tcW w:w="5000" w:type="pct"/>
            <w:gridSpan w:val="5"/>
            <w:tcBorders>
              <w:top w:val="single" w:sz="4" w:space="0" w:color="auto"/>
              <w:bottom w:val="single" w:sz="4" w:space="0" w:color="auto"/>
            </w:tcBorders>
            <w:shd w:val="clear" w:color="auto" w:fill="CCFFFF"/>
            <w:vAlign w:val="center"/>
            <w:hideMark/>
          </w:tcPr>
          <w:p w:rsidR="001C67B1" w:rsidRPr="001C67B1" w:rsidRDefault="001C67B1">
            <w:pPr>
              <w:keepNext/>
              <w:keepLines/>
              <w:tabs>
                <w:tab w:val="left" w:pos="1452"/>
              </w:tabs>
              <w:spacing w:before="120" w:after="120"/>
              <w:ind w:left="1452" w:hanging="1452"/>
              <w:rPr>
                <w:rFonts w:cs="Arial"/>
                <w:b/>
                <w:bCs/>
                <w:sz w:val="16"/>
                <w:szCs w:val="16"/>
              </w:rPr>
            </w:pPr>
            <w:r w:rsidRPr="001C67B1">
              <w:rPr>
                <w:rFonts w:cs="Arial"/>
                <w:b/>
                <w:bCs/>
                <w:sz w:val="16"/>
                <w:szCs w:val="16"/>
              </w:rPr>
              <w:t>Expected Result:</w:t>
            </w:r>
            <w:r w:rsidRPr="001C67B1">
              <w:rPr>
                <w:rFonts w:cs="Arial"/>
                <w:b/>
                <w:bCs/>
                <w:sz w:val="16"/>
                <w:szCs w:val="16"/>
              </w:rPr>
              <w:tab/>
            </w:r>
            <w:r w:rsidRPr="001C67B1">
              <w:rPr>
                <w:rFonts w:cs="Arial"/>
                <w:sz w:val="16"/>
                <w:szCs w:val="16"/>
                <w:lang w:bidi="th-TH"/>
              </w:rPr>
              <w:t>Efficient and effective results-based programmatic and financial planning, processing, implementation, assessment and reporting</w:t>
            </w:r>
          </w:p>
        </w:tc>
      </w:tr>
      <w:tr w:rsidR="001C67B1" w:rsidRPr="001C67B1" w:rsidTr="000C62A5">
        <w:trPr>
          <w:cantSplit/>
        </w:trPr>
        <w:tc>
          <w:tcPr>
            <w:tcW w:w="893" w:type="pct"/>
            <w:tcBorders>
              <w:top w:val="single" w:sz="4" w:space="0" w:color="auto"/>
            </w:tcBorders>
            <w:vAlign w:val="center"/>
            <w:hideMark/>
          </w:tcPr>
          <w:p w:rsidR="001C67B1" w:rsidRPr="001C67B1" w:rsidRDefault="001C67B1">
            <w:pPr>
              <w:rPr>
                <w:rFonts w:cs="Arial"/>
                <w:sz w:val="16"/>
                <w:szCs w:val="16"/>
              </w:rPr>
            </w:pPr>
            <w:r w:rsidRPr="001C67B1">
              <w:rPr>
                <w:rFonts w:cs="Arial"/>
                <w:b/>
                <w:bCs/>
                <w:sz w:val="16"/>
                <w:szCs w:val="16"/>
              </w:rPr>
              <w:t>Performance Indicators</w:t>
            </w:r>
          </w:p>
        </w:tc>
        <w:tc>
          <w:tcPr>
            <w:tcW w:w="1240" w:type="pct"/>
            <w:tcBorders>
              <w:top w:val="single" w:sz="4" w:space="0" w:color="auto"/>
            </w:tcBorders>
            <w:vAlign w:val="center"/>
            <w:hideMark/>
          </w:tcPr>
          <w:p w:rsidR="001C67B1" w:rsidRPr="001C67B1" w:rsidRDefault="001C67B1">
            <w:pPr>
              <w:rPr>
                <w:rFonts w:cs="Arial"/>
                <w:b/>
                <w:bCs/>
                <w:sz w:val="16"/>
                <w:szCs w:val="16"/>
              </w:rPr>
            </w:pPr>
            <w:r w:rsidRPr="001C67B1">
              <w:rPr>
                <w:rFonts w:cs="Arial"/>
                <w:b/>
                <w:bCs/>
                <w:sz w:val="16"/>
                <w:szCs w:val="16"/>
              </w:rPr>
              <w:t>Baselines</w:t>
            </w:r>
          </w:p>
        </w:tc>
        <w:tc>
          <w:tcPr>
            <w:tcW w:w="662" w:type="pct"/>
            <w:tcBorders>
              <w:top w:val="single" w:sz="4" w:space="0" w:color="auto"/>
            </w:tcBorders>
            <w:tcMar>
              <w:top w:w="110" w:type="dxa"/>
              <w:left w:w="108" w:type="dxa"/>
              <w:bottom w:w="0" w:type="dxa"/>
              <w:right w:w="108" w:type="dxa"/>
            </w:tcMar>
            <w:vAlign w:val="center"/>
            <w:hideMark/>
          </w:tcPr>
          <w:p w:rsidR="001C67B1" w:rsidRPr="001C67B1" w:rsidRDefault="001C67B1">
            <w:pPr>
              <w:rPr>
                <w:rFonts w:cs="Arial"/>
                <w:b/>
                <w:sz w:val="16"/>
                <w:szCs w:val="16"/>
              </w:rPr>
            </w:pPr>
            <w:r w:rsidRPr="001C67B1">
              <w:rPr>
                <w:rFonts w:cs="Arial"/>
                <w:b/>
                <w:sz w:val="16"/>
                <w:szCs w:val="16"/>
              </w:rPr>
              <w:t>Target</w:t>
            </w:r>
            <w:r w:rsidR="005A753E">
              <w:rPr>
                <w:rFonts w:cs="Arial"/>
                <w:b/>
                <w:sz w:val="16"/>
                <w:szCs w:val="16"/>
              </w:rPr>
              <w:t>s</w:t>
            </w:r>
          </w:p>
        </w:tc>
        <w:tc>
          <w:tcPr>
            <w:tcW w:w="1522" w:type="pct"/>
            <w:tcBorders>
              <w:top w:val="single" w:sz="4" w:space="0" w:color="auto"/>
            </w:tcBorders>
            <w:shd w:val="clear" w:color="auto" w:fill="FFFFFF"/>
            <w:tcMar>
              <w:top w:w="110" w:type="dxa"/>
              <w:left w:w="108" w:type="dxa"/>
              <w:bottom w:w="0" w:type="dxa"/>
              <w:right w:w="108" w:type="dxa"/>
            </w:tcMar>
            <w:vAlign w:val="center"/>
            <w:hideMark/>
          </w:tcPr>
          <w:p w:rsidR="001C67B1" w:rsidRPr="001C67B1" w:rsidRDefault="001C67B1">
            <w:pPr>
              <w:rPr>
                <w:rFonts w:cs="Arial"/>
                <w:sz w:val="16"/>
                <w:szCs w:val="16"/>
              </w:rPr>
            </w:pPr>
            <w:r w:rsidRPr="001C67B1">
              <w:rPr>
                <w:rFonts w:cs="Arial"/>
                <w:b/>
                <w:bCs/>
                <w:sz w:val="16"/>
                <w:szCs w:val="16"/>
              </w:rPr>
              <w:t>Performance Data</w:t>
            </w:r>
          </w:p>
        </w:tc>
        <w:tc>
          <w:tcPr>
            <w:tcW w:w="682" w:type="pct"/>
            <w:tcBorders>
              <w:top w:val="single" w:sz="4" w:space="0" w:color="auto"/>
            </w:tcBorders>
            <w:tcMar>
              <w:top w:w="110" w:type="dxa"/>
              <w:left w:w="108" w:type="dxa"/>
              <w:bottom w:w="0" w:type="dxa"/>
              <w:right w:w="108" w:type="dxa"/>
            </w:tcMar>
            <w:vAlign w:val="center"/>
            <w:hideMark/>
          </w:tcPr>
          <w:p w:rsidR="001C67B1" w:rsidRPr="001C67B1" w:rsidRDefault="001C67B1">
            <w:pPr>
              <w:keepNext/>
              <w:keepLines/>
              <w:jc w:val="center"/>
              <w:rPr>
                <w:rFonts w:cs="Arial"/>
                <w:b/>
                <w:bCs/>
                <w:sz w:val="16"/>
                <w:szCs w:val="16"/>
              </w:rPr>
            </w:pPr>
            <w:r w:rsidRPr="001C67B1">
              <w:rPr>
                <w:rFonts w:cs="Arial"/>
                <w:b/>
                <w:bCs/>
                <w:sz w:val="16"/>
                <w:szCs w:val="16"/>
              </w:rPr>
              <w:t>TLS</w:t>
            </w:r>
          </w:p>
        </w:tc>
      </w:tr>
      <w:tr w:rsidR="001C67B1" w:rsidRPr="001C67B1" w:rsidTr="000C62A5">
        <w:trPr>
          <w:cantSplit/>
        </w:trPr>
        <w:tc>
          <w:tcPr>
            <w:tcW w:w="893" w:type="pct"/>
            <w:hideMark/>
          </w:tcPr>
          <w:p w:rsidR="001C67B1" w:rsidRPr="001C67B1" w:rsidRDefault="001C67B1">
            <w:pPr>
              <w:rPr>
                <w:rFonts w:cs="Arial"/>
                <w:sz w:val="16"/>
                <w:szCs w:val="16"/>
                <w:lang w:bidi="th-TH"/>
              </w:rPr>
            </w:pPr>
            <w:r w:rsidRPr="001C67B1">
              <w:rPr>
                <w:rFonts w:cs="Arial"/>
                <w:sz w:val="16"/>
                <w:szCs w:val="16"/>
                <w:lang w:bidi="th-TH"/>
              </w:rPr>
              <w:t>% of WIPO Programs using performance data for managing Program performance</w:t>
            </w:r>
          </w:p>
        </w:tc>
        <w:tc>
          <w:tcPr>
            <w:tcW w:w="1240" w:type="pct"/>
            <w:hideMark/>
          </w:tcPr>
          <w:p w:rsidR="001C67B1" w:rsidRPr="001C67B1" w:rsidRDefault="001C67B1">
            <w:pPr>
              <w:rPr>
                <w:rFonts w:cs="Arial"/>
                <w:sz w:val="16"/>
                <w:szCs w:val="16"/>
                <w:lang w:bidi="th-TH"/>
              </w:rPr>
            </w:pPr>
            <w:r w:rsidRPr="001C67B1">
              <w:rPr>
                <w:rFonts w:cs="Arial"/>
                <w:sz w:val="16"/>
                <w:szCs w:val="16"/>
                <w:lang w:bidi="th-TH"/>
              </w:rPr>
              <w:t>20%</w:t>
            </w:r>
          </w:p>
        </w:tc>
        <w:tc>
          <w:tcPr>
            <w:tcW w:w="662" w:type="pct"/>
            <w:tcMar>
              <w:top w:w="110" w:type="dxa"/>
              <w:left w:w="108" w:type="dxa"/>
              <w:bottom w:w="0" w:type="dxa"/>
              <w:right w:w="108" w:type="dxa"/>
            </w:tcMar>
            <w:hideMark/>
          </w:tcPr>
          <w:p w:rsidR="001C67B1" w:rsidRPr="001C67B1" w:rsidRDefault="001C67B1">
            <w:pPr>
              <w:rPr>
                <w:rFonts w:cs="Arial"/>
                <w:sz w:val="16"/>
                <w:szCs w:val="16"/>
                <w:lang w:bidi="th-TH"/>
              </w:rPr>
            </w:pPr>
            <w:r w:rsidRPr="001C67B1">
              <w:rPr>
                <w:rFonts w:cs="Arial"/>
                <w:sz w:val="16"/>
                <w:szCs w:val="16"/>
              </w:rPr>
              <w:t>50%</w:t>
            </w:r>
          </w:p>
        </w:tc>
        <w:tc>
          <w:tcPr>
            <w:tcW w:w="1522" w:type="pct"/>
            <w:shd w:val="clear" w:color="auto" w:fill="FFFFFF"/>
            <w:tcMar>
              <w:top w:w="110" w:type="dxa"/>
              <w:left w:w="108" w:type="dxa"/>
              <w:bottom w:w="0" w:type="dxa"/>
              <w:right w:w="108" w:type="dxa"/>
            </w:tcMar>
            <w:hideMark/>
          </w:tcPr>
          <w:p w:rsidR="001C67B1" w:rsidRPr="001C67B1" w:rsidRDefault="001C67B1">
            <w:pPr>
              <w:rPr>
                <w:rFonts w:cs="Arial"/>
                <w:sz w:val="16"/>
                <w:szCs w:val="16"/>
                <w:lang w:bidi="th-TH"/>
              </w:rPr>
            </w:pPr>
            <w:r w:rsidRPr="001C67B1">
              <w:rPr>
                <w:rFonts w:cs="Arial"/>
                <w:sz w:val="16"/>
                <w:szCs w:val="16"/>
                <w:lang w:bidi="th-TH"/>
              </w:rPr>
              <w:t>53%</w:t>
            </w:r>
          </w:p>
        </w:tc>
        <w:tc>
          <w:tcPr>
            <w:tcW w:w="682" w:type="pct"/>
            <w:tcMar>
              <w:top w:w="110" w:type="dxa"/>
              <w:left w:w="108" w:type="dxa"/>
              <w:bottom w:w="0" w:type="dxa"/>
              <w:right w:w="108" w:type="dxa"/>
            </w:tcMar>
            <w:hideMark/>
          </w:tcPr>
          <w:p w:rsidR="001C67B1" w:rsidRPr="001C67B1" w:rsidRDefault="001C67B1">
            <w:pPr>
              <w:keepNext/>
              <w:keepLines/>
              <w:jc w:val="center"/>
              <w:rPr>
                <w:rFonts w:cs="Arial"/>
                <w:bCs/>
                <w:color w:val="808080"/>
                <w:sz w:val="16"/>
                <w:szCs w:val="16"/>
              </w:rPr>
            </w:pPr>
            <w:r w:rsidRPr="001C67B1">
              <w:rPr>
                <w:rFonts w:cs="Arial"/>
                <w:bCs/>
                <w:color w:val="008000"/>
                <w:sz w:val="16"/>
                <w:szCs w:val="16"/>
              </w:rPr>
              <w:t>Fully</w:t>
            </w:r>
            <w:r w:rsidRPr="001C67B1">
              <w:rPr>
                <w:rFonts w:cs="Arial"/>
                <w:bCs/>
                <w:color w:val="008000"/>
                <w:sz w:val="16"/>
                <w:szCs w:val="16"/>
              </w:rPr>
              <w:br/>
              <w:t>Achieved</w:t>
            </w:r>
          </w:p>
        </w:tc>
      </w:tr>
      <w:tr w:rsidR="001C67B1" w:rsidRPr="001C67B1" w:rsidTr="000C62A5">
        <w:trPr>
          <w:cantSplit/>
        </w:trPr>
        <w:tc>
          <w:tcPr>
            <w:tcW w:w="893" w:type="pct"/>
            <w:hideMark/>
          </w:tcPr>
          <w:p w:rsidR="001C67B1" w:rsidRPr="001C67B1" w:rsidRDefault="001C67B1">
            <w:pPr>
              <w:rPr>
                <w:rFonts w:cs="Arial"/>
                <w:sz w:val="16"/>
                <w:szCs w:val="16"/>
                <w:lang w:bidi="th-TH"/>
              </w:rPr>
            </w:pPr>
            <w:r w:rsidRPr="001C67B1">
              <w:rPr>
                <w:rFonts w:cs="Arial"/>
                <w:sz w:val="16"/>
                <w:szCs w:val="16"/>
                <w:lang w:bidi="th-TH"/>
              </w:rPr>
              <w:t>% of (WIPO) respondents who perceive that WIPO is accountable for its results</w:t>
            </w:r>
          </w:p>
        </w:tc>
        <w:tc>
          <w:tcPr>
            <w:tcW w:w="1240" w:type="pct"/>
            <w:hideMark/>
          </w:tcPr>
          <w:p w:rsidR="001C67B1" w:rsidRPr="001C67B1" w:rsidRDefault="001C67B1">
            <w:pPr>
              <w:rPr>
                <w:rFonts w:cs="Arial"/>
                <w:sz w:val="16"/>
                <w:szCs w:val="16"/>
                <w:lang w:bidi="th-TH"/>
              </w:rPr>
            </w:pPr>
            <w:r w:rsidRPr="001C67B1">
              <w:rPr>
                <w:rFonts w:cs="Arial"/>
                <w:sz w:val="16"/>
                <w:szCs w:val="16"/>
                <w:lang w:bidi="th-TH"/>
              </w:rPr>
              <w:t>59%</w:t>
            </w:r>
          </w:p>
        </w:tc>
        <w:tc>
          <w:tcPr>
            <w:tcW w:w="662" w:type="pct"/>
            <w:tcMar>
              <w:top w:w="110" w:type="dxa"/>
              <w:left w:w="108" w:type="dxa"/>
              <w:bottom w:w="0" w:type="dxa"/>
              <w:right w:w="108" w:type="dxa"/>
            </w:tcMar>
            <w:hideMark/>
          </w:tcPr>
          <w:p w:rsidR="001C67B1" w:rsidRPr="001C67B1" w:rsidRDefault="001C67B1">
            <w:pPr>
              <w:rPr>
                <w:rFonts w:cs="Arial"/>
                <w:sz w:val="16"/>
                <w:szCs w:val="16"/>
                <w:lang w:bidi="th-TH"/>
              </w:rPr>
            </w:pPr>
            <w:r w:rsidRPr="001C67B1">
              <w:rPr>
                <w:rFonts w:cs="Arial"/>
                <w:sz w:val="16"/>
                <w:szCs w:val="16"/>
              </w:rPr>
              <w:t>75%</w:t>
            </w:r>
          </w:p>
        </w:tc>
        <w:tc>
          <w:tcPr>
            <w:tcW w:w="1522" w:type="pct"/>
            <w:shd w:val="clear" w:color="auto" w:fill="FFFFFF"/>
            <w:tcMar>
              <w:top w:w="110" w:type="dxa"/>
              <w:left w:w="108" w:type="dxa"/>
              <w:bottom w:w="0" w:type="dxa"/>
              <w:right w:w="108" w:type="dxa"/>
            </w:tcMar>
            <w:hideMark/>
          </w:tcPr>
          <w:p w:rsidR="001C67B1" w:rsidRPr="001C67B1" w:rsidRDefault="001C67B1">
            <w:pPr>
              <w:rPr>
                <w:rFonts w:cs="Arial"/>
                <w:sz w:val="16"/>
                <w:szCs w:val="16"/>
              </w:rPr>
            </w:pPr>
            <w:r w:rsidRPr="001C67B1">
              <w:rPr>
                <w:rFonts w:cs="Arial"/>
                <w:sz w:val="16"/>
                <w:szCs w:val="16"/>
              </w:rPr>
              <w:t>80.7%</w:t>
            </w:r>
          </w:p>
        </w:tc>
        <w:tc>
          <w:tcPr>
            <w:tcW w:w="682" w:type="pct"/>
            <w:tcMar>
              <w:top w:w="110" w:type="dxa"/>
              <w:left w:w="108" w:type="dxa"/>
              <w:bottom w:w="0" w:type="dxa"/>
              <w:right w:w="108" w:type="dxa"/>
            </w:tcMar>
            <w:hideMark/>
          </w:tcPr>
          <w:p w:rsidR="001C67B1" w:rsidRPr="001C67B1" w:rsidRDefault="001C67B1">
            <w:pPr>
              <w:keepNext/>
              <w:keepLines/>
              <w:jc w:val="center"/>
              <w:rPr>
                <w:rFonts w:cs="Arial"/>
                <w:bCs/>
                <w:color w:val="008000"/>
                <w:sz w:val="16"/>
                <w:szCs w:val="16"/>
              </w:rPr>
            </w:pPr>
            <w:r w:rsidRPr="001C67B1">
              <w:rPr>
                <w:rFonts w:cs="Arial"/>
                <w:bCs/>
                <w:color w:val="008000"/>
                <w:sz w:val="16"/>
                <w:szCs w:val="16"/>
              </w:rPr>
              <w:t>Fully</w:t>
            </w:r>
            <w:r w:rsidRPr="001C67B1">
              <w:rPr>
                <w:rFonts w:cs="Arial"/>
                <w:bCs/>
                <w:color w:val="008000"/>
                <w:sz w:val="16"/>
                <w:szCs w:val="16"/>
              </w:rPr>
              <w:br/>
              <w:t>Achieved</w:t>
            </w:r>
          </w:p>
        </w:tc>
      </w:tr>
      <w:tr w:rsidR="001C67B1" w:rsidRPr="001C67B1" w:rsidTr="000C62A5">
        <w:trPr>
          <w:cantSplit/>
        </w:trPr>
        <w:tc>
          <w:tcPr>
            <w:tcW w:w="893" w:type="pct"/>
            <w:hideMark/>
          </w:tcPr>
          <w:p w:rsidR="001C67B1" w:rsidRPr="001C67B1" w:rsidRDefault="001C67B1">
            <w:pPr>
              <w:rPr>
                <w:rFonts w:cs="Arial"/>
                <w:sz w:val="16"/>
                <w:szCs w:val="16"/>
                <w:lang w:bidi="th-TH"/>
              </w:rPr>
            </w:pPr>
            <w:r w:rsidRPr="001C67B1">
              <w:rPr>
                <w:rFonts w:cs="Arial"/>
                <w:sz w:val="16"/>
                <w:szCs w:val="16"/>
                <w:lang w:bidi="th-TH"/>
              </w:rPr>
              <w:lastRenderedPageBreak/>
              <w:t>Financial operations and budget management conform to the provisions of the applicable WIPO conventions and treaties, the WIPO Financial Rules and regulations and applicable accounting standards</w:t>
            </w:r>
          </w:p>
        </w:tc>
        <w:tc>
          <w:tcPr>
            <w:tcW w:w="1240" w:type="pct"/>
          </w:tcPr>
          <w:p w:rsidR="001C67B1" w:rsidRPr="001C67B1" w:rsidRDefault="001C67B1">
            <w:pPr>
              <w:rPr>
                <w:rFonts w:cs="Arial"/>
                <w:i/>
                <w:color w:val="002060"/>
                <w:sz w:val="16"/>
                <w:szCs w:val="16"/>
              </w:rPr>
            </w:pPr>
            <w:r w:rsidRPr="001C67B1">
              <w:rPr>
                <w:rFonts w:cs="Arial"/>
                <w:i/>
                <w:color w:val="002060"/>
                <w:sz w:val="16"/>
                <w:szCs w:val="16"/>
              </w:rPr>
              <w:t xml:space="preserve">Updated Baseline end 2011:  </w:t>
            </w:r>
          </w:p>
          <w:p w:rsidR="001C67B1" w:rsidRPr="001C67B1" w:rsidRDefault="001C67B1">
            <w:pPr>
              <w:rPr>
                <w:rFonts w:cs="Arial"/>
                <w:i/>
                <w:color w:val="002060"/>
                <w:sz w:val="16"/>
                <w:szCs w:val="16"/>
              </w:rPr>
            </w:pPr>
            <w:r w:rsidRPr="001C67B1">
              <w:rPr>
                <w:rFonts w:cs="Arial"/>
                <w:color w:val="002060"/>
                <w:sz w:val="16"/>
                <w:szCs w:val="16"/>
                <w:lang w:bidi="th-TH"/>
              </w:rPr>
              <w:t>In 2010/11 the Office Instruction on Official Hospitality was updated.  Updates to the FRR were submitted to the WIPO Assemblies. Policies approved and promulgated included: Budgetary Process Applied to Projects Proposed by the CDIP for the Implementation of the DA Recommendations; Policy on Reserves and Principles Applied in Respect of the Use of Reserves; Policy on Investments; WIPO’s Capital Planning and Management Framework</w:t>
            </w:r>
          </w:p>
          <w:p w:rsidR="001C67B1" w:rsidRPr="001C67B1" w:rsidRDefault="001C67B1">
            <w:pPr>
              <w:rPr>
                <w:rFonts w:cs="Arial"/>
                <w:i/>
                <w:sz w:val="8"/>
                <w:szCs w:val="8"/>
              </w:rPr>
            </w:pPr>
          </w:p>
          <w:p w:rsidR="001C67B1" w:rsidRPr="001C67B1" w:rsidRDefault="001C67B1">
            <w:pPr>
              <w:rPr>
                <w:rFonts w:cs="Arial"/>
                <w:sz w:val="16"/>
                <w:szCs w:val="16"/>
                <w:lang w:bidi="th-TH"/>
              </w:rPr>
            </w:pPr>
            <w:r w:rsidRPr="001C67B1">
              <w:rPr>
                <w:rFonts w:cs="Arial"/>
                <w:i/>
                <w:sz w:val="16"/>
                <w:szCs w:val="16"/>
              </w:rPr>
              <w:t>Original Baseline P&amp;B 2012/13:</w:t>
            </w:r>
            <w:r w:rsidR="00F164FB">
              <w:rPr>
                <w:rFonts w:cs="Arial"/>
                <w:sz w:val="16"/>
                <w:szCs w:val="16"/>
                <w:lang w:bidi="th-TH"/>
              </w:rPr>
              <w:t xml:space="preserve">  </w:t>
            </w:r>
            <w:r w:rsidRPr="001C67B1">
              <w:rPr>
                <w:rFonts w:cs="Arial"/>
                <w:sz w:val="16"/>
                <w:szCs w:val="16"/>
                <w:lang w:bidi="th-TH"/>
              </w:rPr>
              <w:t>Existing set of documented policies, rules and procedures</w:t>
            </w:r>
            <w:r w:rsidR="000C62A5">
              <w:rPr>
                <w:rFonts w:cs="Arial"/>
                <w:sz w:val="16"/>
                <w:szCs w:val="16"/>
                <w:lang w:bidi="th-TH"/>
              </w:rPr>
              <w:br/>
            </w:r>
          </w:p>
        </w:tc>
        <w:tc>
          <w:tcPr>
            <w:tcW w:w="662" w:type="pct"/>
            <w:tcMar>
              <w:top w:w="110" w:type="dxa"/>
              <w:left w:w="108" w:type="dxa"/>
              <w:bottom w:w="0" w:type="dxa"/>
              <w:right w:w="108" w:type="dxa"/>
            </w:tcMar>
            <w:hideMark/>
          </w:tcPr>
          <w:p w:rsidR="001C67B1" w:rsidRPr="001C67B1" w:rsidRDefault="001C67B1" w:rsidP="00F164FB">
            <w:pPr>
              <w:autoSpaceDE w:val="0"/>
              <w:autoSpaceDN w:val="0"/>
              <w:adjustRightInd w:val="0"/>
              <w:rPr>
                <w:rFonts w:cs="Arial"/>
                <w:sz w:val="16"/>
                <w:szCs w:val="16"/>
              </w:rPr>
            </w:pPr>
            <w:r w:rsidRPr="001C67B1">
              <w:rPr>
                <w:rFonts w:cs="Arial"/>
                <w:sz w:val="16"/>
                <w:szCs w:val="16"/>
              </w:rPr>
              <w:t>Gaps identified through</w:t>
            </w:r>
            <w:r w:rsidR="00F164FB">
              <w:rPr>
                <w:rFonts w:cs="Arial"/>
                <w:sz w:val="16"/>
                <w:szCs w:val="16"/>
              </w:rPr>
              <w:t xml:space="preserve"> </w:t>
            </w:r>
            <w:r w:rsidRPr="001C67B1">
              <w:rPr>
                <w:rFonts w:cs="Arial"/>
                <w:sz w:val="16"/>
                <w:szCs w:val="16"/>
              </w:rPr>
              <w:t>ERP visioning exercise</w:t>
            </w:r>
            <w:r w:rsidR="00F164FB">
              <w:rPr>
                <w:rFonts w:cs="Arial"/>
                <w:sz w:val="16"/>
                <w:szCs w:val="16"/>
              </w:rPr>
              <w:t xml:space="preserve"> </w:t>
            </w:r>
            <w:r w:rsidRPr="001C67B1">
              <w:rPr>
                <w:rFonts w:cs="Arial"/>
                <w:sz w:val="16"/>
                <w:szCs w:val="16"/>
              </w:rPr>
              <w:t>are filled</w:t>
            </w:r>
          </w:p>
        </w:tc>
        <w:tc>
          <w:tcPr>
            <w:tcW w:w="1522" w:type="pct"/>
            <w:shd w:val="clear" w:color="auto" w:fill="FFFFFF"/>
            <w:tcMar>
              <w:top w:w="110" w:type="dxa"/>
              <w:left w:w="108" w:type="dxa"/>
              <w:bottom w:w="0" w:type="dxa"/>
              <w:right w:w="108" w:type="dxa"/>
            </w:tcMar>
          </w:tcPr>
          <w:p w:rsidR="001C67B1" w:rsidRPr="001C67B1" w:rsidRDefault="001C67B1">
            <w:pPr>
              <w:rPr>
                <w:rFonts w:cs="Arial"/>
                <w:sz w:val="16"/>
                <w:szCs w:val="16"/>
              </w:rPr>
            </w:pPr>
            <w:r w:rsidRPr="001C67B1">
              <w:rPr>
                <w:rFonts w:cs="Arial"/>
                <w:sz w:val="16"/>
                <w:szCs w:val="16"/>
              </w:rPr>
              <w:t xml:space="preserve">The work done in 2012, to review, update and put in place controls as needed continued in 2013.  Office Instructions, procedures and manuals were reviewed, revised or promulgated, together with the required training and communication to ensure their dissemination and understanding across the user communities.  </w:t>
            </w:r>
          </w:p>
          <w:p w:rsidR="001C67B1" w:rsidRPr="001C67B1" w:rsidRDefault="001C67B1">
            <w:pPr>
              <w:rPr>
                <w:rFonts w:cs="Arial"/>
                <w:sz w:val="8"/>
                <w:szCs w:val="8"/>
              </w:rPr>
            </w:pPr>
          </w:p>
          <w:p w:rsidR="001C67B1" w:rsidRPr="001C67B1" w:rsidRDefault="001C67B1">
            <w:pPr>
              <w:rPr>
                <w:rFonts w:cs="Arial"/>
                <w:sz w:val="16"/>
                <w:szCs w:val="16"/>
              </w:rPr>
            </w:pPr>
            <w:r w:rsidRPr="001C67B1">
              <w:rPr>
                <w:rFonts w:cs="Arial"/>
                <w:sz w:val="16"/>
                <w:szCs w:val="16"/>
              </w:rPr>
              <w:t xml:space="preserve">Office Instructions included Official Travel and Related Expenses, Official Hospitality, Payment of Honoraria, Individual Contractual Services, together with contribution to review of policies on internships, fellowships, and other HR policies.  </w:t>
            </w:r>
          </w:p>
        </w:tc>
        <w:tc>
          <w:tcPr>
            <w:tcW w:w="682" w:type="pct"/>
            <w:tcMar>
              <w:top w:w="110" w:type="dxa"/>
              <w:left w:w="108" w:type="dxa"/>
              <w:bottom w:w="0" w:type="dxa"/>
              <w:right w:w="108" w:type="dxa"/>
            </w:tcMar>
            <w:hideMark/>
          </w:tcPr>
          <w:p w:rsidR="001C67B1" w:rsidRPr="001C67B1" w:rsidRDefault="001C67B1">
            <w:pPr>
              <w:keepNext/>
              <w:keepLines/>
              <w:jc w:val="center"/>
              <w:rPr>
                <w:rFonts w:cs="Arial"/>
                <w:bCs/>
                <w:color w:val="E36C0A" w:themeColor="accent6" w:themeShade="BF"/>
                <w:sz w:val="16"/>
                <w:szCs w:val="16"/>
              </w:rPr>
            </w:pPr>
            <w:r w:rsidRPr="001C67B1">
              <w:rPr>
                <w:rFonts w:cs="Arial"/>
                <w:bCs/>
                <w:color w:val="E36C0A" w:themeColor="accent6" w:themeShade="BF"/>
                <w:sz w:val="16"/>
                <w:szCs w:val="16"/>
              </w:rPr>
              <w:t>Partially</w:t>
            </w:r>
            <w:r w:rsidRPr="001C67B1">
              <w:rPr>
                <w:rFonts w:cs="Arial"/>
                <w:bCs/>
                <w:color w:val="E36C0A" w:themeColor="accent6" w:themeShade="BF"/>
                <w:sz w:val="16"/>
                <w:szCs w:val="16"/>
              </w:rPr>
              <w:br/>
              <w:t>Achieved</w:t>
            </w:r>
          </w:p>
        </w:tc>
      </w:tr>
      <w:tr w:rsidR="001C67B1" w:rsidRPr="001C67B1" w:rsidTr="000C62A5">
        <w:trPr>
          <w:cantSplit/>
        </w:trPr>
        <w:tc>
          <w:tcPr>
            <w:tcW w:w="893" w:type="pct"/>
          </w:tcPr>
          <w:p w:rsidR="001C67B1" w:rsidRPr="001C67B1" w:rsidRDefault="001C67B1">
            <w:pPr>
              <w:rPr>
                <w:rFonts w:cs="Arial"/>
                <w:sz w:val="16"/>
                <w:szCs w:val="16"/>
                <w:lang w:bidi="th-TH"/>
              </w:rPr>
            </w:pPr>
            <w:r w:rsidRPr="001C67B1">
              <w:rPr>
                <w:rFonts w:cs="Arial"/>
                <w:sz w:val="16"/>
                <w:szCs w:val="16"/>
                <w:lang w:bidi="th-TH"/>
              </w:rPr>
              <w:t>Satisfactory financial report from the External Auditors confirms the conformity of accounting operations with applicable regulations, rules and standards</w:t>
            </w:r>
          </w:p>
          <w:p w:rsidR="001C67B1" w:rsidRPr="001C67B1" w:rsidRDefault="001C67B1">
            <w:pPr>
              <w:rPr>
                <w:rFonts w:cs="Arial"/>
                <w:sz w:val="16"/>
                <w:szCs w:val="16"/>
                <w:lang w:bidi="th-TH"/>
              </w:rPr>
            </w:pPr>
          </w:p>
        </w:tc>
        <w:tc>
          <w:tcPr>
            <w:tcW w:w="1240" w:type="pct"/>
            <w:hideMark/>
          </w:tcPr>
          <w:p w:rsidR="001C67B1" w:rsidRPr="001C67B1" w:rsidRDefault="001C67B1">
            <w:pPr>
              <w:rPr>
                <w:rFonts w:cs="Arial"/>
                <w:sz w:val="16"/>
                <w:szCs w:val="16"/>
                <w:lang w:bidi="th-TH"/>
              </w:rPr>
            </w:pPr>
            <w:r w:rsidRPr="001C67B1">
              <w:rPr>
                <w:rFonts w:cs="Arial"/>
                <w:sz w:val="16"/>
                <w:szCs w:val="16"/>
                <w:lang w:bidi="th-TH"/>
              </w:rPr>
              <w:t>Unqualified report from the External Auditor</w:t>
            </w:r>
          </w:p>
        </w:tc>
        <w:tc>
          <w:tcPr>
            <w:tcW w:w="662" w:type="pct"/>
            <w:tcMar>
              <w:top w:w="110" w:type="dxa"/>
              <w:left w:w="108" w:type="dxa"/>
              <w:bottom w:w="0" w:type="dxa"/>
              <w:right w:w="108" w:type="dxa"/>
            </w:tcMar>
            <w:hideMark/>
          </w:tcPr>
          <w:p w:rsidR="001C67B1" w:rsidRPr="001C67B1" w:rsidRDefault="001C67B1">
            <w:pPr>
              <w:autoSpaceDE w:val="0"/>
              <w:autoSpaceDN w:val="0"/>
              <w:adjustRightInd w:val="0"/>
              <w:rPr>
                <w:rFonts w:cs="Arial"/>
                <w:sz w:val="16"/>
                <w:szCs w:val="16"/>
              </w:rPr>
            </w:pPr>
            <w:r w:rsidRPr="001C67B1">
              <w:rPr>
                <w:rFonts w:cs="Arial"/>
                <w:sz w:val="16"/>
                <w:szCs w:val="16"/>
              </w:rPr>
              <w:t>Unqualified report from the External Auditor</w:t>
            </w:r>
          </w:p>
        </w:tc>
        <w:tc>
          <w:tcPr>
            <w:tcW w:w="1522" w:type="pct"/>
            <w:shd w:val="clear" w:color="auto" w:fill="FFFFFF"/>
            <w:tcMar>
              <w:top w:w="110" w:type="dxa"/>
              <w:left w:w="108" w:type="dxa"/>
              <w:bottom w:w="0" w:type="dxa"/>
              <w:right w:w="108" w:type="dxa"/>
            </w:tcMar>
            <w:hideMark/>
          </w:tcPr>
          <w:p w:rsidR="001C67B1" w:rsidRPr="001C67B1" w:rsidRDefault="001C67B1">
            <w:pPr>
              <w:rPr>
                <w:rFonts w:cs="Arial"/>
                <w:sz w:val="16"/>
                <w:szCs w:val="16"/>
              </w:rPr>
            </w:pPr>
            <w:r w:rsidRPr="001C67B1">
              <w:rPr>
                <w:rFonts w:cs="Arial"/>
                <w:sz w:val="16"/>
                <w:szCs w:val="16"/>
              </w:rPr>
              <w:t xml:space="preserve">An unqualified report was received from the External Auditors for 2012.  At the time of publication, the results of the 2013 audit have yet to be released. </w:t>
            </w:r>
          </w:p>
        </w:tc>
        <w:tc>
          <w:tcPr>
            <w:tcW w:w="682" w:type="pct"/>
            <w:tcMar>
              <w:top w:w="110" w:type="dxa"/>
              <w:left w:w="108" w:type="dxa"/>
              <w:bottom w:w="0" w:type="dxa"/>
              <w:right w:w="108" w:type="dxa"/>
            </w:tcMar>
            <w:hideMark/>
          </w:tcPr>
          <w:p w:rsidR="001C67B1" w:rsidRPr="001C67B1" w:rsidRDefault="00C72ED0">
            <w:pPr>
              <w:keepNext/>
              <w:keepLines/>
              <w:jc w:val="center"/>
              <w:rPr>
                <w:rFonts w:cs="Arial"/>
                <w:bCs/>
                <w:color w:val="E36C0A" w:themeColor="accent6" w:themeShade="BF"/>
                <w:sz w:val="16"/>
                <w:szCs w:val="16"/>
              </w:rPr>
            </w:pPr>
            <w:r w:rsidRPr="00C72ED0">
              <w:rPr>
                <w:rFonts w:cs="Arial"/>
                <w:bCs/>
                <w:color w:val="404040" w:themeColor="text1" w:themeTint="BF"/>
                <w:sz w:val="16"/>
                <w:szCs w:val="16"/>
              </w:rPr>
              <w:t>Not Assessable</w:t>
            </w:r>
          </w:p>
        </w:tc>
      </w:tr>
    </w:tbl>
    <w:p w:rsidR="001C67B1" w:rsidRPr="0038643F" w:rsidRDefault="001C67B1" w:rsidP="001C67B1">
      <w:pPr>
        <w:rPr>
          <w:rFonts w:cs="Arial"/>
          <w:sz w:val="16"/>
          <w:szCs w:val="16"/>
        </w:rPr>
      </w:pPr>
    </w:p>
    <w:p w:rsidR="000C62A5" w:rsidRPr="0038643F" w:rsidRDefault="000C62A5" w:rsidP="001C67B1">
      <w:pPr>
        <w:rPr>
          <w:rFonts w:cs="Arial"/>
          <w:sz w:val="16"/>
          <w:szCs w:val="16"/>
        </w:rPr>
      </w:pPr>
    </w:p>
    <w:p w:rsidR="001C67B1" w:rsidRDefault="001C67B1" w:rsidP="001C67B1">
      <w:pPr>
        <w:rPr>
          <w:rFonts w:cs="Arial"/>
          <w:sz w:val="22"/>
          <w:szCs w:val="22"/>
        </w:rPr>
      </w:pPr>
      <w:r>
        <w:rPr>
          <w:rFonts w:cs="Arial"/>
          <w:sz w:val="22"/>
          <w:szCs w:val="22"/>
        </w:rPr>
        <w:t>BUDGET AND ACTUAL EXPENDITURE</w:t>
      </w:r>
    </w:p>
    <w:p w:rsidR="001C67B1" w:rsidRPr="0038643F" w:rsidRDefault="001C67B1" w:rsidP="001C67B1">
      <w:pPr>
        <w:rPr>
          <w:rFonts w:cs="Arial"/>
          <w:sz w:val="16"/>
          <w:szCs w:val="16"/>
        </w:rPr>
      </w:pPr>
    </w:p>
    <w:p w:rsidR="001C67B1" w:rsidRDefault="001C67B1" w:rsidP="001C67B1">
      <w:pPr>
        <w:pStyle w:val="NormalWeb"/>
        <w:spacing w:before="0" w:beforeAutospacing="0" w:after="0" w:afterAutospacing="0"/>
        <w:jc w:val="center"/>
        <w:rPr>
          <w:sz w:val="16"/>
        </w:rPr>
      </w:pPr>
      <w:r>
        <w:rPr>
          <w:color w:val="000000"/>
          <w:sz w:val="20"/>
          <w:szCs w:val="22"/>
        </w:rPr>
        <w:t xml:space="preserve">Budget and Actual Expenditure (by result) </w:t>
      </w:r>
    </w:p>
    <w:p w:rsidR="001C67B1" w:rsidRDefault="001C67B1" w:rsidP="001C67B1">
      <w:pPr>
        <w:pStyle w:val="NormalWeb"/>
        <w:spacing w:before="0" w:beforeAutospacing="0" w:after="0" w:afterAutospacing="0"/>
        <w:jc w:val="center"/>
        <w:rPr>
          <w:i/>
          <w:iCs/>
          <w:color w:val="000000"/>
          <w:sz w:val="20"/>
          <w:szCs w:val="22"/>
        </w:rPr>
      </w:pPr>
      <w:r>
        <w:rPr>
          <w:i/>
          <w:iCs/>
          <w:color w:val="000000"/>
          <w:sz w:val="20"/>
          <w:szCs w:val="22"/>
        </w:rPr>
        <w:t>(</w:t>
      </w:r>
      <w:proofErr w:type="gramStart"/>
      <w:r>
        <w:rPr>
          <w:i/>
          <w:iCs/>
          <w:color w:val="000000"/>
          <w:sz w:val="20"/>
          <w:szCs w:val="22"/>
        </w:rPr>
        <w:t>in</w:t>
      </w:r>
      <w:proofErr w:type="gramEnd"/>
      <w:r>
        <w:rPr>
          <w:i/>
          <w:iCs/>
          <w:color w:val="000000"/>
          <w:sz w:val="20"/>
          <w:szCs w:val="22"/>
        </w:rPr>
        <w:t xml:space="preserve"> thousands of Swiss francs)</w:t>
      </w:r>
    </w:p>
    <w:p w:rsidR="001C67B1" w:rsidRPr="0038643F" w:rsidRDefault="001C67B1" w:rsidP="001C67B1">
      <w:pPr>
        <w:pStyle w:val="NormalWeb"/>
        <w:spacing w:before="0" w:beforeAutospacing="0" w:after="0" w:afterAutospacing="0"/>
        <w:jc w:val="center"/>
        <w:rPr>
          <w:i/>
          <w:iCs/>
          <w:color w:val="000000"/>
          <w:sz w:val="16"/>
          <w:szCs w:val="16"/>
        </w:rPr>
      </w:pPr>
    </w:p>
    <w:tbl>
      <w:tblPr>
        <w:tblW w:w="0" w:type="auto"/>
        <w:tblInd w:w="103" w:type="dxa"/>
        <w:tblLayout w:type="fixed"/>
        <w:tblLook w:val="04A0" w:firstRow="1" w:lastRow="0" w:firstColumn="1" w:lastColumn="0" w:noHBand="0" w:noVBand="1"/>
      </w:tblPr>
      <w:tblGrid>
        <w:gridCol w:w="537"/>
        <w:gridCol w:w="4430"/>
        <w:gridCol w:w="1464"/>
        <w:gridCol w:w="1465"/>
        <w:gridCol w:w="1465"/>
      </w:tblGrid>
      <w:tr w:rsidR="001C67B1" w:rsidRPr="001C67B1" w:rsidTr="00E52DC0">
        <w:tc>
          <w:tcPr>
            <w:tcW w:w="4967" w:type="dxa"/>
            <w:gridSpan w:val="2"/>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Expected Result No. and Description</w:t>
            </w:r>
          </w:p>
        </w:tc>
        <w:tc>
          <w:tcPr>
            <w:tcW w:w="1464" w:type="dxa"/>
            <w:tcBorders>
              <w:top w:val="single" w:sz="4" w:space="0" w:color="auto"/>
              <w:left w:val="nil"/>
              <w:bottom w:val="single" w:sz="4" w:space="0" w:color="auto"/>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2012/13 Approved Budget</w:t>
            </w:r>
          </w:p>
        </w:tc>
        <w:tc>
          <w:tcPr>
            <w:tcW w:w="1465" w:type="dxa"/>
            <w:tcBorders>
              <w:top w:val="single" w:sz="4" w:space="0" w:color="auto"/>
              <w:left w:val="nil"/>
              <w:bottom w:val="single" w:sz="4" w:space="0" w:color="auto"/>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 xml:space="preserve">2012/13 Budget </w:t>
            </w:r>
            <w:r w:rsidRPr="001C67B1">
              <w:rPr>
                <w:rFonts w:cs="Arial"/>
                <w:bCs/>
                <w:color w:val="000000"/>
                <w:sz w:val="16"/>
                <w:szCs w:val="16"/>
              </w:rPr>
              <w:br/>
              <w:t>After Transfers</w:t>
            </w:r>
          </w:p>
        </w:tc>
        <w:tc>
          <w:tcPr>
            <w:tcW w:w="1465" w:type="dxa"/>
            <w:tcBorders>
              <w:top w:val="single" w:sz="4" w:space="0" w:color="auto"/>
              <w:left w:val="nil"/>
              <w:bottom w:val="single" w:sz="4" w:space="0" w:color="auto"/>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 xml:space="preserve">2012/13 </w:t>
            </w:r>
            <w:r w:rsidRPr="001C67B1">
              <w:rPr>
                <w:rFonts w:cs="Arial"/>
                <w:bCs/>
                <w:color w:val="000000"/>
                <w:sz w:val="16"/>
                <w:szCs w:val="16"/>
              </w:rPr>
              <w:br/>
              <w:t>Expenditure</w:t>
            </w:r>
          </w:p>
        </w:tc>
      </w:tr>
      <w:tr w:rsidR="001C67B1" w:rsidTr="00E52DC0">
        <w:tc>
          <w:tcPr>
            <w:tcW w:w="537" w:type="dxa"/>
            <w:tcBorders>
              <w:top w:val="nil"/>
              <w:left w:val="single" w:sz="4" w:space="0" w:color="auto"/>
              <w:bottom w:val="single" w:sz="4" w:space="0" w:color="auto"/>
              <w:right w:val="nil"/>
            </w:tcBorders>
            <w:shd w:val="clear" w:color="auto" w:fill="FFFFFF"/>
            <w:noWrap/>
            <w:hideMark/>
          </w:tcPr>
          <w:p w:rsidR="001C67B1" w:rsidRDefault="001C67B1" w:rsidP="0038643F">
            <w:pPr>
              <w:spacing w:before="80" w:after="80"/>
              <w:jc w:val="center"/>
              <w:rPr>
                <w:rFonts w:cs="Arial"/>
                <w:color w:val="000000"/>
                <w:sz w:val="16"/>
                <w:szCs w:val="16"/>
              </w:rPr>
            </w:pPr>
            <w:r>
              <w:rPr>
                <w:rFonts w:cs="Arial"/>
                <w:color w:val="000000"/>
                <w:sz w:val="16"/>
                <w:szCs w:val="16"/>
              </w:rPr>
              <w:t>IX.2</w:t>
            </w:r>
          </w:p>
        </w:tc>
        <w:tc>
          <w:tcPr>
            <w:tcW w:w="4430" w:type="dxa"/>
            <w:tcBorders>
              <w:top w:val="nil"/>
              <w:left w:val="nil"/>
              <w:bottom w:val="single" w:sz="4" w:space="0" w:color="auto"/>
              <w:right w:val="nil"/>
            </w:tcBorders>
            <w:shd w:val="clear" w:color="auto" w:fill="FFFFFF"/>
            <w:hideMark/>
          </w:tcPr>
          <w:p w:rsidR="001C67B1" w:rsidRDefault="001C67B1" w:rsidP="0038643F">
            <w:pPr>
              <w:spacing w:before="80" w:after="80"/>
              <w:rPr>
                <w:rFonts w:cs="Arial"/>
                <w:color w:val="000000"/>
                <w:sz w:val="16"/>
                <w:szCs w:val="16"/>
              </w:rPr>
            </w:pPr>
            <w:r>
              <w:rPr>
                <w:rFonts w:cs="Arial"/>
                <w:color w:val="000000"/>
                <w:sz w:val="16"/>
                <w:szCs w:val="16"/>
              </w:rPr>
              <w:t>Efficient and effective results-based programmatic and financial planning, processing, implementation, assessment and reporting</w:t>
            </w:r>
          </w:p>
        </w:tc>
        <w:tc>
          <w:tcPr>
            <w:tcW w:w="1464" w:type="dxa"/>
            <w:tcBorders>
              <w:top w:val="nil"/>
              <w:left w:val="nil"/>
              <w:bottom w:val="single" w:sz="4" w:space="0" w:color="auto"/>
              <w:right w:val="nil"/>
            </w:tcBorders>
            <w:shd w:val="clear" w:color="auto" w:fill="FFFFFF"/>
            <w:vAlign w:val="center"/>
            <w:hideMark/>
          </w:tcPr>
          <w:p w:rsidR="001C67B1" w:rsidRDefault="001C67B1" w:rsidP="0038643F">
            <w:pPr>
              <w:spacing w:before="80" w:after="80"/>
              <w:jc w:val="right"/>
              <w:rPr>
                <w:rFonts w:cs="Arial"/>
                <w:color w:val="000000"/>
                <w:sz w:val="16"/>
                <w:szCs w:val="16"/>
              </w:rPr>
            </w:pPr>
            <w:r>
              <w:rPr>
                <w:rFonts w:cs="Arial"/>
                <w:color w:val="000000"/>
                <w:sz w:val="16"/>
                <w:szCs w:val="16"/>
              </w:rPr>
              <w:t xml:space="preserve">18,901 </w:t>
            </w:r>
          </w:p>
        </w:tc>
        <w:tc>
          <w:tcPr>
            <w:tcW w:w="1465" w:type="dxa"/>
            <w:tcBorders>
              <w:top w:val="nil"/>
              <w:left w:val="nil"/>
              <w:bottom w:val="single" w:sz="4" w:space="0" w:color="auto"/>
              <w:right w:val="nil"/>
            </w:tcBorders>
            <w:shd w:val="clear" w:color="auto" w:fill="FFFFFF"/>
            <w:vAlign w:val="center"/>
            <w:hideMark/>
          </w:tcPr>
          <w:p w:rsidR="001C67B1" w:rsidRDefault="001C67B1" w:rsidP="0038643F">
            <w:pPr>
              <w:spacing w:before="80" w:after="80"/>
              <w:jc w:val="right"/>
              <w:rPr>
                <w:rFonts w:cs="Arial"/>
                <w:color w:val="000000"/>
                <w:sz w:val="16"/>
                <w:szCs w:val="16"/>
              </w:rPr>
            </w:pPr>
            <w:r>
              <w:rPr>
                <w:rFonts w:cs="Arial"/>
                <w:color w:val="000000"/>
                <w:sz w:val="16"/>
                <w:szCs w:val="16"/>
              </w:rPr>
              <w:t xml:space="preserve">19,794 </w:t>
            </w:r>
          </w:p>
        </w:tc>
        <w:tc>
          <w:tcPr>
            <w:tcW w:w="1465" w:type="dxa"/>
            <w:tcBorders>
              <w:top w:val="nil"/>
              <w:left w:val="nil"/>
              <w:bottom w:val="single" w:sz="4" w:space="0" w:color="auto"/>
              <w:right w:val="single" w:sz="4" w:space="0" w:color="auto"/>
            </w:tcBorders>
            <w:shd w:val="clear" w:color="auto" w:fill="FFFFFF"/>
            <w:vAlign w:val="center"/>
            <w:hideMark/>
          </w:tcPr>
          <w:p w:rsidR="001C67B1" w:rsidRDefault="001C67B1" w:rsidP="0038643F">
            <w:pPr>
              <w:spacing w:before="80" w:after="80"/>
              <w:jc w:val="right"/>
              <w:rPr>
                <w:rFonts w:cs="Arial"/>
                <w:color w:val="000000"/>
                <w:sz w:val="16"/>
                <w:szCs w:val="16"/>
              </w:rPr>
            </w:pPr>
            <w:r>
              <w:rPr>
                <w:rFonts w:cs="Arial"/>
                <w:color w:val="000000"/>
                <w:sz w:val="16"/>
                <w:szCs w:val="16"/>
              </w:rPr>
              <w:t xml:space="preserve">19,314 </w:t>
            </w:r>
          </w:p>
        </w:tc>
      </w:tr>
      <w:tr w:rsidR="001C67B1" w:rsidTr="00E52DC0">
        <w:tc>
          <w:tcPr>
            <w:tcW w:w="537" w:type="dxa"/>
            <w:tcBorders>
              <w:top w:val="nil"/>
              <w:left w:val="single" w:sz="4" w:space="0" w:color="auto"/>
              <w:bottom w:val="single" w:sz="4" w:space="0" w:color="auto"/>
              <w:right w:val="nil"/>
            </w:tcBorders>
            <w:shd w:val="clear" w:color="auto" w:fill="CCFFFF"/>
            <w:noWrap/>
            <w:vAlign w:val="bottom"/>
            <w:hideMark/>
          </w:tcPr>
          <w:p w:rsidR="001C67B1" w:rsidRDefault="001C67B1" w:rsidP="0038643F">
            <w:pPr>
              <w:spacing w:before="80" w:after="80"/>
              <w:jc w:val="center"/>
              <w:rPr>
                <w:rFonts w:cs="Arial"/>
                <w:b/>
                <w:bCs/>
                <w:color w:val="000000"/>
                <w:sz w:val="16"/>
                <w:szCs w:val="16"/>
              </w:rPr>
            </w:pPr>
            <w:r>
              <w:rPr>
                <w:rFonts w:cs="Arial"/>
                <w:b/>
                <w:bCs/>
                <w:color w:val="000000"/>
                <w:sz w:val="16"/>
                <w:szCs w:val="16"/>
              </w:rPr>
              <w:t> </w:t>
            </w:r>
          </w:p>
        </w:tc>
        <w:tc>
          <w:tcPr>
            <w:tcW w:w="4430" w:type="dxa"/>
            <w:tcBorders>
              <w:top w:val="nil"/>
              <w:left w:val="nil"/>
              <w:bottom w:val="single" w:sz="4" w:space="0" w:color="auto"/>
              <w:right w:val="nil"/>
            </w:tcBorders>
            <w:shd w:val="clear" w:color="auto" w:fill="CCFFFF"/>
            <w:noWrap/>
            <w:vAlign w:val="center"/>
            <w:hideMark/>
          </w:tcPr>
          <w:p w:rsidR="001C67B1" w:rsidRDefault="001C67B1" w:rsidP="0038643F">
            <w:pPr>
              <w:spacing w:before="80" w:after="80"/>
              <w:rPr>
                <w:rFonts w:cs="Arial"/>
                <w:b/>
                <w:bCs/>
                <w:color w:val="000000"/>
                <w:sz w:val="16"/>
                <w:szCs w:val="16"/>
              </w:rPr>
            </w:pPr>
            <w:r>
              <w:rPr>
                <w:rFonts w:cs="Arial"/>
                <w:b/>
                <w:bCs/>
                <w:color w:val="000000"/>
                <w:sz w:val="16"/>
                <w:szCs w:val="16"/>
              </w:rPr>
              <w:t>Total</w:t>
            </w:r>
          </w:p>
        </w:tc>
        <w:tc>
          <w:tcPr>
            <w:tcW w:w="1464" w:type="dxa"/>
            <w:tcBorders>
              <w:top w:val="nil"/>
              <w:left w:val="single" w:sz="4" w:space="0" w:color="auto"/>
              <w:bottom w:val="single" w:sz="4" w:space="0" w:color="auto"/>
              <w:right w:val="single" w:sz="4" w:space="0" w:color="auto"/>
            </w:tcBorders>
            <w:shd w:val="clear" w:color="auto" w:fill="CCFFFF"/>
            <w:vAlign w:val="center"/>
            <w:hideMark/>
          </w:tcPr>
          <w:p w:rsidR="001C67B1" w:rsidRDefault="001C67B1" w:rsidP="0038643F">
            <w:pPr>
              <w:spacing w:before="80" w:after="80"/>
              <w:jc w:val="right"/>
              <w:rPr>
                <w:rFonts w:cs="Arial"/>
                <w:b/>
                <w:bCs/>
                <w:color w:val="000000"/>
                <w:sz w:val="16"/>
                <w:szCs w:val="16"/>
              </w:rPr>
            </w:pPr>
            <w:r>
              <w:rPr>
                <w:rFonts w:cs="Arial"/>
                <w:b/>
                <w:bCs/>
                <w:color w:val="000000"/>
                <w:sz w:val="16"/>
                <w:szCs w:val="16"/>
              </w:rPr>
              <w:t>18,901</w:t>
            </w:r>
          </w:p>
        </w:tc>
        <w:tc>
          <w:tcPr>
            <w:tcW w:w="1465" w:type="dxa"/>
            <w:tcBorders>
              <w:top w:val="nil"/>
              <w:left w:val="nil"/>
              <w:bottom w:val="single" w:sz="4" w:space="0" w:color="auto"/>
              <w:right w:val="single" w:sz="4" w:space="0" w:color="auto"/>
            </w:tcBorders>
            <w:shd w:val="clear" w:color="auto" w:fill="CCFFFF"/>
            <w:noWrap/>
            <w:vAlign w:val="center"/>
            <w:hideMark/>
          </w:tcPr>
          <w:p w:rsidR="001C67B1" w:rsidRDefault="001C67B1" w:rsidP="0038643F">
            <w:pPr>
              <w:spacing w:before="80" w:after="80"/>
              <w:jc w:val="right"/>
              <w:rPr>
                <w:rFonts w:cs="Arial"/>
                <w:b/>
                <w:bCs/>
                <w:color w:val="000000"/>
                <w:sz w:val="16"/>
                <w:szCs w:val="16"/>
              </w:rPr>
            </w:pPr>
            <w:r>
              <w:rPr>
                <w:rFonts w:cs="Arial"/>
                <w:b/>
                <w:bCs/>
                <w:color w:val="000000"/>
                <w:sz w:val="16"/>
                <w:szCs w:val="16"/>
              </w:rPr>
              <w:t>19,794</w:t>
            </w:r>
          </w:p>
        </w:tc>
        <w:tc>
          <w:tcPr>
            <w:tcW w:w="1465" w:type="dxa"/>
            <w:tcBorders>
              <w:top w:val="nil"/>
              <w:left w:val="nil"/>
              <w:bottom w:val="single" w:sz="4" w:space="0" w:color="auto"/>
              <w:right w:val="single" w:sz="4" w:space="0" w:color="auto"/>
            </w:tcBorders>
            <w:shd w:val="clear" w:color="auto" w:fill="CCFFFF"/>
            <w:vAlign w:val="center"/>
            <w:hideMark/>
          </w:tcPr>
          <w:p w:rsidR="001C67B1" w:rsidRDefault="001C67B1" w:rsidP="0038643F">
            <w:pPr>
              <w:spacing w:before="80" w:after="80"/>
              <w:jc w:val="right"/>
              <w:rPr>
                <w:rFonts w:cs="Arial"/>
                <w:b/>
                <w:bCs/>
                <w:color w:val="000000"/>
                <w:sz w:val="16"/>
                <w:szCs w:val="16"/>
              </w:rPr>
            </w:pPr>
            <w:r>
              <w:rPr>
                <w:rFonts w:cs="Arial"/>
                <w:b/>
                <w:bCs/>
                <w:color w:val="000000"/>
                <w:sz w:val="16"/>
                <w:szCs w:val="16"/>
              </w:rPr>
              <w:t>19,314</w:t>
            </w:r>
          </w:p>
        </w:tc>
      </w:tr>
    </w:tbl>
    <w:p w:rsidR="001C67B1" w:rsidRDefault="001C67B1" w:rsidP="001C67B1">
      <w:pPr>
        <w:rPr>
          <w:rFonts w:cs="Arial"/>
          <w:sz w:val="22"/>
          <w:szCs w:val="22"/>
        </w:rPr>
      </w:pPr>
    </w:p>
    <w:p w:rsidR="001C67B1" w:rsidRDefault="001C67B1" w:rsidP="001C67B1">
      <w:pPr>
        <w:pStyle w:val="NormalWeb"/>
        <w:spacing w:before="0" w:beforeAutospacing="0" w:after="0" w:afterAutospacing="0"/>
        <w:jc w:val="center"/>
        <w:rPr>
          <w:sz w:val="20"/>
          <w:szCs w:val="20"/>
        </w:rPr>
      </w:pPr>
      <w:r>
        <w:rPr>
          <w:color w:val="000000"/>
          <w:sz w:val="20"/>
          <w:szCs w:val="20"/>
        </w:rPr>
        <w:t xml:space="preserve">Budget and Actual Expenditure (personnel and non-personnel) </w:t>
      </w:r>
    </w:p>
    <w:p w:rsidR="001C67B1" w:rsidRDefault="001C67B1" w:rsidP="001C67B1">
      <w:pPr>
        <w:pStyle w:val="NormalWeb"/>
        <w:spacing w:before="0" w:beforeAutospacing="0" w:after="0" w:afterAutospacing="0"/>
        <w:jc w:val="center"/>
        <w:rPr>
          <w:sz w:val="20"/>
          <w:szCs w:val="20"/>
        </w:rPr>
      </w:pPr>
      <w:r>
        <w:rPr>
          <w:i/>
          <w:iCs/>
          <w:color w:val="000000"/>
          <w:sz w:val="20"/>
          <w:szCs w:val="20"/>
        </w:rPr>
        <w:t>(</w:t>
      </w:r>
      <w:proofErr w:type="gramStart"/>
      <w:r>
        <w:rPr>
          <w:i/>
          <w:iCs/>
          <w:color w:val="000000"/>
          <w:sz w:val="20"/>
          <w:szCs w:val="20"/>
        </w:rPr>
        <w:t>in</w:t>
      </w:r>
      <w:proofErr w:type="gramEnd"/>
      <w:r>
        <w:rPr>
          <w:i/>
          <w:iCs/>
          <w:color w:val="000000"/>
          <w:sz w:val="20"/>
          <w:szCs w:val="20"/>
        </w:rPr>
        <w:t xml:space="preserve"> thousands of Swiss francs)</w:t>
      </w:r>
    </w:p>
    <w:p w:rsidR="001C67B1" w:rsidRDefault="001C67B1" w:rsidP="001C67B1">
      <w:pPr>
        <w:rPr>
          <w:rFonts w:cs="Arial"/>
          <w:sz w:val="22"/>
          <w:szCs w:val="22"/>
        </w:rPr>
      </w:pPr>
    </w:p>
    <w:tbl>
      <w:tblPr>
        <w:tblW w:w="0" w:type="auto"/>
        <w:tblInd w:w="93" w:type="dxa"/>
        <w:tblLook w:val="04A0" w:firstRow="1" w:lastRow="0" w:firstColumn="1" w:lastColumn="0" w:noHBand="0" w:noVBand="1"/>
      </w:tblPr>
      <w:tblGrid>
        <w:gridCol w:w="2850"/>
        <w:gridCol w:w="1630"/>
        <w:gridCol w:w="1630"/>
        <w:gridCol w:w="1630"/>
        <w:gridCol w:w="1631"/>
      </w:tblGrid>
      <w:tr w:rsidR="001C67B1" w:rsidRPr="001C67B1" w:rsidTr="00E52DC0">
        <w:tc>
          <w:tcPr>
            <w:tcW w:w="2850" w:type="dxa"/>
            <w:tcBorders>
              <w:top w:val="single" w:sz="4" w:space="0" w:color="auto"/>
              <w:left w:val="single" w:sz="4" w:space="0" w:color="auto"/>
              <w:bottom w:val="single" w:sz="4" w:space="0" w:color="auto"/>
              <w:right w:val="single" w:sz="4" w:space="0" w:color="auto"/>
            </w:tcBorders>
            <w:shd w:val="clear" w:color="auto" w:fill="CCFFFF"/>
            <w:noWrap/>
            <w:vAlign w:val="center"/>
            <w:hideMark/>
          </w:tcPr>
          <w:p w:rsidR="001C67B1" w:rsidRPr="001C67B1" w:rsidRDefault="001C67B1" w:rsidP="0038643F">
            <w:pPr>
              <w:spacing w:before="80" w:after="80"/>
              <w:rPr>
                <w:rFonts w:cs="Arial"/>
                <w:color w:val="000000"/>
                <w:sz w:val="16"/>
                <w:szCs w:val="16"/>
              </w:rPr>
            </w:pPr>
            <w:r w:rsidRPr="001C67B1">
              <w:rPr>
                <w:rFonts w:cs="Arial"/>
                <w:color w:val="000000"/>
                <w:sz w:val="16"/>
                <w:szCs w:val="16"/>
              </w:rPr>
              <w:t> </w:t>
            </w:r>
          </w:p>
        </w:tc>
        <w:tc>
          <w:tcPr>
            <w:tcW w:w="1630" w:type="dxa"/>
            <w:tcBorders>
              <w:top w:val="single" w:sz="4" w:space="0" w:color="auto"/>
              <w:left w:val="nil"/>
              <w:bottom w:val="nil"/>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Approved Budget 2012/13</w:t>
            </w:r>
          </w:p>
        </w:tc>
        <w:tc>
          <w:tcPr>
            <w:tcW w:w="1630" w:type="dxa"/>
            <w:tcBorders>
              <w:top w:val="single" w:sz="4" w:space="0" w:color="auto"/>
              <w:left w:val="nil"/>
              <w:bottom w:val="nil"/>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Budget after transfers 2012/13</w:t>
            </w:r>
          </w:p>
        </w:tc>
        <w:tc>
          <w:tcPr>
            <w:tcW w:w="1630" w:type="dxa"/>
            <w:tcBorders>
              <w:top w:val="single" w:sz="4" w:space="0" w:color="auto"/>
              <w:left w:val="nil"/>
              <w:bottom w:val="nil"/>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Expenditures 2012/13</w:t>
            </w:r>
          </w:p>
        </w:tc>
        <w:tc>
          <w:tcPr>
            <w:tcW w:w="1631" w:type="dxa"/>
            <w:tcBorders>
              <w:top w:val="single" w:sz="4" w:space="0" w:color="auto"/>
              <w:left w:val="nil"/>
              <w:bottom w:val="nil"/>
              <w:right w:val="single" w:sz="4" w:space="0" w:color="auto"/>
            </w:tcBorders>
            <w:shd w:val="clear" w:color="auto" w:fill="CCFFFF"/>
            <w:vAlign w:val="center"/>
            <w:hideMark/>
          </w:tcPr>
          <w:p w:rsidR="001C67B1" w:rsidRPr="001C67B1" w:rsidRDefault="001C67B1" w:rsidP="0038643F">
            <w:pPr>
              <w:spacing w:before="80" w:after="80"/>
              <w:jc w:val="center"/>
              <w:rPr>
                <w:rFonts w:cs="Arial"/>
                <w:bCs/>
                <w:color w:val="000000"/>
                <w:sz w:val="16"/>
                <w:szCs w:val="16"/>
              </w:rPr>
            </w:pPr>
            <w:r w:rsidRPr="001C67B1">
              <w:rPr>
                <w:rFonts w:cs="Arial"/>
                <w:bCs/>
                <w:color w:val="000000"/>
                <w:sz w:val="16"/>
                <w:szCs w:val="16"/>
              </w:rPr>
              <w:t>Utilization rate (%)</w:t>
            </w:r>
          </w:p>
        </w:tc>
      </w:tr>
      <w:tr w:rsidR="001C67B1" w:rsidTr="00E52DC0">
        <w:tc>
          <w:tcPr>
            <w:tcW w:w="2850" w:type="dxa"/>
            <w:tcBorders>
              <w:top w:val="nil"/>
              <w:left w:val="single" w:sz="4" w:space="0" w:color="auto"/>
              <w:bottom w:val="single" w:sz="4" w:space="0" w:color="auto"/>
              <w:right w:val="single" w:sz="4" w:space="0" w:color="auto"/>
            </w:tcBorders>
            <w:noWrap/>
            <w:vAlign w:val="center"/>
            <w:hideMark/>
          </w:tcPr>
          <w:p w:rsidR="001C67B1" w:rsidRDefault="001C67B1" w:rsidP="0038643F">
            <w:pPr>
              <w:spacing w:before="80" w:after="80"/>
              <w:rPr>
                <w:rFonts w:cs="Arial"/>
                <w:color w:val="000000"/>
                <w:sz w:val="16"/>
                <w:szCs w:val="16"/>
              </w:rPr>
            </w:pPr>
            <w:r>
              <w:rPr>
                <w:rFonts w:cs="Arial"/>
                <w:color w:val="000000"/>
                <w:sz w:val="16"/>
                <w:szCs w:val="16"/>
              </w:rPr>
              <w:t xml:space="preserve">Personnel Resources  </w:t>
            </w:r>
          </w:p>
        </w:tc>
        <w:tc>
          <w:tcPr>
            <w:tcW w:w="1630" w:type="dxa"/>
            <w:tcBorders>
              <w:top w:val="single" w:sz="4" w:space="0" w:color="auto"/>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16,760</w:t>
            </w:r>
          </w:p>
        </w:tc>
        <w:tc>
          <w:tcPr>
            <w:tcW w:w="1630" w:type="dxa"/>
            <w:tcBorders>
              <w:top w:val="single" w:sz="4" w:space="0" w:color="auto"/>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17,498</w:t>
            </w:r>
          </w:p>
        </w:tc>
        <w:tc>
          <w:tcPr>
            <w:tcW w:w="1630" w:type="dxa"/>
            <w:tcBorders>
              <w:top w:val="single" w:sz="4" w:space="0" w:color="auto"/>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17,498</w:t>
            </w:r>
          </w:p>
        </w:tc>
        <w:tc>
          <w:tcPr>
            <w:tcW w:w="1631" w:type="dxa"/>
            <w:tcBorders>
              <w:top w:val="single" w:sz="4" w:space="0" w:color="auto"/>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100%</w:t>
            </w:r>
          </w:p>
        </w:tc>
      </w:tr>
      <w:tr w:rsidR="001C67B1" w:rsidTr="00E52DC0">
        <w:tc>
          <w:tcPr>
            <w:tcW w:w="2850" w:type="dxa"/>
            <w:tcBorders>
              <w:top w:val="nil"/>
              <w:left w:val="single" w:sz="4" w:space="0" w:color="auto"/>
              <w:bottom w:val="single" w:sz="4" w:space="0" w:color="auto"/>
              <w:right w:val="single" w:sz="4" w:space="0" w:color="auto"/>
            </w:tcBorders>
            <w:noWrap/>
            <w:vAlign w:val="center"/>
            <w:hideMark/>
          </w:tcPr>
          <w:p w:rsidR="001C67B1" w:rsidRDefault="001C67B1" w:rsidP="0038643F">
            <w:pPr>
              <w:spacing w:before="80" w:after="80"/>
              <w:rPr>
                <w:rFonts w:cs="Arial"/>
                <w:color w:val="000000"/>
                <w:sz w:val="16"/>
                <w:szCs w:val="16"/>
              </w:rPr>
            </w:pPr>
            <w:r>
              <w:rPr>
                <w:rFonts w:cs="Arial"/>
                <w:color w:val="000000"/>
                <w:sz w:val="16"/>
                <w:szCs w:val="16"/>
              </w:rPr>
              <w:t xml:space="preserve">Non-personnel Resources </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2,141</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2,296</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1,816</w:t>
            </w:r>
          </w:p>
        </w:tc>
        <w:tc>
          <w:tcPr>
            <w:tcW w:w="1631"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color w:val="000000"/>
                <w:sz w:val="16"/>
                <w:szCs w:val="16"/>
              </w:rPr>
            </w:pPr>
            <w:r>
              <w:rPr>
                <w:rFonts w:cs="Arial"/>
                <w:color w:val="000000"/>
                <w:sz w:val="16"/>
                <w:szCs w:val="16"/>
              </w:rPr>
              <w:t>79%</w:t>
            </w:r>
          </w:p>
        </w:tc>
      </w:tr>
      <w:tr w:rsidR="001C67B1" w:rsidTr="00E52DC0">
        <w:tc>
          <w:tcPr>
            <w:tcW w:w="2850" w:type="dxa"/>
            <w:tcBorders>
              <w:top w:val="nil"/>
              <w:left w:val="single" w:sz="4" w:space="0" w:color="auto"/>
              <w:bottom w:val="single" w:sz="4" w:space="0" w:color="auto"/>
              <w:right w:val="single" w:sz="4" w:space="0" w:color="auto"/>
            </w:tcBorders>
            <w:noWrap/>
            <w:vAlign w:val="center"/>
            <w:hideMark/>
          </w:tcPr>
          <w:p w:rsidR="001C67B1" w:rsidRDefault="001C67B1" w:rsidP="0038643F">
            <w:pPr>
              <w:spacing w:before="80" w:after="80"/>
              <w:jc w:val="right"/>
              <w:rPr>
                <w:rFonts w:cs="Arial"/>
                <w:b/>
                <w:bCs/>
                <w:color w:val="000000"/>
                <w:sz w:val="16"/>
                <w:szCs w:val="16"/>
              </w:rPr>
            </w:pPr>
            <w:r>
              <w:rPr>
                <w:rFonts w:cs="Arial"/>
                <w:b/>
                <w:bCs/>
                <w:color w:val="000000"/>
                <w:sz w:val="16"/>
                <w:szCs w:val="16"/>
              </w:rPr>
              <w:t xml:space="preserve"> TOTAL </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b/>
                <w:bCs/>
                <w:color w:val="000000"/>
                <w:sz w:val="16"/>
                <w:szCs w:val="16"/>
              </w:rPr>
            </w:pPr>
            <w:r>
              <w:rPr>
                <w:rFonts w:cs="Arial"/>
                <w:b/>
                <w:bCs/>
                <w:color w:val="000000"/>
                <w:sz w:val="16"/>
                <w:szCs w:val="16"/>
              </w:rPr>
              <w:t>18,901</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b/>
                <w:color w:val="000000"/>
                <w:sz w:val="16"/>
                <w:szCs w:val="16"/>
              </w:rPr>
            </w:pPr>
            <w:r>
              <w:rPr>
                <w:rFonts w:cs="Arial"/>
                <w:b/>
                <w:color w:val="000000"/>
                <w:sz w:val="16"/>
                <w:szCs w:val="16"/>
              </w:rPr>
              <w:t>19,794</w:t>
            </w:r>
          </w:p>
        </w:tc>
        <w:tc>
          <w:tcPr>
            <w:tcW w:w="1630"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b/>
                <w:color w:val="000000"/>
                <w:sz w:val="16"/>
                <w:szCs w:val="16"/>
              </w:rPr>
            </w:pPr>
            <w:r>
              <w:rPr>
                <w:rFonts w:cs="Arial"/>
                <w:b/>
                <w:color w:val="000000"/>
                <w:sz w:val="16"/>
                <w:szCs w:val="16"/>
              </w:rPr>
              <w:t>19,314</w:t>
            </w:r>
          </w:p>
        </w:tc>
        <w:tc>
          <w:tcPr>
            <w:tcW w:w="1631" w:type="dxa"/>
            <w:tcBorders>
              <w:top w:val="nil"/>
              <w:left w:val="nil"/>
              <w:bottom w:val="single" w:sz="4" w:space="0" w:color="auto"/>
              <w:right w:val="single" w:sz="4" w:space="0" w:color="auto"/>
            </w:tcBorders>
            <w:vAlign w:val="center"/>
            <w:hideMark/>
          </w:tcPr>
          <w:p w:rsidR="001C67B1" w:rsidRDefault="001C67B1" w:rsidP="0038643F">
            <w:pPr>
              <w:spacing w:before="80" w:after="80"/>
              <w:jc w:val="center"/>
              <w:rPr>
                <w:rFonts w:cs="Arial"/>
                <w:b/>
                <w:color w:val="000000"/>
                <w:sz w:val="16"/>
                <w:szCs w:val="16"/>
              </w:rPr>
            </w:pPr>
            <w:r>
              <w:rPr>
                <w:rFonts w:cs="Arial"/>
                <w:b/>
                <w:color w:val="000000"/>
                <w:sz w:val="16"/>
                <w:szCs w:val="16"/>
              </w:rPr>
              <w:t>98%</w:t>
            </w:r>
          </w:p>
        </w:tc>
      </w:tr>
    </w:tbl>
    <w:p w:rsidR="001C67B1" w:rsidRDefault="001C67B1" w:rsidP="001C67B1">
      <w:pPr>
        <w:rPr>
          <w:rFonts w:cs="Arial"/>
          <w:sz w:val="22"/>
          <w:szCs w:val="22"/>
        </w:rPr>
      </w:pPr>
    </w:p>
    <w:p w:rsidR="001C67B1" w:rsidRDefault="001C67B1" w:rsidP="001C67B1">
      <w:pPr>
        <w:keepNext/>
        <w:autoSpaceDE w:val="0"/>
        <w:autoSpaceDN w:val="0"/>
        <w:rPr>
          <w:rFonts w:cs="Arial"/>
          <w:sz w:val="16"/>
          <w:szCs w:val="16"/>
        </w:rPr>
      </w:pPr>
      <w:r>
        <w:rPr>
          <w:rFonts w:cs="Arial"/>
          <w:sz w:val="16"/>
          <w:szCs w:val="16"/>
        </w:rPr>
        <w:t>NOTES:</w:t>
      </w:r>
    </w:p>
    <w:p w:rsidR="001C67B1" w:rsidRDefault="001C67B1" w:rsidP="001C67B1">
      <w:pPr>
        <w:keepNext/>
        <w:autoSpaceDE w:val="0"/>
        <w:autoSpaceDN w:val="0"/>
        <w:rPr>
          <w:rFonts w:cs="Arial"/>
          <w:sz w:val="16"/>
          <w:szCs w:val="16"/>
        </w:rPr>
      </w:pPr>
    </w:p>
    <w:p w:rsidR="001C67B1" w:rsidRDefault="001C67B1" w:rsidP="001C67B1">
      <w:pPr>
        <w:keepNext/>
        <w:autoSpaceDE w:val="0"/>
        <w:autoSpaceDN w:val="0"/>
        <w:rPr>
          <w:rFonts w:cs="Arial"/>
          <w:sz w:val="16"/>
          <w:szCs w:val="16"/>
        </w:rPr>
      </w:pPr>
      <w:r>
        <w:rPr>
          <w:rFonts w:cs="Arial"/>
          <w:sz w:val="16"/>
          <w:szCs w:val="16"/>
        </w:rPr>
        <w:t>(1)  Budget after transfers reflects the adjusted budget of Programs, following transfers during 2012/13 in line with Financial Regulation 5.5.</w:t>
      </w:r>
    </w:p>
    <w:p w:rsidR="001C67B1" w:rsidRDefault="001C67B1" w:rsidP="001C67B1">
      <w:pPr>
        <w:keepNext/>
        <w:autoSpaceDE w:val="0"/>
        <w:autoSpaceDN w:val="0"/>
        <w:rPr>
          <w:rFonts w:cs="Arial"/>
          <w:sz w:val="16"/>
          <w:szCs w:val="16"/>
        </w:rPr>
      </w:pPr>
    </w:p>
    <w:p w:rsidR="001C67B1" w:rsidRDefault="00DC2CFA" w:rsidP="001C67B1">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1C67B1">
        <w:rPr>
          <w:rFonts w:cs="Arial"/>
          <w:sz w:val="16"/>
          <w:szCs w:val="16"/>
        </w:rPr>
        <w:t xml:space="preserve"> </w:t>
      </w:r>
    </w:p>
    <w:p w:rsidR="001C67B1" w:rsidRDefault="001C67B1" w:rsidP="001C67B1">
      <w:pPr>
        <w:rPr>
          <w:rFonts w:cs="Arial"/>
          <w:sz w:val="22"/>
          <w:szCs w:val="22"/>
        </w:rPr>
      </w:pPr>
    </w:p>
    <w:p w:rsidR="001C67B1" w:rsidRDefault="001C67B1" w:rsidP="001C67B1">
      <w:pPr>
        <w:tabs>
          <w:tab w:val="left" w:pos="709"/>
        </w:tabs>
        <w:rPr>
          <w:rFonts w:cs="Arial"/>
          <w:szCs w:val="20"/>
          <w:u w:val="single"/>
        </w:rPr>
      </w:pPr>
      <w:r>
        <w:rPr>
          <w:rFonts w:cs="Arial"/>
          <w:szCs w:val="20"/>
        </w:rPr>
        <w:t>A.</w:t>
      </w:r>
      <w:r>
        <w:rPr>
          <w:rFonts w:cs="Arial"/>
          <w:szCs w:val="20"/>
        </w:rPr>
        <w:tab/>
      </w:r>
      <w:r>
        <w:rPr>
          <w:rFonts w:cs="Arial"/>
          <w:szCs w:val="20"/>
          <w:u w:val="single"/>
        </w:rPr>
        <w:t>Budget after Transfers 2012/13</w:t>
      </w:r>
    </w:p>
    <w:p w:rsidR="001C67B1" w:rsidRDefault="001C67B1" w:rsidP="001C67B1">
      <w:pPr>
        <w:tabs>
          <w:tab w:val="left" w:pos="709"/>
        </w:tabs>
        <w:rPr>
          <w:rFonts w:cs="Arial"/>
          <w:b/>
          <w:szCs w:val="20"/>
        </w:rPr>
      </w:pPr>
    </w:p>
    <w:p w:rsidR="001C67B1" w:rsidRDefault="001C67B1" w:rsidP="001C67B1">
      <w:pPr>
        <w:tabs>
          <w:tab w:val="left" w:pos="709"/>
        </w:tabs>
        <w:jc w:val="both"/>
        <w:rPr>
          <w:rFonts w:cs="Arial"/>
          <w:szCs w:val="20"/>
        </w:rPr>
      </w:pPr>
      <w:r>
        <w:rPr>
          <w:rFonts w:cs="Arial"/>
          <w:szCs w:val="20"/>
        </w:rPr>
        <w:t>22.10.</w:t>
      </w:r>
      <w:r>
        <w:rPr>
          <w:rFonts w:cs="Arial"/>
          <w:szCs w:val="20"/>
        </w:rPr>
        <w:tab/>
        <w:t>The increase in the Budget after Transfers reflects additional non-personnel resources allocated for:  (i) the DA project on Enhancement of WIPO’s Results-Based Management (RBM) Framework to Support the Monitoring and evaluation of Development Activities</w:t>
      </w:r>
      <w:proofErr w:type="gramStart"/>
      <w:r>
        <w:rPr>
          <w:rFonts w:cs="Arial"/>
          <w:szCs w:val="20"/>
        </w:rPr>
        <w:t>;  (</w:t>
      </w:r>
      <w:proofErr w:type="gramEnd"/>
      <w:r>
        <w:rPr>
          <w:rFonts w:cs="Arial"/>
          <w:szCs w:val="20"/>
        </w:rPr>
        <w:t xml:space="preserve">ii) the purchase of Team Central licenses (the database of audit recommendations maintained by IAOD) for the External Auditors;  and, (iii) an increase in bank charges.  These charges have steadily increased during the biennium, reflecting an increase in bank tariffs and in WIPO’s levels of activity, as well as the decision of WIPO’s operational banks to no longer provide “free banking”. </w:t>
      </w:r>
    </w:p>
    <w:p w:rsidR="001C67B1" w:rsidRDefault="001C67B1" w:rsidP="001C67B1">
      <w:pPr>
        <w:tabs>
          <w:tab w:val="left" w:pos="709"/>
        </w:tabs>
        <w:jc w:val="both"/>
        <w:rPr>
          <w:rFonts w:cs="Arial"/>
          <w:szCs w:val="20"/>
        </w:rPr>
      </w:pPr>
    </w:p>
    <w:p w:rsidR="001C67B1" w:rsidRDefault="001C67B1" w:rsidP="001C67B1">
      <w:pPr>
        <w:tabs>
          <w:tab w:val="left" w:pos="709"/>
        </w:tabs>
        <w:jc w:val="both"/>
        <w:rPr>
          <w:rFonts w:cs="Arial"/>
          <w:iCs/>
          <w:szCs w:val="20"/>
        </w:rPr>
      </w:pPr>
      <w:r>
        <w:rPr>
          <w:rFonts w:cs="Arial"/>
          <w:iCs/>
          <w:szCs w:val="20"/>
        </w:rPr>
        <w:t>22.11.</w:t>
      </w:r>
      <w:r>
        <w:rPr>
          <w:rFonts w:cs="Arial"/>
          <w:iCs/>
          <w:szCs w:val="20"/>
        </w:rPr>
        <w:tab/>
        <w:t>The increase in personnel resources primarily stems from the Organization’s commitment, in the event of a pick-up in projected income levels, to reinstate the provisions for after service employee benefits that were initially budgeted at a lower level than in the previous biennia.</w:t>
      </w:r>
    </w:p>
    <w:p w:rsidR="001C67B1" w:rsidRDefault="001C67B1" w:rsidP="001C67B1">
      <w:pPr>
        <w:tabs>
          <w:tab w:val="left" w:pos="709"/>
        </w:tabs>
        <w:jc w:val="both"/>
        <w:rPr>
          <w:rFonts w:cs="Arial"/>
          <w:sz w:val="22"/>
          <w:szCs w:val="22"/>
        </w:rPr>
      </w:pPr>
    </w:p>
    <w:p w:rsidR="001C67B1" w:rsidRDefault="001C67B1" w:rsidP="001C67B1">
      <w:pPr>
        <w:tabs>
          <w:tab w:val="left" w:pos="709"/>
        </w:tabs>
        <w:jc w:val="both"/>
        <w:rPr>
          <w:rFonts w:cs="Arial"/>
          <w:u w:val="single"/>
          <w:lang w:eastAsia="ko-KR"/>
        </w:rPr>
      </w:pPr>
      <w:r>
        <w:rPr>
          <w:rFonts w:cs="Arial"/>
          <w:lang w:eastAsia="ko-KR"/>
        </w:rPr>
        <w:t>B.</w:t>
      </w:r>
      <w:r>
        <w:rPr>
          <w:rFonts w:cs="Arial"/>
          <w:lang w:eastAsia="ko-KR"/>
        </w:rPr>
        <w:tab/>
      </w:r>
      <w:r w:rsidR="00D44A34">
        <w:rPr>
          <w:rFonts w:cs="Arial"/>
          <w:u w:val="single"/>
          <w:lang w:eastAsia="ko-KR"/>
        </w:rPr>
        <w:t>Budget U</w:t>
      </w:r>
      <w:r>
        <w:rPr>
          <w:rFonts w:cs="Arial"/>
          <w:u w:val="single"/>
          <w:lang w:eastAsia="ko-KR"/>
        </w:rPr>
        <w:t>tilization 2012/13</w:t>
      </w:r>
    </w:p>
    <w:p w:rsidR="001C67B1" w:rsidRDefault="001C67B1" w:rsidP="001C67B1">
      <w:pPr>
        <w:tabs>
          <w:tab w:val="left" w:pos="709"/>
        </w:tabs>
        <w:jc w:val="both"/>
        <w:rPr>
          <w:rFonts w:cs="Arial"/>
          <w:sz w:val="24"/>
        </w:rPr>
      </w:pPr>
    </w:p>
    <w:p w:rsidR="001C67B1" w:rsidRPr="0038643F" w:rsidRDefault="001C67B1" w:rsidP="0038643F">
      <w:pPr>
        <w:tabs>
          <w:tab w:val="left" w:pos="709"/>
        </w:tabs>
        <w:jc w:val="both"/>
        <w:rPr>
          <w:rFonts w:cs="Arial"/>
          <w:szCs w:val="20"/>
        </w:rPr>
      </w:pPr>
      <w:r>
        <w:rPr>
          <w:rFonts w:cs="Arial"/>
          <w:szCs w:val="20"/>
        </w:rPr>
        <w:t>22.12.</w:t>
      </w:r>
      <w:r>
        <w:rPr>
          <w:rFonts w:cs="Arial"/>
          <w:szCs w:val="20"/>
        </w:rPr>
        <w:tab/>
        <w:t>The non-personnel budget utilization of 79</w:t>
      </w:r>
      <w:r w:rsidR="00D04278">
        <w:rPr>
          <w:rFonts w:cs="Arial"/>
          <w:szCs w:val="20"/>
        </w:rPr>
        <w:t xml:space="preserve"> per cent </w:t>
      </w:r>
      <w:r>
        <w:rPr>
          <w:rFonts w:cs="Arial"/>
          <w:szCs w:val="20"/>
        </w:rPr>
        <w:t xml:space="preserve">reflects: </w:t>
      </w:r>
      <w:r w:rsidR="00E52DC0">
        <w:rPr>
          <w:rFonts w:cs="Arial"/>
          <w:szCs w:val="20"/>
        </w:rPr>
        <w:t xml:space="preserve"> (i</w:t>
      </w:r>
      <w:r>
        <w:rPr>
          <w:rFonts w:cs="Arial"/>
          <w:szCs w:val="20"/>
        </w:rPr>
        <w:t xml:space="preserve">) a lower than expected expenditure on the DA project on Enhancement of WIPO’s Results-Based Management (RBM) Framework due to the replacement of the regional RBM seminars with similar events implemented under the regular budget and FITs; </w:t>
      </w:r>
      <w:r w:rsidR="00E52DC0">
        <w:rPr>
          <w:rFonts w:cs="Arial"/>
          <w:szCs w:val="20"/>
        </w:rPr>
        <w:t xml:space="preserve"> </w:t>
      </w:r>
      <w:r>
        <w:rPr>
          <w:rFonts w:cs="Arial"/>
          <w:szCs w:val="20"/>
        </w:rPr>
        <w:t xml:space="preserve">and </w:t>
      </w:r>
      <w:r w:rsidR="00E52DC0">
        <w:rPr>
          <w:rFonts w:cs="Arial"/>
          <w:szCs w:val="20"/>
        </w:rPr>
        <w:t>(ii</w:t>
      </w:r>
      <w:r>
        <w:rPr>
          <w:rFonts w:cs="Arial"/>
          <w:szCs w:val="20"/>
        </w:rPr>
        <w:t>) lower than estimated travel cost</w:t>
      </w:r>
      <w:r w:rsidR="00E52DC0">
        <w:rPr>
          <w:rFonts w:cs="Arial"/>
          <w:szCs w:val="20"/>
        </w:rPr>
        <w:t>s</w:t>
      </w:r>
      <w:r>
        <w:rPr>
          <w:rFonts w:cs="Arial"/>
          <w:szCs w:val="20"/>
        </w:rPr>
        <w:t xml:space="preserve"> for the IAOC members.</w:t>
      </w:r>
      <w:r>
        <w:br w:type="page"/>
      </w:r>
    </w:p>
    <w:p w:rsidR="000B5438" w:rsidRPr="006F08EA" w:rsidRDefault="006F08EA" w:rsidP="006F08EA">
      <w:pPr>
        <w:pStyle w:val="Heading3"/>
      </w:pPr>
      <w:bookmarkStart w:id="64" w:name="_Toc393956074"/>
      <w:r w:rsidRPr="006F08EA">
        <w:lastRenderedPageBreak/>
        <w:t>Program 23</w:t>
      </w:r>
      <w:r w:rsidRPr="006F08EA">
        <w:tab/>
        <w:t>Human Resources Management and Development</w:t>
      </w:r>
      <w:bookmarkEnd w:id="64"/>
    </w:p>
    <w:p w:rsidR="000B5438" w:rsidRPr="00901768" w:rsidRDefault="000B5438" w:rsidP="000B5438">
      <w:pPr>
        <w:ind w:left="2268" w:hanging="2268"/>
        <w:rPr>
          <w:rFonts w:cs="Arial"/>
          <w:b/>
          <w:sz w:val="22"/>
          <w:szCs w:val="22"/>
        </w:rPr>
      </w:pPr>
    </w:p>
    <w:p w:rsidR="000B5438" w:rsidRPr="00CD26D6" w:rsidRDefault="000B5438" w:rsidP="000B5438">
      <w:pPr>
        <w:ind w:left="2268" w:hanging="2268"/>
        <w:rPr>
          <w:rFonts w:cs="Arial"/>
          <w:b/>
          <w:sz w:val="22"/>
          <w:szCs w:val="22"/>
        </w:rPr>
      </w:pPr>
      <w:r w:rsidRPr="00CD26D6">
        <w:rPr>
          <w:rFonts w:cs="Arial"/>
          <w:b/>
          <w:sz w:val="22"/>
          <w:szCs w:val="22"/>
        </w:rPr>
        <w:t>Program Manager</w:t>
      </w:r>
      <w:r w:rsidRPr="00CD26D6">
        <w:rPr>
          <w:rFonts w:cs="Arial"/>
          <w:b/>
          <w:sz w:val="22"/>
          <w:szCs w:val="22"/>
        </w:rPr>
        <w:tab/>
      </w:r>
      <w:r w:rsidRPr="00CD26D6">
        <w:rPr>
          <w:rFonts w:cs="Arial"/>
          <w:b/>
          <w:sz w:val="22"/>
          <w:szCs w:val="22"/>
        </w:rPr>
        <w:tab/>
        <w:t>Director General</w:t>
      </w:r>
    </w:p>
    <w:p w:rsidR="000B5438" w:rsidRPr="00901768" w:rsidRDefault="000B5438" w:rsidP="000B5438">
      <w:pPr>
        <w:rPr>
          <w:rFonts w:cs="Arial"/>
          <w:sz w:val="22"/>
          <w:szCs w:val="22"/>
        </w:rPr>
      </w:pPr>
    </w:p>
    <w:p w:rsidR="000B5438" w:rsidRPr="00901768" w:rsidRDefault="000B5438" w:rsidP="000B5438">
      <w:pPr>
        <w:rPr>
          <w:bCs/>
          <w:sz w:val="22"/>
          <w:szCs w:val="22"/>
        </w:rPr>
      </w:pPr>
    </w:p>
    <w:p w:rsidR="000B5438" w:rsidRPr="00CD26D6" w:rsidRDefault="000B5438" w:rsidP="000B5438">
      <w:pPr>
        <w:rPr>
          <w:sz w:val="22"/>
          <w:szCs w:val="22"/>
        </w:rPr>
      </w:pPr>
      <w:r w:rsidRPr="00CD26D6">
        <w:rPr>
          <w:sz w:val="22"/>
          <w:szCs w:val="22"/>
        </w:rPr>
        <w:t>ACHIEVEMENTS IN THE 2012/13 BIENNIUM</w:t>
      </w:r>
    </w:p>
    <w:p w:rsidR="000B5438" w:rsidRPr="0027745B" w:rsidRDefault="000B5438" w:rsidP="000B5438">
      <w:pPr>
        <w:rPr>
          <w:rFonts w:cs="Arial"/>
          <w:szCs w:val="20"/>
        </w:rPr>
      </w:pPr>
    </w:p>
    <w:p w:rsidR="000B5438" w:rsidRPr="0027745B" w:rsidRDefault="000B5438" w:rsidP="000B5438">
      <w:pPr>
        <w:pStyle w:val="Style1"/>
        <w:numPr>
          <w:ilvl w:val="0"/>
          <w:numId w:val="0"/>
        </w:numPr>
        <w:tabs>
          <w:tab w:val="left" w:pos="709"/>
        </w:tabs>
        <w:jc w:val="both"/>
        <w:rPr>
          <w:szCs w:val="20"/>
        </w:rPr>
      </w:pPr>
      <w:r>
        <w:rPr>
          <w:szCs w:val="20"/>
        </w:rPr>
        <w:t>23.1.</w:t>
      </w:r>
      <w:r>
        <w:rPr>
          <w:szCs w:val="20"/>
        </w:rPr>
        <w:tab/>
      </w:r>
      <w:r w:rsidR="00D04278">
        <w:rPr>
          <w:szCs w:val="20"/>
        </w:rPr>
        <w:t>A</w:t>
      </w:r>
      <w:r w:rsidRPr="0027745B">
        <w:rPr>
          <w:szCs w:val="20"/>
        </w:rPr>
        <w:t xml:space="preserve"> number of human resources initiatives continued to be implemented as part of the SRP. </w:t>
      </w:r>
      <w:r>
        <w:rPr>
          <w:szCs w:val="20"/>
        </w:rPr>
        <w:t xml:space="preserve"> </w:t>
      </w:r>
      <w:r w:rsidRPr="0027745B">
        <w:rPr>
          <w:szCs w:val="20"/>
        </w:rPr>
        <w:t>At the end of 2013, an HR Strategy was approved by Member States forming the basis for the short and medium term HR plan of action for the 2014/15 biennium.</w:t>
      </w:r>
    </w:p>
    <w:p w:rsidR="000B5438" w:rsidRPr="0027745B" w:rsidRDefault="000B5438" w:rsidP="000B5438">
      <w:pPr>
        <w:tabs>
          <w:tab w:val="left" w:pos="709"/>
        </w:tabs>
        <w:jc w:val="both"/>
        <w:rPr>
          <w:bCs/>
          <w:color w:val="000000"/>
          <w:szCs w:val="20"/>
        </w:rPr>
      </w:pPr>
    </w:p>
    <w:p w:rsidR="000B5438" w:rsidRPr="0027745B" w:rsidRDefault="000B5438" w:rsidP="000B5438">
      <w:pPr>
        <w:pStyle w:val="Style1"/>
        <w:numPr>
          <w:ilvl w:val="0"/>
          <w:numId w:val="0"/>
        </w:numPr>
        <w:tabs>
          <w:tab w:val="left" w:pos="709"/>
        </w:tabs>
        <w:jc w:val="both"/>
        <w:rPr>
          <w:szCs w:val="20"/>
        </w:rPr>
      </w:pPr>
      <w:r>
        <w:rPr>
          <w:szCs w:val="20"/>
        </w:rPr>
        <w:t>23.2.</w:t>
      </w:r>
      <w:r>
        <w:rPr>
          <w:szCs w:val="20"/>
        </w:rPr>
        <w:tab/>
      </w:r>
      <w:r w:rsidRPr="0027745B">
        <w:rPr>
          <w:szCs w:val="20"/>
        </w:rPr>
        <w:t>The biennium 2012/13 saw an increase in client satisfaction and an acknowledgment that the HR teams have become more responsive to staff needs, as confirmed by exit interviews and the results of the core value survey.</w:t>
      </w:r>
    </w:p>
    <w:p w:rsidR="000B5438" w:rsidRPr="0027745B" w:rsidRDefault="000B5438" w:rsidP="000B5438">
      <w:pPr>
        <w:tabs>
          <w:tab w:val="left" w:pos="709"/>
        </w:tabs>
        <w:jc w:val="both"/>
        <w:rPr>
          <w:rFonts w:cs="Arial"/>
          <w:szCs w:val="20"/>
        </w:rPr>
      </w:pPr>
    </w:p>
    <w:p w:rsidR="000B5438" w:rsidRPr="0027745B" w:rsidRDefault="000B5438" w:rsidP="000B5438">
      <w:pPr>
        <w:pStyle w:val="Style1"/>
        <w:numPr>
          <w:ilvl w:val="0"/>
          <w:numId w:val="0"/>
        </w:numPr>
        <w:tabs>
          <w:tab w:val="left" w:pos="709"/>
        </w:tabs>
        <w:jc w:val="both"/>
        <w:rPr>
          <w:rFonts w:cs="Arial"/>
          <w:szCs w:val="20"/>
        </w:rPr>
      </w:pPr>
      <w:r>
        <w:rPr>
          <w:szCs w:val="20"/>
        </w:rPr>
        <w:t>23.3.</w:t>
      </w:r>
      <w:r>
        <w:rPr>
          <w:szCs w:val="20"/>
        </w:rPr>
        <w:tab/>
      </w:r>
      <w:r w:rsidRPr="0027745B">
        <w:rPr>
          <w:szCs w:val="20"/>
        </w:rPr>
        <w:t xml:space="preserve">HR operations managed to maintain the four-day response and resolution timeframe achieved in the previous biennium for routine human resources transactions in spite of the challenging context of the implementation of the ERP and contract reform.  With the ‘go-live’ of the ERP in 2014, the eventual goal of a two-day processing time is still being kept in sight for </w:t>
      </w:r>
      <w:proofErr w:type="gramStart"/>
      <w:r w:rsidRPr="0027745B">
        <w:rPr>
          <w:szCs w:val="20"/>
        </w:rPr>
        <w:t>2015.</w:t>
      </w:r>
      <w:proofErr w:type="gramEnd"/>
    </w:p>
    <w:p w:rsidR="000B5438" w:rsidRPr="00D04E62" w:rsidRDefault="000B5438" w:rsidP="000B5438">
      <w:pPr>
        <w:tabs>
          <w:tab w:val="left" w:pos="709"/>
        </w:tabs>
        <w:jc w:val="both"/>
        <w:rPr>
          <w:rFonts w:cs="Arial"/>
          <w:szCs w:val="20"/>
        </w:rPr>
      </w:pPr>
    </w:p>
    <w:p w:rsidR="000B5438" w:rsidRPr="0027745B" w:rsidRDefault="000B5438" w:rsidP="000B5438">
      <w:pPr>
        <w:pStyle w:val="Style1"/>
        <w:numPr>
          <w:ilvl w:val="0"/>
          <w:numId w:val="0"/>
        </w:numPr>
        <w:tabs>
          <w:tab w:val="left" w:pos="709"/>
        </w:tabs>
        <w:jc w:val="both"/>
        <w:rPr>
          <w:szCs w:val="20"/>
        </w:rPr>
      </w:pPr>
      <w:r>
        <w:rPr>
          <w:szCs w:val="20"/>
        </w:rPr>
        <w:t>23.4.</w:t>
      </w:r>
      <w:r>
        <w:rPr>
          <w:szCs w:val="20"/>
        </w:rPr>
        <w:tab/>
      </w:r>
      <w:r w:rsidRPr="0027745B">
        <w:rPr>
          <w:szCs w:val="20"/>
        </w:rPr>
        <w:t>Following the recommendation of a review of medical and occupational health and safety services at WIPO, an Occupational Safety and Health Committee was established in December 2013. The Committee is composed of representatives of the Administration</w:t>
      </w:r>
      <w:r w:rsidR="00D04278">
        <w:rPr>
          <w:szCs w:val="20"/>
        </w:rPr>
        <w:t xml:space="preserve"> and Management Sector</w:t>
      </w:r>
      <w:r w:rsidRPr="0027745B">
        <w:rPr>
          <w:szCs w:val="20"/>
        </w:rPr>
        <w:t xml:space="preserve">, staff, medical and social services, and safety and security. </w:t>
      </w:r>
      <w:r>
        <w:rPr>
          <w:szCs w:val="20"/>
        </w:rPr>
        <w:t xml:space="preserve"> </w:t>
      </w:r>
      <w:r w:rsidRPr="0027745B">
        <w:rPr>
          <w:szCs w:val="20"/>
        </w:rPr>
        <w:t xml:space="preserve">The </w:t>
      </w:r>
      <w:r w:rsidR="00335241">
        <w:rPr>
          <w:szCs w:val="20"/>
        </w:rPr>
        <w:t>C</w:t>
      </w:r>
      <w:r w:rsidRPr="0027745B">
        <w:rPr>
          <w:szCs w:val="20"/>
        </w:rPr>
        <w:t xml:space="preserve">ommittee will monitor the implementation activities to promote a healthy and safe working environment, including physical and psychosocial </w:t>
      </w:r>
      <w:r w:rsidR="00D04278">
        <w:rPr>
          <w:szCs w:val="20"/>
        </w:rPr>
        <w:t>well-being</w:t>
      </w:r>
      <w:r w:rsidRPr="0027745B">
        <w:rPr>
          <w:szCs w:val="20"/>
        </w:rPr>
        <w:t xml:space="preserve">. </w:t>
      </w:r>
      <w:r w:rsidR="00335241">
        <w:rPr>
          <w:szCs w:val="20"/>
        </w:rPr>
        <w:t xml:space="preserve"> </w:t>
      </w:r>
      <w:r w:rsidRPr="0027745B">
        <w:rPr>
          <w:szCs w:val="20"/>
        </w:rPr>
        <w:t>The Committee will also address issues of absenteeism.</w:t>
      </w:r>
    </w:p>
    <w:p w:rsidR="000B5438" w:rsidRPr="0027745B" w:rsidRDefault="000B5438" w:rsidP="000B5438">
      <w:pPr>
        <w:tabs>
          <w:tab w:val="left" w:pos="709"/>
        </w:tabs>
        <w:jc w:val="both"/>
        <w:rPr>
          <w:rFonts w:cs="Arial"/>
          <w:szCs w:val="20"/>
        </w:rPr>
      </w:pPr>
    </w:p>
    <w:p w:rsidR="000B5438" w:rsidRPr="0027745B" w:rsidRDefault="000B5438" w:rsidP="000B5438">
      <w:pPr>
        <w:pStyle w:val="Style1"/>
        <w:numPr>
          <w:ilvl w:val="0"/>
          <w:numId w:val="0"/>
        </w:numPr>
        <w:tabs>
          <w:tab w:val="left" w:pos="709"/>
        </w:tabs>
        <w:jc w:val="both"/>
        <w:rPr>
          <w:szCs w:val="20"/>
        </w:rPr>
      </w:pPr>
      <w:r>
        <w:rPr>
          <w:szCs w:val="20"/>
        </w:rPr>
        <w:t>23.5.</w:t>
      </w:r>
      <w:r>
        <w:rPr>
          <w:szCs w:val="20"/>
        </w:rPr>
        <w:tab/>
      </w:r>
      <w:r w:rsidRPr="0027745B">
        <w:rPr>
          <w:szCs w:val="20"/>
        </w:rPr>
        <w:t xml:space="preserve">The regularization process for long-serving temporary employees, which was approved by Member States in 2010, was almost completed. </w:t>
      </w:r>
      <w:r>
        <w:rPr>
          <w:szCs w:val="20"/>
        </w:rPr>
        <w:t xml:space="preserve"> </w:t>
      </w:r>
      <w:r w:rsidRPr="0027745B">
        <w:rPr>
          <w:szCs w:val="20"/>
        </w:rPr>
        <w:t>Some 67 employees performing continuing functions and having five or more years of continuous and satisfactory service on January 1, 2012</w:t>
      </w:r>
      <w:r w:rsidR="00335241">
        <w:rPr>
          <w:szCs w:val="20"/>
        </w:rPr>
        <w:t>,</w:t>
      </w:r>
      <w:r w:rsidRPr="0027745B">
        <w:rPr>
          <w:szCs w:val="20"/>
        </w:rPr>
        <w:t xml:space="preserve"> have been regularized over the biennium following a competitive process.  This regularization process will be completed by end 2014.  </w:t>
      </w:r>
    </w:p>
    <w:p w:rsidR="000B5438" w:rsidRPr="0027745B" w:rsidRDefault="000B5438" w:rsidP="000B5438">
      <w:pPr>
        <w:tabs>
          <w:tab w:val="left" w:pos="709"/>
        </w:tabs>
        <w:jc w:val="both"/>
        <w:rPr>
          <w:szCs w:val="20"/>
        </w:rPr>
      </w:pPr>
    </w:p>
    <w:p w:rsidR="000B5438" w:rsidRPr="0027745B" w:rsidRDefault="000B5438" w:rsidP="000B5438">
      <w:pPr>
        <w:pStyle w:val="Style1"/>
        <w:numPr>
          <w:ilvl w:val="0"/>
          <w:numId w:val="0"/>
        </w:numPr>
        <w:tabs>
          <w:tab w:val="left" w:pos="709"/>
        </w:tabs>
        <w:jc w:val="both"/>
        <w:rPr>
          <w:szCs w:val="20"/>
        </w:rPr>
      </w:pPr>
      <w:r>
        <w:rPr>
          <w:szCs w:val="20"/>
        </w:rPr>
        <w:t>23.6.</w:t>
      </w:r>
      <w:r>
        <w:rPr>
          <w:szCs w:val="20"/>
        </w:rPr>
        <w:tab/>
      </w:r>
      <w:r w:rsidRPr="0027745B">
        <w:rPr>
          <w:szCs w:val="20"/>
        </w:rPr>
        <w:t>The 2012/13 biennium saw the introduction of workforce planning as a key business activity in WIPO systematically integrated into the biennial and annual work planning cycles.  Following the conclusion of the SRP initiative at the end of 2012, WIPO pursued efforts to ensure that the Organization’s workforce is continually assessed against future workforce needs, thus ensuring that the Organization aligns its human resources to meet the needs of its Programs in the most efficient manner.  The outputs from the 2012 organizational</w:t>
      </w:r>
      <w:r w:rsidR="00372F28">
        <w:rPr>
          <w:szCs w:val="20"/>
        </w:rPr>
        <w:t xml:space="preserve"> design</w:t>
      </w:r>
      <w:r w:rsidRPr="0027745B">
        <w:rPr>
          <w:szCs w:val="20"/>
        </w:rPr>
        <w:t xml:space="preserve"> reviews were used to inform the 2014/15 biennial planning, ensuring appropriate human resources for each Program for </w:t>
      </w:r>
      <w:r w:rsidR="00D04278">
        <w:rPr>
          <w:szCs w:val="20"/>
        </w:rPr>
        <w:t xml:space="preserve">an </w:t>
      </w:r>
      <w:r w:rsidRPr="0027745B">
        <w:rPr>
          <w:szCs w:val="20"/>
        </w:rPr>
        <w:t xml:space="preserve">effective delivery of results.  Enhancements were also made in the EPM system to allow for greater accuracy in the allocation of personnel to program activities and improved reporting on the use of the Organization’s human resources.  </w:t>
      </w:r>
    </w:p>
    <w:p w:rsidR="000B5438" w:rsidRPr="0027745B" w:rsidRDefault="000B5438" w:rsidP="000B5438">
      <w:pPr>
        <w:tabs>
          <w:tab w:val="left" w:pos="709"/>
        </w:tabs>
        <w:jc w:val="both"/>
        <w:rPr>
          <w:szCs w:val="20"/>
        </w:rPr>
      </w:pPr>
    </w:p>
    <w:p w:rsidR="000B5438" w:rsidRPr="0027745B" w:rsidRDefault="000B5438" w:rsidP="000B5438">
      <w:pPr>
        <w:pStyle w:val="Style1"/>
        <w:numPr>
          <w:ilvl w:val="0"/>
          <w:numId w:val="0"/>
        </w:numPr>
        <w:tabs>
          <w:tab w:val="left" w:pos="709"/>
        </w:tabs>
        <w:jc w:val="both"/>
        <w:rPr>
          <w:szCs w:val="20"/>
        </w:rPr>
      </w:pPr>
      <w:r>
        <w:rPr>
          <w:szCs w:val="20"/>
        </w:rPr>
        <w:t>23.7.</w:t>
      </w:r>
      <w:r>
        <w:rPr>
          <w:szCs w:val="20"/>
        </w:rPr>
        <w:tab/>
      </w:r>
      <w:r w:rsidRPr="0027745B">
        <w:rPr>
          <w:szCs w:val="20"/>
        </w:rPr>
        <w:t xml:space="preserve">The implementation of the revised Staff Regulations and Rules (SRR) on recruitment, the new Appointment Board composition introduced in 2012 and streamlined recruitment processes significantly reduced the length of the recruitment process to an average of 16.03 weeks compared to 37.7 weeks at the end of 2011. </w:t>
      </w:r>
    </w:p>
    <w:p w:rsidR="000B5438" w:rsidRPr="0027745B" w:rsidRDefault="000B5438" w:rsidP="000B5438">
      <w:pPr>
        <w:tabs>
          <w:tab w:val="left" w:pos="709"/>
        </w:tabs>
        <w:jc w:val="both"/>
        <w:rPr>
          <w:bCs/>
          <w:color w:val="000000"/>
          <w:szCs w:val="20"/>
        </w:rPr>
      </w:pPr>
    </w:p>
    <w:p w:rsidR="000B5438" w:rsidRPr="0027745B" w:rsidRDefault="000B5438" w:rsidP="000B5438">
      <w:pPr>
        <w:pStyle w:val="Style1"/>
        <w:numPr>
          <w:ilvl w:val="0"/>
          <w:numId w:val="0"/>
        </w:numPr>
        <w:tabs>
          <w:tab w:val="left" w:pos="709"/>
        </w:tabs>
        <w:jc w:val="both"/>
        <w:rPr>
          <w:szCs w:val="20"/>
        </w:rPr>
      </w:pPr>
      <w:r>
        <w:rPr>
          <w:szCs w:val="20"/>
        </w:rPr>
        <w:t>23.8.</w:t>
      </w:r>
      <w:r>
        <w:rPr>
          <w:szCs w:val="20"/>
        </w:rPr>
        <w:tab/>
      </w:r>
      <w:r w:rsidRPr="0027745B">
        <w:rPr>
          <w:szCs w:val="20"/>
        </w:rPr>
        <w:t xml:space="preserve">The </w:t>
      </w:r>
      <w:r w:rsidRPr="0027745B">
        <w:rPr>
          <w:bCs/>
          <w:szCs w:val="20"/>
        </w:rPr>
        <w:t>Performance Management and Staff Development System (</w:t>
      </w:r>
      <w:r w:rsidRPr="0027745B">
        <w:rPr>
          <w:szCs w:val="20"/>
        </w:rPr>
        <w:t xml:space="preserve">PMSDS), originally introduced in 2009 and refined in 2011 and 2012, matured in scope, acceptance and application over the past two years. </w:t>
      </w:r>
      <w:r w:rsidR="00335241">
        <w:rPr>
          <w:szCs w:val="20"/>
        </w:rPr>
        <w:t xml:space="preserve"> </w:t>
      </w:r>
      <w:r w:rsidRPr="0027745B">
        <w:rPr>
          <w:szCs w:val="20"/>
        </w:rPr>
        <w:t xml:space="preserve">The positive trend was confirmed in the most recent core value survey, in which an even higher number of staff agreed that their individual objectives contributed to the expected results of their Programs and that they received regular feedback from their supervisor on their performance.  In 2013, the Organization intensified its effort to proactively resolve underperformance. </w:t>
      </w:r>
      <w:r w:rsidR="00335241">
        <w:rPr>
          <w:szCs w:val="20"/>
        </w:rPr>
        <w:t xml:space="preserve"> </w:t>
      </w:r>
      <w:r w:rsidRPr="0027745B">
        <w:rPr>
          <w:szCs w:val="20"/>
        </w:rPr>
        <w:t xml:space="preserve">The handbook on how to address underperformance was revised and new templates for the establishment of Performance Improvement Plans were provided to staff and managers.  </w:t>
      </w:r>
    </w:p>
    <w:p w:rsidR="000B5438" w:rsidRPr="0027745B" w:rsidRDefault="000B5438" w:rsidP="000B5438">
      <w:pPr>
        <w:tabs>
          <w:tab w:val="left" w:pos="709"/>
        </w:tabs>
        <w:jc w:val="both"/>
        <w:rPr>
          <w:szCs w:val="20"/>
        </w:rPr>
      </w:pPr>
    </w:p>
    <w:p w:rsidR="000B5438" w:rsidRPr="0027745B" w:rsidRDefault="000B5438" w:rsidP="000B5438">
      <w:pPr>
        <w:pStyle w:val="Style1"/>
        <w:keepNext/>
        <w:keepLines/>
        <w:numPr>
          <w:ilvl w:val="0"/>
          <w:numId w:val="0"/>
        </w:numPr>
        <w:tabs>
          <w:tab w:val="left" w:pos="709"/>
        </w:tabs>
        <w:jc w:val="both"/>
        <w:rPr>
          <w:bCs/>
          <w:szCs w:val="20"/>
        </w:rPr>
      </w:pPr>
      <w:r>
        <w:rPr>
          <w:szCs w:val="20"/>
        </w:rPr>
        <w:lastRenderedPageBreak/>
        <w:t>23.9.</w:t>
      </w:r>
      <w:r>
        <w:rPr>
          <w:szCs w:val="20"/>
        </w:rPr>
        <w:tab/>
      </w:r>
      <w:r w:rsidRPr="0027745B">
        <w:rPr>
          <w:szCs w:val="20"/>
        </w:rPr>
        <w:t xml:space="preserve">With respect to staff development, new Learning and Development Policy and Training Guidelines were launched in 2013 </w:t>
      </w:r>
      <w:r w:rsidRPr="0027745B">
        <w:rPr>
          <w:rFonts w:eastAsiaTheme="minorHAnsi"/>
          <w:szCs w:val="20"/>
        </w:rPr>
        <w:t xml:space="preserve">in accordance with the Human Resources Strategy to facilitate learning and staff development and the closing of skills gaps.  Besides the identification of individual training needs through PMSDS, critical collective training needs </w:t>
      </w:r>
      <w:r w:rsidR="00D04278">
        <w:rPr>
          <w:rFonts w:eastAsiaTheme="minorHAnsi"/>
          <w:szCs w:val="20"/>
        </w:rPr>
        <w:t>were</w:t>
      </w:r>
      <w:r w:rsidRPr="0027745B">
        <w:rPr>
          <w:rFonts w:eastAsiaTheme="minorHAnsi"/>
          <w:szCs w:val="20"/>
        </w:rPr>
        <w:t xml:space="preserve"> identified </w:t>
      </w:r>
      <w:r w:rsidR="00D04278">
        <w:rPr>
          <w:rFonts w:eastAsiaTheme="minorHAnsi"/>
          <w:szCs w:val="20"/>
        </w:rPr>
        <w:t>during</w:t>
      </w:r>
      <w:r w:rsidR="00D04278" w:rsidRPr="0027745B">
        <w:rPr>
          <w:rFonts w:eastAsiaTheme="minorHAnsi"/>
          <w:szCs w:val="20"/>
        </w:rPr>
        <w:t xml:space="preserve"> </w:t>
      </w:r>
      <w:r w:rsidRPr="0027745B">
        <w:rPr>
          <w:rFonts w:eastAsiaTheme="minorHAnsi"/>
          <w:szCs w:val="20"/>
        </w:rPr>
        <w:t xml:space="preserve">the Program and Budget process. </w:t>
      </w:r>
      <w:r>
        <w:rPr>
          <w:rFonts w:eastAsiaTheme="minorHAnsi"/>
          <w:szCs w:val="20"/>
        </w:rPr>
        <w:t xml:space="preserve"> </w:t>
      </w:r>
      <w:r w:rsidRPr="0027745B">
        <w:rPr>
          <w:rFonts w:eastAsiaTheme="minorHAnsi"/>
          <w:szCs w:val="20"/>
        </w:rPr>
        <w:t xml:space="preserve">These have been included in comprehensive training plans. </w:t>
      </w:r>
      <w:r w:rsidR="00874E11">
        <w:rPr>
          <w:rFonts w:eastAsiaTheme="minorHAnsi"/>
          <w:szCs w:val="20"/>
        </w:rPr>
        <w:t xml:space="preserve"> </w:t>
      </w:r>
      <w:r w:rsidRPr="0027745B">
        <w:rPr>
          <w:rFonts w:eastAsiaTheme="minorHAnsi"/>
          <w:szCs w:val="20"/>
        </w:rPr>
        <w:t>During 2012/13, t</w:t>
      </w:r>
      <w:r w:rsidRPr="0027745B">
        <w:rPr>
          <w:szCs w:val="20"/>
        </w:rPr>
        <w:t>he Organization continued to provide corporate training (including customer service orientation, ethics and PMSDS) under the SRP initiatives, impacting positively on SRP outcomes.  Cross-sectorial group training at WIPO (including on conflict resolution and people management), increasing collaboration with UNOG on training matters, the continuation of the common Language Training contract (ITU, ILO, WHO, WIPO) and a new internal program on WIPO specific topics ensured cost-effective and well-tailored training opportunities for staff.  There</w:t>
      </w:r>
      <w:r w:rsidRPr="0027745B">
        <w:rPr>
          <w:bCs/>
          <w:szCs w:val="20"/>
        </w:rPr>
        <w:t xml:space="preserve"> has been a notable increase in the percentage of staff who expressed satisfaction with the learning opportunities provided </w:t>
      </w:r>
      <w:r w:rsidR="00D04278">
        <w:rPr>
          <w:bCs/>
          <w:szCs w:val="20"/>
        </w:rPr>
        <w:t>by</w:t>
      </w:r>
      <w:r w:rsidR="00D04278" w:rsidRPr="0027745B">
        <w:rPr>
          <w:bCs/>
          <w:szCs w:val="20"/>
        </w:rPr>
        <w:t xml:space="preserve"> </w:t>
      </w:r>
      <w:r w:rsidRPr="0027745B">
        <w:rPr>
          <w:bCs/>
          <w:szCs w:val="20"/>
        </w:rPr>
        <w:t xml:space="preserve">WIPO in the most recent core values survey. </w:t>
      </w:r>
      <w:r w:rsidR="00874E11">
        <w:rPr>
          <w:bCs/>
          <w:szCs w:val="20"/>
        </w:rPr>
        <w:t xml:space="preserve"> </w:t>
      </w:r>
      <w:r w:rsidR="00874E11" w:rsidRPr="0027745B">
        <w:rPr>
          <w:bCs/>
          <w:szCs w:val="20"/>
        </w:rPr>
        <w:t>A</w:t>
      </w:r>
      <w:r w:rsidR="00874E11">
        <w:rPr>
          <w:bCs/>
          <w:szCs w:val="20"/>
        </w:rPr>
        <w:t> </w:t>
      </w:r>
      <w:r w:rsidRPr="0027745B">
        <w:rPr>
          <w:bCs/>
          <w:szCs w:val="20"/>
        </w:rPr>
        <w:t>pilot program to reward excellent performance, efficiency and innovation was launched in 2013.</w:t>
      </w:r>
    </w:p>
    <w:p w:rsidR="000B5438" w:rsidRPr="0027745B" w:rsidRDefault="000B5438" w:rsidP="000B5438">
      <w:pPr>
        <w:tabs>
          <w:tab w:val="left" w:pos="709"/>
        </w:tabs>
        <w:jc w:val="both"/>
        <w:rPr>
          <w:szCs w:val="20"/>
        </w:rPr>
      </w:pPr>
    </w:p>
    <w:p w:rsidR="000B5438" w:rsidRPr="0027745B" w:rsidRDefault="000B5438" w:rsidP="000B5438">
      <w:pPr>
        <w:pStyle w:val="Style1"/>
        <w:numPr>
          <w:ilvl w:val="0"/>
          <w:numId w:val="0"/>
        </w:numPr>
        <w:tabs>
          <w:tab w:val="left" w:pos="709"/>
        </w:tabs>
        <w:jc w:val="both"/>
        <w:rPr>
          <w:szCs w:val="20"/>
        </w:rPr>
      </w:pPr>
      <w:r>
        <w:rPr>
          <w:szCs w:val="20"/>
        </w:rPr>
        <w:t>23.10.</w:t>
      </w:r>
      <w:r>
        <w:rPr>
          <w:szCs w:val="20"/>
        </w:rPr>
        <w:tab/>
      </w:r>
      <w:r w:rsidRPr="0027745B">
        <w:rPr>
          <w:szCs w:val="20"/>
        </w:rPr>
        <w:t xml:space="preserve">Improvements were achieved in 2013 as regards gender and geographical diversity. </w:t>
      </w:r>
      <w:r w:rsidR="00874E11">
        <w:rPr>
          <w:szCs w:val="20"/>
        </w:rPr>
        <w:t xml:space="preserve"> </w:t>
      </w:r>
      <w:r w:rsidRPr="0027745B">
        <w:rPr>
          <w:szCs w:val="20"/>
        </w:rPr>
        <w:t xml:space="preserve">A Gender and Diversity Specialist was recruited in July 2013.  A pilot diversity campaign was conducted </w:t>
      </w:r>
      <w:r w:rsidR="00D04278">
        <w:rPr>
          <w:szCs w:val="20"/>
        </w:rPr>
        <w:t>aiming</w:t>
      </w:r>
      <w:r w:rsidRPr="0027745B">
        <w:rPr>
          <w:szCs w:val="20"/>
        </w:rPr>
        <w:t xml:space="preserve"> </w:t>
      </w:r>
      <w:r w:rsidR="00D04278">
        <w:rPr>
          <w:szCs w:val="20"/>
        </w:rPr>
        <w:t>at</w:t>
      </w:r>
      <w:r w:rsidR="00D04278" w:rsidRPr="0027745B">
        <w:rPr>
          <w:szCs w:val="20"/>
        </w:rPr>
        <w:t xml:space="preserve"> increas</w:t>
      </w:r>
      <w:r w:rsidR="00D04278">
        <w:rPr>
          <w:szCs w:val="20"/>
        </w:rPr>
        <w:t>ing</w:t>
      </w:r>
      <w:r w:rsidR="00D04278" w:rsidRPr="0027745B">
        <w:rPr>
          <w:szCs w:val="20"/>
        </w:rPr>
        <w:t xml:space="preserve"> </w:t>
      </w:r>
      <w:r w:rsidRPr="0027745B">
        <w:rPr>
          <w:szCs w:val="20"/>
        </w:rPr>
        <w:t xml:space="preserve">the number of job applicants from </w:t>
      </w:r>
      <w:proofErr w:type="gramStart"/>
      <w:r w:rsidRPr="0027745B">
        <w:rPr>
          <w:szCs w:val="20"/>
        </w:rPr>
        <w:t>un-</w:t>
      </w:r>
      <w:proofErr w:type="gramEnd"/>
      <w:r w:rsidR="00261FAA">
        <w:rPr>
          <w:szCs w:val="20"/>
        </w:rPr>
        <w:t xml:space="preserve"> </w:t>
      </w:r>
      <w:r w:rsidRPr="0027745B">
        <w:rPr>
          <w:szCs w:val="20"/>
        </w:rPr>
        <w:t xml:space="preserve">and under-represented regions.  A WIPO Policy on Gender Equality and </w:t>
      </w:r>
      <w:r w:rsidR="00D04278">
        <w:rPr>
          <w:szCs w:val="20"/>
        </w:rPr>
        <w:t xml:space="preserve">a related </w:t>
      </w:r>
      <w:r w:rsidRPr="0027745B">
        <w:rPr>
          <w:szCs w:val="20"/>
        </w:rPr>
        <w:t xml:space="preserve">Action Plan were drafted and circulated widely for consultation. </w:t>
      </w:r>
      <w:r>
        <w:rPr>
          <w:szCs w:val="20"/>
        </w:rPr>
        <w:t xml:space="preserve"> </w:t>
      </w:r>
      <w:r w:rsidRPr="0027745B">
        <w:rPr>
          <w:szCs w:val="20"/>
        </w:rPr>
        <w:t xml:space="preserve">An organization-wide Gender Focal Point system was established to facilitate progress on mainstreaming gender in </w:t>
      </w:r>
      <w:r w:rsidR="00D04278">
        <w:rPr>
          <w:szCs w:val="20"/>
        </w:rPr>
        <w:t>WIPO’s P</w:t>
      </w:r>
      <w:r w:rsidRPr="0027745B">
        <w:rPr>
          <w:szCs w:val="20"/>
        </w:rPr>
        <w:t>rograms.</w:t>
      </w:r>
    </w:p>
    <w:p w:rsidR="000B5438" w:rsidRPr="0027745B" w:rsidRDefault="000B5438" w:rsidP="000B5438">
      <w:pPr>
        <w:tabs>
          <w:tab w:val="left" w:pos="709"/>
        </w:tabs>
        <w:jc w:val="both"/>
        <w:rPr>
          <w:szCs w:val="20"/>
        </w:rPr>
      </w:pPr>
    </w:p>
    <w:p w:rsidR="000B5438" w:rsidRPr="0027745B" w:rsidRDefault="000B5438" w:rsidP="000B5438">
      <w:pPr>
        <w:pStyle w:val="Style1"/>
        <w:numPr>
          <w:ilvl w:val="0"/>
          <w:numId w:val="0"/>
        </w:numPr>
        <w:tabs>
          <w:tab w:val="left" w:pos="709"/>
        </w:tabs>
        <w:jc w:val="both"/>
        <w:rPr>
          <w:szCs w:val="20"/>
        </w:rPr>
      </w:pPr>
      <w:r>
        <w:rPr>
          <w:szCs w:val="20"/>
        </w:rPr>
        <w:t>23.11.</w:t>
      </w:r>
      <w:r>
        <w:rPr>
          <w:szCs w:val="20"/>
        </w:rPr>
        <w:tab/>
      </w:r>
      <w:r w:rsidRPr="0027745B">
        <w:rPr>
          <w:szCs w:val="20"/>
        </w:rPr>
        <w:t xml:space="preserve">Further policy development to support the contractual reform in 2012 and </w:t>
      </w:r>
      <w:r w:rsidR="00D04278">
        <w:rPr>
          <w:szCs w:val="20"/>
        </w:rPr>
        <w:t xml:space="preserve">to </w:t>
      </w:r>
      <w:r w:rsidRPr="0027745B">
        <w:rPr>
          <w:szCs w:val="20"/>
        </w:rPr>
        <w:t xml:space="preserve">establish best practices consistent with international standards took place. </w:t>
      </w:r>
      <w:r w:rsidR="00874E11">
        <w:rPr>
          <w:szCs w:val="20"/>
        </w:rPr>
        <w:t xml:space="preserve"> </w:t>
      </w:r>
      <w:r w:rsidRPr="0027745B">
        <w:rPr>
          <w:szCs w:val="20"/>
        </w:rPr>
        <w:t xml:space="preserve">Among others, a new framework and guidelines for non-staff programs, such as the internship and fellowship programs were established.  Policies and procedures were also established to implement a new approach to </w:t>
      </w:r>
      <w:r w:rsidR="00D04278">
        <w:rPr>
          <w:szCs w:val="20"/>
        </w:rPr>
        <w:t xml:space="preserve">the planning of </w:t>
      </w:r>
      <w:r w:rsidRPr="0027745B">
        <w:rPr>
          <w:szCs w:val="20"/>
        </w:rPr>
        <w:t>classification</w:t>
      </w:r>
      <w:r w:rsidR="00D04278">
        <w:rPr>
          <w:szCs w:val="20"/>
        </w:rPr>
        <w:t>s</w:t>
      </w:r>
      <w:r w:rsidRPr="0027745B">
        <w:rPr>
          <w:szCs w:val="20"/>
        </w:rPr>
        <w:t xml:space="preserve"> and reclassification</w:t>
      </w:r>
      <w:r w:rsidR="00D04278">
        <w:rPr>
          <w:szCs w:val="20"/>
        </w:rPr>
        <w:t>s</w:t>
      </w:r>
      <w:r w:rsidRPr="0027745B">
        <w:rPr>
          <w:szCs w:val="20"/>
        </w:rPr>
        <w:t xml:space="preserve"> of posts, the retirement age was aligned with the ICSC recommendation and the revised Standards of Conduct for the International Service was adopted.  </w:t>
      </w:r>
    </w:p>
    <w:p w:rsidR="000B5438" w:rsidRPr="0027745B" w:rsidRDefault="000B5438" w:rsidP="000B5438">
      <w:pPr>
        <w:tabs>
          <w:tab w:val="left" w:pos="709"/>
        </w:tabs>
        <w:jc w:val="both"/>
        <w:rPr>
          <w:rFonts w:cs="Arial"/>
          <w:szCs w:val="20"/>
        </w:rPr>
      </w:pPr>
    </w:p>
    <w:p w:rsidR="000B5438" w:rsidRPr="0027745B" w:rsidRDefault="000B5438" w:rsidP="000B5438">
      <w:pPr>
        <w:pStyle w:val="Style1"/>
        <w:numPr>
          <w:ilvl w:val="0"/>
          <w:numId w:val="0"/>
        </w:numPr>
        <w:tabs>
          <w:tab w:val="left" w:pos="709"/>
        </w:tabs>
        <w:jc w:val="both"/>
        <w:rPr>
          <w:szCs w:val="20"/>
        </w:rPr>
      </w:pPr>
      <w:r>
        <w:rPr>
          <w:szCs w:val="20"/>
        </w:rPr>
        <w:t>23.12.</w:t>
      </w:r>
      <w:r>
        <w:rPr>
          <w:szCs w:val="20"/>
        </w:rPr>
        <w:tab/>
      </w:r>
      <w:r w:rsidRPr="0027745B">
        <w:rPr>
          <w:szCs w:val="20"/>
        </w:rPr>
        <w:t xml:space="preserve">A review of the internal justice system, which included a comprehensive study by an external expert and intensive consultations with various stakeholders, resulted in amendments to the </w:t>
      </w:r>
      <w:r w:rsidR="00372F28">
        <w:rPr>
          <w:szCs w:val="20"/>
        </w:rPr>
        <w:t>SRR</w:t>
      </w:r>
      <w:r w:rsidRPr="0027745B">
        <w:rPr>
          <w:szCs w:val="20"/>
        </w:rPr>
        <w:t xml:space="preserve"> which entered into force on January 1, 2014.  The improved internal justice system provides for streamlined formal mechanisms and new and transparent procedures for the handling of grievances.  For the first time, informal conflict resolution is expressly promoted in the SRR while the Office of the Ombudsperson has been strengthened.</w:t>
      </w:r>
    </w:p>
    <w:p w:rsidR="000B5438" w:rsidRPr="002C4083" w:rsidRDefault="000B5438" w:rsidP="000B5438">
      <w:pPr>
        <w:tabs>
          <w:tab w:val="left" w:pos="709"/>
        </w:tabs>
        <w:rPr>
          <w:rFonts w:cs="Arial"/>
          <w:bCs/>
          <w:szCs w:val="22"/>
        </w:rPr>
      </w:pPr>
    </w:p>
    <w:p w:rsidR="000B5438" w:rsidRPr="002C4083" w:rsidRDefault="000B5438" w:rsidP="000B5438">
      <w:pPr>
        <w:tabs>
          <w:tab w:val="left" w:pos="709"/>
        </w:tabs>
        <w:rPr>
          <w:rFonts w:cs="Arial"/>
          <w:bCs/>
          <w:szCs w:val="22"/>
        </w:rPr>
      </w:pPr>
      <w:r w:rsidRPr="002C4083">
        <w:rPr>
          <w:rFonts w:cs="Arial"/>
          <w:bCs/>
          <w:szCs w:val="22"/>
        </w:rPr>
        <w:t xml:space="preserve">IMPLEMENTATION OF THE DEVELOPMENT AGENDA </w:t>
      </w:r>
    </w:p>
    <w:p w:rsidR="000B5438" w:rsidRPr="005E6AFC" w:rsidRDefault="000B5438" w:rsidP="000B5438">
      <w:pPr>
        <w:tabs>
          <w:tab w:val="left" w:pos="709"/>
        </w:tabs>
      </w:pPr>
    </w:p>
    <w:p w:rsidR="000B5438" w:rsidRPr="0027745B" w:rsidRDefault="000B5438" w:rsidP="000B5438">
      <w:pPr>
        <w:tabs>
          <w:tab w:val="left" w:pos="709"/>
        </w:tabs>
        <w:jc w:val="both"/>
        <w:rPr>
          <w:rFonts w:cs="Arial"/>
          <w:bCs/>
          <w:szCs w:val="20"/>
        </w:rPr>
      </w:pPr>
      <w:r w:rsidRPr="0027745B">
        <w:rPr>
          <w:szCs w:val="20"/>
        </w:rPr>
        <w:t>23.13.</w:t>
      </w:r>
      <w:r w:rsidRPr="0027745B">
        <w:rPr>
          <w:szCs w:val="20"/>
        </w:rPr>
        <w:tab/>
      </w:r>
      <w:r w:rsidRPr="0027745B">
        <w:rPr>
          <w:rFonts w:cs="Arial"/>
          <w:bCs/>
          <w:szCs w:val="20"/>
        </w:rPr>
        <w:t xml:space="preserve">The Standards of Conduct for the International Civil Service continues to be incorporated in all WIPO contracts. </w:t>
      </w:r>
      <w:r w:rsidR="00874E11">
        <w:rPr>
          <w:rFonts w:cs="Arial"/>
          <w:bCs/>
          <w:szCs w:val="20"/>
        </w:rPr>
        <w:t xml:space="preserve"> </w:t>
      </w:r>
      <w:r w:rsidRPr="0027745B">
        <w:rPr>
          <w:rFonts w:cs="Arial"/>
          <w:bCs/>
          <w:szCs w:val="20"/>
        </w:rPr>
        <w:t xml:space="preserve">In addition, </w:t>
      </w:r>
      <w:r w:rsidR="00D04278">
        <w:rPr>
          <w:rFonts w:cs="Arial"/>
          <w:bCs/>
          <w:szCs w:val="20"/>
        </w:rPr>
        <w:t>with</w:t>
      </w:r>
      <w:r w:rsidRPr="0027745B">
        <w:rPr>
          <w:rFonts w:cs="Arial"/>
          <w:bCs/>
          <w:szCs w:val="20"/>
        </w:rPr>
        <w:t>in the framework of the WIPO ethics and integrity system, a Whistleblower Protection Policy was developed, and a mandatory organization-wide ethics and integrity training program for all personnel was completed in 2013.  The Roster of Consultants (ROC) presented at CDIP/3 was also integrated within the project Intellectual Property Technical Assistance Database (IP TAD) and continues to be regularly updated.</w:t>
      </w:r>
    </w:p>
    <w:p w:rsidR="000B5438" w:rsidRPr="0027745B" w:rsidRDefault="000B5438" w:rsidP="000B5438">
      <w:pPr>
        <w:jc w:val="both"/>
        <w:rPr>
          <w:rFonts w:cs="Arial"/>
          <w:bCs/>
          <w:sz w:val="18"/>
          <w:szCs w:val="18"/>
        </w:rPr>
      </w:pPr>
    </w:p>
    <w:p w:rsidR="000B5438" w:rsidRPr="0027745B" w:rsidRDefault="000B5438" w:rsidP="000B5438">
      <w:pPr>
        <w:jc w:val="both"/>
        <w:rPr>
          <w:rFonts w:cs="Arial"/>
          <w:bCs/>
          <w:sz w:val="18"/>
          <w:szCs w:val="18"/>
        </w:rPr>
      </w:pPr>
    </w:p>
    <w:p w:rsidR="000B5438" w:rsidRDefault="000B5438" w:rsidP="000B5438">
      <w:pPr>
        <w:rPr>
          <w:rFonts w:cs="Arial"/>
          <w:szCs w:val="22"/>
        </w:rPr>
      </w:pPr>
      <w:r>
        <w:rPr>
          <w:rFonts w:cs="Arial"/>
          <w:szCs w:val="22"/>
        </w:rPr>
        <w:br w:type="page"/>
      </w:r>
    </w:p>
    <w:p w:rsidR="000B5438" w:rsidRDefault="000B5438" w:rsidP="000B5438">
      <w:pPr>
        <w:jc w:val="both"/>
        <w:rPr>
          <w:rFonts w:cs="Arial"/>
          <w:szCs w:val="22"/>
        </w:rPr>
      </w:pPr>
      <w:r w:rsidRPr="005E6AFC">
        <w:rPr>
          <w:rFonts w:cs="Arial"/>
          <w:szCs w:val="22"/>
        </w:rPr>
        <w:lastRenderedPageBreak/>
        <w:t>PERFORMANCE DATA</w:t>
      </w:r>
    </w:p>
    <w:p w:rsidR="000B5438" w:rsidRPr="00A8525E" w:rsidRDefault="000B5438" w:rsidP="000B5438">
      <w:pPr>
        <w:jc w:val="both"/>
        <w:rPr>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1933"/>
        <w:gridCol w:w="1463"/>
        <w:gridCol w:w="3078"/>
        <w:gridCol w:w="1273"/>
      </w:tblGrid>
      <w:tr w:rsidR="000B5438" w:rsidTr="007C0423">
        <w:tc>
          <w:tcPr>
            <w:tcW w:w="5000" w:type="pct"/>
            <w:gridSpan w:val="5"/>
            <w:tcBorders>
              <w:top w:val="single" w:sz="4" w:space="0" w:color="auto"/>
              <w:bottom w:val="single" w:sz="4" w:space="0" w:color="auto"/>
            </w:tcBorders>
            <w:shd w:val="clear" w:color="auto" w:fill="CCFFFF"/>
            <w:vAlign w:val="center"/>
          </w:tcPr>
          <w:p w:rsidR="000B5438" w:rsidRDefault="000B5438" w:rsidP="007C0423">
            <w:pPr>
              <w:tabs>
                <w:tab w:val="left" w:pos="1452"/>
              </w:tabs>
              <w:spacing w:before="120" w:after="120"/>
              <w:ind w:left="1452" w:hanging="1452"/>
              <w:jc w:val="both"/>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A2F45">
              <w:rPr>
                <w:rFonts w:cs="Arial"/>
                <w:sz w:val="16"/>
                <w:szCs w:val="16"/>
              </w:rPr>
              <w:t>Effective, efficient, quality and customer-oriented support services both to internal clients and to external stakeholders (human resources, IT, conference, language, procurement, travel, printing and publication, premises management)</w:t>
            </w:r>
          </w:p>
        </w:tc>
      </w:tr>
      <w:tr w:rsidR="000B5438" w:rsidRPr="00D04E62" w:rsidTr="0020416E">
        <w:tc>
          <w:tcPr>
            <w:tcW w:w="860" w:type="pct"/>
            <w:tcBorders>
              <w:top w:val="single" w:sz="4" w:space="0" w:color="auto"/>
            </w:tcBorders>
            <w:shd w:val="clear" w:color="auto" w:fill="auto"/>
            <w:vAlign w:val="center"/>
          </w:tcPr>
          <w:p w:rsidR="000B5438" w:rsidRPr="00D04E62" w:rsidRDefault="000B5438" w:rsidP="007C0423">
            <w:pPr>
              <w:spacing w:after="120"/>
              <w:rPr>
                <w:rFonts w:cs="Arial"/>
                <w:sz w:val="16"/>
                <w:szCs w:val="16"/>
              </w:rPr>
            </w:pPr>
            <w:r w:rsidRPr="00D04E62">
              <w:rPr>
                <w:rFonts w:cs="Arial"/>
                <w:b/>
                <w:bCs/>
                <w:sz w:val="16"/>
                <w:szCs w:val="16"/>
              </w:rPr>
              <w:t>Performance Indicators</w:t>
            </w:r>
          </w:p>
        </w:tc>
        <w:tc>
          <w:tcPr>
            <w:tcW w:w="1033" w:type="pct"/>
            <w:tcBorders>
              <w:top w:val="single" w:sz="4" w:space="0" w:color="auto"/>
            </w:tcBorders>
            <w:shd w:val="clear" w:color="auto" w:fill="auto"/>
            <w:vAlign w:val="center"/>
          </w:tcPr>
          <w:p w:rsidR="000B5438" w:rsidRPr="00D04E62" w:rsidRDefault="000B5438" w:rsidP="007C0423">
            <w:pPr>
              <w:spacing w:after="120"/>
              <w:rPr>
                <w:rFonts w:cs="Arial"/>
                <w:b/>
                <w:bCs/>
                <w:sz w:val="16"/>
                <w:szCs w:val="16"/>
              </w:rPr>
            </w:pPr>
            <w:r w:rsidRPr="00D04E62">
              <w:rPr>
                <w:rFonts w:cs="Arial"/>
                <w:b/>
                <w:bCs/>
                <w:sz w:val="16"/>
                <w:szCs w:val="16"/>
              </w:rPr>
              <w:t>Baselines</w:t>
            </w:r>
          </w:p>
        </w:tc>
        <w:tc>
          <w:tcPr>
            <w:tcW w:w="782" w:type="pct"/>
            <w:tcBorders>
              <w:top w:val="single" w:sz="4" w:space="0" w:color="auto"/>
            </w:tcBorders>
            <w:shd w:val="clear" w:color="auto" w:fill="auto"/>
            <w:tcMar>
              <w:top w:w="110" w:type="dxa"/>
            </w:tcMar>
            <w:vAlign w:val="center"/>
          </w:tcPr>
          <w:p w:rsidR="000B5438" w:rsidRPr="0027745B" w:rsidRDefault="000B5438" w:rsidP="007C0423">
            <w:pPr>
              <w:spacing w:after="120"/>
              <w:rPr>
                <w:rFonts w:cs="Arial"/>
                <w:b/>
                <w:sz w:val="16"/>
                <w:szCs w:val="16"/>
              </w:rPr>
            </w:pPr>
            <w:r w:rsidRPr="00D04E62">
              <w:rPr>
                <w:rFonts w:cs="Arial"/>
                <w:b/>
                <w:sz w:val="16"/>
                <w:szCs w:val="16"/>
              </w:rPr>
              <w:t>Target</w:t>
            </w:r>
            <w:r w:rsidR="002F7D53">
              <w:rPr>
                <w:rFonts w:cs="Arial"/>
                <w:b/>
                <w:sz w:val="16"/>
                <w:szCs w:val="16"/>
              </w:rPr>
              <w:t>s</w:t>
            </w:r>
          </w:p>
        </w:tc>
        <w:tc>
          <w:tcPr>
            <w:tcW w:w="1645" w:type="pct"/>
            <w:tcBorders>
              <w:top w:val="single" w:sz="4" w:space="0" w:color="auto"/>
            </w:tcBorders>
            <w:shd w:val="clear" w:color="auto" w:fill="FFFFFF"/>
            <w:tcMar>
              <w:top w:w="110" w:type="dxa"/>
            </w:tcMar>
            <w:vAlign w:val="center"/>
          </w:tcPr>
          <w:p w:rsidR="000B5438" w:rsidRPr="00D04E62" w:rsidRDefault="000B5438" w:rsidP="007C0423">
            <w:pPr>
              <w:spacing w:after="120"/>
              <w:rPr>
                <w:rFonts w:cs="Arial"/>
                <w:sz w:val="16"/>
                <w:szCs w:val="16"/>
              </w:rPr>
            </w:pPr>
            <w:r w:rsidRPr="00D04E62">
              <w:rPr>
                <w:rFonts w:cs="Arial"/>
                <w:b/>
                <w:bCs/>
                <w:sz w:val="16"/>
                <w:szCs w:val="16"/>
              </w:rPr>
              <w:t>Performance Data</w:t>
            </w:r>
          </w:p>
        </w:tc>
        <w:tc>
          <w:tcPr>
            <w:tcW w:w="680" w:type="pct"/>
            <w:tcBorders>
              <w:top w:val="single" w:sz="4" w:space="0" w:color="auto"/>
            </w:tcBorders>
            <w:shd w:val="clear" w:color="auto" w:fill="auto"/>
            <w:tcMar>
              <w:top w:w="110" w:type="dxa"/>
            </w:tcMar>
            <w:vAlign w:val="center"/>
          </w:tcPr>
          <w:p w:rsidR="000B5438" w:rsidRPr="0027745B" w:rsidRDefault="000B5438" w:rsidP="007C0423">
            <w:pPr>
              <w:spacing w:after="120"/>
              <w:jc w:val="center"/>
              <w:rPr>
                <w:rFonts w:cs="Arial"/>
                <w:b/>
                <w:bCs/>
                <w:sz w:val="16"/>
                <w:szCs w:val="16"/>
              </w:rPr>
            </w:pPr>
            <w:r w:rsidRPr="00D36E8D">
              <w:rPr>
                <w:rFonts w:cs="Arial"/>
                <w:b/>
                <w:bCs/>
                <w:sz w:val="16"/>
                <w:szCs w:val="16"/>
              </w:rPr>
              <w:t>TLS</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Reduced time from submission to completion of standard human resources transactions (education</w:t>
            </w:r>
            <w:r>
              <w:rPr>
                <w:rFonts w:cs="Arial"/>
                <w:sz w:val="16"/>
                <w:szCs w:val="16"/>
              </w:rPr>
              <w:t xml:space="preserve"> grant, dependency allowances)</w:t>
            </w:r>
          </w:p>
        </w:tc>
        <w:tc>
          <w:tcPr>
            <w:tcW w:w="1033" w:type="pct"/>
            <w:shd w:val="clear" w:color="auto" w:fill="auto"/>
          </w:tcPr>
          <w:p w:rsidR="000B5438" w:rsidRPr="00D04E62" w:rsidRDefault="000B5438" w:rsidP="007C0423">
            <w:pPr>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lang w:bidi="th-TH"/>
              </w:rPr>
              <w:t>Four days</w:t>
            </w:r>
          </w:p>
          <w:p w:rsidR="000B5438" w:rsidRPr="00003FDA" w:rsidRDefault="000B5438" w:rsidP="007C0423">
            <w:pPr>
              <w:rPr>
                <w:rFonts w:cs="Arial"/>
                <w:i/>
                <w:color w:val="002060"/>
                <w:sz w:val="8"/>
                <w:szCs w:val="8"/>
              </w:rPr>
            </w:pPr>
          </w:p>
          <w:p w:rsidR="000B5438" w:rsidRPr="009A2F45" w:rsidRDefault="000B5438" w:rsidP="007C0423">
            <w:pPr>
              <w:rPr>
                <w:rFonts w:cs="Arial"/>
                <w:sz w:val="16"/>
                <w:szCs w:val="16"/>
              </w:rPr>
            </w:pPr>
            <w:r w:rsidRPr="00240CB1">
              <w:rPr>
                <w:rFonts w:cs="Arial"/>
                <w:i/>
                <w:sz w:val="16"/>
                <w:szCs w:val="16"/>
              </w:rPr>
              <w:t>Original Baseline P&amp;B 2012/13:</w:t>
            </w:r>
            <w:r w:rsidR="00874E11">
              <w:rPr>
                <w:rFonts w:cs="Arial"/>
                <w:sz w:val="16"/>
                <w:szCs w:val="16"/>
              </w:rPr>
              <w:t xml:space="preserve">  </w:t>
            </w:r>
            <w:r>
              <w:rPr>
                <w:rFonts w:cs="Arial"/>
                <w:sz w:val="16"/>
                <w:szCs w:val="16"/>
              </w:rPr>
              <w:t>Three</w:t>
            </w:r>
            <w:r w:rsidRPr="009A2F45">
              <w:rPr>
                <w:rFonts w:cs="Arial"/>
                <w:sz w:val="16"/>
                <w:szCs w:val="16"/>
              </w:rPr>
              <w:t xml:space="preserve"> days</w:t>
            </w:r>
          </w:p>
        </w:tc>
        <w:tc>
          <w:tcPr>
            <w:tcW w:w="782" w:type="pct"/>
            <w:shd w:val="clear" w:color="auto" w:fill="auto"/>
            <w:tcMar>
              <w:top w:w="110" w:type="dxa"/>
            </w:tcMar>
          </w:tcPr>
          <w:p w:rsidR="000B5438" w:rsidRPr="0020416E" w:rsidRDefault="000B5438" w:rsidP="007C0423">
            <w:pPr>
              <w:rPr>
                <w:rFonts w:cs="Arial"/>
                <w:sz w:val="16"/>
                <w:szCs w:val="16"/>
                <w:lang w:bidi="th-TH"/>
              </w:rPr>
            </w:pPr>
            <w:r w:rsidRPr="0020416E">
              <w:rPr>
                <w:rFonts w:ascii="ArialMT" w:hAnsi="ArialMT" w:cs="ArialMT"/>
                <w:sz w:val="16"/>
                <w:szCs w:val="16"/>
              </w:rPr>
              <w:t>Two days</w:t>
            </w:r>
            <w:r w:rsidRPr="0020416E" w:rsidDel="00D04E62">
              <w:rPr>
                <w:rFonts w:cs="Arial"/>
                <w:sz w:val="16"/>
                <w:szCs w:val="16"/>
                <w:lang w:bidi="th-TH"/>
              </w:rPr>
              <w:t xml:space="preserve"> </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lang w:bidi="th-TH"/>
              </w:rPr>
              <w:t xml:space="preserve">Four days: </w:t>
            </w:r>
            <w:r w:rsidR="00606D8E">
              <w:rPr>
                <w:rFonts w:cs="Arial"/>
                <w:sz w:val="16"/>
                <w:szCs w:val="16"/>
                <w:lang w:bidi="th-TH"/>
              </w:rPr>
              <w:t xml:space="preserve"> </w:t>
            </w:r>
            <w:r w:rsidRPr="0020416E">
              <w:rPr>
                <w:rFonts w:cs="Arial"/>
                <w:sz w:val="16"/>
                <w:szCs w:val="16"/>
                <w:lang w:bidi="th-TH"/>
              </w:rPr>
              <w:t>Target expected to be reached after the first year of the go-live of the ERP-HR module (i.e. 2015)</w:t>
            </w:r>
          </w:p>
        </w:tc>
        <w:tc>
          <w:tcPr>
            <w:tcW w:w="680" w:type="pct"/>
            <w:shd w:val="clear" w:color="auto" w:fill="auto"/>
            <w:tcMar>
              <w:top w:w="110" w:type="dxa"/>
            </w:tcMar>
          </w:tcPr>
          <w:p w:rsidR="000B5438" w:rsidRPr="0027745B" w:rsidRDefault="000B5438" w:rsidP="007C0423">
            <w:pPr>
              <w:jc w:val="center"/>
              <w:rPr>
                <w:rFonts w:cs="Arial"/>
                <w:bCs/>
                <w:sz w:val="16"/>
                <w:szCs w:val="16"/>
              </w:rPr>
            </w:pPr>
            <w:r w:rsidRPr="0027745B">
              <w:rPr>
                <w:rFonts w:cs="Arial"/>
                <w:bCs/>
                <w:color w:val="FF0000"/>
                <w:sz w:val="16"/>
                <w:szCs w:val="16"/>
              </w:rPr>
              <w:t>Not</w:t>
            </w:r>
            <w:r w:rsidRPr="0027745B">
              <w:rPr>
                <w:rFonts w:cs="Arial"/>
                <w:bCs/>
                <w:color w:val="FF0000"/>
                <w:sz w:val="16"/>
                <w:szCs w:val="16"/>
              </w:rPr>
              <w:br/>
              <w:t>Achieved</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Ratio of employees (full time equivalent) to human resources staff</w:t>
            </w:r>
          </w:p>
        </w:tc>
        <w:tc>
          <w:tcPr>
            <w:tcW w:w="1033" w:type="pct"/>
            <w:shd w:val="clear" w:color="auto" w:fill="auto"/>
          </w:tcPr>
          <w:p w:rsidR="000B5438" w:rsidRPr="00D04E62" w:rsidRDefault="000B5438" w:rsidP="007C0423">
            <w:pPr>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lang w:bidi="th-TH"/>
              </w:rPr>
              <w:t>29.3</w:t>
            </w:r>
          </w:p>
          <w:p w:rsidR="000B5438" w:rsidRPr="0020416E" w:rsidRDefault="000B5438" w:rsidP="007C0423">
            <w:pPr>
              <w:rPr>
                <w:rFonts w:cs="Arial"/>
                <w:i/>
                <w:sz w:val="8"/>
                <w:szCs w:val="8"/>
              </w:rPr>
            </w:pPr>
          </w:p>
          <w:p w:rsidR="000B5438" w:rsidRPr="009A2F45" w:rsidRDefault="000B5438" w:rsidP="00874E11">
            <w:pPr>
              <w:rPr>
                <w:rFonts w:cs="Arial"/>
                <w:sz w:val="16"/>
                <w:szCs w:val="16"/>
              </w:rPr>
            </w:pPr>
            <w:r w:rsidRPr="00240CB1">
              <w:rPr>
                <w:rFonts w:cs="Arial"/>
                <w:i/>
                <w:sz w:val="16"/>
                <w:szCs w:val="16"/>
              </w:rPr>
              <w:t>Original Baseline P&amp;B 2012/13:</w:t>
            </w:r>
            <w:r w:rsidR="00874E11">
              <w:rPr>
                <w:rFonts w:cs="Arial"/>
                <w:sz w:val="16"/>
                <w:szCs w:val="16"/>
              </w:rPr>
              <w:t xml:space="preserve">  </w:t>
            </w:r>
            <w:r>
              <w:rPr>
                <w:rFonts w:cs="Arial"/>
                <w:sz w:val="16"/>
                <w:szCs w:val="16"/>
              </w:rPr>
              <w:t>One</w:t>
            </w:r>
            <w:r w:rsidRPr="009A2F45">
              <w:rPr>
                <w:rFonts w:cs="Arial"/>
                <w:sz w:val="16"/>
                <w:szCs w:val="16"/>
              </w:rPr>
              <w:t xml:space="preserve"> HR employee for 31</w:t>
            </w:r>
            <w:r w:rsidR="00874E11">
              <w:rPr>
                <w:rFonts w:cs="Arial"/>
                <w:sz w:val="16"/>
                <w:szCs w:val="16"/>
              </w:rPr>
              <w:t> </w:t>
            </w:r>
            <w:r w:rsidRPr="009A2F45">
              <w:rPr>
                <w:rFonts w:cs="Arial"/>
                <w:sz w:val="16"/>
                <w:szCs w:val="16"/>
              </w:rPr>
              <w:t>Organization’s employees (Jan 2011)</w:t>
            </w:r>
          </w:p>
        </w:tc>
        <w:tc>
          <w:tcPr>
            <w:tcW w:w="782" w:type="pct"/>
            <w:shd w:val="clear" w:color="auto" w:fill="auto"/>
            <w:tcMar>
              <w:top w:w="110" w:type="dxa"/>
            </w:tcMar>
          </w:tcPr>
          <w:p w:rsidR="000B5438" w:rsidRPr="0020416E" w:rsidRDefault="000B5438" w:rsidP="007C0423">
            <w:pPr>
              <w:autoSpaceDE w:val="0"/>
              <w:autoSpaceDN w:val="0"/>
              <w:adjustRightInd w:val="0"/>
              <w:rPr>
                <w:rFonts w:ascii="ArialMT" w:hAnsi="ArialMT" w:cs="ArialMT"/>
                <w:sz w:val="16"/>
                <w:szCs w:val="16"/>
              </w:rPr>
            </w:pPr>
            <w:r w:rsidRPr="0020416E">
              <w:rPr>
                <w:rFonts w:ascii="ArialMT" w:hAnsi="ArialMT" w:cs="ArialMT"/>
                <w:sz w:val="16"/>
                <w:szCs w:val="16"/>
              </w:rPr>
              <w:t>One HR employee for</w:t>
            </w:r>
            <w:r w:rsidR="0020416E">
              <w:rPr>
                <w:rFonts w:ascii="ArialMT" w:hAnsi="ArialMT" w:cs="ArialMT"/>
                <w:sz w:val="16"/>
                <w:szCs w:val="16"/>
              </w:rPr>
              <w:t xml:space="preserve"> </w:t>
            </w:r>
            <w:r w:rsidRPr="0020416E">
              <w:rPr>
                <w:rFonts w:ascii="ArialMT" w:hAnsi="ArialMT" w:cs="ArialMT"/>
                <w:sz w:val="16"/>
                <w:szCs w:val="16"/>
              </w:rPr>
              <w:t>50 Organization’s</w:t>
            </w:r>
          </w:p>
          <w:p w:rsidR="000B5438" w:rsidRPr="0020416E" w:rsidRDefault="000B5438" w:rsidP="007C0423">
            <w:pPr>
              <w:rPr>
                <w:rFonts w:cs="Arial"/>
                <w:sz w:val="16"/>
                <w:szCs w:val="16"/>
              </w:rPr>
            </w:pPr>
            <w:r w:rsidRPr="0020416E">
              <w:rPr>
                <w:rFonts w:ascii="ArialMT" w:hAnsi="ArialMT" w:cs="ArialMT"/>
                <w:sz w:val="16"/>
                <w:szCs w:val="16"/>
              </w:rPr>
              <w:t>employees</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rPr>
              <w:t>Biennium: 30.75</w:t>
            </w:r>
          </w:p>
          <w:p w:rsidR="000B5438" w:rsidRPr="0020416E" w:rsidRDefault="000B5438" w:rsidP="00606D8E">
            <w:pPr>
              <w:pStyle w:val="ListParagraph"/>
              <w:numPr>
                <w:ilvl w:val="0"/>
                <w:numId w:val="58"/>
              </w:numPr>
              <w:ind w:hanging="229"/>
              <w:rPr>
                <w:rFonts w:cs="Arial"/>
                <w:sz w:val="16"/>
                <w:szCs w:val="16"/>
              </w:rPr>
            </w:pPr>
            <w:r w:rsidRPr="0020416E">
              <w:rPr>
                <w:rFonts w:cs="Arial"/>
                <w:sz w:val="16"/>
                <w:szCs w:val="16"/>
              </w:rPr>
              <w:t>2012: 31</w:t>
            </w:r>
          </w:p>
          <w:p w:rsidR="000B5438" w:rsidRPr="00CD26D6" w:rsidRDefault="000B5438" w:rsidP="00CD26D6">
            <w:pPr>
              <w:pStyle w:val="ListParagraph"/>
              <w:numPr>
                <w:ilvl w:val="0"/>
                <w:numId w:val="58"/>
              </w:numPr>
              <w:ind w:hanging="229"/>
              <w:rPr>
                <w:rFonts w:cs="Arial"/>
                <w:sz w:val="16"/>
                <w:szCs w:val="16"/>
              </w:rPr>
            </w:pPr>
            <w:r w:rsidRPr="0020416E">
              <w:rPr>
                <w:rFonts w:cs="Arial"/>
                <w:sz w:val="16"/>
                <w:szCs w:val="16"/>
              </w:rPr>
              <w:t>2013: 30.5</w:t>
            </w:r>
          </w:p>
        </w:tc>
        <w:tc>
          <w:tcPr>
            <w:tcW w:w="680" w:type="pct"/>
            <w:shd w:val="clear" w:color="auto" w:fill="auto"/>
            <w:tcMar>
              <w:top w:w="110" w:type="dxa"/>
            </w:tcMar>
          </w:tcPr>
          <w:p w:rsidR="000B5438" w:rsidRPr="0027745B" w:rsidRDefault="000B5438" w:rsidP="007C0423">
            <w:pPr>
              <w:jc w:val="center"/>
              <w:rPr>
                <w:rFonts w:cs="Arial"/>
                <w:bCs/>
                <w:sz w:val="16"/>
                <w:szCs w:val="16"/>
              </w:rPr>
            </w:pPr>
            <w:r w:rsidRPr="00D36E8D">
              <w:rPr>
                <w:rFonts w:cs="Arial"/>
                <w:bCs/>
                <w:color w:val="FF0000"/>
                <w:sz w:val="16"/>
                <w:szCs w:val="16"/>
              </w:rPr>
              <w:t>Not</w:t>
            </w:r>
            <w:r w:rsidRPr="00D36E8D">
              <w:rPr>
                <w:rFonts w:cs="Arial"/>
                <w:bCs/>
                <w:color w:val="FF0000"/>
                <w:sz w:val="16"/>
                <w:szCs w:val="16"/>
              </w:rPr>
              <w:br/>
              <w:t>Achieved</w:t>
            </w:r>
          </w:p>
        </w:tc>
      </w:tr>
      <w:tr w:rsidR="000B5438" w:rsidTr="0020416E">
        <w:tc>
          <w:tcPr>
            <w:tcW w:w="860" w:type="pct"/>
            <w:tcBorders>
              <w:bottom w:val="single" w:sz="4" w:space="0" w:color="auto"/>
            </w:tcBorders>
            <w:shd w:val="clear" w:color="auto" w:fill="auto"/>
          </w:tcPr>
          <w:p w:rsidR="000B5438" w:rsidRPr="009A2F45" w:rsidRDefault="000B5438" w:rsidP="007C0423">
            <w:pPr>
              <w:rPr>
                <w:rFonts w:cs="Arial"/>
                <w:sz w:val="16"/>
                <w:szCs w:val="16"/>
              </w:rPr>
            </w:pPr>
            <w:r w:rsidRPr="009A2F45">
              <w:rPr>
                <w:rFonts w:cs="Arial"/>
                <w:sz w:val="16"/>
                <w:szCs w:val="16"/>
              </w:rPr>
              <w:t>% of staff satisfied with HR services</w:t>
            </w:r>
          </w:p>
        </w:tc>
        <w:tc>
          <w:tcPr>
            <w:tcW w:w="1033" w:type="pct"/>
            <w:tcBorders>
              <w:bottom w:val="single" w:sz="4" w:space="0" w:color="auto"/>
            </w:tcBorders>
            <w:shd w:val="clear" w:color="auto" w:fill="auto"/>
          </w:tcPr>
          <w:p w:rsidR="000B5438" w:rsidRDefault="000B5438" w:rsidP="007C0423">
            <w:pPr>
              <w:rPr>
                <w:rFonts w:cs="Arial"/>
                <w:i/>
                <w:color w:val="002060"/>
                <w:sz w:val="16"/>
                <w:szCs w:val="16"/>
              </w:rPr>
            </w:pPr>
            <w:r w:rsidRPr="000969AB">
              <w:rPr>
                <w:rFonts w:cs="Arial"/>
                <w:i/>
                <w:color w:val="002060"/>
                <w:sz w:val="16"/>
                <w:szCs w:val="16"/>
              </w:rPr>
              <w:t xml:space="preserve">Updated Baseline end 2011:  </w:t>
            </w:r>
          </w:p>
          <w:p w:rsidR="000B5438" w:rsidRPr="00CD26D6" w:rsidRDefault="000B5438" w:rsidP="007C0423">
            <w:pPr>
              <w:rPr>
                <w:rFonts w:cs="Arial"/>
                <w:color w:val="002060"/>
                <w:spacing w:val="-4"/>
                <w:sz w:val="16"/>
                <w:szCs w:val="16"/>
              </w:rPr>
            </w:pPr>
            <w:r w:rsidRPr="0027745B">
              <w:rPr>
                <w:rFonts w:cs="Arial"/>
                <w:color w:val="002060"/>
                <w:sz w:val="16"/>
                <w:szCs w:val="16"/>
              </w:rPr>
              <w:t xml:space="preserve">Highly satisfied:  31.8%, </w:t>
            </w:r>
            <w:r w:rsidRPr="0027745B">
              <w:rPr>
                <w:rFonts w:cs="Arial"/>
                <w:color w:val="002060"/>
                <w:sz w:val="16"/>
                <w:szCs w:val="16"/>
              </w:rPr>
              <w:br/>
              <w:t xml:space="preserve">Satisfied:  45.5 %, Dissatisfied: 18.2%, </w:t>
            </w:r>
            <w:r w:rsidRPr="00CD26D6">
              <w:rPr>
                <w:rFonts w:cs="Arial"/>
                <w:color w:val="002060"/>
                <w:spacing w:val="-4"/>
                <w:sz w:val="16"/>
                <w:szCs w:val="16"/>
              </w:rPr>
              <w:t>Highly dissatisfied: 4.5%</w:t>
            </w:r>
          </w:p>
          <w:p w:rsidR="000B5438" w:rsidRPr="0020416E" w:rsidRDefault="000B5438" w:rsidP="007C0423">
            <w:pPr>
              <w:rPr>
                <w:rFonts w:cs="Arial"/>
                <w:i/>
                <w:color w:val="002060"/>
                <w:sz w:val="8"/>
                <w:szCs w:val="8"/>
              </w:rPr>
            </w:pPr>
          </w:p>
          <w:p w:rsidR="000B5438" w:rsidRDefault="000B5438" w:rsidP="007C0423">
            <w:pPr>
              <w:rPr>
                <w:rFonts w:cs="Arial"/>
                <w:sz w:val="16"/>
                <w:szCs w:val="16"/>
              </w:rPr>
            </w:pPr>
            <w:r w:rsidRPr="00240CB1">
              <w:rPr>
                <w:rFonts w:cs="Arial"/>
                <w:i/>
                <w:sz w:val="16"/>
                <w:szCs w:val="16"/>
              </w:rPr>
              <w:t>Original Baseline P&amp;B 2012/13:</w:t>
            </w:r>
            <w:r w:rsidRPr="00240CB1">
              <w:rPr>
                <w:rFonts w:cs="Arial"/>
                <w:sz w:val="16"/>
                <w:szCs w:val="16"/>
              </w:rPr>
              <w:br/>
            </w:r>
            <w:r w:rsidRPr="009A2F45">
              <w:rPr>
                <w:rFonts w:cs="Arial"/>
                <w:sz w:val="16"/>
                <w:szCs w:val="16"/>
              </w:rPr>
              <w:t>Highly satis</w:t>
            </w:r>
            <w:r>
              <w:rPr>
                <w:rFonts w:cs="Arial"/>
                <w:sz w:val="16"/>
                <w:szCs w:val="16"/>
              </w:rPr>
              <w:t xml:space="preserve">fied:  30.8%, </w:t>
            </w:r>
            <w:r>
              <w:rPr>
                <w:rFonts w:cs="Arial"/>
                <w:sz w:val="16"/>
                <w:szCs w:val="16"/>
              </w:rPr>
              <w:br/>
              <w:t>Satisfied:  48.2</w:t>
            </w:r>
            <w:r w:rsidRPr="009A2F45">
              <w:rPr>
                <w:rFonts w:cs="Arial"/>
                <w:sz w:val="16"/>
                <w:szCs w:val="16"/>
              </w:rPr>
              <w:t xml:space="preserve">%, Dissatisfied: 17.9% </w:t>
            </w:r>
          </w:p>
          <w:p w:rsidR="000B5438" w:rsidRPr="00CD26D6" w:rsidRDefault="000B5438" w:rsidP="007C0423">
            <w:pPr>
              <w:rPr>
                <w:rFonts w:cs="Arial"/>
                <w:spacing w:val="-4"/>
                <w:sz w:val="16"/>
                <w:szCs w:val="16"/>
              </w:rPr>
            </w:pPr>
            <w:r w:rsidRPr="00CD26D6">
              <w:rPr>
                <w:rFonts w:cs="Arial"/>
                <w:spacing w:val="-4"/>
                <w:sz w:val="16"/>
                <w:szCs w:val="16"/>
              </w:rPr>
              <w:t>Highly dissatisfied: 3.1%</w:t>
            </w:r>
          </w:p>
        </w:tc>
        <w:tc>
          <w:tcPr>
            <w:tcW w:w="782" w:type="pct"/>
            <w:tcBorders>
              <w:bottom w:val="single" w:sz="4" w:space="0" w:color="auto"/>
            </w:tcBorders>
            <w:shd w:val="clear" w:color="auto" w:fill="auto"/>
            <w:tcMar>
              <w:top w:w="110" w:type="dxa"/>
            </w:tcMar>
          </w:tcPr>
          <w:p w:rsidR="000B5438" w:rsidRPr="0020416E" w:rsidRDefault="000B5438" w:rsidP="007C0423">
            <w:pPr>
              <w:rPr>
                <w:rFonts w:cs="Arial"/>
                <w:sz w:val="16"/>
                <w:szCs w:val="16"/>
              </w:rPr>
            </w:pPr>
            <w:r w:rsidRPr="0020416E">
              <w:rPr>
                <w:rFonts w:ascii="ArialMT" w:hAnsi="ArialMT" w:cs="ArialMT"/>
                <w:sz w:val="16"/>
                <w:szCs w:val="16"/>
              </w:rPr>
              <w:t>50% highly satisfied</w:t>
            </w:r>
          </w:p>
        </w:tc>
        <w:tc>
          <w:tcPr>
            <w:tcW w:w="1645" w:type="pct"/>
            <w:tcBorders>
              <w:bottom w:val="single" w:sz="4" w:space="0" w:color="auto"/>
            </w:tcBorders>
            <w:shd w:val="clear" w:color="auto" w:fill="FFFFFF"/>
            <w:tcMar>
              <w:top w:w="110" w:type="dxa"/>
            </w:tcMar>
          </w:tcPr>
          <w:p w:rsidR="0020416E" w:rsidRPr="0020416E" w:rsidRDefault="000B5438" w:rsidP="007C0423">
            <w:pPr>
              <w:rPr>
                <w:rFonts w:cs="Arial"/>
                <w:sz w:val="16"/>
                <w:szCs w:val="16"/>
              </w:rPr>
            </w:pPr>
            <w:r w:rsidRPr="0020416E">
              <w:rPr>
                <w:rFonts w:cs="Arial"/>
                <w:sz w:val="16"/>
                <w:szCs w:val="16"/>
              </w:rPr>
              <w:t>Biennium:</w:t>
            </w:r>
          </w:p>
          <w:p w:rsidR="0020416E" w:rsidRPr="0020416E" w:rsidRDefault="0020416E" w:rsidP="007C0423">
            <w:pPr>
              <w:rPr>
                <w:rFonts w:cs="Arial"/>
                <w:sz w:val="8"/>
                <w:szCs w:val="8"/>
              </w:rPr>
            </w:pPr>
          </w:p>
          <w:p w:rsidR="000B5438" w:rsidRPr="0020416E" w:rsidRDefault="000B5438" w:rsidP="0020416E">
            <w:pPr>
              <w:ind w:left="131"/>
              <w:rPr>
                <w:rFonts w:cs="Arial"/>
                <w:sz w:val="16"/>
                <w:szCs w:val="16"/>
              </w:rPr>
            </w:pPr>
            <w:r w:rsidRPr="0020416E">
              <w:rPr>
                <w:rFonts w:cs="Arial"/>
                <w:sz w:val="16"/>
                <w:szCs w:val="16"/>
              </w:rPr>
              <w:t>Highly satisfied:  31.2%</w:t>
            </w:r>
            <w:r w:rsidRPr="0020416E">
              <w:rPr>
                <w:rFonts w:cs="Arial"/>
                <w:sz w:val="16"/>
                <w:szCs w:val="16"/>
              </w:rPr>
              <w:br/>
              <w:t>Satisfied:  47.45%</w:t>
            </w:r>
            <w:r w:rsidR="00606D8E">
              <w:rPr>
                <w:rFonts w:cs="Arial"/>
                <w:sz w:val="16"/>
                <w:szCs w:val="16"/>
              </w:rPr>
              <w:br/>
            </w:r>
            <w:r w:rsidRPr="0020416E">
              <w:rPr>
                <w:rFonts w:cs="Arial"/>
                <w:sz w:val="16"/>
                <w:szCs w:val="16"/>
              </w:rPr>
              <w:t xml:space="preserve">Dissatisfied: </w:t>
            </w:r>
            <w:r w:rsidR="00606D8E">
              <w:rPr>
                <w:rFonts w:cs="Arial"/>
                <w:sz w:val="16"/>
                <w:szCs w:val="16"/>
              </w:rPr>
              <w:t xml:space="preserve"> </w:t>
            </w:r>
            <w:r w:rsidRPr="0020416E">
              <w:rPr>
                <w:rFonts w:cs="Arial"/>
                <w:sz w:val="16"/>
                <w:szCs w:val="16"/>
              </w:rPr>
              <w:t>18.05%</w:t>
            </w:r>
            <w:r w:rsidR="00606D8E">
              <w:rPr>
                <w:rFonts w:cs="Arial"/>
                <w:sz w:val="16"/>
                <w:szCs w:val="16"/>
              </w:rPr>
              <w:br/>
            </w:r>
            <w:r w:rsidRPr="0020416E">
              <w:rPr>
                <w:rFonts w:cs="Arial"/>
                <w:sz w:val="16"/>
                <w:szCs w:val="16"/>
              </w:rPr>
              <w:t xml:space="preserve">Highly dissatisfied: </w:t>
            </w:r>
            <w:r w:rsidR="00606D8E">
              <w:rPr>
                <w:rFonts w:cs="Arial"/>
                <w:sz w:val="16"/>
                <w:szCs w:val="16"/>
              </w:rPr>
              <w:t xml:space="preserve"> </w:t>
            </w:r>
            <w:r w:rsidRPr="0020416E">
              <w:rPr>
                <w:rFonts w:cs="Arial"/>
                <w:sz w:val="16"/>
                <w:szCs w:val="16"/>
              </w:rPr>
              <w:t>3.3%</w:t>
            </w:r>
          </w:p>
          <w:p w:rsidR="0020416E" w:rsidRPr="0020416E" w:rsidRDefault="0020416E" w:rsidP="0020416E">
            <w:pPr>
              <w:ind w:left="131"/>
              <w:rPr>
                <w:rFonts w:cs="Arial"/>
                <w:sz w:val="8"/>
                <w:szCs w:val="8"/>
              </w:rPr>
            </w:pPr>
          </w:p>
          <w:p w:rsidR="000B5438" w:rsidRPr="0020416E" w:rsidRDefault="000B5438" w:rsidP="007C0423">
            <w:pPr>
              <w:rPr>
                <w:rFonts w:cs="Arial"/>
                <w:sz w:val="16"/>
                <w:szCs w:val="16"/>
              </w:rPr>
            </w:pPr>
            <w:r w:rsidRPr="0020416E">
              <w:rPr>
                <w:rFonts w:cs="Arial"/>
                <w:sz w:val="16"/>
                <w:szCs w:val="16"/>
              </w:rPr>
              <w:t>In 2012:</w:t>
            </w:r>
          </w:p>
          <w:p w:rsidR="0020416E" w:rsidRPr="0020416E" w:rsidRDefault="0020416E" w:rsidP="007C0423">
            <w:pPr>
              <w:rPr>
                <w:rFonts w:cs="Arial"/>
                <w:sz w:val="8"/>
                <w:szCs w:val="8"/>
              </w:rPr>
            </w:pPr>
          </w:p>
          <w:p w:rsidR="000B5438" w:rsidRPr="0020416E" w:rsidRDefault="000B5438" w:rsidP="0020416E">
            <w:pPr>
              <w:ind w:left="131"/>
              <w:rPr>
                <w:rFonts w:cs="Arial"/>
                <w:sz w:val="16"/>
                <w:szCs w:val="16"/>
              </w:rPr>
            </w:pPr>
            <w:r w:rsidRPr="0020416E">
              <w:rPr>
                <w:rFonts w:cs="Arial"/>
                <w:sz w:val="16"/>
                <w:szCs w:val="16"/>
              </w:rPr>
              <w:t xml:space="preserve">Highly satisfied:  31.2% </w:t>
            </w:r>
            <w:r w:rsidRPr="0020416E">
              <w:rPr>
                <w:rFonts w:cs="Arial"/>
                <w:sz w:val="16"/>
                <w:szCs w:val="16"/>
              </w:rPr>
              <w:br/>
              <w:t>Satisfied:  48.7 %</w:t>
            </w:r>
            <w:r w:rsidR="00606D8E">
              <w:rPr>
                <w:rFonts w:cs="Arial"/>
                <w:sz w:val="16"/>
                <w:szCs w:val="16"/>
              </w:rPr>
              <w:br/>
            </w:r>
            <w:r w:rsidRPr="0020416E">
              <w:rPr>
                <w:rFonts w:cs="Arial"/>
                <w:sz w:val="16"/>
                <w:szCs w:val="16"/>
              </w:rPr>
              <w:t xml:space="preserve">Dissatisfied: </w:t>
            </w:r>
            <w:r w:rsidR="00606D8E">
              <w:rPr>
                <w:rFonts w:cs="Arial"/>
                <w:sz w:val="16"/>
                <w:szCs w:val="16"/>
              </w:rPr>
              <w:t xml:space="preserve"> </w:t>
            </w:r>
            <w:r w:rsidRPr="0020416E">
              <w:rPr>
                <w:rFonts w:cs="Arial"/>
                <w:sz w:val="16"/>
                <w:szCs w:val="16"/>
              </w:rPr>
              <w:t>17.2%</w:t>
            </w:r>
            <w:r w:rsidR="00606D8E">
              <w:rPr>
                <w:rFonts w:cs="Arial"/>
                <w:sz w:val="16"/>
                <w:szCs w:val="16"/>
              </w:rPr>
              <w:br/>
            </w:r>
            <w:r w:rsidRPr="0020416E">
              <w:rPr>
                <w:rFonts w:cs="Arial"/>
                <w:sz w:val="16"/>
                <w:szCs w:val="16"/>
              </w:rPr>
              <w:t xml:space="preserve">Highly dissatisfied: </w:t>
            </w:r>
            <w:r w:rsidR="00606D8E">
              <w:rPr>
                <w:rFonts w:cs="Arial"/>
                <w:sz w:val="16"/>
                <w:szCs w:val="16"/>
              </w:rPr>
              <w:t xml:space="preserve"> </w:t>
            </w:r>
            <w:r w:rsidRPr="0020416E">
              <w:rPr>
                <w:rFonts w:cs="Arial"/>
                <w:sz w:val="16"/>
                <w:szCs w:val="16"/>
              </w:rPr>
              <w:t>2.9%</w:t>
            </w:r>
          </w:p>
          <w:p w:rsidR="0020416E" w:rsidRPr="0020416E" w:rsidRDefault="0020416E" w:rsidP="0020416E">
            <w:pPr>
              <w:ind w:left="131"/>
              <w:rPr>
                <w:rFonts w:cs="Arial"/>
                <w:sz w:val="8"/>
                <w:szCs w:val="8"/>
              </w:rPr>
            </w:pPr>
          </w:p>
          <w:p w:rsidR="000B5438" w:rsidRPr="0020416E" w:rsidRDefault="000B5438" w:rsidP="007C0423">
            <w:pPr>
              <w:rPr>
                <w:rFonts w:cs="Arial"/>
                <w:sz w:val="16"/>
                <w:szCs w:val="16"/>
              </w:rPr>
            </w:pPr>
            <w:r w:rsidRPr="0020416E">
              <w:rPr>
                <w:rFonts w:cs="Arial"/>
                <w:sz w:val="16"/>
                <w:szCs w:val="16"/>
              </w:rPr>
              <w:t>In 2013:</w:t>
            </w:r>
          </w:p>
          <w:p w:rsidR="0020416E" w:rsidRPr="0020416E" w:rsidRDefault="0020416E" w:rsidP="007C0423">
            <w:pPr>
              <w:rPr>
                <w:rFonts w:cs="Arial"/>
                <w:sz w:val="8"/>
                <w:szCs w:val="8"/>
              </w:rPr>
            </w:pPr>
          </w:p>
          <w:p w:rsidR="000B5438" w:rsidRDefault="000B5438" w:rsidP="0020416E">
            <w:pPr>
              <w:ind w:left="131"/>
              <w:rPr>
                <w:rFonts w:cs="Arial"/>
                <w:sz w:val="16"/>
                <w:szCs w:val="16"/>
              </w:rPr>
            </w:pPr>
            <w:r w:rsidRPr="0020416E">
              <w:rPr>
                <w:rFonts w:cs="Arial"/>
                <w:sz w:val="16"/>
                <w:szCs w:val="16"/>
              </w:rPr>
              <w:t xml:space="preserve">Highly satisfied:  31.2% </w:t>
            </w:r>
            <w:r w:rsidRPr="0020416E">
              <w:rPr>
                <w:rFonts w:cs="Arial"/>
                <w:sz w:val="16"/>
                <w:szCs w:val="16"/>
              </w:rPr>
              <w:br/>
              <w:t>Satisfied:  46.2 %</w:t>
            </w:r>
            <w:r w:rsidR="00606D8E">
              <w:rPr>
                <w:rFonts w:cs="Arial"/>
                <w:sz w:val="16"/>
                <w:szCs w:val="16"/>
              </w:rPr>
              <w:br/>
            </w:r>
            <w:r w:rsidRPr="0020416E">
              <w:rPr>
                <w:rFonts w:cs="Arial"/>
                <w:sz w:val="16"/>
                <w:szCs w:val="16"/>
              </w:rPr>
              <w:t>Dissatisfied: 18.9%</w:t>
            </w:r>
            <w:r w:rsidR="00606D8E">
              <w:rPr>
                <w:rFonts w:cs="Arial"/>
                <w:sz w:val="16"/>
                <w:szCs w:val="16"/>
              </w:rPr>
              <w:br/>
            </w:r>
            <w:r w:rsidRPr="0020416E">
              <w:rPr>
                <w:rFonts w:cs="Arial"/>
                <w:sz w:val="16"/>
                <w:szCs w:val="16"/>
              </w:rPr>
              <w:t>Highly dissatisfied: 3.7%</w:t>
            </w:r>
          </w:p>
          <w:p w:rsidR="0020416E" w:rsidRPr="0020416E" w:rsidRDefault="0020416E" w:rsidP="0020416E">
            <w:pPr>
              <w:ind w:left="131"/>
              <w:rPr>
                <w:rFonts w:cs="Arial"/>
                <w:sz w:val="16"/>
                <w:szCs w:val="16"/>
              </w:rPr>
            </w:pPr>
          </w:p>
        </w:tc>
        <w:tc>
          <w:tcPr>
            <w:tcW w:w="680" w:type="pct"/>
            <w:tcBorders>
              <w:bottom w:val="single" w:sz="4" w:space="0" w:color="auto"/>
            </w:tcBorders>
            <w:shd w:val="clear" w:color="auto" w:fill="auto"/>
            <w:tcMar>
              <w:top w:w="110" w:type="dxa"/>
            </w:tcMar>
          </w:tcPr>
          <w:p w:rsidR="000B5438" w:rsidRPr="0027745B" w:rsidRDefault="000B5438" w:rsidP="007C0423">
            <w:pPr>
              <w:jc w:val="center"/>
              <w:rPr>
                <w:rFonts w:cs="Arial"/>
                <w:bCs/>
                <w:sz w:val="16"/>
                <w:szCs w:val="16"/>
              </w:rPr>
            </w:pPr>
            <w:r w:rsidRPr="0027745B">
              <w:rPr>
                <w:rFonts w:cs="Arial"/>
                <w:bCs/>
                <w:color w:val="E36C0A" w:themeColor="accent6" w:themeShade="BF"/>
                <w:sz w:val="16"/>
                <w:szCs w:val="16"/>
              </w:rPr>
              <w:t>Partially</w:t>
            </w:r>
            <w:r w:rsidRPr="0027745B">
              <w:rPr>
                <w:rFonts w:cs="Arial"/>
                <w:bCs/>
                <w:color w:val="E36C0A" w:themeColor="accent6" w:themeShade="BF"/>
                <w:sz w:val="16"/>
                <w:szCs w:val="16"/>
              </w:rPr>
              <w:br/>
              <w:t>Achieved</w:t>
            </w:r>
          </w:p>
        </w:tc>
      </w:tr>
      <w:tr w:rsidR="000B5438" w:rsidTr="007C0423">
        <w:tc>
          <w:tcPr>
            <w:tcW w:w="5000" w:type="pct"/>
            <w:gridSpan w:val="5"/>
            <w:tcBorders>
              <w:top w:val="single" w:sz="4" w:space="0" w:color="auto"/>
              <w:bottom w:val="single" w:sz="4" w:space="0" w:color="auto"/>
            </w:tcBorders>
            <w:shd w:val="clear" w:color="auto" w:fill="CCFFFF"/>
            <w:vAlign w:val="center"/>
          </w:tcPr>
          <w:p w:rsidR="000B5438" w:rsidRDefault="000B5438" w:rsidP="007C0423">
            <w:pPr>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9A2F45">
              <w:rPr>
                <w:rFonts w:cs="Arial"/>
                <w:sz w:val="16"/>
                <w:szCs w:val="16"/>
              </w:rPr>
              <w:t>Well managed, diversified, motivated and appropriately skilled professional workforce</w:t>
            </w:r>
          </w:p>
        </w:tc>
      </w:tr>
      <w:tr w:rsidR="000B5438" w:rsidRPr="00D36E8D" w:rsidTr="0020416E">
        <w:tc>
          <w:tcPr>
            <w:tcW w:w="860" w:type="pct"/>
            <w:tcBorders>
              <w:top w:val="single" w:sz="4" w:space="0" w:color="auto"/>
            </w:tcBorders>
            <w:shd w:val="clear" w:color="auto" w:fill="auto"/>
            <w:vAlign w:val="center"/>
          </w:tcPr>
          <w:p w:rsidR="000B5438" w:rsidRPr="00D36E8D" w:rsidRDefault="000B5438" w:rsidP="007C0423">
            <w:pPr>
              <w:rPr>
                <w:rFonts w:cs="Arial"/>
                <w:sz w:val="16"/>
                <w:szCs w:val="16"/>
              </w:rPr>
            </w:pPr>
            <w:r w:rsidRPr="00D36E8D">
              <w:rPr>
                <w:rFonts w:cs="Arial"/>
                <w:b/>
                <w:bCs/>
                <w:sz w:val="16"/>
                <w:szCs w:val="16"/>
              </w:rPr>
              <w:t>Performance Indicators</w:t>
            </w:r>
          </w:p>
        </w:tc>
        <w:tc>
          <w:tcPr>
            <w:tcW w:w="1033" w:type="pct"/>
            <w:tcBorders>
              <w:top w:val="single" w:sz="4" w:space="0" w:color="auto"/>
            </w:tcBorders>
            <w:shd w:val="clear" w:color="auto" w:fill="auto"/>
            <w:vAlign w:val="center"/>
          </w:tcPr>
          <w:p w:rsidR="000B5438" w:rsidRPr="00D36E8D" w:rsidRDefault="000B5438" w:rsidP="007C0423">
            <w:pPr>
              <w:rPr>
                <w:rFonts w:cs="Arial"/>
                <w:b/>
                <w:bCs/>
                <w:sz w:val="16"/>
                <w:szCs w:val="16"/>
              </w:rPr>
            </w:pPr>
            <w:r w:rsidRPr="00D36E8D">
              <w:rPr>
                <w:rFonts w:cs="Arial"/>
                <w:b/>
                <w:bCs/>
                <w:sz w:val="16"/>
                <w:szCs w:val="16"/>
              </w:rPr>
              <w:t>Baselines</w:t>
            </w:r>
          </w:p>
        </w:tc>
        <w:tc>
          <w:tcPr>
            <w:tcW w:w="782" w:type="pct"/>
            <w:tcBorders>
              <w:top w:val="single" w:sz="4" w:space="0" w:color="auto"/>
            </w:tcBorders>
            <w:shd w:val="clear" w:color="auto" w:fill="auto"/>
            <w:tcMar>
              <w:top w:w="110" w:type="dxa"/>
            </w:tcMar>
            <w:vAlign w:val="center"/>
          </w:tcPr>
          <w:p w:rsidR="000B5438" w:rsidRPr="0020416E" w:rsidRDefault="000B5438" w:rsidP="007C0423">
            <w:pPr>
              <w:rPr>
                <w:rFonts w:cs="Arial"/>
                <w:b/>
                <w:sz w:val="16"/>
                <w:szCs w:val="16"/>
              </w:rPr>
            </w:pPr>
            <w:r w:rsidRPr="0020416E">
              <w:rPr>
                <w:rFonts w:cs="Arial"/>
                <w:b/>
                <w:sz w:val="16"/>
                <w:szCs w:val="16"/>
              </w:rPr>
              <w:t>Target</w:t>
            </w:r>
            <w:r w:rsidR="002F7D53" w:rsidRPr="0020416E">
              <w:rPr>
                <w:rFonts w:cs="Arial"/>
                <w:b/>
                <w:sz w:val="16"/>
                <w:szCs w:val="16"/>
              </w:rPr>
              <w:t>s</w:t>
            </w:r>
          </w:p>
        </w:tc>
        <w:tc>
          <w:tcPr>
            <w:tcW w:w="1645" w:type="pct"/>
            <w:tcBorders>
              <w:top w:val="single" w:sz="4" w:space="0" w:color="auto"/>
            </w:tcBorders>
            <w:shd w:val="clear" w:color="auto" w:fill="FFFFFF"/>
            <w:tcMar>
              <w:top w:w="110" w:type="dxa"/>
            </w:tcMar>
            <w:vAlign w:val="center"/>
          </w:tcPr>
          <w:p w:rsidR="000B5438" w:rsidRPr="0020416E" w:rsidRDefault="000B5438" w:rsidP="007C0423">
            <w:pPr>
              <w:rPr>
                <w:rFonts w:cs="Arial"/>
                <w:sz w:val="16"/>
                <w:szCs w:val="16"/>
              </w:rPr>
            </w:pPr>
            <w:r w:rsidRPr="0020416E">
              <w:rPr>
                <w:rFonts w:cs="Arial"/>
                <w:b/>
                <w:bCs/>
                <w:sz w:val="16"/>
                <w:szCs w:val="16"/>
              </w:rPr>
              <w:t>Performance Data</w:t>
            </w:r>
          </w:p>
        </w:tc>
        <w:tc>
          <w:tcPr>
            <w:tcW w:w="680" w:type="pct"/>
            <w:tcBorders>
              <w:top w:val="single" w:sz="4" w:space="0" w:color="auto"/>
            </w:tcBorders>
            <w:shd w:val="clear" w:color="auto" w:fill="auto"/>
            <w:tcMar>
              <w:top w:w="110" w:type="dxa"/>
            </w:tcMar>
            <w:vAlign w:val="center"/>
          </w:tcPr>
          <w:p w:rsidR="000B5438" w:rsidRPr="0027745B" w:rsidRDefault="000B5438" w:rsidP="007C0423">
            <w:pPr>
              <w:jc w:val="center"/>
              <w:rPr>
                <w:rFonts w:cs="Arial"/>
                <w:b/>
                <w:bCs/>
                <w:sz w:val="16"/>
                <w:szCs w:val="16"/>
              </w:rPr>
            </w:pPr>
            <w:r w:rsidRPr="00D36E8D">
              <w:rPr>
                <w:rFonts w:cs="Arial"/>
                <w:b/>
                <w:bCs/>
                <w:sz w:val="16"/>
                <w:szCs w:val="16"/>
              </w:rPr>
              <w:t>TLS</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 of staff whose performance is evaluated against their individual objectives and competencies</w:t>
            </w:r>
          </w:p>
        </w:tc>
        <w:tc>
          <w:tcPr>
            <w:tcW w:w="1033" w:type="pct"/>
            <w:shd w:val="clear" w:color="auto" w:fill="auto"/>
          </w:tcPr>
          <w:p w:rsidR="000B5438" w:rsidRPr="0027745B" w:rsidRDefault="000B5438" w:rsidP="007C0423">
            <w:pPr>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lang w:bidi="th-TH"/>
              </w:rPr>
              <w:t>92%</w:t>
            </w:r>
          </w:p>
          <w:p w:rsidR="000B5438" w:rsidRPr="0020416E" w:rsidRDefault="000B5438" w:rsidP="007C0423">
            <w:pPr>
              <w:rPr>
                <w:rFonts w:cs="Arial"/>
                <w:i/>
                <w:sz w:val="8"/>
                <w:szCs w:val="8"/>
              </w:rPr>
            </w:pPr>
          </w:p>
          <w:p w:rsidR="000B5438" w:rsidRPr="009A2F45" w:rsidRDefault="000B5438" w:rsidP="007C0423">
            <w:pPr>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62%</w:t>
            </w:r>
          </w:p>
        </w:tc>
        <w:tc>
          <w:tcPr>
            <w:tcW w:w="782" w:type="pct"/>
            <w:shd w:val="clear" w:color="auto" w:fill="auto"/>
            <w:tcMar>
              <w:top w:w="110" w:type="dxa"/>
            </w:tcMar>
          </w:tcPr>
          <w:p w:rsidR="000B5438" w:rsidRPr="0020416E" w:rsidRDefault="000B5438" w:rsidP="007C0423">
            <w:pPr>
              <w:rPr>
                <w:rFonts w:cs="Arial"/>
                <w:sz w:val="16"/>
                <w:szCs w:val="16"/>
                <w:lang w:bidi="th-TH"/>
              </w:rPr>
            </w:pPr>
            <w:r w:rsidRPr="0020416E">
              <w:rPr>
                <w:rFonts w:ascii="ArialMT" w:hAnsi="ArialMT" w:cs="ArialMT"/>
                <w:sz w:val="16"/>
                <w:szCs w:val="16"/>
              </w:rPr>
              <w:t>90%</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rPr>
              <w:t>Biennium:  90.75% of staff covered under PMSDS was evaluated against individual objectives and competencies</w:t>
            </w:r>
            <w:r w:rsidR="0020416E" w:rsidRPr="0020416E">
              <w:rPr>
                <w:rFonts w:cs="Arial"/>
                <w:sz w:val="16"/>
                <w:szCs w:val="16"/>
              </w:rPr>
              <w:br/>
            </w:r>
          </w:p>
          <w:p w:rsidR="000B5438" w:rsidRPr="0020416E" w:rsidRDefault="000B5438" w:rsidP="005703CF">
            <w:pPr>
              <w:pStyle w:val="ListParagraph"/>
              <w:numPr>
                <w:ilvl w:val="0"/>
                <w:numId w:val="61"/>
              </w:numPr>
              <w:ind w:left="273" w:hanging="284"/>
              <w:rPr>
                <w:rFonts w:cs="Arial"/>
                <w:sz w:val="16"/>
                <w:szCs w:val="16"/>
              </w:rPr>
            </w:pPr>
            <w:r w:rsidRPr="0020416E">
              <w:rPr>
                <w:rFonts w:cs="Arial"/>
                <w:sz w:val="16"/>
                <w:szCs w:val="16"/>
              </w:rPr>
              <w:t xml:space="preserve">2012: </w:t>
            </w:r>
            <w:r w:rsidR="00606D8E">
              <w:rPr>
                <w:rFonts w:cs="Arial"/>
                <w:sz w:val="16"/>
                <w:szCs w:val="16"/>
              </w:rPr>
              <w:t xml:space="preserve"> </w:t>
            </w:r>
            <w:r w:rsidRPr="0020416E">
              <w:rPr>
                <w:rFonts w:cs="Arial"/>
                <w:sz w:val="16"/>
                <w:szCs w:val="16"/>
              </w:rPr>
              <w:t>91% of staff covered under PMSDS was evaluated against individual objectives and competencies</w:t>
            </w:r>
            <w:r w:rsidRPr="0020416E">
              <w:rPr>
                <w:rStyle w:val="FootnoteReference"/>
                <w:rFonts w:cs="Arial"/>
                <w:sz w:val="16"/>
                <w:szCs w:val="16"/>
              </w:rPr>
              <w:t xml:space="preserve"> </w:t>
            </w:r>
            <w:r w:rsidRPr="0020416E">
              <w:rPr>
                <w:rFonts w:cs="Arial"/>
                <w:sz w:val="16"/>
                <w:szCs w:val="16"/>
              </w:rPr>
              <w:t>(</w:t>
            </w:r>
            <w:r w:rsidR="00606D8E">
              <w:rPr>
                <w:rFonts w:cs="Arial"/>
                <w:sz w:val="16"/>
                <w:szCs w:val="16"/>
              </w:rPr>
              <w:t>a</w:t>
            </w:r>
            <w:r w:rsidRPr="0020416E">
              <w:rPr>
                <w:rFonts w:cs="Arial"/>
                <w:sz w:val="16"/>
                <w:szCs w:val="16"/>
              </w:rPr>
              <w:t>s at end April 2012)</w:t>
            </w:r>
          </w:p>
          <w:p w:rsidR="000B5438" w:rsidRPr="0020416E" w:rsidRDefault="000B5438" w:rsidP="005703CF">
            <w:pPr>
              <w:pStyle w:val="ListParagraph"/>
              <w:numPr>
                <w:ilvl w:val="0"/>
                <w:numId w:val="61"/>
              </w:numPr>
              <w:ind w:left="273" w:hanging="284"/>
            </w:pPr>
            <w:r w:rsidRPr="0020416E">
              <w:rPr>
                <w:rFonts w:cs="Arial"/>
                <w:sz w:val="16"/>
                <w:szCs w:val="16"/>
              </w:rPr>
              <w:t>2013:  90.5% of staff covered under PMSDS was evaluated against individual objectives and competencies (</w:t>
            </w:r>
            <w:r w:rsidR="00606D8E">
              <w:rPr>
                <w:rFonts w:cs="Arial"/>
                <w:sz w:val="16"/>
                <w:szCs w:val="16"/>
              </w:rPr>
              <w:t>a</w:t>
            </w:r>
            <w:r w:rsidRPr="0020416E">
              <w:rPr>
                <w:rFonts w:cs="Arial"/>
                <w:sz w:val="16"/>
                <w:szCs w:val="16"/>
              </w:rPr>
              <w:t>s at end April 2013)</w:t>
            </w:r>
          </w:p>
        </w:tc>
        <w:tc>
          <w:tcPr>
            <w:tcW w:w="680" w:type="pct"/>
            <w:shd w:val="clear" w:color="auto" w:fill="auto"/>
            <w:tcMar>
              <w:top w:w="110" w:type="dxa"/>
            </w:tcMar>
          </w:tcPr>
          <w:p w:rsidR="000B5438" w:rsidRPr="005E6AFC" w:rsidRDefault="000B5438" w:rsidP="007C0423">
            <w:pPr>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0B5438" w:rsidTr="0020416E">
        <w:tc>
          <w:tcPr>
            <w:tcW w:w="860" w:type="pct"/>
            <w:shd w:val="clear" w:color="auto" w:fill="auto"/>
          </w:tcPr>
          <w:p w:rsidR="000B5438" w:rsidRPr="009A2F45" w:rsidRDefault="000B5438" w:rsidP="007C0423">
            <w:pPr>
              <w:rPr>
                <w:rFonts w:cs="Arial"/>
                <w:sz w:val="16"/>
                <w:szCs w:val="16"/>
              </w:rPr>
            </w:pPr>
            <w:r>
              <w:rPr>
                <w:rFonts w:cs="Arial"/>
                <w:sz w:val="16"/>
                <w:szCs w:val="16"/>
              </w:rPr>
              <w:t>Recruitment lead time</w:t>
            </w:r>
          </w:p>
        </w:tc>
        <w:tc>
          <w:tcPr>
            <w:tcW w:w="1033" w:type="pct"/>
            <w:shd w:val="clear" w:color="auto" w:fill="auto"/>
          </w:tcPr>
          <w:p w:rsidR="000B5438" w:rsidRPr="00D04E62" w:rsidRDefault="000B5438" w:rsidP="007C0423">
            <w:pPr>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rPr>
              <w:t>37.7 weeks</w:t>
            </w:r>
          </w:p>
          <w:p w:rsidR="000B5438" w:rsidRDefault="000B5438" w:rsidP="007C0423">
            <w:pPr>
              <w:rPr>
                <w:rFonts w:cs="Arial"/>
                <w:i/>
                <w:color w:val="002060"/>
                <w:sz w:val="16"/>
                <w:szCs w:val="16"/>
              </w:rPr>
            </w:pPr>
          </w:p>
          <w:p w:rsidR="000B5438" w:rsidRDefault="000B5438" w:rsidP="007C0423">
            <w:pPr>
              <w:rPr>
                <w:rFonts w:cs="Arial"/>
                <w:sz w:val="16"/>
                <w:szCs w:val="16"/>
              </w:rPr>
            </w:pPr>
            <w:r w:rsidRPr="00240CB1">
              <w:rPr>
                <w:rFonts w:cs="Arial"/>
                <w:i/>
                <w:sz w:val="16"/>
                <w:szCs w:val="16"/>
              </w:rPr>
              <w:t>Original Baseline P&amp;B 2012/13:</w:t>
            </w:r>
            <w:r w:rsidR="00874E11">
              <w:rPr>
                <w:rFonts w:cs="Arial"/>
                <w:sz w:val="16"/>
                <w:szCs w:val="16"/>
              </w:rPr>
              <w:t xml:space="preserve">  </w:t>
            </w:r>
            <w:r>
              <w:rPr>
                <w:rFonts w:cs="Arial"/>
                <w:sz w:val="16"/>
                <w:szCs w:val="16"/>
              </w:rPr>
              <w:t>24 weeks</w:t>
            </w:r>
          </w:p>
          <w:p w:rsidR="000B5438" w:rsidRPr="009A2F45" w:rsidRDefault="000B5438" w:rsidP="007C0423">
            <w:pPr>
              <w:rPr>
                <w:rFonts w:cs="Arial"/>
                <w:sz w:val="16"/>
                <w:szCs w:val="16"/>
              </w:rPr>
            </w:pPr>
          </w:p>
        </w:tc>
        <w:tc>
          <w:tcPr>
            <w:tcW w:w="782" w:type="pct"/>
            <w:shd w:val="clear" w:color="auto" w:fill="auto"/>
            <w:tcMar>
              <w:top w:w="110" w:type="dxa"/>
            </w:tcMar>
          </w:tcPr>
          <w:p w:rsidR="000B5438" w:rsidRPr="0027745B" w:rsidRDefault="000B5438" w:rsidP="007C0423">
            <w:pPr>
              <w:rPr>
                <w:rFonts w:cs="Arial"/>
                <w:sz w:val="16"/>
                <w:szCs w:val="16"/>
              </w:rPr>
            </w:pPr>
            <w:r>
              <w:rPr>
                <w:rFonts w:ascii="ArialMT" w:hAnsi="ArialMT" w:cs="ArialMT"/>
                <w:sz w:val="16"/>
                <w:szCs w:val="16"/>
              </w:rPr>
              <w:t>21 weeks</w:t>
            </w:r>
          </w:p>
        </w:tc>
        <w:tc>
          <w:tcPr>
            <w:tcW w:w="1645" w:type="pct"/>
            <w:shd w:val="clear" w:color="auto" w:fill="FFFFFF"/>
            <w:tcMar>
              <w:top w:w="110" w:type="dxa"/>
            </w:tcMar>
          </w:tcPr>
          <w:p w:rsidR="000B5438" w:rsidRDefault="000B5438" w:rsidP="007C0423">
            <w:pPr>
              <w:rPr>
                <w:rFonts w:cs="Arial"/>
                <w:sz w:val="16"/>
                <w:szCs w:val="16"/>
              </w:rPr>
            </w:pPr>
            <w:r w:rsidRPr="009C031D">
              <w:rPr>
                <w:rFonts w:cs="Arial"/>
                <w:sz w:val="16"/>
                <w:szCs w:val="16"/>
              </w:rPr>
              <w:t xml:space="preserve">Biennium Average: </w:t>
            </w:r>
            <w:r w:rsidR="00606D8E">
              <w:rPr>
                <w:rFonts w:cs="Arial"/>
                <w:sz w:val="16"/>
                <w:szCs w:val="16"/>
              </w:rPr>
              <w:t xml:space="preserve"> </w:t>
            </w:r>
            <w:r w:rsidRPr="009C031D">
              <w:rPr>
                <w:rFonts w:cs="Arial"/>
                <w:sz w:val="16"/>
                <w:szCs w:val="16"/>
              </w:rPr>
              <w:t>16.03 weeks (as of March 19, 2014</w:t>
            </w:r>
            <w:r>
              <w:rPr>
                <w:rFonts w:cs="Arial"/>
                <w:sz w:val="16"/>
                <w:szCs w:val="16"/>
              </w:rPr>
              <w:t>)</w:t>
            </w:r>
            <w:r w:rsidR="0020416E">
              <w:rPr>
                <w:rFonts w:cs="Arial"/>
                <w:sz w:val="16"/>
                <w:szCs w:val="16"/>
              </w:rPr>
              <w:br/>
            </w:r>
          </w:p>
          <w:p w:rsidR="000B5438" w:rsidRPr="003159A9" w:rsidRDefault="000B5438" w:rsidP="005703CF">
            <w:pPr>
              <w:pStyle w:val="ListParagraph"/>
              <w:numPr>
                <w:ilvl w:val="0"/>
                <w:numId w:val="60"/>
              </w:numPr>
              <w:ind w:left="273" w:hanging="273"/>
              <w:rPr>
                <w:rFonts w:cs="Arial"/>
                <w:sz w:val="16"/>
                <w:szCs w:val="16"/>
              </w:rPr>
            </w:pPr>
            <w:r w:rsidRPr="003159A9">
              <w:rPr>
                <w:rFonts w:cs="Arial"/>
                <w:sz w:val="16"/>
                <w:szCs w:val="16"/>
              </w:rPr>
              <w:t>2012: 16.5 weeks</w:t>
            </w:r>
          </w:p>
          <w:p w:rsidR="000B5438" w:rsidRPr="003159A9" w:rsidRDefault="000B5438" w:rsidP="005703CF">
            <w:pPr>
              <w:pStyle w:val="ListParagraph"/>
              <w:numPr>
                <w:ilvl w:val="0"/>
                <w:numId w:val="59"/>
              </w:numPr>
              <w:ind w:left="273" w:hanging="273"/>
              <w:rPr>
                <w:rFonts w:cs="Arial"/>
                <w:sz w:val="16"/>
                <w:szCs w:val="16"/>
              </w:rPr>
            </w:pPr>
            <w:r>
              <w:rPr>
                <w:rFonts w:cs="Arial"/>
                <w:sz w:val="16"/>
                <w:szCs w:val="16"/>
              </w:rPr>
              <w:t>2013: 15.56 weeks</w:t>
            </w:r>
          </w:p>
          <w:p w:rsidR="000B5438" w:rsidRPr="005E6AFC" w:rsidRDefault="000B5438" w:rsidP="007C0423">
            <w:pPr>
              <w:rPr>
                <w:rFonts w:cs="Arial"/>
                <w:sz w:val="16"/>
                <w:szCs w:val="16"/>
              </w:rPr>
            </w:pPr>
          </w:p>
        </w:tc>
        <w:tc>
          <w:tcPr>
            <w:tcW w:w="680" w:type="pct"/>
            <w:shd w:val="clear" w:color="auto" w:fill="auto"/>
            <w:tcMar>
              <w:top w:w="110" w:type="dxa"/>
            </w:tcMar>
          </w:tcPr>
          <w:p w:rsidR="000B5438" w:rsidRPr="005E6AFC" w:rsidRDefault="000B5438" w:rsidP="007C0423">
            <w:pPr>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0B5438" w:rsidTr="0020416E">
        <w:tc>
          <w:tcPr>
            <w:tcW w:w="860" w:type="pct"/>
            <w:shd w:val="clear" w:color="auto" w:fill="auto"/>
          </w:tcPr>
          <w:p w:rsidR="000B5438" w:rsidRPr="009A2F45" w:rsidRDefault="000B5438" w:rsidP="00606D8E">
            <w:pPr>
              <w:keepNext/>
              <w:keepLines/>
              <w:rPr>
                <w:rFonts w:cs="Arial"/>
                <w:sz w:val="16"/>
                <w:szCs w:val="16"/>
              </w:rPr>
            </w:pPr>
            <w:r w:rsidRPr="009A2F45">
              <w:rPr>
                <w:rFonts w:cs="Arial"/>
                <w:sz w:val="16"/>
                <w:szCs w:val="16"/>
              </w:rPr>
              <w:lastRenderedPageBreak/>
              <w:t>% of total mass salary invested in staff development</w:t>
            </w:r>
          </w:p>
        </w:tc>
        <w:tc>
          <w:tcPr>
            <w:tcW w:w="1033" w:type="pct"/>
            <w:shd w:val="clear" w:color="auto" w:fill="auto"/>
          </w:tcPr>
          <w:p w:rsidR="000B5438" w:rsidRPr="0027745B" w:rsidRDefault="000B5438" w:rsidP="00606D8E">
            <w:pPr>
              <w:keepNext/>
              <w:keepLines/>
              <w:rPr>
                <w:rFonts w:cs="Arial"/>
                <w:color w:val="002060"/>
                <w:sz w:val="16"/>
                <w:szCs w:val="16"/>
              </w:rPr>
            </w:pPr>
            <w:r w:rsidRPr="000969AB">
              <w:rPr>
                <w:rFonts w:cs="Arial"/>
                <w:i/>
                <w:color w:val="002060"/>
                <w:sz w:val="16"/>
                <w:szCs w:val="16"/>
              </w:rPr>
              <w:t xml:space="preserve">Updated Baseline end 2011:  </w:t>
            </w:r>
            <w:r w:rsidRPr="0027745B">
              <w:rPr>
                <w:rFonts w:cs="Arial"/>
                <w:color w:val="002060"/>
                <w:sz w:val="16"/>
                <w:szCs w:val="16"/>
              </w:rPr>
              <w:t>0.46% (HRMD)</w:t>
            </w:r>
          </w:p>
          <w:p w:rsidR="000B5438" w:rsidRPr="0020416E" w:rsidRDefault="000B5438" w:rsidP="00606D8E">
            <w:pPr>
              <w:keepNext/>
              <w:keepLines/>
              <w:rPr>
                <w:rFonts w:cs="Arial"/>
                <w:i/>
                <w:sz w:val="8"/>
                <w:szCs w:val="8"/>
              </w:rPr>
            </w:pPr>
          </w:p>
          <w:p w:rsidR="000B5438" w:rsidRPr="00531364" w:rsidRDefault="000B5438" w:rsidP="00606D8E">
            <w:pPr>
              <w:keepNext/>
              <w:keepLines/>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0.44% (Jan</w:t>
            </w:r>
            <w:r w:rsidR="00606D8E">
              <w:rPr>
                <w:rFonts w:cs="Arial"/>
                <w:sz w:val="16"/>
                <w:szCs w:val="16"/>
              </w:rPr>
              <w:t> </w:t>
            </w:r>
            <w:r w:rsidRPr="009A2F45">
              <w:rPr>
                <w:rFonts w:cs="Arial"/>
                <w:sz w:val="16"/>
                <w:szCs w:val="16"/>
              </w:rPr>
              <w:t>2011</w:t>
            </w:r>
            <w:r>
              <w:rPr>
                <w:rFonts w:cs="Arial"/>
                <w:sz w:val="16"/>
                <w:szCs w:val="16"/>
              </w:rPr>
              <w:t>, HRMD</w:t>
            </w:r>
            <w:r w:rsidRPr="009A2F45">
              <w:rPr>
                <w:rFonts w:cs="Arial"/>
                <w:sz w:val="16"/>
                <w:szCs w:val="16"/>
              </w:rPr>
              <w:t>)</w:t>
            </w:r>
          </w:p>
        </w:tc>
        <w:tc>
          <w:tcPr>
            <w:tcW w:w="782" w:type="pct"/>
            <w:shd w:val="clear" w:color="auto" w:fill="auto"/>
            <w:tcMar>
              <w:top w:w="110" w:type="dxa"/>
            </w:tcMar>
          </w:tcPr>
          <w:p w:rsidR="000B5438" w:rsidRPr="0027745B" w:rsidRDefault="000B5438" w:rsidP="00606D8E">
            <w:pPr>
              <w:keepNext/>
              <w:keepLines/>
              <w:rPr>
                <w:rFonts w:cs="Arial"/>
                <w:sz w:val="16"/>
                <w:szCs w:val="16"/>
              </w:rPr>
            </w:pPr>
            <w:r w:rsidRPr="006A1F93">
              <w:rPr>
                <w:rFonts w:ascii="ArialMT" w:hAnsi="ArialMT" w:cs="ArialMT"/>
                <w:sz w:val="16"/>
                <w:szCs w:val="16"/>
              </w:rPr>
              <w:t>1%</w:t>
            </w:r>
          </w:p>
        </w:tc>
        <w:tc>
          <w:tcPr>
            <w:tcW w:w="1645" w:type="pct"/>
            <w:shd w:val="clear" w:color="auto" w:fill="FFFFFF"/>
            <w:tcMar>
              <w:top w:w="110" w:type="dxa"/>
            </w:tcMar>
          </w:tcPr>
          <w:p w:rsidR="000B5438" w:rsidRPr="006B2753" w:rsidRDefault="000B5438" w:rsidP="00606D8E">
            <w:pPr>
              <w:keepNext/>
              <w:keepLines/>
              <w:rPr>
                <w:rFonts w:cs="Arial"/>
                <w:sz w:val="8"/>
                <w:szCs w:val="8"/>
              </w:rPr>
            </w:pPr>
            <w:r w:rsidRPr="006A1F93">
              <w:rPr>
                <w:rFonts w:cs="Arial"/>
                <w:sz w:val="16"/>
                <w:szCs w:val="16"/>
              </w:rPr>
              <w:t xml:space="preserve">2012: </w:t>
            </w:r>
            <w:r w:rsidR="00606D8E">
              <w:rPr>
                <w:rFonts w:cs="Arial"/>
                <w:sz w:val="16"/>
                <w:szCs w:val="16"/>
              </w:rPr>
              <w:t xml:space="preserve"> </w:t>
            </w:r>
            <w:r w:rsidRPr="006A1F93">
              <w:rPr>
                <w:rFonts w:cs="Arial"/>
                <w:sz w:val="16"/>
                <w:szCs w:val="16"/>
              </w:rPr>
              <w:t>0.74% (HRMD and training activities funded by ICT, ERP and SRP but not the staff cost of internal trainers)</w:t>
            </w:r>
            <w:r w:rsidR="002C4DAD">
              <w:rPr>
                <w:rFonts w:cs="Arial"/>
                <w:sz w:val="16"/>
                <w:szCs w:val="16"/>
              </w:rPr>
              <w:br/>
            </w:r>
          </w:p>
          <w:p w:rsidR="000B5438" w:rsidRPr="006A1F93" w:rsidRDefault="000B5438" w:rsidP="00606D8E">
            <w:pPr>
              <w:keepNext/>
              <w:keepLines/>
              <w:rPr>
                <w:rFonts w:cs="Arial"/>
                <w:sz w:val="16"/>
                <w:szCs w:val="16"/>
              </w:rPr>
            </w:pPr>
            <w:r w:rsidRPr="006A1F93">
              <w:rPr>
                <w:rFonts w:cs="Arial"/>
                <w:sz w:val="16"/>
                <w:szCs w:val="16"/>
              </w:rPr>
              <w:t xml:space="preserve">2013: </w:t>
            </w:r>
            <w:r w:rsidR="00606D8E">
              <w:rPr>
                <w:rFonts w:cs="Arial"/>
                <w:sz w:val="16"/>
                <w:szCs w:val="16"/>
              </w:rPr>
              <w:t xml:space="preserve"> </w:t>
            </w:r>
            <w:r w:rsidRPr="006A1F93">
              <w:rPr>
                <w:rFonts w:cs="Arial"/>
                <w:sz w:val="16"/>
                <w:szCs w:val="16"/>
              </w:rPr>
              <w:t>0.78% (including training expenditures of other Sectors and staff cost of internal trainers)</w:t>
            </w:r>
          </w:p>
        </w:tc>
        <w:tc>
          <w:tcPr>
            <w:tcW w:w="680" w:type="pct"/>
            <w:shd w:val="clear" w:color="auto" w:fill="auto"/>
            <w:tcMar>
              <w:top w:w="110" w:type="dxa"/>
            </w:tcMar>
          </w:tcPr>
          <w:p w:rsidR="000B5438" w:rsidRPr="005E6AFC" w:rsidRDefault="000B5438" w:rsidP="00606D8E">
            <w:pPr>
              <w:keepNext/>
              <w:keepLines/>
              <w:jc w:val="center"/>
              <w:rPr>
                <w:rFonts w:cs="Arial"/>
                <w:bCs/>
                <w:color w:val="808080"/>
                <w:sz w:val="16"/>
                <w:szCs w:val="16"/>
              </w:rPr>
            </w:pPr>
            <w:r w:rsidRPr="000969AB">
              <w:rPr>
                <w:rFonts w:cs="Arial"/>
                <w:bCs/>
                <w:color w:val="E36C0A" w:themeColor="accent6" w:themeShade="BF"/>
                <w:sz w:val="16"/>
                <w:szCs w:val="16"/>
              </w:rPr>
              <w:t>Partially</w:t>
            </w:r>
            <w:r w:rsidRPr="000969AB">
              <w:rPr>
                <w:rFonts w:cs="Arial"/>
                <w:bCs/>
                <w:color w:val="E36C0A" w:themeColor="accent6" w:themeShade="BF"/>
                <w:sz w:val="16"/>
                <w:szCs w:val="16"/>
              </w:rPr>
              <w:br/>
              <w:t>Achieved</w:t>
            </w:r>
          </w:p>
        </w:tc>
      </w:tr>
      <w:tr w:rsidR="000B5438" w:rsidTr="0020416E">
        <w:tc>
          <w:tcPr>
            <w:tcW w:w="860" w:type="pct"/>
            <w:shd w:val="clear" w:color="auto" w:fill="auto"/>
          </w:tcPr>
          <w:p w:rsidR="000B5438" w:rsidRPr="009A2F45" w:rsidRDefault="000B5438" w:rsidP="00606D8E">
            <w:pPr>
              <w:keepNext/>
              <w:keepLines/>
              <w:rPr>
                <w:rFonts w:cs="Arial"/>
                <w:sz w:val="16"/>
                <w:szCs w:val="16"/>
              </w:rPr>
            </w:pPr>
            <w:r w:rsidRPr="009A2F45">
              <w:rPr>
                <w:rFonts w:cs="Arial"/>
                <w:sz w:val="16"/>
                <w:szCs w:val="16"/>
              </w:rPr>
              <w:t>Geographical diversity - % of Member States represented</w:t>
            </w:r>
          </w:p>
        </w:tc>
        <w:tc>
          <w:tcPr>
            <w:tcW w:w="1033" w:type="pct"/>
            <w:shd w:val="clear" w:color="auto" w:fill="auto"/>
          </w:tcPr>
          <w:p w:rsidR="000B5438" w:rsidRPr="00D04E62" w:rsidRDefault="000B5438" w:rsidP="00606D8E">
            <w:pPr>
              <w:keepNext/>
              <w:keepLines/>
              <w:rPr>
                <w:rFonts w:cs="Arial"/>
                <w:i/>
                <w:color w:val="002060"/>
                <w:sz w:val="16"/>
                <w:szCs w:val="16"/>
              </w:rPr>
            </w:pPr>
            <w:r w:rsidRPr="00D04E62">
              <w:rPr>
                <w:rFonts w:cs="Arial"/>
                <w:i/>
                <w:color w:val="002060"/>
                <w:sz w:val="16"/>
                <w:szCs w:val="16"/>
              </w:rPr>
              <w:t xml:space="preserve">Updated Baseline end 2011:  </w:t>
            </w:r>
            <w:r w:rsidRPr="0027745B">
              <w:rPr>
                <w:rFonts w:cs="Arial"/>
                <w:color w:val="002060"/>
                <w:sz w:val="16"/>
                <w:szCs w:val="16"/>
              </w:rPr>
              <w:t>57.8%</w:t>
            </w:r>
          </w:p>
          <w:p w:rsidR="000B5438" w:rsidRPr="0020416E" w:rsidRDefault="000B5438" w:rsidP="00606D8E">
            <w:pPr>
              <w:keepNext/>
              <w:keepLines/>
              <w:rPr>
                <w:rFonts w:cs="Arial"/>
                <w:i/>
                <w:color w:val="002060"/>
                <w:sz w:val="8"/>
                <w:szCs w:val="8"/>
              </w:rPr>
            </w:pPr>
          </w:p>
          <w:p w:rsidR="000B5438" w:rsidRPr="009A2F45" w:rsidRDefault="000B5438" w:rsidP="00606D8E">
            <w:pPr>
              <w:keepNext/>
              <w:keepLines/>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56.70%</w:t>
            </w:r>
          </w:p>
        </w:tc>
        <w:tc>
          <w:tcPr>
            <w:tcW w:w="782" w:type="pct"/>
            <w:shd w:val="clear" w:color="auto" w:fill="auto"/>
            <w:tcMar>
              <w:top w:w="110" w:type="dxa"/>
            </w:tcMar>
          </w:tcPr>
          <w:p w:rsidR="000B5438" w:rsidRPr="0020416E" w:rsidRDefault="000B5438" w:rsidP="00606D8E">
            <w:pPr>
              <w:keepNext/>
              <w:keepLines/>
              <w:rPr>
                <w:rFonts w:ascii="ArialMT" w:hAnsi="ArialMT" w:cs="ArialMT"/>
                <w:sz w:val="16"/>
                <w:szCs w:val="16"/>
              </w:rPr>
            </w:pPr>
            <w:r w:rsidRPr="0020416E">
              <w:rPr>
                <w:rFonts w:ascii="ArialMT" w:hAnsi="ArialMT" w:cs="ArialMT"/>
                <w:sz w:val="16"/>
                <w:szCs w:val="16"/>
              </w:rPr>
              <w:t>60%</w:t>
            </w:r>
          </w:p>
        </w:tc>
        <w:tc>
          <w:tcPr>
            <w:tcW w:w="1645" w:type="pct"/>
            <w:shd w:val="clear" w:color="auto" w:fill="FFFFFF"/>
            <w:tcMar>
              <w:top w:w="110" w:type="dxa"/>
            </w:tcMar>
          </w:tcPr>
          <w:p w:rsidR="000B5438" w:rsidRPr="006B2753" w:rsidRDefault="000B5438" w:rsidP="006B2753">
            <w:pPr>
              <w:pStyle w:val="PlainText"/>
              <w:keepNext/>
              <w:keepLines/>
              <w:rPr>
                <w:rFonts w:ascii="Arial" w:hAnsi="Arial" w:cs="Arial"/>
                <w:sz w:val="8"/>
                <w:szCs w:val="8"/>
              </w:rPr>
            </w:pPr>
            <w:r w:rsidRPr="0020416E">
              <w:rPr>
                <w:rFonts w:ascii="Arial" w:hAnsi="Arial" w:cs="Arial"/>
                <w:sz w:val="16"/>
                <w:szCs w:val="16"/>
              </w:rPr>
              <w:t xml:space="preserve">2012: </w:t>
            </w:r>
            <w:r w:rsidR="00606D8E">
              <w:rPr>
                <w:rFonts w:ascii="Arial" w:hAnsi="Arial" w:cs="Arial"/>
                <w:sz w:val="16"/>
                <w:szCs w:val="16"/>
              </w:rPr>
              <w:t xml:space="preserve"> </w:t>
            </w:r>
            <w:r w:rsidRPr="0020416E">
              <w:rPr>
                <w:rFonts w:ascii="Arial" w:hAnsi="Arial" w:cs="Arial"/>
                <w:sz w:val="16"/>
                <w:szCs w:val="16"/>
              </w:rPr>
              <w:t>58.9% (including General Service and language staff)</w:t>
            </w:r>
            <w:r w:rsidR="002C4DAD">
              <w:rPr>
                <w:rFonts w:ascii="Arial" w:hAnsi="Arial" w:cs="Arial"/>
                <w:sz w:val="16"/>
                <w:szCs w:val="16"/>
              </w:rPr>
              <w:br/>
            </w:r>
          </w:p>
          <w:p w:rsidR="000B5438" w:rsidRPr="0020416E" w:rsidRDefault="000B5438" w:rsidP="006B2753">
            <w:pPr>
              <w:pStyle w:val="PlainText"/>
              <w:keepNext/>
              <w:keepLines/>
              <w:rPr>
                <w:rFonts w:ascii="Arial" w:hAnsi="Arial" w:cs="Arial"/>
                <w:sz w:val="16"/>
                <w:szCs w:val="16"/>
              </w:rPr>
            </w:pPr>
            <w:r w:rsidRPr="0020416E">
              <w:rPr>
                <w:rFonts w:ascii="Arial" w:hAnsi="Arial" w:cs="Arial"/>
                <w:sz w:val="16"/>
                <w:szCs w:val="16"/>
              </w:rPr>
              <w:t xml:space="preserve">2013: </w:t>
            </w:r>
            <w:r w:rsidR="00606D8E">
              <w:rPr>
                <w:rFonts w:ascii="Arial" w:hAnsi="Arial" w:cs="Arial"/>
                <w:sz w:val="16"/>
                <w:szCs w:val="16"/>
              </w:rPr>
              <w:t xml:space="preserve"> </w:t>
            </w:r>
            <w:r w:rsidRPr="0020416E">
              <w:rPr>
                <w:rFonts w:ascii="Arial" w:hAnsi="Arial" w:cs="Arial"/>
                <w:sz w:val="16"/>
                <w:szCs w:val="16"/>
              </w:rPr>
              <w:t>59.3% (including General Service and language staff)</w:t>
            </w:r>
          </w:p>
        </w:tc>
        <w:tc>
          <w:tcPr>
            <w:tcW w:w="680" w:type="pct"/>
            <w:shd w:val="clear" w:color="auto" w:fill="auto"/>
            <w:tcMar>
              <w:top w:w="110" w:type="dxa"/>
            </w:tcMar>
          </w:tcPr>
          <w:p w:rsidR="000B5438" w:rsidRPr="005E6AFC" w:rsidRDefault="000B5438" w:rsidP="00606D8E">
            <w:pPr>
              <w:keepNext/>
              <w:keepLines/>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 of women in professional and higher positions</w:t>
            </w:r>
          </w:p>
        </w:tc>
        <w:tc>
          <w:tcPr>
            <w:tcW w:w="1033" w:type="pct"/>
            <w:shd w:val="clear" w:color="auto" w:fill="auto"/>
          </w:tcPr>
          <w:p w:rsidR="000B5438" w:rsidRDefault="000B5438" w:rsidP="007C0423">
            <w:pPr>
              <w:rPr>
                <w:rFonts w:cs="Arial"/>
                <w:i/>
                <w:color w:val="002060"/>
                <w:sz w:val="16"/>
                <w:szCs w:val="16"/>
              </w:rPr>
            </w:pPr>
            <w:r w:rsidRPr="000969AB">
              <w:rPr>
                <w:rFonts w:cs="Arial"/>
                <w:i/>
                <w:color w:val="002060"/>
                <w:sz w:val="16"/>
                <w:szCs w:val="16"/>
              </w:rPr>
              <w:t xml:space="preserve">Updated Baseline end 2011:  </w:t>
            </w:r>
          </w:p>
          <w:p w:rsidR="000B5438" w:rsidRDefault="000B5438" w:rsidP="007C0423">
            <w:pPr>
              <w:rPr>
                <w:rFonts w:cs="Arial"/>
                <w:i/>
                <w:color w:val="002060"/>
                <w:sz w:val="16"/>
                <w:szCs w:val="16"/>
              </w:rPr>
            </w:pPr>
            <w:r w:rsidRPr="0027745B">
              <w:rPr>
                <w:rFonts w:cs="Arial"/>
                <w:color w:val="002060"/>
                <w:sz w:val="16"/>
                <w:szCs w:val="16"/>
              </w:rPr>
              <w:t xml:space="preserve">P4 – 43.9% </w:t>
            </w:r>
            <w:r w:rsidRPr="0027745B">
              <w:rPr>
                <w:rFonts w:cs="Arial"/>
                <w:color w:val="002060"/>
                <w:sz w:val="16"/>
                <w:szCs w:val="16"/>
              </w:rPr>
              <w:br/>
              <w:t>P5 – 31.9 %</w:t>
            </w:r>
            <w:r w:rsidRPr="0027745B">
              <w:rPr>
                <w:rFonts w:cs="Arial"/>
                <w:color w:val="002060"/>
                <w:sz w:val="16"/>
                <w:szCs w:val="16"/>
              </w:rPr>
              <w:br/>
              <w:t>D1 – 14.6 %</w:t>
            </w:r>
            <w:r w:rsidRPr="0027745B">
              <w:rPr>
                <w:rFonts w:cs="Arial"/>
                <w:color w:val="002060"/>
                <w:sz w:val="16"/>
                <w:szCs w:val="16"/>
              </w:rPr>
              <w:br/>
              <w:t>D2 – 25.0%</w:t>
            </w:r>
          </w:p>
          <w:p w:rsidR="000B5438" w:rsidRPr="0020416E" w:rsidRDefault="000B5438" w:rsidP="007C0423">
            <w:pPr>
              <w:rPr>
                <w:rFonts w:cs="Arial"/>
                <w:i/>
                <w:sz w:val="8"/>
                <w:szCs w:val="8"/>
              </w:rPr>
            </w:pPr>
          </w:p>
          <w:p w:rsidR="000B5438" w:rsidRPr="009A2F45" w:rsidRDefault="000B5438" w:rsidP="007C0423">
            <w:pPr>
              <w:rPr>
                <w:rFonts w:cs="Arial"/>
                <w:sz w:val="16"/>
                <w:szCs w:val="16"/>
              </w:rPr>
            </w:pPr>
            <w:r w:rsidRPr="00240CB1">
              <w:rPr>
                <w:rFonts w:cs="Arial"/>
                <w:i/>
                <w:sz w:val="16"/>
                <w:szCs w:val="16"/>
              </w:rPr>
              <w:t>Original Baseline P&amp;B 2012/13:</w:t>
            </w:r>
            <w:r w:rsidRPr="00240CB1">
              <w:rPr>
                <w:rFonts w:cs="Arial"/>
                <w:sz w:val="16"/>
                <w:szCs w:val="16"/>
              </w:rPr>
              <w:br/>
            </w:r>
            <w:r w:rsidRPr="009A2F45">
              <w:rPr>
                <w:rFonts w:cs="Arial"/>
                <w:sz w:val="16"/>
                <w:szCs w:val="16"/>
              </w:rPr>
              <w:t xml:space="preserve">P4 – 44.2% </w:t>
            </w:r>
            <w:r w:rsidRPr="009A2F45">
              <w:rPr>
                <w:rFonts w:cs="Arial"/>
                <w:sz w:val="16"/>
                <w:szCs w:val="16"/>
              </w:rPr>
              <w:br/>
              <w:t>P5 - 30.9 %</w:t>
            </w:r>
            <w:r w:rsidRPr="009A2F45">
              <w:rPr>
                <w:rFonts w:cs="Arial"/>
                <w:sz w:val="16"/>
                <w:szCs w:val="16"/>
              </w:rPr>
              <w:br/>
              <w:t>D1 - 12.1 %</w:t>
            </w:r>
            <w:r w:rsidRPr="009A2F45">
              <w:rPr>
                <w:rFonts w:cs="Arial"/>
                <w:sz w:val="16"/>
                <w:szCs w:val="16"/>
              </w:rPr>
              <w:br/>
              <w:t>D2 – 9.1%</w:t>
            </w:r>
          </w:p>
        </w:tc>
        <w:tc>
          <w:tcPr>
            <w:tcW w:w="782" w:type="pct"/>
            <w:shd w:val="clear" w:color="auto" w:fill="auto"/>
            <w:tcMar>
              <w:top w:w="110" w:type="dxa"/>
            </w:tcMar>
          </w:tcPr>
          <w:p w:rsidR="000B5438" w:rsidRPr="0020416E" w:rsidRDefault="000B5438" w:rsidP="007C0423">
            <w:pPr>
              <w:autoSpaceDE w:val="0"/>
              <w:autoSpaceDN w:val="0"/>
              <w:adjustRightInd w:val="0"/>
              <w:rPr>
                <w:rFonts w:ascii="ArialMT" w:hAnsi="ArialMT" w:cs="ArialMT"/>
                <w:sz w:val="16"/>
                <w:szCs w:val="16"/>
              </w:rPr>
            </w:pPr>
            <w:r w:rsidRPr="0020416E">
              <w:rPr>
                <w:rFonts w:ascii="ArialMT" w:hAnsi="ArialMT" w:cs="ArialMT"/>
                <w:sz w:val="16"/>
                <w:szCs w:val="16"/>
              </w:rPr>
              <w:t>50% (as approved by the UNGA following ICSC</w:t>
            </w:r>
          </w:p>
          <w:p w:rsidR="000B5438" w:rsidRPr="0020416E" w:rsidRDefault="000B5438" w:rsidP="007C0423">
            <w:pPr>
              <w:rPr>
                <w:rFonts w:cs="Arial"/>
                <w:sz w:val="16"/>
                <w:szCs w:val="16"/>
              </w:rPr>
            </w:pPr>
            <w:r w:rsidRPr="0020416E">
              <w:rPr>
                <w:rFonts w:ascii="ArialMT" w:hAnsi="ArialMT" w:cs="ArialMT"/>
                <w:sz w:val="16"/>
                <w:szCs w:val="16"/>
              </w:rPr>
              <w:t>recommendation)</w:t>
            </w:r>
          </w:p>
        </w:tc>
        <w:tc>
          <w:tcPr>
            <w:tcW w:w="1645" w:type="pct"/>
            <w:shd w:val="clear" w:color="auto" w:fill="FFFFFF"/>
            <w:tcMar>
              <w:top w:w="110" w:type="dxa"/>
            </w:tcMar>
          </w:tcPr>
          <w:tbl>
            <w:tblPr>
              <w:tblW w:w="2383" w:type="dxa"/>
              <w:tblLayout w:type="fixed"/>
              <w:tblLook w:val="04A0" w:firstRow="1" w:lastRow="0" w:firstColumn="1" w:lastColumn="0" w:noHBand="0" w:noVBand="1"/>
            </w:tblPr>
            <w:tblGrid>
              <w:gridCol w:w="580"/>
              <w:gridCol w:w="670"/>
              <w:gridCol w:w="1133"/>
            </w:tblGrid>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2012:</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2013:</w:t>
                  </w:r>
                </w:p>
              </w:tc>
            </w:tr>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jc w:val="right"/>
                    <w:rPr>
                      <w:rFonts w:cs="Arial"/>
                      <w:sz w:val="16"/>
                      <w:szCs w:val="16"/>
                    </w:rPr>
                  </w:pPr>
                  <w:r w:rsidRPr="0020416E">
                    <w:rPr>
                      <w:rFonts w:cs="Arial"/>
                      <w:sz w:val="16"/>
                      <w:szCs w:val="16"/>
                    </w:rPr>
                    <w:t xml:space="preserve">P4 - </w:t>
                  </w: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44.4%</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43.4%</w:t>
                  </w:r>
                </w:p>
              </w:tc>
            </w:tr>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jc w:val="right"/>
                    <w:rPr>
                      <w:rFonts w:cs="Arial"/>
                      <w:sz w:val="16"/>
                      <w:szCs w:val="16"/>
                    </w:rPr>
                  </w:pPr>
                  <w:r w:rsidRPr="0020416E">
                    <w:rPr>
                      <w:rFonts w:cs="Arial"/>
                      <w:sz w:val="16"/>
                      <w:szCs w:val="16"/>
                    </w:rPr>
                    <w:t xml:space="preserve">P5 - </w:t>
                  </w: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30.3%</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34.3%</w:t>
                  </w:r>
                </w:p>
              </w:tc>
            </w:tr>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jc w:val="right"/>
                    <w:rPr>
                      <w:rFonts w:cs="Arial"/>
                      <w:sz w:val="16"/>
                      <w:szCs w:val="16"/>
                    </w:rPr>
                  </w:pPr>
                  <w:r w:rsidRPr="0020416E">
                    <w:rPr>
                      <w:rFonts w:cs="Arial"/>
                      <w:sz w:val="16"/>
                      <w:szCs w:val="16"/>
                    </w:rPr>
                    <w:t xml:space="preserve">D1 - </w:t>
                  </w: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24.4%</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26.8%</w:t>
                  </w:r>
                </w:p>
              </w:tc>
            </w:tr>
            <w:tr w:rsidR="000B5438" w:rsidRPr="0020416E" w:rsidTr="007C0423">
              <w:trPr>
                <w:trHeight w:val="255"/>
              </w:trPr>
              <w:tc>
                <w:tcPr>
                  <w:tcW w:w="580" w:type="dxa"/>
                  <w:tcBorders>
                    <w:top w:val="nil"/>
                    <w:left w:val="nil"/>
                    <w:bottom w:val="nil"/>
                    <w:right w:val="nil"/>
                  </w:tcBorders>
                  <w:shd w:val="clear" w:color="auto" w:fill="auto"/>
                  <w:noWrap/>
                  <w:vAlign w:val="bottom"/>
                  <w:hideMark/>
                </w:tcPr>
                <w:p w:rsidR="000B5438" w:rsidRPr="0020416E" w:rsidRDefault="000B5438" w:rsidP="007C0423">
                  <w:pPr>
                    <w:jc w:val="right"/>
                    <w:rPr>
                      <w:rFonts w:cs="Arial"/>
                      <w:sz w:val="16"/>
                      <w:szCs w:val="16"/>
                    </w:rPr>
                  </w:pPr>
                  <w:r w:rsidRPr="0020416E">
                    <w:rPr>
                      <w:rFonts w:cs="Arial"/>
                      <w:sz w:val="16"/>
                      <w:szCs w:val="16"/>
                    </w:rPr>
                    <w:t xml:space="preserve">D2 - </w:t>
                  </w:r>
                </w:p>
              </w:tc>
              <w:tc>
                <w:tcPr>
                  <w:tcW w:w="670"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23.1%</w:t>
                  </w:r>
                </w:p>
              </w:tc>
              <w:tc>
                <w:tcPr>
                  <w:tcW w:w="1133" w:type="dxa"/>
                  <w:tcBorders>
                    <w:top w:val="nil"/>
                    <w:left w:val="nil"/>
                    <w:bottom w:val="nil"/>
                    <w:right w:val="nil"/>
                  </w:tcBorders>
                  <w:shd w:val="clear" w:color="auto" w:fill="auto"/>
                  <w:noWrap/>
                  <w:vAlign w:val="bottom"/>
                  <w:hideMark/>
                </w:tcPr>
                <w:p w:rsidR="000B5438" w:rsidRPr="0020416E" w:rsidRDefault="000B5438" w:rsidP="007C0423">
                  <w:pPr>
                    <w:rPr>
                      <w:rFonts w:cs="Arial"/>
                      <w:sz w:val="16"/>
                      <w:szCs w:val="16"/>
                    </w:rPr>
                  </w:pPr>
                  <w:r w:rsidRPr="0020416E">
                    <w:rPr>
                      <w:rFonts w:cs="Arial"/>
                      <w:sz w:val="16"/>
                      <w:szCs w:val="16"/>
                    </w:rPr>
                    <w:t>33.3%</w:t>
                  </w:r>
                </w:p>
              </w:tc>
            </w:tr>
          </w:tbl>
          <w:p w:rsidR="000B5438" w:rsidRPr="0020416E" w:rsidRDefault="000B5438" w:rsidP="007C0423">
            <w:pPr>
              <w:pStyle w:val="PlainText"/>
              <w:rPr>
                <w:rFonts w:cs="Arial"/>
                <w:sz w:val="16"/>
                <w:szCs w:val="16"/>
                <w:lang w:val="fr-CH"/>
              </w:rPr>
            </w:pPr>
          </w:p>
        </w:tc>
        <w:tc>
          <w:tcPr>
            <w:tcW w:w="680" w:type="pct"/>
            <w:shd w:val="clear" w:color="auto" w:fill="auto"/>
            <w:tcMar>
              <w:top w:w="110" w:type="dxa"/>
            </w:tcMar>
          </w:tcPr>
          <w:p w:rsidR="000B5438" w:rsidRPr="005E6AFC" w:rsidRDefault="000B5438" w:rsidP="007C0423">
            <w:pPr>
              <w:jc w:val="center"/>
              <w:rPr>
                <w:rFonts w:cs="Arial"/>
                <w:bCs/>
                <w:color w:val="808080"/>
                <w:sz w:val="16"/>
                <w:szCs w:val="16"/>
              </w:rPr>
            </w:pPr>
            <w:r w:rsidRPr="000969AB">
              <w:rPr>
                <w:rFonts w:cs="Arial"/>
                <w:bCs/>
                <w:color w:val="FF0000"/>
                <w:sz w:val="16"/>
                <w:szCs w:val="16"/>
              </w:rPr>
              <w:t>Not</w:t>
            </w:r>
            <w:r w:rsidRPr="000969AB">
              <w:rPr>
                <w:rFonts w:cs="Arial"/>
                <w:bCs/>
                <w:color w:val="FF0000"/>
                <w:sz w:val="16"/>
                <w:szCs w:val="16"/>
              </w:rPr>
              <w:br/>
              <w:t>Achieved</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Decreased absenteeism</w:t>
            </w:r>
          </w:p>
        </w:tc>
        <w:tc>
          <w:tcPr>
            <w:tcW w:w="1033" w:type="pct"/>
            <w:shd w:val="clear" w:color="auto" w:fill="auto"/>
          </w:tcPr>
          <w:p w:rsidR="000B5438" w:rsidRPr="006A1F93" w:rsidRDefault="000B5438" w:rsidP="007C0423">
            <w:pPr>
              <w:rPr>
                <w:rFonts w:cs="Arial"/>
                <w:i/>
                <w:color w:val="002060"/>
                <w:sz w:val="16"/>
                <w:szCs w:val="16"/>
              </w:rPr>
            </w:pPr>
            <w:r w:rsidRPr="006A1F93">
              <w:rPr>
                <w:rFonts w:cs="Arial"/>
                <w:i/>
                <w:color w:val="002060"/>
                <w:sz w:val="16"/>
                <w:szCs w:val="16"/>
              </w:rPr>
              <w:t xml:space="preserve">Updated Baseline end 2011:  </w:t>
            </w:r>
            <w:r w:rsidRPr="0027745B">
              <w:rPr>
                <w:rFonts w:cs="Arial"/>
                <w:color w:val="002060"/>
                <w:sz w:val="16"/>
                <w:szCs w:val="16"/>
              </w:rPr>
              <w:t>11.3</w:t>
            </w:r>
          </w:p>
          <w:p w:rsidR="000B5438" w:rsidRPr="0020416E" w:rsidRDefault="000B5438" w:rsidP="007C0423">
            <w:pPr>
              <w:rPr>
                <w:rFonts w:cs="Arial"/>
                <w:i/>
                <w:sz w:val="8"/>
                <w:szCs w:val="8"/>
              </w:rPr>
            </w:pPr>
          </w:p>
          <w:p w:rsidR="000B5438" w:rsidRPr="009A2F45" w:rsidRDefault="000B5438" w:rsidP="007C0423">
            <w:pPr>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Average number of sick leave days per employees: 9.6</w:t>
            </w:r>
          </w:p>
        </w:tc>
        <w:tc>
          <w:tcPr>
            <w:tcW w:w="781" w:type="pct"/>
            <w:shd w:val="clear" w:color="auto" w:fill="auto"/>
            <w:tcMar>
              <w:top w:w="110" w:type="dxa"/>
            </w:tcMar>
          </w:tcPr>
          <w:p w:rsidR="000B5438" w:rsidRPr="0020416E" w:rsidRDefault="000B5438" w:rsidP="007C0423">
            <w:pPr>
              <w:rPr>
                <w:rFonts w:cs="Arial"/>
                <w:sz w:val="16"/>
                <w:szCs w:val="16"/>
              </w:rPr>
            </w:pPr>
            <w:r w:rsidRPr="0020416E">
              <w:rPr>
                <w:rFonts w:cs="Arial"/>
                <w:sz w:val="16"/>
                <w:szCs w:val="16"/>
              </w:rPr>
              <w:t>Average of 5.5</w:t>
            </w:r>
          </w:p>
          <w:p w:rsidR="000B5438" w:rsidRPr="0020416E" w:rsidRDefault="000B5438" w:rsidP="007C0423">
            <w:pPr>
              <w:rPr>
                <w:rFonts w:cs="Arial"/>
                <w:sz w:val="16"/>
                <w:szCs w:val="16"/>
              </w:rPr>
            </w:pPr>
            <w:r w:rsidRPr="0020416E">
              <w:rPr>
                <w:rFonts w:cs="Arial"/>
                <w:sz w:val="16"/>
                <w:szCs w:val="16"/>
              </w:rPr>
              <w:t>days/employee</w:t>
            </w:r>
            <w:r w:rsidRPr="0020416E" w:rsidDel="006A1F93">
              <w:rPr>
                <w:rFonts w:cs="Arial"/>
                <w:sz w:val="16"/>
                <w:szCs w:val="16"/>
              </w:rPr>
              <w:t xml:space="preserve"> </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rPr>
              <w:t>For the biennium: 10.34</w:t>
            </w:r>
          </w:p>
          <w:p w:rsidR="000B5438" w:rsidRPr="0020416E" w:rsidRDefault="000B5438" w:rsidP="005703CF">
            <w:pPr>
              <w:pStyle w:val="ListParagraph"/>
              <w:numPr>
                <w:ilvl w:val="0"/>
                <w:numId w:val="57"/>
              </w:numPr>
              <w:rPr>
                <w:rFonts w:cs="Arial"/>
                <w:sz w:val="16"/>
                <w:szCs w:val="16"/>
              </w:rPr>
            </w:pPr>
            <w:r w:rsidRPr="0020416E">
              <w:rPr>
                <w:rFonts w:cs="Arial"/>
                <w:sz w:val="16"/>
                <w:szCs w:val="16"/>
              </w:rPr>
              <w:t>2012:  9.07</w:t>
            </w:r>
          </w:p>
          <w:p w:rsidR="000B5438" w:rsidRPr="0020416E" w:rsidRDefault="000B5438" w:rsidP="005703CF">
            <w:pPr>
              <w:pStyle w:val="ListParagraph"/>
              <w:numPr>
                <w:ilvl w:val="0"/>
                <w:numId w:val="57"/>
              </w:numPr>
            </w:pPr>
            <w:r w:rsidRPr="0020416E">
              <w:rPr>
                <w:rFonts w:cs="Arial"/>
                <w:sz w:val="16"/>
                <w:szCs w:val="16"/>
              </w:rPr>
              <w:t>2031:  11.6</w:t>
            </w:r>
          </w:p>
        </w:tc>
        <w:tc>
          <w:tcPr>
            <w:tcW w:w="680" w:type="pct"/>
            <w:shd w:val="clear" w:color="auto" w:fill="auto"/>
            <w:tcMar>
              <w:top w:w="110" w:type="dxa"/>
            </w:tcMar>
          </w:tcPr>
          <w:p w:rsidR="000B5438" w:rsidRPr="0027745B" w:rsidRDefault="000B5438" w:rsidP="007C0423">
            <w:pPr>
              <w:jc w:val="center"/>
              <w:rPr>
                <w:rFonts w:cs="Arial"/>
                <w:bCs/>
                <w:sz w:val="16"/>
                <w:szCs w:val="16"/>
              </w:rPr>
            </w:pPr>
            <w:r w:rsidRPr="000969AB">
              <w:rPr>
                <w:rFonts w:cs="Arial"/>
                <w:bCs/>
                <w:color w:val="FF0000"/>
                <w:sz w:val="16"/>
                <w:szCs w:val="16"/>
              </w:rPr>
              <w:t>Not</w:t>
            </w:r>
            <w:r w:rsidRPr="000969AB">
              <w:rPr>
                <w:rFonts w:cs="Arial"/>
                <w:bCs/>
                <w:color w:val="FF0000"/>
                <w:sz w:val="16"/>
                <w:szCs w:val="16"/>
              </w:rPr>
              <w:br/>
              <w:t>Achieved</w:t>
            </w:r>
            <w:r w:rsidRPr="00D36E8D" w:rsidDel="00D36E8D">
              <w:rPr>
                <w:rStyle w:val="Style5"/>
                <w:rFonts w:cs="Arial"/>
                <w:sz w:val="16"/>
                <w:szCs w:val="16"/>
              </w:rPr>
              <w:t xml:space="preserve"> </w:t>
            </w:r>
          </w:p>
        </w:tc>
      </w:tr>
      <w:tr w:rsidR="000B5438" w:rsidTr="0020416E">
        <w:tc>
          <w:tcPr>
            <w:tcW w:w="860" w:type="pct"/>
            <w:shd w:val="clear" w:color="auto" w:fill="auto"/>
          </w:tcPr>
          <w:p w:rsidR="000B5438" w:rsidRPr="009A2F45" w:rsidRDefault="000B5438" w:rsidP="007C0423">
            <w:pPr>
              <w:rPr>
                <w:rFonts w:cs="Arial"/>
                <w:sz w:val="16"/>
                <w:szCs w:val="16"/>
              </w:rPr>
            </w:pPr>
            <w:r w:rsidRPr="009A2F45">
              <w:rPr>
                <w:rFonts w:cs="Arial"/>
                <w:sz w:val="16"/>
                <w:szCs w:val="16"/>
              </w:rPr>
              <w:t>Decreased appeals</w:t>
            </w:r>
          </w:p>
        </w:tc>
        <w:tc>
          <w:tcPr>
            <w:tcW w:w="1033" w:type="pct"/>
            <w:shd w:val="clear" w:color="auto" w:fill="auto"/>
          </w:tcPr>
          <w:p w:rsidR="000B5438" w:rsidRDefault="000B5438" w:rsidP="007C0423">
            <w:pPr>
              <w:rPr>
                <w:rFonts w:cs="Arial"/>
                <w:i/>
                <w:color w:val="002060"/>
                <w:sz w:val="16"/>
                <w:szCs w:val="16"/>
              </w:rPr>
            </w:pPr>
            <w:r w:rsidRPr="000969AB">
              <w:rPr>
                <w:rFonts w:cs="Arial"/>
                <w:i/>
                <w:color w:val="002060"/>
                <w:sz w:val="16"/>
                <w:szCs w:val="16"/>
              </w:rPr>
              <w:t xml:space="preserve">Updated Baseline end 2011:  </w:t>
            </w:r>
          </w:p>
          <w:p w:rsidR="000B5438" w:rsidRPr="0027745B" w:rsidRDefault="000B5438" w:rsidP="007C0423">
            <w:pPr>
              <w:rPr>
                <w:rFonts w:cs="Arial"/>
                <w:color w:val="002060"/>
                <w:sz w:val="16"/>
                <w:szCs w:val="16"/>
              </w:rPr>
            </w:pPr>
            <w:r w:rsidRPr="0027745B">
              <w:rPr>
                <w:rFonts w:cs="Arial"/>
                <w:color w:val="002060"/>
                <w:sz w:val="16"/>
                <w:szCs w:val="16"/>
              </w:rPr>
              <w:t xml:space="preserve">WIPO Appeal </w:t>
            </w:r>
            <w:r>
              <w:rPr>
                <w:rFonts w:cs="Arial"/>
                <w:color w:val="002060"/>
                <w:sz w:val="16"/>
                <w:szCs w:val="16"/>
              </w:rPr>
              <w:br/>
            </w:r>
            <w:r w:rsidRPr="0027745B">
              <w:rPr>
                <w:rFonts w:cs="Arial"/>
                <w:color w:val="002060"/>
                <w:sz w:val="16"/>
                <w:szCs w:val="16"/>
              </w:rPr>
              <w:t>Board: 14</w:t>
            </w:r>
          </w:p>
          <w:p w:rsidR="000B5438" w:rsidRPr="0027745B" w:rsidRDefault="000B5438" w:rsidP="007C0423">
            <w:pPr>
              <w:rPr>
                <w:rFonts w:cs="Arial"/>
                <w:color w:val="002060"/>
                <w:sz w:val="16"/>
                <w:szCs w:val="16"/>
              </w:rPr>
            </w:pPr>
            <w:r w:rsidRPr="0027745B">
              <w:rPr>
                <w:rFonts w:cs="Arial"/>
                <w:color w:val="002060"/>
                <w:sz w:val="16"/>
                <w:szCs w:val="16"/>
              </w:rPr>
              <w:t>ILOAT: 12</w:t>
            </w:r>
          </w:p>
          <w:p w:rsidR="000B5438" w:rsidRPr="0020416E" w:rsidRDefault="000B5438" w:rsidP="007C0423">
            <w:pPr>
              <w:rPr>
                <w:rFonts w:cs="Arial"/>
                <w:i/>
                <w:color w:val="002060"/>
                <w:sz w:val="8"/>
                <w:szCs w:val="8"/>
              </w:rPr>
            </w:pPr>
          </w:p>
          <w:p w:rsidR="000B5438" w:rsidRDefault="000B5438" w:rsidP="007C0423">
            <w:pPr>
              <w:rPr>
                <w:rFonts w:cs="Arial"/>
                <w:sz w:val="16"/>
                <w:szCs w:val="16"/>
              </w:rPr>
            </w:pPr>
            <w:r w:rsidRPr="00240CB1">
              <w:rPr>
                <w:rFonts w:cs="Arial"/>
                <w:i/>
                <w:sz w:val="16"/>
                <w:szCs w:val="16"/>
              </w:rPr>
              <w:t>Original Baseline P&amp;B 2012/13:</w:t>
            </w:r>
            <w:r w:rsidR="00606D8E">
              <w:rPr>
                <w:rFonts w:cs="Arial"/>
                <w:sz w:val="16"/>
                <w:szCs w:val="16"/>
              </w:rPr>
              <w:t xml:space="preserve">  </w:t>
            </w:r>
            <w:r w:rsidRPr="009A2F45">
              <w:rPr>
                <w:rFonts w:cs="Arial"/>
                <w:sz w:val="16"/>
                <w:szCs w:val="16"/>
              </w:rPr>
              <w:t>27 cases</w:t>
            </w:r>
          </w:p>
          <w:p w:rsidR="000B5438" w:rsidRPr="009A2F45" w:rsidRDefault="000B5438" w:rsidP="007C0423">
            <w:pPr>
              <w:rPr>
                <w:rFonts w:cs="Arial"/>
                <w:sz w:val="16"/>
                <w:szCs w:val="16"/>
              </w:rPr>
            </w:pPr>
          </w:p>
        </w:tc>
        <w:tc>
          <w:tcPr>
            <w:tcW w:w="781" w:type="pct"/>
            <w:shd w:val="clear" w:color="auto" w:fill="auto"/>
            <w:tcMar>
              <w:top w:w="110" w:type="dxa"/>
            </w:tcMar>
          </w:tcPr>
          <w:p w:rsidR="000B5438" w:rsidRPr="0020416E" w:rsidRDefault="000B5438" w:rsidP="007C0423">
            <w:pPr>
              <w:rPr>
                <w:rFonts w:cs="Arial"/>
                <w:sz w:val="16"/>
                <w:szCs w:val="16"/>
              </w:rPr>
            </w:pPr>
            <w:r w:rsidRPr="0020416E">
              <w:rPr>
                <w:rFonts w:ascii="ArialMT" w:hAnsi="ArialMT" w:cs="ArialMT"/>
                <w:sz w:val="16"/>
                <w:szCs w:val="16"/>
              </w:rPr>
              <w:t>22 cases</w:t>
            </w:r>
          </w:p>
        </w:tc>
        <w:tc>
          <w:tcPr>
            <w:tcW w:w="1645" w:type="pct"/>
            <w:shd w:val="clear" w:color="auto" w:fill="FFFFFF"/>
            <w:tcMar>
              <w:top w:w="110" w:type="dxa"/>
            </w:tcMar>
          </w:tcPr>
          <w:p w:rsidR="000B5438" w:rsidRPr="0020416E" w:rsidRDefault="000B5438" w:rsidP="007C0423">
            <w:pPr>
              <w:rPr>
                <w:rFonts w:cs="Arial"/>
                <w:sz w:val="16"/>
                <w:szCs w:val="16"/>
              </w:rPr>
            </w:pPr>
            <w:r w:rsidRPr="0020416E">
              <w:rPr>
                <w:rFonts w:cs="Arial"/>
                <w:sz w:val="16"/>
                <w:szCs w:val="16"/>
              </w:rPr>
              <w:t xml:space="preserve">WIPO Appeal Board:  54 </w:t>
            </w:r>
          </w:p>
          <w:p w:rsidR="000B5438" w:rsidRPr="0020416E" w:rsidRDefault="000B5438" w:rsidP="007C0423">
            <w:pPr>
              <w:rPr>
                <w:rFonts w:cs="Arial"/>
                <w:sz w:val="16"/>
                <w:szCs w:val="16"/>
              </w:rPr>
            </w:pPr>
            <w:r w:rsidRPr="0020416E">
              <w:rPr>
                <w:rFonts w:cs="Arial"/>
                <w:sz w:val="16"/>
                <w:szCs w:val="16"/>
              </w:rPr>
              <w:t xml:space="preserve">ILOAT: </w:t>
            </w:r>
            <w:r w:rsidR="00606D8E">
              <w:rPr>
                <w:rFonts w:cs="Arial"/>
                <w:sz w:val="16"/>
                <w:szCs w:val="16"/>
              </w:rPr>
              <w:t xml:space="preserve"> </w:t>
            </w:r>
            <w:r w:rsidRPr="0020416E">
              <w:rPr>
                <w:rFonts w:cs="Arial"/>
                <w:sz w:val="16"/>
                <w:szCs w:val="16"/>
              </w:rPr>
              <w:t>21</w:t>
            </w:r>
          </w:p>
        </w:tc>
        <w:tc>
          <w:tcPr>
            <w:tcW w:w="680" w:type="pct"/>
            <w:shd w:val="clear" w:color="auto" w:fill="auto"/>
            <w:tcMar>
              <w:top w:w="110" w:type="dxa"/>
            </w:tcMar>
          </w:tcPr>
          <w:p w:rsidR="000B5438" w:rsidRPr="0027745B" w:rsidRDefault="000B5438" w:rsidP="007C0423">
            <w:pPr>
              <w:jc w:val="center"/>
              <w:rPr>
                <w:rFonts w:cs="Arial"/>
                <w:bCs/>
                <w:sz w:val="16"/>
                <w:szCs w:val="16"/>
              </w:rPr>
            </w:pPr>
            <w:r w:rsidRPr="000969AB">
              <w:rPr>
                <w:rFonts w:cs="Arial"/>
                <w:bCs/>
                <w:color w:val="FF0000"/>
                <w:sz w:val="16"/>
                <w:szCs w:val="16"/>
              </w:rPr>
              <w:t>Not</w:t>
            </w:r>
            <w:r w:rsidRPr="000969AB">
              <w:rPr>
                <w:rFonts w:cs="Arial"/>
                <w:bCs/>
                <w:color w:val="FF0000"/>
                <w:sz w:val="16"/>
                <w:szCs w:val="16"/>
              </w:rPr>
              <w:br/>
              <w:t>Achieved</w:t>
            </w:r>
            <w:r w:rsidRPr="00D36E8D" w:rsidDel="00D36E8D">
              <w:rPr>
                <w:rStyle w:val="Style5"/>
                <w:rFonts w:cs="Arial"/>
                <w:sz w:val="16"/>
                <w:szCs w:val="16"/>
              </w:rPr>
              <w:t xml:space="preserve"> </w:t>
            </w:r>
          </w:p>
        </w:tc>
      </w:tr>
    </w:tbl>
    <w:p w:rsidR="000B5438" w:rsidRPr="002A56E1" w:rsidRDefault="000B5438" w:rsidP="000B5438"/>
    <w:p w:rsidR="000B5438" w:rsidRPr="002A56E1" w:rsidRDefault="000B5438" w:rsidP="000B5438">
      <w:pPr>
        <w:rPr>
          <w:rFonts w:cs="Arial"/>
        </w:rPr>
      </w:pPr>
    </w:p>
    <w:p w:rsidR="000B5438" w:rsidRDefault="000B5438" w:rsidP="000B5438">
      <w:pPr>
        <w:rPr>
          <w:rFonts w:cs="Arial"/>
          <w:szCs w:val="22"/>
        </w:rPr>
      </w:pPr>
      <w:proofErr w:type="gramStart"/>
      <w:r w:rsidRPr="0098133B">
        <w:rPr>
          <w:rFonts w:cs="Arial"/>
          <w:szCs w:val="22"/>
        </w:rPr>
        <w:t xml:space="preserve">BUDGET </w:t>
      </w:r>
      <w:r>
        <w:rPr>
          <w:rFonts w:cs="Arial"/>
          <w:szCs w:val="22"/>
        </w:rPr>
        <w:t xml:space="preserve"> AND</w:t>
      </w:r>
      <w:proofErr w:type="gramEnd"/>
      <w:r>
        <w:rPr>
          <w:rFonts w:cs="Arial"/>
          <w:szCs w:val="22"/>
        </w:rPr>
        <w:t xml:space="preserve"> ACTUAL EXPENDITURE</w:t>
      </w:r>
    </w:p>
    <w:p w:rsidR="000B5438" w:rsidRDefault="000B5438" w:rsidP="000B5438">
      <w:pPr>
        <w:rPr>
          <w:rFonts w:cs="Arial"/>
          <w:szCs w:val="22"/>
        </w:rPr>
      </w:pPr>
    </w:p>
    <w:p w:rsidR="000B5438" w:rsidRPr="0027745B" w:rsidRDefault="000B5438" w:rsidP="000B5438">
      <w:pPr>
        <w:jc w:val="center"/>
        <w:rPr>
          <w:rFonts w:ascii="Times New Roman" w:eastAsiaTheme="minorEastAsia" w:hAnsi="Times New Roman"/>
          <w:szCs w:val="20"/>
        </w:rPr>
      </w:pPr>
      <w:r w:rsidRPr="0027745B">
        <w:rPr>
          <w:rFonts w:eastAsiaTheme="minorEastAsia" w:cs="Arial"/>
          <w:color w:val="000000"/>
          <w:szCs w:val="20"/>
        </w:rPr>
        <w:t xml:space="preserve">Budget and Actual Expenditure (by result) </w:t>
      </w:r>
    </w:p>
    <w:p w:rsidR="000B5438" w:rsidRPr="0027745B" w:rsidRDefault="000B5438" w:rsidP="000B5438">
      <w:pPr>
        <w:jc w:val="center"/>
        <w:rPr>
          <w:rFonts w:ascii="Times New Roman" w:eastAsiaTheme="minorEastAsia" w:hAnsi="Times New Roman"/>
          <w:szCs w:val="20"/>
        </w:rPr>
      </w:pPr>
      <w:r w:rsidRPr="0027745B">
        <w:rPr>
          <w:rFonts w:eastAsiaTheme="minorEastAsia" w:cs="Arial"/>
          <w:i/>
          <w:iCs/>
          <w:color w:val="000000"/>
          <w:szCs w:val="20"/>
        </w:rPr>
        <w:t>(</w:t>
      </w:r>
      <w:proofErr w:type="gramStart"/>
      <w:r w:rsidRPr="0027745B">
        <w:rPr>
          <w:rFonts w:eastAsiaTheme="minorEastAsia" w:cs="Arial"/>
          <w:i/>
          <w:iCs/>
          <w:color w:val="000000"/>
          <w:szCs w:val="20"/>
        </w:rPr>
        <w:t>in</w:t>
      </w:r>
      <w:proofErr w:type="gramEnd"/>
      <w:r w:rsidRPr="0027745B">
        <w:rPr>
          <w:rFonts w:eastAsiaTheme="minorEastAsia" w:cs="Arial"/>
          <w:i/>
          <w:iCs/>
          <w:color w:val="000000"/>
          <w:szCs w:val="20"/>
        </w:rPr>
        <w:t xml:space="preserve"> thousands of Swiss francs)</w:t>
      </w:r>
    </w:p>
    <w:p w:rsidR="000B5438" w:rsidRPr="00EC3B62" w:rsidRDefault="000B5438" w:rsidP="000B5438">
      <w:pPr>
        <w:rPr>
          <w:rFonts w:cs="Arial"/>
          <w:b/>
          <w:bCs/>
          <w:color w:val="000000"/>
          <w:sz w:val="18"/>
          <w:szCs w:val="18"/>
        </w:rPr>
      </w:pPr>
    </w:p>
    <w:tbl>
      <w:tblPr>
        <w:tblW w:w="0" w:type="auto"/>
        <w:tblInd w:w="103" w:type="dxa"/>
        <w:tblLook w:val="04A0" w:firstRow="1" w:lastRow="0" w:firstColumn="1" w:lastColumn="0" w:noHBand="0" w:noVBand="1"/>
      </w:tblPr>
      <w:tblGrid>
        <w:gridCol w:w="501"/>
        <w:gridCol w:w="4607"/>
        <w:gridCol w:w="1399"/>
        <w:gridCol w:w="1400"/>
        <w:gridCol w:w="1400"/>
      </w:tblGrid>
      <w:tr w:rsidR="000B5438" w:rsidRPr="0020416E" w:rsidTr="0020416E">
        <w:tc>
          <w:tcPr>
            <w:tcW w:w="5108"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Expected Result No. and Description</w:t>
            </w:r>
          </w:p>
        </w:tc>
        <w:tc>
          <w:tcPr>
            <w:tcW w:w="1399" w:type="dxa"/>
            <w:tcBorders>
              <w:top w:val="single" w:sz="4" w:space="0" w:color="auto"/>
              <w:left w:val="nil"/>
              <w:bottom w:val="single" w:sz="4" w:space="0" w:color="auto"/>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2012/13 Approved Budget</w:t>
            </w:r>
          </w:p>
        </w:tc>
        <w:tc>
          <w:tcPr>
            <w:tcW w:w="1400" w:type="dxa"/>
            <w:tcBorders>
              <w:top w:val="single" w:sz="4" w:space="0" w:color="auto"/>
              <w:left w:val="nil"/>
              <w:bottom w:val="single" w:sz="4" w:space="0" w:color="auto"/>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 xml:space="preserve">2012/13 Budget </w:t>
            </w:r>
            <w:r w:rsidRPr="0020416E">
              <w:rPr>
                <w:rFonts w:cs="Arial"/>
                <w:bCs/>
                <w:color w:val="000000"/>
                <w:sz w:val="16"/>
                <w:szCs w:val="16"/>
              </w:rPr>
              <w:br/>
              <w:t>After Transfers</w:t>
            </w:r>
          </w:p>
        </w:tc>
        <w:tc>
          <w:tcPr>
            <w:tcW w:w="1400" w:type="dxa"/>
            <w:tcBorders>
              <w:top w:val="single" w:sz="4" w:space="0" w:color="auto"/>
              <w:left w:val="nil"/>
              <w:bottom w:val="single" w:sz="4" w:space="0" w:color="auto"/>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 xml:space="preserve">2012/13 </w:t>
            </w:r>
            <w:r w:rsidRPr="0020416E">
              <w:rPr>
                <w:rFonts w:cs="Arial"/>
                <w:bCs/>
                <w:color w:val="000000"/>
                <w:sz w:val="16"/>
                <w:szCs w:val="16"/>
              </w:rPr>
              <w:br/>
              <w:t>Expenditure</w:t>
            </w:r>
          </w:p>
        </w:tc>
      </w:tr>
      <w:tr w:rsidR="000B5438" w:rsidRPr="006A1F93" w:rsidTr="0020416E">
        <w:tc>
          <w:tcPr>
            <w:tcW w:w="501" w:type="dxa"/>
            <w:tcBorders>
              <w:top w:val="nil"/>
              <w:left w:val="single" w:sz="4" w:space="0" w:color="auto"/>
              <w:bottom w:val="nil"/>
              <w:right w:val="nil"/>
            </w:tcBorders>
            <w:shd w:val="clear" w:color="000000" w:fill="FFFFFF"/>
            <w:noWrap/>
            <w:hideMark/>
          </w:tcPr>
          <w:p w:rsidR="000B5438" w:rsidRPr="0027745B" w:rsidRDefault="000B5438" w:rsidP="0020416E">
            <w:pPr>
              <w:spacing w:before="120"/>
              <w:jc w:val="center"/>
              <w:rPr>
                <w:rFonts w:cs="Arial"/>
                <w:color w:val="000000"/>
                <w:sz w:val="16"/>
                <w:szCs w:val="16"/>
              </w:rPr>
            </w:pPr>
            <w:r w:rsidRPr="0027745B">
              <w:rPr>
                <w:rFonts w:cs="Arial"/>
                <w:color w:val="000000"/>
                <w:sz w:val="16"/>
                <w:szCs w:val="16"/>
              </w:rPr>
              <w:t>IX.1</w:t>
            </w:r>
          </w:p>
        </w:tc>
        <w:tc>
          <w:tcPr>
            <w:tcW w:w="4607" w:type="dxa"/>
            <w:tcBorders>
              <w:top w:val="nil"/>
              <w:left w:val="nil"/>
              <w:bottom w:val="nil"/>
              <w:right w:val="nil"/>
            </w:tcBorders>
            <w:shd w:val="clear" w:color="000000" w:fill="FFFFFF"/>
            <w:hideMark/>
          </w:tcPr>
          <w:p w:rsidR="000B5438" w:rsidRPr="0027745B" w:rsidRDefault="000B5438" w:rsidP="0020416E">
            <w:pPr>
              <w:spacing w:before="120"/>
              <w:rPr>
                <w:rFonts w:cs="Arial"/>
                <w:color w:val="000000"/>
                <w:sz w:val="16"/>
                <w:szCs w:val="16"/>
              </w:rPr>
            </w:pPr>
            <w:r w:rsidRPr="0027745B">
              <w:rPr>
                <w:rFonts w:cs="Arial"/>
                <w:color w:val="000000"/>
                <w:sz w:val="16"/>
                <w:szCs w:val="16"/>
              </w:rPr>
              <w:t>Effective, efficient, quality and customer-oriented support services both to internal clients and to external stakeholders (human resources, IT, conference, language, procurement, travel, printing and publication, premises management)</w:t>
            </w:r>
          </w:p>
        </w:tc>
        <w:tc>
          <w:tcPr>
            <w:tcW w:w="1399" w:type="dxa"/>
            <w:tcBorders>
              <w:top w:val="nil"/>
              <w:left w:val="nil"/>
              <w:bottom w:val="nil"/>
              <w:right w:val="nil"/>
            </w:tcBorders>
            <w:shd w:val="clear" w:color="000000" w:fill="FFFFFF"/>
            <w:vAlign w:val="center"/>
            <w:hideMark/>
          </w:tcPr>
          <w:p w:rsidR="000B5438" w:rsidRPr="0027745B" w:rsidRDefault="000B5438" w:rsidP="0020416E">
            <w:pPr>
              <w:spacing w:before="120"/>
              <w:jc w:val="right"/>
              <w:rPr>
                <w:rFonts w:cs="Arial"/>
                <w:color w:val="000000"/>
                <w:sz w:val="16"/>
                <w:szCs w:val="16"/>
              </w:rPr>
            </w:pPr>
            <w:r w:rsidRPr="0027745B">
              <w:rPr>
                <w:rFonts w:cs="Arial"/>
                <w:color w:val="000000"/>
                <w:sz w:val="16"/>
                <w:szCs w:val="16"/>
              </w:rPr>
              <w:t xml:space="preserve">8,790 </w:t>
            </w:r>
          </w:p>
        </w:tc>
        <w:tc>
          <w:tcPr>
            <w:tcW w:w="1400" w:type="dxa"/>
            <w:tcBorders>
              <w:top w:val="nil"/>
              <w:left w:val="nil"/>
              <w:bottom w:val="nil"/>
              <w:right w:val="nil"/>
            </w:tcBorders>
            <w:shd w:val="clear" w:color="000000" w:fill="FFFFFF"/>
            <w:vAlign w:val="center"/>
            <w:hideMark/>
          </w:tcPr>
          <w:p w:rsidR="000B5438" w:rsidRPr="0027745B" w:rsidRDefault="000B5438" w:rsidP="0020416E">
            <w:pPr>
              <w:spacing w:before="120"/>
              <w:jc w:val="right"/>
              <w:rPr>
                <w:rFonts w:cs="Arial"/>
                <w:color w:val="000000"/>
                <w:sz w:val="16"/>
                <w:szCs w:val="16"/>
              </w:rPr>
            </w:pPr>
            <w:r w:rsidRPr="0027745B">
              <w:rPr>
                <w:rFonts w:cs="Arial"/>
                <w:color w:val="000000"/>
                <w:sz w:val="16"/>
                <w:szCs w:val="16"/>
              </w:rPr>
              <w:t xml:space="preserve">9,942 </w:t>
            </w:r>
          </w:p>
        </w:tc>
        <w:tc>
          <w:tcPr>
            <w:tcW w:w="1400" w:type="dxa"/>
            <w:tcBorders>
              <w:top w:val="nil"/>
              <w:left w:val="nil"/>
              <w:bottom w:val="nil"/>
              <w:right w:val="single" w:sz="4" w:space="0" w:color="auto"/>
            </w:tcBorders>
            <w:shd w:val="clear" w:color="000000" w:fill="FFFFFF"/>
            <w:vAlign w:val="center"/>
            <w:hideMark/>
          </w:tcPr>
          <w:p w:rsidR="000B5438" w:rsidRPr="0027745B" w:rsidRDefault="000B5438" w:rsidP="0020416E">
            <w:pPr>
              <w:spacing w:before="120"/>
              <w:jc w:val="right"/>
              <w:rPr>
                <w:rFonts w:cs="Arial"/>
                <w:color w:val="000000"/>
                <w:sz w:val="16"/>
                <w:szCs w:val="16"/>
              </w:rPr>
            </w:pPr>
            <w:r w:rsidRPr="0027745B">
              <w:rPr>
                <w:rFonts w:cs="Arial"/>
                <w:color w:val="000000"/>
                <w:sz w:val="16"/>
                <w:szCs w:val="16"/>
              </w:rPr>
              <w:t xml:space="preserve">9,970 </w:t>
            </w:r>
          </w:p>
        </w:tc>
      </w:tr>
      <w:tr w:rsidR="000B5438" w:rsidRPr="006A1F93" w:rsidTr="0020416E">
        <w:tc>
          <w:tcPr>
            <w:tcW w:w="501" w:type="dxa"/>
            <w:tcBorders>
              <w:top w:val="nil"/>
              <w:left w:val="single" w:sz="4" w:space="0" w:color="auto"/>
              <w:bottom w:val="single" w:sz="4" w:space="0" w:color="auto"/>
              <w:right w:val="nil"/>
            </w:tcBorders>
            <w:shd w:val="clear" w:color="000000" w:fill="FFFFFF"/>
            <w:noWrap/>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IX.3</w:t>
            </w:r>
          </w:p>
        </w:tc>
        <w:tc>
          <w:tcPr>
            <w:tcW w:w="4607" w:type="dxa"/>
            <w:tcBorders>
              <w:top w:val="nil"/>
              <w:left w:val="nil"/>
              <w:bottom w:val="single" w:sz="4" w:space="0" w:color="auto"/>
              <w:right w:val="nil"/>
            </w:tcBorders>
            <w:shd w:val="clear" w:color="000000" w:fill="FFFFFF"/>
            <w:hideMark/>
          </w:tcPr>
          <w:p w:rsidR="000B5438" w:rsidRPr="0027745B" w:rsidRDefault="000B5438" w:rsidP="0020416E">
            <w:pPr>
              <w:spacing w:before="120" w:after="120"/>
              <w:rPr>
                <w:rFonts w:cs="Arial"/>
                <w:color w:val="000000"/>
                <w:sz w:val="16"/>
                <w:szCs w:val="16"/>
              </w:rPr>
            </w:pPr>
            <w:r w:rsidRPr="0027745B">
              <w:rPr>
                <w:rFonts w:cs="Arial"/>
                <w:color w:val="000000"/>
                <w:sz w:val="16"/>
                <w:szCs w:val="16"/>
              </w:rPr>
              <w:t>Well managed, diversified, motivated and appropriately skilled professional workforce</w:t>
            </w:r>
          </w:p>
        </w:tc>
        <w:tc>
          <w:tcPr>
            <w:tcW w:w="1399" w:type="dxa"/>
            <w:tcBorders>
              <w:top w:val="nil"/>
              <w:left w:val="nil"/>
              <w:bottom w:val="single" w:sz="4" w:space="0" w:color="auto"/>
              <w:right w:val="nil"/>
            </w:tcBorders>
            <w:shd w:val="clear" w:color="000000" w:fill="FFFFFF"/>
            <w:vAlign w:val="center"/>
            <w:hideMark/>
          </w:tcPr>
          <w:p w:rsidR="000B5438" w:rsidRPr="0027745B" w:rsidRDefault="000B5438" w:rsidP="0020416E">
            <w:pPr>
              <w:spacing w:before="120" w:after="120"/>
              <w:jc w:val="right"/>
              <w:rPr>
                <w:rFonts w:cs="Arial"/>
                <w:color w:val="000000"/>
                <w:sz w:val="16"/>
                <w:szCs w:val="16"/>
              </w:rPr>
            </w:pPr>
            <w:r w:rsidRPr="0027745B">
              <w:rPr>
                <w:rFonts w:cs="Arial"/>
                <w:color w:val="000000"/>
                <w:sz w:val="16"/>
                <w:szCs w:val="16"/>
              </w:rPr>
              <w:t xml:space="preserve">12,703 </w:t>
            </w:r>
          </w:p>
        </w:tc>
        <w:tc>
          <w:tcPr>
            <w:tcW w:w="1400" w:type="dxa"/>
            <w:tcBorders>
              <w:top w:val="nil"/>
              <w:left w:val="nil"/>
              <w:bottom w:val="single" w:sz="4" w:space="0" w:color="auto"/>
              <w:right w:val="nil"/>
            </w:tcBorders>
            <w:shd w:val="clear" w:color="000000" w:fill="FFFFFF"/>
            <w:vAlign w:val="center"/>
            <w:hideMark/>
          </w:tcPr>
          <w:p w:rsidR="000B5438" w:rsidRPr="0027745B" w:rsidRDefault="000B5438" w:rsidP="0020416E">
            <w:pPr>
              <w:spacing w:before="120" w:after="120"/>
              <w:jc w:val="right"/>
              <w:rPr>
                <w:rFonts w:cs="Arial"/>
                <w:color w:val="000000"/>
                <w:sz w:val="16"/>
                <w:szCs w:val="16"/>
              </w:rPr>
            </w:pPr>
            <w:r w:rsidRPr="0027745B">
              <w:rPr>
                <w:rFonts w:cs="Arial"/>
                <w:color w:val="000000"/>
                <w:sz w:val="16"/>
                <w:szCs w:val="16"/>
              </w:rPr>
              <w:t xml:space="preserve">11,812 </w:t>
            </w:r>
          </w:p>
        </w:tc>
        <w:tc>
          <w:tcPr>
            <w:tcW w:w="1400" w:type="dxa"/>
            <w:tcBorders>
              <w:top w:val="nil"/>
              <w:left w:val="nil"/>
              <w:bottom w:val="single" w:sz="4" w:space="0" w:color="auto"/>
              <w:right w:val="single" w:sz="4" w:space="0" w:color="auto"/>
            </w:tcBorders>
            <w:shd w:val="clear" w:color="000000" w:fill="FFFFFF"/>
            <w:vAlign w:val="center"/>
            <w:hideMark/>
          </w:tcPr>
          <w:p w:rsidR="000B5438" w:rsidRPr="0027745B" w:rsidRDefault="000B5438" w:rsidP="0020416E">
            <w:pPr>
              <w:spacing w:before="120" w:after="120"/>
              <w:jc w:val="right"/>
              <w:rPr>
                <w:rFonts w:cs="Arial"/>
                <w:color w:val="000000"/>
                <w:sz w:val="16"/>
                <w:szCs w:val="16"/>
              </w:rPr>
            </w:pPr>
            <w:r w:rsidRPr="0027745B">
              <w:rPr>
                <w:rFonts w:cs="Arial"/>
                <w:color w:val="000000"/>
                <w:sz w:val="16"/>
                <w:szCs w:val="16"/>
              </w:rPr>
              <w:t>11,417</w:t>
            </w:r>
          </w:p>
        </w:tc>
      </w:tr>
      <w:tr w:rsidR="000B5438" w:rsidRPr="006A1F93" w:rsidTr="0020416E">
        <w:tc>
          <w:tcPr>
            <w:tcW w:w="501" w:type="dxa"/>
            <w:tcBorders>
              <w:top w:val="nil"/>
              <w:left w:val="single" w:sz="4" w:space="0" w:color="auto"/>
              <w:bottom w:val="single" w:sz="4" w:space="0" w:color="auto"/>
              <w:right w:val="nil"/>
            </w:tcBorders>
            <w:shd w:val="clear" w:color="000000" w:fill="CCFFFF"/>
            <w:noWrap/>
            <w:vAlign w:val="bottom"/>
            <w:hideMark/>
          </w:tcPr>
          <w:p w:rsidR="000B5438" w:rsidRPr="0027745B" w:rsidRDefault="000B5438" w:rsidP="0020416E">
            <w:pPr>
              <w:spacing w:before="120" w:after="120"/>
              <w:jc w:val="center"/>
              <w:rPr>
                <w:rFonts w:cs="Arial"/>
                <w:b/>
                <w:bCs/>
                <w:color w:val="000000"/>
                <w:sz w:val="16"/>
                <w:szCs w:val="16"/>
              </w:rPr>
            </w:pPr>
            <w:r w:rsidRPr="0027745B">
              <w:rPr>
                <w:rFonts w:cs="Arial"/>
                <w:b/>
                <w:bCs/>
                <w:color w:val="000000"/>
                <w:sz w:val="16"/>
                <w:szCs w:val="16"/>
              </w:rPr>
              <w:t> </w:t>
            </w:r>
          </w:p>
        </w:tc>
        <w:tc>
          <w:tcPr>
            <w:tcW w:w="4607" w:type="dxa"/>
            <w:tcBorders>
              <w:top w:val="nil"/>
              <w:left w:val="nil"/>
              <w:bottom w:val="single" w:sz="4" w:space="0" w:color="auto"/>
              <w:right w:val="nil"/>
            </w:tcBorders>
            <w:shd w:val="clear" w:color="000000" w:fill="CCFFFF"/>
            <w:noWrap/>
            <w:vAlign w:val="center"/>
            <w:hideMark/>
          </w:tcPr>
          <w:p w:rsidR="000B5438" w:rsidRPr="0027745B" w:rsidRDefault="000B5438" w:rsidP="0020416E">
            <w:pPr>
              <w:spacing w:before="120" w:after="120"/>
              <w:rPr>
                <w:rFonts w:cs="Arial"/>
                <w:b/>
                <w:bCs/>
                <w:color w:val="000000"/>
                <w:sz w:val="16"/>
                <w:szCs w:val="16"/>
              </w:rPr>
            </w:pPr>
            <w:r w:rsidRPr="0027745B">
              <w:rPr>
                <w:rFonts w:cs="Arial"/>
                <w:b/>
                <w:bCs/>
                <w:color w:val="000000"/>
                <w:sz w:val="16"/>
                <w:szCs w:val="16"/>
              </w:rPr>
              <w:t>Total</w:t>
            </w:r>
          </w:p>
        </w:tc>
        <w:tc>
          <w:tcPr>
            <w:tcW w:w="1399" w:type="dxa"/>
            <w:tcBorders>
              <w:top w:val="nil"/>
              <w:left w:val="single" w:sz="4" w:space="0" w:color="auto"/>
              <w:bottom w:val="single" w:sz="4" w:space="0" w:color="auto"/>
              <w:right w:val="single" w:sz="4" w:space="0" w:color="auto"/>
            </w:tcBorders>
            <w:shd w:val="clear" w:color="000000" w:fill="CCFFFF"/>
            <w:vAlign w:val="center"/>
            <w:hideMark/>
          </w:tcPr>
          <w:p w:rsidR="000B5438" w:rsidRPr="0027745B" w:rsidRDefault="000B5438" w:rsidP="0020416E">
            <w:pPr>
              <w:spacing w:before="120" w:after="120"/>
              <w:jc w:val="right"/>
              <w:rPr>
                <w:rFonts w:cs="Arial"/>
                <w:b/>
                <w:bCs/>
                <w:color w:val="000000"/>
                <w:sz w:val="16"/>
                <w:szCs w:val="16"/>
              </w:rPr>
            </w:pPr>
            <w:r w:rsidRPr="0027745B">
              <w:rPr>
                <w:rFonts w:cs="Arial"/>
                <w:b/>
                <w:bCs/>
                <w:color w:val="000000"/>
                <w:sz w:val="16"/>
                <w:szCs w:val="16"/>
              </w:rPr>
              <w:t>21,493</w:t>
            </w:r>
          </w:p>
        </w:tc>
        <w:tc>
          <w:tcPr>
            <w:tcW w:w="1400" w:type="dxa"/>
            <w:tcBorders>
              <w:top w:val="nil"/>
              <w:left w:val="nil"/>
              <w:bottom w:val="single" w:sz="4" w:space="0" w:color="auto"/>
              <w:right w:val="single" w:sz="4" w:space="0" w:color="auto"/>
            </w:tcBorders>
            <w:shd w:val="clear" w:color="000000" w:fill="CCFFFF"/>
            <w:noWrap/>
            <w:vAlign w:val="center"/>
            <w:hideMark/>
          </w:tcPr>
          <w:p w:rsidR="000B5438" w:rsidRPr="0027745B" w:rsidRDefault="000B5438" w:rsidP="0020416E">
            <w:pPr>
              <w:spacing w:before="120" w:after="120"/>
              <w:jc w:val="right"/>
              <w:rPr>
                <w:rFonts w:cs="Arial"/>
                <w:b/>
                <w:bCs/>
                <w:color w:val="000000"/>
                <w:sz w:val="16"/>
                <w:szCs w:val="16"/>
              </w:rPr>
            </w:pPr>
            <w:r w:rsidRPr="0027745B">
              <w:rPr>
                <w:rFonts w:cs="Arial"/>
                <w:b/>
                <w:bCs/>
                <w:color w:val="000000"/>
                <w:sz w:val="16"/>
                <w:szCs w:val="16"/>
              </w:rPr>
              <w:t>21,754</w:t>
            </w:r>
          </w:p>
        </w:tc>
        <w:tc>
          <w:tcPr>
            <w:tcW w:w="1400" w:type="dxa"/>
            <w:tcBorders>
              <w:top w:val="nil"/>
              <w:left w:val="nil"/>
              <w:bottom w:val="single" w:sz="4" w:space="0" w:color="auto"/>
              <w:right w:val="single" w:sz="4" w:space="0" w:color="auto"/>
            </w:tcBorders>
            <w:shd w:val="clear" w:color="000000" w:fill="CCFFFF"/>
            <w:vAlign w:val="center"/>
            <w:hideMark/>
          </w:tcPr>
          <w:p w:rsidR="000B5438" w:rsidRPr="0027745B" w:rsidRDefault="000B5438" w:rsidP="0020416E">
            <w:pPr>
              <w:spacing w:before="120" w:after="120"/>
              <w:jc w:val="right"/>
              <w:rPr>
                <w:rFonts w:cs="Arial"/>
                <w:b/>
                <w:bCs/>
                <w:color w:val="000000"/>
                <w:sz w:val="16"/>
                <w:szCs w:val="16"/>
              </w:rPr>
            </w:pPr>
            <w:r w:rsidRPr="0027745B">
              <w:rPr>
                <w:rFonts w:cs="Arial"/>
                <w:b/>
                <w:bCs/>
                <w:color w:val="000000"/>
                <w:sz w:val="16"/>
                <w:szCs w:val="16"/>
              </w:rPr>
              <w:t>21,387</w:t>
            </w:r>
          </w:p>
        </w:tc>
      </w:tr>
    </w:tbl>
    <w:p w:rsidR="000B5438" w:rsidRPr="00EC3B62" w:rsidRDefault="000B5438" w:rsidP="000B5438">
      <w:pPr>
        <w:spacing w:after="200" w:line="276" w:lineRule="auto"/>
        <w:rPr>
          <w:rFonts w:asciiTheme="minorHAnsi" w:eastAsiaTheme="minorHAnsi" w:hAnsiTheme="minorHAnsi" w:cstheme="minorBidi"/>
          <w:szCs w:val="22"/>
        </w:rPr>
      </w:pPr>
    </w:p>
    <w:p w:rsidR="000B5438" w:rsidRDefault="000B5438" w:rsidP="000B5438">
      <w:pPr>
        <w:spacing w:after="200" w:line="276" w:lineRule="auto"/>
        <w:rPr>
          <w:rFonts w:asciiTheme="minorHAnsi" w:eastAsiaTheme="minorHAnsi" w:hAnsiTheme="minorHAnsi" w:cstheme="minorBidi"/>
          <w:szCs w:val="20"/>
        </w:rPr>
      </w:pPr>
    </w:p>
    <w:p w:rsidR="0020416E" w:rsidRPr="0027745B" w:rsidRDefault="0020416E" w:rsidP="000B5438">
      <w:pPr>
        <w:spacing w:after="200" w:line="276" w:lineRule="auto"/>
        <w:rPr>
          <w:rFonts w:asciiTheme="minorHAnsi" w:eastAsiaTheme="minorHAnsi" w:hAnsiTheme="minorHAnsi" w:cstheme="minorBidi"/>
          <w:szCs w:val="20"/>
        </w:rPr>
      </w:pPr>
    </w:p>
    <w:p w:rsidR="00606D8E" w:rsidRDefault="00606D8E">
      <w:pPr>
        <w:rPr>
          <w:rFonts w:eastAsiaTheme="minorEastAsia" w:cs="Arial"/>
          <w:color w:val="000000"/>
          <w:szCs w:val="20"/>
        </w:rPr>
      </w:pPr>
      <w:r>
        <w:rPr>
          <w:rFonts w:eastAsiaTheme="minorEastAsia" w:cs="Arial"/>
          <w:color w:val="000000"/>
          <w:szCs w:val="20"/>
        </w:rPr>
        <w:br w:type="page"/>
      </w:r>
    </w:p>
    <w:p w:rsidR="000B5438" w:rsidRPr="0027745B" w:rsidRDefault="000B5438" w:rsidP="000B5438">
      <w:pPr>
        <w:jc w:val="center"/>
        <w:rPr>
          <w:rFonts w:ascii="Times New Roman" w:eastAsiaTheme="minorEastAsia" w:hAnsi="Times New Roman"/>
          <w:szCs w:val="20"/>
        </w:rPr>
      </w:pPr>
      <w:r w:rsidRPr="0027745B">
        <w:rPr>
          <w:rFonts w:eastAsiaTheme="minorEastAsia" w:cs="Arial"/>
          <w:color w:val="000000"/>
          <w:szCs w:val="20"/>
        </w:rPr>
        <w:lastRenderedPageBreak/>
        <w:t xml:space="preserve">Budget and Actual Expenditure (personnel and non-personnel) </w:t>
      </w:r>
    </w:p>
    <w:p w:rsidR="000B5438" w:rsidRPr="0027745B" w:rsidRDefault="000B5438" w:rsidP="000B5438">
      <w:pPr>
        <w:jc w:val="center"/>
        <w:rPr>
          <w:rFonts w:eastAsiaTheme="minorEastAsia" w:cs="Arial"/>
          <w:i/>
          <w:iCs/>
          <w:color w:val="000000"/>
          <w:szCs w:val="20"/>
        </w:rPr>
      </w:pPr>
      <w:r w:rsidRPr="0027745B">
        <w:rPr>
          <w:rFonts w:eastAsiaTheme="minorEastAsia" w:cs="Arial"/>
          <w:i/>
          <w:iCs/>
          <w:color w:val="000000"/>
          <w:szCs w:val="20"/>
        </w:rPr>
        <w:t>(</w:t>
      </w:r>
      <w:proofErr w:type="gramStart"/>
      <w:r w:rsidRPr="0027745B">
        <w:rPr>
          <w:rFonts w:eastAsiaTheme="minorEastAsia" w:cs="Arial"/>
          <w:i/>
          <w:iCs/>
          <w:color w:val="000000"/>
          <w:szCs w:val="20"/>
        </w:rPr>
        <w:t>in</w:t>
      </w:r>
      <w:proofErr w:type="gramEnd"/>
      <w:r w:rsidRPr="0027745B">
        <w:rPr>
          <w:rFonts w:eastAsiaTheme="minorEastAsia" w:cs="Arial"/>
          <w:i/>
          <w:iCs/>
          <w:color w:val="000000"/>
          <w:szCs w:val="20"/>
        </w:rPr>
        <w:t xml:space="preserve"> thousands of Swiss francs)</w:t>
      </w:r>
    </w:p>
    <w:p w:rsidR="000B5438" w:rsidRPr="00EC3B62" w:rsidRDefault="000B5438" w:rsidP="000B5438">
      <w:pPr>
        <w:jc w:val="center"/>
        <w:rPr>
          <w:rFonts w:ascii="Times New Roman" w:eastAsiaTheme="minorEastAsia" w:hAnsi="Times New Roman"/>
          <w:sz w:val="24"/>
        </w:rPr>
      </w:pPr>
    </w:p>
    <w:tbl>
      <w:tblPr>
        <w:tblW w:w="9371" w:type="dxa"/>
        <w:tblInd w:w="93" w:type="dxa"/>
        <w:tblLook w:val="04A0" w:firstRow="1" w:lastRow="0" w:firstColumn="1" w:lastColumn="0" w:noHBand="0" w:noVBand="1"/>
      </w:tblPr>
      <w:tblGrid>
        <w:gridCol w:w="2567"/>
        <w:gridCol w:w="1701"/>
        <w:gridCol w:w="1701"/>
        <w:gridCol w:w="1701"/>
        <w:gridCol w:w="1701"/>
      </w:tblGrid>
      <w:tr w:rsidR="000B5438" w:rsidRPr="0020416E" w:rsidTr="007C0423">
        <w:trPr>
          <w:trHeight w:val="466"/>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0B5438" w:rsidRPr="0020416E" w:rsidRDefault="000B5438" w:rsidP="0020416E">
            <w:pPr>
              <w:spacing w:before="120" w:after="120"/>
              <w:rPr>
                <w:rFonts w:cs="Arial"/>
                <w:color w:val="000000"/>
                <w:sz w:val="16"/>
                <w:szCs w:val="16"/>
              </w:rPr>
            </w:pPr>
            <w:r w:rsidRPr="0020416E">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0B5438" w:rsidRPr="0020416E" w:rsidRDefault="000B5438" w:rsidP="0020416E">
            <w:pPr>
              <w:spacing w:before="120" w:after="120"/>
              <w:jc w:val="center"/>
              <w:rPr>
                <w:rFonts w:cs="Arial"/>
                <w:bCs/>
                <w:color w:val="000000"/>
                <w:sz w:val="16"/>
                <w:szCs w:val="16"/>
              </w:rPr>
            </w:pPr>
            <w:r w:rsidRPr="0020416E">
              <w:rPr>
                <w:rFonts w:cs="Arial"/>
                <w:bCs/>
                <w:color w:val="000000"/>
                <w:sz w:val="16"/>
                <w:szCs w:val="16"/>
              </w:rPr>
              <w:t>Utilization rate (%)</w:t>
            </w:r>
          </w:p>
        </w:tc>
      </w:tr>
      <w:tr w:rsidR="000B5438" w:rsidRPr="006A1F93" w:rsidTr="007C0423">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0416E">
            <w:pPr>
              <w:spacing w:before="120" w:after="120"/>
              <w:rPr>
                <w:rFonts w:cs="Arial"/>
                <w:color w:val="000000"/>
                <w:sz w:val="16"/>
                <w:szCs w:val="16"/>
              </w:rPr>
            </w:pPr>
            <w:r w:rsidRPr="0027745B">
              <w:rPr>
                <w:rFonts w:cs="Arial"/>
                <w:color w:val="000000"/>
                <w:sz w:val="16"/>
                <w:szCs w:val="16"/>
              </w:rPr>
              <w:t xml:space="preserve">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16,832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17,294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17,294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100%</w:t>
            </w:r>
          </w:p>
        </w:tc>
      </w:tr>
      <w:tr w:rsidR="000B5438" w:rsidRPr="006A1F93" w:rsidTr="007C0423">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0416E">
            <w:pPr>
              <w:spacing w:before="120" w:after="120"/>
              <w:rPr>
                <w:rFonts w:cs="Arial"/>
                <w:color w:val="000000"/>
                <w:sz w:val="16"/>
                <w:szCs w:val="16"/>
              </w:rPr>
            </w:pPr>
            <w:r w:rsidRPr="0027745B">
              <w:rPr>
                <w:rFonts w:cs="Arial"/>
                <w:color w:val="000000"/>
                <w:sz w:val="16"/>
                <w:szCs w:val="16"/>
              </w:rPr>
              <w:t xml:space="preserve">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4,661</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4,461</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4,093</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color w:val="000000"/>
                <w:sz w:val="16"/>
                <w:szCs w:val="16"/>
              </w:rPr>
            </w:pPr>
            <w:r w:rsidRPr="0027745B">
              <w:rPr>
                <w:rFonts w:cs="Arial"/>
                <w:color w:val="000000"/>
                <w:sz w:val="16"/>
                <w:szCs w:val="16"/>
              </w:rPr>
              <w:t>92%</w:t>
            </w:r>
          </w:p>
        </w:tc>
      </w:tr>
      <w:tr w:rsidR="000B5438" w:rsidRPr="006A1F93" w:rsidTr="007C0423">
        <w:trPr>
          <w:trHeight w:val="52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0B5438" w:rsidRPr="0027745B" w:rsidRDefault="000B5438" w:rsidP="0020416E">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b/>
                <w:bCs/>
                <w:color w:val="000000"/>
                <w:sz w:val="16"/>
                <w:szCs w:val="16"/>
              </w:rPr>
            </w:pPr>
            <w:r w:rsidRPr="0027745B">
              <w:rPr>
                <w:rFonts w:cs="Arial"/>
                <w:b/>
                <w:bCs/>
                <w:color w:val="000000"/>
                <w:sz w:val="16"/>
                <w:szCs w:val="16"/>
              </w:rPr>
              <w:t>21,493</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b/>
                <w:color w:val="000000"/>
                <w:sz w:val="16"/>
                <w:szCs w:val="16"/>
              </w:rPr>
            </w:pPr>
            <w:r w:rsidRPr="0027745B">
              <w:rPr>
                <w:rFonts w:cs="Arial"/>
                <w:b/>
                <w:color w:val="000000"/>
                <w:sz w:val="16"/>
                <w:szCs w:val="16"/>
              </w:rPr>
              <w:t>21,754</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b/>
                <w:color w:val="000000"/>
                <w:sz w:val="16"/>
                <w:szCs w:val="16"/>
              </w:rPr>
            </w:pPr>
            <w:r w:rsidRPr="0027745B">
              <w:rPr>
                <w:rFonts w:cs="Arial"/>
                <w:b/>
                <w:color w:val="000000"/>
                <w:sz w:val="16"/>
                <w:szCs w:val="16"/>
              </w:rPr>
              <w:t>21,387</w:t>
            </w:r>
          </w:p>
        </w:tc>
        <w:tc>
          <w:tcPr>
            <w:tcW w:w="1701" w:type="dxa"/>
            <w:tcBorders>
              <w:top w:val="nil"/>
              <w:left w:val="nil"/>
              <w:bottom w:val="single" w:sz="4" w:space="0" w:color="auto"/>
              <w:right w:val="single" w:sz="4" w:space="0" w:color="auto"/>
            </w:tcBorders>
            <w:shd w:val="clear" w:color="auto" w:fill="auto"/>
            <w:vAlign w:val="center"/>
            <w:hideMark/>
          </w:tcPr>
          <w:p w:rsidR="000B5438" w:rsidRPr="0027745B" w:rsidRDefault="000B5438" w:rsidP="0020416E">
            <w:pPr>
              <w:spacing w:before="120" w:after="120"/>
              <w:jc w:val="center"/>
              <w:rPr>
                <w:rFonts w:cs="Arial"/>
                <w:b/>
                <w:color w:val="000000"/>
                <w:sz w:val="16"/>
                <w:szCs w:val="16"/>
              </w:rPr>
            </w:pPr>
            <w:r w:rsidRPr="0027745B">
              <w:rPr>
                <w:rFonts w:cs="Arial"/>
                <w:b/>
                <w:color w:val="000000"/>
                <w:sz w:val="16"/>
                <w:szCs w:val="16"/>
              </w:rPr>
              <w:t>98%</w:t>
            </w:r>
          </w:p>
        </w:tc>
      </w:tr>
    </w:tbl>
    <w:p w:rsidR="000B5438" w:rsidRDefault="000B5438" w:rsidP="000B5438">
      <w:pPr>
        <w:rPr>
          <w:rFonts w:cs="Arial"/>
          <w:szCs w:val="22"/>
        </w:rPr>
      </w:pPr>
    </w:p>
    <w:p w:rsidR="000B5438" w:rsidRDefault="000B5438" w:rsidP="000B5438">
      <w:pPr>
        <w:keepNext/>
        <w:autoSpaceDE w:val="0"/>
        <w:autoSpaceDN w:val="0"/>
        <w:rPr>
          <w:sz w:val="16"/>
          <w:szCs w:val="16"/>
        </w:rPr>
      </w:pPr>
      <w:r>
        <w:rPr>
          <w:sz w:val="16"/>
          <w:szCs w:val="16"/>
        </w:rPr>
        <w:t>NOTES:</w:t>
      </w:r>
    </w:p>
    <w:p w:rsidR="000B5438" w:rsidRDefault="000B5438" w:rsidP="000B5438">
      <w:pPr>
        <w:keepNext/>
        <w:autoSpaceDE w:val="0"/>
        <w:autoSpaceDN w:val="0"/>
        <w:rPr>
          <w:sz w:val="16"/>
          <w:szCs w:val="16"/>
        </w:rPr>
      </w:pPr>
    </w:p>
    <w:p w:rsidR="000B5438" w:rsidRDefault="000B5438" w:rsidP="000B5438">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0B5438" w:rsidRDefault="000B5438" w:rsidP="000B5438">
      <w:pPr>
        <w:keepNext/>
        <w:autoSpaceDE w:val="0"/>
        <w:autoSpaceDN w:val="0"/>
        <w:rPr>
          <w:sz w:val="16"/>
          <w:szCs w:val="16"/>
        </w:rPr>
      </w:pPr>
    </w:p>
    <w:p w:rsidR="000B5438" w:rsidRDefault="00DC2CFA" w:rsidP="000B5438">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0B5438">
        <w:rPr>
          <w:sz w:val="16"/>
          <w:szCs w:val="16"/>
        </w:rPr>
        <w:t xml:space="preserve"> </w:t>
      </w:r>
    </w:p>
    <w:p w:rsidR="000B5438" w:rsidRDefault="000B5438" w:rsidP="000B5438">
      <w:pPr>
        <w:keepNext/>
        <w:autoSpaceDE w:val="0"/>
        <w:autoSpaceDN w:val="0"/>
        <w:rPr>
          <w:sz w:val="16"/>
          <w:szCs w:val="16"/>
        </w:rPr>
      </w:pPr>
    </w:p>
    <w:p w:rsidR="000B5438" w:rsidRDefault="000B5438" w:rsidP="000B5438">
      <w:pPr>
        <w:rPr>
          <w:rFonts w:cs="Arial"/>
          <w:szCs w:val="22"/>
        </w:rPr>
      </w:pPr>
    </w:p>
    <w:p w:rsidR="000B5438" w:rsidRPr="0027745B" w:rsidRDefault="000B5438" w:rsidP="000B5438">
      <w:pPr>
        <w:tabs>
          <w:tab w:val="left" w:pos="709"/>
        </w:tabs>
        <w:autoSpaceDE w:val="0"/>
        <w:autoSpaceDN w:val="0"/>
        <w:adjustRightInd w:val="0"/>
        <w:rPr>
          <w:rFonts w:cs="Arial"/>
          <w:szCs w:val="20"/>
          <w:u w:val="single"/>
        </w:rPr>
      </w:pPr>
      <w:r w:rsidRPr="000B5438">
        <w:rPr>
          <w:rFonts w:cs="Arial"/>
          <w:szCs w:val="20"/>
        </w:rPr>
        <w:t xml:space="preserve">A. </w:t>
      </w:r>
      <w:r w:rsidRPr="000B5438">
        <w:rPr>
          <w:rFonts w:cs="Arial"/>
          <w:szCs w:val="20"/>
        </w:rPr>
        <w:tab/>
      </w:r>
      <w:r w:rsidRPr="0027745B">
        <w:rPr>
          <w:rFonts w:cs="Arial"/>
          <w:szCs w:val="20"/>
          <w:u w:val="single"/>
        </w:rPr>
        <w:t>Budget after Transfers 2012/13</w:t>
      </w:r>
    </w:p>
    <w:p w:rsidR="000B5438" w:rsidRPr="0027745B" w:rsidRDefault="000B5438" w:rsidP="000B5438">
      <w:pPr>
        <w:rPr>
          <w:szCs w:val="20"/>
        </w:rPr>
      </w:pPr>
    </w:p>
    <w:p w:rsidR="000B5438" w:rsidRDefault="000B5438" w:rsidP="000B5438">
      <w:pPr>
        <w:tabs>
          <w:tab w:val="left" w:pos="709"/>
        </w:tabs>
        <w:autoSpaceDE w:val="0"/>
        <w:autoSpaceDN w:val="0"/>
        <w:adjustRightInd w:val="0"/>
        <w:jc w:val="both"/>
        <w:rPr>
          <w:rFonts w:cs="Arial"/>
          <w:szCs w:val="20"/>
        </w:rPr>
      </w:pPr>
      <w:r w:rsidRPr="0027745B">
        <w:rPr>
          <w:rFonts w:cs="Arial"/>
          <w:szCs w:val="20"/>
        </w:rPr>
        <w:t xml:space="preserve">23.14. </w:t>
      </w:r>
      <w:r>
        <w:rPr>
          <w:rFonts w:cs="Arial"/>
          <w:szCs w:val="20"/>
        </w:rPr>
        <w:tab/>
      </w:r>
      <w:r w:rsidRPr="0027745B">
        <w:rPr>
          <w:rFonts w:cs="Arial"/>
          <w:szCs w:val="20"/>
        </w:rPr>
        <w:t xml:space="preserve">The overall net increase in resources allocated to the Program primarily affects Result IX.1 (Effective, efficient, quality and customer-oriented support services) and is primarily due to: </w:t>
      </w:r>
    </w:p>
    <w:p w:rsidR="000B5438" w:rsidRPr="0027745B" w:rsidRDefault="000B5438" w:rsidP="000B5438">
      <w:pPr>
        <w:tabs>
          <w:tab w:val="left" w:pos="709"/>
        </w:tabs>
        <w:autoSpaceDE w:val="0"/>
        <w:autoSpaceDN w:val="0"/>
        <w:adjustRightInd w:val="0"/>
        <w:jc w:val="both"/>
        <w:rPr>
          <w:rFonts w:cs="Arial"/>
          <w:szCs w:val="20"/>
        </w:rPr>
      </w:pPr>
    </w:p>
    <w:p w:rsidR="000B5438" w:rsidRPr="0027745B" w:rsidRDefault="000B5438" w:rsidP="005703CF">
      <w:pPr>
        <w:pStyle w:val="ListParagraph"/>
        <w:numPr>
          <w:ilvl w:val="0"/>
          <w:numId w:val="62"/>
        </w:numPr>
        <w:autoSpaceDE w:val="0"/>
        <w:autoSpaceDN w:val="0"/>
        <w:adjustRightInd w:val="0"/>
        <w:ind w:left="993" w:hanging="284"/>
        <w:jc w:val="both"/>
        <w:rPr>
          <w:rFonts w:cs="Arial"/>
        </w:rPr>
      </w:pPr>
      <w:r w:rsidRPr="0027745B">
        <w:rPr>
          <w:rFonts w:cs="Arial"/>
        </w:rPr>
        <w:t xml:space="preserve">incremental personnel costs related to the implementation of the new SRR, the contract reform, and the ERP HR stream; </w:t>
      </w:r>
    </w:p>
    <w:p w:rsidR="000B5438" w:rsidRPr="0027745B" w:rsidRDefault="000B5438" w:rsidP="005703CF">
      <w:pPr>
        <w:pStyle w:val="ListParagraph"/>
        <w:numPr>
          <w:ilvl w:val="0"/>
          <w:numId w:val="62"/>
        </w:numPr>
        <w:autoSpaceDE w:val="0"/>
        <w:autoSpaceDN w:val="0"/>
        <w:adjustRightInd w:val="0"/>
        <w:ind w:left="993" w:hanging="284"/>
        <w:jc w:val="both"/>
        <w:rPr>
          <w:rFonts w:cs="Arial"/>
        </w:rPr>
      </w:pPr>
      <w:r w:rsidRPr="0027745B">
        <w:rPr>
          <w:rFonts w:cs="Arial"/>
        </w:rPr>
        <w:t xml:space="preserve">increased customer orientation and enhanced support services provided to managers as well as staff; </w:t>
      </w:r>
    </w:p>
    <w:p w:rsidR="000B5438" w:rsidRPr="0027745B" w:rsidRDefault="000B5438" w:rsidP="005703CF">
      <w:pPr>
        <w:pStyle w:val="ListParagraph"/>
        <w:numPr>
          <w:ilvl w:val="0"/>
          <w:numId w:val="62"/>
        </w:numPr>
        <w:autoSpaceDE w:val="0"/>
        <w:autoSpaceDN w:val="0"/>
        <w:adjustRightInd w:val="0"/>
        <w:ind w:left="993" w:hanging="284"/>
        <w:jc w:val="both"/>
        <w:rPr>
          <w:rFonts w:cs="Arial"/>
        </w:rPr>
      </w:pPr>
      <w:r w:rsidRPr="0027745B">
        <w:rPr>
          <w:rFonts w:cs="Arial"/>
        </w:rPr>
        <w:t xml:space="preserve">increased costs of WIPO’s agreement with UNOG for the provision of medical services; </w:t>
      </w:r>
      <w:r w:rsidR="00606D8E">
        <w:rPr>
          <w:rFonts w:cs="Arial"/>
        </w:rPr>
        <w:t xml:space="preserve"> </w:t>
      </w:r>
      <w:r w:rsidRPr="0027745B">
        <w:rPr>
          <w:rFonts w:cs="Arial"/>
        </w:rPr>
        <w:t xml:space="preserve">and, </w:t>
      </w:r>
    </w:p>
    <w:p w:rsidR="000B5438" w:rsidRPr="0027745B" w:rsidRDefault="000B5438" w:rsidP="005703CF">
      <w:pPr>
        <w:pStyle w:val="ListParagraph"/>
        <w:numPr>
          <w:ilvl w:val="0"/>
          <w:numId w:val="62"/>
        </w:numPr>
        <w:autoSpaceDE w:val="0"/>
        <w:autoSpaceDN w:val="0"/>
        <w:adjustRightInd w:val="0"/>
        <w:ind w:left="993" w:hanging="284"/>
        <w:jc w:val="both"/>
        <w:rPr>
          <w:rFonts w:cs="Arial"/>
        </w:rPr>
      </w:pPr>
      <w:proofErr w:type="gramStart"/>
      <w:r w:rsidRPr="0027745B">
        <w:rPr>
          <w:rFonts w:cs="Arial"/>
        </w:rPr>
        <w:t>enhanced</w:t>
      </w:r>
      <w:proofErr w:type="gramEnd"/>
      <w:r w:rsidRPr="0027745B">
        <w:rPr>
          <w:rFonts w:cs="Arial"/>
        </w:rPr>
        <w:t xml:space="preserve"> support in respect of gender balance and geographical diversity in the Organization. </w:t>
      </w:r>
    </w:p>
    <w:p w:rsidR="000B5438" w:rsidRDefault="000B5438" w:rsidP="000B5438">
      <w:pPr>
        <w:jc w:val="both"/>
        <w:rPr>
          <w:rFonts w:cs="Arial"/>
          <w:szCs w:val="20"/>
        </w:rPr>
      </w:pPr>
    </w:p>
    <w:p w:rsidR="000B5438" w:rsidRPr="0027745B" w:rsidRDefault="000B5438" w:rsidP="000B5438">
      <w:pPr>
        <w:jc w:val="both"/>
        <w:rPr>
          <w:rFonts w:cs="Arial"/>
          <w:szCs w:val="20"/>
        </w:rPr>
      </w:pPr>
      <w:r w:rsidRPr="0027745B">
        <w:rPr>
          <w:rFonts w:cs="Arial"/>
          <w:szCs w:val="20"/>
        </w:rPr>
        <w:t>The above also resulted in a shift of resources from Result IX.3 (Well managed, diversified, motivated and appropriately skilled professional workforce) to Result IX.1 (Effective, efficient, quality and customer-oriented support services).</w:t>
      </w:r>
    </w:p>
    <w:p w:rsidR="000B5438" w:rsidRPr="0027745B" w:rsidRDefault="000B5438" w:rsidP="000B5438">
      <w:pPr>
        <w:jc w:val="both"/>
        <w:rPr>
          <w:rFonts w:cs="Arial"/>
          <w:szCs w:val="20"/>
        </w:rPr>
      </w:pPr>
    </w:p>
    <w:p w:rsidR="000B5438" w:rsidRPr="0027745B" w:rsidRDefault="000B5438" w:rsidP="000B5438">
      <w:pPr>
        <w:tabs>
          <w:tab w:val="left" w:pos="709"/>
        </w:tabs>
        <w:jc w:val="both"/>
        <w:rPr>
          <w:rFonts w:cs="Arial"/>
          <w:szCs w:val="20"/>
          <w:u w:val="single"/>
        </w:rPr>
      </w:pPr>
      <w:r w:rsidRPr="000B5438">
        <w:rPr>
          <w:rFonts w:cs="Arial"/>
          <w:szCs w:val="20"/>
        </w:rPr>
        <w:t xml:space="preserve">B: </w:t>
      </w:r>
      <w:r w:rsidRPr="000B5438">
        <w:rPr>
          <w:rFonts w:cs="Arial"/>
          <w:szCs w:val="20"/>
        </w:rPr>
        <w:tab/>
      </w:r>
      <w:r w:rsidR="00D44A34">
        <w:rPr>
          <w:rFonts w:cs="Arial"/>
          <w:szCs w:val="20"/>
          <w:u w:val="single"/>
        </w:rPr>
        <w:t>Budget U</w:t>
      </w:r>
      <w:r w:rsidRPr="0027745B">
        <w:rPr>
          <w:rFonts w:cs="Arial"/>
          <w:szCs w:val="20"/>
          <w:u w:val="single"/>
        </w:rPr>
        <w:t>tilization</w:t>
      </w:r>
      <w:r w:rsidR="00D44A34">
        <w:rPr>
          <w:rFonts w:cs="Arial"/>
          <w:szCs w:val="20"/>
          <w:u w:val="single"/>
        </w:rPr>
        <w:t xml:space="preserve"> 2012/13</w:t>
      </w:r>
    </w:p>
    <w:p w:rsidR="000B5438" w:rsidRPr="0027745B" w:rsidRDefault="000B5438" w:rsidP="000B5438">
      <w:pPr>
        <w:jc w:val="both"/>
        <w:rPr>
          <w:rFonts w:cs="Arial"/>
          <w:szCs w:val="20"/>
        </w:rPr>
      </w:pPr>
    </w:p>
    <w:p w:rsidR="000B5438" w:rsidRPr="0027745B" w:rsidRDefault="000B5438" w:rsidP="000B5438">
      <w:pPr>
        <w:tabs>
          <w:tab w:val="left" w:pos="709"/>
        </w:tabs>
        <w:jc w:val="both"/>
        <w:rPr>
          <w:rFonts w:cs="Arial"/>
          <w:szCs w:val="20"/>
        </w:rPr>
      </w:pPr>
      <w:r>
        <w:rPr>
          <w:rFonts w:cs="Arial"/>
          <w:szCs w:val="20"/>
        </w:rPr>
        <w:t>23.15.</w:t>
      </w:r>
      <w:r>
        <w:rPr>
          <w:rFonts w:cs="Arial"/>
          <w:szCs w:val="20"/>
        </w:rPr>
        <w:tab/>
      </w:r>
      <w:r w:rsidRPr="0027745B">
        <w:rPr>
          <w:rFonts w:cs="Arial"/>
          <w:szCs w:val="20"/>
        </w:rPr>
        <w:t xml:space="preserve">The 92 per cent budget utilization rate reflects lower than anticipated spending on: </w:t>
      </w:r>
      <w:r w:rsidR="00606D8E">
        <w:rPr>
          <w:rFonts w:cs="Arial"/>
          <w:szCs w:val="20"/>
        </w:rPr>
        <w:t xml:space="preserve"> </w:t>
      </w:r>
      <w:r w:rsidRPr="0027745B">
        <w:rPr>
          <w:rFonts w:cs="Arial"/>
          <w:szCs w:val="20"/>
        </w:rPr>
        <w:t>maternity and sickness backup</w:t>
      </w:r>
      <w:r w:rsidR="00B44D3B" w:rsidRPr="0027745B">
        <w:rPr>
          <w:rFonts w:cs="Arial"/>
          <w:szCs w:val="20"/>
        </w:rPr>
        <w:t xml:space="preserve">; </w:t>
      </w:r>
      <w:r w:rsidR="002C4DAD">
        <w:rPr>
          <w:rFonts w:cs="Arial"/>
          <w:szCs w:val="20"/>
        </w:rPr>
        <w:t xml:space="preserve">the </w:t>
      </w:r>
      <w:r w:rsidR="00B44D3B">
        <w:rPr>
          <w:rFonts w:cs="Arial"/>
          <w:szCs w:val="20"/>
        </w:rPr>
        <w:t>WIPO</w:t>
      </w:r>
      <w:r w:rsidRPr="0027745B">
        <w:rPr>
          <w:rFonts w:cs="Arial"/>
          <w:szCs w:val="20"/>
        </w:rPr>
        <w:t xml:space="preserve"> Appeal Board and ILO Administrative Tribunal</w:t>
      </w:r>
      <w:proofErr w:type="gramStart"/>
      <w:r w:rsidR="00B44D3B" w:rsidRPr="0027745B">
        <w:rPr>
          <w:rFonts w:cs="Arial"/>
          <w:szCs w:val="20"/>
        </w:rPr>
        <w:t xml:space="preserve">; </w:t>
      </w:r>
      <w:r w:rsidR="002C4DAD">
        <w:rPr>
          <w:rFonts w:cs="Arial"/>
          <w:szCs w:val="20"/>
        </w:rPr>
        <w:t xml:space="preserve"> </w:t>
      </w:r>
      <w:r w:rsidR="00B44D3B">
        <w:rPr>
          <w:rFonts w:cs="Arial"/>
          <w:szCs w:val="20"/>
        </w:rPr>
        <w:t>and</w:t>
      </w:r>
      <w:proofErr w:type="gramEnd"/>
      <w:r w:rsidRPr="0027745B">
        <w:rPr>
          <w:rFonts w:cs="Arial"/>
          <w:szCs w:val="20"/>
        </w:rPr>
        <w:t xml:space="preserve"> classification activities.</w:t>
      </w:r>
    </w:p>
    <w:p w:rsidR="000B5438" w:rsidRDefault="000B5438">
      <w:pPr>
        <w:rPr>
          <w:rFonts w:eastAsia="SimSun"/>
          <w:color w:val="000000"/>
          <w:szCs w:val="20"/>
          <w:lang w:eastAsia="zh-CN"/>
        </w:rPr>
      </w:pPr>
      <w:r>
        <w:rPr>
          <w:rFonts w:eastAsia="SimSun"/>
          <w:color w:val="000000"/>
          <w:szCs w:val="20"/>
          <w:lang w:eastAsia="zh-CN"/>
        </w:rPr>
        <w:br w:type="page"/>
      </w:r>
    </w:p>
    <w:p w:rsidR="0028218A" w:rsidRPr="003E5EDF" w:rsidRDefault="003E5EDF" w:rsidP="003E5EDF">
      <w:pPr>
        <w:pStyle w:val="Heading3"/>
      </w:pPr>
      <w:bookmarkStart w:id="65" w:name="_Toc393956075"/>
      <w:r>
        <w:lastRenderedPageBreak/>
        <w:t>Program 24</w:t>
      </w:r>
      <w:r>
        <w:tab/>
      </w:r>
      <w:r w:rsidRPr="003E5EDF">
        <w:t>General Support Services</w:t>
      </w:r>
      <w:bookmarkEnd w:id="65"/>
    </w:p>
    <w:p w:rsidR="0028218A" w:rsidRPr="004C1F6C" w:rsidRDefault="0028218A" w:rsidP="0028218A">
      <w:pPr>
        <w:ind w:left="2268" w:hanging="2268"/>
        <w:rPr>
          <w:rFonts w:cs="Arial"/>
          <w:b/>
          <w:szCs w:val="22"/>
        </w:rPr>
      </w:pPr>
    </w:p>
    <w:p w:rsidR="0028218A" w:rsidRPr="004C1F6C" w:rsidRDefault="0028218A" w:rsidP="0028218A">
      <w:pPr>
        <w:ind w:left="2268" w:hanging="2268"/>
        <w:rPr>
          <w:rFonts w:cs="Arial"/>
          <w:b/>
          <w:szCs w:val="22"/>
        </w:rPr>
      </w:pPr>
      <w:r w:rsidRPr="004C1F6C">
        <w:rPr>
          <w:rFonts w:cs="Arial"/>
          <w:b/>
          <w:szCs w:val="22"/>
        </w:rPr>
        <w:t>Program Manager</w:t>
      </w:r>
      <w:r w:rsidRPr="004C1F6C">
        <w:rPr>
          <w:rFonts w:cs="Arial"/>
          <w:b/>
          <w:szCs w:val="22"/>
        </w:rPr>
        <w:tab/>
      </w:r>
      <w:r w:rsidRPr="004C1F6C">
        <w:rPr>
          <w:rFonts w:cs="Arial"/>
          <w:b/>
          <w:bCs/>
          <w:szCs w:val="22"/>
        </w:rPr>
        <w:t>Mr. A. Sundaram</w:t>
      </w:r>
    </w:p>
    <w:p w:rsidR="0028218A" w:rsidRPr="004C1F6C" w:rsidRDefault="0028218A" w:rsidP="0028218A">
      <w:pPr>
        <w:ind w:left="2268" w:hanging="2268"/>
        <w:rPr>
          <w:rFonts w:cs="Arial"/>
          <w:b/>
          <w:szCs w:val="22"/>
        </w:rPr>
      </w:pPr>
    </w:p>
    <w:p w:rsidR="0028218A" w:rsidRPr="004C1F6C" w:rsidRDefault="0028218A" w:rsidP="0028218A">
      <w:pPr>
        <w:ind w:left="2268" w:hanging="2268"/>
        <w:rPr>
          <w:rFonts w:cs="Arial"/>
          <w:b/>
          <w:bCs/>
          <w:szCs w:val="22"/>
        </w:rPr>
      </w:pPr>
    </w:p>
    <w:p w:rsidR="0028218A" w:rsidRDefault="0028218A" w:rsidP="0028218A">
      <w:pPr>
        <w:rPr>
          <w:rFonts w:cs="Arial"/>
          <w:bCs/>
          <w:szCs w:val="22"/>
        </w:rPr>
      </w:pPr>
      <w:r w:rsidRPr="00693B26">
        <w:rPr>
          <w:rFonts w:cs="Arial"/>
          <w:bCs/>
          <w:szCs w:val="22"/>
        </w:rPr>
        <w:t>ACHIEVEMENTS IN THE 2012/13 BIENNIUM</w:t>
      </w:r>
    </w:p>
    <w:p w:rsidR="0028218A" w:rsidRDefault="0028218A" w:rsidP="0028218A">
      <w:pPr>
        <w:autoSpaceDE w:val="0"/>
        <w:autoSpaceDN w:val="0"/>
        <w:adjustRightInd w:val="0"/>
        <w:rPr>
          <w:rFonts w:cs="Arial"/>
          <w:szCs w:val="22"/>
        </w:rPr>
      </w:pPr>
    </w:p>
    <w:p w:rsidR="0028218A" w:rsidRPr="004C1F6C" w:rsidRDefault="0028218A" w:rsidP="0028218A">
      <w:pPr>
        <w:pStyle w:val="Style1"/>
        <w:numPr>
          <w:ilvl w:val="0"/>
          <w:numId w:val="0"/>
        </w:numPr>
        <w:tabs>
          <w:tab w:val="left" w:pos="709"/>
        </w:tabs>
        <w:jc w:val="both"/>
        <w:rPr>
          <w:rFonts w:cs="Arial"/>
          <w:szCs w:val="20"/>
        </w:rPr>
      </w:pPr>
      <w:r>
        <w:rPr>
          <w:rFonts w:cs="Arial"/>
          <w:szCs w:val="20"/>
        </w:rPr>
        <w:t>24.1.</w:t>
      </w:r>
      <w:r>
        <w:rPr>
          <w:rFonts w:cs="Arial"/>
          <w:szCs w:val="20"/>
        </w:rPr>
        <w:tab/>
      </w:r>
      <w:r w:rsidRPr="004C1F6C">
        <w:rPr>
          <w:rFonts w:cs="Arial"/>
          <w:szCs w:val="20"/>
        </w:rPr>
        <w:t>In 2012/13, procurement and travel made satisfactory progress towards achieving its expected results, as illustrated by the performance data below.  As regards functional systems to support procurement and travel activities, the major highlights of the biennium included the upgrade of the ERP procurement modules and the integration of non-staff travel requests into e-Works.  The regulatory framework was also updated and enhanced with a new procurement procedure for the completion of the New Conference Hall project, a code of conduct in managing supplier relationships and a new travel policy including a change of threshold for business class travel entitlement.</w:t>
      </w:r>
    </w:p>
    <w:p w:rsidR="0028218A" w:rsidRPr="004C1F6C" w:rsidRDefault="0028218A" w:rsidP="0028218A">
      <w:pPr>
        <w:tabs>
          <w:tab w:val="left" w:pos="709"/>
        </w:tabs>
        <w:autoSpaceDE w:val="0"/>
        <w:autoSpaceDN w:val="0"/>
        <w:adjustRightInd w:val="0"/>
        <w:jc w:val="both"/>
        <w:rPr>
          <w:rFonts w:cs="Arial"/>
          <w:szCs w:val="20"/>
        </w:rPr>
      </w:pPr>
    </w:p>
    <w:p w:rsidR="0028218A" w:rsidRPr="004C1F6C" w:rsidRDefault="0028218A" w:rsidP="0028218A">
      <w:pPr>
        <w:pStyle w:val="Style1"/>
        <w:numPr>
          <w:ilvl w:val="0"/>
          <w:numId w:val="0"/>
        </w:numPr>
        <w:tabs>
          <w:tab w:val="left" w:pos="709"/>
        </w:tabs>
        <w:jc w:val="both"/>
        <w:rPr>
          <w:rFonts w:cs="Arial"/>
          <w:szCs w:val="20"/>
        </w:rPr>
      </w:pPr>
      <w:r>
        <w:rPr>
          <w:rFonts w:cs="Arial"/>
          <w:szCs w:val="20"/>
        </w:rPr>
        <w:t>24.2.</w:t>
      </w:r>
      <w:r>
        <w:rPr>
          <w:rFonts w:cs="Arial"/>
          <w:szCs w:val="20"/>
        </w:rPr>
        <w:tab/>
      </w:r>
      <w:r w:rsidRPr="004C1F6C">
        <w:rPr>
          <w:rFonts w:cs="Arial"/>
          <w:szCs w:val="20"/>
        </w:rPr>
        <w:t xml:space="preserve">Savings continued to be yielded from the tenders carried out through cooperation with other international organizations, resulting in total savings of 1,911,500 Swiss francs for the biennium. </w:t>
      </w:r>
      <w:r w:rsidR="00606D8E">
        <w:rPr>
          <w:rFonts w:cs="Arial"/>
          <w:szCs w:val="20"/>
        </w:rPr>
        <w:t xml:space="preserve"> </w:t>
      </w:r>
      <w:r w:rsidRPr="004C1F6C">
        <w:rPr>
          <w:rFonts w:cs="Arial"/>
          <w:szCs w:val="20"/>
        </w:rPr>
        <w:t xml:space="preserve">With the implementation of the new business class threshold (nine hours), the reduction of DSA payments for overnight flights, and more advanced ticket bookings, a total savings of 923,000 Swiss francs was obtained for the biennium.  Additional internal efficiency gains were also achieved, such as a reduction in processing time of third party visas and event and travel requests. </w:t>
      </w:r>
      <w:r w:rsidR="00606D8E">
        <w:rPr>
          <w:rFonts w:cs="Arial"/>
          <w:szCs w:val="20"/>
        </w:rPr>
        <w:t xml:space="preserve"> </w:t>
      </w:r>
      <w:r w:rsidRPr="004C1F6C">
        <w:rPr>
          <w:rFonts w:cs="Arial"/>
          <w:szCs w:val="20"/>
        </w:rPr>
        <w:t xml:space="preserve">Also, the processing time for purchase orders was halved, while the number of cancelled purchase orders was reduced by 30 per cent over the biennium. </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24.3.</w:t>
      </w:r>
      <w:r>
        <w:rPr>
          <w:rFonts w:cs="Arial"/>
          <w:szCs w:val="20"/>
        </w:rPr>
        <w:tab/>
      </w:r>
      <w:r w:rsidRPr="004C1F6C">
        <w:rPr>
          <w:rFonts w:cs="Arial"/>
          <w:szCs w:val="20"/>
        </w:rPr>
        <w:t>As regards premises management, at the end of 2013, a total of 1,627 workplaces were available in all buildings combined (WIPO-owned and rented premises), i.e. an increase of 48 additional workplaces as compared to the end of the previous biennium (1,579 workplaces in 2011).  Of these, 85.</w:t>
      </w:r>
      <w:r w:rsidR="00606D8E" w:rsidRPr="004C1F6C">
        <w:rPr>
          <w:rFonts w:cs="Arial"/>
          <w:szCs w:val="20"/>
        </w:rPr>
        <w:t>6</w:t>
      </w:r>
      <w:r w:rsidR="00606D8E">
        <w:rPr>
          <w:rFonts w:cs="Arial"/>
          <w:szCs w:val="20"/>
        </w:rPr>
        <w:t> </w:t>
      </w:r>
      <w:r w:rsidRPr="004C1F6C">
        <w:rPr>
          <w:rFonts w:cs="Arial"/>
          <w:szCs w:val="20"/>
        </w:rPr>
        <w:t xml:space="preserve">per cent were occupied in 2013, compared to 87 per cent at the end of 2011.  The increase in non-occupied workplaces resulted mainly from the full implementation of the stricter office space allocation policy (issued in December 2010) for all buildings. </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24.4.</w:t>
      </w:r>
      <w:r>
        <w:rPr>
          <w:rFonts w:cs="Arial"/>
          <w:szCs w:val="20"/>
        </w:rPr>
        <w:tab/>
      </w:r>
      <w:r w:rsidRPr="004C1F6C">
        <w:rPr>
          <w:rFonts w:cs="Arial"/>
          <w:szCs w:val="20"/>
        </w:rPr>
        <w:t xml:space="preserve">As a result, the Secretariat was able to continue to manage the demand for workplaces avoiding the need for rental of additional space off-site.  In addition, a certain volume of stored documents, material and equipment were disposed of, thereby contributing to a more efficient and cost-effective use of storage areas on- and off-site.  This led to the termination of the rental of two off-site storage areas in the course of 2012, and the termination of the rental of ten parking spaces in 2013. </w:t>
      </w:r>
    </w:p>
    <w:p w:rsidR="0028218A" w:rsidRPr="004C1F6C" w:rsidRDefault="0028218A" w:rsidP="0028218A">
      <w:pPr>
        <w:tabs>
          <w:tab w:val="left" w:pos="709"/>
        </w:tabs>
        <w:jc w:val="both"/>
        <w:rPr>
          <w:rFonts w:cs="Arial"/>
          <w:szCs w:val="20"/>
        </w:rPr>
      </w:pPr>
      <w:r w:rsidRPr="004C1F6C">
        <w:rPr>
          <w:rFonts w:cs="Arial"/>
          <w:szCs w:val="20"/>
        </w:rPr>
        <w:t xml:space="preserve"> </w:t>
      </w:r>
    </w:p>
    <w:p w:rsidR="0028218A" w:rsidRPr="004C1F6C" w:rsidRDefault="0028218A" w:rsidP="0028218A">
      <w:pPr>
        <w:tabs>
          <w:tab w:val="left" w:pos="709"/>
        </w:tabs>
        <w:jc w:val="both"/>
        <w:rPr>
          <w:rFonts w:cs="Arial"/>
          <w:szCs w:val="20"/>
        </w:rPr>
      </w:pPr>
      <w:r>
        <w:rPr>
          <w:rFonts w:cs="Arial"/>
          <w:szCs w:val="20"/>
        </w:rPr>
        <w:t>24.5.</w:t>
      </w:r>
      <w:r>
        <w:rPr>
          <w:rFonts w:cs="Arial"/>
          <w:szCs w:val="20"/>
        </w:rPr>
        <w:tab/>
      </w:r>
      <w:r w:rsidRPr="004C1F6C">
        <w:rPr>
          <w:rFonts w:cs="Arial"/>
          <w:szCs w:val="20"/>
        </w:rPr>
        <w:t xml:space="preserve">To enhance safety, a policy was implemented in all buildings (as was done in the New Building from the outset) whereby certain large equipment, filing cabinets and paper supplies have to be removed from open common areas and isolated </w:t>
      </w:r>
      <w:r>
        <w:rPr>
          <w:rFonts w:cs="Arial"/>
          <w:szCs w:val="20"/>
        </w:rPr>
        <w:t xml:space="preserve">in closed areas </w:t>
      </w:r>
      <w:r w:rsidRPr="004C1F6C">
        <w:rPr>
          <w:rFonts w:cs="Arial"/>
          <w:szCs w:val="20"/>
        </w:rPr>
        <w:t xml:space="preserve">in order to mitigate risks in case of fire or other incidents.  A number of workspaces continued to be reserved on a single floor of the PCT Building in order to create the needed “swing space”, in support of the major renovation of the facades and cooling/heating system which are foreseen in the biennium 2014/15. </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24.6.</w:t>
      </w:r>
      <w:r>
        <w:rPr>
          <w:rFonts w:cs="Arial"/>
          <w:szCs w:val="20"/>
        </w:rPr>
        <w:tab/>
      </w:r>
      <w:r w:rsidRPr="004C1F6C">
        <w:rPr>
          <w:rFonts w:cs="Arial"/>
          <w:szCs w:val="20"/>
        </w:rPr>
        <w:t xml:space="preserve">In respect of technical installations, regular maintenance was undertaken and all premises continued to function adequately.  As regards the PCT building, the results from the second technical expert’s assessment were received in 2013, and the replacement of the cooling/heating system and renovation of the facades will be addressed under the framework of the Capital master Plan (CMP) approved by Member States in 2013. </w:t>
      </w:r>
      <w:r w:rsidR="00606D8E">
        <w:rPr>
          <w:rFonts w:cs="Arial"/>
          <w:szCs w:val="20"/>
        </w:rPr>
        <w:t xml:space="preserve"> </w:t>
      </w:r>
      <w:r w:rsidRPr="004C1F6C">
        <w:rPr>
          <w:rFonts w:cs="Arial"/>
          <w:szCs w:val="20"/>
        </w:rPr>
        <w:t>In addition, a more environmentally-friendly alternative for cooling the GBI and GBII Buildings using the Geneva Lake Water (GLN) system was completed by mid-2013.</w:t>
      </w:r>
    </w:p>
    <w:p w:rsidR="0028218A" w:rsidRPr="004C1F6C" w:rsidRDefault="0028218A" w:rsidP="0028218A">
      <w:pPr>
        <w:tabs>
          <w:tab w:val="left" w:pos="709"/>
        </w:tabs>
        <w:jc w:val="both"/>
        <w:rPr>
          <w:rFonts w:cs="Arial"/>
          <w:szCs w:val="20"/>
        </w:rPr>
      </w:pPr>
    </w:p>
    <w:p w:rsidR="0028218A" w:rsidRPr="004C1F6C" w:rsidRDefault="0028218A" w:rsidP="0028218A">
      <w:pPr>
        <w:pStyle w:val="NoSpacing"/>
        <w:tabs>
          <w:tab w:val="left" w:pos="709"/>
        </w:tabs>
        <w:jc w:val="both"/>
        <w:rPr>
          <w:rFonts w:ascii="Arial" w:eastAsia="Times New Roman" w:hAnsi="Arial" w:cs="Arial"/>
          <w:sz w:val="20"/>
          <w:szCs w:val="20"/>
        </w:rPr>
      </w:pPr>
      <w:r>
        <w:rPr>
          <w:rFonts w:ascii="Arial" w:hAnsi="Arial" w:cs="Arial"/>
          <w:sz w:val="20"/>
          <w:szCs w:val="20"/>
        </w:rPr>
        <w:t>24.7.</w:t>
      </w:r>
      <w:r>
        <w:rPr>
          <w:rFonts w:ascii="Arial" w:hAnsi="Arial" w:cs="Arial"/>
          <w:sz w:val="20"/>
          <w:szCs w:val="20"/>
        </w:rPr>
        <w:tab/>
      </w:r>
      <w:r w:rsidRPr="004C1F6C">
        <w:rPr>
          <w:rFonts w:ascii="Arial" w:hAnsi="Arial" w:cs="Arial"/>
          <w:sz w:val="20"/>
          <w:szCs w:val="20"/>
        </w:rPr>
        <w:t>Measures aimed at reducing electricity consumption result</w:t>
      </w:r>
      <w:r w:rsidR="002C4DAD">
        <w:rPr>
          <w:rFonts w:ascii="Arial" w:hAnsi="Arial" w:cs="Arial"/>
          <w:sz w:val="20"/>
          <w:szCs w:val="20"/>
        </w:rPr>
        <w:t>ed</w:t>
      </w:r>
      <w:r w:rsidRPr="004C1F6C">
        <w:rPr>
          <w:rFonts w:ascii="Arial" w:hAnsi="Arial" w:cs="Arial"/>
          <w:sz w:val="20"/>
          <w:szCs w:val="20"/>
        </w:rPr>
        <w:t xml:space="preserve"> in an annual reduction of approximately </w:t>
      </w:r>
      <w:r w:rsidR="00F21199">
        <w:rPr>
          <w:rFonts w:ascii="Arial" w:hAnsi="Arial" w:cs="Arial"/>
          <w:sz w:val="20"/>
          <w:szCs w:val="20"/>
        </w:rPr>
        <w:t>two</w:t>
      </w:r>
      <w:r w:rsidRPr="004C1F6C">
        <w:rPr>
          <w:rFonts w:ascii="Arial" w:hAnsi="Arial" w:cs="Arial"/>
          <w:sz w:val="20"/>
          <w:szCs w:val="20"/>
        </w:rPr>
        <w:t xml:space="preserve"> per cent (140,000 kWh) between 2012 and 2013, representing a saving of around 15,000 Swiss francs.  These measures included: </w:t>
      </w:r>
      <w:r w:rsidR="00606D8E">
        <w:rPr>
          <w:rFonts w:ascii="Arial" w:hAnsi="Arial" w:cs="Arial"/>
          <w:sz w:val="20"/>
          <w:szCs w:val="20"/>
        </w:rPr>
        <w:t xml:space="preserve"> </w:t>
      </w:r>
      <w:r w:rsidRPr="004C1F6C">
        <w:rPr>
          <w:rFonts w:ascii="Arial" w:hAnsi="Arial" w:cs="Arial"/>
          <w:sz w:val="20"/>
          <w:szCs w:val="20"/>
        </w:rPr>
        <w:t xml:space="preserve">(i) the upgrading of the electrical installation in the oldest building on the WIPO campus (GBI), which was completed in 2013; </w:t>
      </w:r>
      <w:r w:rsidR="00606D8E">
        <w:rPr>
          <w:rFonts w:ascii="Arial" w:hAnsi="Arial" w:cs="Arial"/>
          <w:sz w:val="20"/>
          <w:szCs w:val="20"/>
        </w:rPr>
        <w:t xml:space="preserve"> </w:t>
      </w:r>
      <w:r w:rsidRPr="004C1F6C">
        <w:rPr>
          <w:rFonts w:ascii="Arial" w:hAnsi="Arial" w:cs="Arial"/>
          <w:sz w:val="20"/>
          <w:szCs w:val="20"/>
        </w:rPr>
        <w:t xml:space="preserve">(ii) the deployment of an environmentally friendly and cost efficient cooling system in the GBI Building in 2012 and in the GBII Building in 2013; </w:t>
      </w:r>
      <w:r w:rsidR="00606D8E">
        <w:rPr>
          <w:rFonts w:ascii="Arial" w:hAnsi="Arial" w:cs="Arial"/>
          <w:sz w:val="20"/>
          <w:szCs w:val="20"/>
        </w:rPr>
        <w:t xml:space="preserve"> </w:t>
      </w:r>
      <w:r w:rsidRPr="004C1F6C">
        <w:rPr>
          <w:rFonts w:ascii="Arial" w:hAnsi="Arial" w:cs="Arial"/>
          <w:sz w:val="20"/>
          <w:szCs w:val="20"/>
        </w:rPr>
        <w:t xml:space="preserve">(iii) the reduction by 50 per cent of the lighting sources on the office floors of the AB Building in 2013; </w:t>
      </w:r>
      <w:r w:rsidR="00606D8E">
        <w:rPr>
          <w:rFonts w:ascii="Arial" w:hAnsi="Arial" w:cs="Arial"/>
          <w:sz w:val="20"/>
          <w:szCs w:val="20"/>
        </w:rPr>
        <w:t xml:space="preserve"> and </w:t>
      </w:r>
      <w:r w:rsidRPr="004C1F6C">
        <w:rPr>
          <w:rFonts w:ascii="Arial" w:hAnsi="Arial" w:cs="Arial"/>
          <w:sz w:val="20"/>
          <w:szCs w:val="20"/>
        </w:rPr>
        <w:t xml:space="preserve">(iv) the installation in 2013 of automatic switches in the corridors of the AB and GBI Buildings and of twilight sensors in the GBI Building. </w:t>
      </w:r>
    </w:p>
    <w:p w:rsidR="0028218A" w:rsidRPr="004C1F6C" w:rsidRDefault="0028218A" w:rsidP="0028218A">
      <w:pPr>
        <w:pStyle w:val="NoSpacing"/>
        <w:tabs>
          <w:tab w:val="left" w:pos="709"/>
        </w:tabs>
        <w:jc w:val="both"/>
        <w:rPr>
          <w:rFonts w:ascii="Arial" w:hAnsi="Arial" w:cs="Arial"/>
          <w:sz w:val="20"/>
          <w:szCs w:val="20"/>
        </w:rPr>
      </w:pPr>
    </w:p>
    <w:p w:rsidR="0028218A" w:rsidRPr="004C1F6C" w:rsidRDefault="0028218A" w:rsidP="0028218A">
      <w:pPr>
        <w:keepNext/>
        <w:keepLines/>
        <w:tabs>
          <w:tab w:val="left" w:pos="709"/>
        </w:tabs>
        <w:jc w:val="both"/>
        <w:rPr>
          <w:rFonts w:cs="Arial"/>
          <w:szCs w:val="20"/>
        </w:rPr>
      </w:pPr>
      <w:r>
        <w:rPr>
          <w:rFonts w:cs="Arial"/>
          <w:szCs w:val="20"/>
        </w:rPr>
        <w:lastRenderedPageBreak/>
        <w:t>24.8.</w:t>
      </w:r>
      <w:r>
        <w:rPr>
          <w:rFonts w:cs="Arial"/>
          <w:szCs w:val="20"/>
        </w:rPr>
        <w:tab/>
      </w:r>
      <w:r w:rsidRPr="004C1F6C">
        <w:rPr>
          <w:rFonts w:cs="Arial"/>
          <w:szCs w:val="20"/>
        </w:rPr>
        <w:t xml:space="preserve">Water consumption was reduced by about seven per cent since August 2013, as a result of the connection of one of the AB Building Data Center cooling units to the GLN cooling system, representing a savings of some 12,000 Swiss francs in 2013.  Moreover, the upgrade of the individual cooling and heating system in corner offices of the New Building was completed in </w:t>
      </w:r>
      <w:r w:rsidR="002C4DAD">
        <w:rPr>
          <w:rFonts w:cs="Arial"/>
          <w:szCs w:val="20"/>
        </w:rPr>
        <w:t>mid</w:t>
      </w:r>
      <w:r w:rsidR="0097619F">
        <w:rPr>
          <w:rFonts w:cs="Arial"/>
          <w:szCs w:val="20"/>
        </w:rPr>
        <w:t>-</w:t>
      </w:r>
      <w:r w:rsidRPr="004C1F6C">
        <w:rPr>
          <w:rFonts w:cs="Arial"/>
          <w:szCs w:val="20"/>
        </w:rPr>
        <w:t>2013, offering a better control of room temperature in 19 offices.</w:t>
      </w:r>
    </w:p>
    <w:p w:rsidR="0028218A" w:rsidRPr="004C1F6C" w:rsidRDefault="0028218A" w:rsidP="0028218A">
      <w:pPr>
        <w:tabs>
          <w:tab w:val="left" w:pos="709"/>
        </w:tabs>
        <w:jc w:val="both"/>
        <w:rPr>
          <w:rFonts w:cs="Arial"/>
          <w:szCs w:val="20"/>
        </w:rPr>
      </w:pPr>
    </w:p>
    <w:p w:rsidR="0028218A" w:rsidRPr="004C1F6C" w:rsidRDefault="0028218A" w:rsidP="0028218A">
      <w:pPr>
        <w:pStyle w:val="NoSpacing"/>
        <w:tabs>
          <w:tab w:val="left" w:pos="709"/>
        </w:tabs>
        <w:jc w:val="both"/>
        <w:rPr>
          <w:rFonts w:ascii="Arial" w:hAnsi="Arial" w:cs="Arial"/>
          <w:sz w:val="20"/>
          <w:szCs w:val="20"/>
        </w:rPr>
      </w:pPr>
      <w:r>
        <w:rPr>
          <w:rFonts w:ascii="Arial" w:hAnsi="Arial" w:cs="Arial"/>
          <w:sz w:val="20"/>
          <w:szCs w:val="20"/>
        </w:rPr>
        <w:t>24.9.</w:t>
      </w:r>
      <w:r>
        <w:rPr>
          <w:rFonts w:ascii="Arial" w:hAnsi="Arial" w:cs="Arial"/>
          <w:sz w:val="20"/>
          <w:szCs w:val="20"/>
        </w:rPr>
        <w:tab/>
      </w:r>
      <w:r w:rsidRPr="004C1F6C">
        <w:rPr>
          <w:rFonts w:ascii="Arial" w:hAnsi="Arial" w:cs="Arial"/>
          <w:sz w:val="20"/>
          <w:szCs w:val="20"/>
        </w:rPr>
        <w:t xml:space="preserve">The enhancement and enlargement of one of the New Building ground floor meeting rooms (capacity of 80 seats and three interpretation booths) were undertaken in 2013 and completed in </w:t>
      </w:r>
      <w:r w:rsidR="00606D8E" w:rsidRPr="004C1F6C">
        <w:rPr>
          <w:rFonts w:ascii="Arial" w:hAnsi="Arial" w:cs="Arial"/>
          <w:sz w:val="20"/>
          <w:szCs w:val="20"/>
        </w:rPr>
        <w:t>January</w:t>
      </w:r>
      <w:r w:rsidR="00606D8E">
        <w:rPr>
          <w:rFonts w:ascii="Arial" w:hAnsi="Arial" w:cs="Arial"/>
          <w:sz w:val="20"/>
          <w:szCs w:val="20"/>
        </w:rPr>
        <w:t> </w:t>
      </w:r>
      <w:r w:rsidRPr="004C1F6C">
        <w:rPr>
          <w:rFonts w:ascii="Arial" w:hAnsi="Arial" w:cs="Arial"/>
          <w:sz w:val="20"/>
          <w:szCs w:val="20"/>
        </w:rPr>
        <w:t>2014.  One temporary meeting room (capacity of 45 seats and three interpretation booths) was created on the 13</w:t>
      </w:r>
      <w:r w:rsidRPr="004C1F6C">
        <w:rPr>
          <w:rFonts w:ascii="Arial" w:hAnsi="Arial" w:cs="Arial"/>
          <w:sz w:val="20"/>
          <w:szCs w:val="20"/>
          <w:vertAlign w:val="superscript"/>
        </w:rPr>
        <w:t>th</w:t>
      </w:r>
      <w:r w:rsidRPr="004C1F6C">
        <w:rPr>
          <w:rFonts w:ascii="Arial" w:hAnsi="Arial" w:cs="Arial"/>
          <w:sz w:val="20"/>
          <w:szCs w:val="20"/>
        </w:rPr>
        <w:t xml:space="preserve"> floor of the AB Building, initially to compensate for the shortage of meeting rooms while the works were ongoing in the New Building.  However, in view of the fact that this room meets a large number of demands due to its functionality and particular facilities, a decision was taken to keep it in 2014 and reassess the situation after completion of all the new meeting facilities, once the New Conference Hall Project has been delivered.</w:t>
      </w:r>
    </w:p>
    <w:p w:rsidR="0028218A" w:rsidRPr="004C1F6C" w:rsidRDefault="0028218A" w:rsidP="0028218A">
      <w:pPr>
        <w:tabs>
          <w:tab w:val="left" w:pos="709"/>
          <w:tab w:val="left" w:pos="1440"/>
        </w:tabs>
        <w:jc w:val="both"/>
        <w:rPr>
          <w:rFonts w:cs="Arial"/>
          <w:szCs w:val="20"/>
        </w:rPr>
      </w:pPr>
      <w:r w:rsidRPr="004C1F6C" w:rsidDel="00014F7A">
        <w:rPr>
          <w:rFonts w:cs="Arial"/>
          <w:szCs w:val="20"/>
        </w:rPr>
        <w:t xml:space="preserve"> </w:t>
      </w:r>
    </w:p>
    <w:p w:rsidR="0028218A" w:rsidRPr="004C1F6C" w:rsidRDefault="0028218A" w:rsidP="0028218A">
      <w:pPr>
        <w:tabs>
          <w:tab w:val="left" w:pos="709"/>
        </w:tabs>
        <w:jc w:val="both"/>
        <w:rPr>
          <w:rFonts w:cs="Arial"/>
          <w:szCs w:val="20"/>
        </w:rPr>
      </w:pPr>
      <w:r>
        <w:rPr>
          <w:rFonts w:cs="Arial"/>
          <w:szCs w:val="20"/>
        </w:rPr>
        <w:t>24.10.</w:t>
      </w:r>
      <w:r>
        <w:rPr>
          <w:rFonts w:cs="Arial"/>
          <w:szCs w:val="20"/>
        </w:rPr>
        <w:tab/>
      </w:r>
      <w:r w:rsidRPr="004C1F6C">
        <w:rPr>
          <w:rFonts w:cs="Arial"/>
          <w:szCs w:val="20"/>
        </w:rPr>
        <w:t xml:space="preserve">In respect of asset management, the Property Survey Board completed its review aimed at establishing simpler and more consistent inventory procedures. </w:t>
      </w:r>
      <w:r w:rsidR="00606D8E">
        <w:rPr>
          <w:rFonts w:cs="Arial"/>
          <w:szCs w:val="20"/>
        </w:rPr>
        <w:t xml:space="preserve"> </w:t>
      </w:r>
      <w:r w:rsidRPr="004C1F6C">
        <w:rPr>
          <w:rFonts w:cs="Arial"/>
          <w:szCs w:val="20"/>
        </w:rPr>
        <w:t xml:space="preserve">New procedures were issued in 2012 aimed, in particular, at increasing the threshold for tracking items from 100 to 1,000 Swiss francs and the threshold for capitalization of items from 1,000 to 5,000 Swiss francs (similar to other UN Organizations), thereby streamlining low added value processes.  The interface with the financial aspects of asset management was fully implemented, thereby terminating the previous double data entry work and periodic reconciliations.  </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24.11.</w:t>
      </w:r>
      <w:r>
        <w:rPr>
          <w:rFonts w:cs="Arial"/>
          <w:szCs w:val="20"/>
        </w:rPr>
        <w:tab/>
      </w:r>
      <w:r w:rsidRPr="004C1F6C">
        <w:rPr>
          <w:rFonts w:cs="Arial"/>
          <w:szCs w:val="20"/>
        </w:rPr>
        <w:t>Under the WIPO Accessibility Project, which was part of the SRP until 2012, a complete physical accessibility audit was carried out in 2012 by a specialized architect in all existing buildings of the WIPO Campus.  The detailed list of recommendations resulting from this audit was reviewed in 2013 in order to establish a priority list of improvement measures to be implemented as from the end of 2013.  A similar audit was carried out in the first half of 2013 in respect of the future New Conference Hall.  A number of measures were implemented during 2013 in the existing buildings, in the New Hall (during construction) and during the renovation of parts of the AB Building (features such as ramps for wheelchair access and anti-slip bands on steps in staircases, amongst others).</w:t>
      </w:r>
    </w:p>
    <w:p w:rsidR="0028218A" w:rsidRPr="004C1F6C" w:rsidRDefault="0028218A" w:rsidP="0028218A">
      <w:pPr>
        <w:tabs>
          <w:tab w:val="left" w:pos="709"/>
        </w:tabs>
        <w:jc w:val="both"/>
        <w:rPr>
          <w:rFonts w:cs="Arial"/>
          <w:szCs w:val="20"/>
        </w:rPr>
      </w:pPr>
    </w:p>
    <w:p w:rsidR="0028218A" w:rsidRPr="004C1F6C" w:rsidRDefault="0028218A" w:rsidP="0028218A">
      <w:pPr>
        <w:tabs>
          <w:tab w:val="left" w:pos="709"/>
        </w:tabs>
        <w:jc w:val="both"/>
        <w:rPr>
          <w:rFonts w:cs="Arial"/>
          <w:szCs w:val="20"/>
        </w:rPr>
      </w:pPr>
      <w:r>
        <w:rPr>
          <w:rFonts w:cs="Arial"/>
          <w:szCs w:val="20"/>
        </w:rPr>
        <w:t>24.12.</w:t>
      </w:r>
      <w:r>
        <w:rPr>
          <w:rFonts w:cs="Arial"/>
          <w:szCs w:val="20"/>
        </w:rPr>
        <w:tab/>
      </w:r>
      <w:r w:rsidRPr="004C1F6C">
        <w:rPr>
          <w:rFonts w:cs="Arial"/>
          <w:szCs w:val="20"/>
        </w:rPr>
        <w:t xml:space="preserve">Under the framework of the WIPO Environmental Responsibility, another SRP initiative, a number of activities were undertaken in 2012 and 2013 aimed at raising environmental awareness amongst staff and/or taking concrete and practical actions.  These actions related to:  premises-related issues (e.g., upgrading of technical installations to more ecological solutions, upgrading of electrical installation reducing electricity consumption, conclusion of </w:t>
      </w:r>
      <w:r w:rsidR="002C4DAD">
        <w:rPr>
          <w:rFonts w:cs="Arial"/>
          <w:szCs w:val="20"/>
        </w:rPr>
        <w:t>an</w:t>
      </w:r>
      <w:r w:rsidR="002C4DAD" w:rsidRPr="004C1F6C">
        <w:rPr>
          <w:rFonts w:cs="Arial"/>
          <w:szCs w:val="20"/>
        </w:rPr>
        <w:t xml:space="preserve"> </w:t>
      </w:r>
      <w:r w:rsidRPr="004C1F6C">
        <w:rPr>
          <w:rFonts w:cs="Arial"/>
          <w:szCs w:val="20"/>
        </w:rPr>
        <w:t>agreement with the local electricity provider, renewal for the New Building of the electricity tariff with the highest percentage of contribution to renewable electricity production in the Canton of Geneva), introduction of environmental criteria in certain tenders (e.g., cafeteria services, vending machines, disposable cafeteria articles, cleaning products, improved recycling), use of alternative means of commuting to and from work (mobility days or months on public transport and free rental of electrical bikes and bike repairs).  In addition, WIPO participated in a number of initiatives within the UN-Interagency context, mainly through UNEP and Sustainable UN (“SUN”), such as participation in the annual collection of data for the Greenhouse Gas (GHG) Calculator, as well as participation in the Inter-Agency Facilities Management meetings in 2012 and 2013.</w:t>
      </w:r>
    </w:p>
    <w:p w:rsidR="0028218A" w:rsidRPr="004C1F6C" w:rsidRDefault="0028218A" w:rsidP="0028218A">
      <w:pPr>
        <w:tabs>
          <w:tab w:val="left" w:pos="709"/>
        </w:tabs>
        <w:jc w:val="both"/>
        <w:rPr>
          <w:rFonts w:cs="Arial"/>
          <w:szCs w:val="20"/>
        </w:rPr>
      </w:pPr>
    </w:p>
    <w:p w:rsidR="0028218A" w:rsidRPr="004C1F6C" w:rsidRDefault="0028218A" w:rsidP="0028218A">
      <w:pPr>
        <w:keepNext/>
        <w:keepLines/>
        <w:tabs>
          <w:tab w:val="left" w:pos="709"/>
        </w:tabs>
        <w:jc w:val="both"/>
        <w:rPr>
          <w:rFonts w:cs="Arial"/>
          <w:bCs/>
          <w:szCs w:val="20"/>
        </w:rPr>
      </w:pPr>
      <w:r>
        <w:rPr>
          <w:rFonts w:cs="Arial"/>
          <w:szCs w:val="20"/>
        </w:rPr>
        <w:t>24.13.</w:t>
      </w:r>
      <w:r>
        <w:rPr>
          <w:rFonts w:cs="Arial"/>
          <w:szCs w:val="20"/>
        </w:rPr>
        <w:tab/>
      </w:r>
      <w:r w:rsidRPr="004C1F6C">
        <w:rPr>
          <w:rFonts w:cs="Arial"/>
          <w:szCs w:val="20"/>
        </w:rPr>
        <w:t>In line with WIPO’s strategy to progressively reduce its vehicle fleet and replace existing vehicles with environmentally-friendly alternatives, four of WIPO’s eleven official vehicles were sold in the biennium.  O</w:t>
      </w:r>
      <w:r w:rsidRPr="004C1F6C">
        <w:rPr>
          <w:rFonts w:cs="Arial"/>
          <w:bCs/>
          <w:szCs w:val="20"/>
        </w:rPr>
        <w:t xml:space="preserve">ne new hybrid car was purchased in 2013 to reduce carbon emissions. </w:t>
      </w:r>
      <w:r>
        <w:rPr>
          <w:rFonts w:cs="Arial"/>
          <w:bCs/>
          <w:szCs w:val="20"/>
        </w:rPr>
        <w:t xml:space="preserve"> </w:t>
      </w:r>
      <w:r w:rsidRPr="004C1F6C">
        <w:rPr>
          <w:rFonts w:cs="Arial"/>
          <w:szCs w:val="20"/>
        </w:rPr>
        <w:t>The Program has also assumed management responsibility for the use of all official vehicles throughout the Organization.</w:t>
      </w:r>
      <w:r w:rsidRPr="004C1F6C">
        <w:rPr>
          <w:rFonts w:cs="Arial"/>
          <w:bCs/>
          <w:szCs w:val="20"/>
        </w:rPr>
        <w:t xml:space="preserve">  </w:t>
      </w:r>
    </w:p>
    <w:p w:rsidR="0028218A" w:rsidRDefault="0028218A" w:rsidP="0028218A">
      <w:pPr>
        <w:tabs>
          <w:tab w:val="left" w:pos="709"/>
        </w:tabs>
        <w:jc w:val="both"/>
        <w:rPr>
          <w:rFonts w:cs="Arial"/>
          <w:bCs/>
          <w:szCs w:val="22"/>
        </w:rPr>
      </w:pPr>
      <w:r w:rsidRPr="00E63ED1">
        <w:rPr>
          <w:rFonts w:cs="Arial"/>
          <w:szCs w:val="22"/>
        </w:rPr>
        <w:t xml:space="preserve"> </w:t>
      </w:r>
    </w:p>
    <w:p w:rsidR="0028218A" w:rsidRPr="00693B26" w:rsidRDefault="0028218A" w:rsidP="0028218A">
      <w:pPr>
        <w:rPr>
          <w:rFonts w:cs="Arial"/>
          <w:bCs/>
          <w:szCs w:val="22"/>
        </w:rPr>
      </w:pPr>
    </w:p>
    <w:p w:rsidR="0028218A" w:rsidRDefault="0028218A" w:rsidP="0028218A">
      <w:r>
        <w:br w:type="page"/>
      </w:r>
      <w:r w:rsidRPr="005E6AFC">
        <w:lastRenderedPageBreak/>
        <w:t>PERFORMANCE DATA</w:t>
      </w:r>
    </w:p>
    <w:p w:rsidR="0028218A" w:rsidRPr="00A8525E" w:rsidRDefault="0028218A" w:rsidP="0028218A">
      <w:pPr>
        <w:rPr>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565"/>
        <w:gridCol w:w="1684"/>
        <w:gridCol w:w="1288"/>
        <w:gridCol w:w="142"/>
        <w:gridCol w:w="3402"/>
        <w:gridCol w:w="241"/>
        <w:gridCol w:w="1035"/>
      </w:tblGrid>
      <w:tr w:rsidR="0028218A" w:rsidTr="0028218A">
        <w:trPr>
          <w:cantSplit/>
        </w:trPr>
        <w:tc>
          <w:tcPr>
            <w:tcW w:w="5000" w:type="pct"/>
            <w:gridSpan w:val="7"/>
            <w:tcBorders>
              <w:top w:val="single" w:sz="4" w:space="0" w:color="auto"/>
              <w:bottom w:val="single" w:sz="4" w:space="0" w:color="auto"/>
            </w:tcBorders>
            <w:shd w:val="clear" w:color="auto" w:fill="CCFFFF"/>
            <w:vAlign w:val="center"/>
          </w:tcPr>
          <w:p w:rsidR="0028218A" w:rsidRDefault="0028218A" w:rsidP="0028218A">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E03FF">
              <w:rPr>
                <w:rFonts w:cs="Arial"/>
                <w:sz w:val="16"/>
                <w:szCs w:val="16"/>
              </w:rPr>
              <w:t>Effective, efficient, quality and customer-oriented support services both to internal clients and to external stakeholders (human resources, IT, conference, language, procurement, travel, printing and publication, premises management)</w:t>
            </w:r>
          </w:p>
        </w:tc>
      </w:tr>
      <w:tr w:rsidR="0028218A" w:rsidRPr="006550F0" w:rsidTr="008225D9">
        <w:trPr>
          <w:cantSplit/>
        </w:trPr>
        <w:tc>
          <w:tcPr>
            <w:tcW w:w="836" w:type="pct"/>
            <w:tcBorders>
              <w:top w:val="single" w:sz="4" w:space="0" w:color="auto"/>
            </w:tcBorders>
            <w:shd w:val="clear" w:color="auto" w:fill="auto"/>
            <w:vAlign w:val="center"/>
          </w:tcPr>
          <w:p w:rsidR="0028218A" w:rsidRPr="006550F0" w:rsidRDefault="0028218A" w:rsidP="0028218A">
            <w:pPr>
              <w:rPr>
                <w:rFonts w:cs="Arial"/>
                <w:sz w:val="16"/>
                <w:szCs w:val="16"/>
              </w:rPr>
            </w:pPr>
            <w:r w:rsidRPr="006550F0">
              <w:rPr>
                <w:rFonts w:cs="Arial"/>
                <w:b/>
                <w:bCs/>
                <w:sz w:val="16"/>
                <w:szCs w:val="16"/>
              </w:rPr>
              <w:t>Performance Indicators</w:t>
            </w:r>
          </w:p>
        </w:tc>
        <w:tc>
          <w:tcPr>
            <w:tcW w:w="900" w:type="pct"/>
            <w:tcBorders>
              <w:top w:val="single" w:sz="4" w:space="0" w:color="auto"/>
            </w:tcBorders>
            <w:shd w:val="clear" w:color="auto" w:fill="auto"/>
            <w:vAlign w:val="center"/>
          </w:tcPr>
          <w:p w:rsidR="0028218A" w:rsidRPr="006550F0" w:rsidRDefault="0028218A" w:rsidP="0028218A">
            <w:pPr>
              <w:rPr>
                <w:rFonts w:cs="Arial"/>
                <w:b/>
                <w:bCs/>
                <w:sz w:val="16"/>
                <w:szCs w:val="16"/>
              </w:rPr>
            </w:pPr>
            <w:r w:rsidRPr="006550F0">
              <w:rPr>
                <w:rFonts w:cs="Arial"/>
                <w:b/>
                <w:bCs/>
                <w:sz w:val="16"/>
                <w:szCs w:val="16"/>
              </w:rPr>
              <w:t>Baselines</w:t>
            </w:r>
          </w:p>
        </w:tc>
        <w:tc>
          <w:tcPr>
            <w:tcW w:w="764" w:type="pct"/>
            <w:gridSpan w:val="2"/>
            <w:tcBorders>
              <w:top w:val="single" w:sz="4" w:space="0" w:color="auto"/>
            </w:tcBorders>
            <w:shd w:val="clear" w:color="auto" w:fill="auto"/>
            <w:tcMar>
              <w:top w:w="110" w:type="dxa"/>
            </w:tcMar>
            <w:vAlign w:val="center"/>
          </w:tcPr>
          <w:p w:rsidR="0028218A" w:rsidRPr="006550F0" w:rsidRDefault="0028218A" w:rsidP="0028218A">
            <w:pPr>
              <w:rPr>
                <w:rFonts w:cs="Arial"/>
                <w:b/>
                <w:sz w:val="16"/>
                <w:szCs w:val="16"/>
              </w:rPr>
            </w:pPr>
            <w:r w:rsidRPr="006550F0">
              <w:rPr>
                <w:rFonts w:cs="Arial"/>
                <w:b/>
                <w:sz w:val="16"/>
                <w:szCs w:val="16"/>
              </w:rPr>
              <w:t>Target</w:t>
            </w:r>
            <w:r w:rsidR="005A753E">
              <w:rPr>
                <w:rFonts w:cs="Arial"/>
                <w:b/>
                <w:sz w:val="16"/>
                <w:szCs w:val="16"/>
              </w:rPr>
              <w:t>s</w:t>
            </w:r>
          </w:p>
        </w:tc>
        <w:tc>
          <w:tcPr>
            <w:tcW w:w="1818" w:type="pct"/>
            <w:tcBorders>
              <w:top w:val="single" w:sz="4" w:space="0" w:color="auto"/>
            </w:tcBorders>
            <w:shd w:val="clear" w:color="auto" w:fill="FFFFFF"/>
            <w:tcMar>
              <w:top w:w="110" w:type="dxa"/>
            </w:tcMar>
            <w:vAlign w:val="center"/>
          </w:tcPr>
          <w:p w:rsidR="0028218A" w:rsidRPr="006550F0" w:rsidRDefault="0028218A" w:rsidP="0028218A">
            <w:pPr>
              <w:rPr>
                <w:rFonts w:cs="Arial"/>
                <w:sz w:val="16"/>
                <w:szCs w:val="16"/>
              </w:rPr>
            </w:pPr>
            <w:r w:rsidRPr="006550F0">
              <w:rPr>
                <w:rFonts w:cs="Arial"/>
                <w:b/>
                <w:bCs/>
                <w:sz w:val="16"/>
                <w:szCs w:val="16"/>
              </w:rPr>
              <w:t>Performance Data</w:t>
            </w:r>
          </w:p>
        </w:tc>
        <w:tc>
          <w:tcPr>
            <w:tcW w:w="682" w:type="pct"/>
            <w:gridSpan w:val="2"/>
            <w:tcBorders>
              <w:top w:val="single" w:sz="4" w:space="0" w:color="auto"/>
            </w:tcBorders>
            <w:shd w:val="clear" w:color="auto" w:fill="auto"/>
            <w:tcMar>
              <w:top w:w="110" w:type="dxa"/>
            </w:tcMar>
            <w:vAlign w:val="center"/>
          </w:tcPr>
          <w:p w:rsidR="0028218A" w:rsidRPr="006550F0" w:rsidRDefault="0028218A" w:rsidP="0028218A">
            <w:pPr>
              <w:keepNext/>
              <w:keepLines/>
              <w:jc w:val="center"/>
              <w:rPr>
                <w:rFonts w:cs="Arial"/>
                <w:b/>
                <w:bCs/>
                <w:sz w:val="16"/>
                <w:szCs w:val="16"/>
              </w:rPr>
            </w:pPr>
            <w:r w:rsidRPr="006550F0">
              <w:rPr>
                <w:rFonts w:cs="Arial"/>
                <w:b/>
                <w:bCs/>
                <w:sz w:val="16"/>
                <w:szCs w:val="16"/>
              </w:rPr>
              <w:t>TLS</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 xml:space="preserve">Cost savings for goods and services procured by WIPO </w:t>
            </w:r>
            <w:r w:rsidRPr="00FE03FF">
              <w:rPr>
                <w:rFonts w:cs="Arial"/>
                <w:sz w:val="16"/>
                <w:szCs w:val="16"/>
              </w:rPr>
              <w:br/>
              <w:t>(derived from RFPs, negotiations, or UN globalization actions)</w:t>
            </w:r>
          </w:p>
        </w:tc>
        <w:tc>
          <w:tcPr>
            <w:tcW w:w="900" w:type="pct"/>
            <w:shd w:val="clear" w:color="auto" w:fill="auto"/>
          </w:tcPr>
          <w:p w:rsidR="0028218A" w:rsidRPr="00FE03FF" w:rsidRDefault="0028218A" w:rsidP="0028218A">
            <w:pPr>
              <w:rPr>
                <w:rFonts w:cs="Arial"/>
                <w:sz w:val="16"/>
                <w:szCs w:val="16"/>
              </w:rPr>
            </w:pPr>
            <w:r w:rsidRPr="00FE03FF">
              <w:rPr>
                <w:rFonts w:cs="Arial"/>
                <w:sz w:val="16"/>
                <w:szCs w:val="16"/>
              </w:rPr>
              <w:t xml:space="preserve">500,000 </w:t>
            </w:r>
            <w:r w:rsidR="00720FD9">
              <w:rPr>
                <w:rFonts w:cs="Arial"/>
                <w:sz w:val="16"/>
                <w:szCs w:val="16"/>
              </w:rPr>
              <w:t xml:space="preserve">Swiss francs </w:t>
            </w:r>
            <w:r w:rsidRPr="00FE03FF">
              <w:rPr>
                <w:rFonts w:cs="Arial"/>
                <w:sz w:val="16"/>
                <w:szCs w:val="16"/>
              </w:rPr>
              <w:t>(P&amp;B</w:t>
            </w:r>
            <w:r>
              <w:rPr>
                <w:rFonts w:cs="Arial"/>
                <w:sz w:val="16"/>
                <w:szCs w:val="16"/>
              </w:rPr>
              <w:t> </w:t>
            </w:r>
            <w:r w:rsidRPr="00FE03FF">
              <w:rPr>
                <w:rFonts w:cs="Arial"/>
                <w:sz w:val="16"/>
                <w:szCs w:val="16"/>
              </w:rPr>
              <w:t>10/11 value)</w:t>
            </w:r>
          </w:p>
        </w:tc>
        <w:tc>
          <w:tcPr>
            <w:tcW w:w="764" w:type="pct"/>
            <w:gridSpan w:val="2"/>
            <w:shd w:val="clear" w:color="auto" w:fill="auto"/>
            <w:tcMar>
              <w:top w:w="110" w:type="dxa"/>
            </w:tcMar>
          </w:tcPr>
          <w:p w:rsidR="0028218A" w:rsidRPr="006550F0" w:rsidRDefault="0028218A" w:rsidP="0028218A">
            <w:pPr>
              <w:autoSpaceDE w:val="0"/>
              <w:autoSpaceDN w:val="0"/>
              <w:adjustRightInd w:val="0"/>
              <w:rPr>
                <w:rFonts w:ascii="ArialMT" w:hAnsi="ArialMT" w:cs="ArialMT"/>
                <w:sz w:val="16"/>
                <w:szCs w:val="16"/>
              </w:rPr>
            </w:pPr>
            <w:r w:rsidRPr="006550F0">
              <w:rPr>
                <w:rFonts w:ascii="ArialMT" w:hAnsi="ArialMT" w:cs="ArialMT"/>
                <w:sz w:val="16"/>
                <w:szCs w:val="16"/>
              </w:rPr>
              <w:t>At least 500,000</w:t>
            </w:r>
            <w:r w:rsidR="00720FD9">
              <w:rPr>
                <w:rFonts w:ascii="ArialMT" w:hAnsi="ArialMT" w:cs="ArialMT"/>
                <w:sz w:val="16"/>
                <w:szCs w:val="16"/>
              </w:rPr>
              <w:t xml:space="preserve"> Swiss francs</w:t>
            </w:r>
          </w:p>
          <w:p w:rsidR="0028218A" w:rsidRPr="006550F0" w:rsidRDefault="0028218A" w:rsidP="0028218A">
            <w:pPr>
              <w:rPr>
                <w:rFonts w:cs="Arial"/>
                <w:sz w:val="16"/>
                <w:szCs w:val="16"/>
                <w:lang w:bidi="th-TH"/>
              </w:rPr>
            </w:pPr>
            <w:r w:rsidRPr="006550F0">
              <w:rPr>
                <w:rFonts w:ascii="ArialMT" w:hAnsi="ArialMT" w:cs="ArialMT"/>
                <w:sz w:val="16"/>
                <w:szCs w:val="16"/>
              </w:rPr>
              <w:t>(P&amp;B 10/11 value)</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1,911,500 Swiss francs including Estimated Cost Avoidances by CPAG</w:t>
            </w:r>
            <w:r w:rsidR="00720FD9">
              <w:rPr>
                <w:rFonts w:cs="Arial"/>
                <w:sz w:val="16"/>
                <w:szCs w:val="16"/>
                <w:lang w:bidi="th-TH"/>
              </w:rPr>
              <w:t>.</w:t>
            </w:r>
          </w:p>
        </w:tc>
        <w:tc>
          <w:tcPr>
            <w:tcW w:w="682" w:type="pct"/>
            <w:gridSpan w:val="2"/>
            <w:shd w:val="clear" w:color="auto" w:fill="auto"/>
            <w:tcMar>
              <w:top w:w="110" w:type="dxa"/>
            </w:tcMar>
          </w:tcPr>
          <w:p w:rsidR="0028218A" w:rsidRPr="005E6AFC" w:rsidRDefault="0028218A" w:rsidP="0028218A">
            <w:pPr>
              <w:keepNext/>
              <w:keepLines/>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 of internal clients satisfied with procurement services</w:t>
            </w:r>
          </w:p>
        </w:tc>
        <w:tc>
          <w:tcPr>
            <w:tcW w:w="900" w:type="pct"/>
            <w:shd w:val="clear" w:color="auto" w:fill="auto"/>
          </w:tcPr>
          <w:p w:rsidR="0028218A" w:rsidRPr="006550F0" w:rsidRDefault="0028218A" w:rsidP="0028218A">
            <w:pPr>
              <w:pStyle w:val="Default"/>
              <w:rPr>
                <w:color w:val="002060"/>
                <w:sz w:val="16"/>
                <w:szCs w:val="16"/>
              </w:rPr>
            </w:pPr>
            <w:r w:rsidRPr="006550F0">
              <w:rPr>
                <w:i/>
                <w:color w:val="002060"/>
                <w:sz w:val="16"/>
                <w:szCs w:val="16"/>
              </w:rPr>
              <w:t>Updated Baseline end 2011:</w:t>
            </w:r>
            <w:r w:rsidRPr="006550F0">
              <w:rPr>
                <w:color w:val="002060"/>
                <w:sz w:val="16"/>
                <w:szCs w:val="16"/>
              </w:rPr>
              <w:t xml:space="preserve"> </w:t>
            </w:r>
            <w:r>
              <w:rPr>
                <w:color w:val="002060"/>
                <w:sz w:val="16"/>
                <w:szCs w:val="16"/>
              </w:rPr>
              <w:t xml:space="preserve"> </w:t>
            </w:r>
            <w:r w:rsidRPr="006550F0">
              <w:rPr>
                <w:color w:val="002060"/>
                <w:sz w:val="16"/>
                <w:szCs w:val="16"/>
                <w:lang w:bidi="th-TH"/>
              </w:rPr>
              <w:t>75%</w:t>
            </w:r>
          </w:p>
          <w:p w:rsidR="0028218A" w:rsidRPr="008225D9" w:rsidRDefault="0028218A" w:rsidP="0028218A">
            <w:pPr>
              <w:rPr>
                <w:rFonts w:cs="Arial"/>
                <w:i/>
                <w:sz w:val="8"/>
                <w:szCs w:val="8"/>
              </w:rPr>
            </w:pPr>
          </w:p>
          <w:p w:rsidR="0028218A" w:rsidRPr="00FE03FF" w:rsidRDefault="0028218A" w:rsidP="0028218A">
            <w:pPr>
              <w:rPr>
                <w:rFonts w:cs="Arial"/>
                <w:sz w:val="16"/>
                <w:szCs w:val="16"/>
                <w:lang w:val="de-CH"/>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r w:rsidRPr="00FE03FF">
              <w:rPr>
                <w:rFonts w:cs="Arial"/>
                <w:sz w:val="16"/>
                <w:szCs w:val="16"/>
              </w:rPr>
              <w:t>Tbd (end 2011)</w:t>
            </w:r>
          </w:p>
        </w:tc>
        <w:tc>
          <w:tcPr>
            <w:tcW w:w="764" w:type="pct"/>
            <w:gridSpan w:val="2"/>
            <w:shd w:val="clear" w:color="auto" w:fill="auto"/>
            <w:tcMar>
              <w:top w:w="110" w:type="dxa"/>
            </w:tcMar>
          </w:tcPr>
          <w:p w:rsidR="0028218A" w:rsidRPr="006550F0" w:rsidRDefault="0028218A" w:rsidP="0028218A">
            <w:pPr>
              <w:rPr>
                <w:rFonts w:ascii="ArialMT" w:hAnsi="ArialMT" w:cs="ArialMT"/>
                <w:sz w:val="16"/>
                <w:szCs w:val="16"/>
              </w:rPr>
            </w:pPr>
            <w:r w:rsidRPr="006550F0">
              <w:rPr>
                <w:rFonts w:ascii="ArialMT" w:hAnsi="ArialMT" w:cs="ArialMT"/>
                <w:sz w:val="16"/>
                <w:szCs w:val="16"/>
              </w:rPr>
              <w:t>Tbd (end 2011)</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73%</w:t>
            </w:r>
          </w:p>
        </w:tc>
        <w:tc>
          <w:tcPr>
            <w:tcW w:w="682" w:type="pct"/>
            <w:gridSpan w:val="2"/>
            <w:shd w:val="clear" w:color="auto" w:fill="auto"/>
            <w:tcMar>
              <w:top w:w="110" w:type="dxa"/>
            </w:tcMar>
          </w:tcPr>
          <w:p w:rsidR="0028218A" w:rsidRPr="003C3247" w:rsidRDefault="0028218A" w:rsidP="0028218A">
            <w:pPr>
              <w:keepNext/>
              <w:keepLines/>
              <w:spacing w:after="120"/>
              <w:jc w:val="center"/>
              <w:rPr>
                <w:rFonts w:cs="Arial"/>
                <w:bCs/>
                <w:color w:val="808080" w:themeColor="background1" w:themeShade="80"/>
                <w:sz w:val="16"/>
                <w:szCs w:val="16"/>
              </w:rPr>
            </w:pPr>
            <w:r w:rsidRPr="003C3247">
              <w:rPr>
                <w:rStyle w:val="Style5"/>
                <w:rFonts w:ascii="Arial" w:hAnsi="Arial" w:cs="Arial"/>
                <w:color w:val="808080" w:themeColor="background1" w:themeShade="80"/>
                <w:sz w:val="16"/>
                <w:szCs w:val="16"/>
              </w:rPr>
              <w:t>Not Assessable</w:t>
            </w:r>
          </w:p>
        </w:tc>
      </w:tr>
      <w:tr w:rsidR="0028218A" w:rsidRPr="0017565C"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 of spend subject to UN leverage or benchmark</w:t>
            </w:r>
          </w:p>
        </w:tc>
        <w:tc>
          <w:tcPr>
            <w:tcW w:w="900" w:type="pct"/>
            <w:shd w:val="clear" w:color="auto" w:fill="auto"/>
          </w:tcPr>
          <w:p w:rsidR="0028218A" w:rsidRPr="006550F0" w:rsidRDefault="0028218A" w:rsidP="0028218A">
            <w:pPr>
              <w:rPr>
                <w:color w:val="002060"/>
                <w:sz w:val="16"/>
                <w:szCs w:val="16"/>
              </w:rPr>
            </w:pPr>
            <w:r w:rsidRPr="006550F0">
              <w:rPr>
                <w:i/>
                <w:color w:val="002060"/>
                <w:sz w:val="16"/>
                <w:szCs w:val="16"/>
              </w:rPr>
              <w:t>Updated Baseline end 2011:</w:t>
            </w:r>
            <w:r w:rsidRPr="006550F0">
              <w:rPr>
                <w:color w:val="002060"/>
                <w:sz w:val="16"/>
                <w:szCs w:val="16"/>
              </w:rPr>
              <w:t xml:space="preserve"> </w:t>
            </w:r>
            <w:r w:rsidR="00720FD9">
              <w:rPr>
                <w:color w:val="002060"/>
                <w:sz w:val="16"/>
                <w:szCs w:val="16"/>
              </w:rPr>
              <w:t xml:space="preserve"> </w:t>
            </w:r>
            <w:r w:rsidR="00EC1008">
              <w:rPr>
                <w:rFonts w:cs="Arial"/>
                <w:color w:val="002060"/>
                <w:sz w:val="16"/>
                <w:szCs w:val="16"/>
                <w:lang w:bidi="th-TH"/>
              </w:rPr>
              <w:t>ten per cent</w:t>
            </w:r>
          </w:p>
          <w:p w:rsidR="0028218A" w:rsidRPr="008225D9" w:rsidRDefault="0028218A" w:rsidP="0028218A">
            <w:pPr>
              <w:rPr>
                <w:color w:val="002060"/>
                <w:sz w:val="8"/>
                <w:szCs w:val="8"/>
              </w:rPr>
            </w:pPr>
          </w:p>
          <w:p w:rsidR="0028218A" w:rsidRPr="006550F0" w:rsidRDefault="0028218A" w:rsidP="0028218A">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r w:rsidRPr="00FE03FF">
              <w:rPr>
                <w:rFonts w:cs="Arial"/>
                <w:sz w:val="16"/>
                <w:szCs w:val="16"/>
              </w:rPr>
              <w:t>Tbd (end 2011)</w:t>
            </w:r>
          </w:p>
        </w:tc>
        <w:tc>
          <w:tcPr>
            <w:tcW w:w="764" w:type="pct"/>
            <w:gridSpan w:val="2"/>
            <w:shd w:val="clear" w:color="auto" w:fill="auto"/>
            <w:tcMar>
              <w:top w:w="110" w:type="dxa"/>
            </w:tcMar>
          </w:tcPr>
          <w:p w:rsidR="0028218A" w:rsidRPr="006550F0" w:rsidRDefault="0028218A" w:rsidP="0028218A">
            <w:pPr>
              <w:rPr>
                <w:rFonts w:cs="Arial"/>
                <w:sz w:val="16"/>
                <w:szCs w:val="16"/>
              </w:rPr>
            </w:pPr>
            <w:r w:rsidRPr="006550F0">
              <w:rPr>
                <w:rFonts w:ascii="ArialMT" w:hAnsi="ArialMT" w:cs="ArialMT"/>
                <w:sz w:val="16"/>
                <w:szCs w:val="16"/>
              </w:rPr>
              <w:t>Tbd (end 2011)</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4%</w:t>
            </w:r>
          </w:p>
        </w:tc>
        <w:tc>
          <w:tcPr>
            <w:tcW w:w="682" w:type="pct"/>
            <w:gridSpan w:val="2"/>
            <w:shd w:val="clear" w:color="auto" w:fill="auto"/>
          </w:tcPr>
          <w:p w:rsidR="0028218A" w:rsidRPr="003C3247" w:rsidRDefault="0028218A" w:rsidP="0028218A">
            <w:pPr>
              <w:keepNext/>
              <w:keepLines/>
              <w:jc w:val="center"/>
              <w:rPr>
                <w:rFonts w:cs="Arial"/>
                <w:bCs/>
                <w:color w:val="808080" w:themeColor="background1" w:themeShade="80"/>
                <w:sz w:val="16"/>
                <w:szCs w:val="16"/>
              </w:rPr>
            </w:pPr>
            <w:r w:rsidRPr="003C3247">
              <w:rPr>
                <w:rStyle w:val="Style5"/>
                <w:rFonts w:ascii="Arial" w:hAnsi="Arial" w:cs="Arial"/>
                <w:color w:val="808080" w:themeColor="background1" w:themeShade="80"/>
                <w:sz w:val="16"/>
                <w:szCs w:val="16"/>
              </w:rPr>
              <w:t>Not Assessable</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Processing time of e-Travel Authorization (TA) and e-Event Request (subject to respected deadline)</w:t>
            </w:r>
          </w:p>
        </w:tc>
        <w:tc>
          <w:tcPr>
            <w:tcW w:w="900" w:type="pct"/>
            <w:shd w:val="clear" w:color="auto" w:fill="auto"/>
          </w:tcPr>
          <w:p w:rsidR="0028218A" w:rsidRPr="00FE03FF" w:rsidRDefault="0028218A">
            <w:pPr>
              <w:rPr>
                <w:rFonts w:cs="Arial"/>
                <w:sz w:val="16"/>
                <w:szCs w:val="16"/>
                <w:lang w:val="de-CH"/>
              </w:rPr>
            </w:pPr>
            <w:r w:rsidRPr="00FE03FF">
              <w:rPr>
                <w:rFonts w:cs="Arial"/>
                <w:sz w:val="16"/>
                <w:szCs w:val="16"/>
                <w:lang w:val="de-CH"/>
              </w:rPr>
              <w:t xml:space="preserve">e-TA </w:t>
            </w:r>
            <w:r w:rsidR="00720FD9">
              <w:rPr>
                <w:rFonts w:cs="Arial"/>
                <w:sz w:val="16"/>
                <w:szCs w:val="16"/>
                <w:lang w:val="de-CH"/>
              </w:rPr>
              <w:t>=</w:t>
            </w:r>
            <w:r w:rsidR="00720FD9" w:rsidRPr="00FE03FF">
              <w:rPr>
                <w:rFonts w:cs="Arial"/>
                <w:sz w:val="16"/>
                <w:szCs w:val="16"/>
                <w:lang w:val="de-CH"/>
              </w:rPr>
              <w:t xml:space="preserve"> </w:t>
            </w:r>
            <w:r w:rsidRPr="00FE03FF">
              <w:rPr>
                <w:rFonts w:cs="Arial"/>
                <w:sz w:val="16"/>
                <w:szCs w:val="16"/>
                <w:lang w:val="de-CH"/>
              </w:rPr>
              <w:t>1 day</w:t>
            </w:r>
            <w:r w:rsidRPr="00FE03FF">
              <w:rPr>
                <w:rFonts w:cs="Arial"/>
                <w:sz w:val="16"/>
                <w:szCs w:val="16"/>
                <w:lang w:val="de-CH"/>
              </w:rPr>
              <w:br/>
              <w:t>e-ER = 2 hours</w:t>
            </w:r>
          </w:p>
        </w:tc>
        <w:tc>
          <w:tcPr>
            <w:tcW w:w="764" w:type="pct"/>
            <w:gridSpan w:val="2"/>
            <w:shd w:val="clear" w:color="auto" w:fill="auto"/>
            <w:tcMar>
              <w:top w:w="110" w:type="dxa"/>
            </w:tcMar>
          </w:tcPr>
          <w:p w:rsidR="0028218A" w:rsidRPr="006550F0" w:rsidRDefault="0028218A" w:rsidP="0028218A">
            <w:pPr>
              <w:autoSpaceDE w:val="0"/>
              <w:autoSpaceDN w:val="0"/>
              <w:adjustRightInd w:val="0"/>
              <w:rPr>
                <w:rFonts w:ascii="ArialMT" w:hAnsi="ArialMT" w:cs="ArialMT"/>
                <w:sz w:val="16"/>
                <w:szCs w:val="16"/>
              </w:rPr>
            </w:pPr>
            <w:r w:rsidRPr="006550F0">
              <w:rPr>
                <w:rFonts w:ascii="ArialMT" w:hAnsi="ArialMT" w:cs="ArialMT"/>
                <w:sz w:val="16"/>
                <w:szCs w:val="16"/>
              </w:rPr>
              <w:t xml:space="preserve">e-TA </w:t>
            </w:r>
            <w:r w:rsidR="00720FD9">
              <w:rPr>
                <w:rFonts w:ascii="ArialMT" w:hAnsi="ArialMT" w:cs="ArialMT"/>
                <w:sz w:val="16"/>
                <w:szCs w:val="16"/>
              </w:rPr>
              <w:t>=</w:t>
            </w:r>
            <w:r w:rsidR="00720FD9" w:rsidRPr="006550F0">
              <w:rPr>
                <w:rFonts w:ascii="ArialMT" w:hAnsi="ArialMT" w:cs="ArialMT"/>
                <w:sz w:val="16"/>
                <w:szCs w:val="16"/>
              </w:rPr>
              <w:t xml:space="preserve"> </w:t>
            </w:r>
            <w:r w:rsidRPr="006550F0">
              <w:rPr>
                <w:rFonts w:ascii="ArialMT" w:hAnsi="ArialMT" w:cs="ArialMT"/>
                <w:sz w:val="16"/>
                <w:szCs w:val="16"/>
              </w:rPr>
              <w:t>1 day</w:t>
            </w:r>
          </w:p>
          <w:p w:rsidR="0028218A" w:rsidRPr="006550F0" w:rsidRDefault="0028218A" w:rsidP="0028218A">
            <w:pPr>
              <w:rPr>
                <w:rFonts w:cs="Arial"/>
                <w:sz w:val="16"/>
                <w:szCs w:val="16"/>
                <w:lang w:bidi="th-TH"/>
              </w:rPr>
            </w:pPr>
            <w:r w:rsidRPr="006550F0">
              <w:rPr>
                <w:rFonts w:ascii="ArialMT" w:hAnsi="ArialMT" w:cs="ArialMT"/>
                <w:sz w:val="16"/>
                <w:szCs w:val="16"/>
              </w:rPr>
              <w:t>e-ER = 2 hours</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e-TA &lt; 1 day</w:t>
            </w:r>
          </w:p>
          <w:p w:rsidR="0028218A" w:rsidRPr="006550F0" w:rsidRDefault="0028218A" w:rsidP="0028218A">
            <w:pPr>
              <w:rPr>
                <w:rFonts w:cs="Arial"/>
                <w:sz w:val="16"/>
                <w:szCs w:val="16"/>
                <w:lang w:bidi="th-TH"/>
              </w:rPr>
            </w:pPr>
            <w:r w:rsidRPr="006550F0">
              <w:rPr>
                <w:rFonts w:cs="Arial"/>
                <w:sz w:val="16"/>
                <w:szCs w:val="16"/>
                <w:lang w:bidi="th-TH"/>
              </w:rPr>
              <w:t>e- ER &lt; 2 hours</w:t>
            </w:r>
          </w:p>
        </w:tc>
        <w:tc>
          <w:tcPr>
            <w:tcW w:w="682" w:type="pct"/>
            <w:gridSpan w:val="2"/>
            <w:shd w:val="clear" w:color="auto" w:fill="auto"/>
            <w:tcMar>
              <w:top w:w="110" w:type="dxa"/>
            </w:tcMar>
          </w:tcPr>
          <w:p w:rsidR="0028218A" w:rsidRPr="005E6AFC" w:rsidRDefault="0028218A" w:rsidP="0028218A">
            <w:pPr>
              <w:keepNext/>
              <w:keepLines/>
              <w:jc w:val="center"/>
              <w:rPr>
                <w:rFonts w:cs="Arial"/>
                <w:bCs/>
                <w:color w:val="8080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Processing time for 3rd party visas</w:t>
            </w:r>
          </w:p>
        </w:tc>
        <w:tc>
          <w:tcPr>
            <w:tcW w:w="900" w:type="pct"/>
            <w:shd w:val="clear" w:color="auto" w:fill="auto"/>
          </w:tcPr>
          <w:p w:rsidR="0028218A" w:rsidRPr="00FE03FF" w:rsidRDefault="0028218A" w:rsidP="0028218A">
            <w:pPr>
              <w:rPr>
                <w:rFonts w:cs="Arial"/>
                <w:sz w:val="16"/>
                <w:szCs w:val="16"/>
              </w:rPr>
            </w:pPr>
            <w:r w:rsidRPr="00FE03FF">
              <w:rPr>
                <w:rFonts w:cs="Arial"/>
                <w:sz w:val="16"/>
                <w:szCs w:val="16"/>
              </w:rPr>
              <w:t>4-5 days</w:t>
            </w:r>
          </w:p>
        </w:tc>
        <w:tc>
          <w:tcPr>
            <w:tcW w:w="764" w:type="pct"/>
            <w:gridSpan w:val="2"/>
            <w:shd w:val="clear" w:color="auto" w:fill="auto"/>
            <w:tcMar>
              <w:top w:w="110" w:type="dxa"/>
            </w:tcMar>
          </w:tcPr>
          <w:p w:rsidR="0028218A" w:rsidRPr="006550F0" w:rsidRDefault="0028218A" w:rsidP="0028218A">
            <w:pPr>
              <w:rPr>
                <w:rFonts w:ascii="ArialMT" w:hAnsi="ArialMT" w:cs="ArialMT"/>
                <w:sz w:val="16"/>
                <w:szCs w:val="16"/>
              </w:rPr>
            </w:pPr>
            <w:r w:rsidRPr="006550F0">
              <w:rPr>
                <w:rFonts w:ascii="ArialMT" w:hAnsi="ArialMT" w:cs="ArialMT"/>
                <w:sz w:val="16"/>
                <w:szCs w:val="16"/>
              </w:rPr>
              <w:t>2-3 days</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&lt; 2 days</w:t>
            </w:r>
          </w:p>
        </w:tc>
        <w:tc>
          <w:tcPr>
            <w:tcW w:w="682" w:type="pct"/>
            <w:gridSpan w:val="2"/>
            <w:shd w:val="clear" w:color="auto" w:fill="auto"/>
            <w:tcMar>
              <w:top w:w="110" w:type="dxa"/>
            </w:tcMar>
          </w:tcPr>
          <w:p w:rsidR="0028218A" w:rsidRPr="003C3247" w:rsidRDefault="0028218A" w:rsidP="0028218A">
            <w:pPr>
              <w:keepNext/>
              <w:keepLines/>
              <w:spacing w:after="120"/>
              <w:jc w:val="center"/>
              <w:rPr>
                <w:rFonts w:cs="Arial"/>
                <w:bCs/>
                <w:color w:val="808080" w:themeColor="background1" w:themeShade="80"/>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28218A" w:rsidTr="008225D9">
        <w:trPr>
          <w:cantSplit/>
        </w:trPr>
        <w:tc>
          <w:tcPr>
            <w:tcW w:w="836" w:type="pct"/>
            <w:shd w:val="clear" w:color="auto" w:fill="auto"/>
          </w:tcPr>
          <w:p w:rsidR="0028218A" w:rsidRPr="00FE03FF" w:rsidRDefault="0028218A" w:rsidP="0028218A">
            <w:pPr>
              <w:rPr>
                <w:rFonts w:cs="Arial"/>
                <w:sz w:val="16"/>
                <w:szCs w:val="16"/>
              </w:rPr>
            </w:pPr>
            <w:r>
              <w:rPr>
                <w:rFonts w:cs="Arial"/>
                <w:sz w:val="16"/>
                <w:szCs w:val="16"/>
              </w:rPr>
              <w:t>Reduction in travel costs as a result of e-conferences and video conferences</w:t>
            </w:r>
          </w:p>
        </w:tc>
        <w:tc>
          <w:tcPr>
            <w:tcW w:w="900" w:type="pct"/>
            <w:shd w:val="clear" w:color="auto" w:fill="auto"/>
          </w:tcPr>
          <w:p w:rsidR="0028218A" w:rsidRPr="00FE03FF" w:rsidRDefault="0028218A" w:rsidP="0028218A">
            <w:pPr>
              <w:rPr>
                <w:rFonts w:cs="Arial"/>
                <w:sz w:val="16"/>
                <w:szCs w:val="16"/>
              </w:rPr>
            </w:pPr>
            <w:r>
              <w:rPr>
                <w:rFonts w:cs="Arial"/>
                <w:sz w:val="16"/>
                <w:szCs w:val="16"/>
              </w:rPr>
              <w:t>Tbd</w:t>
            </w:r>
          </w:p>
        </w:tc>
        <w:tc>
          <w:tcPr>
            <w:tcW w:w="764" w:type="pct"/>
            <w:gridSpan w:val="2"/>
            <w:shd w:val="clear" w:color="auto" w:fill="auto"/>
            <w:tcMar>
              <w:top w:w="110" w:type="dxa"/>
            </w:tcMar>
          </w:tcPr>
          <w:p w:rsidR="0028218A" w:rsidRPr="006550F0" w:rsidRDefault="0028218A" w:rsidP="0028218A">
            <w:pPr>
              <w:rPr>
                <w:rFonts w:cs="Arial"/>
                <w:sz w:val="16"/>
                <w:szCs w:val="16"/>
              </w:rPr>
            </w:pPr>
            <w:r w:rsidRPr="006550F0">
              <w:rPr>
                <w:rFonts w:cs="Arial"/>
                <w:sz w:val="16"/>
                <w:szCs w:val="16"/>
              </w:rPr>
              <w:t>Tbd</w:t>
            </w:r>
          </w:p>
        </w:tc>
        <w:tc>
          <w:tcPr>
            <w:tcW w:w="1818" w:type="pct"/>
            <w:shd w:val="clear" w:color="auto" w:fill="FFFFFF"/>
            <w:tcMar>
              <w:top w:w="110" w:type="dxa"/>
            </w:tcMar>
          </w:tcPr>
          <w:p w:rsidR="0028218A" w:rsidRPr="006550F0" w:rsidRDefault="0028218A" w:rsidP="0028218A">
            <w:pPr>
              <w:rPr>
                <w:rFonts w:cs="Arial"/>
                <w:sz w:val="16"/>
                <w:szCs w:val="16"/>
                <w:lang w:bidi="th-TH"/>
              </w:rPr>
            </w:pPr>
            <w:r w:rsidRPr="006550F0">
              <w:rPr>
                <w:rFonts w:cs="Arial"/>
                <w:sz w:val="16"/>
                <w:szCs w:val="16"/>
                <w:lang w:bidi="th-TH"/>
              </w:rPr>
              <w:t>In line with WIPO’s commitment to reducing travel costs, a concerted effort has been made during the biennium to increase the usage of e-conferencing technologies:</w:t>
            </w:r>
          </w:p>
          <w:p w:rsidR="0028218A" w:rsidRPr="006550F0" w:rsidRDefault="0028218A" w:rsidP="0028218A">
            <w:pPr>
              <w:rPr>
                <w:rFonts w:cs="Arial"/>
                <w:sz w:val="16"/>
                <w:szCs w:val="16"/>
                <w:lang w:bidi="th-TH"/>
              </w:rPr>
            </w:pPr>
          </w:p>
          <w:p w:rsidR="0028218A" w:rsidRPr="006550F0" w:rsidRDefault="0028218A" w:rsidP="0028218A">
            <w:pPr>
              <w:rPr>
                <w:rFonts w:cs="Arial"/>
                <w:sz w:val="16"/>
                <w:szCs w:val="16"/>
                <w:lang w:bidi="th-TH"/>
              </w:rPr>
            </w:pPr>
            <w:r w:rsidRPr="006550F0">
              <w:rPr>
                <w:rFonts w:cs="Arial"/>
                <w:sz w:val="16"/>
                <w:szCs w:val="16"/>
                <w:lang w:bidi="th-TH"/>
              </w:rPr>
              <w:t>Video Conferences:</w:t>
            </w:r>
          </w:p>
          <w:p w:rsidR="0028218A" w:rsidRPr="006550F0" w:rsidRDefault="0028218A" w:rsidP="007B2B25">
            <w:pPr>
              <w:pStyle w:val="ListParagraph"/>
              <w:numPr>
                <w:ilvl w:val="0"/>
                <w:numId w:val="63"/>
              </w:numPr>
              <w:rPr>
                <w:rFonts w:cs="Arial"/>
                <w:sz w:val="16"/>
                <w:szCs w:val="16"/>
                <w:lang w:bidi="th-TH"/>
              </w:rPr>
            </w:pPr>
            <w:r w:rsidRPr="006550F0">
              <w:rPr>
                <w:rFonts w:cs="Arial"/>
                <w:sz w:val="16"/>
                <w:szCs w:val="16"/>
                <w:lang w:bidi="th-TH"/>
              </w:rPr>
              <w:t>2012:  49 calls for a total of 73 hours</w:t>
            </w:r>
          </w:p>
          <w:p w:rsidR="0028218A" w:rsidRPr="006550F0" w:rsidRDefault="0028218A" w:rsidP="007B2B25">
            <w:pPr>
              <w:pStyle w:val="ListParagraph"/>
              <w:numPr>
                <w:ilvl w:val="0"/>
                <w:numId w:val="63"/>
              </w:numPr>
              <w:rPr>
                <w:rFonts w:cs="Arial"/>
                <w:sz w:val="16"/>
                <w:szCs w:val="16"/>
                <w:lang w:bidi="th-TH"/>
              </w:rPr>
            </w:pPr>
            <w:r w:rsidRPr="006550F0">
              <w:rPr>
                <w:rFonts w:cs="Arial"/>
                <w:sz w:val="16"/>
                <w:szCs w:val="16"/>
                <w:lang w:bidi="th-TH"/>
              </w:rPr>
              <w:t xml:space="preserve">2013: </w:t>
            </w:r>
            <w:r w:rsidR="00720FD9">
              <w:rPr>
                <w:rFonts w:cs="Arial"/>
                <w:sz w:val="16"/>
                <w:szCs w:val="16"/>
                <w:lang w:bidi="th-TH"/>
              </w:rPr>
              <w:t xml:space="preserve"> </w:t>
            </w:r>
            <w:r w:rsidRPr="006550F0">
              <w:rPr>
                <w:rFonts w:cs="Arial"/>
                <w:sz w:val="16"/>
                <w:szCs w:val="16"/>
                <w:lang w:bidi="th-TH"/>
              </w:rPr>
              <w:t>57 calls for a total of 94 hours</w:t>
            </w:r>
          </w:p>
          <w:p w:rsidR="0028218A" w:rsidRPr="006550F0" w:rsidRDefault="0028218A" w:rsidP="0028218A">
            <w:pPr>
              <w:rPr>
                <w:rFonts w:cs="Arial"/>
                <w:sz w:val="16"/>
                <w:szCs w:val="16"/>
                <w:lang w:bidi="th-TH"/>
              </w:rPr>
            </w:pPr>
          </w:p>
          <w:p w:rsidR="0028218A" w:rsidRPr="006550F0" w:rsidRDefault="0028218A" w:rsidP="0028218A">
            <w:pPr>
              <w:rPr>
                <w:rFonts w:cs="Arial"/>
                <w:sz w:val="16"/>
                <w:szCs w:val="16"/>
                <w:lang w:bidi="th-TH"/>
              </w:rPr>
            </w:pPr>
            <w:r w:rsidRPr="006550F0">
              <w:rPr>
                <w:rFonts w:cs="Arial"/>
                <w:sz w:val="16"/>
                <w:szCs w:val="16"/>
                <w:lang w:bidi="th-TH"/>
              </w:rPr>
              <w:t>WebEx/GoToMeetings:</w:t>
            </w:r>
          </w:p>
          <w:p w:rsidR="0028218A" w:rsidRPr="006550F0" w:rsidRDefault="0028218A" w:rsidP="007B2B25">
            <w:pPr>
              <w:pStyle w:val="ListParagraph"/>
              <w:numPr>
                <w:ilvl w:val="0"/>
                <w:numId w:val="63"/>
              </w:numPr>
              <w:rPr>
                <w:rFonts w:cs="Arial"/>
                <w:sz w:val="16"/>
                <w:szCs w:val="16"/>
                <w:lang w:bidi="th-TH"/>
              </w:rPr>
            </w:pPr>
            <w:r w:rsidRPr="006550F0">
              <w:rPr>
                <w:rFonts w:cs="Arial"/>
                <w:sz w:val="16"/>
                <w:szCs w:val="16"/>
                <w:lang w:bidi="th-TH"/>
              </w:rPr>
              <w:t xml:space="preserve">2012: </w:t>
            </w:r>
            <w:r w:rsidR="00720FD9">
              <w:rPr>
                <w:rFonts w:cs="Arial"/>
                <w:sz w:val="16"/>
                <w:szCs w:val="16"/>
                <w:lang w:bidi="th-TH"/>
              </w:rPr>
              <w:t xml:space="preserve"> </w:t>
            </w:r>
            <w:r w:rsidRPr="006550F0">
              <w:rPr>
                <w:rFonts w:cs="Arial"/>
                <w:sz w:val="16"/>
                <w:szCs w:val="16"/>
                <w:lang w:bidi="th-TH"/>
              </w:rPr>
              <w:t xml:space="preserve">51 events (15 meetings; </w:t>
            </w:r>
            <w:r w:rsidR="00720FD9" w:rsidRPr="006550F0">
              <w:rPr>
                <w:rFonts w:cs="Arial"/>
                <w:sz w:val="16"/>
                <w:szCs w:val="16"/>
                <w:lang w:bidi="th-TH"/>
              </w:rPr>
              <w:t>36</w:t>
            </w:r>
            <w:r w:rsidR="00720FD9">
              <w:rPr>
                <w:rFonts w:cs="Arial"/>
                <w:sz w:val="16"/>
                <w:szCs w:val="16"/>
                <w:lang w:bidi="th-TH"/>
              </w:rPr>
              <w:t> </w:t>
            </w:r>
            <w:r w:rsidRPr="006550F0">
              <w:rPr>
                <w:rFonts w:cs="Arial"/>
                <w:sz w:val="16"/>
                <w:szCs w:val="16"/>
                <w:lang w:bidi="th-TH"/>
              </w:rPr>
              <w:t xml:space="preserve">interviews for HR recruitment purposes) </w:t>
            </w:r>
          </w:p>
          <w:p w:rsidR="0028218A" w:rsidRPr="006550F0" w:rsidRDefault="0028218A" w:rsidP="007B2B25">
            <w:pPr>
              <w:pStyle w:val="ListParagraph"/>
              <w:numPr>
                <w:ilvl w:val="0"/>
                <w:numId w:val="63"/>
              </w:numPr>
              <w:rPr>
                <w:rFonts w:cs="Arial"/>
                <w:sz w:val="16"/>
                <w:szCs w:val="16"/>
                <w:lang w:bidi="th-TH"/>
              </w:rPr>
            </w:pPr>
            <w:r w:rsidRPr="006550F0">
              <w:rPr>
                <w:rFonts w:cs="Arial"/>
                <w:sz w:val="16"/>
                <w:szCs w:val="16"/>
                <w:lang w:bidi="th-TH"/>
              </w:rPr>
              <w:t xml:space="preserve">2013: </w:t>
            </w:r>
            <w:r w:rsidR="00720FD9">
              <w:rPr>
                <w:rFonts w:cs="Arial"/>
                <w:sz w:val="16"/>
                <w:szCs w:val="16"/>
                <w:lang w:bidi="th-TH"/>
              </w:rPr>
              <w:t xml:space="preserve"> </w:t>
            </w:r>
            <w:r w:rsidRPr="006550F0">
              <w:rPr>
                <w:rFonts w:cs="Arial"/>
                <w:sz w:val="16"/>
                <w:szCs w:val="16"/>
                <w:lang w:bidi="th-TH"/>
              </w:rPr>
              <w:t xml:space="preserve">63 events (26 meetings; 37 HR interviews for HR recruitment purposes) </w:t>
            </w:r>
          </w:p>
        </w:tc>
        <w:tc>
          <w:tcPr>
            <w:tcW w:w="682" w:type="pct"/>
            <w:gridSpan w:val="2"/>
            <w:shd w:val="clear" w:color="auto" w:fill="auto"/>
            <w:tcMar>
              <w:top w:w="110" w:type="dxa"/>
            </w:tcMar>
          </w:tcPr>
          <w:p w:rsidR="0028218A" w:rsidRPr="003C3247" w:rsidRDefault="0028218A" w:rsidP="0028218A">
            <w:pPr>
              <w:keepNext/>
              <w:keepLines/>
              <w:spacing w:after="120"/>
              <w:jc w:val="center"/>
              <w:rPr>
                <w:rFonts w:cs="Arial"/>
                <w:bCs/>
                <w:color w:val="808080" w:themeColor="background1" w:themeShade="80"/>
                <w:sz w:val="16"/>
                <w:szCs w:val="16"/>
              </w:rPr>
            </w:pPr>
            <w:r w:rsidRPr="003C3247">
              <w:rPr>
                <w:rStyle w:val="Style5"/>
                <w:rFonts w:ascii="Arial" w:hAnsi="Arial" w:cs="Arial"/>
                <w:color w:val="808080" w:themeColor="background1" w:themeShade="80"/>
                <w:sz w:val="16"/>
                <w:szCs w:val="16"/>
              </w:rPr>
              <w:t>Not Assessable</w:t>
            </w:r>
          </w:p>
        </w:tc>
      </w:tr>
      <w:tr w:rsidR="0028218A" w:rsidRPr="0017565C" w:rsidTr="008225D9">
        <w:trPr>
          <w:cantSplit/>
        </w:trPr>
        <w:tc>
          <w:tcPr>
            <w:tcW w:w="836" w:type="pct"/>
            <w:shd w:val="clear" w:color="auto" w:fill="auto"/>
          </w:tcPr>
          <w:p w:rsidR="0028218A" w:rsidRDefault="0028218A" w:rsidP="0028218A">
            <w:pPr>
              <w:rPr>
                <w:rFonts w:cs="Arial"/>
                <w:sz w:val="16"/>
                <w:szCs w:val="16"/>
              </w:rPr>
            </w:pPr>
            <w:r w:rsidRPr="00FE03FF">
              <w:rPr>
                <w:rFonts w:cs="Arial"/>
                <w:sz w:val="16"/>
                <w:szCs w:val="16"/>
              </w:rPr>
              <w:t xml:space="preserve">Rental of additional workplaces and related facilities (assuming same headcount as end 2011) </w:t>
            </w:r>
          </w:p>
          <w:p w:rsidR="00720FD9" w:rsidRPr="00FE03FF" w:rsidRDefault="00720FD9" w:rsidP="0028218A">
            <w:pPr>
              <w:rPr>
                <w:rFonts w:cs="Arial"/>
                <w:sz w:val="16"/>
                <w:szCs w:val="16"/>
              </w:rPr>
            </w:pPr>
          </w:p>
        </w:tc>
        <w:tc>
          <w:tcPr>
            <w:tcW w:w="900" w:type="pct"/>
            <w:shd w:val="clear" w:color="auto" w:fill="auto"/>
          </w:tcPr>
          <w:p w:rsidR="0028218A" w:rsidRPr="006550F0" w:rsidRDefault="0028218A" w:rsidP="0028218A">
            <w:pPr>
              <w:rPr>
                <w:rFonts w:cs="Arial"/>
                <w:sz w:val="16"/>
                <w:szCs w:val="16"/>
              </w:rPr>
            </w:pPr>
            <w:r w:rsidRPr="006550F0">
              <w:rPr>
                <w:rFonts w:cs="Arial"/>
                <w:sz w:val="16"/>
                <w:szCs w:val="16"/>
              </w:rPr>
              <w:t>80 workplaces</w:t>
            </w:r>
          </w:p>
        </w:tc>
        <w:tc>
          <w:tcPr>
            <w:tcW w:w="764" w:type="pct"/>
            <w:gridSpan w:val="2"/>
            <w:shd w:val="clear" w:color="auto" w:fill="auto"/>
            <w:tcMar>
              <w:top w:w="110" w:type="dxa"/>
            </w:tcMar>
          </w:tcPr>
          <w:p w:rsidR="0028218A" w:rsidRPr="006550F0" w:rsidRDefault="0028218A" w:rsidP="0028218A">
            <w:pPr>
              <w:rPr>
                <w:rFonts w:ascii="ArialMT" w:hAnsi="ArialMT" w:cs="ArialMT"/>
                <w:sz w:val="16"/>
                <w:szCs w:val="16"/>
              </w:rPr>
            </w:pPr>
            <w:r w:rsidRPr="006550F0">
              <w:rPr>
                <w:rFonts w:ascii="ArialMT" w:hAnsi="ArialMT" w:cs="ArialMT"/>
                <w:sz w:val="16"/>
                <w:szCs w:val="16"/>
              </w:rPr>
              <w:t>80 workplaces</w:t>
            </w:r>
          </w:p>
        </w:tc>
        <w:tc>
          <w:tcPr>
            <w:tcW w:w="1818" w:type="pct"/>
            <w:shd w:val="clear" w:color="auto" w:fill="FFFFFF"/>
            <w:tcMar>
              <w:top w:w="110" w:type="dxa"/>
            </w:tcMar>
          </w:tcPr>
          <w:p w:rsidR="0028218A" w:rsidRPr="006550F0" w:rsidRDefault="0028218A" w:rsidP="0028218A">
            <w:pPr>
              <w:rPr>
                <w:rFonts w:cs="Arial"/>
                <w:sz w:val="16"/>
                <w:szCs w:val="16"/>
              </w:rPr>
            </w:pPr>
            <w:r w:rsidRPr="006550F0">
              <w:rPr>
                <w:rFonts w:cs="Arial"/>
                <w:sz w:val="16"/>
                <w:szCs w:val="16"/>
              </w:rPr>
              <w:t>80 workplaces (No additional rental office space was required during the biennium).</w:t>
            </w:r>
          </w:p>
        </w:tc>
        <w:tc>
          <w:tcPr>
            <w:tcW w:w="682" w:type="pct"/>
            <w:gridSpan w:val="2"/>
            <w:shd w:val="clear" w:color="auto" w:fill="auto"/>
          </w:tcPr>
          <w:p w:rsidR="0028218A" w:rsidRPr="00D211E5" w:rsidRDefault="0028218A" w:rsidP="0028218A">
            <w:pPr>
              <w:keepNext/>
              <w:keepLines/>
              <w:jc w:val="center"/>
              <w:rPr>
                <w:rFonts w:cs="Arial"/>
                <w:bCs/>
                <w:color w:val="333333"/>
                <w:sz w:val="16"/>
                <w:szCs w:val="16"/>
              </w:rPr>
            </w:pPr>
            <w:r w:rsidRPr="00F93838">
              <w:rPr>
                <w:rFonts w:cs="Arial"/>
                <w:bCs/>
                <w:color w:val="008000"/>
                <w:sz w:val="16"/>
                <w:szCs w:val="16"/>
              </w:rPr>
              <w:t>Fully</w:t>
            </w:r>
            <w:r>
              <w:rPr>
                <w:rFonts w:cs="Arial"/>
                <w:bCs/>
                <w:color w:val="008000"/>
                <w:sz w:val="16"/>
                <w:szCs w:val="16"/>
              </w:rPr>
              <w:br/>
            </w:r>
            <w:r w:rsidRPr="00F93838">
              <w:rPr>
                <w:rFonts w:cs="Arial"/>
                <w:bCs/>
                <w:color w:val="008000"/>
                <w:sz w:val="16"/>
                <w:szCs w:val="16"/>
              </w:rPr>
              <w:t>Achieved</w:t>
            </w:r>
          </w:p>
        </w:tc>
      </w:tr>
      <w:tr w:rsidR="0028218A" w:rsidRPr="0017565C" w:rsidTr="005A753E">
        <w:trPr>
          <w:cantSplit/>
        </w:trPr>
        <w:tc>
          <w:tcPr>
            <w:tcW w:w="836" w:type="pct"/>
            <w:tcBorders>
              <w:bottom w:val="single" w:sz="4" w:space="0" w:color="auto"/>
            </w:tcBorders>
            <w:shd w:val="clear" w:color="auto" w:fill="auto"/>
          </w:tcPr>
          <w:p w:rsidR="0028218A" w:rsidRDefault="0028218A" w:rsidP="0028218A">
            <w:pPr>
              <w:rPr>
                <w:rFonts w:cs="Arial"/>
                <w:sz w:val="16"/>
                <w:szCs w:val="16"/>
              </w:rPr>
            </w:pPr>
            <w:r w:rsidRPr="00FE03FF">
              <w:rPr>
                <w:rFonts w:cs="Arial"/>
                <w:sz w:val="16"/>
                <w:szCs w:val="16"/>
              </w:rPr>
              <w:lastRenderedPageBreak/>
              <w:t>No. of main technical installations (electrical, sanitary, heating and cooling) improved in line with applicable standards (to be defined)</w:t>
            </w:r>
          </w:p>
          <w:p w:rsidR="0028218A" w:rsidRPr="00FE03FF" w:rsidRDefault="0028218A" w:rsidP="0028218A">
            <w:pPr>
              <w:rPr>
                <w:rFonts w:cs="Arial"/>
                <w:sz w:val="16"/>
                <w:szCs w:val="16"/>
              </w:rPr>
            </w:pPr>
          </w:p>
        </w:tc>
        <w:tc>
          <w:tcPr>
            <w:tcW w:w="900" w:type="pct"/>
            <w:tcBorders>
              <w:bottom w:val="single" w:sz="4" w:space="0" w:color="auto"/>
            </w:tcBorders>
            <w:shd w:val="clear" w:color="auto" w:fill="auto"/>
          </w:tcPr>
          <w:p w:rsidR="0028218A" w:rsidRPr="006550F0" w:rsidRDefault="0028218A" w:rsidP="0028218A">
            <w:pPr>
              <w:rPr>
                <w:rFonts w:cs="Arial"/>
                <w:color w:val="002060"/>
                <w:sz w:val="16"/>
                <w:szCs w:val="16"/>
              </w:rPr>
            </w:pPr>
            <w:r w:rsidRPr="006550F0">
              <w:rPr>
                <w:i/>
                <w:color w:val="002060"/>
                <w:sz w:val="16"/>
                <w:szCs w:val="16"/>
              </w:rPr>
              <w:t>Updated Baseline end 2011:</w:t>
            </w:r>
            <w:r w:rsidR="00720FD9">
              <w:rPr>
                <w:color w:val="002060"/>
                <w:sz w:val="16"/>
                <w:szCs w:val="16"/>
              </w:rPr>
              <w:t xml:space="preserve">  </w:t>
            </w:r>
            <w:r w:rsidRPr="006550F0">
              <w:rPr>
                <w:rFonts w:cs="Arial"/>
                <w:color w:val="002060"/>
                <w:sz w:val="16"/>
                <w:szCs w:val="16"/>
              </w:rPr>
              <w:t>Upgrading or replacement of one cooling installation in at least one building to meet the standard established under the “Geneva Lake Water” installation requirements.  Other standards for other installations to be defined</w:t>
            </w:r>
            <w:r w:rsidR="00720FD9">
              <w:rPr>
                <w:rFonts w:cs="Arial"/>
                <w:color w:val="002060"/>
                <w:sz w:val="16"/>
                <w:szCs w:val="16"/>
              </w:rPr>
              <w:t>.</w:t>
            </w:r>
          </w:p>
          <w:p w:rsidR="0028218A" w:rsidRPr="008225D9" w:rsidRDefault="0028218A" w:rsidP="0028218A">
            <w:pPr>
              <w:rPr>
                <w:color w:val="002060"/>
                <w:sz w:val="8"/>
                <w:szCs w:val="8"/>
              </w:rPr>
            </w:pPr>
          </w:p>
          <w:p w:rsidR="0028218A" w:rsidRDefault="0028218A" w:rsidP="0028218A">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t xml:space="preserve"> </w:t>
            </w:r>
            <w:r w:rsidRPr="00FE03FF">
              <w:rPr>
                <w:rFonts w:cs="Arial"/>
                <w:sz w:val="16"/>
                <w:szCs w:val="16"/>
              </w:rPr>
              <w:t>n/a</w:t>
            </w:r>
          </w:p>
          <w:p w:rsidR="0028218A" w:rsidRPr="00FE03FF" w:rsidRDefault="0028218A" w:rsidP="0028218A">
            <w:pPr>
              <w:rPr>
                <w:rFonts w:cs="Arial"/>
                <w:sz w:val="16"/>
                <w:szCs w:val="16"/>
              </w:rPr>
            </w:pPr>
          </w:p>
        </w:tc>
        <w:tc>
          <w:tcPr>
            <w:tcW w:w="764" w:type="pct"/>
            <w:gridSpan w:val="2"/>
            <w:tcBorders>
              <w:bottom w:val="single" w:sz="4" w:space="0" w:color="auto"/>
            </w:tcBorders>
            <w:shd w:val="clear" w:color="auto" w:fill="auto"/>
            <w:tcMar>
              <w:top w:w="110" w:type="dxa"/>
            </w:tcMar>
          </w:tcPr>
          <w:p w:rsidR="0028218A" w:rsidRPr="006550F0" w:rsidRDefault="0028218A" w:rsidP="0028218A">
            <w:pPr>
              <w:rPr>
                <w:rFonts w:cs="Arial"/>
                <w:sz w:val="16"/>
                <w:szCs w:val="16"/>
              </w:rPr>
            </w:pPr>
            <w:r w:rsidRPr="006550F0">
              <w:rPr>
                <w:rFonts w:ascii="ArialMT" w:hAnsi="ArialMT" w:cs="ArialMT"/>
                <w:sz w:val="16"/>
                <w:szCs w:val="16"/>
              </w:rPr>
              <w:t>n/a</w:t>
            </w:r>
          </w:p>
        </w:tc>
        <w:tc>
          <w:tcPr>
            <w:tcW w:w="1818" w:type="pct"/>
            <w:tcBorders>
              <w:bottom w:val="single" w:sz="4" w:space="0" w:color="auto"/>
            </w:tcBorders>
            <w:shd w:val="clear" w:color="auto" w:fill="FFFFFF"/>
            <w:tcMar>
              <w:top w:w="110" w:type="dxa"/>
            </w:tcMar>
          </w:tcPr>
          <w:p w:rsidR="0028218A" w:rsidRPr="006550F0" w:rsidRDefault="0028218A" w:rsidP="00CD26D6">
            <w:pPr>
              <w:rPr>
                <w:rFonts w:cs="Arial"/>
                <w:sz w:val="16"/>
                <w:szCs w:val="16"/>
              </w:rPr>
            </w:pPr>
            <w:r w:rsidRPr="006550F0">
              <w:rPr>
                <w:rFonts w:cs="Arial"/>
                <w:sz w:val="16"/>
                <w:szCs w:val="16"/>
              </w:rPr>
              <w:t>The cooling installations in GBI and GB II Buildings using the Geneva Lake Water system were upgraded and completed in 2012 and June 2013 respectively.</w:t>
            </w:r>
          </w:p>
          <w:p w:rsidR="0028218A" w:rsidRPr="006550F0" w:rsidRDefault="0028218A" w:rsidP="00CD26D6">
            <w:pPr>
              <w:rPr>
                <w:rFonts w:cs="Arial"/>
                <w:sz w:val="16"/>
                <w:szCs w:val="16"/>
              </w:rPr>
            </w:pPr>
          </w:p>
          <w:p w:rsidR="0028218A" w:rsidRPr="006550F0" w:rsidRDefault="0028218A" w:rsidP="00CD26D6">
            <w:pPr>
              <w:rPr>
                <w:rFonts w:cs="Arial"/>
                <w:sz w:val="16"/>
                <w:szCs w:val="16"/>
              </w:rPr>
            </w:pPr>
            <w:r w:rsidRPr="006550F0">
              <w:rPr>
                <w:rFonts w:cs="Arial"/>
                <w:sz w:val="16"/>
                <w:szCs w:val="16"/>
              </w:rPr>
              <w:t xml:space="preserve">The electrical installations in the oldest building (GBI) started to be upgraded in 2012 to comply with recently enacted local legislation, with the added benefit of setting a technical framework for reducing electricity consumption. </w:t>
            </w:r>
            <w:r w:rsidR="00720FD9">
              <w:rPr>
                <w:rFonts w:cs="Arial"/>
                <w:sz w:val="16"/>
                <w:szCs w:val="16"/>
              </w:rPr>
              <w:t xml:space="preserve"> </w:t>
            </w:r>
            <w:r w:rsidRPr="006550F0">
              <w:rPr>
                <w:rFonts w:cs="Arial"/>
                <w:sz w:val="16"/>
                <w:szCs w:val="16"/>
              </w:rPr>
              <w:t>It was completed in 2013.</w:t>
            </w:r>
          </w:p>
        </w:tc>
        <w:tc>
          <w:tcPr>
            <w:tcW w:w="682" w:type="pct"/>
            <w:gridSpan w:val="2"/>
            <w:tcBorders>
              <w:bottom w:val="single" w:sz="4" w:space="0" w:color="auto"/>
            </w:tcBorders>
            <w:shd w:val="clear" w:color="auto" w:fill="auto"/>
          </w:tcPr>
          <w:p w:rsidR="0028218A" w:rsidRPr="006550F0" w:rsidRDefault="0028218A" w:rsidP="0028218A">
            <w:pPr>
              <w:keepNext/>
              <w:keepLines/>
              <w:jc w:val="center"/>
              <w:rPr>
                <w:rFonts w:cs="Arial"/>
                <w:bCs/>
                <w:color w:val="333333"/>
                <w:sz w:val="16"/>
                <w:szCs w:val="16"/>
              </w:rPr>
            </w:pPr>
            <w:r w:rsidRPr="00CD26D6">
              <w:rPr>
                <w:rStyle w:val="Style5"/>
                <w:rFonts w:ascii="Arial" w:hAnsi="Arial" w:cs="Arial"/>
                <w:color w:val="595959" w:themeColor="text1" w:themeTint="A6"/>
                <w:sz w:val="16"/>
                <w:szCs w:val="16"/>
              </w:rPr>
              <w:t>Not Assessable</w:t>
            </w:r>
          </w:p>
        </w:tc>
      </w:tr>
      <w:tr w:rsidR="0028218A" w:rsidTr="0028218A">
        <w:trPr>
          <w:cantSplit/>
        </w:trPr>
        <w:tc>
          <w:tcPr>
            <w:tcW w:w="5000" w:type="pct"/>
            <w:gridSpan w:val="7"/>
            <w:tcBorders>
              <w:top w:val="single" w:sz="4" w:space="0" w:color="auto"/>
              <w:bottom w:val="single" w:sz="4" w:space="0" w:color="auto"/>
            </w:tcBorders>
            <w:shd w:val="clear" w:color="auto" w:fill="CCFFFF"/>
            <w:vAlign w:val="center"/>
          </w:tcPr>
          <w:p w:rsidR="0028218A" w:rsidRDefault="0028218A" w:rsidP="0028218A">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E03FF">
              <w:rPr>
                <w:rFonts w:cs="Arial"/>
                <w:sz w:val="16"/>
                <w:szCs w:val="16"/>
              </w:rPr>
              <w:t>Reduced impact of WIPO’s activities on the environment</w:t>
            </w:r>
          </w:p>
        </w:tc>
      </w:tr>
      <w:tr w:rsidR="0028218A" w:rsidRPr="0028218A" w:rsidTr="005A753E">
        <w:trPr>
          <w:cantSplit/>
        </w:trPr>
        <w:tc>
          <w:tcPr>
            <w:tcW w:w="836" w:type="pct"/>
            <w:tcBorders>
              <w:top w:val="single" w:sz="4" w:space="0" w:color="auto"/>
            </w:tcBorders>
            <w:shd w:val="clear" w:color="auto" w:fill="auto"/>
            <w:vAlign w:val="center"/>
          </w:tcPr>
          <w:p w:rsidR="0028218A" w:rsidRPr="0028218A" w:rsidRDefault="0028218A" w:rsidP="0028218A">
            <w:pPr>
              <w:rPr>
                <w:rFonts w:cs="Arial"/>
                <w:sz w:val="16"/>
                <w:szCs w:val="16"/>
              </w:rPr>
            </w:pPr>
            <w:r w:rsidRPr="0028218A">
              <w:rPr>
                <w:rFonts w:cs="Arial"/>
                <w:b/>
                <w:bCs/>
                <w:sz w:val="16"/>
                <w:szCs w:val="16"/>
              </w:rPr>
              <w:t>Performance Indicators</w:t>
            </w:r>
          </w:p>
        </w:tc>
        <w:tc>
          <w:tcPr>
            <w:tcW w:w="900" w:type="pct"/>
            <w:tcBorders>
              <w:top w:val="single" w:sz="4" w:space="0" w:color="auto"/>
            </w:tcBorders>
            <w:shd w:val="clear" w:color="auto" w:fill="auto"/>
            <w:vAlign w:val="center"/>
          </w:tcPr>
          <w:p w:rsidR="0028218A" w:rsidRPr="0028218A" w:rsidRDefault="0028218A" w:rsidP="0028218A">
            <w:pPr>
              <w:rPr>
                <w:rFonts w:cs="Arial"/>
                <w:b/>
                <w:bCs/>
                <w:sz w:val="16"/>
                <w:szCs w:val="16"/>
              </w:rPr>
            </w:pPr>
            <w:r w:rsidRPr="0028218A">
              <w:rPr>
                <w:rFonts w:cs="Arial"/>
                <w:b/>
                <w:bCs/>
                <w:sz w:val="16"/>
                <w:szCs w:val="16"/>
              </w:rPr>
              <w:t>Baselines</w:t>
            </w:r>
          </w:p>
        </w:tc>
        <w:tc>
          <w:tcPr>
            <w:tcW w:w="764" w:type="pct"/>
            <w:gridSpan w:val="2"/>
            <w:tcBorders>
              <w:top w:val="single" w:sz="4" w:space="0" w:color="auto"/>
            </w:tcBorders>
            <w:shd w:val="clear" w:color="auto" w:fill="auto"/>
            <w:tcMar>
              <w:top w:w="110" w:type="dxa"/>
            </w:tcMar>
            <w:vAlign w:val="center"/>
          </w:tcPr>
          <w:p w:rsidR="0028218A" w:rsidRPr="0028218A" w:rsidRDefault="0028218A" w:rsidP="0028218A">
            <w:pPr>
              <w:rPr>
                <w:rFonts w:cs="Arial"/>
                <w:b/>
                <w:sz w:val="16"/>
                <w:szCs w:val="16"/>
              </w:rPr>
            </w:pPr>
            <w:r w:rsidRPr="0028218A">
              <w:rPr>
                <w:rFonts w:cs="Arial"/>
                <w:b/>
                <w:sz w:val="16"/>
                <w:szCs w:val="16"/>
              </w:rPr>
              <w:t>Target</w:t>
            </w:r>
            <w:r w:rsidR="005A753E">
              <w:rPr>
                <w:rFonts w:cs="Arial"/>
                <w:b/>
                <w:sz w:val="16"/>
                <w:szCs w:val="16"/>
              </w:rPr>
              <w:t>s</w:t>
            </w:r>
          </w:p>
        </w:tc>
        <w:tc>
          <w:tcPr>
            <w:tcW w:w="1818" w:type="pct"/>
            <w:tcBorders>
              <w:top w:val="single" w:sz="4" w:space="0" w:color="auto"/>
            </w:tcBorders>
            <w:shd w:val="clear" w:color="auto" w:fill="FFFFFF"/>
            <w:tcMar>
              <w:top w:w="110" w:type="dxa"/>
            </w:tcMar>
            <w:vAlign w:val="center"/>
          </w:tcPr>
          <w:p w:rsidR="0028218A" w:rsidRPr="0028218A" w:rsidRDefault="0028218A" w:rsidP="0028218A">
            <w:pPr>
              <w:rPr>
                <w:rFonts w:cs="Arial"/>
                <w:sz w:val="16"/>
                <w:szCs w:val="16"/>
              </w:rPr>
            </w:pPr>
            <w:r w:rsidRPr="0028218A">
              <w:rPr>
                <w:rFonts w:cs="Arial"/>
                <w:b/>
                <w:bCs/>
                <w:sz w:val="16"/>
                <w:szCs w:val="16"/>
              </w:rPr>
              <w:t>Performance Data</w:t>
            </w:r>
          </w:p>
        </w:tc>
        <w:tc>
          <w:tcPr>
            <w:tcW w:w="682" w:type="pct"/>
            <w:gridSpan w:val="2"/>
            <w:tcBorders>
              <w:top w:val="single" w:sz="4" w:space="0" w:color="auto"/>
            </w:tcBorders>
            <w:shd w:val="clear" w:color="auto" w:fill="auto"/>
            <w:tcMar>
              <w:top w:w="110" w:type="dxa"/>
            </w:tcMar>
            <w:vAlign w:val="center"/>
          </w:tcPr>
          <w:p w:rsidR="0028218A" w:rsidRPr="0028218A" w:rsidRDefault="0028218A" w:rsidP="0028218A">
            <w:pPr>
              <w:keepNext/>
              <w:keepLines/>
              <w:jc w:val="center"/>
              <w:rPr>
                <w:rFonts w:cs="Arial"/>
                <w:b/>
                <w:bCs/>
                <w:sz w:val="16"/>
                <w:szCs w:val="16"/>
              </w:rPr>
            </w:pPr>
            <w:r w:rsidRPr="0028218A">
              <w:rPr>
                <w:rFonts w:cs="Arial"/>
                <w:b/>
                <w:bCs/>
                <w:sz w:val="16"/>
                <w:szCs w:val="16"/>
              </w:rPr>
              <w:t>TLS</w:t>
            </w:r>
          </w:p>
        </w:tc>
      </w:tr>
      <w:tr w:rsidR="0028218A" w:rsidRPr="003C3247" w:rsidTr="005A753E">
        <w:trPr>
          <w:cantSplit/>
        </w:trPr>
        <w:tc>
          <w:tcPr>
            <w:tcW w:w="836" w:type="pct"/>
            <w:shd w:val="clear" w:color="auto" w:fill="auto"/>
          </w:tcPr>
          <w:p w:rsidR="0028218A" w:rsidRPr="00FE03FF" w:rsidRDefault="0028218A" w:rsidP="0028218A">
            <w:pPr>
              <w:rPr>
                <w:rFonts w:cs="Arial"/>
                <w:sz w:val="16"/>
                <w:szCs w:val="16"/>
              </w:rPr>
            </w:pPr>
            <w:r w:rsidRPr="00FE03FF">
              <w:rPr>
                <w:rFonts w:cs="Arial"/>
                <w:sz w:val="16"/>
                <w:szCs w:val="16"/>
              </w:rPr>
              <w:t xml:space="preserve">No. of Programs with environmental improvement indicators, baselines and targets  </w:t>
            </w:r>
          </w:p>
        </w:tc>
        <w:tc>
          <w:tcPr>
            <w:tcW w:w="900" w:type="pct"/>
            <w:shd w:val="clear" w:color="auto" w:fill="auto"/>
          </w:tcPr>
          <w:p w:rsidR="0028218A" w:rsidRDefault="0028218A" w:rsidP="0028218A">
            <w:pPr>
              <w:rPr>
                <w:color w:val="002060"/>
                <w:sz w:val="16"/>
                <w:szCs w:val="16"/>
              </w:rPr>
            </w:pPr>
            <w:r w:rsidRPr="006550F0">
              <w:rPr>
                <w:i/>
                <w:color w:val="002060"/>
                <w:sz w:val="16"/>
                <w:szCs w:val="16"/>
              </w:rPr>
              <w:t>Updated Baseline end 2011:</w:t>
            </w:r>
            <w:r w:rsidRPr="006550F0">
              <w:rPr>
                <w:color w:val="002060"/>
                <w:sz w:val="16"/>
                <w:szCs w:val="16"/>
              </w:rPr>
              <w:t xml:space="preserve"> </w:t>
            </w:r>
            <w:r>
              <w:rPr>
                <w:color w:val="002060"/>
                <w:sz w:val="16"/>
                <w:szCs w:val="16"/>
              </w:rPr>
              <w:t xml:space="preserve"> </w:t>
            </w:r>
            <w:r w:rsidRPr="006550F0">
              <w:rPr>
                <w:rFonts w:cs="Arial"/>
                <w:color w:val="002060"/>
                <w:sz w:val="16"/>
                <w:szCs w:val="16"/>
              </w:rPr>
              <w:t>Four Programs in 2011</w:t>
            </w:r>
          </w:p>
          <w:p w:rsidR="0028218A" w:rsidRPr="008225D9" w:rsidRDefault="0028218A" w:rsidP="0028218A">
            <w:pPr>
              <w:rPr>
                <w:color w:val="002060"/>
                <w:sz w:val="8"/>
                <w:szCs w:val="8"/>
              </w:rPr>
            </w:pPr>
          </w:p>
          <w:p w:rsidR="0028218A" w:rsidRPr="00FE03FF" w:rsidRDefault="0028218A" w:rsidP="0028218A">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r w:rsidRPr="00FE03FF">
              <w:rPr>
                <w:rFonts w:cs="Arial"/>
                <w:sz w:val="16"/>
                <w:szCs w:val="16"/>
              </w:rPr>
              <w:t>Tbd end 2011</w:t>
            </w:r>
          </w:p>
        </w:tc>
        <w:tc>
          <w:tcPr>
            <w:tcW w:w="764" w:type="pct"/>
            <w:gridSpan w:val="2"/>
            <w:shd w:val="clear" w:color="auto" w:fill="auto"/>
            <w:tcMar>
              <w:top w:w="110" w:type="dxa"/>
            </w:tcMar>
          </w:tcPr>
          <w:p w:rsidR="0028218A" w:rsidRPr="006550F0" w:rsidRDefault="0028218A" w:rsidP="0028218A">
            <w:pPr>
              <w:rPr>
                <w:rFonts w:cs="Arial"/>
                <w:sz w:val="16"/>
                <w:szCs w:val="16"/>
              </w:rPr>
            </w:pPr>
            <w:r w:rsidRPr="006550F0">
              <w:rPr>
                <w:rFonts w:cs="Arial"/>
                <w:sz w:val="16"/>
                <w:szCs w:val="16"/>
              </w:rPr>
              <w:t>All Programs</w:t>
            </w:r>
          </w:p>
        </w:tc>
        <w:tc>
          <w:tcPr>
            <w:tcW w:w="1818" w:type="pct"/>
            <w:shd w:val="clear" w:color="auto" w:fill="FFFFFF"/>
            <w:tcMar>
              <w:top w:w="110" w:type="dxa"/>
            </w:tcMar>
          </w:tcPr>
          <w:p w:rsidR="0028218A" w:rsidRPr="006550F0" w:rsidRDefault="0028218A" w:rsidP="00CD26D6">
            <w:pPr>
              <w:rPr>
                <w:rFonts w:cs="Arial"/>
                <w:sz w:val="16"/>
                <w:szCs w:val="16"/>
                <w:lang w:bidi="th-TH"/>
              </w:rPr>
            </w:pPr>
            <w:r w:rsidRPr="006550F0">
              <w:rPr>
                <w:rFonts w:cs="Arial"/>
                <w:sz w:val="16"/>
                <w:szCs w:val="16"/>
                <w:lang w:bidi="th-TH"/>
              </w:rPr>
              <w:t>Four programs in 2012 reflected environmental responsibility:</w:t>
            </w:r>
          </w:p>
          <w:p w:rsidR="0028218A" w:rsidRPr="006550F0" w:rsidRDefault="0028218A" w:rsidP="00CD26D6">
            <w:pPr>
              <w:rPr>
                <w:rFonts w:cs="Arial"/>
                <w:sz w:val="16"/>
                <w:szCs w:val="16"/>
                <w:u w:val="single"/>
                <w:lang w:bidi="th-TH"/>
              </w:rPr>
            </w:pPr>
          </w:p>
          <w:p w:rsidR="0028218A" w:rsidRPr="006550F0" w:rsidRDefault="0028218A" w:rsidP="00CD26D6">
            <w:pPr>
              <w:rPr>
                <w:rFonts w:cs="Arial"/>
                <w:sz w:val="16"/>
                <w:szCs w:val="16"/>
                <w:lang w:bidi="th-TH"/>
              </w:rPr>
            </w:pPr>
            <w:r w:rsidRPr="006550F0">
              <w:rPr>
                <w:rFonts w:cs="Arial"/>
                <w:sz w:val="16"/>
                <w:szCs w:val="16"/>
                <w:u w:val="single"/>
                <w:lang w:bidi="th-TH"/>
              </w:rPr>
              <w:t>Program 24</w:t>
            </w:r>
            <w:r w:rsidRPr="00CD26D6">
              <w:rPr>
                <w:rFonts w:cs="Arial"/>
                <w:sz w:val="16"/>
                <w:szCs w:val="16"/>
                <w:lang w:bidi="th-TH"/>
              </w:rPr>
              <w:t>:</w:t>
            </w:r>
            <w:r w:rsidRPr="006550F0">
              <w:rPr>
                <w:rFonts w:cs="Arial"/>
                <w:sz w:val="16"/>
                <w:szCs w:val="16"/>
                <w:lang w:bidi="th-TH"/>
              </w:rPr>
              <w:t xml:space="preserve">  Geneva Lake Water system deployed in GBI and GBII in 2012 and in 2013; </w:t>
            </w:r>
            <w:r w:rsidR="00720FD9">
              <w:rPr>
                <w:rFonts w:cs="Arial"/>
                <w:sz w:val="16"/>
                <w:szCs w:val="16"/>
                <w:lang w:bidi="th-TH"/>
              </w:rPr>
              <w:t xml:space="preserve"> </w:t>
            </w:r>
            <w:r w:rsidRPr="006550F0">
              <w:rPr>
                <w:rFonts w:cs="Arial"/>
                <w:sz w:val="16"/>
                <w:szCs w:val="16"/>
                <w:lang w:bidi="th-TH"/>
              </w:rPr>
              <w:t xml:space="preserve">continued choice of electricity tariff with highest contribution on investment in renewable energies (for the New Building); </w:t>
            </w:r>
            <w:r w:rsidR="00720FD9">
              <w:rPr>
                <w:rFonts w:cs="Arial"/>
                <w:sz w:val="16"/>
                <w:szCs w:val="16"/>
                <w:lang w:bidi="th-TH"/>
              </w:rPr>
              <w:t xml:space="preserve"> </w:t>
            </w:r>
            <w:r w:rsidRPr="006550F0">
              <w:rPr>
                <w:rFonts w:cs="Arial"/>
                <w:sz w:val="16"/>
                <w:szCs w:val="16"/>
                <w:lang w:bidi="th-TH"/>
              </w:rPr>
              <w:t xml:space="preserve">2% reduction in electricity consumption due to the implementation of a variety of measures aimed at upgrading installations; </w:t>
            </w:r>
            <w:r w:rsidR="00720FD9">
              <w:rPr>
                <w:rFonts w:cs="Arial"/>
                <w:sz w:val="16"/>
                <w:szCs w:val="16"/>
                <w:lang w:bidi="th-TH"/>
              </w:rPr>
              <w:t xml:space="preserve"> </w:t>
            </w:r>
            <w:r w:rsidRPr="006550F0">
              <w:rPr>
                <w:rFonts w:cs="Arial"/>
                <w:sz w:val="16"/>
                <w:szCs w:val="16"/>
                <w:lang w:bidi="th-TH"/>
              </w:rPr>
              <w:t>7% reduction in water consumption due to upgrading of cooling installation in one of the data centers; inclusion of green criteria in tender requirements and at least three new contracts (cafeteria services, vending machines, cleaning products, etc</w:t>
            </w:r>
            <w:r w:rsidR="00720FD9" w:rsidRPr="006550F0">
              <w:rPr>
                <w:rFonts w:cs="Arial"/>
                <w:sz w:val="16"/>
                <w:szCs w:val="16"/>
                <w:lang w:bidi="th-TH"/>
              </w:rPr>
              <w:t>.)</w:t>
            </w:r>
            <w:r w:rsidR="00720FD9">
              <w:rPr>
                <w:rFonts w:cs="Arial"/>
                <w:sz w:val="16"/>
                <w:szCs w:val="16"/>
                <w:lang w:bidi="th-TH"/>
              </w:rPr>
              <w:t>.</w:t>
            </w:r>
          </w:p>
          <w:p w:rsidR="0028218A" w:rsidRPr="006550F0" w:rsidRDefault="0028218A" w:rsidP="00CD26D6">
            <w:pPr>
              <w:rPr>
                <w:rFonts w:cs="Arial"/>
                <w:sz w:val="16"/>
                <w:szCs w:val="16"/>
                <w:lang w:bidi="th-TH"/>
              </w:rPr>
            </w:pPr>
          </w:p>
          <w:p w:rsidR="0028218A" w:rsidRPr="006550F0" w:rsidRDefault="0028218A" w:rsidP="00CD26D6">
            <w:pPr>
              <w:rPr>
                <w:rFonts w:cs="Arial"/>
                <w:sz w:val="16"/>
                <w:szCs w:val="16"/>
                <w:lang w:bidi="th-TH"/>
              </w:rPr>
            </w:pPr>
            <w:r w:rsidRPr="006550F0">
              <w:rPr>
                <w:rFonts w:cs="Arial"/>
                <w:sz w:val="16"/>
                <w:szCs w:val="16"/>
                <w:u w:val="single"/>
                <w:lang w:bidi="th-TH"/>
              </w:rPr>
              <w:t>Program 29</w:t>
            </w:r>
            <w:r w:rsidRPr="00CD26D6">
              <w:rPr>
                <w:rFonts w:cs="Arial"/>
                <w:sz w:val="16"/>
                <w:szCs w:val="16"/>
                <w:lang w:bidi="th-TH"/>
              </w:rPr>
              <w:t>:</w:t>
            </w:r>
            <w:r w:rsidRPr="006550F0">
              <w:rPr>
                <w:rFonts w:cs="Arial"/>
                <w:sz w:val="16"/>
                <w:szCs w:val="16"/>
                <w:lang w:bidi="th-TH"/>
              </w:rPr>
              <w:t xml:space="preserve">  Geneva Lake Water cooling system included in the construction phase for the New Hall and for several renovated areas in the AB Building</w:t>
            </w:r>
            <w:r w:rsidR="00720FD9">
              <w:rPr>
                <w:rFonts w:cs="Arial"/>
                <w:sz w:val="16"/>
                <w:szCs w:val="16"/>
                <w:lang w:bidi="th-TH"/>
              </w:rPr>
              <w:t>.</w:t>
            </w:r>
          </w:p>
          <w:p w:rsidR="0028218A" w:rsidRPr="006550F0" w:rsidRDefault="0028218A" w:rsidP="00CD26D6">
            <w:pPr>
              <w:rPr>
                <w:rFonts w:cs="Arial"/>
                <w:sz w:val="16"/>
                <w:szCs w:val="16"/>
                <w:lang w:bidi="th-TH"/>
              </w:rPr>
            </w:pPr>
          </w:p>
          <w:p w:rsidR="0028218A" w:rsidRPr="006550F0" w:rsidRDefault="0028218A" w:rsidP="00CD26D6">
            <w:pPr>
              <w:rPr>
                <w:rFonts w:cs="Arial"/>
                <w:sz w:val="16"/>
                <w:szCs w:val="16"/>
                <w:lang w:bidi="th-TH"/>
              </w:rPr>
            </w:pPr>
            <w:r w:rsidRPr="006550F0">
              <w:rPr>
                <w:rFonts w:cs="Arial"/>
                <w:sz w:val="16"/>
                <w:szCs w:val="16"/>
                <w:u w:val="single"/>
                <w:lang w:bidi="th-TH"/>
              </w:rPr>
              <w:t>Program 28</w:t>
            </w:r>
            <w:r w:rsidRPr="00CD26D6">
              <w:rPr>
                <w:rFonts w:cs="Arial"/>
                <w:sz w:val="16"/>
                <w:szCs w:val="16"/>
                <w:lang w:bidi="th-TH"/>
              </w:rPr>
              <w:t xml:space="preserve">: </w:t>
            </w:r>
            <w:r w:rsidRPr="006550F0">
              <w:rPr>
                <w:rFonts w:cs="Arial"/>
                <w:sz w:val="16"/>
                <w:szCs w:val="16"/>
                <w:lang w:bidi="th-TH"/>
              </w:rPr>
              <w:t xml:space="preserve"> A proactive approach, e.g. through the replacement of older vehicles with hybrid vehicles, to reduce carbon emissions and energy consumption.</w:t>
            </w:r>
          </w:p>
          <w:p w:rsidR="0028218A" w:rsidRPr="006550F0" w:rsidRDefault="0028218A" w:rsidP="00CD26D6">
            <w:pPr>
              <w:rPr>
                <w:rFonts w:cs="Arial"/>
                <w:sz w:val="16"/>
                <w:szCs w:val="16"/>
                <w:lang w:bidi="th-TH"/>
              </w:rPr>
            </w:pPr>
          </w:p>
          <w:p w:rsidR="0028218A" w:rsidRPr="006550F0" w:rsidRDefault="0028218A" w:rsidP="00CD26D6">
            <w:pPr>
              <w:rPr>
                <w:rFonts w:cs="Arial"/>
                <w:sz w:val="16"/>
                <w:szCs w:val="16"/>
                <w:lang w:bidi="th-TH"/>
              </w:rPr>
            </w:pPr>
            <w:r w:rsidRPr="006550F0">
              <w:rPr>
                <w:rFonts w:cs="Arial"/>
                <w:sz w:val="16"/>
                <w:szCs w:val="16"/>
                <w:u w:val="single"/>
                <w:lang w:bidi="th-TH"/>
              </w:rPr>
              <w:t>Program 19</w:t>
            </w:r>
            <w:r w:rsidRPr="00CD26D6">
              <w:rPr>
                <w:rFonts w:cs="Arial"/>
                <w:sz w:val="16"/>
                <w:szCs w:val="16"/>
                <w:lang w:bidi="th-TH"/>
              </w:rPr>
              <w:t xml:space="preserve">: </w:t>
            </w:r>
            <w:r w:rsidRPr="006550F0">
              <w:rPr>
                <w:rFonts w:cs="Arial"/>
                <w:sz w:val="16"/>
                <w:szCs w:val="16"/>
                <w:lang w:bidi="th-TH"/>
              </w:rPr>
              <w:t xml:space="preserve"> Publication of several articles on “green” issues in the WIPO Magazine.</w:t>
            </w:r>
          </w:p>
        </w:tc>
        <w:tc>
          <w:tcPr>
            <w:tcW w:w="682" w:type="pct"/>
            <w:gridSpan w:val="2"/>
            <w:shd w:val="clear" w:color="auto" w:fill="auto"/>
            <w:tcMar>
              <w:top w:w="110" w:type="dxa"/>
            </w:tcMar>
          </w:tcPr>
          <w:p w:rsidR="0028218A" w:rsidRPr="003C3247" w:rsidRDefault="0028218A" w:rsidP="0028218A">
            <w:pPr>
              <w:keepNext/>
              <w:keepLines/>
              <w:jc w:val="center"/>
              <w:rPr>
                <w:rFonts w:cs="Arial"/>
                <w:bCs/>
                <w:color w:val="808080" w:themeColor="background1" w:themeShade="80"/>
                <w:sz w:val="16"/>
                <w:szCs w:val="16"/>
              </w:rPr>
            </w:pPr>
            <w:r w:rsidRPr="003C3247">
              <w:rPr>
                <w:rFonts w:cs="Arial"/>
                <w:bCs/>
                <w:color w:val="FF0000"/>
                <w:sz w:val="16"/>
                <w:szCs w:val="16"/>
              </w:rPr>
              <w:t>Not</w:t>
            </w:r>
            <w:r w:rsidRPr="003C3247">
              <w:rPr>
                <w:rFonts w:cs="Arial"/>
                <w:bCs/>
                <w:color w:val="FF0000"/>
                <w:sz w:val="16"/>
                <w:szCs w:val="16"/>
              </w:rPr>
              <w:br/>
              <w:t>Achieved</w:t>
            </w:r>
          </w:p>
        </w:tc>
      </w:tr>
      <w:tr w:rsidR="0028218A" w:rsidRPr="003C3247" w:rsidTr="005A753E">
        <w:trPr>
          <w:cantSplit/>
        </w:trPr>
        <w:tc>
          <w:tcPr>
            <w:tcW w:w="836" w:type="pct"/>
            <w:tcBorders>
              <w:bottom w:val="single" w:sz="4" w:space="0" w:color="auto"/>
            </w:tcBorders>
            <w:shd w:val="clear" w:color="auto" w:fill="auto"/>
          </w:tcPr>
          <w:p w:rsidR="0028218A" w:rsidRPr="00FE03FF" w:rsidRDefault="0028218A" w:rsidP="0028218A">
            <w:pPr>
              <w:rPr>
                <w:rFonts w:cs="Arial"/>
                <w:sz w:val="16"/>
                <w:szCs w:val="16"/>
              </w:rPr>
            </w:pPr>
            <w:r w:rsidRPr="00FE03FF">
              <w:rPr>
                <w:rFonts w:cs="Arial"/>
                <w:sz w:val="16"/>
                <w:szCs w:val="16"/>
              </w:rPr>
              <w:t>% of reduction in carbon emissions in respect of energy consumption</w:t>
            </w:r>
          </w:p>
        </w:tc>
        <w:tc>
          <w:tcPr>
            <w:tcW w:w="900" w:type="pct"/>
            <w:tcBorders>
              <w:bottom w:val="single" w:sz="4" w:space="0" w:color="auto"/>
            </w:tcBorders>
            <w:shd w:val="clear" w:color="auto" w:fill="auto"/>
          </w:tcPr>
          <w:p w:rsidR="0028218A" w:rsidRDefault="0028218A" w:rsidP="0028218A">
            <w:pPr>
              <w:rPr>
                <w:color w:val="002060"/>
                <w:sz w:val="16"/>
                <w:szCs w:val="16"/>
              </w:rPr>
            </w:pPr>
            <w:r w:rsidRPr="006550F0">
              <w:rPr>
                <w:i/>
                <w:color w:val="002060"/>
                <w:sz w:val="16"/>
                <w:szCs w:val="16"/>
              </w:rPr>
              <w:t>Updated Baseline end 2011:</w:t>
            </w:r>
            <w:r w:rsidRPr="006550F0">
              <w:rPr>
                <w:color w:val="002060"/>
                <w:sz w:val="16"/>
                <w:szCs w:val="16"/>
              </w:rPr>
              <w:t xml:space="preserve"> </w:t>
            </w:r>
          </w:p>
          <w:p w:rsidR="0028218A" w:rsidRDefault="0028218A" w:rsidP="0028218A">
            <w:pPr>
              <w:rPr>
                <w:rFonts w:cs="Arial"/>
                <w:i/>
                <w:sz w:val="16"/>
                <w:szCs w:val="16"/>
              </w:rPr>
            </w:pPr>
            <w:r w:rsidRPr="006550F0">
              <w:rPr>
                <w:rFonts w:cs="Arial"/>
                <w:color w:val="002060"/>
                <w:sz w:val="16"/>
                <w:szCs w:val="16"/>
              </w:rPr>
              <w:t>2% reduction in carbon emissions or compensation via investment in local sustainable energy production</w:t>
            </w:r>
          </w:p>
          <w:p w:rsidR="0028218A" w:rsidRPr="008225D9" w:rsidRDefault="0028218A" w:rsidP="0028218A">
            <w:pPr>
              <w:rPr>
                <w:rFonts w:cs="Arial"/>
                <w:i/>
                <w:sz w:val="8"/>
                <w:szCs w:val="8"/>
              </w:rPr>
            </w:pPr>
          </w:p>
          <w:p w:rsidR="0028218A" w:rsidRPr="00FE03FF" w:rsidRDefault="0028218A" w:rsidP="0028218A">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r w:rsidRPr="00FE03FF">
              <w:rPr>
                <w:rFonts w:cs="Arial"/>
                <w:sz w:val="16"/>
                <w:szCs w:val="16"/>
              </w:rPr>
              <w:t>Tbd end 2011</w:t>
            </w:r>
          </w:p>
        </w:tc>
        <w:tc>
          <w:tcPr>
            <w:tcW w:w="764" w:type="pct"/>
            <w:gridSpan w:val="2"/>
            <w:tcBorders>
              <w:bottom w:val="single" w:sz="4" w:space="0" w:color="auto"/>
            </w:tcBorders>
            <w:shd w:val="clear" w:color="auto" w:fill="auto"/>
            <w:tcMar>
              <w:top w:w="110" w:type="dxa"/>
            </w:tcMar>
          </w:tcPr>
          <w:p w:rsidR="0028218A" w:rsidRPr="006550F0" w:rsidRDefault="0028218A" w:rsidP="0028218A">
            <w:pPr>
              <w:rPr>
                <w:rFonts w:cs="Arial"/>
                <w:sz w:val="16"/>
                <w:szCs w:val="16"/>
              </w:rPr>
            </w:pPr>
            <w:r w:rsidRPr="006550F0">
              <w:rPr>
                <w:rFonts w:cs="Arial"/>
                <w:sz w:val="16"/>
                <w:szCs w:val="16"/>
              </w:rPr>
              <w:t>Tbd end 2011</w:t>
            </w:r>
          </w:p>
        </w:tc>
        <w:tc>
          <w:tcPr>
            <w:tcW w:w="1818" w:type="pct"/>
            <w:tcBorders>
              <w:bottom w:val="single" w:sz="4" w:space="0" w:color="auto"/>
            </w:tcBorders>
            <w:shd w:val="clear" w:color="auto" w:fill="FFFFFF"/>
            <w:tcMar>
              <w:top w:w="110" w:type="dxa"/>
            </w:tcMar>
          </w:tcPr>
          <w:p w:rsidR="0028218A" w:rsidRPr="006550F0" w:rsidRDefault="0028218A" w:rsidP="00CD26D6">
            <w:pPr>
              <w:rPr>
                <w:rFonts w:cs="Arial"/>
                <w:sz w:val="16"/>
                <w:szCs w:val="16"/>
                <w:lang w:bidi="th-TH"/>
              </w:rPr>
            </w:pPr>
            <w:r w:rsidRPr="006550F0">
              <w:rPr>
                <w:rFonts w:cs="Arial"/>
                <w:sz w:val="16"/>
                <w:szCs w:val="16"/>
                <w:lang w:bidi="th-TH"/>
              </w:rPr>
              <w:t>Compensation via investment in local sustainable energy production by means of the choice (for the New Building) of the electricity tariff with highest contribution on such investment.</w:t>
            </w:r>
          </w:p>
          <w:p w:rsidR="0028218A" w:rsidRPr="006550F0" w:rsidRDefault="0028218A" w:rsidP="00CD26D6">
            <w:pPr>
              <w:rPr>
                <w:rFonts w:cs="Arial"/>
                <w:sz w:val="16"/>
                <w:szCs w:val="16"/>
                <w:lang w:bidi="th-TH"/>
              </w:rPr>
            </w:pPr>
            <w:r w:rsidRPr="006550F0">
              <w:rPr>
                <w:rFonts w:cs="Arial"/>
                <w:sz w:val="16"/>
                <w:szCs w:val="16"/>
                <w:lang w:bidi="th-TH"/>
              </w:rPr>
              <w:t xml:space="preserve"> </w:t>
            </w:r>
          </w:p>
          <w:p w:rsidR="0028218A" w:rsidRPr="006550F0" w:rsidRDefault="0028218A" w:rsidP="00CD26D6">
            <w:pPr>
              <w:rPr>
                <w:rFonts w:cs="Arial"/>
                <w:sz w:val="16"/>
                <w:szCs w:val="16"/>
                <w:lang w:bidi="th-TH"/>
              </w:rPr>
            </w:pPr>
            <w:r w:rsidRPr="006550F0">
              <w:rPr>
                <w:rFonts w:cs="Arial"/>
                <w:sz w:val="16"/>
                <w:szCs w:val="16"/>
                <w:lang w:bidi="th-TH"/>
              </w:rPr>
              <w:t>Disposal in 2012 of three older model vehicles from the official WIPO fleet, and another in January 2013, which resulted in a reduction in carbon emissions as from 2013</w:t>
            </w:r>
            <w:r w:rsidR="0097619F">
              <w:rPr>
                <w:rFonts w:cs="Arial"/>
                <w:sz w:val="16"/>
                <w:szCs w:val="16"/>
                <w:lang w:bidi="th-TH"/>
              </w:rPr>
              <w:t>.</w:t>
            </w:r>
            <w:r w:rsidRPr="006550F0">
              <w:rPr>
                <w:rFonts w:cs="Arial"/>
                <w:sz w:val="16"/>
                <w:szCs w:val="16"/>
                <w:lang w:bidi="th-TH"/>
              </w:rPr>
              <w:t xml:space="preserve"> </w:t>
            </w:r>
            <w:r w:rsidR="0097619F">
              <w:rPr>
                <w:rFonts w:cs="Arial"/>
                <w:sz w:val="16"/>
                <w:szCs w:val="16"/>
                <w:lang w:bidi="th-TH"/>
              </w:rPr>
              <w:t>O</w:t>
            </w:r>
            <w:r w:rsidRPr="006550F0">
              <w:rPr>
                <w:rFonts w:cs="Arial"/>
                <w:sz w:val="16"/>
                <w:szCs w:val="16"/>
                <w:lang w:bidi="th-TH"/>
              </w:rPr>
              <w:t>ne new hybrid car was purchased in 2013.</w:t>
            </w:r>
          </w:p>
          <w:p w:rsidR="0028218A" w:rsidRPr="006550F0" w:rsidRDefault="0028218A" w:rsidP="0028218A">
            <w:pPr>
              <w:jc w:val="both"/>
              <w:rPr>
                <w:rFonts w:cs="Arial"/>
                <w:sz w:val="16"/>
                <w:szCs w:val="16"/>
              </w:rPr>
            </w:pPr>
          </w:p>
        </w:tc>
        <w:tc>
          <w:tcPr>
            <w:tcW w:w="682" w:type="pct"/>
            <w:gridSpan w:val="2"/>
            <w:tcBorders>
              <w:bottom w:val="single" w:sz="4" w:space="0" w:color="auto"/>
            </w:tcBorders>
            <w:shd w:val="clear" w:color="auto" w:fill="auto"/>
            <w:tcMar>
              <w:top w:w="110" w:type="dxa"/>
            </w:tcMar>
          </w:tcPr>
          <w:p w:rsidR="0028218A" w:rsidRPr="003C3247" w:rsidRDefault="0028218A" w:rsidP="0028218A">
            <w:pPr>
              <w:keepNext/>
              <w:keepLines/>
              <w:jc w:val="center"/>
              <w:rPr>
                <w:rFonts w:cs="Arial"/>
                <w:bCs/>
                <w:color w:val="808080" w:themeColor="background1" w:themeShade="80"/>
                <w:sz w:val="16"/>
                <w:szCs w:val="16"/>
              </w:rPr>
            </w:pPr>
            <w:r w:rsidRPr="00CD26D6">
              <w:rPr>
                <w:rStyle w:val="Style5"/>
                <w:rFonts w:ascii="Arial" w:hAnsi="Arial" w:cs="Arial"/>
                <w:color w:val="595959" w:themeColor="text1" w:themeTint="A6"/>
                <w:sz w:val="16"/>
                <w:szCs w:val="16"/>
              </w:rPr>
              <w:t>Not Assessable</w:t>
            </w:r>
            <w:r w:rsidRPr="00CD26D6" w:rsidDel="003B39F8">
              <w:rPr>
                <w:rStyle w:val="Style5"/>
                <w:rFonts w:ascii="Arial" w:hAnsi="Arial" w:cs="Arial"/>
                <w:color w:val="595959" w:themeColor="text1" w:themeTint="A6"/>
                <w:sz w:val="16"/>
                <w:szCs w:val="16"/>
              </w:rPr>
              <w:t xml:space="preserve"> </w:t>
            </w:r>
          </w:p>
        </w:tc>
      </w:tr>
      <w:tr w:rsidR="0028218A" w:rsidTr="0028218A">
        <w:trPr>
          <w:cantSplit/>
        </w:trPr>
        <w:tc>
          <w:tcPr>
            <w:tcW w:w="5000" w:type="pct"/>
            <w:gridSpan w:val="7"/>
            <w:tcBorders>
              <w:top w:val="single" w:sz="4" w:space="0" w:color="auto"/>
              <w:bottom w:val="single" w:sz="4" w:space="0" w:color="auto"/>
            </w:tcBorders>
            <w:shd w:val="clear" w:color="auto" w:fill="CCFFFF"/>
            <w:vAlign w:val="center"/>
          </w:tcPr>
          <w:p w:rsidR="0028218A" w:rsidRDefault="0028218A" w:rsidP="0028218A">
            <w:pPr>
              <w:keepNext/>
              <w:keepLines/>
              <w:tabs>
                <w:tab w:val="left" w:pos="1452"/>
              </w:tabs>
              <w:spacing w:before="120" w:after="120"/>
              <w:ind w:left="1452" w:hanging="1452"/>
              <w:rPr>
                <w:rFonts w:cs="Arial"/>
                <w:b/>
                <w:bCs/>
                <w:sz w:val="16"/>
                <w:szCs w:val="16"/>
              </w:rPr>
            </w:pPr>
            <w:r w:rsidRPr="00234BEF">
              <w:rPr>
                <w:rFonts w:cs="Arial"/>
                <w:b/>
                <w:bCs/>
                <w:sz w:val="16"/>
                <w:szCs w:val="16"/>
              </w:rPr>
              <w:lastRenderedPageBreak/>
              <w:t>Expected Result</w:t>
            </w:r>
            <w:r>
              <w:rPr>
                <w:rFonts w:cs="Arial"/>
                <w:b/>
                <w:bCs/>
                <w:sz w:val="16"/>
                <w:szCs w:val="16"/>
              </w:rPr>
              <w:t>:</w:t>
            </w:r>
            <w:r>
              <w:rPr>
                <w:rFonts w:cs="Arial"/>
                <w:b/>
                <w:bCs/>
                <w:sz w:val="16"/>
                <w:szCs w:val="16"/>
              </w:rPr>
              <w:tab/>
            </w:r>
            <w:r w:rsidRPr="00FE03FF">
              <w:rPr>
                <w:rFonts w:cs="Arial"/>
                <w:sz w:val="16"/>
                <w:szCs w:val="16"/>
              </w:rPr>
              <w:t>Improved physical access to the WIPO Campus</w:t>
            </w:r>
          </w:p>
        </w:tc>
      </w:tr>
      <w:tr w:rsidR="0028218A" w:rsidRPr="003C3247" w:rsidTr="005A753E">
        <w:trPr>
          <w:cantSplit/>
        </w:trPr>
        <w:tc>
          <w:tcPr>
            <w:tcW w:w="836" w:type="pct"/>
            <w:tcBorders>
              <w:top w:val="single" w:sz="4" w:space="0" w:color="auto"/>
            </w:tcBorders>
            <w:shd w:val="clear" w:color="auto" w:fill="auto"/>
            <w:vAlign w:val="center"/>
          </w:tcPr>
          <w:p w:rsidR="0028218A" w:rsidRPr="003C3247" w:rsidRDefault="0028218A" w:rsidP="005228A5">
            <w:pPr>
              <w:keepNext/>
              <w:keepLines/>
              <w:rPr>
                <w:rFonts w:cs="Arial"/>
                <w:sz w:val="16"/>
                <w:szCs w:val="16"/>
              </w:rPr>
            </w:pPr>
            <w:r w:rsidRPr="003C3247">
              <w:rPr>
                <w:rFonts w:cs="Arial"/>
                <w:b/>
                <w:bCs/>
                <w:sz w:val="16"/>
                <w:szCs w:val="16"/>
              </w:rPr>
              <w:t>Performance Indicators</w:t>
            </w:r>
          </w:p>
        </w:tc>
        <w:tc>
          <w:tcPr>
            <w:tcW w:w="900" w:type="pct"/>
            <w:tcBorders>
              <w:top w:val="single" w:sz="4" w:space="0" w:color="auto"/>
            </w:tcBorders>
            <w:shd w:val="clear" w:color="auto" w:fill="auto"/>
            <w:vAlign w:val="center"/>
          </w:tcPr>
          <w:p w:rsidR="0028218A" w:rsidRPr="003C3247" w:rsidRDefault="0028218A" w:rsidP="005228A5">
            <w:pPr>
              <w:keepNext/>
              <w:keepLines/>
              <w:rPr>
                <w:rFonts w:cs="Arial"/>
                <w:b/>
                <w:bCs/>
                <w:sz w:val="16"/>
                <w:szCs w:val="16"/>
              </w:rPr>
            </w:pPr>
            <w:r w:rsidRPr="003C3247">
              <w:rPr>
                <w:rFonts w:cs="Arial"/>
                <w:b/>
                <w:bCs/>
                <w:sz w:val="16"/>
                <w:szCs w:val="16"/>
              </w:rPr>
              <w:t>Baselines</w:t>
            </w:r>
          </w:p>
        </w:tc>
        <w:tc>
          <w:tcPr>
            <w:tcW w:w="688" w:type="pct"/>
            <w:tcBorders>
              <w:top w:val="single" w:sz="4" w:space="0" w:color="auto"/>
            </w:tcBorders>
            <w:shd w:val="clear" w:color="auto" w:fill="auto"/>
            <w:tcMar>
              <w:top w:w="110" w:type="dxa"/>
            </w:tcMar>
            <w:vAlign w:val="center"/>
          </w:tcPr>
          <w:p w:rsidR="0028218A" w:rsidRPr="003C3247" w:rsidRDefault="0028218A" w:rsidP="005228A5">
            <w:pPr>
              <w:keepNext/>
              <w:keepLines/>
              <w:rPr>
                <w:rFonts w:cs="Arial"/>
                <w:b/>
                <w:sz w:val="16"/>
                <w:szCs w:val="16"/>
              </w:rPr>
            </w:pPr>
            <w:r w:rsidRPr="003C3247">
              <w:rPr>
                <w:rFonts w:cs="Arial"/>
                <w:b/>
                <w:sz w:val="16"/>
                <w:szCs w:val="16"/>
              </w:rPr>
              <w:t>Target</w:t>
            </w:r>
            <w:r w:rsidR="005A753E">
              <w:rPr>
                <w:rFonts w:cs="Arial"/>
                <w:b/>
                <w:sz w:val="16"/>
                <w:szCs w:val="16"/>
              </w:rPr>
              <w:t>s</w:t>
            </w:r>
          </w:p>
        </w:tc>
        <w:tc>
          <w:tcPr>
            <w:tcW w:w="2023" w:type="pct"/>
            <w:gridSpan w:val="3"/>
            <w:tcBorders>
              <w:top w:val="single" w:sz="4" w:space="0" w:color="auto"/>
            </w:tcBorders>
            <w:shd w:val="clear" w:color="auto" w:fill="FFFFFF"/>
            <w:tcMar>
              <w:top w:w="110" w:type="dxa"/>
            </w:tcMar>
            <w:vAlign w:val="center"/>
          </w:tcPr>
          <w:p w:rsidR="0028218A" w:rsidRPr="003C3247" w:rsidRDefault="0028218A" w:rsidP="005228A5">
            <w:pPr>
              <w:keepNext/>
              <w:keepLines/>
              <w:rPr>
                <w:rFonts w:cs="Arial"/>
                <w:sz w:val="16"/>
                <w:szCs w:val="16"/>
              </w:rPr>
            </w:pPr>
            <w:r w:rsidRPr="003C3247">
              <w:rPr>
                <w:rFonts w:cs="Arial"/>
                <w:b/>
                <w:bCs/>
                <w:sz w:val="16"/>
                <w:szCs w:val="16"/>
              </w:rPr>
              <w:t>Performance Data</w:t>
            </w:r>
          </w:p>
        </w:tc>
        <w:tc>
          <w:tcPr>
            <w:tcW w:w="553" w:type="pct"/>
            <w:tcBorders>
              <w:top w:val="single" w:sz="4" w:space="0" w:color="auto"/>
            </w:tcBorders>
            <w:shd w:val="clear" w:color="auto" w:fill="auto"/>
            <w:tcMar>
              <w:top w:w="110" w:type="dxa"/>
            </w:tcMar>
            <w:vAlign w:val="center"/>
          </w:tcPr>
          <w:p w:rsidR="0028218A" w:rsidRPr="003C3247" w:rsidRDefault="0028218A" w:rsidP="005228A5">
            <w:pPr>
              <w:keepNext/>
              <w:keepLines/>
              <w:jc w:val="center"/>
              <w:rPr>
                <w:rFonts w:cs="Arial"/>
                <w:b/>
                <w:bCs/>
                <w:sz w:val="16"/>
                <w:szCs w:val="16"/>
              </w:rPr>
            </w:pPr>
            <w:r w:rsidRPr="003C3247">
              <w:rPr>
                <w:rFonts w:cs="Arial"/>
                <w:b/>
                <w:bCs/>
                <w:sz w:val="16"/>
                <w:szCs w:val="16"/>
              </w:rPr>
              <w:t>TLS</w:t>
            </w:r>
          </w:p>
        </w:tc>
      </w:tr>
      <w:tr w:rsidR="0028218A" w:rsidTr="005A753E">
        <w:trPr>
          <w:cantSplit/>
        </w:trPr>
        <w:tc>
          <w:tcPr>
            <w:tcW w:w="836" w:type="pct"/>
            <w:tcBorders>
              <w:bottom w:val="single" w:sz="4" w:space="0" w:color="auto"/>
            </w:tcBorders>
            <w:shd w:val="clear" w:color="auto" w:fill="auto"/>
          </w:tcPr>
          <w:p w:rsidR="0028218A" w:rsidRPr="00FE03FF" w:rsidRDefault="0028218A" w:rsidP="005228A5">
            <w:pPr>
              <w:rPr>
                <w:rFonts w:cs="Arial"/>
                <w:sz w:val="16"/>
                <w:szCs w:val="16"/>
              </w:rPr>
            </w:pPr>
            <w:r w:rsidRPr="00FE03FF">
              <w:rPr>
                <w:rFonts w:cs="Arial"/>
                <w:sz w:val="16"/>
                <w:szCs w:val="16"/>
              </w:rPr>
              <w:t xml:space="preserve">No. of relevant Programs with physical accessibility indicators, baselines and targets </w:t>
            </w:r>
          </w:p>
        </w:tc>
        <w:tc>
          <w:tcPr>
            <w:tcW w:w="900" w:type="pct"/>
            <w:tcBorders>
              <w:bottom w:val="single" w:sz="4" w:space="0" w:color="auto"/>
            </w:tcBorders>
            <w:shd w:val="clear" w:color="auto" w:fill="auto"/>
          </w:tcPr>
          <w:p w:rsidR="0028218A" w:rsidRPr="006550F0" w:rsidRDefault="0028218A" w:rsidP="005228A5">
            <w:pPr>
              <w:rPr>
                <w:color w:val="002060"/>
                <w:sz w:val="16"/>
                <w:szCs w:val="16"/>
              </w:rPr>
            </w:pPr>
            <w:r w:rsidRPr="006550F0">
              <w:rPr>
                <w:i/>
                <w:color w:val="002060"/>
                <w:sz w:val="16"/>
                <w:szCs w:val="16"/>
              </w:rPr>
              <w:t>Updated Baseline end 2011:</w:t>
            </w:r>
            <w:r w:rsidRPr="006550F0">
              <w:rPr>
                <w:color w:val="002060"/>
                <w:sz w:val="16"/>
                <w:szCs w:val="16"/>
              </w:rPr>
              <w:t xml:space="preserve"> </w:t>
            </w:r>
            <w:r w:rsidRPr="006550F0">
              <w:rPr>
                <w:rFonts w:cs="Arial"/>
                <w:color w:val="002060"/>
                <w:sz w:val="16"/>
                <w:szCs w:val="16"/>
              </w:rPr>
              <w:t>At least one Program per year of the biennium</w:t>
            </w:r>
          </w:p>
          <w:p w:rsidR="0028218A" w:rsidRPr="008225D9" w:rsidRDefault="0028218A" w:rsidP="005228A5">
            <w:pPr>
              <w:rPr>
                <w:rFonts w:cs="Arial"/>
                <w:i/>
                <w:sz w:val="8"/>
                <w:szCs w:val="8"/>
              </w:rPr>
            </w:pPr>
          </w:p>
          <w:p w:rsidR="0028218A" w:rsidRPr="00FE03FF" w:rsidRDefault="0028218A" w:rsidP="005228A5">
            <w:pPr>
              <w:rPr>
                <w:rFonts w:cs="Arial"/>
                <w:sz w:val="16"/>
                <w:szCs w:val="16"/>
              </w:rPr>
            </w:pPr>
            <w:r>
              <w:rPr>
                <w:rFonts w:cs="Arial"/>
                <w:i/>
                <w:sz w:val="16"/>
                <w:szCs w:val="16"/>
              </w:rPr>
              <w:t xml:space="preserve">Original </w:t>
            </w:r>
            <w:r w:rsidRPr="004608BD">
              <w:rPr>
                <w:rFonts w:cs="Arial"/>
                <w:i/>
                <w:sz w:val="16"/>
                <w:szCs w:val="16"/>
              </w:rPr>
              <w:t>Baseline</w:t>
            </w:r>
            <w:r>
              <w:rPr>
                <w:rFonts w:cs="Arial"/>
                <w:i/>
                <w:sz w:val="16"/>
                <w:szCs w:val="16"/>
              </w:rPr>
              <w:t xml:space="preserve"> P&amp;B 2012/13:</w:t>
            </w:r>
            <w:r>
              <w:rPr>
                <w:rFonts w:cs="Arial"/>
                <w:sz w:val="16"/>
                <w:szCs w:val="16"/>
              </w:rPr>
              <w:br/>
            </w:r>
            <w:r w:rsidRPr="00FE03FF">
              <w:rPr>
                <w:rFonts w:cs="Arial"/>
                <w:sz w:val="16"/>
                <w:szCs w:val="16"/>
              </w:rPr>
              <w:t>Tbd end 2011</w:t>
            </w:r>
          </w:p>
        </w:tc>
        <w:tc>
          <w:tcPr>
            <w:tcW w:w="688" w:type="pct"/>
            <w:tcBorders>
              <w:bottom w:val="single" w:sz="4" w:space="0" w:color="auto"/>
            </w:tcBorders>
            <w:shd w:val="clear" w:color="auto" w:fill="auto"/>
            <w:tcMar>
              <w:top w:w="110" w:type="dxa"/>
            </w:tcMar>
          </w:tcPr>
          <w:p w:rsidR="0028218A" w:rsidRPr="008225D9" w:rsidRDefault="0028218A" w:rsidP="005228A5">
            <w:pPr>
              <w:rPr>
                <w:rFonts w:cs="Arial"/>
                <w:sz w:val="16"/>
                <w:szCs w:val="16"/>
              </w:rPr>
            </w:pPr>
            <w:r w:rsidRPr="008225D9">
              <w:rPr>
                <w:rFonts w:cs="Arial"/>
                <w:sz w:val="16"/>
                <w:szCs w:val="16"/>
              </w:rPr>
              <w:t>All related Programs</w:t>
            </w:r>
          </w:p>
        </w:tc>
        <w:tc>
          <w:tcPr>
            <w:tcW w:w="2023" w:type="pct"/>
            <w:gridSpan w:val="3"/>
            <w:tcBorders>
              <w:bottom w:val="single" w:sz="4" w:space="0" w:color="auto"/>
            </w:tcBorders>
            <w:shd w:val="clear" w:color="auto" w:fill="FFFFFF"/>
            <w:tcMar>
              <w:top w:w="110" w:type="dxa"/>
            </w:tcMar>
          </w:tcPr>
          <w:p w:rsidR="0028218A" w:rsidRPr="00720FD9" w:rsidRDefault="0028218A" w:rsidP="00CD26D6">
            <w:pPr>
              <w:rPr>
                <w:rFonts w:cs="Arial"/>
                <w:sz w:val="16"/>
                <w:szCs w:val="16"/>
                <w:lang w:bidi="th-TH"/>
              </w:rPr>
            </w:pPr>
            <w:r w:rsidRPr="00720FD9">
              <w:rPr>
                <w:rFonts w:cs="Arial"/>
                <w:sz w:val="16"/>
                <w:szCs w:val="16"/>
                <w:lang w:bidi="th-TH"/>
              </w:rPr>
              <w:t>Three out of six related Programs:</w:t>
            </w:r>
          </w:p>
          <w:p w:rsidR="0028218A" w:rsidRPr="00CD26D6" w:rsidRDefault="0028218A" w:rsidP="00CD26D6">
            <w:pPr>
              <w:rPr>
                <w:rFonts w:cs="Arial"/>
                <w:sz w:val="16"/>
                <w:szCs w:val="16"/>
                <w:lang w:bidi="th-TH"/>
              </w:rPr>
            </w:pPr>
          </w:p>
          <w:p w:rsidR="0028218A" w:rsidRPr="00720FD9" w:rsidRDefault="0028218A" w:rsidP="00CD26D6">
            <w:pPr>
              <w:rPr>
                <w:rFonts w:cs="Arial"/>
                <w:sz w:val="16"/>
                <w:szCs w:val="16"/>
                <w:lang w:bidi="th-TH"/>
              </w:rPr>
            </w:pPr>
            <w:r w:rsidRPr="00720FD9">
              <w:rPr>
                <w:rFonts w:cs="Arial"/>
                <w:sz w:val="16"/>
                <w:szCs w:val="16"/>
                <w:u w:val="single"/>
                <w:lang w:bidi="th-TH"/>
              </w:rPr>
              <w:t>Program 24</w:t>
            </w:r>
            <w:r w:rsidRPr="00CD26D6">
              <w:rPr>
                <w:rFonts w:cs="Arial"/>
                <w:sz w:val="16"/>
                <w:szCs w:val="16"/>
                <w:lang w:bidi="th-TH"/>
              </w:rPr>
              <w:t>:   Following a physical audit of the existing buildings (2012) the following measures were implemented in 2013:</w:t>
            </w:r>
          </w:p>
          <w:p w:rsidR="0028218A" w:rsidRPr="00CD26D6" w:rsidRDefault="0028218A" w:rsidP="00CD26D6">
            <w:pPr>
              <w:rPr>
                <w:rFonts w:cs="Arial"/>
                <w:sz w:val="8"/>
                <w:szCs w:val="8"/>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(i) anti-slip bands were fixed on steps in all staircases in all buildings and were improved in the PCT Building for better visibility</w:t>
            </w:r>
          </w:p>
          <w:p w:rsidR="0028218A" w:rsidRPr="00720FD9" w:rsidRDefault="0028218A" w:rsidP="00CD26D6">
            <w:pPr>
              <w:ind w:left="175"/>
              <w:rPr>
                <w:rFonts w:cs="Arial"/>
                <w:sz w:val="8"/>
                <w:szCs w:val="8"/>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 xml:space="preserve">(ii) ramps for wheelchair access to interpreters booths in the new large meeting room on the ground floor of the New Building </w:t>
            </w:r>
          </w:p>
          <w:p w:rsidR="0028218A" w:rsidRPr="00CD26D6" w:rsidRDefault="0028218A" w:rsidP="00CD26D6">
            <w:pPr>
              <w:rPr>
                <w:rFonts w:cs="Arial"/>
                <w:sz w:val="16"/>
                <w:szCs w:val="16"/>
                <w:lang w:bidi="th-TH"/>
              </w:rPr>
            </w:pPr>
          </w:p>
          <w:p w:rsidR="0028218A" w:rsidRPr="00720FD9" w:rsidRDefault="0028218A" w:rsidP="00CD26D6">
            <w:pPr>
              <w:rPr>
                <w:rFonts w:cs="Arial"/>
                <w:sz w:val="16"/>
                <w:szCs w:val="16"/>
                <w:lang w:bidi="th-TH"/>
              </w:rPr>
            </w:pPr>
            <w:r w:rsidRPr="00720FD9">
              <w:rPr>
                <w:rFonts w:cs="Arial"/>
                <w:sz w:val="16"/>
                <w:szCs w:val="16"/>
                <w:u w:val="single"/>
                <w:lang w:bidi="th-TH"/>
              </w:rPr>
              <w:t>Program 29</w:t>
            </w:r>
            <w:r w:rsidRPr="00CD26D6">
              <w:rPr>
                <w:rFonts w:cs="Arial"/>
                <w:sz w:val="16"/>
                <w:szCs w:val="16"/>
                <w:lang w:bidi="th-TH"/>
              </w:rPr>
              <w:t xml:space="preserve">: </w:t>
            </w:r>
            <w:r w:rsidRPr="00720FD9">
              <w:rPr>
                <w:rFonts w:cs="Arial"/>
                <w:sz w:val="16"/>
                <w:szCs w:val="16"/>
                <w:lang w:bidi="th-TH"/>
              </w:rPr>
              <w:t xml:space="preserve"> Following a physical accessibility audit of the New Conference Hall Project the following measures were implemented in 2013:</w:t>
            </w:r>
          </w:p>
          <w:p w:rsidR="0028218A" w:rsidRPr="00CD26D6" w:rsidRDefault="0028218A" w:rsidP="00CD26D6">
            <w:pPr>
              <w:rPr>
                <w:rFonts w:cs="Arial"/>
                <w:sz w:val="16"/>
                <w:szCs w:val="16"/>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(i) ramps for wheelchair access to interpreters booths in new meeting rooms on AB Building mezzanine</w:t>
            </w:r>
          </w:p>
          <w:p w:rsidR="0028218A" w:rsidRPr="00720FD9" w:rsidRDefault="0028218A" w:rsidP="00CD26D6">
            <w:pPr>
              <w:ind w:left="175"/>
              <w:rPr>
                <w:rFonts w:cs="Arial"/>
                <w:sz w:val="8"/>
                <w:szCs w:val="8"/>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(ii) review of escape routes in case of evacuation of the New Hall and adjacent facilities and addition of ramps for wheelchair evacuation</w:t>
            </w:r>
          </w:p>
          <w:p w:rsidR="0028218A" w:rsidRPr="00720FD9" w:rsidRDefault="0028218A" w:rsidP="00CD26D6">
            <w:pPr>
              <w:ind w:left="175"/>
              <w:rPr>
                <w:rFonts w:cs="Arial"/>
                <w:sz w:val="8"/>
                <w:szCs w:val="8"/>
                <w:lang w:bidi="th-TH"/>
              </w:rPr>
            </w:pPr>
          </w:p>
          <w:p w:rsidR="0028218A" w:rsidRPr="00720FD9" w:rsidRDefault="0028218A" w:rsidP="00CD26D6">
            <w:pPr>
              <w:ind w:left="175"/>
              <w:rPr>
                <w:rFonts w:cs="Arial"/>
                <w:sz w:val="16"/>
                <w:szCs w:val="16"/>
                <w:lang w:bidi="th-TH"/>
              </w:rPr>
            </w:pPr>
            <w:r w:rsidRPr="00720FD9">
              <w:rPr>
                <w:rFonts w:cs="Arial"/>
                <w:sz w:val="16"/>
                <w:szCs w:val="16"/>
                <w:lang w:bidi="th-TH"/>
              </w:rPr>
              <w:t>(iii) decision to create an additional exit from inside the New Hall directly to the exterior (implementation in the course of 2014)</w:t>
            </w:r>
          </w:p>
          <w:p w:rsidR="0028218A" w:rsidRPr="00CD26D6" w:rsidRDefault="0028218A" w:rsidP="00CD26D6">
            <w:pPr>
              <w:rPr>
                <w:rFonts w:cs="Arial"/>
                <w:sz w:val="16"/>
                <w:szCs w:val="16"/>
                <w:lang w:bidi="th-TH"/>
              </w:rPr>
            </w:pPr>
          </w:p>
          <w:p w:rsidR="0028218A" w:rsidRPr="00720FD9" w:rsidRDefault="0028218A" w:rsidP="00CD26D6">
            <w:pPr>
              <w:rPr>
                <w:rFonts w:cs="Arial"/>
                <w:sz w:val="16"/>
                <w:szCs w:val="16"/>
                <w:lang w:bidi="th-TH"/>
              </w:rPr>
            </w:pPr>
            <w:r w:rsidRPr="00720FD9">
              <w:rPr>
                <w:rFonts w:cs="Arial"/>
                <w:sz w:val="16"/>
                <w:szCs w:val="16"/>
                <w:u w:val="single"/>
                <w:lang w:bidi="th-TH"/>
              </w:rPr>
              <w:t>Program 28</w:t>
            </w:r>
            <w:r w:rsidRPr="00CD26D6">
              <w:rPr>
                <w:rFonts w:cs="Arial"/>
                <w:sz w:val="16"/>
                <w:szCs w:val="16"/>
                <w:lang w:bidi="th-TH"/>
              </w:rPr>
              <w:t>:</w:t>
            </w:r>
            <w:r w:rsidRPr="00720FD9">
              <w:rPr>
                <w:rFonts w:cs="Arial"/>
                <w:sz w:val="16"/>
                <w:szCs w:val="16"/>
                <w:lang w:bidi="th-TH"/>
              </w:rPr>
              <w:t xml:space="preserve">  The above measures also constitute improvements in terms of security. In addition, badge readers in several areas in several buildings (through construction or renovation works) have been installed or moved in order to be located at an adequate height for a person in a wheelchair</w:t>
            </w:r>
          </w:p>
          <w:p w:rsidR="0028218A" w:rsidRPr="00720FD9" w:rsidRDefault="0028218A" w:rsidP="005228A5">
            <w:pPr>
              <w:rPr>
                <w:rFonts w:cs="Arial"/>
                <w:sz w:val="16"/>
                <w:szCs w:val="16"/>
              </w:rPr>
            </w:pPr>
          </w:p>
        </w:tc>
        <w:tc>
          <w:tcPr>
            <w:tcW w:w="553" w:type="pct"/>
            <w:tcBorders>
              <w:bottom w:val="single" w:sz="4" w:space="0" w:color="auto"/>
            </w:tcBorders>
            <w:shd w:val="clear" w:color="auto" w:fill="auto"/>
            <w:tcMar>
              <w:top w:w="110" w:type="dxa"/>
            </w:tcMar>
          </w:tcPr>
          <w:p w:rsidR="0028218A" w:rsidRPr="006550F0" w:rsidRDefault="0028218A" w:rsidP="005228A5">
            <w:pPr>
              <w:keepNext/>
              <w:keepLines/>
              <w:jc w:val="center"/>
              <w:rPr>
                <w:rFonts w:ascii="Calibri" w:hAnsi="Calibri" w:cs="Arial"/>
                <w:sz w:val="16"/>
                <w:szCs w:val="16"/>
              </w:rPr>
            </w:pPr>
            <w:r w:rsidRPr="000969AB">
              <w:rPr>
                <w:rFonts w:cs="Arial"/>
                <w:bCs/>
                <w:color w:val="E36C0A" w:themeColor="accent6" w:themeShade="BF"/>
                <w:sz w:val="16"/>
                <w:szCs w:val="16"/>
              </w:rPr>
              <w:t>Partially</w:t>
            </w:r>
            <w:r w:rsidRPr="000969AB">
              <w:rPr>
                <w:rFonts w:cs="Arial"/>
                <w:bCs/>
                <w:color w:val="E36C0A" w:themeColor="accent6" w:themeShade="BF"/>
                <w:sz w:val="16"/>
                <w:szCs w:val="16"/>
              </w:rPr>
              <w:br/>
              <w:t>Achieved</w:t>
            </w:r>
          </w:p>
        </w:tc>
      </w:tr>
    </w:tbl>
    <w:p w:rsidR="0028218A" w:rsidRPr="002A56E1" w:rsidRDefault="0028218A" w:rsidP="0028218A"/>
    <w:p w:rsidR="0028218A" w:rsidRPr="002A56E1" w:rsidRDefault="0028218A" w:rsidP="0028218A">
      <w:pPr>
        <w:rPr>
          <w:rFonts w:cs="Arial"/>
        </w:rPr>
      </w:pPr>
    </w:p>
    <w:p w:rsidR="0028218A" w:rsidRDefault="0028218A" w:rsidP="0028218A">
      <w:pPr>
        <w:rPr>
          <w:rFonts w:cs="Arial"/>
          <w:szCs w:val="22"/>
        </w:rPr>
      </w:pPr>
      <w:r w:rsidRPr="0098133B">
        <w:rPr>
          <w:rFonts w:cs="Arial"/>
          <w:szCs w:val="22"/>
        </w:rPr>
        <w:t xml:space="preserve">BUDGET </w:t>
      </w:r>
      <w:r>
        <w:rPr>
          <w:rFonts w:cs="Arial"/>
          <w:szCs w:val="22"/>
        </w:rPr>
        <w:t>AND ACTUAL EXPENDITURE</w:t>
      </w:r>
    </w:p>
    <w:p w:rsidR="0028218A" w:rsidRDefault="0028218A" w:rsidP="0028218A">
      <w:pPr>
        <w:rPr>
          <w:rFonts w:cs="Arial"/>
          <w:szCs w:val="22"/>
        </w:rPr>
      </w:pPr>
    </w:p>
    <w:p w:rsidR="0028218A" w:rsidRPr="003C3247" w:rsidRDefault="0028218A" w:rsidP="0028218A">
      <w:pPr>
        <w:pStyle w:val="NormalWeb"/>
        <w:spacing w:before="0" w:beforeAutospacing="0" w:after="0" w:afterAutospacing="0"/>
        <w:jc w:val="center"/>
        <w:rPr>
          <w:sz w:val="20"/>
          <w:szCs w:val="20"/>
        </w:rPr>
      </w:pPr>
      <w:r w:rsidRPr="003C3247">
        <w:rPr>
          <w:color w:val="000000"/>
          <w:sz w:val="20"/>
          <w:szCs w:val="20"/>
        </w:rPr>
        <w:t xml:space="preserve">Budget and Actual Expenditure (by result) </w:t>
      </w:r>
    </w:p>
    <w:p w:rsidR="0028218A" w:rsidRPr="003C3247" w:rsidRDefault="0028218A" w:rsidP="0028218A">
      <w:pPr>
        <w:pStyle w:val="NormalWeb"/>
        <w:spacing w:before="0" w:beforeAutospacing="0" w:after="0" w:afterAutospacing="0"/>
        <w:jc w:val="center"/>
        <w:rPr>
          <w:sz w:val="20"/>
          <w:szCs w:val="20"/>
        </w:rPr>
      </w:pPr>
      <w:r w:rsidRPr="003C3247">
        <w:rPr>
          <w:i/>
          <w:iCs/>
          <w:color w:val="000000"/>
          <w:sz w:val="20"/>
          <w:szCs w:val="20"/>
        </w:rPr>
        <w:t>(</w:t>
      </w:r>
      <w:proofErr w:type="gramStart"/>
      <w:r w:rsidRPr="003C3247">
        <w:rPr>
          <w:i/>
          <w:iCs/>
          <w:color w:val="000000"/>
          <w:sz w:val="20"/>
          <w:szCs w:val="20"/>
        </w:rPr>
        <w:t>in</w:t>
      </w:r>
      <w:proofErr w:type="gramEnd"/>
      <w:r w:rsidRPr="003C3247">
        <w:rPr>
          <w:i/>
          <w:iCs/>
          <w:color w:val="000000"/>
          <w:sz w:val="20"/>
          <w:szCs w:val="20"/>
        </w:rPr>
        <w:t xml:space="preserve"> thousands of Swiss francs)</w:t>
      </w:r>
    </w:p>
    <w:p w:rsidR="0028218A" w:rsidRDefault="0028218A" w:rsidP="0028218A">
      <w:pPr>
        <w:rPr>
          <w:rFonts w:cs="Arial"/>
          <w:szCs w:val="22"/>
        </w:rPr>
      </w:pPr>
    </w:p>
    <w:tbl>
      <w:tblPr>
        <w:tblW w:w="0" w:type="auto"/>
        <w:tblInd w:w="103" w:type="dxa"/>
        <w:tblLook w:val="04A0" w:firstRow="1" w:lastRow="0" w:firstColumn="1" w:lastColumn="0" w:noHBand="0" w:noVBand="1"/>
      </w:tblPr>
      <w:tblGrid>
        <w:gridCol w:w="592"/>
        <w:gridCol w:w="4658"/>
        <w:gridCol w:w="1370"/>
        <w:gridCol w:w="1370"/>
        <w:gridCol w:w="1371"/>
      </w:tblGrid>
      <w:tr w:rsidR="0028218A" w:rsidRPr="003C3247" w:rsidTr="0028218A">
        <w:tc>
          <w:tcPr>
            <w:tcW w:w="5250"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Expected Result No. and Description</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2012/13 Approved Budget</w:t>
            </w:r>
          </w:p>
        </w:tc>
        <w:tc>
          <w:tcPr>
            <w:tcW w:w="1370" w:type="dxa"/>
            <w:tcBorders>
              <w:top w:val="single" w:sz="4" w:space="0" w:color="auto"/>
              <w:left w:val="nil"/>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 xml:space="preserve">2012/13 Budget </w:t>
            </w:r>
            <w:r w:rsidRPr="003C3247">
              <w:rPr>
                <w:rFonts w:cs="Arial"/>
                <w:b/>
                <w:bCs/>
                <w:color w:val="000000"/>
                <w:sz w:val="16"/>
                <w:szCs w:val="16"/>
              </w:rPr>
              <w:br/>
              <w:t>After Transfers</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 xml:space="preserve">2012/13 </w:t>
            </w:r>
            <w:r w:rsidRPr="003C3247">
              <w:rPr>
                <w:rFonts w:cs="Arial"/>
                <w:b/>
                <w:bCs/>
                <w:color w:val="000000"/>
                <w:sz w:val="16"/>
                <w:szCs w:val="16"/>
              </w:rPr>
              <w:br/>
              <w:t>Expenditure</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VIII.3</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WIPO effectively interacts and partners with UN and other IGO processes and negotiations</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190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169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137 </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IX.1</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Effective, efficient, quality and customer-oriented support services both to internal clients and to external stakeholders (human resources, IT, conference, language, procurement, travel, printing and publication, premises management)</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44,747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39,036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37,223 </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IX.4</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WIPO staff, delegates, visitors and information and physical assets are safe and secure</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393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466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466</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IX.6</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New conference hall and related facilities available for meetings of Member States</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202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233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233</w:t>
            </w:r>
          </w:p>
        </w:tc>
      </w:tr>
      <w:tr w:rsidR="0028218A" w:rsidRPr="003C3247" w:rsidTr="0028218A">
        <w:tc>
          <w:tcPr>
            <w:tcW w:w="592" w:type="dxa"/>
            <w:tcBorders>
              <w:top w:val="nil"/>
              <w:left w:val="single" w:sz="4" w:space="0" w:color="auto"/>
              <w:bottom w:val="nil"/>
              <w:right w:val="nil"/>
            </w:tcBorders>
            <w:shd w:val="clear" w:color="000000" w:fill="FFFFFF"/>
            <w:noWrap/>
            <w:hideMark/>
          </w:tcPr>
          <w:p w:rsidR="0028218A" w:rsidRPr="003C3247" w:rsidRDefault="0028218A" w:rsidP="008225D9">
            <w:pPr>
              <w:spacing w:before="120"/>
              <w:jc w:val="center"/>
              <w:rPr>
                <w:rFonts w:cs="Arial"/>
                <w:color w:val="000000"/>
                <w:sz w:val="16"/>
                <w:szCs w:val="16"/>
              </w:rPr>
            </w:pPr>
            <w:r w:rsidRPr="003C3247">
              <w:rPr>
                <w:rFonts w:cs="Arial"/>
                <w:color w:val="000000"/>
                <w:sz w:val="16"/>
                <w:szCs w:val="16"/>
              </w:rPr>
              <w:t>IX.9</w:t>
            </w:r>
          </w:p>
        </w:tc>
        <w:tc>
          <w:tcPr>
            <w:tcW w:w="4658" w:type="dxa"/>
            <w:tcBorders>
              <w:top w:val="nil"/>
              <w:left w:val="nil"/>
              <w:bottom w:val="nil"/>
              <w:right w:val="nil"/>
            </w:tcBorders>
            <w:shd w:val="clear" w:color="000000" w:fill="FFFFFF"/>
            <w:hideMark/>
          </w:tcPr>
          <w:p w:rsidR="0028218A" w:rsidRPr="003C3247" w:rsidRDefault="0028218A" w:rsidP="008225D9">
            <w:pPr>
              <w:spacing w:before="120"/>
              <w:rPr>
                <w:rFonts w:cs="Arial"/>
                <w:color w:val="000000"/>
                <w:sz w:val="16"/>
                <w:szCs w:val="16"/>
              </w:rPr>
            </w:pPr>
            <w:r w:rsidRPr="003C3247">
              <w:rPr>
                <w:rFonts w:cs="Arial"/>
                <w:color w:val="000000"/>
                <w:sz w:val="16"/>
                <w:szCs w:val="16"/>
              </w:rPr>
              <w:t>Reduced impact of WIPO’s activities on the environment</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299 </w:t>
            </w:r>
          </w:p>
        </w:tc>
        <w:tc>
          <w:tcPr>
            <w:tcW w:w="1370" w:type="dxa"/>
            <w:tcBorders>
              <w:top w:val="nil"/>
              <w:left w:val="nil"/>
              <w:bottom w:val="nil"/>
              <w:right w:val="nil"/>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298 </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8225D9">
            <w:pPr>
              <w:spacing w:before="120"/>
              <w:jc w:val="right"/>
              <w:rPr>
                <w:rFonts w:cs="Arial"/>
                <w:color w:val="000000"/>
                <w:sz w:val="16"/>
                <w:szCs w:val="16"/>
              </w:rPr>
            </w:pPr>
            <w:r w:rsidRPr="003C3247">
              <w:rPr>
                <w:rFonts w:cs="Arial"/>
                <w:color w:val="000000"/>
                <w:sz w:val="16"/>
                <w:szCs w:val="16"/>
              </w:rPr>
              <w:t xml:space="preserve">195 </w:t>
            </w:r>
          </w:p>
        </w:tc>
      </w:tr>
      <w:tr w:rsidR="0028218A" w:rsidRPr="003C3247" w:rsidTr="0028218A">
        <w:tc>
          <w:tcPr>
            <w:tcW w:w="592" w:type="dxa"/>
            <w:tcBorders>
              <w:top w:val="nil"/>
              <w:left w:val="single" w:sz="4" w:space="0" w:color="auto"/>
              <w:bottom w:val="single" w:sz="4" w:space="0" w:color="auto"/>
              <w:right w:val="nil"/>
            </w:tcBorders>
            <w:shd w:val="clear" w:color="000000" w:fill="FFFFFF"/>
            <w:noWrap/>
            <w:hideMark/>
          </w:tcPr>
          <w:p w:rsidR="0028218A" w:rsidRPr="003C3247" w:rsidRDefault="0028218A" w:rsidP="00CD26D6">
            <w:pPr>
              <w:spacing w:before="120" w:after="120"/>
              <w:jc w:val="center"/>
              <w:rPr>
                <w:rFonts w:cs="Arial"/>
                <w:color w:val="000000"/>
                <w:sz w:val="16"/>
                <w:szCs w:val="16"/>
              </w:rPr>
            </w:pPr>
            <w:r w:rsidRPr="003C3247">
              <w:rPr>
                <w:rFonts w:cs="Arial"/>
                <w:color w:val="000000"/>
                <w:sz w:val="16"/>
                <w:szCs w:val="16"/>
              </w:rPr>
              <w:t>IX.10</w:t>
            </w:r>
          </w:p>
        </w:tc>
        <w:tc>
          <w:tcPr>
            <w:tcW w:w="4658" w:type="dxa"/>
            <w:tcBorders>
              <w:top w:val="nil"/>
              <w:left w:val="nil"/>
              <w:bottom w:val="single" w:sz="4" w:space="0" w:color="auto"/>
              <w:right w:val="nil"/>
            </w:tcBorders>
            <w:shd w:val="clear" w:color="000000" w:fill="FFFFFF"/>
            <w:hideMark/>
          </w:tcPr>
          <w:p w:rsidR="0028218A" w:rsidRPr="003C3247" w:rsidRDefault="0028218A" w:rsidP="00CD26D6">
            <w:pPr>
              <w:spacing w:before="120" w:after="120"/>
              <w:rPr>
                <w:rFonts w:cs="Arial"/>
                <w:color w:val="000000"/>
                <w:sz w:val="16"/>
                <w:szCs w:val="16"/>
              </w:rPr>
            </w:pPr>
            <w:r w:rsidRPr="003C3247">
              <w:rPr>
                <w:rFonts w:cs="Arial"/>
                <w:color w:val="000000"/>
                <w:sz w:val="16"/>
                <w:szCs w:val="16"/>
              </w:rPr>
              <w:t>Improved physical access to the WIPO Campus</w:t>
            </w:r>
          </w:p>
        </w:tc>
        <w:tc>
          <w:tcPr>
            <w:tcW w:w="1370" w:type="dxa"/>
            <w:tcBorders>
              <w:top w:val="nil"/>
              <w:left w:val="nil"/>
              <w:bottom w:val="nil"/>
              <w:right w:val="nil"/>
            </w:tcBorders>
            <w:shd w:val="clear" w:color="000000" w:fill="FFFFFF"/>
            <w:vAlign w:val="center"/>
            <w:hideMark/>
          </w:tcPr>
          <w:p w:rsidR="0028218A" w:rsidRPr="003C3247" w:rsidRDefault="0028218A" w:rsidP="00CD26D6">
            <w:pPr>
              <w:spacing w:before="120" w:after="120"/>
              <w:jc w:val="right"/>
              <w:rPr>
                <w:rFonts w:cs="Arial"/>
                <w:color w:val="000000"/>
                <w:sz w:val="16"/>
                <w:szCs w:val="16"/>
              </w:rPr>
            </w:pPr>
            <w:r w:rsidRPr="003C3247">
              <w:rPr>
                <w:rFonts w:cs="Arial"/>
                <w:color w:val="000000"/>
                <w:sz w:val="16"/>
                <w:szCs w:val="16"/>
              </w:rPr>
              <w:t xml:space="preserve">439 </w:t>
            </w:r>
          </w:p>
        </w:tc>
        <w:tc>
          <w:tcPr>
            <w:tcW w:w="1370" w:type="dxa"/>
            <w:tcBorders>
              <w:top w:val="nil"/>
              <w:left w:val="nil"/>
              <w:bottom w:val="nil"/>
              <w:right w:val="nil"/>
            </w:tcBorders>
            <w:shd w:val="clear" w:color="000000" w:fill="FFFFFF"/>
            <w:vAlign w:val="center"/>
            <w:hideMark/>
          </w:tcPr>
          <w:p w:rsidR="0028218A" w:rsidRPr="003C3247" w:rsidRDefault="0028218A" w:rsidP="00CD26D6">
            <w:pPr>
              <w:spacing w:before="120" w:after="120"/>
              <w:jc w:val="right"/>
              <w:rPr>
                <w:rFonts w:cs="Arial"/>
                <w:color w:val="000000"/>
                <w:sz w:val="16"/>
                <w:szCs w:val="16"/>
              </w:rPr>
            </w:pPr>
            <w:r w:rsidRPr="003C3247">
              <w:rPr>
                <w:rFonts w:cs="Arial"/>
                <w:color w:val="000000"/>
                <w:sz w:val="16"/>
                <w:szCs w:val="16"/>
              </w:rPr>
              <w:t>486</w:t>
            </w:r>
          </w:p>
        </w:tc>
        <w:tc>
          <w:tcPr>
            <w:tcW w:w="1371" w:type="dxa"/>
            <w:tcBorders>
              <w:top w:val="nil"/>
              <w:left w:val="nil"/>
              <w:bottom w:val="nil"/>
              <w:right w:val="single" w:sz="4" w:space="0" w:color="auto"/>
            </w:tcBorders>
            <w:shd w:val="clear" w:color="000000" w:fill="FFFFFF"/>
            <w:vAlign w:val="center"/>
            <w:hideMark/>
          </w:tcPr>
          <w:p w:rsidR="0028218A" w:rsidRPr="003C3247" w:rsidRDefault="0028218A" w:rsidP="00CD26D6">
            <w:pPr>
              <w:spacing w:before="120" w:after="120"/>
              <w:jc w:val="right"/>
              <w:rPr>
                <w:rFonts w:cs="Arial"/>
                <w:color w:val="000000"/>
                <w:sz w:val="16"/>
                <w:szCs w:val="16"/>
              </w:rPr>
            </w:pPr>
            <w:r w:rsidRPr="003C3247">
              <w:rPr>
                <w:rFonts w:cs="Arial"/>
                <w:color w:val="000000"/>
                <w:sz w:val="16"/>
                <w:szCs w:val="16"/>
              </w:rPr>
              <w:t xml:space="preserve">411 </w:t>
            </w:r>
          </w:p>
        </w:tc>
      </w:tr>
      <w:tr w:rsidR="0028218A" w:rsidRPr="003C3247" w:rsidTr="0028218A">
        <w:tc>
          <w:tcPr>
            <w:tcW w:w="592" w:type="dxa"/>
            <w:tcBorders>
              <w:top w:val="nil"/>
              <w:left w:val="single" w:sz="4" w:space="0" w:color="auto"/>
              <w:bottom w:val="single" w:sz="4" w:space="0" w:color="auto"/>
              <w:right w:val="nil"/>
            </w:tcBorders>
            <w:shd w:val="clear" w:color="000000" w:fill="CCFFFF"/>
            <w:noWrap/>
            <w:vAlign w:val="bottom"/>
            <w:hideMark/>
          </w:tcPr>
          <w:p w:rsidR="0028218A" w:rsidRPr="003C3247" w:rsidRDefault="0028218A" w:rsidP="008225D9">
            <w:pPr>
              <w:spacing w:before="120" w:after="120"/>
              <w:jc w:val="center"/>
              <w:rPr>
                <w:rFonts w:cs="Arial"/>
                <w:b/>
                <w:bCs/>
                <w:color w:val="000000"/>
                <w:sz w:val="16"/>
                <w:szCs w:val="16"/>
              </w:rPr>
            </w:pPr>
            <w:r w:rsidRPr="003C3247">
              <w:rPr>
                <w:rFonts w:cs="Arial"/>
                <w:b/>
                <w:bCs/>
                <w:color w:val="000000"/>
                <w:sz w:val="16"/>
                <w:szCs w:val="16"/>
              </w:rPr>
              <w:t> </w:t>
            </w:r>
          </w:p>
        </w:tc>
        <w:tc>
          <w:tcPr>
            <w:tcW w:w="4658" w:type="dxa"/>
            <w:tcBorders>
              <w:top w:val="nil"/>
              <w:left w:val="nil"/>
              <w:bottom w:val="single" w:sz="4" w:space="0" w:color="auto"/>
              <w:right w:val="nil"/>
            </w:tcBorders>
            <w:shd w:val="clear" w:color="000000" w:fill="CCFFFF"/>
            <w:noWrap/>
            <w:vAlign w:val="center"/>
            <w:hideMark/>
          </w:tcPr>
          <w:p w:rsidR="0028218A" w:rsidRPr="003C3247" w:rsidRDefault="0028218A" w:rsidP="008225D9">
            <w:pPr>
              <w:spacing w:before="120" w:after="120"/>
              <w:rPr>
                <w:rFonts w:cs="Arial"/>
                <w:b/>
                <w:bCs/>
                <w:color w:val="000000"/>
                <w:sz w:val="16"/>
                <w:szCs w:val="16"/>
              </w:rPr>
            </w:pPr>
            <w:r w:rsidRPr="003C3247">
              <w:rPr>
                <w:rFonts w:cs="Arial"/>
                <w:b/>
                <w:bCs/>
                <w:color w:val="000000"/>
                <w:sz w:val="16"/>
                <w:szCs w:val="16"/>
              </w:rPr>
              <w:t>Total</w:t>
            </w:r>
          </w:p>
        </w:tc>
        <w:tc>
          <w:tcPr>
            <w:tcW w:w="1370"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right"/>
              <w:rPr>
                <w:rFonts w:cs="Arial"/>
                <w:b/>
                <w:bCs/>
                <w:color w:val="000000"/>
                <w:sz w:val="16"/>
                <w:szCs w:val="16"/>
              </w:rPr>
            </w:pPr>
            <w:r w:rsidRPr="003C3247">
              <w:rPr>
                <w:rFonts w:cs="Arial"/>
                <w:b/>
                <w:bCs/>
                <w:color w:val="000000"/>
                <w:sz w:val="16"/>
                <w:szCs w:val="16"/>
              </w:rPr>
              <w:t>46,271</w:t>
            </w:r>
          </w:p>
        </w:tc>
        <w:tc>
          <w:tcPr>
            <w:tcW w:w="1370" w:type="dxa"/>
            <w:tcBorders>
              <w:top w:val="single" w:sz="4" w:space="0" w:color="auto"/>
              <w:left w:val="nil"/>
              <w:bottom w:val="single" w:sz="4" w:space="0" w:color="auto"/>
              <w:right w:val="single" w:sz="4" w:space="0" w:color="auto"/>
            </w:tcBorders>
            <w:shd w:val="clear" w:color="000000" w:fill="CCFFFF"/>
            <w:noWrap/>
            <w:vAlign w:val="center"/>
            <w:hideMark/>
          </w:tcPr>
          <w:p w:rsidR="0028218A" w:rsidRPr="003C3247" w:rsidRDefault="0028218A" w:rsidP="008225D9">
            <w:pPr>
              <w:spacing w:before="120" w:after="120"/>
              <w:jc w:val="right"/>
              <w:rPr>
                <w:rFonts w:cs="Arial"/>
                <w:b/>
                <w:bCs/>
                <w:color w:val="000000"/>
                <w:sz w:val="16"/>
                <w:szCs w:val="16"/>
              </w:rPr>
            </w:pPr>
            <w:r w:rsidRPr="003C3247">
              <w:rPr>
                <w:rFonts w:cs="Arial"/>
                <w:b/>
                <w:bCs/>
                <w:color w:val="000000"/>
                <w:sz w:val="16"/>
                <w:szCs w:val="16"/>
              </w:rPr>
              <w:t>40,688</w:t>
            </w:r>
          </w:p>
        </w:tc>
        <w:tc>
          <w:tcPr>
            <w:tcW w:w="1371" w:type="dxa"/>
            <w:tcBorders>
              <w:top w:val="single" w:sz="4" w:space="0" w:color="auto"/>
              <w:left w:val="nil"/>
              <w:bottom w:val="single" w:sz="4" w:space="0" w:color="auto"/>
              <w:right w:val="single" w:sz="4" w:space="0" w:color="auto"/>
            </w:tcBorders>
            <w:shd w:val="clear" w:color="000000" w:fill="CCFFFF"/>
            <w:vAlign w:val="center"/>
            <w:hideMark/>
          </w:tcPr>
          <w:p w:rsidR="0028218A" w:rsidRPr="003C3247" w:rsidRDefault="0028218A" w:rsidP="008225D9">
            <w:pPr>
              <w:spacing w:before="120" w:after="120"/>
              <w:jc w:val="right"/>
              <w:rPr>
                <w:rFonts w:cs="Arial"/>
                <w:b/>
                <w:bCs/>
                <w:color w:val="000000"/>
                <w:sz w:val="16"/>
                <w:szCs w:val="16"/>
              </w:rPr>
            </w:pPr>
            <w:r w:rsidRPr="003C3247">
              <w:rPr>
                <w:rFonts w:cs="Arial"/>
                <w:b/>
                <w:bCs/>
                <w:color w:val="000000"/>
                <w:sz w:val="16"/>
                <w:szCs w:val="16"/>
              </w:rPr>
              <w:t>38,665</w:t>
            </w:r>
          </w:p>
        </w:tc>
      </w:tr>
    </w:tbl>
    <w:p w:rsidR="0028218A" w:rsidRDefault="0028218A" w:rsidP="0028218A">
      <w:pPr>
        <w:pStyle w:val="NormalWeb"/>
        <w:spacing w:before="0" w:beforeAutospacing="0" w:after="0" w:afterAutospacing="0"/>
        <w:jc w:val="center"/>
        <w:rPr>
          <w:color w:val="000000"/>
          <w:sz w:val="20"/>
          <w:szCs w:val="20"/>
        </w:rPr>
      </w:pPr>
    </w:p>
    <w:p w:rsidR="008225D9" w:rsidRDefault="008225D9">
      <w:pPr>
        <w:rPr>
          <w:rFonts w:cs="Arial"/>
          <w:color w:val="000000"/>
          <w:szCs w:val="20"/>
        </w:rPr>
      </w:pPr>
      <w:r>
        <w:rPr>
          <w:color w:val="000000"/>
          <w:szCs w:val="20"/>
        </w:rPr>
        <w:br w:type="page"/>
      </w:r>
    </w:p>
    <w:p w:rsidR="008225D9" w:rsidRDefault="008225D9" w:rsidP="0028218A">
      <w:pPr>
        <w:pStyle w:val="NormalWeb"/>
        <w:spacing w:before="0" w:beforeAutospacing="0" w:after="0" w:afterAutospacing="0"/>
        <w:jc w:val="center"/>
        <w:rPr>
          <w:color w:val="000000"/>
          <w:sz w:val="20"/>
          <w:szCs w:val="20"/>
        </w:rPr>
      </w:pPr>
    </w:p>
    <w:p w:rsidR="0028218A" w:rsidRPr="003C3247" w:rsidRDefault="0028218A" w:rsidP="0028218A">
      <w:pPr>
        <w:pStyle w:val="NormalWeb"/>
        <w:spacing w:before="0" w:beforeAutospacing="0" w:after="0" w:afterAutospacing="0"/>
        <w:jc w:val="center"/>
        <w:rPr>
          <w:sz w:val="20"/>
          <w:szCs w:val="20"/>
        </w:rPr>
      </w:pPr>
      <w:r w:rsidRPr="003C3247">
        <w:rPr>
          <w:color w:val="000000"/>
          <w:sz w:val="20"/>
          <w:szCs w:val="20"/>
        </w:rPr>
        <w:t xml:space="preserve">Budget and Actual Expenditure (personnel and non-personnel) </w:t>
      </w:r>
    </w:p>
    <w:p w:rsidR="0028218A" w:rsidRPr="003C3247" w:rsidRDefault="0028218A" w:rsidP="0028218A">
      <w:pPr>
        <w:pStyle w:val="NormalWeb"/>
        <w:spacing w:before="0" w:beforeAutospacing="0" w:after="0" w:afterAutospacing="0"/>
        <w:jc w:val="center"/>
        <w:rPr>
          <w:sz w:val="20"/>
          <w:szCs w:val="20"/>
        </w:rPr>
      </w:pPr>
      <w:r w:rsidRPr="003C3247">
        <w:rPr>
          <w:i/>
          <w:iCs/>
          <w:color w:val="000000"/>
          <w:sz w:val="20"/>
          <w:szCs w:val="20"/>
        </w:rPr>
        <w:t>(</w:t>
      </w:r>
      <w:proofErr w:type="gramStart"/>
      <w:r w:rsidRPr="003C3247">
        <w:rPr>
          <w:i/>
          <w:iCs/>
          <w:color w:val="000000"/>
          <w:sz w:val="20"/>
          <w:szCs w:val="20"/>
        </w:rPr>
        <w:t>in</w:t>
      </w:r>
      <w:proofErr w:type="gramEnd"/>
      <w:r w:rsidRPr="003C3247">
        <w:rPr>
          <w:i/>
          <w:iCs/>
          <w:color w:val="000000"/>
          <w:sz w:val="20"/>
          <w:szCs w:val="20"/>
        </w:rPr>
        <w:t xml:space="preserve"> thousands of Swiss francs)</w:t>
      </w:r>
    </w:p>
    <w:p w:rsidR="0028218A" w:rsidRDefault="0028218A" w:rsidP="0028218A">
      <w:pPr>
        <w:rPr>
          <w:rFonts w:cs="Arial"/>
          <w:szCs w:val="22"/>
        </w:rPr>
      </w:pPr>
    </w:p>
    <w:tbl>
      <w:tblPr>
        <w:tblW w:w="0" w:type="auto"/>
        <w:tblInd w:w="93" w:type="dxa"/>
        <w:tblLook w:val="04A0" w:firstRow="1" w:lastRow="0" w:firstColumn="1" w:lastColumn="0" w:noHBand="0" w:noVBand="1"/>
      </w:tblPr>
      <w:tblGrid>
        <w:gridCol w:w="2567"/>
        <w:gridCol w:w="1701"/>
        <w:gridCol w:w="1701"/>
        <w:gridCol w:w="1701"/>
        <w:gridCol w:w="1701"/>
      </w:tblGrid>
      <w:tr w:rsidR="0028218A" w:rsidRPr="003C3247" w:rsidTr="0028218A">
        <w:trPr>
          <w:trHeight w:val="480"/>
        </w:trPr>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28218A" w:rsidRPr="003C3247" w:rsidRDefault="0028218A" w:rsidP="0028218A">
            <w:pPr>
              <w:rPr>
                <w:rFonts w:cs="Arial"/>
                <w:color w:val="000000"/>
                <w:sz w:val="16"/>
                <w:szCs w:val="16"/>
              </w:rPr>
            </w:pPr>
            <w:r w:rsidRPr="003C3247">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Utilization rate (%)</w:t>
            </w:r>
          </w:p>
        </w:tc>
      </w:tr>
      <w:tr w:rsidR="0028218A" w:rsidRPr="003C3247" w:rsidTr="0028218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28218A" w:rsidRPr="003C3247" w:rsidRDefault="0028218A" w:rsidP="0028218A">
            <w:pPr>
              <w:rPr>
                <w:rFonts w:cs="Arial"/>
                <w:color w:val="000000"/>
                <w:sz w:val="16"/>
                <w:szCs w:val="16"/>
              </w:rPr>
            </w:pPr>
            <w:r w:rsidRPr="003C3247">
              <w:rPr>
                <w:rFonts w:cs="Arial"/>
                <w:color w:val="000000"/>
                <w:sz w:val="16"/>
                <w:szCs w:val="16"/>
              </w:rPr>
              <w:t xml:space="preserve">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17,351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18,780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18,780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100%</w:t>
            </w:r>
          </w:p>
        </w:tc>
      </w:tr>
      <w:tr w:rsidR="0028218A" w:rsidRPr="003C3247" w:rsidTr="0028218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28218A" w:rsidRPr="003C3247" w:rsidRDefault="0028218A" w:rsidP="0028218A">
            <w:pPr>
              <w:rPr>
                <w:rFonts w:cs="Arial"/>
                <w:color w:val="000000"/>
                <w:sz w:val="16"/>
                <w:szCs w:val="16"/>
              </w:rPr>
            </w:pPr>
            <w:r w:rsidRPr="003C3247">
              <w:rPr>
                <w:rFonts w:cs="Arial"/>
                <w:color w:val="000000"/>
                <w:sz w:val="16"/>
                <w:szCs w:val="16"/>
              </w:rPr>
              <w:t xml:space="preserve">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28,920</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21,908</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19,885</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color w:val="000000"/>
                <w:sz w:val="16"/>
                <w:szCs w:val="16"/>
              </w:rPr>
            </w:pPr>
            <w:r w:rsidRPr="003C3247">
              <w:rPr>
                <w:rFonts w:cs="Arial"/>
                <w:color w:val="000000"/>
                <w:sz w:val="16"/>
                <w:szCs w:val="16"/>
              </w:rPr>
              <w:t>91%</w:t>
            </w:r>
          </w:p>
        </w:tc>
      </w:tr>
      <w:tr w:rsidR="0028218A" w:rsidRPr="003C3247" w:rsidTr="0028218A">
        <w:trPr>
          <w:trHeight w:val="555"/>
        </w:trPr>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28218A" w:rsidRPr="003C3247" w:rsidRDefault="0028218A" w:rsidP="0028218A">
            <w:pPr>
              <w:jc w:val="right"/>
              <w:rPr>
                <w:rFonts w:cs="Arial"/>
                <w:b/>
                <w:bCs/>
                <w:color w:val="000000"/>
                <w:sz w:val="16"/>
                <w:szCs w:val="16"/>
              </w:rPr>
            </w:pPr>
            <w:r w:rsidRPr="003C3247">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b/>
                <w:bCs/>
                <w:color w:val="000000"/>
                <w:sz w:val="16"/>
                <w:szCs w:val="16"/>
              </w:rPr>
            </w:pPr>
            <w:r w:rsidRPr="003C3247">
              <w:rPr>
                <w:rFonts w:cs="Arial"/>
                <w:b/>
                <w:bCs/>
                <w:color w:val="000000"/>
                <w:sz w:val="16"/>
                <w:szCs w:val="16"/>
              </w:rPr>
              <w:t>46,271</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b/>
                <w:color w:val="000000"/>
                <w:sz w:val="16"/>
                <w:szCs w:val="16"/>
              </w:rPr>
            </w:pPr>
            <w:r w:rsidRPr="003C3247">
              <w:rPr>
                <w:rFonts w:cs="Arial"/>
                <w:b/>
                <w:color w:val="000000"/>
                <w:sz w:val="16"/>
                <w:szCs w:val="16"/>
              </w:rPr>
              <w:t>40,688</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b/>
                <w:color w:val="000000"/>
                <w:sz w:val="16"/>
                <w:szCs w:val="16"/>
              </w:rPr>
            </w:pPr>
            <w:r w:rsidRPr="003C3247">
              <w:rPr>
                <w:rFonts w:cs="Arial"/>
                <w:b/>
                <w:color w:val="000000"/>
                <w:sz w:val="16"/>
                <w:szCs w:val="16"/>
              </w:rPr>
              <w:t>38,665</w:t>
            </w:r>
          </w:p>
        </w:tc>
        <w:tc>
          <w:tcPr>
            <w:tcW w:w="1701" w:type="dxa"/>
            <w:tcBorders>
              <w:top w:val="nil"/>
              <w:left w:val="nil"/>
              <w:bottom w:val="single" w:sz="4" w:space="0" w:color="auto"/>
              <w:right w:val="single" w:sz="4" w:space="0" w:color="auto"/>
            </w:tcBorders>
            <w:shd w:val="clear" w:color="auto" w:fill="auto"/>
            <w:vAlign w:val="center"/>
            <w:hideMark/>
          </w:tcPr>
          <w:p w:rsidR="0028218A" w:rsidRPr="003C3247" w:rsidRDefault="0028218A" w:rsidP="0028218A">
            <w:pPr>
              <w:jc w:val="center"/>
              <w:rPr>
                <w:rFonts w:cs="Arial"/>
                <w:b/>
                <w:color w:val="000000"/>
                <w:sz w:val="16"/>
                <w:szCs w:val="16"/>
              </w:rPr>
            </w:pPr>
            <w:r w:rsidRPr="003C3247">
              <w:rPr>
                <w:rFonts w:cs="Arial"/>
                <w:b/>
                <w:color w:val="000000"/>
                <w:sz w:val="16"/>
                <w:szCs w:val="16"/>
              </w:rPr>
              <w:t>95%</w:t>
            </w:r>
          </w:p>
        </w:tc>
      </w:tr>
    </w:tbl>
    <w:p w:rsidR="0028218A" w:rsidRDefault="0028218A" w:rsidP="0028218A">
      <w:pPr>
        <w:rPr>
          <w:rFonts w:cs="Arial"/>
          <w:szCs w:val="22"/>
        </w:rPr>
      </w:pPr>
    </w:p>
    <w:p w:rsidR="0028218A" w:rsidRDefault="0028218A" w:rsidP="0028218A">
      <w:pPr>
        <w:keepNext/>
        <w:autoSpaceDE w:val="0"/>
        <w:autoSpaceDN w:val="0"/>
        <w:rPr>
          <w:sz w:val="16"/>
          <w:szCs w:val="16"/>
        </w:rPr>
      </w:pPr>
      <w:r>
        <w:rPr>
          <w:sz w:val="16"/>
          <w:szCs w:val="16"/>
        </w:rPr>
        <w:t>NOTES:</w:t>
      </w:r>
    </w:p>
    <w:p w:rsidR="0028218A" w:rsidRDefault="0028218A" w:rsidP="0028218A">
      <w:pPr>
        <w:keepNext/>
        <w:autoSpaceDE w:val="0"/>
        <w:autoSpaceDN w:val="0"/>
        <w:rPr>
          <w:sz w:val="16"/>
          <w:szCs w:val="16"/>
        </w:rPr>
      </w:pPr>
    </w:p>
    <w:p w:rsidR="0028218A" w:rsidRDefault="0028218A" w:rsidP="0028218A">
      <w:pPr>
        <w:keepNext/>
        <w:autoSpaceDE w:val="0"/>
        <w:autoSpaceDN w:val="0"/>
        <w:rPr>
          <w:sz w:val="16"/>
          <w:szCs w:val="16"/>
        </w:rPr>
      </w:pPr>
      <w:r>
        <w:rPr>
          <w:sz w:val="16"/>
          <w:szCs w:val="16"/>
        </w:rPr>
        <w:t>(1)  Budget after transfers reflects the adjusted budget of Programs, following transfers during 2012/13 in line with Financial Regulation 5.5.</w:t>
      </w:r>
    </w:p>
    <w:p w:rsidR="0028218A" w:rsidRDefault="0028218A" w:rsidP="0028218A">
      <w:pPr>
        <w:keepNext/>
        <w:autoSpaceDE w:val="0"/>
        <w:autoSpaceDN w:val="0"/>
        <w:rPr>
          <w:sz w:val="16"/>
          <w:szCs w:val="16"/>
        </w:rPr>
      </w:pPr>
    </w:p>
    <w:p w:rsidR="0028218A" w:rsidRDefault="00DC2CFA" w:rsidP="0028218A">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28218A">
        <w:rPr>
          <w:sz w:val="16"/>
          <w:szCs w:val="16"/>
        </w:rPr>
        <w:t xml:space="preserve"> </w:t>
      </w:r>
    </w:p>
    <w:p w:rsidR="0028218A" w:rsidRDefault="0028218A" w:rsidP="0028218A">
      <w:pPr>
        <w:rPr>
          <w:rFonts w:cs="Arial"/>
          <w:szCs w:val="22"/>
        </w:rPr>
      </w:pPr>
    </w:p>
    <w:p w:rsidR="0028218A" w:rsidRDefault="0028218A" w:rsidP="0028218A">
      <w:pPr>
        <w:rPr>
          <w:rFonts w:cs="Arial"/>
          <w:szCs w:val="20"/>
        </w:rPr>
      </w:pPr>
    </w:p>
    <w:p w:rsidR="008F1D18" w:rsidRPr="008F1D18" w:rsidRDefault="008F1D18" w:rsidP="008F1D18">
      <w:pPr>
        <w:tabs>
          <w:tab w:val="left" w:pos="709"/>
        </w:tabs>
        <w:rPr>
          <w:u w:val="single"/>
        </w:rPr>
      </w:pPr>
      <w:r w:rsidRPr="008F1D18">
        <w:t>A.</w:t>
      </w:r>
      <w:r>
        <w:tab/>
      </w:r>
      <w:r w:rsidRPr="008F1D18">
        <w:rPr>
          <w:u w:val="single"/>
        </w:rPr>
        <w:t xml:space="preserve">Budget after Transfers 2012/13 </w:t>
      </w:r>
    </w:p>
    <w:p w:rsidR="008F1D18" w:rsidRPr="008F1D18" w:rsidRDefault="008F1D18" w:rsidP="008F1D18">
      <w:pPr>
        <w:tabs>
          <w:tab w:val="left" w:pos="709"/>
        </w:tabs>
        <w:jc w:val="both"/>
        <w:rPr>
          <w:u w:val="single"/>
        </w:rPr>
      </w:pPr>
    </w:p>
    <w:p w:rsidR="008F1D18" w:rsidRPr="008F1D18" w:rsidRDefault="008F1D18" w:rsidP="008F1D18">
      <w:pPr>
        <w:pStyle w:val="ListParagraph"/>
        <w:tabs>
          <w:tab w:val="left" w:pos="709"/>
        </w:tabs>
        <w:autoSpaceDE w:val="0"/>
        <w:autoSpaceDN w:val="0"/>
        <w:ind w:left="0"/>
        <w:jc w:val="both"/>
      </w:pPr>
      <w:r>
        <w:t>24.14.</w:t>
      </w:r>
      <w:r>
        <w:tab/>
      </w:r>
      <w:r w:rsidRPr="008F1D18">
        <w:t xml:space="preserve">The 2012/13 Budget after Transfers reflects a decrease in non-personnel resources, primarily for contractual services and maintenance contracts, reflected under Result IX.1 (Effective, efficient quality and customer-oriented support services) due to: </w:t>
      </w:r>
    </w:p>
    <w:p w:rsidR="008F1D18" w:rsidRPr="008F1D18" w:rsidRDefault="008F1D18" w:rsidP="008F1D18">
      <w:pPr>
        <w:pStyle w:val="ListParagraph"/>
        <w:tabs>
          <w:tab w:val="left" w:pos="709"/>
        </w:tabs>
        <w:autoSpaceDE w:val="0"/>
        <w:autoSpaceDN w:val="0"/>
        <w:ind w:left="0"/>
        <w:jc w:val="both"/>
      </w:pPr>
    </w:p>
    <w:p w:rsidR="008F1D18" w:rsidRPr="008F1D18" w:rsidRDefault="008F1D18" w:rsidP="007B2B25">
      <w:pPr>
        <w:pStyle w:val="ListParagraph"/>
        <w:numPr>
          <w:ilvl w:val="0"/>
          <w:numId w:val="90"/>
        </w:numPr>
        <w:tabs>
          <w:tab w:val="left" w:pos="709"/>
        </w:tabs>
        <w:autoSpaceDE w:val="0"/>
        <w:autoSpaceDN w:val="0"/>
        <w:jc w:val="both"/>
      </w:pPr>
      <w:r w:rsidRPr="008F1D18">
        <w:t>cost efficiency gains, in accordance with the Organization’s commitment to reduce expenditures by 10.2 million Swiss francs in the 2012/13 biennium;  and,</w:t>
      </w:r>
    </w:p>
    <w:p w:rsidR="008F1D18" w:rsidRPr="008F1D18" w:rsidRDefault="008F1D18" w:rsidP="007B2B25">
      <w:pPr>
        <w:pStyle w:val="ListParagraph"/>
        <w:numPr>
          <w:ilvl w:val="0"/>
          <w:numId w:val="90"/>
        </w:numPr>
        <w:tabs>
          <w:tab w:val="left" w:pos="709"/>
        </w:tabs>
        <w:autoSpaceDE w:val="0"/>
        <w:autoSpaceDN w:val="0"/>
        <w:jc w:val="both"/>
      </w:pPr>
      <w:proofErr w:type="gramStart"/>
      <w:r w:rsidRPr="008F1D18">
        <w:t>the</w:t>
      </w:r>
      <w:proofErr w:type="gramEnd"/>
      <w:r w:rsidRPr="008F1D18">
        <w:t xml:space="preserve"> successful implementation of a stricter office space allocation policy resulting in a declining need for renting office space outside of the WIPO campus.  </w:t>
      </w:r>
    </w:p>
    <w:p w:rsidR="008F1D18" w:rsidRPr="008F1D18" w:rsidRDefault="008F1D18" w:rsidP="008F1D18">
      <w:pPr>
        <w:tabs>
          <w:tab w:val="left" w:pos="709"/>
        </w:tabs>
        <w:autoSpaceDE w:val="0"/>
        <w:autoSpaceDN w:val="0"/>
        <w:jc w:val="both"/>
      </w:pPr>
    </w:p>
    <w:p w:rsidR="008F1D18" w:rsidRPr="008F1D18" w:rsidRDefault="008F1D18" w:rsidP="008F1D18">
      <w:pPr>
        <w:tabs>
          <w:tab w:val="left" w:pos="709"/>
        </w:tabs>
        <w:autoSpaceDE w:val="0"/>
        <w:autoSpaceDN w:val="0"/>
        <w:jc w:val="both"/>
        <w:rPr>
          <w:lang w:eastAsia="ko-KR"/>
        </w:rPr>
      </w:pPr>
      <w:r w:rsidRPr="008F1D18">
        <w:t>24.15.</w:t>
      </w:r>
      <w:r>
        <w:tab/>
      </w:r>
      <w:r w:rsidRPr="008F1D18">
        <w:rPr>
          <w:lang w:eastAsia="ko-KR"/>
        </w:rPr>
        <w:t xml:space="preserve">The increase in personnel resources was primarily due to the regularization of several long-serving temporary employees in the Program performing continuing functions.  </w:t>
      </w:r>
    </w:p>
    <w:p w:rsidR="008F1D18" w:rsidRPr="008F1D18" w:rsidRDefault="008F1D18" w:rsidP="008F1D18">
      <w:pPr>
        <w:tabs>
          <w:tab w:val="left" w:pos="709"/>
        </w:tabs>
        <w:jc w:val="both"/>
      </w:pPr>
    </w:p>
    <w:p w:rsidR="008F1D18" w:rsidRPr="008F1D18" w:rsidRDefault="008F1D18" w:rsidP="008F1D18">
      <w:pPr>
        <w:tabs>
          <w:tab w:val="left" w:pos="709"/>
        </w:tabs>
        <w:jc w:val="both"/>
        <w:rPr>
          <w:u w:val="single"/>
          <w:lang w:eastAsia="ko-KR"/>
        </w:rPr>
      </w:pPr>
      <w:r w:rsidRPr="008F1D18">
        <w:rPr>
          <w:lang w:eastAsia="ko-KR"/>
        </w:rPr>
        <w:t>B.</w:t>
      </w:r>
      <w:r>
        <w:rPr>
          <w:lang w:eastAsia="ko-KR"/>
        </w:rPr>
        <w:tab/>
      </w:r>
      <w:r w:rsidRPr="008F1D18">
        <w:rPr>
          <w:u w:val="single"/>
          <w:lang w:eastAsia="ko-KR"/>
        </w:rPr>
        <w:t>Budget Utilization 2012/13</w:t>
      </w:r>
    </w:p>
    <w:p w:rsidR="008F1D18" w:rsidRPr="008F1D18" w:rsidRDefault="008F1D18" w:rsidP="008F1D18">
      <w:pPr>
        <w:tabs>
          <w:tab w:val="left" w:pos="709"/>
        </w:tabs>
        <w:jc w:val="both"/>
      </w:pPr>
    </w:p>
    <w:p w:rsidR="008F1D18" w:rsidRPr="008F1D18" w:rsidRDefault="008F1D18" w:rsidP="008F1D18">
      <w:pPr>
        <w:tabs>
          <w:tab w:val="left" w:pos="709"/>
        </w:tabs>
        <w:jc w:val="both"/>
      </w:pPr>
      <w:r w:rsidRPr="008F1D18">
        <w:t>24.17.</w:t>
      </w:r>
      <w:r>
        <w:tab/>
      </w:r>
      <w:r w:rsidRPr="008F1D18">
        <w:t xml:space="preserve">The budget utilization (non-personnel resources) amounted to 91 per cent primarily due to cost savings resulting from tenders carried out notably through cooperation with other international organizations, savings on energy consumption (energy and water) and the termination of the rental of two off-site storage areas. </w:t>
      </w:r>
    </w:p>
    <w:p w:rsidR="0028218A" w:rsidRPr="00C74BDF" w:rsidRDefault="0028218A" w:rsidP="008F1D18">
      <w:pPr>
        <w:rPr>
          <w:rFonts w:cs="Arial"/>
          <w:szCs w:val="20"/>
        </w:rPr>
      </w:pPr>
    </w:p>
    <w:p w:rsidR="006B07F6" w:rsidRDefault="006B07F6">
      <w:pPr>
        <w:rPr>
          <w:rFonts w:eastAsia="SimSun"/>
          <w:color w:val="000000"/>
          <w:szCs w:val="20"/>
          <w:lang w:eastAsia="zh-CN"/>
        </w:rPr>
      </w:pPr>
      <w:r>
        <w:rPr>
          <w:rFonts w:eastAsia="SimSun"/>
          <w:color w:val="000000"/>
          <w:szCs w:val="20"/>
          <w:lang w:eastAsia="zh-CN"/>
        </w:rPr>
        <w:br w:type="page"/>
      </w:r>
    </w:p>
    <w:p w:rsidR="009D5A2C" w:rsidRPr="006F08EA" w:rsidRDefault="006F08EA" w:rsidP="006F08EA">
      <w:pPr>
        <w:pStyle w:val="Heading3"/>
      </w:pPr>
      <w:bookmarkStart w:id="66" w:name="_Toc393956076"/>
      <w:r w:rsidRPr="0078145B">
        <w:lastRenderedPageBreak/>
        <w:t>Program 25</w:t>
      </w:r>
      <w:r w:rsidRPr="0078145B">
        <w:tab/>
        <w:t>Information and Communication Technology</w:t>
      </w:r>
      <w:bookmarkEnd w:id="66"/>
    </w:p>
    <w:p w:rsidR="0078145B" w:rsidRDefault="0078145B"/>
    <w:p w:rsidR="0078145B" w:rsidRPr="0048768E" w:rsidRDefault="0078145B" w:rsidP="0078145B">
      <w:pPr>
        <w:ind w:left="2268" w:hanging="2268"/>
        <w:rPr>
          <w:rFonts w:cs="Arial"/>
          <w:b/>
          <w:color w:val="000000" w:themeColor="text1"/>
          <w:sz w:val="22"/>
          <w:szCs w:val="22"/>
        </w:rPr>
      </w:pPr>
      <w:r w:rsidRPr="0048768E">
        <w:rPr>
          <w:rFonts w:cs="Arial"/>
          <w:b/>
          <w:color w:val="000000" w:themeColor="text1"/>
          <w:sz w:val="22"/>
          <w:szCs w:val="22"/>
        </w:rPr>
        <w:t>Program Manager</w:t>
      </w:r>
      <w:r w:rsidRPr="0048768E">
        <w:rPr>
          <w:rFonts w:cs="Arial"/>
          <w:b/>
          <w:color w:val="000000" w:themeColor="text1"/>
          <w:sz w:val="22"/>
          <w:szCs w:val="22"/>
        </w:rPr>
        <w:tab/>
      </w:r>
      <w:r w:rsidRPr="0048768E">
        <w:rPr>
          <w:rFonts w:cs="Arial"/>
          <w:b/>
          <w:color w:val="000000" w:themeColor="text1"/>
          <w:sz w:val="22"/>
          <w:szCs w:val="22"/>
        </w:rPr>
        <w:tab/>
      </w:r>
      <w:r w:rsidRPr="0048768E">
        <w:rPr>
          <w:rFonts w:cs="Arial"/>
          <w:b/>
          <w:bCs/>
          <w:color w:val="000000" w:themeColor="text1"/>
          <w:sz w:val="22"/>
          <w:szCs w:val="22"/>
        </w:rPr>
        <w:t>Mr. A. Sundaram</w:t>
      </w:r>
    </w:p>
    <w:p w:rsidR="0078145B" w:rsidRDefault="0078145B" w:rsidP="0078145B">
      <w:pPr>
        <w:rPr>
          <w:rFonts w:cs="Arial"/>
          <w:bCs/>
          <w:color w:val="000000" w:themeColor="text1"/>
          <w:sz w:val="22"/>
          <w:szCs w:val="22"/>
        </w:rPr>
      </w:pPr>
    </w:p>
    <w:p w:rsidR="0078145B" w:rsidRPr="0048768E" w:rsidRDefault="0078145B" w:rsidP="0078145B">
      <w:pPr>
        <w:rPr>
          <w:rFonts w:cs="Arial"/>
          <w:bCs/>
          <w:color w:val="000000" w:themeColor="text1"/>
          <w:sz w:val="22"/>
          <w:szCs w:val="22"/>
        </w:rPr>
      </w:pPr>
    </w:p>
    <w:p w:rsidR="0078145B" w:rsidRPr="0048768E" w:rsidRDefault="0078145B" w:rsidP="0078145B">
      <w:pPr>
        <w:rPr>
          <w:rFonts w:cs="Arial"/>
          <w:color w:val="000000" w:themeColor="text1"/>
          <w:sz w:val="22"/>
          <w:szCs w:val="22"/>
        </w:rPr>
      </w:pPr>
      <w:r w:rsidRPr="0048768E">
        <w:rPr>
          <w:rFonts w:cs="Arial"/>
          <w:bCs/>
          <w:color w:val="000000" w:themeColor="text1"/>
          <w:sz w:val="22"/>
          <w:szCs w:val="22"/>
        </w:rPr>
        <w:t>ACHIEVEMENTS IN THE 2012/13 BIENNIUM</w:t>
      </w:r>
    </w:p>
    <w:p w:rsidR="0078145B" w:rsidRPr="0048768E" w:rsidRDefault="0078145B" w:rsidP="0078145B">
      <w:pPr>
        <w:jc w:val="both"/>
        <w:rPr>
          <w:rFonts w:cs="Arial"/>
          <w:color w:val="000000" w:themeColor="text1"/>
          <w:szCs w:val="20"/>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 xml:space="preserve">During the reporting period, strong progress was made under the guidance of a renewed ICT Board chaired by the Director General on the development of a client-oriented ICT environment that is capable of providing a consolidated user experience with a more accessible, interoperable and compatible environment, both within WIPO and for its external stakeholders. </w:t>
      </w:r>
    </w:p>
    <w:p w:rsidR="0078145B" w:rsidRPr="007B1B92" w:rsidRDefault="0078145B" w:rsidP="0078145B">
      <w:pPr>
        <w:autoSpaceDE w:val="0"/>
        <w:autoSpaceDN w:val="0"/>
        <w:jc w:val="both"/>
        <w:rPr>
          <w:rFonts w:cs="Arial"/>
          <w:color w:val="000000" w:themeColor="text1"/>
          <w:szCs w:val="20"/>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 xml:space="preserve">Significant progress was made to cost effectively strengthen business continuity capability by redesigning ICT infrastructure architecture and strategically outsourcing the infrastructure operations. </w:t>
      </w:r>
      <w:r w:rsidR="00B56C75">
        <w:rPr>
          <w:rFonts w:cs="Arial"/>
          <w:color w:val="000000" w:themeColor="text1"/>
          <w:szCs w:val="20"/>
        </w:rPr>
        <w:t xml:space="preserve"> </w:t>
      </w:r>
      <w:r w:rsidRPr="007B1B92">
        <w:rPr>
          <w:rFonts w:cs="Arial"/>
          <w:color w:val="000000" w:themeColor="text1"/>
          <w:szCs w:val="20"/>
        </w:rPr>
        <w:t xml:space="preserve">The re-architecture of infrastructure and the switching of service management to an outsourcing model proved to be resource intensive during the transitional period. </w:t>
      </w:r>
    </w:p>
    <w:p w:rsidR="0078145B" w:rsidRPr="007B1B92" w:rsidRDefault="0078145B" w:rsidP="0078145B">
      <w:pPr>
        <w:pStyle w:val="ListParagraph"/>
        <w:jc w:val="both"/>
        <w:rPr>
          <w:rFonts w:cs="Arial"/>
          <w:color w:val="000000" w:themeColor="text1"/>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 xml:space="preserve">In keeping up with the increasing organizational reliance on ICT, practices in managing information risks matured rapidly. </w:t>
      </w:r>
      <w:r w:rsidR="00B56C75">
        <w:rPr>
          <w:rFonts w:cs="Arial"/>
          <w:color w:val="000000" w:themeColor="text1"/>
          <w:szCs w:val="20"/>
        </w:rPr>
        <w:t xml:space="preserve"> </w:t>
      </w:r>
      <w:r w:rsidRPr="007B1B92">
        <w:rPr>
          <w:rFonts w:cs="Arial"/>
          <w:color w:val="000000" w:themeColor="text1"/>
          <w:szCs w:val="20"/>
        </w:rPr>
        <w:t>In particular, WIPO achieved certification against the ISO 27001 standard for information security management covering the PCT application and data handling processes and systems.</w:t>
      </w:r>
    </w:p>
    <w:p w:rsidR="0078145B" w:rsidRPr="007B1B92" w:rsidRDefault="0078145B" w:rsidP="0078145B">
      <w:pPr>
        <w:pStyle w:val="ListParagraph"/>
        <w:jc w:val="both"/>
        <w:rPr>
          <w:rFonts w:cs="Arial"/>
          <w:color w:val="000000" w:themeColor="text1"/>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 xml:space="preserve">As part of the ISO certification process, information risk assessment was carried out together with full reviews and updates of all WIPO Information Security Policies. </w:t>
      </w:r>
      <w:r w:rsidR="00B56C75">
        <w:rPr>
          <w:rFonts w:cs="Arial"/>
          <w:color w:val="000000" w:themeColor="text1"/>
          <w:szCs w:val="20"/>
        </w:rPr>
        <w:t xml:space="preserve"> </w:t>
      </w:r>
      <w:r w:rsidRPr="007B1B92">
        <w:rPr>
          <w:rFonts w:cs="Arial"/>
          <w:color w:val="000000" w:themeColor="text1"/>
          <w:szCs w:val="20"/>
        </w:rPr>
        <w:t>Information security awareness campaigns were also intensified resulting in more than 30 per cent of all WIPO staff voluntarily taking the on-line pilot course.</w:t>
      </w:r>
    </w:p>
    <w:p w:rsidR="0078145B" w:rsidRPr="007B1B92" w:rsidRDefault="0078145B" w:rsidP="0078145B">
      <w:pPr>
        <w:jc w:val="both"/>
        <w:rPr>
          <w:rFonts w:cs="Arial"/>
          <w:color w:val="000000" w:themeColor="text1"/>
          <w:szCs w:val="20"/>
        </w:rPr>
      </w:pPr>
    </w:p>
    <w:p w:rsidR="0078145B" w:rsidRPr="007B1B92" w:rsidRDefault="0078145B" w:rsidP="007B2B25">
      <w:pPr>
        <w:numPr>
          <w:ilvl w:val="0"/>
          <w:numId w:val="77"/>
        </w:numPr>
        <w:jc w:val="both"/>
        <w:rPr>
          <w:rFonts w:cs="Arial"/>
          <w:color w:val="000000" w:themeColor="text1"/>
          <w:szCs w:val="20"/>
        </w:rPr>
      </w:pPr>
      <w:r w:rsidRPr="007B1B92">
        <w:rPr>
          <w:rFonts w:cs="Arial"/>
          <w:color w:val="000000" w:themeColor="text1"/>
          <w:szCs w:val="20"/>
        </w:rPr>
        <w:t>The following highlights are indicators of progress in the field of Infrastructure Services, Business Solution Services (including Internet Services), IT Service Management Service and Information Security Service:</w:t>
      </w:r>
    </w:p>
    <w:p w:rsidR="0078145B" w:rsidRPr="007B1B92" w:rsidRDefault="0078145B" w:rsidP="0078145B">
      <w:pPr>
        <w:jc w:val="both"/>
        <w:rPr>
          <w:rFonts w:cs="Arial"/>
          <w:color w:val="000000" w:themeColor="text1"/>
          <w:szCs w:val="20"/>
        </w:rPr>
      </w:pPr>
      <w:r w:rsidRPr="007B1B92">
        <w:rPr>
          <w:rFonts w:cs="Arial"/>
          <w:color w:val="000000" w:themeColor="text1"/>
          <w:szCs w:val="20"/>
        </w:rPr>
        <w:t> </w:t>
      </w:r>
    </w:p>
    <w:p w:rsidR="007D223F" w:rsidRDefault="0078145B" w:rsidP="007B2B25">
      <w:pPr>
        <w:pStyle w:val="Test"/>
        <w:numPr>
          <w:ilvl w:val="0"/>
          <w:numId w:val="78"/>
        </w:numPr>
        <w:tabs>
          <w:tab w:val="clear" w:pos="1324"/>
        </w:tabs>
        <w:ind w:left="1276" w:hanging="567"/>
        <w:jc w:val="both"/>
        <w:rPr>
          <w:color w:val="000000" w:themeColor="text1"/>
          <w:sz w:val="20"/>
          <w:szCs w:val="20"/>
        </w:rPr>
      </w:pPr>
      <w:r w:rsidRPr="007B1B92">
        <w:rPr>
          <w:color w:val="000000" w:themeColor="text1"/>
          <w:sz w:val="20"/>
          <w:szCs w:val="20"/>
        </w:rPr>
        <w:t>The Organization-wide deployment of the new internal data network architecture was completed in 2012, providing reinforced network security controls and the effective handling of multimedia (voice, video and data) traffic.</w:t>
      </w:r>
    </w:p>
    <w:p w:rsidR="007D223F" w:rsidRDefault="007D223F" w:rsidP="006B2753">
      <w:pPr>
        <w:pStyle w:val="Test"/>
        <w:numPr>
          <w:ilvl w:val="0"/>
          <w:numId w:val="0"/>
        </w:numPr>
        <w:ind w:left="1276"/>
        <w:jc w:val="both"/>
        <w:rPr>
          <w:color w:val="000000" w:themeColor="text1"/>
          <w:sz w:val="20"/>
          <w:szCs w:val="20"/>
        </w:rPr>
      </w:pPr>
    </w:p>
    <w:p w:rsidR="0078145B" w:rsidRPr="007B1B92" w:rsidRDefault="0078145B" w:rsidP="007B2B25">
      <w:pPr>
        <w:pStyle w:val="Test"/>
        <w:numPr>
          <w:ilvl w:val="0"/>
          <w:numId w:val="78"/>
        </w:numPr>
        <w:tabs>
          <w:tab w:val="clear" w:pos="1324"/>
        </w:tabs>
        <w:ind w:left="1276" w:hanging="567"/>
        <w:jc w:val="both"/>
        <w:rPr>
          <w:color w:val="000000" w:themeColor="text1"/>
          <w:sz w:val="20"/>
          <w:szCs w:val="20"/>
        </w:rPr>
      </w:pPr>
      <w:r w:rsidRPr="007B1B92">
        <w:rPr>
          <w:color w:val="000000" w:themeColor="text1"/>
          <w:sz w:val="20"/>
          <w:szCs w:val="20"/>
        </w:rPr>
        <w:t xml:space="preserve">A number of technology refreshments and enhancements were undertaken. </w:t>
      </w:r>
      <w:r w:rsidR="00B56C75">
        <w:rPr>
          <w:color w:val="000000" w:themeColor="text1"/>
          <w:sz w:val="20"/>
          <w:szCs w:val="20"/>
        </w:rPr>
        <w:t xml:space="preserve"> </w:t>
      </w:r>
      <w:r w:rsidRPr="007B1B92">
        <w:rPr>
          <w:color w:val="000000" w:themeColor="text1"/>
          <w:sz w:val="20"/>
          <w:szCs w:val="20"/>
        </w:rPr>
        <w:t>These included:</w:t>
      </w:r>
    </w:p>
    <w:p w:rsidR="0078145B" w:rsidRPr="007B1B92" w:rsidRDefault="0078145B" w:rsidP="0078145B">
      <w:pPr>
        <w:pStyle w:val="Test"/>
        <w:numPr>
          <w:ilvl w:val="0"/>
          <w:numId w:val="0"/>
        </w:numPr>
        <w:tabs>
          <w:tab w:val="num" w:pos="1276"/>
        </w:tabs>
        <w:ind w:left="1276"/>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 xml:space="preserve">The deployment of a new IP Telephony system for replacing the obsolete Nortel Telephone exchange, eliminating operational risks related to the use of obsolete technologies. </w:t>
      </w:r>
      <w:r w:rsidR="00B56C75">
        <w:rPr>
          <w:color w:val="000000" w:themeColor="text1"/>
          <w:sz w:val="20"/>
          <w:szCs w:val="20"/>
        </w:rPr>
        <w:t xml:space="preserve"> </w:t>
      </w:r>
      <w:r w:rsidRPr="007B1B92">
        <w:rPr>
          <w:color w:val="000000" w:themeColor="text1"/>
          <w:sz w:val="20"/>
          <w:szCs w:val="20"/>
        </w:rPr>
        <w:t>It also enhanced service availability and reduced operational costs by avoiding the need for maintaining a separate telephony network while enabling new services such as integrated video and telephony services with the desktop computer environment;</w:t>
      </w:r>
    </w:p>
    <w:p w:rsidR="0078145B" w:rsidRPr="007B1B92" w:rsidRDefault="0078145B" w:rsidP="00261FAA">
      <w:pPr>
        <w:pStyle w:val="Test"/>
        <w:numPr>
          <w:ilvl w:val="0"/>
          <w:numId w:val="0"/>
        </w:numPr>
        <w:tabs>
          <w:tab w:val="num" w:pos="1560"/>
        </w:tabs>
        <w:ind w:left="1560"/>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The upgrade of office productivity systems to industry-standard platforms, including the replacement of obsolete laptops and desktop workstations, and outdated office software, which was hindering the effective implementation of the Organization’s work with external entities;</w:t>
      </w:r>
    </w:p>
    <w:p w:rsidR="0078145B" w:rsidRPr="007B1B92" w:rsidRDefault="0078145B" w:rsidP="00261FAA">
      <w:pPr>
        <w:pStyle w:val="Test"/>
        <w:numPr>
          <w:ilvl w:val="0"/>
          <w:numId w:val="0"/>
        </w:numPr>
        <w:tabs>
          <w:tab w:val="num" w:pos="1560"/>
        </w:tabs>
        <w:ind w:left="1560"/>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 xml:space="preserve">The upgrade of PeopleSoft in preparation for the implementation of additional </w:t>
      </w:r>
      <w:r w:rsidR="002C4DAD">
        <w:rPr>
          <w:color w:val="000000" w:themeColor="text1"/>
          <w:sz w:val="20"/>
          <w:szCs w:val="20"/>
        </w:rPr>
        <w:t xml:space="preserve">projects under the </w:t>
      </w:r>
      <w:r w:rsidRPr="007B1B92">
        <w:rPr>
          <w:color w:val="000000" w:themeColor="text1"/>
          <w:sz w:val="20"/>
          <w:szCs w:val="20"/>
        </w:rPr>
        <w:t xml:space="preserve">ERP portfolio. </w:t>
      </w:r>
      <w:r w:rsidR="00B56C75">
        <w:rPr>
          <w:color w:val="000000" w:themeColor="text1"/>
          <w:sz w:val="20"/>
          <w:szCs w:val="20"/>
        </w:rPr>
        <w:t xml:space="preserve"> </w:t>
      </w:r>
      <w:r w:rsidRPr="007B1B92">
        <w:rPr>
          <w:color w:val="000000" w:themeColor="text1"/>
          <w:sz w:val="20"/>
          <w:szCs w:val="20"/>
        </w:rPr>
        <w:t>This made adequate vendor support possible and enabled new features and function</w:t>
      </w:r>
      <w:r w:rsidR="002C4DAD">
        <w:rPr>
          <w:color w:val="000000" w:themeColor="text1"/>
          <w:sz w:val="20"/>
          <w:szCs w:val="20"/>
        </w:rPr>
        <w:t xml:space="preserve">alities to </w:t>
      </w:r>
      <w:r w:rsidRPr="007B1B92">
        <w:rPr>
          <w:color w:val="000000" w:themeColor="text1"/>
          <w:sz w:val="20"/>
          <w:szCs w:val="20"/>
        </w:rPr>
        <w:t>users;</w:t>
      </w:r>
    </w:p>
    <w:p w:rsidR="0078145B" w:rsidRPr="007B1B92" w:rsidRDefault="0078145B" w:rsidP="00261FAA">
      <w:pPr>
        <w:pStyle w:val="Test"/>
        <w:numPr>
          <w:ilvl w:val="0"/>
          <w:numId w:val="0"/>
        </w:numPr>
        <w:tabs>
          <w:tab w:val="num" w:pos="1560"/>
        </w:tabs>
        <w:ind w:left="1560"/>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 xml:space="preserve">Development of a Web single sign-on (SSO) platform, allowing a more secure and efficient use of the new PeopleSoft and Oracle Hyperion </w:t>
      </w:r>
      <w:r w:rsidR="002C4DAD">
        <w:rPr>
          <w:color w:val="000000" w:themeColor="text1"/>
          <w:sz w:val="20"/>
          <w:szCs w:val="20"/>
        </w:rPr>
        <w:t>EPM</w:t>
      </w:r>
      <w:r w:rsidRPr="007B1B92">
        <w:rPr>
          <w:color w:val="000000" w:themeColor="text1"/>
          <w:sz w:val="20"/>
          <w:szCs w:val="20"/>
        </w:rPr>
        <w:t xml:space="preserve"> modules within the ERP portfolio;</w:t>
      </w:r>
    </w:p>
    <w:p w:rsidR="0078145B" w:rsidRPr="007B1B92" w:rsidRDefault="0078145B" w:rsidP="00261FAA">
      <w:pPr>
        <w:pStyle w:val="ListParagraph"/>
        <w:tabs>
          <w:tab w:val="num" w:pos="1560"/>
        </w:tabs>
        <w:ind w:left="1560" w:hanging="284"/>
        <w:jc w:val="both"/>
        <w:rPr>
          <w:color w:val="000000" w:themeColor="text1"/>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Organizational resilience against external attacks, by adopting the Content Delivery Network and the deployment of enhanced technological controls;</w:t>
      </w:r>
    </w:p>
    <w:p w:rsidR="0078145B" w:rsidRPr="007B1B92" w:rsidRDefault="0078145B" w:rsidP="0078145B">
      <w:pPr>
        <w:pStyle w:val="Test"/>
        <w:numPr>
          <w:ilvl w:val="0"/>
          <w:numId w:val="0"/>
        </w:numPr>
        <w:tabs>
          <w:tab w:val="num" w:pos="1276"/>
        </w:tabs>
        <w:ind w:left="1276"/>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lastRenderedPageBreak/>
        <w:t xml:space="preserve">Enhancements of a number of administrative applications resulting in increased efficiency of administrative processes. </w:t>
      </w:r>
      <w:r w:rsidR="00B56C75">
        <w:rPr>
          <w:color w:val="000000" w:themeColor="text1"/>
          <w:sz w:val="20"/>
          <w:szCs w:val="20"/>
        </w:rPr>
        <w:t xml:space="preserve"> </w:t>
      </w:r>
      <w:r w:rsidRPr="007B1B92">
        <w:rPr>
          <w:color w:val="000000" w:themeColor="text1"/>
          <w:sz w:val="20"/>
          <w:szCs w:val="20"/>
        </w:rPr>
        <w:t xml:space="preserve">These include the full integration of non-staff travel requests and invoicing process within the electronic Travel Authorization, improvements in user experience in AIMS and the payment gateway, </w:t>
      </w:r>
      <w:r w:rsidR="002C4DAD">
        <w:rPr>
          <w:color w:val="000000" w:themeColor="text1"/>
          <w:sz w:val="20"/>
          <w:szCs w:val="20"/>
        </w:rPr>
        <w:t xml:space="preserve">and </w:t>
      </w:r>
      <w:r w:rsidRPr="007B1B92">
        <w:rPr>
          <w:color w:val="000000" w:themeColor="text1"/>
          <w:sz w:val="20"/>
          <w:szCs w:val="20"/>
        </w:rPr>
        <w:t>enhancements to the Performance Management and Staff Development System.</w:t>
      </w:r>
    </w:p>
    <w:p w:rsidR="0078145B" w:rsidRPr="007B1B92" w:rsidRDefault="0078145B" w:rsidP="0078145B">
      <w:pPr>
        <w:pStyle w:val="Test"/>
        <w:numPr>
          <w:ilvl w:val="0"/>
          <w:numId w:val="0"/>
        </w:numPr>
        <w:tabs>
          <w:tab w:val="num" w:pos="1276"/>
        </w:tabs>
        <w:ind w:left="1276"/>
        <w:jc w:val="both"/>
        <w:rPr>
          <w:color w:val="000000" w:themeColor="text1"/>
          <w:sz w:val="20"/>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 xml:space="preserve">In response to Member States requests, 40 WIPO meetings (18 in 2012 and 22 in 2013), as well as the Beijing and Marrakesh Diplomatic Conferences, were broadcast live over the Internet (via webcasting). </w:t>
      </w:r>
      <w:r w:rsidR="00B56C75">
        <w:rPr>
          <w:color w:val="000000" w:themeColor="text1"/>
          <w:sz w:val="20"/>
          <w:szCs w:val="20"/>
        </w:rPr>
        <w:t xml:space="preserve"> </w:t>
      </w:r>
      <w:r w:rsidRPr="007B1B92">
        <w:rPr>
          <w:color w:val="000000" w:themeColor="text1"/>
          <w:sz w:val="20"/>
          <w:szCs w:val="20"/>
        </w:rPr>
        <w:t xml:space="preserve">The recorded video sessions were also made available through the WIPO Web site in the form of “video-on-demand”. </w:t>
      </w:r>
      <w:r w:rsidR="00B56C75">
        <w:rPr>
          <w:color w:val="000000" w:themeColor="text1"/>
          <w:sz w:val="20"/>
          <w:szCs w:val="20"/>
        </w:rPr>
        <w:t xml:space="preserve"> </w:t>
      </w:r>
      <w:r w:rsidRPr="007B1B92">
        <w:rPr>
          <w:color w:val="000000" w:themeColor="text1"/>
          <w:sz w:val="20"/>
          <w:szCs w:val="20"/>
        </w:rPr>
        <w:t>Essential technical coordination was also provided in support of the two Diplomatic Conferences.</w:t>
      </w:r>
    </w:p>
    <w:p w:rsidR="0078145B" w:rsidRPr="007B1B92" w:rsidRDefault="0078145B" w:rsidP="0078145B">
      <w:pPr>
        <w:pStyle w:val="Test"/>
        <w:numPr>
          <w:ilvl w:val="0"/>
          <w:numId w:val="0"/>
        </w:numPr>
        <w:ind w:left="1276"/>
        <w:jc w:val="both"/>
        <w:rPr>
          <w:color w:val="000000" w:themeColor="text1"/>
          <w:sz w:val="20"/>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 xml:space="preserve">ICT-related preparatory work continued for the New Conference Hall, primarily focusing on technology selection, procurement and contract negotiations. </w:t>
      </w:r>
      <w:r w:rsidR="00B56C75">
        <w:rPr>
          <w:color w:val="000000" w:themeColor="text1"/>
          <w:sz w:val="20"/>
          <w:szCs w:val="20"/>
        </w:rPr>
        <w:t xml:space="preserve"> </w:t>
      </w:r>
      <w:r w:rsidRPr="007B1B92">
        <w:rPr>
          <w:color w:val="000000" w:themeColor="text1"/>
          <w:sz w:val="20"/>
          <w:szCs w:val="20"/>
        </w:rPr>
        <w:t>Some of the technologies, such as the high capacity wireless (Wi-Fi) services, were deployed in 2013 covering Room</w:t>
      </w:r>
      <w:r w:rsidR="00B56C75">
        <w:rPr>
          <w:color w:val="000000" w:themeColor="text1"/>
          <w:sz w:val="20"/>
          <w:szCs w:val="20"/>
        </w:rPr>
        <w:t>s</w:t>
      </w:r>
      <w:r w:rsidRPr="007B1B92">
        <w:rPr>
          <w:color w:val="000000" w:themeColor="text1"/>
          <w:sz w:val="20"/>
          <w:szCs w:val="20"/>
        </w:rPr>
        <w:t xml:space="preserve"> A and B, paving the way to provide seamlessly integrated ICT services in and around the New Conference Hall.</w:t>
      </w:r>
    </w:p>
    <w:p w:rsidR="0078145B" w:rsidRPr="007B1B92" w:rsidRDefault="0078145B" w:rsidP="0078145B">
      <w:pPr>
        <w:pStyle w:val="Test"/>
        <w:numPr>
          <w:ilvl w:val="0"/>
          <w:numId w:val="0"/>
        </w:numPr>
        <w:ind w:left="1276"/>
        <w:jc w:val="both"/>
        <w:rPr>
          <w:color w:val="000000" w:themeColor="text1"/>
          <w:sz w:val="20"/>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 xml:space="preserve">Risks due to potential business impacts from localized disasters were significantly reduced with the establishment of two closely linked Data Centers, the redistribution of data storage systems, </w:t>
      </w:r>
      <w:r w:rsidR="002C4DAD">
        <w:rPr>
          <w:color w:val="000000" w:themeColor="text1"/>
          <w:sz w:val="20"/>
          <w:szCs w:val="20"/>
        </w:rPr>
        <w:t xml:space="preserve">and </w:t>
      </w:r>
      <w:r w:rsidRPr="007B1B92">
        <w:rPr>
          <w:color w:val="000000" w:themeColor="text1"/>
          <w:sz w:val="20"/>
          <w:szCs w:val="20"/>
        </w:rPr>
        <w:t xml:space="preserve">the redundant backup, server infrastructure and network architecture for the two Data Centers. </w:t>
      </w:r>
      <w:r w:rsidR="00B56C75">
        <w:rPr>
          <w:color w:val="000000" w:themeColor="text1"/>
          <w:sz w:val="20"/>
          <w:szCs w:val="20"/>
        </w:rPr>
        <w:t xml:space="preserve"> </w:t>
      </w:r>
      <w:r w:rsidRPr="007B1B92">
        <w:rPr>
          <w:color w:val="000000" w:themeColor="text1"/>
          <w:sz w:val="20"/>
          <w:szCs w:val="20"/>
        </w:rPr>
        <w:t xml:space="preserve">Additionally, 38 core ICT services were assessed and suitable measures implemented for mitigating risks and ensuring their enhanced availability. </w:t>
      </w:r>
    </w:p>
    <w:p w:rsidR="0078145B" w:rsidRPr="007B1B92" w:rsidRDefault="0078145B" w:rsidP="0078145B">
      <w:pPr>
        <w:pStyle w:val="Test"/>
        <w:numPr>
          <w:ilvl w:val="0"/>
          <w:numId w:val="0"/>
        </w:numPr>
        <w:ind w:left="1276"/>
        <w:jc w:val="both"/>
        <w:rPr>
          <w:color w:val="000000" w:themeColor="text1"/>
          <w:sz w:val="20"/>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A number of externally oriented projects, such as the Trusted Intermediary Global Accessible Resources (TIGAR), WIPO Re</w:t>
      </w:r>
      <w:proofErr w:type="gramStart"/>
      <w:r w:rsidRPr="007B1B92">
        <w:rPr>
          <w:color w:val="000000" w:themeColor="text1"/>
          <w:sz w:val="20"/>
          <w:szCs w:val="20"/>
        </w:rPr>
        <w:t>:Search</w:t>
      </w:r>
      <w:proofErr w:type="gramEnd"/>
      <w:r w:rsidRPr="007B1B92">
        <w:rPr>
          <w:color w:val="000000" w:themeColor="text1"/>
          <w:sz w:val="20"/>
          <w:szCs w:val="20"/>
        </w:rPr>
        <w:t xml:space="preserve"> Enhancements, AMC e-filing and IP Statistics Database were further progressed in close collaboration with Programs 3, 7, 16 and 18. </w:t>
      </w:r>
    </w:p>
    <w:p w:rsidR="0078145B" w:rsidRPr="007B1B92" w:rsidRDefault="0078145B" w:rsidP="0078145B">
      <w:pPr>
        <w:tabs>
          <w:tab w:val="num" w:pos="1276"/>
        </w:tabs>
        <w:autoSpaceDE w:val="0"/>
        <w:autoSpaceDN w:val="0"/>
        <w:ind w:left="1276" w:hanging="567"/>
        <w:jc w:val="both"/>
        <w:rPr>
          <w:rFonts w:cs="Arial"/>
          <w:color w:val="000000" w:themeColor="text1"/>
          <w:szCs w:val="20"/>
        </w:rPr>
      </w:pPr>
    </w:p>
    <w:p w:rsidR="0078145B" w:rsidRPr="007B1B92" w:rsidRDefault="0078145B" w:rsidP="007B2B25">
      <w:pPr>
        <w:pStyle w:val="Test"/>
        <w:numPr>
          <w:ilvl w:val="0"/>
          <w:numId w:val="78"/>
        </w:numPr>
        <w:tabs>
          <w:tab w:val="clear" w:pos="1324"/>
          <w:tab w:val="num" w:pos="1276"/>
        </w:tabs>
        <w:ind w:left="1276" w:hanging="567"/>
        <w:jc w:val="both"/>
        <w:rPr>
          <w:color w:val="000000" w:themeColor="text1"/>
          <w:sz w:val="20"/>
          <w:szCs w:val="20"/>
        </w:rPr>
      </w:pPr>
      <w:r w:rsidRPr="007B1B92">
        <w:rPr>
          <w:color w:val="000000" w:themeColor="text1"/>
          <w:sz w:val="20"/>
          <w:szCs w:val="20"/>
        </w:rPr>
        <w:t xml:space="preserve">Major </w:t>
      </w:r>
      <w:proofErr w:type="gramStart"/>
      <w:r w:rsidRPr="007B1B92">
        <w:rPr>
          <w:color w:val="000000" w:themeColor="text1"/>
          <w:sz w:val="20"/>
          <w:szCs w:val="20"/>
        </w:rPr>
        <w:t>service</w:t>
      </w:r>
      <w:proofErr w:type="gramEnd"/>
      <w:r w:rsidRPr="007B1B92">
        <w:rPr>
          <w:color w:val="000000" w:themeColor="text1"/>
          <w:sz w:val="20"/>
          <w:szCs w:val="20"/>
        </w:rPr>
        <w:t xml:space="preserve"> contracts were reviewed. </w:t>
      </w:r>
      <w:r w:rsidR="002C4DAD">
        <w:rPr>
          <w:color w:val="000000" w:themeColor="text1"/>
          <w:sz w:val="20"/>
          <w:szCs w:val="20"/>
        </w:rPr>
        <w:t xml:space="preserve"> </w:t>
      </w:r>
      <w:r w:rsidRPr="007B1B92">
        <w:rPr>
          <w:color w:val="000000" w:themeColor="text1"/>
          <w:sz w:val="20"/>
          <w:szCs w:val="20"/>
        </w:rPr>
        <w:t>These include</w:t>
      </w:r>
      <w:r w:rsidR="002C4DAD">
        <w:rPr>
          <w:color w:val="000000" w:themeColor="text1"/>
          <w:sz w:val="20"/>
          <w:szCs w:val="20"/>
        </w:rPr>
        <w:t>d</w:t>
      </w:r>
      <w:r w:rsidRPr="007B1B92">
        <w:rPr>
          <w:color w:val="000000" w:themeColor="text1"/>
          <w:sz w:val="20"/>
          <w:szCs w:val="20"/>
        </w:rPr>
        <w:t>:</w:t>
      </w:r>
    </w:p>
    <w:p w:rsidR="0078145B" w:rsidRPr="007B1B92" w:rsidRDefault="0078145B" w:rsidP="0078145B">
      <w:pPr>
        <w:pStyle w:val="ListParagraph"/>
        <w:tabs>
          <w:tab w:val="num" w:pos="1276"/>
        </w:tabs>
        <w:ind w:left="1276" w:hanging="567"/>
        <w:jc w:val="both"/>
        <w:rPr>
          <w:color w:val="000000" w:themeColor="text1"/>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The re-negotiation of the network printing services resulting in significant cost savings;</w:t>
      </w:r>
    </w:p>
    <w:p w:rsidR="0078145B" w:rsidRPr="007B1B92" w:rsidRDefault="0078145B" w:rsidP="0078145B">
      <w:pPr>
        <w:pStyle w:val="Test"/>
        <w:numPr>
          <w:ilvl w:val="0"/>
          <w:numId w:val="0"/>
        </w:numPr>
        <w:ind w:left="1560"/>
        <w:jc w:val="both"/>
        <w:rPr>
          <w:color w:val="000000" w:themeColor="text1"/>
          <w:sz w:val="20"/>
          <w:szCs w:val="20"/>
        </w:rPr>
      </w:pPr>
    </w:p>
    <w:p w:rsidR="0078145B" w:rsidRPr="007B1B92"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The re-tender for support of the PeopleSoft system as well as general purpose ICT support contracts;</w:t>
      </w:r>
    </w:p>
    <w:p w:rsidR="0078145B" w:rsidRPr="007B1B92" w:rsidRDefault="0078145B" w:rsidP="0078145B">
      <w:pPr>
        <w:pStyle w:val="Test"/>
        <w:numPr>
          <w:ilvl w:val="0"/>
          <w:numId w:val="0"/>
        </w:numPr>
        <w:ind w:left="1560"/>
        <w:jc w:val="both"/>
        <w:rPr>
          <w:color w:val="000000" w:themeColor="text1"/>
          <w:sz w:val="20"/>
          <w:szCs w:val="20"/>
        </w:rPr>
      </w:pPr>
    </w:p>
    <w:p w:rsidR="0078145B" w:rsidRPr="0078145B" w:rsidRDefault="0078145B" w:rsidP="007B2B25">
      <w:pPr>
        <w:pStyle w:val="Test"/>
        <w:numPr>
          <w:ilvl w:val="0"/>
          <w:numId w:val="79"/>
        </w:numPr>
        <w:tabs>
          <w:tab w:val="clear" w:pos="1324"/>
          <w:tab w:val="num" w:pos="1560"/>
        </w:tabs>
        <w:ind w:left="1560" w:hanging="284"/>
        <w:jc w:val="both"/>
        <w:rPr>
          <w:color w:val="000000" w:themeColor="text1"/>
          <w:sz w:val="20"/>
          <w:szCs w:val="20"/>
        </w:rPr>
      </w:pPr>
      <w:r w:rsidRPr="007B1B92">
        <w:rPr>
          <w:color w:val="000000" w:themeColor="text1"/>
          <w:sz w:val="20"/>
          <w:szCs w:val="20"/>
        </w:rPr>
        <w:t>The re-tender of the telecommunications contract enabling enhanced service capabilities at reduced costs.</w:t>
      </w:r>
    </w:p>
    <w:p w:rsidR="0078145B" w:rsidRPr="007B1B92" w:rsidRDefault="0078145B" w:rsidP="0078145B">
      <w:pPr>
        <w:tabs>
          <w:tab w:val="num" w:pos="0"/>
        </w:tabs>
        <w:jc w:val="both"/>
        <w:rPr>
          <w:rFonts w:cs="Arial"/>
          <w:color w:val="000000" w:themeColor="text1"/>
          <w:sz w:val="22"/>
          <w:szCs w:val="22"/>
        </w:rPr>
      </w:pPr>
    </w:p>
    <w:p w:rsidR="0078145B" w:rsidRPr="0048768E" w:rsidRDefault="0078145B" w:rsidP="0078145B">
      <w:pPr>
        <w:rPr>
          <w:rFonts w:cs="Arial"/>
          <w:color w:val="000000" w:themeColor="text1"/>
          <w:sz w:val="22"/>
          <w:szCs w:val="22"/>
        </w:rPr>
      </w:pPr>
      <w:r w:rsidRPr="0048768E">
        <w:rPr>
          <w:rFonts w:cs="Arial"/>
          <w:color w:val="000000" w:themeColor="text1"/>
          <w:sz w:val="22"/>
          <w:szCs w:val="22"/>
        </w:rPr>
        <w:t>PERFORMANCE DATA</w:t>
      </w:r>
    </w:p>
    <w:p w:rsidR="0078145B" w:rsidRPr="0048768E" w:rsidRDefault="0078145B" w:rsidP="0078145B">
      <w:pPr>
        <w:rPr>
          <w:rFonts w:cs="Arial"/>
          <w:b/>
          <w:color w:val="000000" w:themeColor="text1"/>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49"/>
        <w:gridCol w:w="1710"/>
        <w:gridCol w:w="1694"/>
        <w:gridCol w:w="3028"/>
        <w:gridCol w:w="1276"/>
      </w:tblGrid>
      <w:tr w:rsidR="0078145B" w:rsidRPr="007B1B92" w:rsidTr="005228A5">
        <w:trPr>
          <w:cantSplit/>
        </w:trPr>
        <w:tc>
          <w:tcPr>
            <w:tcW w:w="5000" w:type="pct"/>
            <w:gridSpan w:val="5"/>
            <w:tcBorders>
              <w:top w:val="single" w:sz="4" w:space="0" w:color="auto"/>
              <w:bottom w:val="single" w:sz="4" w:space="0" w:color="auto"/>
            </w:tcBorders>
            <w:shd w:val="clear" w:color="auto" w:fill="CCFFFF"/>
            <w:vAlign w:val="center"/>
          </w:tcPr>
          <w:p w:rsidR="0078145B" w:rsidRPr="007B1B92" w:rsidRDefault="0078145B" w:rsidP="005228A5">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t>Expected Result:</w:t>
            </w:r>
            <w:r w:rsidRPr="007B1B92">
              <w:rPr>
                <w:rFonts w:cs="Arial"/>
                <w:b/>
                <w:bCs/>
                <w:color w:val="000000" w:themeColor="text1"/>
                <w:sz w:val="16"/>
                <w:szCs w:val="16"/>
              </w:rPr>
              <w:tab/>
            </w:r>
            <w:r w:rsidRPr="007B1B92">
              <w:rPr>
                <w:rFonts w:cs="Arial"/>
                <w:color w:val="000000" w:themeColor="text1"/>
                <w:sz w:val="16"/>
                <w:szCs w:val="16"/>
              </w:rPr>
              <w:t>ICT investments are closely aligned with strategic priorities and yield business benefits</w:t>
            </w:r>
          </w:p>
        </w:tc>
      </w:tr>
      <w:tr w:rsidR="0078145B" w:rsidRPr="007B1B92" w:rsidTr="005228A5">
        <w:trPr>
          <w:cantSplit/>
        </w:trPr>
        <w:tc>
          <w:tcPr>
            <w:tcW w:w="881" w:type="pct"/>
            <w:tcBorders>
              <w:top w:val="single" w:sz="4" w:space="0" w:color="auto"/>
            </w:tcBorders>
            <w:shd w:val="clear" w:color="auto" w:fill="auto"/>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Indicators</w:t>
            </w:r>
          </w:p>
        </w:tc>
        <w:tc>
          <w:tcPr>
            <w:tcW w:w="914" w:type="pct"/>
            <w:tcBorders>
              <w:top w:val="single" w:sz="4" w:space="0" w:color="auto"/>
            </w:tcBorders>
            <w:shd w:val="clear" w:color="auto" w:fill="auto"/>
            <w:vAlign w:val="center"/>
          </w:tcPr>
          <w:p w:rsidR="0078145B" w:rsidRPr="007B1B92" w:rsidRDefault="0078145B" w:rsidP="005228A5">
            <w:pPr>
              <w:rPr>
                <w:rFonts w:cs="Arial"/>
                <w:b/>
                <w:bCs/>
                <w:color w:val="000000" w:themeColor="text1"/>
                <w:sz w:val="16"/>
                <w:szCs w:val="16"/>
              </w:rPr>
            </w:pPr>
            <w:r w:rsidRPr="007B1B92">
              <w:rPr>
                <w:rFonts w:cs="Arial"/>
                <w:b/>
                <w:bCs/>
                <w:sz w:val="16"/>
                <w:szCs w:val="16"/>
              </w:rPr>
              <w:t>Baselines</w:t>
            </w:r>
          </w:p>
        </w:tc>
        <w:tc>
          <w:tcPr>
            <w:tcW w:w="905" w:type="pct"/>
            <w:tcBorders>
              <w:top w:val="single" w:sz="4" w:space="0" w:color="auto"/>
            </w:tcBorders>
            <w:shd w:val="clear" w:color="auto" w:fill="auto"/>
            <w:tcMar>
              <w:top w:w="110" w:type="dxa"/>
            </w:tcMar>
            <w:vAlign w:val="center"/>
          </w:tcPr>
          <w:p w:rsidR="0078145B" w:rsidRPr="007B1B92" w:rsidRDefault="0078145B" w:rsidP="005228A5">
            <w:pPr>
              <w:rPr>
                <w:rFonts w:cs="Arial"/>
                <w:b/>
                <w:color w:val="000000" w:themeColor="text1"/>
                <w:sz w:val="16"/>
                <w:szCs w:val="16"/>
              </w:rPr>
            </w:pPr>
            <w:r w:rsidRPr="007B1B92">
              <w:rPr>
                <w:rFonts w:cs="Arial"/>
                <w:b/>
                <w:sz w:val="16"/>
                <w:szCs w:val="16"/>
              </w:rPr>
              <w:t>Targets</w:t>
            </w:r>
          </w:p>
        </w:tc>
        <w:tc>
          <w:tcPr>
            <w:tcW w:w="1618" w:type="pct"/>
            <w:tcBorders>
              <w:top w:val="single" w:sz="4" w:space="0" w:color="auto"/>
            </w:tcBorders>
            <w:shd w:val="clear" w:color="auto" w:fill="FFFFFF"/>
            <w:tcMar>
              <w:top w:w="110" w:type="dxa"/>
            </w:tcMar>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Data</w:t>
            </w:r>
          </w:p>
        </w:tc>
        <w:tc>
          <w:tcPr>
            <w:tcW w:w="682" w:type="pct"/>
            <w:tcBorders>
              <w:top w:val="single" w:sz="4" w:space="0" w:color="auto"/>
            </w:tcBorders>
            <w:shd w:val="clear" w:color="auto" w:fill="auto"/>
            <w:tcMar>
              <w:top w:w="110" w:type="dxa"/>
            </w:tcMar>
            <w:vAlign w:val="center"/>
          </w:tcPr>
          <w:p w:rsidR="0078145B" w:rsidRPr="007B1B92" w:rsidRDefault="0078145B" w:rsidP="005228A5">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78145B" w:rsidRPr="007B1B92" w:rsidTr="005228A5">
        <w:trPr>
          <w:cantSplit/>
        </w:trPr>
        <w:tc>
          <w:tcPr>
            <w:tcW w:w="881" w:type="pct"/>
            <w:shd w:val="clear" w:color="auto" w:fill="auto"/>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 of projects having benefit realization assessed post project implementation</w:t>
            </w:r>
          </w:p>
        </w:tc>
        <w:tc>
          <w:tcPr>
            <w:tcW w:w="914" w:type="pct"/>
            <w:shd w:val="clear" w:color="auto" w:fill="auto"/>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 xml:space="preserve">0 </w:t>
            </w:r>
          </w:p>
        </w:tc>
        <w:tc>
          <w:tcPr>
            <w:tcW w:w="905" w:type="pct"/>
            <w:shd w:val="clear" w:color="auto" w:fill="auto"/>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20%</w:t>
            </w: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lang w:bidi="th-TH"/>
              </w:rPr>
              <w:t xml:space="preserve">Out of 16 projects initiated after </w:t>
            </w:r>
            <w:r w:rsidRPr="007B1B92">
              <w:rPr>
                <w:rFonts w:cs="Arial"/>
                <w:color w:val="000000" w:themeColor="text1"/>
                <w:sz w:val="16"/>
                <w:szCs w:val="16"/>
                <w:lang w:bidi="th-TH"/>
              </w:rPr>
              <w:br/>
              <w:t xml:space="preserve">May 1, 2012 and formally managed by the Project Management Office (PMO) according to the customized Prince 2 processes, including a formal closure process, three </w:t>
            </w:r>
            <w:r w:rsidR="002C4DAD">
              <w:rPr>
                <w:rFonts w:cs="Arial"/>
                <w:color w:val="000000" w:themeColor="text1"/>
                <w:sz w:val="16"/>
                <w:szCs w:val="16"/>
                <w:lang w:bidi="th-TH"/>
              </w:rPr>
              <w:t xml:space="preserve">projects </w:t>
            </w:r>
            <w:r w:rsidRPr="007B1B92">
              <w:rPr>
                <w:rFonts w:cs="Arial"/>
                <w:color w:val="000000" w:themeColor="text1"/>
                <w:sz w:val="16"/>
                <w:szCs w:val="16"/>
                <w:lang w:bidi="th-TH"/>
              </w:rPr>
              <w:t xml:space="preserve">were subject to a benefit review.  </w:t>
            </w:r>
          </w:p>
        </w:tc>
        <w:tc>
          <w:tcPr>
            <w:tcW w:w="682" w:type="pct"/>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E36C0A" w:themeColor="accent6" w:themeShade="BF"/>
                <w:sz w:val="16"/>
                <w:szCs w:val="16"/>
              </w:rPr>
              <w:t>Partially</w:t>
            </w:r>
            <w:r w:rsidRPr="007B1B92">
              <w:rPr>
                <w:rFonts w:cs="Arial"/>
                <w:bCs/>
                <w:color w:val="E36C0A" w:themeColor="accent6" w:themeShade="BF"/>
                <w:sz w:val="16"/>
                <w:szCs w:val="16"/>
              </w:rPr>
              <w:br/>
              <w:t>Achieved</w:t>
            </w:r>
          </w:p>
        </w:tc>
      </w:tr>
      <w:tr w:rsidR="0078145B" w:rsidRPr="007B1B92" w:rsidTr="005228A5">
        <w:trPr>
          <w:cantSplit/>
        </w:trPr>
        <w:tc>
          <w:tcPr>
            <w:tcW w:w="881" w:type="pct"/>
            <w:tcBorders>
              <w:bottom w:val="single" w:sz="4" w:space="0" w:color="auto"/>
            </w:tcBorders>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Maturity level of ITIL implementation based upon the official self-assessment on scale 5</w:t>
            </w:r>
          </w:p>
          <w:p w:rsidR="0078145B" w:rsidRPr="007B1B92" w:rsidRDefault="0078145B" w:rsidP="0078145B">
            <w:pPr>
              <w:ind w:leftChars="-11" w:left="-22"/>
              <w:rPr>
                <w:rFonts w:cs="Arial"/>
                <w:color w:val="000000" w:themeColor="text1"/>
                <w:sz w:val="16"/>
                <w:szCs w:val="16"/>
              </w:rPr>
            </w:pPr>
          </w:p>
        </w:tc>
        <w:tc>
          <w:tcPr>
            <w:tcW w:w="914" w:type="pct"/>
            <w:tcBorders>
              <w:bottom w:val="single" w:sz="4" w:space="0" w:color="auto"/>
            </w:tcBorders>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In average two of the service support</w:t>
            </w:r>
          </w:p>
        </w:tc>
        <w:tc>
          <w:tcPr>
            <w:tcW w:w="905" w:type="pct"/>
            <w:tcBorders>
              <w:bottom w:val="single" w:sz="4" w:space="0" w:color="auto"/>
            </w:tcBorders>
            <w:shd w:val="clear" w:color="auto" w:fill="auto"/>
            <w:tcMar>
              <w:top w:w="110" w:type="dxa"/>
            </w:tcMar>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Increase by one step</w:t>
            </w:r>
          </w:p>
        </w:tc>
        <w:tc>
          <w:tcPr>
            <w:tcW w:w="1618" w:type="pct"/>
            <w:tcBorders>
              <w:bottom w:val="single" w:sz="4" w:space="0" w:color="auto"/>
            </w:tcBorders>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Maturity of incident and change management increased by one step (to three); no progress was made in problem and configuration management.</w:t>
            </w:r>
          </w:p>
        </w:tc>
        <w:tc>
          <w:tcPr>
            <w:tcW w:w="682" w:type="pct"/>
            <w:tcBorders>
              <w:bottom w:val="single" w:sz="4" w:space="0" w:color="auto"/>
            </w:tcBorders>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E36C0A" w:themeColor="accent6" w:themeShade="BF"/>
                <w:sz w:val="16"/>
                <w:szCs w:val="16"/>
              </w:rPr>
              <w:t>Partially</w:t>
            </w:r>
            <w:r w:rsidRPr="007B1B92">
              <w:rPr>
                <w:rFonts w:cs="Arial"/>
                <w:bCs/>
                <w:color w:val="E36C0A" w:themeColor="accent6" w:themeShade="BF"/>
                <w:sz w:val="16"/>
                <w:szCs w:val="16"/>
              </w:rPr>
              <w:br/>
              <w:t>Achieved</w:t>
            </w:r>
          </w:p>
        </w:tc>
      </w:tr>
      <w:tr w:rsidR="0078145B" w:rsidRPr="007B1B92" w:rsidTr="005228A5">
        <w:trPr>
          <w:cantSplit/>
        </w:trPr>
        <w:tc>
          <w:tcPr>
            <w:tcW w:w="5000" w:type="pct"/>
            <w:gridSpan w:val="5"/>
            <w:tcBorders>
              <w:top w:val="single" w:sz="4" w:space="0" w:color="auto"/>
              <w:bottom w:val="single" w:sz="4" w:space="0" w:color="auto"/>
            </w:tcBorders>
            <w:shd w:val="clear" w:color="auto" w:fill="CCFFFF"/>
            <w:vAlign w:val="center"/>
          </w:tcPr>
          <w:p w:rsidR="0078145B" w:rsidRPr="007B1B92" w:rsidRDefault="0078145B" w:rsidP="005228A5">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lastRenderedPageBreak/>
              <w:t>Expected Result:</w:t>
            </w:r>
            <w:r w:rsidRPr="007B1B92">
              <w:rPr>
                <w:rFonts w:cs="Arial"/>
                <w:b/>
                <w:bCs/>
                <w:color w:val="000000" w:themeColor="text1"/>
                <w:sz w:val="16"/>
                <w:szCs w:val="16"/>
              </w:rPr>
              <w:tab/>
            </w:r>
            <w:r w:rsidRPr="007B1B92">
              <w:rPr>
                <w:rFonts w:cs="Arial"/>
                <w:color w:val="000000" w:themeColor="text1"/>
                <w:sz w:val="16"/>
                <w:szCs w:val="16"/>
              </w:rPr>
              <w:t>Effective, efficient, quality and customer-oriented support services both to internal clients and to external stakeholders (human resources, IT, conference, language, procurement, travel, printing and publication, premises management)</w:t>
            </w:r>
          </w:p>
        </w:tc>
      </w:tr>
      <w:tr w:rsidR="0078145B" w:rsidRPr="007B1B92" w:rsidTr="005228A5">
        <w:trPr>
          <w:cantSplit/>
        </w:trPr>
        <w:tc>
          <w:tcPr>
            <w:tcW w:w="881" w:type="pct"/>
            <w:tcBorders>
              <w:top w:val="single" w:sz="4" w:space="0" w:color="auto"/>
            </w:tcBorders>
            <w:shd w:val="clear" w:color="auto" w:fill="auto"/>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Indicators</w:t>
            </w:r>
          </w:p>
        </w:tc>
        <w:tc>
          <w:tcPr>
            <w:tcW w:w="914" w:type="pct"/>
            <w:tcBorders>
              <w:top w:val="single" w:sz="4" w:space="0" w:color="auto"/>
            </w:tcBorders>
            <w:shd w:val="clear" w:color="auto" w:fill="auto"/>
            <w:vAlign w:val="center"/>
          </w:tcPr>
          <w:p w:rsidR="0078145B" w:rsidRPr="007B1B92" w:rsidRDefault="0078145B" w:rsidP="005228A5">
            <w:pPr>
              <w:rPr>
                <w:rFonts w:cs="Arial"/>
                <w:b/>
                <w:bCs/>
                <w:color w:val="000000" w:themeColor="text1"/>
                <w:sz w:val="16"/>
                <w:szCs w:val="16"/>
              </w:rPr>
            </w:pPr>
            <w:r w:rsidRPr="007B1B92">
              <w:rPr>
                <w:rFonts w:cs="Arial"/>
                <w:b/>
                <w:bCs/>
                <w:sz w:val="16"/>
                <w:szCs w:val="16"/>
              </w:rPr>
              <w:t>Baselines</w:t>
            </w:r>
          </w:p>
        </w:tc>
        <w:tc>
          <w:tcPr>
            <w:tcW w:w="905" w:type="pct"/>
            <w:tcBorders>
              <w:top w:val="single" w:sz="4" w:space="0" w:color="auto"/>
            </w:tcBorders>
            <w:shd w:val="clear" w:color="auto" w:fill="auto"/>
            <w:tcMar>
              <w:top w:w="110" w:type="dxa"/>
            </w:tcMar>
            <w:vAlign w:val="center"/>
          </w:tcPr>
          <w:p w:rsidR="0078145B" w:rsidRPr="007B1B92" w:rsidRDefault="0078145B" w:rsidP="005228A5">
            <w:pPr>
              <w:rPr>
                <w:rFonts w:cs="Arial"/>
                <w:b/>
                <w:color w:val="000000" w:themeColor="text1"/>
                <w:sz w:val="16"/>
                <w:szCs w:val="16"/>
              </w:rPr>
            </w:pPr>
            <w:r w:rsidRPr="007B1B92">
              <w:rPr>
                <w:rFonts w:cs="Arial"/>
                <w:b/>
                <w:sz w:val="16"/>
                <w:szCs w:val="16"/>
              </w:rPr>
              <w:t>Targets</w:t>
            </w:r>
          </w:p>
        </w:tc>
        <w:tc>
          <w:tcPr>
            <w:tcW w:w="1618" w:type="pct"/>
            <w:tcBorders>
              <w:top w:val="single" w:sz="4" w:space="0" w:color="auto"/>
            </w:tcBorders>
            <w:shd w:val="clear" w:color="auto" w:fill="FFFFFF"/>
            <w:tcMar>
              <w:top w:w="110" w:type="dxa"/>
            </w:tcMar>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Data</w:t>
            </w:r>
          </w:p>
        </w:tc>
        <w:tc>
          <w:tcPr>
            <w:tcW w:w="682" w:type="pct"/>
            <w:tcBorders>
              <w:top w:val="single" w:sz="4" w:space="0" w:color="auto"/>
            </w:tcBorders>
            <w:shd w:val="clear" w:color="auto" w:fill="auto"/>
            <w:tcMar>
              <w:top w:w="110" w:type="dxa"/>
            </w:tcMar>
            <w:vAlign w:val="center"/>
          </w:tcPr>
          <w:p w:rsidR="0078145B" w:rsidRPr="007B1B92" w:rsidRDefault="0078145B" w:rsidP="005228A5">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78145B" w:rsidRPr="007B1B92" w:rsidTr="005228A5">
        <w:trPr>
          <w:cantSplit/>
        </w:trPr>
        <w:tc>
          <w:tcPr>
            <w:tcW w:w="881"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Outsourcing in operation and provision of IT technical infrastructure</w:t>
            </w:r>
          </w:p>
        </w:tc>
        <w:tc>
          <w:tcPr>
            <w:tcW w:w="914"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Two hosted applications</w:t>
            </w:r>
          </w:p>
        </w:tc>
        <w:tc>
          <w:tcPr>
            <w:tcW w:w="905" w:type="pct"/>
            <w:shd w:val="clear" w:color="auto" w:fill="auto"/>
            <w:tcMar>
              <w:top w:w="110" w:type="dxa"/>
            </w:tcMar>
          </w:tcPr>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30% of the server</w:t>
            </w:r>
          </w:p>
          <w:p w:rsidR="0078145B" w:rsidRPr="007B1B92" w:rsidRDefault="0078145B" w:rsidP="0078145B">
            <w:pPr>
              <w:ind w:leftChars="14" w:left="28"/>
              <w:rPr>
                <w:rFonts w:cs="Arial"/>
                <w:color w:val="000000" w:themeColor="text1"/>
                <w:sz w:val="16"/>
                <w:szCs w:val="16"/>
              </w:rPr>
            </w:pPr>
            <w:r w:rsidRPr="007B1B92">
              <w:rPr>
                <w:rFonts w:cs="Arial"/>
                <w:color w:val="000000" w:themeColor="text1"/>
                <w:sz w:val="16"/>
                <w:szCs w:val="16"/>
              </w:rPr>
              <w:t>park hosted at ICC</w:t>
            </w:r>
            <w:r w:rsidRPr="007B1B92" w:rsidDel="0029150E">
              <w:rPr>
                <w:rFonts w:cs="Arial"/>
                <w:color w:val="000000" w:themeColor="text1"/>
                <w:sz w:val="16"/>
                <w:szCs w:val="16"/>
              </w:rPr>
              <w:t xml:space="preserve"> </w:t>
            </w: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lang w:bidi="th-TH"/>
              </w:rPr>
              <w:t>75% of the server park was hosted at the UNICC and all new servers are now provisioned through UNICC</w:t>
            </w:r>
            <w:r w:rsidR="00D9395B">
              <w:rPr>
                <w:rFonts w:cs="Arial"/>
                <w:color w:val="000000" w:themeColor="text1"/>
                <w:sz w:val="16"/>
                <w:szCs w:val="16"/>
                <w:lang w:bidi="th-TH"/>
              </w:rPr>
              <w:t>.</w:t>
            </w:r>
          </w:p>
        </w:tc>
        <w:tc>
          <w:tcPr>
            <w:tcW w:w="682" w:type="pct"/>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008000"/>
                <w:sz w:val="16"/>
                <w:szCs w:val="16"/>
              </w:rPr>
              <w:t xml:space="preserve"> Fully</w:t>
            </w:r>
            <w:r w:rsidRPr="007B1B92">
              <w:rPr>
                <w:rFonts w:cs="Arial"/>
                <w:bCs/>
                <w:color w:val="008000"/>
                <w:sz w:val="16"/>
                <w:szCs w:val="16"/>
              </w:rPr>
              <w:br/>
              <w:t>Achieved</w:t>
            </w:r>
          </w:p>
        </w:tc>
      </w:tr>
      <w:tr w:rsidR="0078145B" w:rsidRPr="007B1B92" w:rsidTr="005228A5">
        <w:trPr>
          <w:cantSplit/>
        </w:trPr>
        <w:tc>
          <w:tcPr>
            <w:tcW w:w="881"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WIPO meetings are accessible real-time over the Internet or after the event</w:t>
            </w:r>
          </w:p>
        </w:tc>
        <w:tc>
          <w:tcPr>
            <w:tcW w:w="914"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Assemblies broadcasted</w:t>
            </w:r>
          </w:p>
        </w:tc>
        <w:tc>
          <w:tcPr>
            <w:tcW w:w="905" w:type="pct"/>
            <w:shd w:val="clear" w:color="auto" w:fill="auto"/>
            <w:tcMar>
              <w:top w:w="110" w:type="dxa"/>
            </w:tcMar>
          </w:tcPr>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At least 20 meeting</w:t>
            </w:r>
          </w:p>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days broadcasted</w:t>
            </w: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lang w:bidi="th-TH"/>
              </w:rPr>
              <w:t>Some 186 (88 in 2012 and 98 in 2013) days of meetings were subject to webcasting, including the Assembly meetings and Diplomatic Conferences. A video on demand archive of the webcasted meetings is available on the WIPO web site.</w:t>
            </w:r>
          </w:p>
        </w:tc>
        <w:tc>
          <w:tcPr>
            <w:tcW w:w="682" w:type="pct"/>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008000"/>
                <w:sz w:val="16"/>
                <w:szCs w:val="16"/>
              </w:rPr>
              <w:t xml:space="preserve"> Fully</w:t>
            </w:r>
            <w:r w:rsidRPr="007B1B92">
              <w:rPr>
                <w:rFonts w:cs="Arial"/>
                <w:bCs/>
                <w:color w:val="008000"/>
                <w:sz w:val="16"/>
                <w:szCs w:val="16"/>
              </w:rPr>
              <w:br/>
              <w:t>Achieved</w:t>
            </w:r>
          </w:p>
        </w:tc>
      </w:tr>
      <w:tr w:rsidR="0078145B" w:rsidRPr="007B1B92" w:rsidTr="005228A5">
        <w:trPr>
          <w:cantSplit/>
        </w:trPr>
        <w:tc>
          <w:tcPr>
            <w:tcW w:w="881" w:type="pct"/>
            <w:tcBorders>
              <w:bottom w:val="single" w:sz="4" w:space="0" w:color="auto"/>
            </w:tcBorders>
            <w:shd w:val="clear" w:color="auto" w:fill="auto"/>
          </w:tcPr>
          <w:p w:rsidR="0078145B" w:rsidRDefault="0078145B" w:rsidP="0078145B">
            <w:pPr>
              <w:ind w:leftChars="-11" w:left="-22"/>
              <w:rPr>
                <w:rFonts w:cs="Arial"/>
                <w:color w:val="000000" w:themeColor="text1"/>
                <w:sz w:val="16"/>
                <w:szCs w:val="16"/>
              </w:rPr>
            </w:pPr>
            <w:r w:rsidRPr="007B1B92">
              <w:rPr>
                <w:rFonts w:cs="Arial"/>
                <w:color w:val="000000" w:themeColor="text1"/>
                <w:sz w:val="16"/>
                <w:szCs w:val="16"/>
              </w:rPr>
              <w:t>No. of communication channels seamlessly integrated</w:t>
            </w:r>
          </w:p>
          <w:p w:rsidR="00D9395B" w:rsidRPr="007B1B92" w:rsidRDefault="00D9395B" w:rsidP="0078145B">
            <w:pPr>
              <w:ind w:leftChars="-11" w:left="-22"/>
              <w:rPr>
                <w:rFonts w:cs="Arial"/>
                <w:color w:val="000000" w:themeColor="text1"/>
                <w:sz w:val="16"/>
                <w:szCs w:val="16"/>
              </w:rPr>
            </w:pPr>
          </w:p>
        </w:tc>
        <w:tc>
          <w:tcPr>
            <w:tcW w:w="914" w:type="pct"/>
            <w:tcBorders>
              <w:bottom w:val="single" w:sz="4" w:space="0" w:color="auto"/>
            </w:tcBorders>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e-mail, phone separated</w:t>
            </w:r>
          </w:p>
        </w:tc>
        <w:tc>
          <w:tcPr>
            <w:tcW w:w="905" w:type="pct"/>
            <w:tcBorders>
              <w:bottom w:val="single" w:sz="4" w:space="0" w:color="auto"/>
            </w:tcBorders>
            <w:shd w:val="clear" w:color="auto" w:fill="auto"/>
            <w:tcMar>
              <w:top w:w="110" w:type="dxa"/>
            </w:tcMar>
          </w:tcPr>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e-mail, phone, web</w:t>
            </w:r>
          </w:p>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conferencing, web</w:t>
            </w:r>
          </w:p>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meetings, webinars</w:t>
            </w:r>
          </w:p>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integrated</w:t>
            </w:r>
          </w:p>
          <w:p w:rsidR="0078145B" w:rsidRPr="007B1B92" w:rsidRDefault="0078145B" w:rsidP="005228A5">
            <w:pPr>
              <w:rPr>
                <w:rFonts w:cs="Arial"/>
                <w:color w:val="000000" w:themeColor="text1"/>
                <w:sz w:val="16"/>
                <w:szCs w:val="16"/>
              </w:rPr>
            </w:pPr>
          </w:p>
        </w:tc>
        <w:tc>
          <w:tcPr>
            <w:tcW w:w="1618" w:type="pct"/>
            <w:tcBorders>
              <w:bottom w:val="single" w:sz="4" w:space="0" w:color="auto"/>
            </w:tcBorders>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Successful integration of email, phone and web meetings. Integration of web conferences and webinars will be addressed in 2014/15.</w:t>
            </w:r>
            <w:r w:rsidRPr="007B1B92" w:rsidDel="009D4ADD">
              <w:rPr>
                <w:rFonts w:cs="Arial"/>
                <w:color w:val="000000" w:themeColor="text1"/>
                <w:sz w:val="16"/>
                <w:szCs w:val="16"/>
              </w:rPr>
              <w:t xml:space="preserve"> </w:t>
            </w:r>
          </w:p>
        </w:tc>
        <w:tc>
          <w:tcPr>
            <w:tcW w:w="682" w:type="pct"/>
            <w:tcBorders>
              <w:bottom w:val="single" w:sz="4" w:space="0" w:color="auto"/>
            </w:tcBorders>
            <w:shd w:val="clear" w:color="auto" w:fill="auto"/>
            <w:tcMar>
              <w:top w:w="110" w:type="dxa"/>
            </w:tcMar>
          </w:tcPr>
          <w:p w:rsidR="0078145B" w:rsidRPr="007B1B92" w:rsidRDefault="0078145B" w:rsidP="005228A5">
            <w:pPr>
              <w:keepNext/>
              <w:keepLines/>
              <w:jc w:val="center"/>
              <w:rPr>
                <w:rStyle w:val="Style5"/>
                <w:rFonts w:ascii="Arial" w:hAnsi="Arial" w:cs="Arial"/>
                <w:color w:val="000000" w:themeColor="text1"/>
                <w:sz w:val="16"/>
                <w:szCs w:val="16"/>
              </w:rPr>
            </w:pPr>
            <w:r w:rsidRPr="007B1B92">
              <w:rPr>
                <w:rFonts w:cs="Arial"/>
                <w:bCs/>
                <w:color w:val="E36C0A" w:themeColor="accent6" w:themeShade="BF"/>
                <w:sz w:val="16"/>
                <w:szCs w:val="16"/>
              </w:rPr>
              <w:t xml:space="preserve"> Partially</w:t>
            </w:r>
            <w:r w:rsidRPr="007B1B92">
              <w:rPr>
                <w:rFonts w:cs="Arial"/>
                <w:bCs/>
                <w:color w:val="E36C0A" w:themeColor="accent6" w:themeShade="BF"/>
                <w:sz w:val="16"/>
                <w:szCs w:val="16"/>
              </w:rPr>
              <w:br/>
              <w:t>Achieved</w:t>
            </w:r>
          </w:p>
          <w:p w:rsidR="0078145B" w:rsidRPr="007B1B92" w:rsidRDefault="0078145B" w:rsidP="005228A5">
            <w:pPr>
              <w:keepNext/>
              <w:keepLines/>
              <w:jc w:val="center"/>
              <w:rPr>
                <w:rFonts w:cs="Arial"/>
                <w:bCs/>
                <w:color w:val="000000" w:themeColor="text1"/>
                <w:sz w:val="16"/>
                <w:szCs w:val="16"/>
              </w:rPr>
            </w:pPr>
          </w:p>
        </w:tc>
      </w:tr>
      <w:tr w:rsidR="0078145B" w:rsidRPr="007B1B92" w:rsidTr="005228A5">
        <w:trPr>
          <w:cantSplit/>
        </w:trPr>
        <w:tc>
          <w:tcPr>
            <w:tcW w:w="5000" w:type="pct"/>
            <w:gridSpan w:val="5"/>
            <w:tcBorders>
              <w:top w:val="single" w:sz="4" w:space="0" w:color="auto"/>
              <w:bottom w:val="single" w:sz="4" w:space="0" w:color="auto"/>
            </w:tcBorders>
            <w:shd w:val="clear" w:color="auto" w:fill="CCFFFF"/>
            <w:vAlign w:val="center"/>
          </w:tcPr>
          <w:p w:rsidR="0078145B" w:rsidRPr="007B1B92" w:rsidRDefault="0078145B" w:rsidP="005228A5">
            <w:pPr>
              <w:keepNext/>
              <w:keepLines/>
              <w:tabs>
                <w:tab w:val="left" w:pos="1452"/>
              </w:tabs>
              <w:spacing w:before="120" w:after="120"/>
              <w:ind w:left="1452" w:hanging="1452"/>
              <w:rPr>
                <w:rFonts w:cs="Arial"/>
                <w:b/>
                <w:bCs/>
                <w:color w:val="000000" w:themeColor="text1"/>
                <w:sz w:val="16"/>
                <w:szCs w:val="16"/>
              </w:rPr>
            </w:pPr>
            <w:r w:rsidRPr="007B1B92">
              <w:rPr>
                <w:rFonts w:cs="Arial"/>
                <w:b/>
                <w:bCs/>
                <w:color w:val="000000" w:themeColor="text1"/>
                <w:sz w:val="16"/>
                <w:szCs w:val="16"/>
              </w:rPr>
              <w:t>Expected Result:</w:t>
            </w:r>
            <w:r w:rsidRPr="007B1B92">
              <w:rPr>
                <w:rFonts w:cs="Arial"/>
                <w:b/>
                <w:bCs/>
                <w:color w:val="000000" w:themeColor="text1"/>
                <w:sz w:val="16"/>
                <w:szCs w:val="16"/>
              </w:rPr>
              <w:tab/>
            </w:r>
            <w:r w:rsidRPr="007B1B92">
              <w:rPr>
                <w:rFonts w:cs="Arial"/>
                <w:color w:val="000000" w:themeColor="text1"/>
                <w:sz w:val="16"/>
                <w:szCs w:val="16"/>
              </w:rPr>
              <w:t>WIPO staff, delegates, visitors and information and physical assets are safe and secure</w:t>
            </w:r>
          </w:p>
        </w:tc>
      </w:tr>
      <w:tr w:rsidR="0078145B" w:rsidRPr="007B1B92" w:rsidTr="005228A5">
        <w:trPr>
          <w:cantSplit/>
        </w:trPr>
        <w:tc>
          <w:tcPr>
            <w:tcW w:w="881" w:type="pct"/>
            <w:tcBorders>
              <w:top w:val="single" w:sz="4" w:space="0" w:color="auto"/>
            </w:tcBorders>
            <w:shd w:val="clear" w:color="auto" w:fill="auto"/>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Indicators</w:t>
            </w:r>
          </w:p>
        </w:tc>
        <w:tc>
          <w:tcPr>
            <w:tcW w:w="914" w:type="pct"/>
            <w:tcBorders>
              <w:top w:val="single" w:sz="4" w:space="0" w:color="auto"/>
            </w:tcBorders>
            <w:shd w:val="clear" w:color="auto" w:fill="auto"/>
            <w:vAlign w:val="center"/>
          </w:tcPr>
          <w:p w:rsidR="0078145B" w:rsidRPr="007B1B92" w:rsidRDefault="0078145B" w:rsidP="005228A5">
            <w:pPr>
              <w:rPr>
                <w:rFonts w:cs="Arial"/>
                <w:b/>
                <w:bCs/>
                <w:color w:val="000000" w:themeColor="text1"/>
                <w:sz w:val="16"/>
                <w:szCs w:val="16"/>
              </w:rPr>
            </w:pPr>
            <w:r w:rsidRPr="007B1B92">
              <w:rPr>
                <w:rFonts w:cs="Arial"/>
                <w:b/>
                <w:bCs/>
                <w:sz w:val="16"/>
                <w:szCs w:val="16"/>
              </w:rPr>
              <w:t>Baselines</w:t>
            </w:r>
          </w:p>
        </w:tc>
        <w:tc>
          <w:tcPr>
            <w:tcW w:w="905" w:type="pct"/>
            <w:tcBorders>
              <w:top w:val="single" w:sz="4" w:space="0" w:color="auto"/>
            </w:tcBorders>
            <w:shd w:val="clear" w:color="auto" w:fill="auto"/>
            <w:tcMar>
              <w:top w:w="110" w:type="dxa"/>
            </w:tcMar>
            <w:vAlign w:val="center"/>
          </w:tcPr>
          <w:p w:rsidR="0078145B" w:rsidRPr="007B1B92" w:rsidRDefault="0078145B" w:rsidP="005228A5">
            <w:pPr>
              <w:rPr>
                <w:rFonts w:cs="Arial"/>
                <w:b/>
                <w:color w:val="000000" w:themeColor="text1"/>
                <w:sz w:val="16"/>
                <w:szCs w:val="16"/>
              </w:rPr>
            </w:pPr>
            <w:r w:rsidRPr="007B1B92">
              <w:rPr>
                <w:rFonts w:cs="Arial"/>
                <w:b/>
                <w:sz w:val="16"/>
                <w:szCs w:val="16"/>
              </w:rPr>
              <w:t>Targets</w:t>
            </w:r>
          </w:p>
        </w:tc>
        <w:tc>
          <w:tcPr>
            <w:tcW w:w="1618" w:type="pct"/>
            <w:tcBorders>
              <w:top w:val="single" w:sz="4" w:space="0" w:color="auto"/>
            </w:tcBorders>
            <w:shd w:val="clear" w:color="auto" w:fill="FFFFFF"/>
            <w:tcMar>
              <w:top w:w="110" w:type="dxa"/>
            </w:tcMar>
            <w:vAlign w:val="center"/>
          </w:tcPr>
          <w:p w:rsidR="0078145B" w:rsidRPr="007B1B92" w:rsidRDefault="0078145B" w:rsidP="005228A5">
            <w:pPr>
              <w:rPr>
                <w:rFonts w:cs="Arial"/>
                <w:color w:val="000000" w:themeColor="text1"/>
                <w:sz w:val="16"/>
                <w:szCs w:val="16"/>
              </w:rPr>
            </w:pPr>
            <w:r w:rsidRPr="007B1B92">
              <w:rPr>
                <w:rFonts w:cs="Arial"/>
                <w:b/>
                <w:bCs/>
                <w:color w:val="000000" w:themeColor="text1"/>
                <w:sz w:val="16"/>
                <w:szCs w:val="16"/>
              </w:rPr>
              <w:t>Performance Data</w:t>
            </w:r>
          </w:p>
        </w:tc>
        <w:tc>
          <w:tcPr>
            <w:tcW w:w="682" w:type="pct"/>
            <w:tcBorders>
              <w:top w:val="single" w:sz="4" w:space="0" w:color="auto"/>
            </w:tcBorders>
            <w:shd w:val="clear" w:color="auto" w:fill="auto"/>
            <w:tcMar>
              <w:top w:w="110" w:type="dxa"/>
            </w:tcMar>
            <w:vAlign w:val="center"/>
          </w:tcPr>
          <w:p w:rsidR="0078145B" w:rsidRPr="007B1B92" w:rsidRDefault="0078145B" w:rsidP="005228A5">
            <w:pPr>
              <w:keepNext/>
              <w:keepLines/>
              <w:jc w:val="center"/>
              <w:rPr>
                <w:rFonts w:cs="Arial"/>
                <w:b/>
                <w:bCs/>
                <w:color w:val="000000" w:themeColor="text1"/>
                <w:sz w:val="16"/>
                <w:szCs w:val="16"/>
              </w:rPr>
            </w:pPr>
            <w:r w:rsidRPr="007B1B92">
              <w:rPr>
                <w:rFonts w:cs="Arial"/>
                <w:b/>
                <w:bCs/>
                <w:color w:val="000000" w:themeColor="text1"/>
                <w:sz w:val="16"/>
                <w:szCs w:val="16"/>
              </w:rPr>
              <w:t>TLS</w:t>
            </w:r>
          </w:p>
        </w:tc>
      </w:tr>
      <w:tr w:rsidR="0078145B" w:rsidRPr="007B1B92" w:rsidTr="005228A5">
        <w:trPr>
          <w:cantSplit/>
        </w:trPr>
        <w:tc>
          <w:tcPr>
            <w:tcW w:w="881"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Comprehensiveness and relevance of the set of information security policies, procedures and standards</w:t>
            </w:r>
          </w:p>
        </w:tc>
        <w:tc>
          <w:tcPr>
            <w:tcW w:w="914"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Eight policies, under revision</w:t>
            </w:r>
          </w:p>
        </w:tc>
        <w:tc>
          <w:tcPr>
            <w:tcW w:w="905" w:type="pct"/>
            <w:shd w:val="clear" w:color="auto" w:fill="auto"/>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12 up-to-date policies</w:t>
            </w:r>
            <w:r w:rsidRPr="007B1B92" w:rsidDel="0029150E">
              <w:rPr>
                <w:rFonts w:cs="Arial"/>
                <w:color w:val="000000" w:themeColor="text1"/>
                <w:sz w:val="16"/>
                <w:szCs w:val="16"/>
              </w:rPr>
              <w:t xml:space="preserve"> </w:t>
            </w: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lang w:bidi="th-TH"/>
              </w:rPr>
              <w:t>Security policies were reviewed, updated and approved by the ICT Board, resulting in 20 up-to-date policies being published on the WIPO Intranet.</w:t>
            </w:r>
          </w:p>
        </w:tc>
        <w:tc>
          <w:tcPr>
            <w:tcW w:w="682" w:type="pct"/>
            <w:shd w:val="clear" w:color="auto" w:fill="auto"/>
            <w:tcMar>
              <w:top w:w="110" w:type="dxa"/>
            </w:tcMar>
          </w:tcPr>
          <w:p w:rsidR="0078145B" w:rsidRPr="007B1B92" w:rsidRDefault="0078145B" w:rsidP="005228A5">
            <w:pPr>
              <w:keepNext/>
              <w:keepLines/>
              <w:jc w:val="center"/>
              <w:rPr>
                <w:rFonts w:cs="Arial"/>
                <w:bCs/>
                <w:color w:val="000000" w:themeColor="text1"/>
                <w:sz w:val="16"/>
                <w:szCs w:val="16"/>
              </w:rPr>
            </w:pPr>
            <w:r w:rsidRPr="007B1B92">
              <w:rPr>
                <w:rFonts w:cs="Arial"/>
                <w:bCs/>
                <w:color w:val="008000"/>
                <w:sz w:val="16"/>
                <w:szCs w:val="16"/>
              </w:rPr>
              <w:t>Fully</w:t>
            </w:r>
            <w:r w:rsidRPr="007B1B92">
              <w:rPr>
                <w:rFonts w:cs="Arial"/>
                <w:bCs/>
                <w:color w:val="008000"/>
                <w:sz w:val="16"/>
                <w:szCs w:val="16"/>
              </w:rPr>
              <w:br/>
              <w:t>Achieved</w:t>
            </w:r>
            <w:r w:rsidRPr="007B1B92" w:rsidDel="00C2200A">
              <w:rPr>
                <w:rStyle w:val="Style5"/>
                <w:rFonts w:ascii="Arial" w:hAnsi="Arial" w:cs="Arial"/>
                <w:color w:val="000000" w:themeColor="text1"/>
                <w:sz w:val="16"/>
                <w:szCs w:val="16"/>
              </w:rPr>
              <w:t xml:space="preserve"> </w:t>
            </w:r>
          </w:p>
        </w:tc>
      </w:tr>
      <w:tr w:rsidR="0078145B" w:rsidRPr="007B1B92" w:rsidTr="005228A5">
        <w:trPr>
          <w:cantSplit/>
        </w:trPr>
        <w:tc>
          <w:tcPr>
            <w:tcW w:w="881"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Up-to-date information security risk registry</w:t>
            </w:r>
          </w:p>
        </w:tc>
        <w:tc>
          <w:tcPr>
            <w:tcW w:w="914" w:type="pct"/>
            <w:shd w:val="clear" w:color="auto" w:fill="auto"/>
          </w:tcPr>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 xml:space="preserve">Risk registry has been created </w:t>
            </w:r>
          </w:p>
        </w:tc>
        <w:tc>
          <w:tcPr>
            <w:tcW w:w="905" w:type="pct"/>
            <w:shd w:val="clear" w:color="auto" w:fill="auto"/>
            <w:tcMar>
              <w:top w:w="110" w:type="dxa"/>
            </w:tcMar>
          </w:tcPr>
          <w:p w:rsidR="0078145B" w:rsidRPr="007B1B92" w:rsidRDefault="0078145B" w:rsidP="005228A5">
            <w:pPr>
              <w:autoSpaceDE w:val="0"/>
              <w:autoSpaceDN w:val="0"/>
              <w:adjustRightInd w:val="0"/>
              <w:rPr>
                <w:rFonts w:cs="Arial"/>
                <w:color w:val="000000" w:themeColor="text1"/>
                <w:sz w:val="16"/>
                <w:szCs w:val="16"/>
              </w:rPr>
            </w:pPr>
            <w:r w:rsidRPr="007B1B92">
              <w:rPr>
                <w:rFonts w:cs="Arial"/>
                <w:color w:val="000000" w:themeColor="text1"/>
                <w:sz w:val="16"/>
                <w:szCs w:val="16"/>
              </w:rPr>
              <w:t>Risk registry revised</w:t>
            </w:r>
          </w:p>
          <w:p w:rsidR="0078145B" w:rsidRPr="007B1B92" w:rsidRDefault="0078145B" w:rsidP="0078145B">
            <w:pPr>
              <w:ind w:leftChars="-11" w:left="-22"/>
              <w:rPr>
                <w:rFonts w:cs="Arial"/>
                <w:color w:val="000000" w:themeColor="text1"/>
                <w:sz w:val="16"/>
                <w:szCs w:val="16"/>
              </w:rPr>
            </w:pPr>
            <w:r w:rsidRPr="007B1B92">
              <w:rPr>
                <w:rFonts w:cs="Arial"/>
                <w:color w:val="000000" w:themeColor="text1"/>
                <w:sz w:val="16"/>
                <w:szCs w:val="16"/>
              </w:rPr>
              <w:t>twice a year</w:t>
            </w:r>
          </w:p>
          <w:p w:rsidR="0078145B" w:rsidRPr="007B1B92" w:rsidRDefault="0078145B" w:rsidP="005228A5">
            <w:pPr>
              <w:rPr>
                <w:rFonts w:cs="Arial"/>
                <w:color w:val="000000" w:themeColor="text1"/>
                <w:sz w:val="16"/>
                <w:szCs w:val="16"/>
              </w:rPr>
            </w:pPr>
          </w:p>
        </w:tc>
        <w:tc>
          <w:tcPr>
            <w:tcW w:w="1618" w:type="pct"/>
            <w:shd w:val="clear" w:color="auto" w:fill="FFFFFF"/>
            <w:tcMar>
              <w:top w:w="110" w:type="dxa"/>
            </w:tcMar>
          </w:tcPr>
          <w:p w:rsidR="0078145B" w:rsidRPr="007B1B92" w:rsidRDefault="0078145B" w:rsidP="005228A5">
            <w:pPr>
              <w:rPr>
                <w:rFonts w:cs="Arial"/>
                <w:color w:val="000000" w:themeColor="text1"/>
                <w:sz w:val="16"/>
                <w:szCs w:val="16"/>
              </w:rPr>
            </w:pPr>
            <w:r w:rsidRPr="007B1B92">
              <w:rPr>
                <w:rFonts w:cs="Arial"/>
                <w:color w:val="000000" w:themeColor="text1"/>
                <w:sz w:val="16"/>
                <w:szCs w:val="16"/>
              </w:rPr>
              <w:t xml:space="preserve">The Information Security Risk Registry was updated </w:t>
            </w:r>
            <w:r w:rsidR="002C4DAD">
              <w:rPr>
                <w:rFonts w:cs="Arial"/>
                <w:color w:val="000000" w:themeColor="text1"/>
                <w:sz w:val="16"/>
                <w:szCs w:val="16"/>
              </w:rPr>
              <w:t>biannually</w:t>
            </w:r>
            <w:r w:rsidRPr="007B1B92">
              <w:rPr>
                <w:rFonts w:cs="Arial"/>
                <w:color w:val="000000" w:themeColor="text1"/>
                <w:sz w:val="16"/>
                <w:szCs w:val="16"/>
              </w:rPr>
              <w:t xml:space="preserve"> and was reviewed in detail in the context of the ISO 27001 certification of the PCT operations.</w:t>
            </w:r>
            <w:r w:rsidRPr="007B1B92" w:rsidDel="009D4ADD">
              <w:rPr>
                <w:rFonts w:cs="Arial"/>
                <w:color w:val="000000" w:themeColor="text1"/>
                <w:sz w:val="16"/>
                <w:szCs w:val="16"/>
              </w:rPr>
              <w:t xml:space="preserve"> </w:t>
            </w:r>
          </w:p>
          <w:p w:rsidR="0078145B" w:rsidRPr="007B1B92" w:rsidRDefault="0078145B" w:rsidP="005228A5">
            <w:pPr>
              <w:rPr>
                <w:rFonts w:cs="Arial"/>
                <w:color w:val="000000" w:themeColor="text1"/>
                <w:sz w:val="16"/>
                <w:szCs w:val="16"/>
              </w:rPr>
            </w:pPr>
          </w:p>
        </w:tc>
        <w:tc>
          <w:tcPr>
            <w:tcW w:w="682" w:type="pct"/>
            <w:shd w:val="clear" w:color="auto" w:fill="auto"/>
            <w:tcMar>
              <w:top w:w="110" w:type="dxa"/>
            </w:tcMar>
          </w:tcPr>
          <w:p w:rsidR="0078145B" w:rsidRPr="007B1B92" w:rsidRDefault="0078145B" w:rsidP="005228A5">
            <w:pPr>
              <w:keepNext/>
              <w:keepLines/>
              <w:jc w:val="center"/>
              <w:rPr>
                <w:rStyle w:val="Style5"/>
                <w:rFonts w:ascii="Arial" w:hAnsi="Arial" w:cs="Arial"/>
                <w:color w:val="000000" w:themeColor="text1"/>
                <w:sz w:val="16"/>
                <w:szCs w:val="16"/>
              </w:rPr>
            </w:pPr>
            <w:r w:rsidRPr="007B1B92">
              <w:rPr>
                <w:rFonts w:cs="Arial"/>
                <w:bCs/>
                <w:color w:val="008000"/>
                <w:sz w:val="16"/>
                <w:szCs w:val="16"/>
              </w:rPr>
              <w:t>Fully</w:t>
            </w:r>
            <w:r w:rsidRPr="007B1B92">
              <w:rPr>
                <w:rFonts w:cs="Arial"/>
                <w:bCs/>
                <w:color w:val="008000"/>
                <w:sz w:val="16"/>
                <w:szCs w:val="16"/>
              </w:rPr>
              <w:br/>
              <w:t>Achieved</w:t>
            </w:r>
            <w:r w:rsidRPr="007B1B92" w:rsidDel="00C2200A">
              <w:rPr>
                <w:rStyle w:val="Style5"/>
                <w:rFonts w:ascii="Arial" w:hAnsi="Arial" w:cs="Arial"/>
                <w:color w:val="000000" w:themeColor="text1"/>
                <w:sz w:val="16"/>
                <w:szCs w:val="16"/>
              </w:rPr>
              <w:t xml:space="preserve"> </w:t>
            </w:r>
          </w:p>
          <w:p w:rsidR="0078145B" w:rsidRPr="007B1B92" w:rsidRDefault="0078145B" w:rsidP="005228A5">
            <w:pPr>
              <w:keepNext/>
              <w:keepLines/>
              <w:jc w:val="center"/>
              <w:rPr>
                <w:rFonts w:cs="Arial"/>
                <w:bCs/>
                <w:color w:val="000000" w:themeColor="text1"/>
                <w:sz w:val="16"/>
                <w:szCs w:val="16"/>
              </w:rPr>
            </w:pPr>
          </w:p>
        </w:tc>
      </w:tr>
    </w:tbl>
    <w:p w:rsidR="0078145B" w:rsidRPr="0048768E" w:rsidRDefault="0078145B" w:rsidP="0078145B">
      <w:pPr>
        <w:rPr>
          <w:b/>
          <w:color w:val="000000" w:themeColor="text1"/>
          <w:sz w:val="18"/>
          <w:szCs w:val="18"/>
        </w:rPr>
      </w:pPr>
    </w:p>
    <w:p w:rsidR="0078145B" w:rsidRDefault="0078145B" w:rsidP="0078145B">
      <w:pPr>
        <w:keepNext/>
        <w:keepLines/>
        <w:rPr>
          <w:rFonts w:cs="Arial"/>
          <w:color w:val="000000" w:themeColor="text1"/>
          <w:sz w:val="18"/>
          <w:szCs w:val="18"/>
        </w:rPr>
      </w:pPr>
    </w:p>
    <w:p w:rsidR="0078145B" w:rsidRPr="0048768E" w:rsidRDefault="0078145B" w:rsidP="0078145B">
      <w:pPr>
        <w:keepNext/>
        <w:keepLines/>
        <w:rPr>
          <w:rFonts w:cs="Arial"/>
          <w:color w:val="000000" w:themeColor="text1"/>
          <w:sz w:val="18"/>
          <w:szCs w:val="18"/>
        </w:rPr>
      </w:pPr>
    </w:p>
    <w:p w:rsidR="0078145B" w:rsidRPr="0048768E" w:rsidRDefault="0078145B" w:rsidP="0078145B">
      <w:pPr>
        <w:keepNext/>
        <w:keepLines/>
        <w:rPr>
          <w:rFonts w:cs="Arial"/>
          <w:color w:val="000000" w:themeColor="text1"/>
          <w:sz w:val="22"/>
          <w:szCs w:val="22"/>
        </w:rPr>
      </w:pPr>
      <w:proofErr w:type="gramStart"/>
      <w:r w:rsidRPr="0048768E">
        <w:rPr>
          <w:rFonts w:cs="Arial"/>
          <w:color w:val="000000" w:themeColor="text1"/>
          <w:sz w:val="22"/>
          <w:szCs w:val="22"/>
        </w:rPr>
        <w:t xml:space="preserve">BUDGET </w:t>
      </w:r>
      <w:r>
        <w:rPr>
          <w:rFonts w:cs="Arial"/>
          <w:color w:val="000000" w:themeColor="text1"/>
          <w:sz w:val="22"/>
          <w:szCs w:val="22"/>
        </w:rPr>
        <w:t xml:space="preserve"> AND</w:t>
      </w:r>
      <w:proofErr w:type="gramEnd"/>
      <w:r>
        <w:rPr>
          <w:rFonts w:cs="Arial"/>
          <w:color w:val="000000" w:themeColor="text1"/>
          <w:sz w:val="22"/>
          <w:szCs w:val="22"/>
        </w:rPr>
        <w:t xml:space="preserve"> ACTUAL EXPENDITURE</w:t>
      </w:r>
    </w:p>
    <w:p w:rsidR="0078145B" w:rsidRDefault="0078145B" w:rsidP="0078145B"/>
    <w:p w:rsidR="0078145B" w:rsidRDefault="0078145B" w:rsidP="0078145B">
      <w:pPr>
        <w:pStyle w:val="NormalWeb"/>
        <w:spacing w:before="0" w:beforeAutospacing="0" w:after="0" w:afterAutospacing="0"/>
        <w:jc w:val="center"/>
      </w:pPr>
      <w:r>
        <w:rPr>
          <w:color w:val="000000"/>
          <w:sz w:val="22"/>
          <w:szCs w:val="22"/>
        </w:rPr>
        <w:t xml:space="preserve">Budget and Actual Expenditure (by result) </w:t>
      </w:r>
    </w:p>
    <w:p w:rsidR="0078145B" w:rsidRDefault="0078145B" w:rsidP="0078145B">
      <w:pPr>
        <w:pStyle w:val="NormalWeb"/>
        <w:spacing w:before="0" w:beforeAutospacing="0" w:after="0" w:afterAutospacing="0"/>
        <w:jc w:val="center"/>
      </w:pPr>
      <w:r>
        <w:rPr>
          <w:i/>
          <w:iCs/>
          <w:color w:val="000000"/>
          <w:sz w:val="22"/>
          <w:szCs w:val="22"/>
        </w:rPr>
        <w:t>(</w:t>
      </w:r>
      <w:proofErr w:type="gramStart"/>
      <w:r>
        <w:rPr>
          <w:i/>
          <w:iCs/>
          <w:color w:val="000000"/>
          <w:sz w:val="22"/>
          <w:szCs w:val="22"/>
        </w:rPr>
        <w:t>in</w:t>
      </w:r>
      <w:proofErr w:type="gramEnd"/>
      <w:r>
        <w:rPr>
          <w:i/>
          <w:iCs/>
          <w:color w:val="000000"/>
          <w:sz w:val="22"/>
          <w:szCs w:val="22"/>
        </w:rPr>
        <w:t xml:space="preserve"> thousands of Swiss francs)</w:t>
      </w:r>
    </w:p>
    <w:p w:rsidR="0078145B" w:rsidRDefault="0078145B" w:rsidP="0078145B"/>
    <w:tbl>
      <w:tblPr>
        <w:tblW w:w="0" w:type="auto"/>
        <w:tblInd w:w="103" w:type="dxa"/>
        <w:tblLook w:val="04A0" w:firstRow="1" w:lastRow="0" w:firstColumn="1" w:lastColumn="0" w:noHBand="0" w:noVBand="1"/>
      </w:tblPr>
      <w:tblGrid>
        <w:gridCol w:w="590"/>
        <w:gridCol w:w="4235"/>
        <w:gridCol w:w="1512"/>
        <w:gridCol w:w="1512"/>
        <w:gridCol w:w="1512"/>
      </w:tblGrid>
      <w:tr w:rsidR="0078145B" w:rsidRPr="007B1B92" w:rsidTr="00D9395B">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 xml:space="preserve">2012/13 Budget </w:t>
            </w:r>
            <w:r w:rsidRPr="007B1B92">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 xml:space="preserve">2012/13 </w:t>
            </w:r>
            <w:r w:rsidRPr="007B1B92">
              <w:rPr>
                <w:rFonts w:cs="Arial"/>
                <w:bCs/>
                <w:color w:val="000000"/>
                <w:sz w:val="16"/>
                <w:szCs w:val="16"/>
              </w:rPr>
              <w:br/>
              <w:t>Expenditure</w:t>
            </w:r>
          </w:p>
        </w:tc>
      </w:tr>
      <w:tr w:rsidR="0078145B" w:rsidRPr="007B1B92" w:rsidTr="00D9395B">
        <w:tc>
          <w:tcPr>
            <w:tcW w:w="590" w:type="dxa"/>
            <w:tcBorders>
              <w:top w:val="nil"/>
              <w:left w:val="single" w:sz="4" w:space="0" w:color="auto"/>
              <w:bottom w:val="nil"/>
              <w:right w:val="nil"/>
            </w:tcBorders>
            <w:shd w:val="clear" w:color="000000" w:fill="FFFFFF"/>
            <w:noWrap/>
            <w:hideMark/>
          </w:tcPr>
          <w:p w:rsidR="0078145B" w:rsidRPr="007B1B92" w:rsidRDefault="0078145B" w:rsidP="005228A5">
            <w:pPr>
              <w:spacing w:before="120"/>
              <w:jc w:val="center"/>
              <w:rPr>
                <w:rFonts w:cs="Arial"/>
                <w:color w:val="000000"/>
                <w:sz w:val="16"/>
                <w:szCs w:val="16"/>
              </w:rPr>
            </w:pPr>
            <w:r w:rsidRPr="007B1B92">
              <w:rPr>
                <w:rFonts w:cs="Arial"/>
                <w:color w:val="000000"/>
                <w:sz w:val="16"/>
                <w:szCs w:val="16"/>
              </w:rPr>
              <w:t>IX.1</w:t>
            </w:r>
          </w:p>
        </w:tc>
        <w:tc>
          <w:tcPr>
            <w:tcW w:w="4235" w:type="dxa"/>
            <w:tcBorders>
              <w:top w:val="nil"/>
              <w:left w:val="nil"/>
              <w:bottom w:val="nil"/>
              <w:right w:val="nil"/>
            </w:tcBorders>
            <w:shd w:val="clear" w:color="000000" w:fill="FFFFFF"/>
            <w:hideMark/>
          </w:tcPr>
          <w:p w:rsidR="0078145B" w:rsidRPr="007B1B92" w:rsidRDefault="0078145B" w:rsidP="005228A5">
            <w:pPr>
              <w:spacing w:before="120"/>
              <w:rPr>
                <w:rFonts w:cs="Arial"/>
                <w:color w:val="000000"/>
                <w:sz w:val="16"/>
                <w:szCs w:val="16"/>
              </w:rPr>
            </w:pPr>
            <w:r w:rsidRPr="007B1B92">
              <w:rPr>
                <w:rFonts w:cs="Arial"/>
                <w:color w:val="000000"/>
                <w:sz w:val="16"/>
                <w:szCs w:val="16"/>
              </w:rPr>
              <w:t>Effective, efficient, quality and customer-oriented support services both to internal clients and to external stakeholders (human resources, IT, conference, language, procurement, travel, printing and publication, premises management)</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45,827 </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46,199 </w:t>
            </w:r>
          </w:p>
        </w:tc>
        <w:tc>
          <w:tcPr>
            <w:tcW w:w="1512" w:type="dxa"/>
            <w:tcBorders>
              <w:top w:val="nil"/>
              <w:left w:val="nil"/>
              <w:bottom w:val="nil"/>
              <w:right w:val="single" w:sz="4" w:space="0" w:color="auto"/>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46,340 </w:t>
            </w:r>
          </w:p>
        </w:tc>
      </w:tr>
      <w:tr w:rsidR="0078145B" w:rsidRPr="007B1B92" w:rsidTr="00D9395B">
        <w:tc>
          <w:tcPr>
            <w:tcW w:w="590" w:type="dxa"/>
            <w:tcBorders>
              <w:top w:val="nil"/>
              <w:left w:val="single" w:sz="4" w:space="0" w:color="auto"/>
              <w:bottom w:val="nil"/>
              <w:right w:val="nil"/>
            </w:tcBorders>
            <w:shd w:val="clear" w:color="000000" w:fill="FFFFFF"/>
            <w:noWrap/>
            <w:hideMark/>
          </w:tcPr>
          <w:p w:rsidR="0078145B" w:rsidRPr="007B1B92" w:rsidRDefault="0078145B" w:rsidP="005228A5">
            <w:pPr>
              <w:spacing w:before="120"/>
              <w:jc w:val="center"/>
              <w:rPr>
                <w:rFonts w:cs="Arial"/>
                <w:color w:val="000000"/>
                <w:sz w:val="16"/>
                <w:szCs w:val="16"/>
              </w:rPr>
            </w:pPr>
            <w:r w:rsidRPr="007B1B92">
              <w:rPr>
                <w:rFonts w:cs="Arial"/>
                <w:color w:val="000000"/>
                <w:sz w:val="16"/>
                <w:szCs w:val="16"/>
              </w:rPr>
              <w:t>IX.4</w:t>
            </w:r>
          </w:p>
        </w:tc>
        <w:tc>
          <w:tcPr>
            <w:tcW w:w="4235" w:type="dxa"/>
            <w:tcBorders>
              <w:top w:val="nil"/>
              <w:left w:val="nil"/>
              <w:bottom w:val="nil"/>
              <w:right w:val="nil"/>
            </w:tcBorders>
            <w:shd w:val="clear" w:color="000000" w:fill="FFFFFF"/>
            <w:hideMark/>
          </w:tcPr>
          <w:p w:rsidR="0078145B" w:rsidRPr="007B1B92" w:rsidRDefault="0078145B" w:rsidP="005228A5">
            <w:pPr>
              <w:spacing w:before="120"/>
              <w:rPr>
                <w:rFonts w:cs="Arial"/>
                <w:color w:val="000000"/>
                <w:sz w:val="16"/>
                <w:szCs w:val="16"/>
              </w:rPr>
            </w:pPr>
            <w:r w:rsidRPr="007B1B92">
              <w:rPr>
                <w:rFonts w:cs="Arial"/>
                <w:color w:val="000000"/>
                <w:sz w:val="16"/>
                <w:szCs w:val="16"/>
              </w:rPr>
              <w:t>WIPO staff, delegates, visitors and information and physical assets are safe and secure</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2,433 </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2,268 </w:t>
            </w:r>
          </w:p>
        </w:tc>
        <w:tc>
          <w:tcPr>
            <w:tcW w:w="1512" w:type="dxa"/>
            <w:tcBorders>
              <w:top w:val="nil"/>
              <w:left w:val="nil"/>
              <w:bottom w:val="nil"/>
              <w:right w:val="single" w:sz="4" w:space="0" w:color="auto"/>
            </w:tcBorders>
            <w:shd w:val="clear" w:color="000000" w:fill="FFFFFF"/>
            <w:vAlign w:val="center"/>
            <w:hideMark/>
          </w:tcPr>
          <w:p w:rsidR="0078145B" w:rsidRPr="007B1B92" w:rsidRDefault="0078145B" w:rsidP="005228A5">
            <w:pPr>
              <w:spacing w:before="120"/>
              <w:jc w:val="right"/>
              <w:rPr>
                <w:rFonts w:cs="Arial"/>
                <w:color w:val="000000"/>
                <w:sz w:val="16"/>
                <w:szCs w:val="16"/>
              </w:rPr>
            </w:pPr>
            <w:r w:rsidRPr="007B1B92">
              <w:rPr>
                <w:rFonts w:cs="Arial"/>
                <w:color w:val="000000"/>
                <w:sz w:val="16"/>
                <w:szCs w:val="16"/>
              </w:rPr>
              <w:t xml:space="preserve">2,239 </w:t>
            </w:r>
          </w:p>
        </w:tc>
      </w:tr>
      <w:tr w:rsidR="0078145B" w:rsidRPr="007B1B92" w:rsidTr="00D9395B">
        <w:tc>
          <w:tcPr>
            <w:tcW w:w="590" w:type="dxa"/>
            <w:tcBorders>
              <w:top w:val="nil"/>
              <w:left w:val="single" w:sz="4" w:space="0" w:color="auto"/>
              <w:bottom w:val="single" w:sz="4" w:space="0" w:color="auto"/>
              <w:right w:val="nil"/>
            </w:tcBorders>
            <w:shd w:val="clear" w:color="000000" w:fill="FFFFFF"/>
            <w:noWrap/>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IX.14</w:t>
            </w:r>
          </w:p>
        </w:tc>
        <w:tc>
          <w:tcPr>
            <w:tcW w:w="4235" w:type="dxa"/>
            <w:tcBorders>
              <w:top w:val="nil"/>
              <w:left w:val="nil"/>
              <w:bottom w:val="single" w:sz="4" w:space="0" w:color="auto"/>
              <w:right w:val="nil"/>
            </w:tcBorders>
            <w:shd w:val="clear" w:color="000000" w:fill="FFFFFF"/>
            <w:hideMark/>
          </w:tcPr>
          <w:p w:rsidR="0078145B" w:rsidRPr="007B1B92" w:rsidRDefault="0078145B" w:rsidP="005228A5">
            <w:pPr>
              <w:spacing w:before="120" w:after="120"/>
              <w:rPr>
                <w:rFonts w:cs="Arial"/>
                <w:color w:val="000000"/>
                <w:sz w:val="16"/>
                <w:szCs w:val="16"/>
              </w:rPr>
            </w:pPr>
            <w:r w:rsidRPr="007B1B92">
              <w:rPr>
                <w:rFonts w:cs="Arial"/>
                <w:color w:val="000000"/>
                <w:sz w:val="16"/>
                <w:szCs w:val="16"/>
              </w:rPr>
              <w:t>ICT investments are closely aligned with strategic priorities and yield business benefits</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after="120"/>
              <w:jc w:val="right"/>
              <w:rPr>
                <w:rFonts w:cs="Arial"/>
                <w:color w:val="000000"/>
                <w:sz w:val="16"/>
                <w:szCs w:val="16"/>
              </w:rPr>
            </w:pPr>
            <w:r w:rsidRPr="007B1B92">
              <w:rPr>
                <w:rFonts w:cs="Arial"/>
                <w:color w:val="000000"/>
                <w:sz w:val="16"/>
                <w:szCs w:val="16"/>
              </w:rPr>
              <w:t xml:space="preserve">2,147 </w:t>
            </w:r>
          </w:p>
        </w:tc>
        <w:tc>
          <w:tcPr>
            <w:tcW w:w="1512" w:type="dxa"/>
            <w:tcBorders>
              <w:top w:val="nil"/>
              <w:left w:val="nil"/>
              <w:bottom w:val="nil"/>
              <w:right w:val="nil"/>
            </w:tcBorders>
            <w:shd w:val="clear" w:color="000000" w:fill="FFFFFF"/>
            <w:vAlign w:val="center"/>
            <w:hideMark/>
          </w:tcPr>
          <w:p w:rsidR="0078145B" w:rsidRPr="007B1B92" w:rsidRDefault="0078145B" w:rsidP="005228A5">
            <w:pPr>
              <w:spacing w:before="120" w:after="120"/>
              <w:jc w:val="right"/>
              <w:rPr>
                <w:rFonts w:cs="Arial"/>
                <w:color w:val="000000"/>
                <w:sz w:val="16"/>
                <w:szCs w:val="16"/>
              </w:rPr>
            </w:pPr>
            <w:r w:rsidRPr="007B1B92">
              <w:rPr>
                <w:rFonts w:cs="Arial"/>
                <w:color w:val="000000"/>
                <w:sz w:val="16"/>
                <w:szCs w:val="16"/>
              </w:rPr>
              <w:t xml:space="preserve">2,155 </w:t>
            </w:r>
          </w:p>
        </w:tc>
        <w:tc>
          <w:tcPr>
            <w:tcW w:w="1512" w:type="dxa"/>
            <w:tcBorders>
              <w:top w:val="nil"/>
              <w:left w:val="nil"/>
              <w:bottom w:val="nil"/>
              <w:right w:val="single" w:sz="4" w:space="0" w:color="auto"/>
            </w:tcBorders>
            <w:shd w:val="clear" w:color="000000" w:fill="FFFFFF"/>
            <w:vAlign w:val="center"/>
            <w:hideMark/>
          </w:tcPr>
          <w:p w:rsidR="0078145B" w:rsidRPr="007B1B92" w:rsidRDefault="0078145B" w:rsidP="005228A5">
            <w:pPr>
              <w:spacing w:before="120" w:after="120"/>
              <w:jc w:val="right"/>
              <w:rPr>
                <w:rFonts w:cs="Arial"/>
                <w:color w:val="000000"/>
                <w:sz w:val="16"/>
                <w:szCs w:val="16"/>
              </w:rPr>
            </w:pPr>
            <w:r w:rsidRPr="007B1B92">
              <w:rPr>
                <w:rFonts w:cs="Arial"/>
                <w:color w:val="000000"/>
                <w:sz w:val="16"/>
                <w:szCs w:val="16"/>
              </w:rPr>
              <w:t xml:space="preserve">2,002 </w:t>
            </w:r>
          </w:p>
        </w:tc>
      </w:tr>
      <w:tr w:rsidR="0078145B" w:rsidRPr="007B1B92" w:rsidTr="00D9395B">
        <w:tc>
          <w:tcPr>
            <w:tcW w:w="590" w:type="dxa"/>
            <w:tcBorders>
              <w:top w:val="nil"/>
              <w:left w:val="single" w:sz="4" w:space="0" w:color="auto"/>
              <w:bottom w:val="single" w:sz="4" w:space="0" w:color="auto"/>
              <w:right w:val="nil"/>
            </w:tcBorders>
            <w:shd w:val="clear" w:color="000000" w:fill="CCFFFF"/>
            <w:noWrap/>
            <w:vAlign w:val="bottom"/>
            <w:hideMark/>
          </w:tcPr>
          <w:p w:rsidR="0078145B" w:rsidRPr="007B1B92" w:rsidRDefault="0078145B" w:rsidP="005228A5">
            <w:pPr>
              <w:spacing w:before="120" w:after="120"/>
              <w:jc w:val="center"/>
              <w:rPr>
                <w:rFonts w:cs="Arial"/>
                <w:b/>
                <w:bCs/>
                <w:color w:val="000000"/>
                <w:sz w:val="16"/>
                <w:szCs w:val="16"/>
              </w:rPr>
            </w:pPr>
            <w:r w:rsidRPr="007B1B92">
              <w:rPr>
                <w:rFonts w:cs="Arial"/>
                <w:b/>
                <w:bCs/>
                <w:color w:val="000000"/>
                <w:sz w:val="16"/>
                <w:szCs w:val="16"/>
              </w:rPr>
              <w:t> </w:t>
            </w:r>
          </w:p>
        </w:tc>
        <w:tc>
          <w:tcPr>
            <w:tcW w:w="4235" w:type="dxa"/>
            <w:tcBorders>
              <w:top w:val="nil"/>
              <w:left w:val="nil"/>
              <w:bottom w:val="single" w:sz="4" w:space="0" w:color="auto"/>
              <w:right w:val="nil"/>
            </w:tcBorders>
            <w:shd w:val="clear" w:color="000000" w:fill="CCFFFF"/>
            <w:noWrap/>
            <w:vAlign w:val="center"/>
            <w:hideMark/>
          </w:tcPr>
          <w:p w:rsidR="0078145B" w:rsidRPr="007B1B92" w:rsidRDefault="0078145B" w:rsidP="005228A5">
            <w:pPr>
              <w:spacing w:before="120" w:after="120"/>
              <w:rPr>
                <w:rFonts w:cs="Arial"/>
                <w:b/>
                <w:bCs/>
                <w:color w:val="000000"/>
                <w:sz w:val="16"/>
                <w:szCs w:val="16"/>
              </w:rPr>
            </w:pPr>
            <w:r w:rsidRPr="007B1B92">
              <w:rPr>
                <w:rFonts w:cs="Arial"/>
                <w:b/>
                <w:bCs/>
                <w:color w:val="000000"/>
                <w:sz w:val="16"/>
                <w:szCs w:val="16"/>
              </w:rPr>
              <w:t>Total</w:t>
            </w:r>
          </w:p>
        </w:tc>
        <w:tc>
          <w:tcPr>
            <w:tcW w:w="151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right"/>
              <w:rPr>
                <w:rFonts w:cs="Arial"/>
                <w:b/>
                <w:bCs/>
                <w:color w:val="000000"/>
                <w:sz w:val="16"/>
                <w:szCs w:val="16"/>
              </w:rPr>
            </w:pPr>
            <w:r w:rsidRPr="007B1B92">
              <w:rPr>
                <w:rFonts w:cs="Arial"/>
                <w:b/>
                <w:bCs/>
                <w:color w:val="000000"/>
                <w:sz w:val="16"/>
                <w:szCs w:val="16"/>
              </w:rPr>
              <w:t>50,408</w:t>
            </w:r>
          </w:p>
        </w:tc>
        <w:tc>
          <w:tcPr>
            <w:tcW w:w="1512" w:type="dxa"/>
            <w:tcBorders>
              <w:top w:val="single" w:sz="4" w:space="0" w:color="auto"/>
              <w:left w:val="nil"/>
              <w:bottom w:val="single" w:sz="4" w:space="0" w:color="auto"/>
              <w:right w:val="single" w:sz="4" w:space="0" w:color="auto"/>
            </w:tcBorders>
            <w:shd w:val="clear" w:color="000000" w:fill="CCFFFF"/>
            <w:noWrap/>
            <w:vAlign w:val="center"/>
            <w:hideMark/>
          </w:tcPr>
          <w:p w:rsidR="0078145B" w:rsidRPr="007B1B92" w:rsidRDefault="0078145B" w:rsidP="005228A5">
            <w:pPr>
              <w:spacing w:before="120" w:after="120"/>
              <w:jc w:val="right"/>
              <w:rPr>
                <w:rFonts w:cs="Arial"/>
                <w:b/>
                <w:bCs/>
                <w:color w:val="000000"/>
                <w:sz w:val="16"/>
                <w:szCs w:val="16"/>
              </w:rPr>
            </w:pPr>
            <w:r w:rsidRPr="007B1B92">
              <w:rPr>
                <w:rFonts w:cs="Arial"/>
                <w:b/>
                <w:bCs/>
                <w:color w:val="000000"/>
                <w:sz w:val="16"/>
                <w:szCs w:val="16"/>
              </w:rPr>
              <w:t>50,622</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78145B" w:rsidRPr="007B1B92" w:rsidRDefault="0078145B" w:rsidP="005228A5">
            <w:pPr>
              <w:spacing w:before="120" w:after="120"/>
              <w:jc w:val="right"/>
              <w:rPr>
                <w:rFonts w:cs="Arial"/>
                <w:b/>
                <w:bCs/>
                <w:color w:val="000000"/>
                <w:sz w:val="16"/>
                <w:szCs w:val="16"/>
              </w:rPr>
            </w:pPr>
            <w:r w:rsidRPr="007B1B92">
              <w:rPr>
                <w:rFonts w:cs="Arial"/>
                <w:b/>
                <w:bCs/>
                <w:color w:val="000000"/>
                <w:sz w:val="16"/>
                <w:szCs w:val="16"/>
              </w:rPr>
              <w:t>50,581</w:t>
            </w:r>
          </w:p>
        </w:tc>
      </w:tr>
    </w:tbl>
    <w:p w:rsidR="0078145B" w:rsidRDefault="0078145B" w:rsidP="0078145B"/>
    <w:p w:rsidR="0078145B" w:rsidRDefault="0078145B" w:rsidP="0078145B">
      <w:pPr>
        <w:rPr>
          <w:rFonts w:cs="Arial"/>
          <w:color w:val="000000"/>
          <w:sz w:val="22"/>
          <w:szCs w:val="22"/>
        </w:rPr>
      </w:pPr>
      <w:r>
        <w:rPr>
          <w:color w:val="000000"/>
          <w:sz w:val="22"/>
          <w:szCs w:val="22"/>
        </w:rPr>
        <w:br w:type="page"/>
      </w:r>
    </w:p>
    <w:p w:rsidR="0078145B" w:rsidRDefault="0078145B" w:rsidP="0078145B">
      <w:pPr>
        <w:pStyle w:val="NormalWeb"/>
        <w:spacing w:before="0" w:beforeAutospacing="0" w:after="0" w:afterAutospacing="0"/>
        <w:jc w:val="center"/>
      </w:pPr>
      <w:r>
        <w:rPr>
          <w:color w:val="000000"/>
          <w:sz w:val="22"/>
          <w:szCs w:val="22"/>
        </w:rPr>
        <w:lastRenderedPageBreak/>
        <w:t xml:space="preserve">Budget and Actual Expenditure (personnel and non-personnel) </w:t>
      </w:r>
    </w:p>
    <w:p w:rsidR="0078145B" w:rsidRDefault="0078145B" w:rsidP="0078145B">
      <w:pPr>
        <w:pStyle w:val="NormalWeb"/>
        <w:spacing w:before="0" w:beforeAutospacing="0" w:after="0" w:afterAutospacing="0"/>
        <w:jc w:val="center"/>
      </w:pPr>
      <w:r>
        <w:rPr>
          <w:i/>
          <w:iCs/>
          <w:color w:val="000000"/>
          <w:sz w:val="22"/>
          <w:szCs w:val="22"/>
        </w:rPr>
        <w:t>(</w:t>
      </w:r>
      <w:proofErr w:type="gramStart"/>
      <w:r>
        <w:rPr>
          <w:i/>
          <w:iCs/>
          <w:color w:val="000000"/>
          <w:sz w:val="22"/>
          <w:szCs w:val="22"/>
        </w:rPr>
        <w:t>in</w:t>
      </w:r>
      <w:proofErr w:type="gramEnd"/>
      <w:r>
        <w:rPr>
          <w:i/>
          <w:iCs/>
          <w:color w:val="000000"/>
          <w:sz w:val="22"/>
          <w:szCs w:val="22"/>
        </w:rPr>
        <w:t xml:space="preserve"> thousands of Swiss francs)</w:t>
      </w:r>
    </w:p>
    <w:p w:rsidR="0078145B" w:rsidRDefault="0078145B" w:rsidP="0078145B"/>
    <w:tbl>
      <w:tblPr>
        <w:tblW w:w="0" w:type="auto"/>
        <w:tblInd w:w="93" w:type="dxa"/>
        <w:tblLook w:val="04A0" w:firstRow="1" w:lastRow="0" w:firstColumn="1" w:lastColumn="0" w:noHBand="0" w:noVBand="1"/>
      </w:tblPr>
      <w:tblGrid>
        <w:gridCol w:w="2425"/>
        <w:gridCol w:w="1736"/>
        <w:gridCol w:w="1737"/>
        <w:gridCol w:w="1736"/>
        <w:gridCol w:w="1737"/>
      </w:tblGrid>
      <w:tr w:rsidR="0078145B" w:rsidRPr="007B1B92" w:rsidTr="005228A5">
        <w:tc>
          <w:tcPr>
            <w:tcW w:w="2425"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78145B" w:rsidRPr="007B1B92" w:rsidRDefault="0078145B" w:rsidP="005228A5">
            <w:pPr>
              <w:spacing w:before="120" w:after="120"/>
              <w:rPr>
                <w:rFonts w:cs="Arial"/>
                <w:color w:val="000000"/>
                <w:sz w:val="16"/>
                <w:szCs w:val="16"/>
              </w:rPr>
            </w:pPr>
            <w:r w:rsidRPr="007B1B92">
              <w:rPr>
                <w:rFonts w:cs="Arial"/>
                <w:color w:val="000000"/>
                <w:sz w:val="16"/>
                <w:szCs w:val="16"/>
              </w:rPr>
              <w:t> </w:t>
            </w:r>
          </w:p>
        </w:tc>
        <w:tc>
          <w:tcPr>
            <w:tcW w:w="1736" w:type="dxa"/>
            <w:tcBorders>
              <w:top w:val="single" w:sz="4" w:space="0" w:color="auto"/>
              <w:left w:val="nil"/>
              <w:bottom w:val="nil"/>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Approved Budget 2012/13</w:t>
            </w:r>
          </w:p>
        </w:tc>
        <w:tc>
          <w:tcPr>
            <w:tcW w:w="1737" w:type="dxa"/>
            <w:tcBorders>
              <w:top w:val="single" w:sz="4" w:space="0" w:color="auto"/>
              <w:left w:val="nil"/>
              <w:bottom w:val="nil"/>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Budget after transfers 2012/13</w:t>
            </w:r>
          </w:p>
        </w:tc>
        <w:tc>
          <w:tcPr>
            <w:tcW w:w="1736" w:type="dxa"/>
            <w:tcBorders>
              <w:top w:val="single" w:sz="4" w:space="0" w:color="auto"/>
              <w:left w:val="nil"/>
              <w:bottom w:val="nil"/>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Expenditures 2012/13</w:t>
            </w:r>
          </w:p>
        </w:tc>
        <w:tc>
          <w:tcPr>
            <w:tcW w:w="1737" w:type="dxa"/>
            <w:tcBorders>
              <w:top w:val="single" w:sz="4" w:space="0" w:color="auto"/>
              <w:left w:val="nil"/>
              <w:bottom w:val="nil"/>
              <w:right w:val="single" w:sz="4" w:space="0" w:color="auto"/>
            </w:tcBorders>
            <w:shd w:val="clear" w:color="000000" w:fill="CCFFFF"/>
            <w:vAlign w:val="center"/>
            <w:hideMark/>
          </w:tcPr>
          <w:p w:rsidR="0078145B" w:rsidRPr="007B1B92" w:rsidRDefault="0078145B" w:rsidP="005228A5">
            <w:pPr>
              <w:spacing w:before="120" w:after="120"/>
              <w:jc w:val="center"/>
              <w:rPr>
                <w:rFonts w:cs="Arial"/>
                <w:bCs/>
                <w:color w:val="000000"/>
                <w:sz w:val="16"/>
                <w:szCs w:val="16"/>
              </w:rPr>
            </w:pPr>
            <w:r w:rsidRPr="007B1B92">
              <w:rPr>
                <w:rFonts w:cs="Arial"/>
                <w:bCs/>
                <w:color w:val="000000"/>
                <w:sz w:val="16"/>
                <w:szCs w:val="16"/>
              </w:rPr>
              <w:t>Utilization rate (%)</w:t>
            </w:r>
          </w:p>
        </w:tc>
      </w:tr>
      <w:tr w:rsidR="0078145B" w:rsidRPr="007B1B92" w:rsidTr="005228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8145B" w:rsidRPr="007B1B92" w:rsidRDefault="0078145B" w:rsidP="005228A5">
            <w:pPr>
              <w:spacing w:before="120" w:after="120"/>
              <w:rPr>
                <w:rFonts w:cs="Arial"/>
                <w:color w:val="000000"/>
                <w:sz w:val="16"/>
                <w:szCs w:val="16"/>
              </w:rPr>
            </w:pPr>
            <w:r w:rsidRPr="007B1B92">
              <w:rPr>
                <w:rFonts w:cs="Arial"/>
                <w:color w:val="000000"/>
                <w:sz w:val="16"/>
                <w:szCs w:val="16"/>
              </w:rPr>
              <w:t xml:space="preserve">Personnel Resources  </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19,128</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20,260</w:t>
            </w:r>
          </w:p>
        </w:tc>
        <w:tc>
          <w:tcPr>
            <w:tcW w:w="1736" w:type="dxa"/>
            <w:tcBorders>
              <w:top w:val="single" w:sz="4" w:space="0" w:color="auto"/>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20,260</w:t>
            </w:r>
          </w:p>
        </w:tc>
        <w:tc>
          <w:tcPr>
            <w:tcW w:w="1737" w:type="dxa"/>
            <w:tcBorders>
              <w:top w:val="single" w:sz="4" w:space="0" w:color="auto"/>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100%</w:t>
            </w:r>
          </w:p>
        </w:tc>
      </w:tr>
      <w:tr w:rsidR="0078145B" w:rsidRPr="007B1B92" w:rsidTr="005228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8145B" w:rsidRPr="007B1B92" w:rsidRDefault="0078145B" w:rsidP="005228A5">
            <w:pPr>
              <w:spacing w:before="120" w:after="120"/>
              <w:rPr>
                <w:rFonts w:cs="Arial"/>
                <w:color w:val="000000"/>
                <w:sz w:val="16"/>
                <w:szCs w:val="16"/>
              </w:rPr>
            </w:pPr>
            <w:r w:rsidRPr="007B1B92">
              <w:rPr>
                <w:rFonts w:cs="Arial"/>
                <w:color w:val="000000"/>
                <w:sz w:val="16"/>
                <w:szCs w:val="16"/>
              </w:rPr>
              <w:t xml:space="preserve">Non-personnel Resources </w:t>
            </w:r>
          </w:p>
        </w:tc>
        <w:tc>
          <w:tcPr>
            <w:tcW w:w="1736"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31,279</w:t>
            </w:r>
          </w:p>
        </w:tc>
        <w:tc>
          <w:tcPr>
            <w:tcW w:w="1737"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30,363</w:t>
            </w:r>
          </w:p>
        </w:tc>
        <w:tc>
          <w:tcPr>
            <w:tcW w:w="1736"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30,321</w:t>
            </w:r>
          </w:p>
        </w:tc>
        <w:tc>
          <w:tcPr>
            <w:tcW w:w="1737"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color w:val="000000"/>
                <w:sz w:val="16"/>
                <w:szCs w:val="16"/>
              </w:rPr>
            </w:pPr>
            <w:r w:rsidRPr="007B1B92">
              <w:rPr>
                <w:rFonts w:cs="Arial"/>
                <w:color w:val="000000"/>
                <w:sz w:val="16"/>
                <w:szCs w:val="16"/>
              </w:rPr>
              <w:t>100%</w:t>
            </w:r>
          </w:p>
        </w:tc>
      </w:tr>
      <w:tr w:rsidR="0078145B" w:rsidRPr="007B1B92" w:rsidTr="005228A5">
        <w:tc>
          <w:tcPr>
            <w:tcW w:w="2425" w:type="dxa"/>
            <w:tcBorders>
              <w:top w:val="nil"/>
              <w:left w:val="single" w:sz="4" w:space="0" w:color="auto"/>
              <w:bottom w:val="single" w:sz="4" w:space="0" w:color="auto"/>
              <w:right w:val="single" w:sz="4" w:space="0" w:color="auto"/>
            </w:tcBorders>
            <w:shd w:val="clear" w:color="auto" w:fill="auto"/>
            <w:noWrap/>
            <w:vAlign w:val="center"/>
            <w:hideMark/>
          </w:tcPr>
          <w:p w:rsidR="0078145B" w:rsidRPr="007B1B92" w:rsidRDefault="0078145B" w:rsidP="005228A5">
            <w:pPr>
              <w:spacing w:before="120" w:after="120"/>
              <w:jc w:val="right"/>
              <w:rPr>
                <w:rFonts w:cs="Arial"/>
                <w:b/>
                <w:bCs/>
                <w:color w:val="000000"/>
                <w:sz w:val="16"/>
                <w:szCs w:val="16"/>
              </w:rPr>
            </w:pPr>
            <w:r w:rsidRPr="007B1B92">
              <w:rPr>
                <w:rFonts w:cs="Arial"/>
                <w:b/>
                <w:bCs/>
                <w:color w:val="000000"/>
                <w:sz w:val="16"/>
                <w:szCs w:val="16"/>
              </w:rPr>
              <w:t xml:space="preserve"> TOTAL </w:t>
            </w:r>
          </w:p>
        </w:tc>
        <w:tc>
          <w:tcPr>
            <w:tcW w:w="1736"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b/>
                <w:bCs/>
                <w:color w:val="000000"/>
                <w:sz w:val="16"/>
                <w:szCs w:val="16"/>
              </w:rPr>
            </w:pPr>
            <w:r w:rsidRPr="007B1B92">
              <w:rPr>
                <w:rFonts w:cs="Arial"/>
                <w:b/>
                <w:bCs/>
                <w:color w:val="000000"/>
                <w:sz w:val="16"/>
                <w:szCs w:val="16"/>
              </w:rPr>
              <w:t>50,408</w:t>
            </w:r>
          </w:p>
        </w:tc>
        <w:tc>
          <w:tcPr>
            <w:tcW w:w="1737"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b/>
                <w:color w:val="000000"/>
                <w:sz w:val="16"/>
                <w:szCs w:val="16"/>
              </w:rPr>
            </w:pPr>
            <w:r w:rsidRPr="007B1B92">
              <w:rPr>
                <w:rFonts w:cs="Arial"/>
                <w:b/>
                <w:color w:val="000000"/>
                <w:sz w:val="16"/>
                <w:szCs w:val="16"/>
              </w:rPr>
              <w:t>50,622</w:t>
            </w:r>
          </w:p>
        </w:tc>
        <w:tc>
          <w:tcPr>
            <w:tcW w:w="1736"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b/>
                <w:color w:val="000000"/>
                <w:sz w:val="16"/>
                <w:szCs w:val="16"/>
              </w:rPr>
            </w:pPr>
            <w:r w:rsidRPr="007B1B92">
              <w:rPr>
                <w:rFonts w:cs="Arial"/>
                <w:b/>
                <w:color w:val="000000"/>
                <w:sz w:val="16"/>
                <w:szCs w:val="16"/>
              </w:rPr>
              <w:t>50,581</w:t>
            </w:r>
          </w:p>
        </w:tc>
        <w:tc>
          <w:tcPr>
            <w:tcW w:w="1737" w:type="dxa"/>
            <w:tcBorders>
              <w:top w:val="nil"/>
              <w:left w:val="nil"/>
              <w:bottom w:val="single" w:sz="4" w:space="0" w:color="auto"/>
              <w:right w:val="single" w:sz="4" w:space="0" w:color="auto"/>
            </w:tcBorders>
            <w:shd w:val="clear" w:color="auto" w:fill="auto"/>
            <w:vAlign w:val="center"/>
            <w:hideMark/>
          </w:tcPr>
          <w:p w:rsidR="0078145B" w:rsidRPr="007B1B92" w:rsidRDefault="0078145B" w:rsidP="005228A5">
            <w:pPr>
              <w:spacing w:before="120" w:after="120"/>
              <w:jc w:val="center"/>
              <w:rPr>
                <w:rFonts w:cs="Arial"/>
                <w:b/>
                <w:color w:val="000000"/>
                <w:sz w:val="16"/>
                <w:szCs w:val="16"/>
              </w:rPr>
            </w:pPr>
            <w:r w:rsidRPr="007B1B92">
              <w:rPr>
                <w:rFonts w:cs="Arial"/>
                <w:b/>
                <w:color w:val="000000"/>
                <w:sz w:val="16"/>
                <w:szCs w:val="16"/>
              </w:rPr>
              <w:t>100%</w:t>
            </w:r>
          </w:p>
        </w:tc>
      </w:tr>
    </w:tbl>
    <w:p w:rsidR="0078145B" w:rsidRPr="007B1B92" w:rsidRDefault="0078145B" w:rsidP="0078145B">
      <w:pPr>
        <w:keepNext/>
        <w:keepLines/>
        <w:rPr>
          <w:rFonts w:cs="Arial"/>
          <w:color w:val="000000" w:themeColor="text1"/>
          <w:szCs w:val="20"/>
        </w:rPr>
      </w:pPr>
    </w:p>
    <w:p w:rsidR="0078145B" w:rsidRPr="007B1B92" w:rsidRDefault="0078145B" w:rsidP="0078145B">
      <w:pPr>
        <w:keepNext/>
        <w:autoSpaceDE w:val="0"/>
        <w:autoSpaceDN w:val="0"/>
        <w:rPr>
          <w:rFonts w:cs="Arial"/>
          <w:sz w:val="16"/>
          <w:szCs w:val="16"/>
        </w:rPr>
      </w:pPr>
      <w:r w:rsidRPr="007B1B92">
        <w:rPr>
          <w:rFonts w:cs="Arial"/>
          <w:sz w:val="16"/>
          <w:szCs w:val="16"/>
        </w:rPr>
        <w:t>NOTES:</w:t>
      </w:r>
    </w:p>
    <w:p w:rsidR="0078145B" w:rsidRPr="007B1B92" w:rsidRDefault="0078145B" w:rsidP="0078145B">
      <w:pPr>
        <w:keepNext/>
        <w:autoSpaceDE w:val="0"/>
        <w:autoSpaceDN w:val="0"/>
        <w:rPr>
          <w:rFonts w:cs="Arial"/>
          <w:sz w:val="16"/>
          <w:szCs w:val="16"/>
        </w:rPr>
      </w:pPr>
    </w:p>
    <w:p w:rsidR="0078145B" w:rsidRPr="007B1B92" w:rsidRDefault="0078145B" w:rsidP="0078145B">
      <w:pPr>
        <w:keepNext/>
        <w:autoSpaceDE w:val="0"/>
        <w:autoSpaceDN w:val="0"/>
        <w:rPr>
          <w:rFonts w:cs="Arial"/>
          <w:sz w:val="16"/>
          <w:szCs w:val="16"/>
        </w:rPr>
      </w:pPr>
      <w:r w:rsidRPr="007B1B92">
        <w:rPr>
          <w:rFonts w:cs="Arial"/>
          <w:sz w:val="16"/>
          <w:szCs w:val="16"/>
        </w:rPr>
        <w:t>(1)  Budget after transfers reflects the adjusted budget of Programs, following transfers during 2012/13 in line with Financial Regulation 5.5.</w:t>
      </w:r>
    </w:p>
    <w:p w:rsidR="0078145B" w:rsidRPr="007B1B92" w:rsidRDefault="0078145B" w:rsidP="0078145B">
      <w:pPr>
        <w:keepNext/>
        <w:autoSpaceDE w:val="0"/>
        <w:autoSpaceDN w:val="0"/>
        <w:rPr>
          <w:rFonts w:cs="Arial"/>
          <w:sz w:val="16"/>
          <w:szCs w:val="16"/>
        </w:rPr>
      </w:pPr>
    </w:p>
    <w:p w:rsidR="0078145B" w:rsidRPr="007B1B92" w:rsidRDefault="00DC2CFA" w:rsidP="0078145B">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78145B" w:rsidRPr="007B1B92">
        <w:rPr>
          <w:rFonts w:cs="Arial"/>
          <w:sz w:val="16"/>
          <w:szCs w:val="16"/>
        </w:rPr>
        <w:t xml:space="preserve"> </w:t>
      </w:r>
    </w:p>
    <w:p w:rsidR="0078145B" w:rsidRPr="007B1B92" w:rsidRDefault="0078145B" w:rsidP="0078145B">
      <w:pPr>
        <w:keepNext/>
        <w:keepLines/>
        <w:rPr>
          <w:rFonts w:cs="Arial"/>
          <w:color w:val="000000" w:themeColor="text1"/>
          <w:szCs w:val="20"/>
        </w:rPr>
      </w:pPr>
    </w:p>
    <w:p w:rsidR="0078145B" w:rsidRPr="000B30BD" w:rsidRDefault="0078145B" w:rsidP="007B2B25">
      <w:pPr>
        <w:pStyle w:val="ListParagraph"/>
        <w:numPr>
          <w:ilvl w:val="0"/>
          <w:numId w:val="80"/>
        </w:numPr>
        <w:tabs>
          <w:tab w:val="left" w:pos="709"/>
        </w:tabs>
        <w:autoSpaceDE w:val="0"/>
        <w:autoSpaceDN w:val="0"/>
        <w:adjustRightInd w:val="0"/>
        <w:ind w:left="709" w:hanging="709"/>
        <w:rPr>
          <w:rFonts w:cs="Arial"/>
          <w:color w:val="000000"/>
          <w:u w:val="single"/>
        </w:rPr>
      </w:pPr>
      <w:r w:rsidRPr="000B30BD">
        <w:rPr>
          <w:rFonts w:cs="Arial"/>
          <w:color w:val="000000"/>
          <w:u w:val="single"/>
        </w:rPr>
        <w:t xml:space="preserve">Budget after Transfers 2012/13 </w:t>
      </w:r>
    </w:p>
    <w:p w:rsidR="0078145B" w:rsidRDefault="0078145B" w:rsidP="0078145B">
      <w:pPr>
        <w:keepNext/>
        <w:tabs>
          <w:tab w:val="left" w:pos="709"/>
        </w:tabs>
        <w:autoSpaceDE w:val="0"/>
        <w:autoSpaceDN w:val="0"/>
        <w:ind w:left="709" w:hanging="709"/>
        <w:jc w:val="both"/>
        <w:rPr>
          <w:rFonts w:cs="Arial"/>
          <w:color w:val="000000"/>
          <w:szCs w:val="20"/>
        </w:rPr>
      </w:pPr>
    </w:p>
    <w:p w:rsidR="0078145B" w:rsidRDefault="0078145B" w:rsidP="002C4DAD">
      <w:pPr>
        <w:keepNext/>
        <w:tabs>
          <w:tab w:val="left" w:pos="709"/>
        </w:tabs>
        <w:autoSpaceDE w:val="0"/>
        <w:autoSpaceDN w:val="0"/>
        <w:jc w:val="both"/>
        <w:rPr>
          <w:rFonts w:cs="Arial"/>
          <w:szCs w:val="20"/>
        </w:rPr>
      </w:pPr>
      <w:r>
        <w:rPr>
          <w:rFonts w:cs="Arial"/>
          <w:szCs w:val="20"/>
        </w:rPr>
        <w:t>25.6.</w:t>
      </w:r>
      <w:r>
        <w:rPr>
          <w:rFonts w:cs="Arial"/>
          <w:szCs w:val="20"/>
        </w:rPr>
        <w:tab/>
      </w:r>
      <w:r w:rsidRPr="00A027F3">
        <w:rPr>
          <w:rFonts w:cs="Arial"/>
          <w:szCs w:val="20"/>
        </w:rPr>
        <w:t xml:space="preserve">The 2012/13 Budget after Transfers reflects </w:t>
      </w:r>
      <w:r w:rsidR="002C4DAD">
        <w:rPr>
          <w:rFonts w:cs="Arial"/>
          <w:szCs w:val="20"/>
        </w:rPr>
        <w:t>a decrease in non-personnel resources due to</w:t>
      </w:r>
      <w:r w:rsidR="002C4DAD" w:rsidRPr="00A027F3">
        <w:rPr>
          <w:rFonts w:cs="Arial"/>
          <w:szCs w:val="20"/>
        </w:rPr>
        <w:t xml:space="preserve"> </w:t>
      </w:r>
      <w:r w:rsidRPr="00A027F3">
        <w:rPr>
          <w:rFonts w:cs="Arial"/>
          <w:szCs w:val="20"/>
        </w:rPr>
        <w:t>adjustments made for cost efficiency gains, in accordance with the Organization’s commitment to reduce expenditures by 10.2 million Swiss francs in the 2012/13 biennium.</w:t>
      </w:r>
      <w:r>
        <w:rPr>
          <w:rFonts w:cs="Arial"/>
          <w:szCs w:val="20"/>
        </w:rPr>
        <w:t xml:space="preserve">  </w:t>
      </w:r>
    </w:p>
    <w:p w:rsidR="0078145B" w:rsidRPr="00223026" w:rsidRDefault="0078145B" w:rsidP="002C4DAD">
      <w:pPr>
        <w:keepNext/>
        <w:tabs>
          <w:tab w:val="left" w:pos="709"/>
        </w:tabs>
        <w:autoSpaceDE w:val="0"/>
        <w:autoSpaceDN w:val="0"/>
        <w:jc w:val="both"/>
        <w:rPr>
          <w:rFonts w:cs="Arial"/>
          <w:szCs w:val="20"/>
        </w:rPr>
      </w:pPr>
    </w:p>
    <w:p w:rsidR="002C4DAD" w:rsidRDefault="002C4DAD" w:rsidP="002C4DAD">
      <w:pPr>
        <w:keepNext/>
        <w:keepLines/>
        <w:tabs>
          <w:tab w:val="left" w:pos="709"/>
        </w:tabs>
        <w:jc w:val="both"/>
        <w:rPr>
          <w:rFonts w:cs="Arial"/>
          <w:color w:val="000000"/>
          <w:szCs w:val="20"/>
        </w:rPr>
      </w:pPr>
      <w:r>
        <w:rPr>
          <w:rFonts w:cs="Arial"/>
          <w:color w:val="000000"/>
          <w:szCs w:val="20"/>
        </w:rPr>
        <w:t>25.7.</w:t>
      </w:r>
      <w:r>
        <w:rPr>
          <w:rFonts w:cs="Arial"/>
          <w:color w:val="000000"/>
          <w:szCs w:val="20"/>
        </w:rPr>
        <w:tab/>
        <w:t>This was offset by an increase in personnel resources, primarily due to the reclassification of a number of posts, including for the strengthening of the IT enterprise architecture function, and regularization of continuing functions.</w:t>
      </w:r>
    </w:p>
    <w:p w:rsidR="002C4DAD" w:rsidRDefault="002C4DAD" w:rsidP="002C4DAD">
      <w:pPr>
        <w:keepNext/>
        <w:keepLines/>
        <w:tabs>
          <w:tab w:val="left" w:pos="709"/>
        </w:tabs>
        <w:jc w:val="both"/>
        <w:rPr>
          <w:rFonts w:cs="Arial"/>
          <w:color w:val="000000"/>
          <w:szCs w:val="20"/>
        </w:rPr>
      </w:pPr>
    </w:p>
    <w:p w:rsidR="0078145B" w:rsidRPr="00223026" w:rsidRDefault="0078145B" w:rsidP="002C4DAD">
      <w:pPr>
        <w:keepNext/>
        <w:tabs>
          <w:tab w:val="left" w:pos="709"/>
        </w:tabs>
        <w:autoSpaceDE w:val="0"/>
        <w:autoSpaceDN w:val="0"/>
        <w:jc w:val="both"/>
        <w:rPr>
          <w:rFonts w:cs="Arial"/>
          <w:szCs w:val="20"/>
        </w:rPr>
      </w:pPr>
      <w:r>
        <w:rPr>
          <w:rFonts w:cs="Arial"/>
          <w:szCs w:val="20"/>
        </w:rPr>
        <w:t>25.</w:t>
      </w:r>
      <w:r w:rsidR="002C4DAD">
        <w:rPr>
          <w:rFonts w:cs="Arial"/>
          <w:szCs w:val="20"/>
        </w:rPr>
        <w:t>8</w:t>
      </w:r>
      <w:r>
        <w:rPr>
          <w:rFonts w:cs="Arial"/>
          <w:szCs w:val="20"/>
        </w:rPr>
        <w:t>.</w:t>
      </w:r>
      <w:r>
        <w:rPr>
          <w:rFonts w:cs="Arial"/>
          <w:szCs w:val="20"/>
        </w:rPr>
        <w:tab/>
      </w:r>
      <w:r w:rsidRPr="00223026">
        <w:rPr>
          <w:rFonts w:cs="Arial"/>
          <w:szCs w:val="20"/>
        </w:rPr>
        <w:t>Within the overall non-personnel budget, a shift can be observed from Results IX.4 (</w:t>
      </w:r>
      <w:r w:rsidRPr="00223026">
        <w:rPr>
          <w:rFonts w:cs="Arial"/>
          <w:color w:val="000000"/>
          <w:szCs w:val="20"/>
        </w:rPr>
        <w:t>WIPO staff, delegates, visitors and information and physical assets are safe and secure)</w:t>
      </w:r>
      <w:r w:rsidRPr="00223026">
        <w:rPr>
          <w:rFonts w:cs="Arial"/>
          <w:szCs w:val="20"/>
        </w:rPr>
        <w:t xml:space="preserve"> and IX.14 (</w:t>
      </w:r>
      <w:r w:rsidRPr="00223026">
        <w:rPr>
          <w:rFonts w:cs="Arial"/>
          <w:color w:val="000000"/>
          <w:szCs w:val="20"/>
        </w:rPr>
        <w:t>ICT investments are closely aligned) to Result IX.1 (Effective, efficient, quality and customer-oriented support services) refl</w:t>
      </w:r>
      <w:r>
        <w:rPr>
          <w:rFonts w:cs="Arial"/>
          <w:color w:val="000000"/>
          <w:szCs w:val="20"/>
        </w:rPr>
        <w:t xml:space="preserve">ecting </w:t>
      </w:r>
      <w:r w:rsidR="002C4DAD">
        <w:rPr>
          <w:rFonts w:cs="Arial"/>
          <w:color w:val="000000"/>
          <w:szCs w:val="20"/>
        </w:rPr>
        <w:t xml:space="preserve">the </w:t>
      </w:r>
      <w:r>
        <w:rPr>
          <w:rFonts w:cs="Arial"/>
          <w:color w:val="000000"/>
          <w:szCs w:val="20"/>
        </w:rPr>
        <w:t>increase in the outsourcing to UNICC</w:t>
      </w:r>
      <w:r w:rsidRPr="00223026">
        <w:rPr>
          <w:rFonts w:cs="Arial"/>
          <w:color w:val="000000"/>
          <w:szCs w:val="20"/>
        </w:rPr>
        <w:t>.</w:t>
      </w:r>
    </w:p>
    <w:p w:rsidR="0078145B" w:rsidRDefault="0078145B" w:rsidP="002C4DAD">
      <w:pPr>
        <w:keepNext/>
        <w:keepLines/>
        <w:tabs>
          <w:tab w:val="left" w:pos="709"/>
        </w:tabs>
        <w:jc w:val="both"/>
        <w:rPr>
          <w:rFonts w:cs="Arial"/>
          <w:color w:val="000000"/>
          <w:szCs w:val="20"/>
        </w:rPr>
      </w:pPr>
    </w:p>
    <w:p w:rsidR="0078145B" w:rsidRPr="000B30BD" w:rsidRDefault="0078145B" w:rsidP="0078145B">
      <w:pPr>
        <w:keepNext/>
        <w:keepLines/>
        <w:tabs>
          <w:tab w:val="left" w:pos="709"/>
        </w:tabs>
        <w:ind w:left="709" w:hanging="709"/>
        <w:jc w:val="both"/>
        <w:rPr>
          <w:rFonts w:cs="Arial"/>
          <w:color w:val="000000"/>
          <w:szCs w:val="20"/>
        </w:rPr>
      </w:pPr>
    </w:p>
    <w:p w:rsidR="0078145B" w:rsidRDefault="0078145B" w:rsidP="0078145B">
      <w:pPr>
        <w:keepNext/>
        <w:keepLines/>
        <w:tabs>
          <w:tab w:val="left" w:pos="709"/>
        </w:tabs>
        <w:ind w:left="709" w:hanging="709"/>
        <w:jc w:val="both"/>
        <w:rPr>
          <w:rFonts w:cs="Arial"/>
          <w:color w:val="000000" w:themeColor="text1"/>
          <w:szCs w:val="20"/>
        </w:rPr>
      </w:pPr>
      <w:r>
        <w:rPr>
          <w:rFonts w:cs="Arial"/>
          <w:color w:val="000000" w:themeColor="text1"/>
          <w:szCs w:val="20"/>
        </w:rPr>
        <w:t>B.</w:t>
      </w:r>
      <w:r>
        <w:rPr>
          <w:rFonts w:cs="Arial"/>
          <w:color w:val="000000" w:themeColor="text1"/>
          <w:szCs w:val="20"/>
        </w:rPr>
        <w:tab/>
      </w:r>
      <w:r w:rsidRPr="000B30BD">
        <w:rPr>
          <w:rFonts w:cs="Arial"/>
          <w:color w:val="000000" w:themeColor="text1"/>
          <w:szCs w:val="20"/>
          <w:u w:val="single"/>
        </w:rPr>
        <w:t>Budget Utilization 2012/13</w:t>
      </w:r>
    </w:p>
    <w:p w:rsidR="0078145B" w:rsidRDefault="0078145B" w:rsidP="0078145B">
      <w:pPr>
        <w:keepNext/>
        <w:keepLines/>
        <w:tabs>
          <w:tab w:val="left" w:pos="709"/>
        </w:tabs>
        <w:ind w:left="709" w:hanging="709"/>
        <w:jc w:val="both"/>
        <w:rPr>
          <w:rFonts w:cs="Arial"/>
          <w:color w:val="000000" w:themeColor="text1"/>
          <w:szCs w:val="20"/>
        </w:rPr>
      </w:pPr>
    </w:p>
    <w:p w:rsidR="0078145B" w:rsidRPr="00DC59AA" w:rsidRDefault="0078145B" w:rsidP="006B2753">
      <w:pPr>
        <w:tabs>
          <w:tab w:val="left" w:pos="709"/>
        </w:tabs>
        <w:autoSpaceDE w:val="0"/>
        <w:autoSpaceDN w:val="0"/>
        <w:adjustRightInd w:val="0"/>
        <w:jc w:val="both"/>
        <w:rPr>
          <w:rFonts w:eastAsia="Batang" w:cs="Arial"/>
          <w:szCs w:val="20"/>
          <w:lang w:eastAsia="ko-KR"/>
        </w:rPr>
      </w:pPr>
      <w:r>
        <w:rPr>
          <w:rFonts w:eastAsia="Batang" w:cs="Arial"/>
          <w:szCs w:val="20"/>
          <w:lang w:eastAsia="ko-KR"/>
        </w:rPr>
        <w:t>25.9.</w:t>
      </w:r>
      <w:r>
        <w:rPr>
          <w:rFonts w:eastAsia="Batang" w:cs="Arial"/>
          <w:szCs w:val="20"/>
          <w:lang w:eastAsia="ko-KR"/>
        </w:rPr>
        <w:tab/>
      </w:r>
      <w:r w:rsidRPr="00DC59AA">
        <w:rPr>
          <w:rFonts w:eastAsia="Batang" w:cs="Arial"/>
          <w:szCs w:val="20"/>
          <w:lang w:eastAsia="ko-KR"/>
        </w:rPr>
        <w:t xml:space="preserve">Overall budget utilization for the Program in the biennium was in accordance with the Budget after Transfer for 2012/13. </w:t>
      </w:r>
    </w:p>
    <w:p w:rsidR="0078145B" w:rsidRDefault="0078145B" w:rsidP="0078145B">
      <w:pPr>
        <w:keepNext/>
        <w:keepLines/>
        <w:tabs>
          <w:tab w:val="left" w:pos="709"/>
        </w:tabs>
        <w:ind w:left="709" w:hanging="709"/>
        <w:rPr>
          <w:rFonts w:cs="Arial"/>
          <w:color w:val="000000" w:themeColor="text1"/>
          <w:szCs w:val="20"/>
        </w:rPr>
      </w:pPr>
    </w:p>
    <w:p w:rsidR="009D5A2C" w:rsidRDefault="009D5A2C">
      <w:pPr>
        <w:rPr>
          <w:rFonts w:ascii="Arial Bold" w:hAnsi="Arial Bold" w:cs="Arial"/>
          <w:b/>
          <w:bCs/>
          <w:iCs/>
          <w:caps/>
          <w:sz w:val="22"/>
          <w:szCs w:val="28"/>
        </w:rPr>
      </w:pPr>
      <w:r>
        <w:br w:type="page"/>
      </w:r>
    </w:p>
    <w:p w:rsidR="006B07F6" w:rsidRPr="006F08EA" w:rsidRDefault="006F08EA" w:rsidP="006F08EA">
      <w:pPr>
        <w:pStyle w:val="Heading3"/>
      </w:pPr>
      <w:bookmarkStart w:id="67" w:name="_Toc393956077"/>
      <w:r w:rsidRPr="006F08EA">
        <w:lastRenderedPageBreak/>
        <w:t>Program 26</w:t>
      </w:r>
      <w:r w:rsidRPr="006F08EA">
        <w:tab/>
        <w:t>Internal Oversight</w:t>
      </w:r>
      <w:bookmarkEnd w:id="67"/>
    </w:p>
    <w:p w:rsidR="006B07F6" w:rsidRPr="00FA2114" w:rsidRDefault="006B07F6" w:rsidP="006B07F6">
      <w:pPr>
        <w:ind w:left="2268" w:hanging="2268"/>
        <w:rPr>
          <w:rFonts w:cs="Arial"/>
          <w:b/>
          <w:sz w:val="22"/>
          <w:szCs w:val="22"/>
        </w:rPr>
      </w:pPr>
    </w:p>
    <w:p w:rsidR="006B07F6" w:rsidRPr="00FA2114" w:rsidRDefault="006B07F6" w:rsidP="006B07F6">
      <w:pPr>
        <w:ind w:left="2268" w:hanging="2268"/>
        <w:rPr>
          <w:rFonts w:cs="Arial"/>
          <w:b/>
          <w:sz w:val="22"/>
          <w:szCs w:val="22"/>
        </w:rPr>
      </w:pPr>
      <w:r w:rsidRPr="00FA2114">
        <w:rPr>
          <w:rFonts w:cs="Arial"/>
          <w:b/>
          <w:sz w:val="22"/>
          <w:szCs w:val="22"/>
        </w:rPr>
        <w:t>Program Manager</w:t>
      </w:r>
      <w:r w:rsidRPr="00FA2114">
        <w:rPr>
          <w:rFonts w:cs="Arial"/>
          <w:b/>
          <w:sz w:val="22"/>
          <w:szCs w:val="22"/>
        </w:rPr>
        <w:tab/>
      </w:r>
      <w:r w:rsidRPr="00FA2114">
        <w:rPr>
          <w:rFonts w:cs="Arial"/>
          <w:b/>
          <w:sz w:val="22"/>
          <w:szCs w:val="22"/>
        </w:rPr>
        <w:tab/>
        <w:t>Mr. T. Rajaobelina</w:t>
      </w:r>
    </w:p>
    <w:p w:rsidR="006B07F6" w:rsidRPr="00FA2114" w:rsidRDefault="006B07F6" w:rsidP="006B07F6">
      <w:pPr>
        <w:rPr>
          <w:rFonts w:cs="Arial"/>
          <w:sz w:val="22"/>
          <w:szCs w:val="22"/>
        </w:rPr>
      </w:pPr>
    </w:p>
    <w:p w:rsidR="006B07F6" w:rsidRPr="00FA2114" w:rsidRDefault="006B07F6" w:rsidP="006B07F6">
      <w:pPr>
        <w:rPr>
          <w:rFonts w:cs="Arial"/>
          <w:bCs/>
          <w:sz w:val="22"/>
          <w:szCs w:val="22"/>
        </w:rPr>
      </w:pPr>
    </w:p>
    <w:p w:rsidR="006B07F6" w:rsidRPr="00162BF5" w:rsidRDefault="006B07F6" w:rsidP="006B07F6">
      <w:pPr>
        <w:rPr>
          <w:rFonts w:cs="Arial"/>
          <w:sz w:val="22"/>
          <w:szCs w:val="22"/>
        </w:rPr>
      </w:pPr>
      <w:r w:rsidRPr="00162BF5">
        <w:rPr>
          <w:rFonts w:cs="Arial"/>
          <w:bCs/>
          <w:sz w:val="22"/>
          <w:szCs w:val="22"/>
        </w:rPr>
        <w:t>ACHIEVEMENTS IN THE 2012/13 BIENNIUM</w:t>
      </w:r>
    </w:p>
    <w:p w:rsidR="006B07F6" w:rsidRPr="00162BF5" w:rsidRDefault="006B07F6" w:rsidP="006B07F6">
      <w:pPr>
        <w:rPr>
          <w:rFonts w:cs="Arial"/>
          <w:sz w:val="22"/>
          <w:szCs w:val="22"/>
        </w:rPr>
      </w:pPr>
    </w:p>
    <w:p w:rsidR="006B07F6" w:rsidRDefault="006B07F6" w:rsidP="006B07F6">
      <w:pPr>
        <w:pStyle w:val="ListParagraph"/>
        <w:tabs>
          <w:tab w:val="left" w:pos="720"/>
        </w:tabs>
        <w:ind w:left="0"/>
        <w:jc w:val="both"/>
        <w:rPr>
          <w:rFonts w:cs="Arial"/>
        </w:rPr>
      </w:pPr>
      <w:r>
        <w:rPr>
          <w:rFonts w:cs="Arial"/>
        </w:rPr>
        <w:t>26.1.</w:t>
      </w:r>
      <w:r>
        <w:rPr>
          <w:rFonts w:cs="Arial"/>
        </w:rPr>
        <w:tab/>
      </w:r>
      <w:r w:rsidRPr="00822478">
        <w:rPr>
          <w:rFonts w:cs="Arial"/>
        </w:rPr>
        <w:t>The Internal Audit and Oversight Division (IAOD) under</w:t>
      </w:r>
      <w:r>
        <w:rPr>
          <w:rFonts w:cs="Arial"/>
        </w:rPr>
        <w:t>went</w:t>
      </w:r>
      <w:r w:rsidRPr="00822478">
        <w:rPr>
          <w:rFonts w:cs="Arial"/>
        </w:rPr>
        <w:t xml:space="preserve"> significant changes in staffing with the arrival of the new </w:t>
      </w:r>
      <w:r w:rsidR="00545109">
        <w:rPr>
          <w:rFonts w:cs="Arial"/>
        </w:rPr>
        <w:t>D</w:t>
      </w:r>
      <w:r w:rsidRPr="00822478">
        <w:rPr>
          <w:rFonts w:cs="Arial"/>
        </w:rPr>
        <w:t xml:space="preserve">irector of IAOD and the appointment of a new Head for the Investigation Section. </w:t>
      </w:r>
      <w:r>
        <w:rPr>
          <w:rFonts w:cs="Arial"/>
        </w:rPr>
        <w:t xml:space="preserve"> By the end</w:t>
      </w:r>
      <w:r w:rsidRPr="00822478">
        <w:rPr>
          <w:rFonts w:cs="Arial"/>
        </w:rPr>
        <w:t xml:space="preserve"> </w:t>
      </w:r>
      <w:r>
        <w:rPr>
          <w:rFonts w:cs="Arial"/>
        </w:rPr>
        <w:t xml:space="preserve">of </w:t>
      </w:r>
      <w:r w:rsidRPr="00822478">
        <w:rPr>
          <w:rFonts w:cs="Arial"/>
        </w:rPr>
        <w:t xml:space="preserve">the biennium, all vacant posts </w:t>
      </w:r>
      <w:r>
        <w:rPr>
          <w:rFonts w:cs="Arial"/>
        </w:rPr>
        <w:t>had been filled and staffing was complete</w:t>
      </w:r>
      <w:r w:rsidRPr="00822478">
        <w:rPr>
          <w:rFonts w:cs="Arial"/>
        </w:rPr>
        <w:t xml:space="preserve">.  Major changes also occurred with the introduction and use of </w:t>
      </w:r>
      <w:proofErr w:type="gramStart"/>
      <w:r w:rsidRPr="00822478">
        <w:rPr>
          <w:rFonts w:cs="Arial"/>
        </w:rPr>
        <w:t>an</w:t>
      </w:r>
      <w:r>
        <w:rPr>
          <w:rFonts w:cs="Arial"/>
        </w:rPr>
        <w:t xml:space="preserve"> </w:t>
      </w:r>
      <w:r w:rsidRPr="00822478">
        <w:rPr>
          <w:rFonts w:cs="Arial"/>
        </w:rPr>
        <w:t>electronic</w:t>
      </w:r>
      <w:proofErr w:type="gramEnd"/>
      <w:r w:rsidRPr="00822478">
        <w:rPr>
          <w:rFonts w:cs="Arial"/>
        </w:rPr>
        <w:t xml:space="preserve"> working paper management software for recording </w:t>
      </w:r>
      <w:r>
        <w:rPr>
          <w:rFonts w:cs="Arial"/>
        </w:rPr>
        <w:t>oversight</w:t>
      </w:r>
      <w:r w:rsidRPr="00822478">
        <w:rPr>
          <w:rFonts w:cs="Arial"/>
        </w:rPr>
        <w:t xml:space="preserve"> process</w:t>
      </w:r>
      <w:r>
        <w:rPr>
          <w:rFonts w:cs="Arial"/>
        </w:rPr>
        <w:t>es</w:t>
      </w:r>
      <w:r w:rsidRPr="00822478">
        <w:rPr>
          <w:rFonts w:cs="Arial"/>
        </w:rPr>
        <w:t xml:space="preserve"> including planning, fieldwork, review and reporting.  This software </w:t>
      </w:r>
      <w:r>
        <w:rPr>
          <w:rFonts w:cs="Arial"/>
        </w:rPr>
        <w:t>facilitated</w:t>
      </w:r>
      <w:r w:rsidRPr="00822478">
        <w:rPr>
          <w:rFonts w:cs="Arial"/>
        </w:rPr>
        <w:t xml:space="preserve"> enhanced working processes, </w:t>
      </w:r>
      <w:r>
        <w:rPr>
          <w:rFonts w:cs="Arial"/>
        </w:rPr>
        <w:t xml:space="preserve">but </w:t>
      </w:r>
      <w:r w:rsidRPr="00822478">
        <w:rPr>
          <w:rFonts w:cs="Arial"/>
        </w:rPr>
        <w:t>required a significant amount of time to implement, which slightly impacted the plan</w:t>
      </w:r>
      <w:r>
        <w:rPr>
          <w:rFonts w:cs="Arial"/>
        </w:rPr>
        <w:t xml:space="preserve"> for the biennium</w:t>
      </w:r>
      <w:r w:rsidRPr="00822478">
        <w:rPr>
          <w:rFonts w:cs="Arial"/>
        </w:rPr>
        <w:t xml:space="preserve">. </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26.2.</w:t>
      </w:r>
      <w:r>
        <w:rPr>
          <w:rFonts w:cs="Arial"/>
        </w:rPr>
        <w:tab/>
      </w:r>
      <w:r w:rsidRPr="00822478">
        <w:rPr>
          <w:rFonts w:cs="Arial"/>
        </w:rPr>
        <w:t xml:space="preserve">IAOD issued 19 audit and evaluation reports with 161 recommendations for improvements.  IAOD’s Oversight Plan was established by using IAOD’s risk assessment methodology taking into account inputs received from Member States, the Independent Advisory Oversight Committee (IAOC), Senior Management and the External Auditor. </w:t>
      </w:r>
      <w:r>
        <w:rPr>
          <w:rFonts w:cs="Arial"/>
        </w:rPr>
        <w:t xml:space="preserve"> </w:t>
      </w:r>
      <w:r w:rsidRPr="00822478">
        <w:rPr>
          <w:rFonts w:cs="Arial"/>
        </w:rPr>
        <w:t xml:space="preserve">Audit and evaluation activities covered various program and project management areas including Development Agenda projects, results based management, human resources management, </w:t>
      </w:r>
      <w:r>
        <w:rPr>
          <w:rFonts w:cs="Arial"/>
        </w:rPr>
        <w:t xml:space="preserve">the </w:t>
      </w:r>
      <w:r w:rsidRPr="00822478">
        <w:rPr>
          <w:rFonts w:cs="Arial"/>
        </w:rPr>
        <w:t>Conferences and Language Department</w:t>
      </w:r>
      <w:r>
        <w:rPr>
          <w:rFonts w:cs="Arial"/>
        </w:rPr>
        <w:t>,</w:t>
      </w:r>
      <w:r w:rsidRPr="00822478">
        <w:rPr>
          <w:rFonts w:cs="Arial"/>
        </w:rPr>
        <w:t xml:space="preserve"> Information and Communication Technology, travel and revenue generation processes under the </w:t>
      </w:r>
      <w:r w:rsidR="002C4DAD">
        <w:rPr>
          <w:rFonts w:cs="Arial"/>
        </w:rPr>
        <w:t>PCT</w:t>
      </w:r>
      <w:r w:rsidRPr="00822478">
        <w:rPr>
          <w:rFonts w:cs="Arial"/>
        </w:rPr>
        <w:t xml:space="preserve">, Madrid and the Hague </w:t>
      </w:r>
      <w:r>
        <w:rPr>
          <w:rFonts w:cs="Arial"/>
        </w:rPr>
        <w:t>S</w:t>
      </w:r>
      <w:r w:rsidRPr="00822478">
        <w:rPr>
          <w:rFonts w:cs="Arial"/>
        </w:rPr>
        <w:t>ystems.</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26.3.</w:t>
      </w:r>
      <w:r>
        <w:rPr>
          <w:rFonts w:cs="Arial"/>
        </w:rPr>
        <w:tab/>
      </w:r>
      <w:r w:rsidRPr="00822478">
        <w:rPr>
          <w:rFonts w:cs="Arial"/>
        </w:rPr>
        <w:t>Through its independent and objective oversight work, IAOD assisted WIPO management in building up and maintaining a culture of learning and a strong commitment to accountability at all levels within the Organization while contributing to the fostering of improved organizational processes and operations.</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26.4.</w:t>
      </w:r>
      <w:r>
        <w:rPr>
          <w:rFonts w:cs="Arial"/>
        </w:rPr>
        <w:tab/>
      </w:r>
      <w:r w:rsidRPr="00822478">
        <w:rPr>
          <w:rFonts w:cs="Arial"/>
        </w:rPr>
        <w:t xml:space="preserve">The backlog of investigation cases </w:t>
      </w:r>
      <w:r>
        <w:rPr>
          <w:rFonts w:cs="Arial"/>
          <w:szCs w:val="22"/>
        </w:rPr>
        <w:t>came</w:t>
      </w:r>
      <w:r w:rsidRPr="00822478">
        <w:rPr>
          <w:rFonts w:cs="Arial"/>
          <w:szCs w:val="22"/>
        </w:rPr>
        <w:t xml:space="preserve"> under control </w:t>
      </w:r>
      <w:r>
        <w:rPr>
          <w:rFonts w:cs="Arial"/>
          <w:szCs w:val="22"/>
        </w:rPr>
        <w:t xml:space="preserve">without </w:t>
      </w:r>
      <w:r w:rsidRPr="00822478">
        <w:rPr>
          <w:rFonts w:cs="Arial"/>
        </w:rPr>
        <w:t>the caseload compromis</w:t>
      </w:r>
      <w:r>
        <w:rPr>
          <w:rFonts w:cs="Arial"/>
        </w:rPr>
        <w:t>ing</w:t>
      </w:r>
      <w:r w:rsidRPr="00822478">
        <w:rPr>
          <w:rFonts w:cs="Arial"/>
        </w:rPr>
        <w:t xml:space="preserve"> the </w:t>
      </w:r>
      <w:r>
        <w:rPr>
          <w:rFonts w:cs="Arial"/>
        </w:rPr>
        <w:t>IAOD</w:t>
      </w:r>
      <w:r w:rsidRPr="00822478">
        <w:rPr>
          <w:rFonts w:cs="Arial"/>
        </w:rPr>
        <w:t xml:space="preserve"> work plan despite 40 </w:t>
      </w:r>
      <w:r>
        <w:rPr>
          <w:rFonts w:cs="Arial"/>
        </w:rPr>
        <w:t xml:space="preserve">new </w:t>
      </w:r>
      <w:r w:rsidRPr="00822478">
        <w:rPr>
          <w:rFonts w:cs="Arial"/>
        </w:rPr>
        <w:t xml:space="preserve">cases being submitted during the biennium.  </w:t>
      </w:r>
      <w:r>
        <w:rPr>
          <w:rFonts w:cs="Arial"/>
        </w:rPr>
        <w:t>T</w:t>
      </w:r>
      <w:r w:rsidRPr="00822478">
        <w:rPr>
          <w:rFonts w:cs="Arial"/>
        </w:rPr>
        <w:t xml:space="preserve">he Investigation Policy and the revision of the Investigation Procedures Manual </w:t>
      </w:r>
      <w:r>
        <w:rPr>
          <w:rFonts w:cs="Arial"/>
        </w:rPr>
        <w:t>proved to be important</w:t>
      </w:r>
      <w:r w:rsidRPr="00822478">
        <w:rPr>
          <w:rFonts w:cs="Arial"/>
        </w:rPr>
        <w:t xml:space="preserve"> tools to </w:t>
      </w:r>
      <w:r>
        <w:rPr>
          <w:rFonts w:cs="Arial"/>
        </w:rPr>
        <w:t xml:space="preserve">better </w:t>
      </w:r>
      <w:r w:rsidRPr="00822478">
        <w:rPr>
          <w:rFonts w:cs="Arial"/>
        </w:rPr>
        <w:t xml:space="preserve">deal with </w:t>
      </w:r>
      <w:r>
        <w:rPr>
          <w:rFonts w:cs="Arial"/>
        </w:rPr>
        <w:t>the</w:t>
      </w:r>
      <w:r w:rsidRPr="00822478">
        <w:rPr>
          <w:rFonts w:cs="Arial"/>
        </w:rPr>
        <w:t xml:space="preserve"> caseload.</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26.5.</w:t>
      </w:r>
      <w:r>
        <w:rPr>
          <w:rFonts w:cs="Arial"/>
        </w:rPr>
        <w:tab/>
      </w:r>
      <w:r w:rsidRPr="00822478">
        <w:rPr>
          <w:rFonts w:cs="Arial"/>
        </w:rPr>
        <w:t>To better understand expectations from colleagues and obtain their feedback on oversight work, IAOD</w:t>
      </w:r>
      <w:r>
        <w:rPr>
          <w:rFonts w:cs="Arial"/>
        </w:rPr>
        <w:t xml:space="preserve"> </w:t>
      </w:r>
      <w:r w:rsidRPr="00822478">
        <w:rPr>
          <w:rFonts w:cs="Arial"/>
        </w:rPr>
        <w:t>launched client satisfaction surveys.  Such surveys allowed IAOD to better measure stakeholders’ expectations of its performance and identify areas for improvement.</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26.6.</w:t>
      </w:r>
      <w:r>
        <w:rPr>
          <w:rFonts w:cs="Arial"/>
        </w:rPr>
        <w:tab/>
      </w:r>
      <w:r w:rsidRPr="00822478">
        <w:rPr>
          <w:rFonts w:cs="Arial"/>
        </w:rPr>
        <w:t xml:space="preserve">Throughout the biennium, IAOD continued to reach out to staff, management and Member States through various presentations.  </w:t>
      </w:r>
      <w:r>
        <w:rPr>
          <w:rFonts w:cs="Arial"/>
        </w:rPr>
        <w:t>It</w:t>
      </w:r>
      <w:r w:rsidRPr="00822478">
        <w:rPr>
          <w:rFonts w:cs="Arial"/>
        </w:rPr>
        <w:t xml:space="preserve"> also organized a seminar to further raise awareness of the WIPO Evaluation Function and advocate for good evaluation practices and their usefulness for management and decision-making.</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26.7.</w:t>
      </w:r>
      <w:r>
        <w:rPr>
          <w:rFonts w:cs="Arial"/>
        </w:rPr>
        <w:tab/>
      </w:r>
      <w:r w:rsidRPr="00822478">
        <w:rPr>
          <w:rFonts w:cs="Arial"/>
        </w:rPr>
        <w:t xml:space="preserve">IAOD followed up on previous years’ recommendations to ensure </w:t>
      </w:r>
      <w:r>
        <w:rPr>
          <w:rFonts w:cs="Arial"/>
        </w:rPr>
        <w:t xml:space="preserve">effective follow up by </w:t>
      </w:r>
      <w:r w:rsidRPr="00822478">
        <w:rPr>
          <w:rFonts w:cs="Arial"/>
        </w:rPr>
        <w:t>management.  WIPO management also regularly consulted with IAOD on other issues such as drafting or revision of policies and the preparation of external reviews.</w:t>
      </w:r>
    </w:p>
    <w:p w:rsidR="006B07F6" w:rsidRPr="00822478" w:rsidRDefault="006B07F6" w:rsidP="006B07F6">
      <w:pPr>
        <w:pStyle w:val="ListParagraph"/>
        <w:tabs>
          <w:tab w:val="left" w:pos="720"/>
        </w:tabs>
        <w:ind w:left="0"/>
        <w:jc w:val="both"/>
        <w:rPr>
          <w:rFonts w:cs="Arial"/>
        </w:rPr>
      </w:pPr>
    </w:p>
    <w:p w:rsidR="006B07F6" w:rsidRDefault="006B07F6" w:rsidP="006B07F6">
      <w:pPr>
        <w:pStyle w:val="ListParagraph"/>
        <w:tabs>
          <w:tab w:val="left" w:pos="720"/>
        </w:tabs>
        <w:ind w:left="0"/>
        <w:jc w:val="both"/>
        <w:rPr>
          <w:rFonts w:cs="Arial"/>
        </w:rPr>
      </w:pPr>
      <w:r>
        <w:rPr>
          <w:rFonts w:cs="Arial"/>
        </w:rPr>
        <w:t>26.8.</w:t>
      </w:r>
      <w:r>
        <w:rPr>
          <w:rFonts w:cs="Arial"/>
        </w:rPr>
        <w:tab/>
      </w:r>
      <w:r w:rsidRPr="00822478">
        <w:rPr>
          <w:rFonts w:cs="Arial"/>
        </w:rPr>
        <w:t xml:space="preserve">IAOD’s work </w:t>
      </w:r>
      <w:r>
        <w:rPr>
          <w:rFonts w:cs="Arial"/>
        </w:rPr>
        <w:t>w</w:t>
      </w:r>
      <w:r w:rsidRPr="00822478">
        <w:rPr>
          <w:rFonts w:cs="Arial"/>
        </w:rPr>
        <w:t xml:space="preserve">as closely reviewed by the IAOC throughout the biennium.  In the past, IAOC had ranked the functioning of IAOD as a high risk.  In its annual report to the </w:t>
      </w:r>
      <w:r w:rsidR="002C4DAD">
        <w:rPr>
          <w:rFonts w:cs="Arial"/>
        </w:rPr>
        <w:t>PBC</w:t>
      </w:r>
      <w:r w:rsidRPr="00822478">
        <w:rPr>
          <w:rFonts w:cs="Arial"/>
        </w:rPr>
        <w:t xml:space="preserve"> in 2012</w:t>
      </w:r>
      <w:r w:rsidRPr="00822478">
        <w:rPr>
          <w:rFonts w:cs="Arial"/>
          <w:vertAlign w:val="superscript"/>
        </w:rPr>
        <w:footnoteReference w:id="41"/>
      </w:r>
      <w:r w:rsidRPr="00822478">
        <w:rPr>
          <w:rFonts w:cs="Arial"/>
          <w:vertAlign w:val="superscript"/>
        </w:rPr>
        <w:t>,</w:t>
      </w:r>
      <w:r w:rsidRPr="00822478">
        <w:rPr>
          <w:rFonts w:cs="Arial"/>
        </w:rPr>
        <w:t xml:space="preserve"> the IAOC underlined that it believed that the progress made towards addressing deficiencies in IAOD has been sufficient to reduce the risk ranking of IAOD’s work and commended the quality of some </w:t>
      </w:r>
      <w:r>
        <w:rPr>
          <w:rFonts w:cs="Arial"/>
        </w:rPr>
        <w:t>oversight</w:t>
      </w:r>
      <w:r w:rsidRPr="00822478">
        <w:rPr>
          <w:rFonts w:cs="Arial"/>
        </w:rPr>
        <w:t xml:space="preserve"> reports</w:t>
      </w:r>
      <w:r w:rsidRPr="00822478">
        <w:rPr>
          <w:rStyle w:val="FootnoteReference"/>
          <w:rFonts w:cs="Arial"/>
        </w:rPr>
        <w:footnoteReference w:id="42"/>
      </w:r>
      <w:r w:rsidRPr="00822478">
        <w:rPr>
          <w:rFonts w:cs="Arial"/>
        </w:rPr>
        <w:t>.</w:t>
      </w:r>
    </w:p>
    <w:p w:rsidR="006B07F6" w:rsidRPr="00822478" w:rsidRDefault="006B07F6" w:rsidP="006B07F6">
      <w:pPr>
        <w:pStyle w:val="ListParagraph"/>
        <w:tabs>
          <w:tab w:val="left" w:pos="720"/>
        </w:tabs>
        <w:ind w:left="0"/>
        <w:jc w:val="both"/>
        <w:rPr>
          <w:rFonts w:cs="Arial"/>
        </w:rPr>
      </w:pPr>
    </w:p>
    <w:p w:rsidR="006B07F6" w:rsidRDefault="006B07F6" w:rsidP="006B07F6">
      <w:pPr>
        <w:rPr>
          <w:rFonts w:ascii="ArialMT" w:hAnsi="ArialMT" w:cs="ArialMT"/>
          <w:color w:val="000000"/>
          <w:szCs w:val="20"/>
        </w:rPr>
      </w:pPr>
      <w:r>
        <w:rPr>
          <w:rFonts w:ascii="ArialMT" w:hAnsi="ArialMT" w:cs="ArialMT"/>
          <w:color w:val="000000"/>
          <w:szCs w:val="20"/>
        </w:rPr>
        <w:br w:type="page"/>
      </w:r>
    </w:p>
    <w:p w:rsidR="006B07F6" w:rsidRPr="00FE37B5" w:rsidRDefault="006B07F6" w:rsidP="006B07F6">
      <w:pPr>
        <w:rPr>
          <w:rFonts w:cs="Arial"/>
          <w:bCs/>
          <w:sz w:val="22"/>
          <w:szCs w:val="22"/>
        </w:rPr>
      </w:pPr>
      <w:r w:rsidRPr="00FE37B5">
        <w:rPr>
          <w:rFonts w:cs="Arial"/>
          <w:bCs/>
          <w:sz w:val="22"/>
          <w:szCs w:val="22"/>
        </w:rPr>
        <w:lastRenderedPageBreak/>
        <w:t xml:space="preserve">IMPLEMENTATION OF THE DEVELOPMENT AGENDA </w:t>
      </w:r>
    </w:p>
    <w:p w:rsidR="006B07F6" w:rsidRPr="00162BF5" w:rsidRDefault="006B07F6" w:rsidP="006B07F6">
      <w:pPr>
        <w:rPr>
          <w:rFonts w:cs="Arial"/>
          <w:b/>
          <w:bCs/>
          <w:color w:val="000000"/>
          <w:sz w:val="22"/>
          <w:szCs w:val="22"/>
        </w:rPr>
      </w:pPr>
    </w:p>
    <w:p w:rsidR="006B07F6" w:rsidRPr="00822478" w:rsidRDefault="006B07F6" w:rsidP="006B07F6">
      <w:pPr>
        <w:pStyle w:val="ListParagraph"/>
        <w:tabs>
          <w:tab w:val="left" w:pos="720"/>
        </w:tabs>
        <w:ind w:left="0"/>
        <w:jc w:val="both"/>
        <w:rPr>
          <w:rFonts w:cs="Arial"/>
        </w:rPr>
      </w:pPr>
      <w:r>
        <w:rPr>
          <w:rFonts w:cs="Arial"/>
        </w:rPr>
        <w:t>26.9.</w:t>
      </w:r>
      <w:r>
        <w:rPr>
          <w:rFonts w:cs="Arial"/>
        </w:rPr>
        <w:tab/>
        <w:t>F</w:t>
      </w:r>
      <w:r w:rsidRPr="00822478">
        <w:rPr>
          <w:rFonts w:cs="Arial"/>
        </w:rPr>
        <w:t>our evaluations of Development Agenda projects</w:t>
      </w:r>
      <w:r>
        <w:rPr>
          <w:rFonts w:cs="Arial"/>
        </w:rPr>
        <w:t xml:space="preserve"> were conducted</w:t>
      </w:r>
      <w:r w:rsidRPr="00822478">
        <w:rPr>
          <w:rFonts w:cs="Arial"/>
        </w:rPr>
        <w:t>, namely:</w:t>
      </w:r>
    </w:p>
    <w:p w:rsidR="006B07F6" w:rsidRPr="00822478" w:rsidRDefault="006B07F6" w:rsidP="006B07F6">
      <w:pPr>
        <w:jc w:val="both"/>
        <w:rPr>
          <w:rFonts w:cs="Arial"/>
          <w:szCs w:val="20"/>
        </w:rPr>
      </w:pPr>
    </w:p>
    <w:p w:rsidR="006B07F6" w:rsidRPr="00822478" w:rsidRDefault="006B07F6" w:rsidP="007B2B25">
      <w:pPr>
        <w:pStyle w:val="ListParagraph"/>
        <w:numPr>
          <w:ilvl w:val="0"/>
          <w:numId w:val="66"/>
        </w:numPr>
        <w:ind w:left="1134"/>
        <w:jc w:val="both"/>
        <w:rPr>
          <w:rFonts w:cs="Arial"/>
        </w:rPr>
      </w:pPr>
      <w:r w:rsidRPr="00822478">
        <w:rPr>
          <w:rFonts w:cs="Arial"/>
        </w:rPr>
        <w:t>DA Project on Developing Tools for Access to Patent Information;</w:t>
      </w:r>
    </w:p>
    <w:p w:rsidR="006B07F6" w:rsidRPr="00822478" w:rsidRDefault="006B07F6" w:rsidP="007B2B25">
      <w:pPr>
        <w:pStyle w:val="ListParagraph"/>
        <w:numPr>
          <w:ilvl w:val="0"/>
          <w:numId w:val="66"/>
        </w:numPr>
        <w:ind w:left="1134"/>
        <w:jc w:val="both"/>
        <w:rPr>
          <w:rFonts w:cs="Arial"/>
        </w:rPr>
      </w:pPr>
      <w:r w:rsidRPr="00822478">
        <w:rPr>
          <w:rFonts w:cs="Arial"/>
        </w:rPr>
        <w:t>DA Project on Specialized Databases Access and Support;</w:t>
      </w:r>
    </w:p>
    <w:p w:rsidR="006B07F6" w:rsidRPr="00822478" w:rsidRDefault="006B07F6" w:rsidP="007B2B25">
      <w:pPr>
        <w:pStyle w:val="ListParagraph"/>
        <w:numPr>
          <w:ilvl w:val="0"/>
          <w:numId w:val="66"/>
        </w:numPr>
        <w:ind w:left="1134"/>
        <w:jc w:val="both"/>
        <w:rPr>
          <w:rFonts w:cs="Arial"/>
        </w:rPr>
      </w:pPr>
      <w:r w:rsidRPr="00822478">
        <w:rPr>
          <w:rFonts w:cs="Arial"/>
        </w:rPr>
        <w:t>Pilot Project for the Establishment of "Start-Up" National IP Academies; and</w:t>
      </w:r>
    </w:p>
    <w:p w:rsidR="006B07F6" w:rsidRPr="00FA2114" w:rsidRDefault="006B07F6" w:rsidP="007B2B25">
      <w:pPr>
        <w:pStyle w:val="ListParagraph"/>
        <w:numPr>
          <w:ilvl w:val="0"/>
          <w:numId w:val="66"/>
        </w:numPr>
        <w:ind w:left="1134"/>
        <w:jc w:val="both"/>
        <w:rPr>
          <w:rFonts w:cs="Arial"/>
        </w:rPr>
      </w:pPr>
      <w:r w:rsidRPr="00822478">
        <w:rPr>
          <w:rFonts w:cs="Arial"/>
        </w:rPr>
        <w:t xml:space="preserve">Project on Improvement of National, Sub-regional and Regional IP Institutional and </w:t>
      </w:r>
      <w:r w:rsidRPr="00FA2114">
        <w:rPr>
          <w:rFonts w:cs="Arial"/>
        </w:rPr>
        <w:t>User Capacity.</w:t>
      </w:r>
    </w:p>
    <w:p w:rsidR="006B07F6" w:rsidRPr="00822478" w:rsidRDefault="006B07F6" w:rsidP="006B07F6">
      <w:pPr>
        <w:ind w:left="1134"/>
        <w:jc w:val="both"/>
        <w:rPr>
          <w:rFonts w:cs="Arial"/>
          <w:szCs w:val="20"/>
        </w:rPr>
      </w:pPr>
    </w:p>
    <w:p w:rsidR="006B07F6" w:rsidRPr="00822478" w:rsidRDefault="006B07F6" w:rsidP="006B07F6">
      <w:pPr>
        <w:pStyle w:val="ListParagraph"/>
        <w:tabs>
          <w:tab w:val="left" w:pos="720"/>
        </w:tabs>
        <w:ind w:left="0"/>
        <w:jc w:val="both"/>
        <w:rPr>
          <w:rFonts w:cs="Arial"/>
        </w:rPr>
      </w:pPr>
      <w:r>
        <w:rPr>
          <w:rFonts w:cs="Arial"/>
        </w:rPr>
        <w:t>26.10.</w:t>
      </w:r>
      <w:r>
        <w:rPr>
          <w:rFonts w:cs="Arial"/>
        </w:rPr>
        <w:tab/>
      </w:r>
      <w:r w:rsidRPr="00822478">
        <w:rPr>
          <w:rFonts w:cs="Arial"/>
        </w:rPr>
        <w:t>In addition, IAOD incorporated Development Agenda concerns in its country portfolio and program evaluations, where applicable.</w:t>
      </w:r>
    </w:p>
    <w:p w:rsidR="006B07F6" w:rsidRDefault="006B07F6" w:rsidP="006B07F6">
      <w:pPr>
        <w:rPr>
          <w:rFonts w:cs="Arial"/>
          <w:sz w:val="22"/>
          <w:szCs w:val="22"/>
        </w:rPr>
      </w:pPr>
    </w:p>
    <w:p w:rsidR="006B07F6" w:rsidRDefault="006B07F6" w:rsidP="006B07F6">
      <w:pPr>
        <w:rPr>
          <w:rFonts w:cs="Arial"/>
          <w:sz w:val="22"/>
          <w:szCs w:val="22"/>
        </w:rPr>
      </w:pPr>
    </w:p>
    <w:p w:rsidR="006B07F6" w:rsidRPr="00162BF5" w:rsidRDefault="006B07F6" w:rsidP="006B07F6">
      <w:pPr>
        <w:rPr>
          <w:rFonts w:cs="Arial"/>
          <w:sz w:val="22"/>
          <w:szCs w:val="22"/>
        </w:rPr>
      </w:pPr>
      <w:r w:rsidRPr="00162BF5">
        <w:rPr>
          <w:rFonts w:cs="Arial"/>
          <w:sz w:val="22"/>
          <w:szCs w:val="22"/>
        </w:rPr>
        <w:t>PERFORMANCE DATA</w:t>
      </w:r>
    </w:p>
    <w:p w:rsidR="006B07F6" w:rsidRPr="00162BF5" w:rsidRDefault="006B07F6" w:rsidP="006B07F6">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7"/>
        <w:gridCol w:w="1711"/>
        <w:gridCol w:w="1579"/>
        <w:gridCol w:w="3224"/>
        <w:gridCol w:w="1276"/>
      </w:tblGrid>
      <w:tr w:rsidR="006B07F6" w:rsidRPr="0020416E" w:rsidTr="007C0423">
        <w:tc>
          <w:tcPr>
            <w:tcW w:w="5000" w:type="pct"/>
            <w:gridSpan w:val="5"/>
            <w:tcBorders>
              <w:top w:val="single" w:sz="4" w:space="0" w:color="auto"/>
              <w:bottom w:val="single" w:sz="4" w:space="0" w:color="auto"/>
            </w:tcBorders>
            <w:shd w:val="clear" w:color="auto" w:fill="CCFFFF"/>
            <w:vAlign w:val="center"/>
          </w:tcPr>
          <w:p w:rsidR="006B07F6" w:rsidRPr="0020416E" w:rsidRDefault="006B07F6" w:rsidP="007C0423">
            <w:pPr>
              <w:keepNext/>
              <w:keepLines/>
              <w:tabs>
                <w:tab w:val="left" w:pos="1452"/>
              </w:tabs>
              <w:spacing w:before="120" w:after="120"/>
              <w:ind w:left="1452" w:hanging="1452"/>
              <w:rPr>
                <w:rFonts w:cs="Arial"/>
                <w:b/>
                <w:bCs/>
                <w:sz w:val="16"/>
                <w:szCs w:val="16"/>
              </w:rPr>
            </w:pPr>
            <w:r w:rsidRPr="0020416E">
              <w:rPr>
                <w:rFonts w:cs="Arial"/>
                <w:b/>
                <w:bCs/>
                <w:sz w:val="16"/>
                <w:szCs w:val="16"/>
              </w:rPr>
              <w:t>Expected Result:</w:t>
            </w:r>
            <w:r w:rsidRPr="0020416E">
              <w:rPr>
                <w:rFonts w:cs="Arial"/>
                <w:b/>
                <w:bCs/>
                <w:sz w:val="16"/>
                <w:szCs w:val="16"/>
              </w:rPr>
              <w:tab/>
            </w:r>
            <w:r w:rsidRPr="0020416E">
              <w:rPr>
                <w:rFonts w:cs="Arial"/>
                <w:sz w:val="16"/>
                <w:szCs w:val="16"/>
                <w:lang w:bidi="th-TH"/>
              </w:rPr>
              <w:t>An effective and professional internal audit function is in place covering all high risk work areas</w:t>
            </w:r>
          </w:p>
        </w:tc>
      </w:tr>
      <w:tr w:rsidR="006B07F6" w:rsidRPr="0020416E" w:rsidTr="0020416E">
        <w:tc>
          <w:tcPr>
            <w:tcW w:w="837" w:type="pct"/>
            <w:tcBorders>
              <w:top w:val="single" w:sz="4" w:space="0" w:color="auto"/>
            </w:tcBorders>
            <w:shd w:val="clear" w:color="auto" w:fill="auto"/>
            <w:vAlign w:val="center"/>
          </w:tcPr>
          <w:p w:rsidR="006B07F6" w:rsidRPr="0020416E" w:rsidRDefault="006B07F6" w:rsidP="007C0423">
            <w:pPr>
              <w:rPr>
                <w:rFonts w:cs="Arial"/>
                <w:sz w:val="16"/>
                <w:szCs w:val="16"/>
              </w:rPr>
            </w:pPr>
            <w:r w:rsidRPr="0020416E">
              <w:rPr>
                <w:rFonts w:cs="Arial"/>
                <w:b/>
                <w:bCs/>
                <w:sz w:val="16"/>
                <w:szCs w:val="16"/>
              </w:rPr>
              <w:t>Performance Indicators</w:t>
            </w:r>
          </w:p>
        </w:tc>
        <w:tc>
          <w:tcPr>
            <w:tcW w:w="914" w:type="pct"/>
            <w:tcBorders>
              <w:top w:val="single" w:sz="4" w:space="0" w:color="auto"/>
            </w:tcBorders>
            <w:shd w:val="clear" w:color="auto" w:fill="auto"/>
            <w:vAlign w:val="center"/>
          </w:tcPr>
          <w:p w:rsidR="006B07F6" w:rsidRPr="0020416E" w:rsidRDefault="006B07F6" w:rsidP="007C0423">
            <w:pPr>
              <w:rPr>
                <w:rFonts w:cs="Arial"/>
                <w:b/>
                <w:bCs/>
                <w:sz w:val="16"/>
                <w:szCs w:val="16"/>
              </w:rPr>
            </w:pPr>
            <w:r w:rsidRPr="0020416E">
              <w:rPr>
                <w:rFonts w:cs="Arial"/>
                <w:b/>
                <w:bCs/>
                <w:sz w:val="16"/>
                <w:szCs w:val="16"/>
              </w:rPr>
              <w:t>Baselines</w:t>
            </w:r>
          </w:p>
        </w:tc>
        <w:tc>
          <w:tcPr>
            <w:tcW w:w="844" w:type="pct"/>
            <w:tcBorders>
              <w:top w:val="single" w:sz="4" w:space="0" w:color="auto"/>
            </w:tcBorders>
            <w:shd w:val="clear" w:color="auto" w:fill="auto"/>
            <w:tcMar>
              <w:top w:w="110" w:type="dxa"/>
            </w:tcMar>
            <w:vAlign w:val="center"/>
          </w:tcPr>
          <w:p w:rsidR="006B07F6" w:rsidRPr="0020416E" w:rsidRDefault="006B07F6" w:rsidP="007C0423">
            <w:pPr>
              <w:rPr>
                <w:rFonts w:cs="Arial"/>
                <w:b/>
                <w:sz w:val="16"/>
                <w:szCs w:val="16"/>
              </w:rPr>
            </w:pPr>
            <w:r w:rsidRPr="0020416E">
              <w:rPr>
                <w:rFonts w:cs="Arial"/>
                <w:b/>
                <w:sz w:val="16"/>
                <w:szCs w:val="16"/>
              </w:rPr>
              <w:t>Target</w:t>
            </w:r>
            <w:r w:rsidR="002F7D53" w:rsidRPr="0020416E">
              <w:rPr>
                <w:rFonts w:cs="Arial"/>
                <w:b/>
                <w:sz w:val="16"/>
                <w:szCs w:val="16"/>
              </w:rPr>
              <w:t>s</w:t>
            </w:r>
          </w:p>
        </w:tc>
        <w:tc>
          <w:tcPr>
            <w:tcW w:w="1723" w:type="pct"/>
            <w:tcBorders>
              <w:top w:val="single" w:sz="4" w:space="0" w:color="auto"/>
            </w:tcBorders>
            <w:shd w:val="clear" w:color="auto" w:fill="FFFFFF"/>
            <w:tcMar>
              <w:top w:w="110" w:type="dxa"/>
            </w:tcMar>
            <w:vAlign w:val="center"/>
          </w:tcPr>
          <w:p w:rsidR="006B07F6" w:rsidRPr="0020416E" w:rsidRDefault="006B07F6" w:rsidP="007C0423">
            <w:pPr>
              <w:rPr>
                <w:rFonts w:cs="Arial"/>
                <w:sz w:val="16"/>
                <w:szCs w:val="16"/>
              </w:rPr>
            </w:pPr>
            <w:r w:rsidRPr="0020416E">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6B07F6" w:rsidRPr="0020416E" w:rsidRDefault="006B07F6" w:rsidP="007C0423">
            <w:pPr>
              <w:keepNext/>
              <w:keepLines/>
              <w:jc w:val="center"/>
              <w:rPr>
                <w:rFonts w:cs="Arial"/>
                <w:b/>
                <w:bCs/>
                <w:sz w:val="16"/>
                <w:szCs w:val="16"/>
              </w:rPr>
            </w:pPr>
            <w:r w:rsidRPr="0020416E">
              <w:rPr>
                <w:rFonts w:cs="Arial"/>
                <w:b/>
                <w:bCs/>
                <w:sz w:val="16"/>
                <w:szCs w:val="16"/>
              </w:rPr>
              <w:t>TLS</w:t>
            </w:r>
          </w:p>
        </w:tc>
      </w:tr>
      <w:tr w:rsidR="006B07F6" w:rsidRPr="0020416E" w:rsidTr="0020416E">
        <w:tc>
          <w:tcPr>
            <w:tcW w:w="837" w:type="pct"/>
            <w:shd w:val="clear" w:color="auto" w:fill="auto"/>
          </w:tcPr>
          <w:p w:rsidR="006B07F6" w:rsidRPr="0020416E" w:rsidRDefault="006B07F6" w:rsidP="007C0423">
            <w:pPr>
              <w:keepNext/>
              <w:keepLines/>
              <w:rPr>
                <w:rFonts w:cs="Arial"/>
                <w:sz w:val="16"/>
                <w:szCs w:val="16"/>
                <w:lang w:bidi="th-TH"/>
              </w:rPr>
            </w:pPr>
            <w:r w:rsidRPr="0020416E">
              <w:rPr>
                <w:rFonts w:cs="Arial"/>
                <w:sz w:val="16"/>
                <w:szCs w:val="16"/>
                <w:lang w:bidi="th-TH"/>
              </w:rPr>
              <w:t xml:space="preserve">Number of audits performed in high risk areas </w:t>
            </w:r>
          </w:p>
        </w:tc>
        <w:tc>
          <w:tcPr>
            <w:tcW w:w="914" w:type="pct"/>
            <w:shd w:val="clear" w:color="auto" w:fill="auto"/>
          </w:tcPr>
          <w:p w:rsidR="006B07F6" w:rsidRPr="0020416E" w:rsidRDefault="006B07F6" w:rsidP="007C0423">
            <w:pPr>
              <w:keepNext/>
              <w:keepLines/>
              <w:rPr>
                <w:rFonts w:cs="Arial"/>
                <w:i/>
                <w:color w:val="002060"/>
                <w:sz w:val="16"/>
                <w:szCs w:val="16"/>
              </w:rPr>
            </w:pPr>
            <w:r w:rsidRPr="0020416E">
              <w:rPr>
                <w:rFonts w:cs="Arial"/>
                <w:i/>
                <w:color w:val="002060"/>
                <w:sz w:val="16"/>
                <w:szCs w:val="16"/>
              </w:rPr>
              <w:t xml:space="preserve">Updated Baseline end 2011:  </w:t>
            </w:r>
          </w:p>
          <w:p w:rsidR="006B07F6" w:rsidRPr="0020416E" w:rsidRDefault="006B07F6" w:rsidP="007C0423">
            <w:pPr>
              <w:keepNext/>
              <w:keepLines/>
              <w:rPr>
                <w:rFonts w:cs="Arial"/>
                <w:color w:val="002060"/>
                <w:sz w:val="16"/>
                <w:szCs w:val="16"/>
                <w:lang w:bidi="th-TH"/>
              </w:rPr>
            </w:pPr>
            <w:r w:rsidRPr="0020416E">
              <w:rPr>
                <w:rFonts w:cs="Arial"/>
                <w:color w:val="002060"/>
                <w:sz w:val="16"/>
                <w:szCs w:val="16"/>
                <w:lang w:bidi="th-TH"/>
              </w:rPr>
              <w:t>Six audits of high risk areas completed</w:t>
            </w:r>
          </w:p>
          <w:p w:rsidR="006B07F6" w:rsidRPr="0020416E" w:rsidRDefault="006B07F6" w:rsidP="007C0423">
            <w:pPr>
              <w:keepNext/>
              <w:keepLines/>
              <w:rPr>
                <w:rFonts w:cs="Arial"/>
                <w:i/>
                <w:color w:val="002060"/>
                <w:sz w:val="8"/>
                <w:szCs w:val="8"/>
              </w:rPr>
            </w:pPr>
          </w:p>
          <w:p w:rsidR="006B07F6" w:rsidRPr="0020416E" w:rsidRDefault="006B07F6" w:rsidP="007C0423">
            <w:pPr>
              <w:keepNext/>
              <w:keepLines/>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Six audits completed (2010)</w:t>
            </w:r>
          </w:p>
        </w:tc>
        <w:tc>
          <w:tcPr>
            <w:tcW w:w="844" w:type="pct"/>
            <w:shd w:val="clear" w:color="auto" w:fill="auto"/>
            <w:tcMar>
              <w:top w:w="110" w:type="dxa"/>
            </w:tcMar>
          </w:tcPr>
          <w:p w:rsidR="006B07F6" w:rsidRPr="0020416E" w:rsidRDefault="006B07F6" w:rsidP="007C0423">
            <w:pPr>
              <w:autoSpaceDE w:val="0"/>
              <w:autoSpaceDN w:val="0"/>
              <w:adjustRightInd w:val="0"/>
              <w:rPr>
                <w:rFonts w:cs="Arial"/>
                <w:sz w:val="16"/>
                <w:szCs w:val="16"/>
              </w:rPr>
            </w:pPr>
            <w:r w:rsidRPr="0020416E">
              <w:rPr>
                <w:rFonts w:cs="Arial"/>
                <w:sz w:val="16"/>
                <w:szCs w:val="16"/>
              </w:rPr>
              <w:t>12 audits</w:t>
            </w:r>
          </w:p>
          <w:p w:rsidR="006B07F6" w:rsidRPr="0020416E" w:rsidRDefault="006B07F6" w:rsidP="007C0423">
            <w:pPr>
              <w:keepNext/>
              <w:keepLines/>
              <w:rPr>
                <w:rFonts w:cs="Arial"/>
                <w:sz w:val="16"/>
                <w:szCs w:val="16"/>
                <w:lang w:bidi="th-TH"/>
              </w:rPr>
            </w:pPr>
            <w:r w:rsidRPr="0020416E">
              <w:rPr>
                <w:rFonts w:cs="Arial"/>
                <w:sz w:val="16"/>
                <w:szCs w:val="16"/>
              </w:rPr>
              <w:t>(in 2012/13)</w:t>
            </w:r>
          </w:p>
        </w:tc>
        <w:tc>
          <w:tcPr>
            <w:tcW w:w="1723" w:type="pct"/>
            <w:shd w:val="clear" w:color="auto" w:fill="FFFFFF"/>
            <w:tcMar>
              <w:top w:w="110" w:type="dxa"/>
            </w:tcMar>
          </w:tcPr>
          <w:p w:rsidR="006B07F6" w:rsidRPr="0020416E" w:rsidRDefault="006B07F6" w:rsidP="007C0423">
            <w:pPr>
              <w:rPr>
                <w:rFonts w:cs="Arial"/>
                <w:sz w:val="16"/>
                <w:szCs w:val="16"/>
                <w:lang w:bidi="th-TH"/>
              </w:rPr>
            </w:pPr>
            <w:r w:rsidRPr="0020416E">
              <w:rPr>
                <w:rFonts w:cs="Arial"/>
                <w:sz w:val="16"/>
                <w:szCs w:val="16"/>
                <w:lang w:bidi="th-TH"/>
              </w:rPr>
              <w:t xml:space="preserve">2012/13:  Eleven audits completed. </w:t>
            </w:r>
          </w:p>
          <w:p w:rsidR="006B07F6" w:rsidRPr="0020416E" w:rsidRDefault="006B07F6" w:rsidP="007C0423">
            <w:pPr>
              <w:rPr>
                <w:rFonts w:cs="Arial"/>
                <w:sz w:val="16"/>
                <w:szCs w:val="16"/>
                <w:lang w:bidi="th-TH"/>
              </w:rPr>
            </w:pPr>
          </w:p>
          <w:p w:rsidR="006B07F6" w:rsidRPr="0020416E" w:rsidRDefault="006B07F6" w:rsidP="007C0423">
            <w:pPr>
              <w:rPr>
                <w:rFonts w:cs="Arial"/>
                <w:sz w:val="16"/>
                <w:szCs w:val="16"/>
                <w:lang w:bidi="th-TH"/>
              </w:rPr>
            </w:pPr>
            <w:r w:rsidRPr="0020416E">
              <w:rPr>
                <w:rFonts w:cs="Arial"/>
                <w:sz w:val="16"/>
                <w:szCs w:val="16"/>
                <w:lang w:bidi="th-TH"/>
              </w:rPr>
              <w:t>Four audits of high risk areas were completed in 2012</w:t>
            </w:r>
            <w:r w:rsidR="00545109">
              <w:rPr>
                <w:rFonts w:cs="Arial"/>
                <w:sz w:val="16"/>
                <w:szCs w:val="16"/>
                <w:lang w:bidi="th-TH"/>
              </w:rPr>
              <w:t>.</w:t>
            </w:r>
          </w:p>
          <w:p w:rsidR="006B07F6" w:rsidRPr="0020416E" w:rsidRDefault="006B07F6" w:rsidP="007C0423">
            <w:pPr>
              <w:rPr>
                <w:rFonts w:cs="Arial"/>
                <w:sz w:val="16"/>
                <w:szCs w:val="16"/>
                <w:lang w:bidi="th-TH"/>
              </w:rPr>
            </w:pPr>
          </w:p>
          <w:p w:rsidR="006B07F6" w:rsidRPr="0020416E" w:rsidRDefault="006B07F6" w:rsidP="007C0423">
            <w:pPr>
              <w:rPr>
                <w:rFonts w:cs="Arial"/>
                <w:sz w:val="16"/>
                <w:szCs w:val="16"/>
                <w:lang w:bidi="th-TH"/>
              </w:rPr>
            </w:pPr>
            <w:r w:rsidRPr="0020416E">
              <w:rPr>
                <w:rFonts w:cs="Arial"/>
                <w:sz w:val="16"/>
                <w:szCs w:val="16"/>
                <w:lang w:bidi="th-TH"/>
              </w:rPr>
              <w:t>Seven audits of high risk areas were completed in 2013</w:t>
            </w:r>
            <w:r w:rsidR="00545109">
              <w:rPr>
                <w:rFonts w:cs="Arial"/>
                <w:sz w:val="16"/>
                <w:szCs w:val="16"/>
                <w:lang w:bidi="th-TH"/>
              </w:rPr>
              <w:t>.</w:t>
            </w:r>
          </w:p>
        </w:tc>
        <w:tc>
          <w:tcPr>
            <w:tcW w:w="682" w:type="pct"/>
            <w:shd w:val="clear" w:color="auto" w:fill="auto"/>
            <w:tcMar>
              <w:top w:w="110" w:type="dxa"/>
            </w:tcMar>
          </w:tcPr>
          <w:p w:rsidR="006B07F6" w:rsidRPr="0020416E" w:rsidRDefault="006B07F6" w:rsidP="007C0423">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p>
        </w:tc>
      </w:tr>
      <w:tr w:rsidR="006B07F6" w:rsidRPr="0020416E" w:rsidTr="0020416E">
        <w:tc>
          <w:tcPr>
            <w:tcW w:w="837" w:type="pct"/>
            <w:shd w:val="clear" w:color="auto" w:fill="auto"/>
          </w:tcPr>
          <w:p w:rsidR="006B07F6" w:rsidRPr="0020416E" w:rsidRDefault="006B07F6" w:rsidP="007C0423">
            <w:pPr>
              <w:rPr>
                <w:rFonts w:cs="Arial"/>
                <w:sz w:val="16"/>
                <w:szCs w:val="16"/>
                <w:lang w:bidi="th-TH"/>
              </w:rPr>
            </w:pPr>
            <w:r w:rsidRPr="0020416E">
              <w:rPr>
                <w:rFonts w:cs="Arial"/>
                <w:sz w:val="16"/>
                <w:szCs w:val="16"/>
                <w:lang w:bidi="th-TH"/>
              </w:rPr>
              <w:t>The professional standards, code of ethics, and practice advisories of the Institute of Internal Auditors (IIA) are applied.</w:t>
            </w:r>
          </w:p>
        </w:tc>
        <w:tc>
          <w:tcPr>
            <w:tcW w:w="914" w:type="pct"/>
            <w:shd w:val="clear" w:color="auto" w:fill="auto"/>
          </w:tcPr>
          <w:p w:rsidR="006B07F6" w:rsidRPr="0020416E" w:rsidRDefault="006B07F6" w:rsidP="007C0423">
            <w:pPr>
              <w:keepNext/>
              <w:keepLines/>
              <w:rPr>
                <w:rFonts w:cs="Arial"/>
                <w:i/>
                <w:color w:val="002060"/>
                <w:sz w:val="16"/>
                <w:szCs w:val="16"/>
              </w:rPr>
            </w:pPr>
            <w:r w:rsidRPr="0020416E">
              <w:rPr>
                <w:rFonts w:cs="Arial"/>
                <w:i/>
                <w:color w:val="002060"/>
                <w:sz w:val="16"/>
                <w:szCs w:val="16"/>
              </w:rPr>
              <w:t xml:space="preserve">Updated Baseline end 2011:  </w:t>
            </w:r>
          </w:p>
          <w:p w:rsidR="006B07F6" w:rsidRPr="0020416E" w:rsidRDefault="006B07F6" w:rsidP="007C0423">
            <w:pPr>
              <w:rPr>
                <w:rFonts w:cs="Arial"/>
                <w:i/>
                <w:sz w:val="16"/>
                <w:szCs w:val="16"/>
              </w:rPr>
            </w:pPr>
            <w:r w:rsidRPr="0020416E">
              <w:rPr>
                <w:rFonts w:cs="Arial"/>
                <w:color w:val="002060"/>
                <w:sz w:val="16"/>
                <w:szCs w:val="16"/>
                <w:lang w:bidi="th-TH"/>
              </w:rPr>
              <w:t>Quality assurance review of Internal Audit Function conducted by External Auditor</w:t>
            </w:r>
          </w:p>
          <w:p w:rsidR="006B07F6" w:rsidRPr="0020416E" w:rsidRDefault="006B07F6" w:rsidP="007C0423">
            <w:pPr>
              <w:rPr>
                <w:rFonts w:cs="Arial"/>
                <w:i/>
                <w:sz w:val="8"/>
                <w:szCs w:val="8"/>
              </w:rPr>
            </w:pPr>
          </w:p>
          <w:p w:rsidR="006B07F6" w:rsidRPr="0020416E" w:rsidRDefault="006B07F6" w:rsidP="007C0423">
            <w:pPr>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Internal audit section received "general conformance with the IIA standards" rating (External Auditor's quality assurance review of the Internal Audit Section, 2009)</w:t>
            </w:r>
          </w:p>
        </w:tc>
        <w:tc>
          <w:tcPr>
            <w:tcW w:w="844" w:type="pct"/>
            <w:shd w:val="clear" w:color="auto" w:fill="auto"/>
            <w:tcMar>
              <w:top w:w="110" w:type="dxa"/>
            </w:tcMar>
          </w:tcPr>
          <w:p w:rsidR="006B07F6" w:rsidRPr="0020416E" w:rsidRDefault="006B07F6" w:rsidP="007C0423">
            <w:pPr>
              <w:autoSpaceDE w:val="0"/>
              <w:autoSpaceDN w:val="0"/>
              <w:adjustRightInd w:val="0"/>
              <w:rPr>
                <w:rFonts w:cs="Arial"/>
                <w:sz w:val="16"/>
                <w:szCs w:val="16"/>
              </w:rPr>
            </w:pPr>
            <w:r w:rsidRPr="0020416E">
              <w:rPr>
                <w:rFonts w:cs="Arial"/>
                <w:sz w:val="16"/>
                <w:szCs w:val="16"/>
              </w:rPr>
              <w:t>Maintain the "meets</w:t>
            </w:r>
          </w:p>
          <w:p w:rsidR="006B07F6" w:rsidRPr="0020416E" w:rsidRDefault="006B07F6" w:rsidP="007C0423">
            <w:pPr>
              <w:autoSpaceDE w:val="0"/>
              <w:autoSpaceDN w:val="0"/>
              <w:adjustRightInd w:val="0"/>
              <w:rPr>
                <w:rFonts w:cs="Arial"/>
                <w:sz w:val="16"/>
                <w:szCs w:val="16"/>
              </w:rPr>
            </w:pPr>
            <w:r w:rsidRPr="0020416E">
              <w:rPr>
                <w:rFonts w:cs="Arial"/>
                <w:sz w:val="16"/>
                <w:szCs w:val="16"/>
              </w:rPr>
              <w:t>general conformity</w:t>
            </w:r>
          </w:p>
          <w:p w:rsidR="006B07F6" w:rsidRPr="0020416E" w:rsidRDefault="006B07F6" w:rsidP="007C0423">
            <w:pPr>
              <w:autoSpaceDE w:val="0"/>
              <w:autoSpaceDN w:val="0"/>
              <w:adjustRightInd w:val="0"/>
              <w:rPr>
                <w:rFonts w:cs="Arial"/>
                <w:sz w:val="16"/>
                <w:szCs w:val="16"/>
              </w:rPr>
            </w:pPr>
            <w:r w:rsidRPr="0020416E">
              <w:rPr>
                <w:rFonts w:cs="Arial"/>
                <w:sz w:val="16"/>
                <w:szCs w:val="16"/>
              </w:rPr>
              <w:t>with the IIA standards"</w:t>
            </w:r>
          </w:p>
          <w:p w:rsidR="006B07F6" w:rsidRPr="0020416E" w:rsidRDefault="006B07F6" w:rsidP="007C0423">
            <w:pPr>
              <w:autoSpaceDE w:val="0"/>
              <w:autoSpaceDN w:val="0"/>
              <w:adjustRightInd w:val="0"/>
              <w:rPr>
                <w:rFonts w:cs="Arial"/>
                <w:sz w:val="16"/>
                <w:szCs w:val="16"/>
              </w:rPr>
            </w:pPr>
            <w:r w:rsidRPr="0020416E">
              <w:rPr>
                <w:rFonts w:cs="Arial"/>
                <w:sz w:val="16"/>
                <w:szCs w:val="16"/>
              </w:rPr>
              <w:t>rating in subsequent</w:t>
            </w:r>
          </w:p>
          <w:p w:rsidR="006B07F6" w:rsidRPr="0020416E" w:rsidRDefault="006B07F6" w:rsidP="007C0423">
            <w:pPr>
              <w:autoSpaceDE w:val="0"/>
              <w:autoSpaceDN w:val="0"/>
              <w:adjustRightInd w:val="0"/>
              <w:rPr>
                <w:rFonts w:cs="Arial"/>
                <w:sz w:val="16"/>
                <w:szCs w:val="16"/>
              </w:rPr>
            </w:pPr>
            <w:r w:rsidRPr="0020416E">
              <w:rPr>
                <w:rFonts w:cs="Arial"/>
                <w:sz w:val="16"/>
                <w:szCs w:val="16"/>
              </w:rPr>
              <w:t>external quality</w:t>
            </w:r>
          </w:p>
          <w:p w:rsidR="006B07F6" w:rsidRPr="0020416E" w:rsidRDefault="006B07F6" w:rsidP="007C0423">
            <w:pPr>
              <w:rPr>
                <w:rFonts w:cs="Arial"/>
                <w:sz w:val="16"/>
                <w:szCs w:val="16"/>
                <w:lang w:bidi="th-TH"/>
              </w:rPr>
            </w:pPr>
            <w:r w:rsidRPr="0020416E">
              <w:rPr>
                <w:rFonts w:cs="Arial"/>
                <w:sz w:val="16"/>
                <w:szCs w:val="16"/>
              </w:rPr>
              <w:t>assurance reviews</w:t>
            </w:r>
          </w:p>
        </w:tc>
        <w:tc>
          <w:tcPr>
            <w:tcW w:w="1723" w:type="pct"/>
            <w:shd w:val="clear" w:color="auto" w:fill="FFFFFF"/>
            <w:tcMar>
              <w:top w:w="110" w:type="dxa"/>
            </w:tcMar>
          </w:tcPr>
          <w:p w:rsidR="006B07F6" w:rsidRPr="0020416E" w:rsidRDefault="006B07F6" w:rsidP="007C0423">
            <w:pPr>
              <w:rPr>
                <w:rFonts w:cs="Arial"/>
                <w:sz w:val="16"/>
                <w:szCs w:val="16"/>
                <w:lang w:bidi="th-TH"/>
              </w:rPr>
            </w:pPr>
            <w:r w:rsidRPr="0020416E">
              <w:rPr>
                <w:rFonts w:cs="Arial"/>
                <w:sz w:val="16"/>
                <w:szCs w:val="16"/>
                <w:lang w:bidi="th-TH"/>
              </w:rPr>
              <w:t xml:space="preserve">Audit work was subject to two level supervision and quality control to ensure compliance with IIA standards and practice advisory. </w:t>
            </w:r>
          </w:p>
          <w:p w:rsidR="006B07F6" w:rsidRPr="0020416E" w:rsidRDefault="006B07F6" w:rsidP="007C0423">
            <w:pPr>
              <w:rPr>
                <w:rFonts w:cs="Arial"/>
                <w:sz w:val="16"/>
                <w:szCs w:val="16"/>
                <w:lang w:bidi="th-TH"/>
              </w:rPr>
            </w:pPr>
          </w:p>
          <w:p w:rsidR="006B07F6" w:rsidRPr="0020416E" w:rsidRDefault="006B07F6" w:rsidP="007C0423">
            <w:pPr>
              <w:rPr>
                <w:rFonts w:cs="Arial"/>
                <w:sz w:val="16"/>
                <w:szCs w:val="16"/>
              </w:rPr>
            </w:pPr>
            <w:r w:rsidRPr="0020416E">
              <w:rPr>
                <w:rFonts w:cs="Arial"/>
                <w:sz w:val="16"/>
                <w:szCs w:val="16"/>
                <w:lang w:bidi="th-TH"/>
              </w:rPr>
              <w:t>To prepare for an external quality assessment, IAOD conducted a self-assessment in line with IIA standards.  The report concluded that IAOD generally conforms to IIA standards.</w:t>
            </w:r>
          </w:p>
        </w:tc>
        <w:tc>
          <w:tcPr>
            <w:tcW w:w="682" w:type="pct"/>
            <w:shd w:val="clear" w:color="auto" w:fill="auto"/>
            <w:tcMar>
              <w:top w:w="110" w:type="dxa"/>
            </w:tcMar>
          </w:tcPr>
          <w:p w:rsidR="006B07F6" w:rsidRPr="0020416E" w:rsidRDefault="006B07F6" w:rsidP="007C0423">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r w:rsidRPr="0020416E" w:rsidDel="005E6AFE">
              <w:rPr>
                <w:rStyle w:val="Style5"/>
                <w:rFonts w:ascii="Arial" w:hAnsi="Arial" w:cs="Arial"/>
                <w:sz w:val="16"/>
                <w:szCs w:val="16"/>
              </w:rPr>
              <w:t xml:space="preserve"> </w:t>
            </w:r>
          </w:p>
        </w:tc>
      </w:tr>
      <w:tr w:rsidR="006B07F6" w:rsidRPr="0020416E" w:rsidTr="0020416E">
        <w:tc>
          <w:tcPr>
            <w:tcW w:w="837" w:type="pct"/>
            <w:tcBorders>
              <w:bottom w:val="single" w:sz="4" w:space="0" w:color="auto"/>
            </w:tcBorders>
            <w:shd w:val="clear" w:color="auto" w:fill="auto"/>
          </w:tcPr>
          <w:p w:rsidR="006B07F6" w:rsidRPr="0020416E" w:rsidRDefault="006B07F6" w:rsidP="007C0423">
            <w:pPr>
              <w:rPr>
                <w:rFonts w:cs="Arial"/>
                <w:sz w:val="16"/>
                <w:szCs w:val="16"/>
                <w:lang w:bidi="th-TH"/>
              </w:rPr>
            </w:pPr>
            <w:r w:rsidRPr="0020416E">
              <w:rPr>
                <w:rFonts w:cs="Arial"/>
                <w:sz w:val="16"/>
                <w:szCs w:val="16"/>
                <w:lang w:bidi="th-TH"/>
              </w:rPr>
              <w:t>Complete and accurate tracking of the implementation of oversight recommendations, showing all historical recommendations made, new ones added and their status</w:t>
            </w:r>
          </w:p>
        </w:tc>
        <w:tc>
          <w:tcPr>
            <w:tcW w:w="914" w:type="pct"/>
            <w:tcBorders>
              <w:bottom w:val="single" w:sz="4" w:space="0" w:color="auto"/>
            </w:tcBorders>
            <w:shd w:val="clear" w:color="auto" w:fill="auto"/>
          </w:tcPr>
          <w:p w:rsidR="006B07F6" w:rsidRPr="0020416E" w:rsidRDefault="006B07F6" w:rsidP="007C0423">
            <w:pPr>
              <w:keepNext/>
              <w:keepLines/>
              <w:rPr>
                <w:rFonts w:cs="Arial"/>
                <w:i/>
                <w:color w:val="002060"/>
                <w:sz w:val="16"/>
                <w:szCs w:val="16"/>
              </w:rPr>
            </w:pPr>
            <w:r w:rsidRPr="0020416E">
              <w:rPr>
                <w:rFonts w:cs="Arial"/>
                <w:i/>
                <w:color w:val="002060"/>
                <w:sz w:val="16"/>
                <w:szCs w:val="16"/>
              </w:rPr>
              <w:t xml:space="preserve">Updated Baseline end 2011:  </w:t>
            </w:r>
          </w:p>
          <w:p w:rsidR="006B07F6" w:rsidRPr="0020416E" w:rsidRDefault="006B07F6" w:rsidP="007C0423">
            <w:pPr>
              <w:rPr>
                <w:rFonts w:cs="Arial"/>
                <w:i/>
                <w:sz w:val="16"/>
                <w:szCs w:val="16"/>
              </w:rPr>
            </w:pPr>
            <w:r w:rsidRPr="0020416E">
              <w:rPr>
                <w:rFonts w:cs="Arial"/>
                <w:color w:val="002060"/>
                <w:sz w:val="16"/>
                <w:szCs w:val="16"/>
                <w:lang w:bidi="th-TH"/>
              </w:rPr>
              <w:t>Bi-annual reporting on the implementation status of open oversight</w:t>
            </w:r>
          </w:p>
          <w:p w:rsidR="006B07F6" w:rsidRPr="0020416E" w:rsidRDefault="006B07F6" w:rsidP="007C0423">
            <w:pPr>
              <w:rPr>
                <w:rFonts w:cs="Arial"/>
                <w:i/>
                <w:sz w:val="8"/>
                <w:szCs w:val="8"/>
              </w:rPr>
            </w:pPr>
          </w:p>
          <w:p w:rsidR="006B07F6" w:rsidRPr="0020416E" w:rsidRDefault="006B07F6" w:rsidP="007C0423">
            <w:pPr>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IAOD reviewed the implementation status of oversight recommendations twice in 2010</w:t>
            </w:r>
          </w:p>
          <w:p w:rsidR="006B07F6" w:rsidRPr="0020416E" w:rsidRDefault="006B07F6" w:rsidP="007C0423">
            <w:pPr>
              <w:rPr>
                <w:rFonts w:cs="Arial"/>
                <w:sz w:val="16"/>
                <w:szCs w:val="16"/>
                <w:lang w:bidi="th-TH"/>
              </w:rPr>
            </w:pPr>
          </w:p>
        </w:tc>
        <w:tc>
          <w:tcPr>
            <w:tcW w:w="844" w:type="pct"/>
            <w:tcBorders>
              <w:bottom w:val="single" w:sz="4" w:space="0" w:color="auto"/>
            </w:tcBorders>
            <w:shd w:val="clear" w:color="auto" w:fill="auto"/>
            <w:tcMar>
              <w:top w:w="110" w:type="dxa"/>
            </w:tcMar>
          </w:tcPr>
          <w:p w:rsidR="006B07F6" w:rsidRPr="0020416E" w:rsidRDefault="006B07F6" w:rsidP="007C0423">
            <w:pPr>
              <w:autoSpaceDE w:val="0"/>
              <w:autoSpaceDN w:val="0"/>
              <w:adjustRightInd w:val="0"/>
              <w:rPr>
                <w:rFonts w:cs="Arial"/>
                <w:sz w:val="16"/>
                <w:szCs w:val="16"/>
              </w:rPr>
            </w:pPr>
            <w:r w:rsidRPr="0020416E">
              <w:rPr>
                <w:rFonts w:cs="Arial"/>
                <w:sz w:val="16"/>
                <w:szCs w:val="16"/>
              </w:rPr>
              <w:t>The implementation of all IAOD recommendations is followed up every six months</w:t>
            </w:r>
          </w:p>
        </w:tc>
        <w:tc>
          <w:tcPr>
            <w:tcW w:w="1723" w:type="pct"/>
            <w:tcBorders>
              <w:bottom w:val="single" w:sz="4" w:space="0" w:color="auto"/>
            </w:tcBorders>
            <w:shd w:val="clear" w:color="auto" w:fill="FFFFFF"/>
            <w:tcMar>
              <w:top w:w="110" w:type="dxa"/>
            </w:tcMar>
          </w:tcPr>
          <w:p w:rsidR="006B07F6" w:rsidRPr="0020416E" w:rsidRDefault="006B07F6" w:rsidP="007C0423">
            <w:pPr>
              <w:rPr>
                <w:rFonts w:cs="Arial"/>
                <w:sz w:val="16"/>
                <w:szCs w:val="16"/>
                <w:lang w:bidi="th-TH"/>
              </w:rPr>
            </w:pPr>
            <w:r w:rsidRPr="0020416E">
              <w:rPr>
                <w:rFonts w:cs="Arial"/>
                <w:sz w:val="16"/>
                <w:szCs w:val="16"/>
                <w:lang w:bidi="th-TH"/>
              </w:rPr>
              <w:t>Regular bi-annual reports to the Director General and the IAOC included all oversight recommendations</w:t>
            </w:r>
            <w:r w:rsidR="00545109">
              <w:rPr>
                <w:rFonts w:cs="Arial"/>
                <w:sz w:val="16"/>
                <w:szCs w:val="16"/>
                <w:lang w:bidi="th-TH"/>
              </w:rPr>
              <w:t>.</w:t>
            </w:r>
          </w:p>
        </w:tc>
        <w:tc>
          <w:tcPr>
            <w:tcW w:w="682" w:type="pct"/>
            <w:tcBorders>
              <w:bottom w:val="single" w:sz="4" w:space="0" w:color="auto"/>
            </w:tcBorders>
            <w:shd w:val="clear" w:color="auto" w:fill="auto"/>
            <w:tcMar>
              <w:top w:w="110" w:type="dxa"/>
            </w:tcMar>
          </w:tcPr>
          <w:p w:rsidR="006B07F6" w:rsidRPr="0020416E" w:rsidRDefault="006B07F6" w:rsidP="007C0423">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r w:rsidRPr="0020416E" w:rsidDel="005E6AFE">
              <w:rPr>
                <w:rStyle w:val="Style5"/>
                <w:rFonts w:ascii="Arial" w:hAnsi="Arial" w:cs="Arial"/>
                <w:sz w:val="16"/>
                <w:szCs w:val="16"/>
              </w:rPr>
              <w:t xml:space="preserve"> </w:t>
            </w:r>
          </w:p>
        </w:tc>
      </w:tr>
      <w:tr w:rsidR="006B07F6" w:rsidRPr="0020416E" w:rsidTr="007C0423">
        <w:tc>
          <w:tcPr>
            <w:tcW w:w="5000" w:type="pct"/>
            <w:gridSpan w:val="5"/>
            <w:tcBorders>
              <w:top w:val="single" w:sz="4" w:space="0" w:color="auto"/>
              <w:bottom w:val="single" w:sz="4" w:space="0" w:color="auto"/>
            </w:tcBorders>
            <w:shd w:val="clear" w:color="auto" w:fill="CCFFFF"/>
            <w:vAlign w:val="center"/>
          </w:tcPr>
          <w:p w:rsidR="006B07F6" w:rsidRPr="0020416E" w:rsidRDefault="006B07F6" w:rsidP="005703CF">
            <w:pPr>
              <w:keepNext/>
              <w:keepLines/>
              <w:tabs>
                <w:tab w:val="left" w:pos="1452"/>
              </w:tabs>
              <w:spacing w:before="120" w:after="120"/>
              <w:ind w:left="1452" w:hanging="1452"/>
              <w:rPr>
                <w:rFonts w:cs="Arial"/>
                <w:b/>
                <w:bCs/>
                <w:sz w:val="16"/>
                <w:szCs w:val="16"/>
              </w:rPr>
            </w:pPr>
            <w:r w:rsidRPr="0020416E">
              <w:rPr>
                <w:rFonts w:cs="Arial"/>
                <w:b/>
                <w:bCs/>
                <w:sz w:val="16"/>
                <w:szCs w:val="16"/>
              </w:rPr>
              <w:lastRenderedPageBreak/>
              <w:t>Expected Result:</w:t>
            </w:r>
            <w:r w:rsidRPr="0020416E">
              <w:rPr>
                <w:rFonts w:cs="Arial"/>
                <w:b/>
                <w:bCs/>
                <w:sz w:val="16"/>
                <w:szCs w:val="16"/>
              </w:rPr>
              <w:tab/>
            </w:r>
            <w:r w:rsidRPr="0020416E">
              <w:rPr>
                <w:rFonts w:cs="Arial"/>
                <w:sz w:val="16"/>
                <w:szCs w:val="16"/>
                <w:lang w:bidi="th-TH"/>
              </w:rPr>
              <w:t>Investigation reports provide a sound basis for decision making by the Director General</w:t>
            </w:r>
          </w:p>
        </w:tc>
      </w:tr>
      <w:tr w:rsidR="006B07F6" w:rsidRPr="00545109" w:rsidTr="0020416E">
        <w:tc>
          <w:tcPr>
            <w:tcW w:w="837" w:type="pct"/>
            <w:tcBorders>
              <w:top w:val="single" w:sz="4" w:space="0" w:color="auto"/>
            </w:tcBorders>
            <w:shd w:val="clear" w:color="auto" w:fill="auto"/>
            <w:vAlign w:val="center"/>
          </w:tcPr>
          <w:p w:rsidR="006B07F6" w:rsidRPr="00545109" w:rsidRDefault="006B07F6" w:rsidP="005703CF">
            <w:pPr>
              <w:keepNext/>
              <w:keepLines/>
              <w:rPr>
                <w:rFonts w:cs="Arial"/>
                <w:sz w:val="16"/>
                <w:szCs w:val="16"/>
              </w:rPr>
            </w:pPr>
            <w:r w:rsidRPr="00545109">
              <w:rPr>
                <w:rFonts w:cs="Arial"/>
                <w:b/>
                <w:bCs/>
                <w:sz w:val="16"/>
                <w:szCs w:val="16"/>
              </w:rPr>
              <w:t>Performance Indicators</w:t>
            </w:r>
          </w:p>
        </w:tc>
        <w:tc>
          <w:tcPr>
            <w:tcW w:w="914" w:type="pct"/>
            <w:tcBorders>
              <w:top w:val="single" w:sz="4" w:space="0" w:color="auto"/>
            </w:tcBorders>
            <w:shd w:val="clear" w:color="auto" w:fill="auto"/>
            <w:vAlign w:val="center"/>
          </w:tcPr>
          <w:p w:rsidR="006B07F6" w:rsidRPr="00545109" w:rsidRDefault="006B07F6" w:rsidP="005703CF">
            <w:pPr>
              <w:keepNext/>
              <w:keepLines/>
              <w:rPr>
                <w:rFonts w:cs="Arial"/>
                <w:b/>
                <w:bCs/>
                <w:sz w:val="16"/>
                <w:szCs w:val="16"/>
              </w:rPr>
            </w:pPr>
            <w:r w:rsidRPr="00545109">
              <w:rPr>
                <w:rFonts w:cs="Arial"/>
                <w:b/>
                <w:bCs/>
                <w:sz w:val="16"/>
                <w:szCs w:val="16"/>
              </w:rPr>
              <w:t>Baselines</w:t>
            </w:r>
          </w:p>
        </w:tc>
        <w:tc>
          <w:tcPr>
            <w:tcW w:w="844" w:type="pct"/>
            <w:tcBorders>
              <w:top w:val="single" w:sz="4" w:space="0" w:color="auto"/>
            </w:tcBorders>
            <w:shd w:val="clear" w:color="auto" w:fill="auto"/>
            <w:tcMar>
              <w:top w:w="110" w:type="dxa"/>
            </w:tcMar>
            <w:vAlign w:val="center"/>
          </w:tcPr>
          <w:p w:rsidR="006B07F6" w:rsidRPr="00545109" w:rsidRDefault="006B07F6" w:rsidP="005703CF">
            <w:pPr>
              <w:keepNext/>
              <w:keepLines/>
              <w:rPr>
                <w:rFonts w:cs="Arial"/>
                <w:b/>
                <w:sz w:val="16"/>
                <w:szCs w:val="16"/>
              </w:rPr>
            </w:pPr>
            <w:r w:rsidRPr="00545109">
              <w:rPr>
                <w:rFonts w:cs="Arial"/>
                <w:b/>
                <w:sz w:val="16"/>
                <w:szCs w:val="16"/>
              </w:rPr>
              <w:t>Target</w:t>
            </w:r>
            <w:r w:rsidR="002F7D53" w:rsidRPr="00545109">
              <w:rPr>
                <w:rFonts w:cs="Arial"/>
                <w:b/>
                <w:sz w:val="16"/>
                <w:szCs w:val="16"/>
              </w:rPr>
              <w:t>s</w:t>
            </w:r>
          </w:p>
        </w:tc>
        <w:tc>
          <w:tcPr>
            <w:tcW w:w="1723" w:type="pct"/>
            <w:tcBorders>
              <w:top w:val="single" w:sz="4" w:space="0" w:color="auto"/>
            </w:tcBorders>
            <w:shd w:val="clear" w:color="auto" w:fill="FFFFFF"/>
            <w:tcMar>
              <w:top w:w="110" w:type="dxa"/>
            </w:tcMar>
            <w:vAlign w:val="center"/>
          </w:tcPr>
          <w:p w:rsidR="006B07F6" w:rsidRPr="00545109" w:rsidRDefault="006B07F6" w:rsidP="005703CF">
            <w:pPr>
              <w:keepNext/>
              <w:keepLines/>
              <w:rPr>
                <w:rFonts w:cs="Arial"/>
                <w:sz w:val="16"/>
                <w:szCs w:val="16"/>
              </w:rPr>
            </w:pPr>
            <w:r w:rsidRPr="00545109">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6B07F6" w:rsidRPr="00545109" w:rsidRDefault="006B07F6" w:rsidP="005703CF">
            <w:pPr>
              <w:keepNext/>
              <w:keepLines/>
              <w:jc w:val="center"/>
              <w:rPr>
                <w:rFonts w:cs="Arial"/>
                <w:b/>
                <w:bCs/>
                <w:sz w:val="16"/>
                <w:szCs w:val="16"/>
              </w:rPr>
            </w:pPr>
            <w:r w:rsidRPr="00545109">
              <w:rPr>
                <w:rFonts w:cs="Arial"/>
                <w:b/>
                <w:bCs/>
                <w:sz w:val="16"/>
                <w:szCs w:val="16"/>
              </w:rPr>
              <w:t>TLS</w:t>
            </w:r>
          </w:p>
        </w:tc>
      </w:tr>
      <w:tr w:rsidR="006B07F6" w:rsidRPr="0020416E" w:rsidTr="0020416E">
        <w:tc>
          <w:tcPr>
            <w:tcW w:w="837" w:type="pct"/>
            <w:tcBorders>
              <w:bottom w:val="single" w:sz="4" w:space="0" w:color="auto"/>
            </w:tcBorders>
            <w:shd w:val="clear" w:color="auto" w:fill="auto"/>
          </w:tcPr>
          <w:p w:rsidR="006B07F6" w:rsidRPr="0020416E" w:rsidRDefault="006B07F6" w:rsidP="005703CF">
            <w:pPr>
              <w:keepNext/>
              <w:keepLines/>
              <w:rPr>
                <w:rFonts w:cs="Arial"/>
                <w:sz w:val="16"/>
                <w:szCs w:val="16"/>
                <w:lang w:bidi="th-TH"/>
              </w:rPr>
            </w:pPr>
            <w:r w:rsidRPr="0020416E">
              <w:rPr>
                <w:rFonts w:cs="Arial"/>
                <w:sz w:val="16"/>
                <w:szCs w:val="16"/>
                <w:lang w:bidi="th-TH"/>
              </w:rPr>
              <w:t>Investigation activity is carried out in accordance with the Internal Oversight Charter, UN Uniform Guidelines for Investigation, the Investigation Procedures Manual and the Investigation Policy (currently in draft)</w:t>
            </w:r>
          </w:p>
          <w:p w:rsidR="006B07F6" w:rsidRPr="0020416E" w:rsidRDefault="006B07F6" w:rsidP="005703CF">
            <w:pPr>
              <w:keepNext/>
              <w:keepLines/>
              <w:rPr>
                <w:rFonts w:cs="Arial"/>
                <w:sz w:val="16"/>
                <w:szCs w:val="16"/>
                <w:lang w:bidi="th-TH"/>
              </w:rPr>
            </w:pPr>
          </w:p>
        </w:tc>
        <w:tc>
          <w:tcPr>
            <w:tcW w:w="914" w:type="pct"/>
            <w:tcBorders>
              <w:bottom w:val="single" w:sz="4" w:space="0" w:color="auto"/>
            </w:tcBorders>
            <w:shd w:val="clear" w:color="auto" w:fill="auto"/>
          </w:tcPr>
          <w:p w:rsidR="006B07F6" w:rsidRPr="0020416E" w:rsidRDefault="006B07F6" w:rsidP="005703CF">
            <w:pPr>
              <w:keepNext/>
              <w:keepLines/>
              <w:rPr>
                <w:rFonts w:cs="Arial"/>
                <w:i/>
                <w:color w:val="002060"/>
                <w:sz w:val="16"/>
                <w:szCs w:val="16"/>
              </w:rPr>
            </w:pPr>
            <w:r w:rsidRPr="0020416E">
              <w:rPr>
                <w:rFonts w:cs="Arial"/>
                <w:i/>
                <w:color w:val="002060"/>
                <w:sz w:val="16"/>
                <w:szCs w:val="16"/>
              </w:rPr>
              <w:t xml:space="preserve">Updated Baseline end 2011:  </w:t>
            </w:r>
          </w:p>
          <w:p w:rsidR="006B07F6" w:rsidRPr="0020416E" w:rsidRDefault="006B07F6" w:rsidP="005703CF">
            <w:pPr>
              <w:keepNext/>
              <w:keepLines/>
              <w:rPr>
                <w:rFonts w:cs="Arial"/>
                <w:i/>
                <w:color w:val="002060"/>
                <w:sz w:val="16"/>
                <w:szCs w:val="16"/>
              </w:rPr>
            </w:pPr>
            <w:r w:rsidRPr="0020416E">
              <w:rPr>
                <w:rFonts w:cs="Arial"/>
                <w:color w:val="002060"/>
                <w:sz w:val="16"/>
                <w:szCs w:val="16"/>
              </w:rPr>
              <w:t>12 months</w:t>
            </w:r>
          </w:p>
          <w:p w:rsidR="006B07F6" w:rsidRPr="0020416E" w:rsidRDefault="006B07F6" w:rsidP="005703CF">
            <w:pPr>
              <w:keepNext/>
              <w:keepLines/>
              <w:rPr>
                <w:rFonts w:cs="Arial"/>
                <w:i/>
                <w:sz w:val="8"/>
                <w:szCs w:val="8"/>
              </w:rPr>
            </w:pPr>
          </w:p>
          <w:p w:rsidR="006B07F6" w:rsidRPr="0020416E" w:rsidRDefault="006B07F6" w:rsidP="005703CF">
            <w:pPr>
              <w:keepNext/>
              <w:keepLines/>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Investigations are carried out in accordance with the Internal Oversight Charter, the UN Uniform Guidelines for Investigation and the Investigation Procedures Manual</w:t>
            </w:r>
          </w:p>
          <w:p w:rsidR="006B07F6" w:rsidRPr="0020416E" w:rsidRDefault="006B07F6" w:rsidP="005703CF">
            <w:pPr>
              <w:keepNext/>
              <w:keepLines/>
              <w:rPr>
                <w:rFonts w:cs="Arial"/>
                <w:sz w:val="16"/>
                <w:szCs w:val="16"/>
                <w:lang w:bidi="th-TH"/>
              </w:rPr>
            </w:pPr>
          </w:p>
        </w:tc>
        <w:tc>
          <w:tcPr>
            <w:tcW w:w="844" w:type="pct"/>
            <w:tcBorders>
              <w:bottom w:val="single" w:sz="4" w:space="0" w:color="auto"/>
            </w:tcBorders>
            <w:shd w:val="clear" w:color="auto" w:fill="auto"/>
            <w:tcMar>
              <w:top w:w="110" w:type="dxa"/>
            </w:tcMar>
          </w:tcPr>
          <w:p w:rsidR="006B07F6" w:rsidRPr="0020416E" w:rsidRDefault="006B07F6" w:rsidP="005703CF">
            <w:pPr>
              <w:keepNext/>
              <w:keepLines/>
              <w:autoSpaceDE w:val="0"/>
              <w:autoSpaceDN w:val="0"/>
              <w:adjustRightInd w:val="0"/>
              <w:rPr>
                <w:rFonts w:cs="Arial"/>
                <w:sz w:val="16"/>
                <w:szCs w:val="16"/>
              </w:rPr>
            </w:pPr>
            <w:r w:rsidRPr="0020416E">
              <w:rPr>
                <w:rFonts w:cs="Arial"/>
                <w:sz w:val="16"/>
                <w:szCs w:val="16"/>
              </w:rPr>
              <w:t>Average elapsed time</w:t>
            </w:r>
            <w:r w:rsidR="00545109">
              <w:rPr>
                <w:rFonts w:cs="Arial"/>
                <w:sz w:val="16"/>
                <w:szCs w:val="16"/>
              </w:rPr>
              <w:t xml:space="preserve"> </w:t>
            </w:r>
            <w:r w:rsidRPr="0020416E">
              <w:rPr>
                <w:rFonts w:cs="Arial"/>
                <w:sz w:val="16"/>
                <w:szCs w:val="16"/>
              </w:rPr>
              <w:t>to complete</w:t>
            </w:r>
          </w:p>
          <w:p w:rsidR="006B07F6" w:rsidRPr="0020416E" w:rsidRDefault="006B07F6" w:rsidP="00545109">
            <w:pPr>
              <w:keepNext/>
              <w:keepLines/>
              <w:autoSpaceDE w:val="0"/>
              <w:autoSpaceDN w:val="0"/>
              <w:adjustRightInd w:val="0"/>
              <w:rPr>
                <w:rFonts w:cs="Arial"/>
                <w:sz w:val="16"/>
                <w:szCs w:val="16"/>
              </w:rPr>
            </w:pPr>
            <w:r w:rsidRPr="0020416E">
              <w:rPr>
                <w:rFonts w:cs="Arial"/>
                <w:sz w:val="16"/>
                <w:szCs w:val="16"/>
              </w:rPr>
              <w:t>investigations below</w:t>
            </w:r>
            <w:r w:rsidR="00545109">
              <w:rPr>
                <w:rFonts w:cs="Arial"/>
                <w:sz w:val="16"/>
                <w:szCs w:val="16"/>
              </w:rPr>
              <w:t xml:space="preserve"> </w:t>
            </w:r>
            <w:r w:rsidRPr="0020416E">
              <w:rPr>
                <w:rFonts w:cs="Arial"/>
                <w:sz w:val="16"/>
                <w:szCs w:val="16"/>
              </w:rPr>
              <w:t>six months</w:t>
            </w:r>
          </w:p>
        </w:tc>
        <w:tc>
          <w:tcPr>
            <w:tcW w:w="1723" w:type="pct"/>
            <w:tcBorders>
              <w:bottom w:val="single" w:sz="4" w:space="0" w:color="auto"/>
            </w:tcBorders>
            <w:shd w:val="clear" w:color="auto" w:fill="FFFFFF"/>
            <w:tcMar>
              <w:top w:w="110" w:type="dxa"/>
            </w:tcMar>
          </w:tcPr>
          <w:p w:rsidR="006B07F6" w:rsidRPr="0020416E" w:rsidRDefault="006B07F6" w:rsidP="005703CF">
            <w:pPr>
              <w:keepNext/>
              <w:keepLines/>
              <w:rPr>
                <w:rFonts w:cs="Arial"/>
                <w:sz w:val="16"/>
                <w:szCs w:val="16"/>
                <w:lang w:bidi="th-TH"/>
              </w:rPr>
            </w:pPr>
            <w:r w:rsidRPr="0020416E">
              <w:rPr>
                <w:rFonts w:cs="Arial"/>
                <w:sz w:val="16"/>
                <w:szCs w:val="16"/>
                <w:lang w:bidi="th-TH"/>
              </w:rPr>
              <w:t>21 investigation cases registered in 2012 and 19 in 2013, compared to 11 in 2011 and 13 in 2010.</w:t>
            </w:r>
          </w:p>
          <w:p w:rsidR="006B07F6" w:rsidRPr="0020416E" w:rsidRDefault="006B07F6" w:rsidP="005703CF">
            <w:pPr>
              <w:keepNext/>
              <w:keepLines/>
              <w:rPr>
                <w:rFonts w:cs="Arial"/>
                <w:sz w:val="16"/>
                <w:szCs w:val="16"/>
                <w:lang w:bidi="th-TH"/>
              </w:rPr>
            </w:pPr>
          </w:p>
          <w:p w:rsidR="006B07F6" w:rsidRPr="0020416E" w:rsidRDefault="006B07F6" w:rsidP="005703CF">
            <w:pPr>
              <w:keepNext/>
              <w:keepLines/>
              <w:rPr>
                <w:rFonts w:cs="Arial"/>
                <w:sz w:val="16"/>
                <w:szCs w:val="16"/>
                <w:lang w:bidi="th-TH"/>
              </w:rPr>
            </w:pPr>
            <w:r w:rsidRPr="0020416E">
              <w:rPr>
                <w:rFonts w:cs="Arial"/>
                <w:sz w:val="16"/>
                <w:szCs w:val="16"/>
                <w:lang w:bidi="th-TH"/>
              </w:rPr>
              <w:t>25 cases were closed in 2012 and 21 in 2013.</w:t>
            </w:r>
          </w:p>
          <w:p w:rsidR="006B07F6" w:rsidRPr="0020416E" w:rsidRDefault="006B07F6" w:rsidP="005703CF">
            <w:pPr>
              <w:keepNext/>
              <w:keepLines/>
              <w:rPr>
                <w:rFonts w:cs="Arial"/>
                <w:sz w:val="16"/>
                <w:szCs w:val="16"/>
                <w:lang w:bidi="th-TH"/>
              </w:rPr>
            </w:pPr>
          </w:p>
          <w:p w:rsidR="006B07F6" w:rsidRPr="0020416E" w:rsidRDefault="006B07F6" w:rsidP="005703CF">
            <w:pPr>
              <w:keepNext/>
              <w:keepLines/>
              <w:rPr>
                <w:rFonts w:cs="Arial"/>
                <w:sz w:val="16"/>
                <w:szCs w:val="16"/>
              </w:rPr>
            </w:pPr>
            <w:r w:rsidRPr="0020416E">
              <w:rPr>
                <w:rFonts w:cs="Arial"/>
                <w:sz w:val="16"/>
                <w:szCs w:val="16"/>
                <w:lang w:bidi="th-TH"/>
              </w:rPr>
              <w:t>The average time for completing an investigation case amounted to 6 months in 2012 and 3 months in 2013</w:t>
            </w:r>
            <w:r w:rsidR="00545109">
              <w:rPr>
                <w:rFonts w:cs="Arial"/>
                <w:sz w:val="16"/>
                <w:szCs w:val="16"/>
                <w:lang w:bidi="th-TH"/>
              </w:rPr>
              <w:t>.</w:t>
            </w:r>
            <w:r w:rsidRPr="0020416E">
              <w:rPr>
                <w:rFonts w:cs="Arial"/>
                <w:sz w:val="16"/>
                <w:szCs w:val="16"/>
                <w:lang w:bidi="th-TH"/>
              </w:rPr>
              <w:t xml:space="preserve"> </w:t>
            </w:r>
          </w:p>
        </w:tc>
        <w:tc>
          <w:tcPr>
            <w:tcW w:w="682" w:type="pct"/>
            <w:tcBorders>
              <w:bottom w:val="single" w:sz="4" w:space="0" w:color="auto"/>
            </w:tcBorders>
            <w:shd w:val="clear" w:color="auto" w:fill="auto"/>
            <w:tcMar>
              <w:top w:w="110" w:type="dxa"/>
            </w:tcMar>
          </w:tcPr>
          <w:p w:rsidR="006B07F6" w:rsidRPr="0020416E" w:rsidRDefault="006B07F6" w:rsidP="005703CF">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r w:rsidRPr="0020416E" w:rsidDel="005E6AFE">
              <w:rPr>
                <w:rStyle w:val="Style5"/>
                <w:rFonts w:ascii="Arial" w:hAnsi="Arial" w:cs="Arial"/>
                <w:sz w:val="16"/>
                <w:szCs w:val="16"/>
              </w:rPr>
              <w:t xml:space="preserve"> </w:t>
            </w:r>
          </w:p>
        </w:tc>
      </w:tr>
      <w:tr w:rsidR="006B07F6" w:rsidRPr="0020416E" w:rsidTr="007C0423">
        <w:tc>
          <w:tcPr>
            <w:tcW w:w="5000" w:type="pct"/>
            <w:gridSpan w:val="5"/>
            <w:tcBorders>
              <w:top w:val="single" w:sz="4" w:space="0" w:color="auto"/>
              <w:bottom w:val="single" w:sz="4" w:space="0" w:color="auto"/>
            </w:tcBorders>
            <w:shd w:val="clear" w:color="auto" w:fill="CCFFFF"/>
            <w:vAlign w:val="center"/>
          </w:tcPr>
          <w:p w:rsidR="006B07F6" w:rsidRPr="0020416E" w:rsidRDefault="006B07F6" w:rsidP="007C0423">
            <w:pPr>
              <w:keepNext/>
              <w:keepLines/>
              <w:tabs>
                <w:tab w:val="left" w:pos="1452"/>
              </w:tabs>
              <w:spacing w:before="120" w:after="120"/>
              <w:ind w:left="1452" w:hanging="1452"/>
              <w:rPr>
                <w:rFonts w:cs="Arial"/>
                <w:bCs/>
                <w:sz w:val="16"/>
                <w:szCs w:val="16"/>
              </w:rPr>
            </w:pPr>
            <w:r w:rsidRPr="0020416E">
              <w:rPr>
                <w:rFonts w:cs="Arial"/>
                <w:bCs/>
                <w:sz w:val="16"/>
                <w:szCs w:val="16"/>
              </w:rPr>
              <w:t>Expected Result:</w:t>
            </w:r>
            <w:r w:rsidRPr="0020416E">
              <w:rPr>
                <w:rFonts w:cs="Arial"/>
                <w:bCs/>
                <w:sz w:val="16"/>
                <w:szCs w:val="16"/>
              </w:rPr>
              <w:tab/>
            </w:r>
            <w:r w:rsidRPr="0020416E">
              <w:rPr>
                <w:rFonts w:cs="Arial"/>
                <w:sz w:val="16"/>
                <w:szCs w:val="16"/>
                <w:lang w:bidi="th-TH"/>
              </w:rPr>
              <w:t>Evidence-based evaluative information is available to senior management, program managers and Member States for decision making</w:t>
            </w:r>
          </w:p>
        </w:tc>
      </w:tr>
      <w:tr w:rsidR="006B07F6" w:rsidRPr="0020416E" w:rsidTr="0020416E">
        <w:tc>
          <w:tcPr>
            <w:tcW w:w="837" w:type="pct"/>
            <w:tcBorders>
              <w:top w:val="single" w:sz="4" w:space="0" w:color="auto"/>
            </w:tcBorders>
            <w:shd w:val="clear" w:color="auto" w:fill="auto"/>
            <w:vAlign w:val="center"/>
          </w:tcPr>
          <w:p w:rsidR="006B07F6" w:rsidRPr="0020416E" w:rsidRDefault="006B07F6" w:rsidP="007C0423">
            <w:pPr>
              <w:rPr>
                <w:rFonts w:cs="Arial"/>
                <w:sz w:val="16"/>
                <w:szCs w:val="16"/>
              </w:rPr>
            </w:pPr>
            <w:r w:rsidRPr="0020416E">
              <w:rPr>
                <w:rFonts w:cs="Arial"/>
                <w:b/>
                <w:bCs/>
                <w:sz w:val="16"/>
                <w:szCs w:val="16"/>
              </w:rPr>
              <w:t>Performance Indicators</w:t>
            </w:r>
          </w:p>
        </w:tc>
        <w:tc>
          <w:tcPr>
            <w:tcW w:w="914" w:type="pct"/>
            <w:tcBorders>
              <w:top w:val="single" w:sz="4" w:space="0" w:color="auto"/>
            </w:tcBorders>
            <w:shd w:val="clear" w:color="auto" w:fill="auto"/>
            <w:vAlign w:val="center"/>
          </w:tcPr>
          <w:p w:rsidR="006B07F6" w:rsidRPr="0020416E" w:rsidRDefault="006B07F6" w:rsidP="007C0423">
            <w:pPr>
              <w:rPr>
                <w:rFonts w:cs="Arial"/>
                <w:b/>
                <w:bCs/>
                <w:sz w:val="16"/>
                <w:szCs w:val="16"/>
              </w:rPr>
            </w:pPr>
            <w:r w:rsidRPr="0020416E">
              <w:rPr>
                <w:rFonts w:cs="Arial"/>
                <w:b/>
                <w:bCs/>
                <w:sz w:val="16"/>
                <w:szCs w:val="16"/>
              </w:rPr>
              <w:t>Baselines</w:t>
            </w:r>
          </w:p>
        </w:tc>
        <w:tc>
          <w:tcPr>
            <w:tcW w:w="844" w:type="pct"/>
            <w:tcBorders>
              <w:top w:val="single" w:sz="4" w:space="0" w:color="auto"/>
            </w:tcBorders>
            <w:shd w:val="clear" w:color="auto" w:fill="auto"/>
            <w:tcMar>
              <w:top w:w="110" w:type="dxa"/>
            </w:tcMar>
            <w:vAlign w:val="center"/>
          </w:tcPr>
          <w:p w:rsidR="006B07F6" w:rsidRPr="005703CF" w:rsidRDefault="006B07F6" w:rsidP="007C0423">
            <w:pPr>
              <w:rPr>
                <w:rFonts w:cs="Arial"/>
                <w:b/>
                <w:sz w:val="16"/>
                <w:szCs w:val="16"/>
              </w:rPr>
            </w:pPr>
            <w:r w:rsidRPr="005703CF">
              <w:rPr>
                <w:rFonts w:cs="Arial"/>
                <w:b/>
                <w:sz w:val="16"/>
                <w:szCs w:val="16"/>
              </w:rPr>
              <w:t>Target</w:t>
            </w:r>
            <w:r w:rsidR="002F7D53" w:rsidRPr="005703CF">
              <w:rPr>
                <w:rFonts w:cs="Arial"/>
                <w:b/>
                <w:sz w:val="16"/>
                <w:szCs w:val="16"/>
              </w:rPr>
              <w:t>s</w:t>
            </w:r>
          </w:p>
        </w:tc>
        <w:tc>
          <w:tcPr>
            <w:tcW w:w="1722" w:type="pct"/>
            <w:tcBorders>
              <w:top w:val="single" w:sz="4" w:space="0" w:color="auto"/>
            </w:tcBorders>
            <w:shd w:val="clear" w:color="auto" w:fill="FFFFFF"/>
            <w:tcMar>
              <w:top w:w="110" w:type="dxa"/>
            </w:tcMar>
            <w:vAlign w:val="center"/>
          </w:tcPr>
          <w:p w:rsidR="006B07F6" w:rsidRPr="005703CF" w:rsidRDefault="006B07F6" w:rsidP="007C0423">
            <w:pPr>
              <w:rPr>
                <w:rFonts w:cs="Arial"/>
                <w:sz w:val="16"/>
                <w:szCs w:val="16"/>
              </w:rPr>
            </w:pPr>
            <w:r w:rsidRPr="005703CF">
              <w:rPr>
                <w:rFonts w:cs="Arial"/>
                <w:b/>
                <w:bCs/>
                <w:sz w:val="16"/>
                <w:szCs w:val="16"/>
              </w:rPr>
              <w:t>Performance Data</w:t>
            </w:r>
          </w:p>
        </w:tc>
        <w:tc>
          <w:tcPr>
            <w:tcW w:w="682" w:type="pct"/>
            <w:tcBorders>
              <w:top w:val="single" w:sz="4" w:space="0" w:color="auto"/>
            </w:tcBorders>
            <w:shd w:val="clear" w:color="auto" w:fill="auto"/>
            <w:tcMar>
              <w:top w:w="110" w:type="dxa"/>
            </w:tcMar>
            <w:vAlign w:val="center"/>
          </w:tcPr>
          <w:p w:rsidR="006B07F6" w:rsidRPr="0020416E" w:rsidRDefault="006B07F6" w:rsidP="007C0423">
            <w:pPr>
              <w:keepNext/>
              <w:keepLines/>
              <w:jc w:val="center"/>
              <w:rPr>
                <w:rFonts w:cs="Arial"/>
                <w:b/>
                <w:bCs/>
                <w:color w:val="008000"/>
                <w:sz w:val="16"/>
                <w:szCs w:val="16"/>
              </w:rPr>
            </w:pPr>
            <w:r w:rsidRPr="0020416E">
              <w:rPr>
                <w:rFonts w:cs="Arial"/>
                <w:b/>
                <w:bCs/>
                <w:sz w:val="16"/>
                <w:szCs w:val="16"/>
              </w:rPr>
              <w:t>TLS</w:t>
            </w:r>
          </w:p>
        </w:tc>
      </w:tr>
      <w:tr w:rsidR="006B07F6" w:rsidRPr="0020416E" w:rsidTr="0020416E">
        <w:tc>
          <w:tcPr>
            <w:tcW w:w="837" w:type="pct"/>
            <w:shd w:val="clear" w:color="auto" w:fill="auto"/>
          </w:tcPr>
          <w:p w:rsidR="006B07F6" w:rsidRPr="0020416E" w:rsidRDefault="006B07F6" w:rsidP="007C0423">
            <w:pPr>
              <w:rPr>
                <w:rFonts w:cs="Arial"/>
                <w:sz w:val="16"/>
                <w:szCs w:val="16"/>
                <w:lang w:bidi="th-TH"/>
              </w:rPr>
            </w:pPr>
            <w:r w:rsidRPr="0020416E">
              <w:rPr>
                <w:rFonts w:cs="Arial"/>
                <w:sz w:val="16"/>
                <w:szCs w:val="16"/>
                <w:lang w:bidi="th-TH"/>
              </w:rPr>
              <w:t>Evaluations are produced in line with the Evaluation Policy and Evaluation Section Procedures Manual.</w:t>
            </w:r>
          </w:p>
        </w:tc>
        <w:tc>
          <w:tcPr>
            <w:tcW w:w="914" w:type="pct"/>
            <w:shd w:val="clear" w:color="auto" w:fill="auto"/>
          </w:tcPr>
          <w:p w:rsidR="006B07F6" w:rsidRPr="0020416E" w:rsidRDefault="006B07F6" w:rsidP="007C0423">
            <w:pPr>
              <w:keepNext/>
              <w:keepLines/>
              <w:rPr>
                <w:rFonts w:cs="Arial"/>
                <w:i/>
                <w:color w:val="002060"/>
                <w:sz w:val="16"/>
                <w:szCs w:val="16"/>
              </w:rPr>
            </w:pPr>
            <w:r w:rsidRPr="0020416E">
              <w:rPr>
                <w:rFonts w:cs="Arial"/>
                <w:i/>
                <w:color w:val="002060"/>
                <w:sz w:val="16"/>
                <w:szCs w:val="16"/>
              </w:rPr>
              <w:t xml:space="preserve">Updated Baseline end 2011:  </w:t>
            </w:r>
            <w:r w:rsidRPr="0020416E">
              <w:rPr>
                <w:rFonts w:cs="Arial"/>
                <w:color w:val="002060"/>
                <w:sz w:val="16"/>
                <w:szCs w:val="16"/>
                <w:lang w:bidi="th-TH"/>
              </w:rPr>
              <w:t>1 country portfolio evaluation (Kenya) was almost completed (draft final report received)</w:t>
            </w:r>
          </w:p>
          <w:p w:rsidR="006B07F6" w:rsidRPr="0020416E" w:rsidRDefault="006B07F6" w:rsidP="007C0423">
            <w:pPr>
              <w:rPr>
                <w:rFonts w:cs="Arial"/>
                <w:i/>
                <w:sz w:val="8"/>
                <w:szCs w:val="8"/>
              </w:rPr>
            </w:pPr>
          </w:p>
          <w:p w:rsidR="006B07F6" w:rsidRPr="0020416E" w:rsidRDefault="006B07F6" w:rsidP="007C0423">
            <w:pPr>
              <w:rPr>
                <w:rFonts w:cs="Arial"/>
                <w:sz w:val="16"/>
                <w:szCs w:val="16"/>
                <w:lang w:bidi="th-TH"/>
              </w:rPr>
            </w:pPr>
            <w:r w:rsidRPr="0020416E">
              <w:rPr>
                <w:rFonts w:cs="Arial"/>
                <w:i/>
                <w:sz w:val="16"/>
                <w:szCs w:val="16"/>
              </w:rPr>
              <w:t>Original Baseline P&amp;B 2012/13:</w:t>
            </w:r>
            <w:r w:rsidRPr="0020416E">
              <w:rPr>
                <w:rFonts w:cs="Arial"/>
                <w:sz w:val="16"/>
                <w:szCs w:val="16"/>
              </w:rPr>
              <w:br/>
            </w:r>
            <w:r w:rsidRPr="0020416E">
              <w:rPr>
                <w:rFonts w:cs="Arial"/>
                <w:sz w:val="16"/>
                <w:szCs w:val="16"/>
                <w:lang w:bidi="th-TH"/>
              </w:rPr>
              <w:t>The Evaluation Policy will be progressively implemented through 2012 and 2013</w:t>
            </w:r>
          </w:p>
        </w:tc>
        <w:tc>
          <w:tcPr>
            <w:tcW w:w="844" w:type="pct"/>
            <w:shd w:val="clear" w:color="auto" w:fill="auto"/>
            <w:tcMar>
              <w:top w:w="110" w:type="dxa"/>
            </w:tcMar>
          </w:tcPr>
          <w:p w:rsidR="006B07F6" w:rsidRPr="005703CF" w:rsidRDefault="006B07F6" w:rsidP="007C0423">
            <w:pPr>
              <w:autoSpaceDE w:val="0"/>
              <w:autoSpaceDN w:val="0"/>
              <w:adjustRightInd w:val="0"/>
              <w:rPr>
                <w:rFonts w:cs="Arial"/>
                <w:sz w:val="16"/>
                <w:szCs w:val="16"/>
              </w:rPr>
            </w:pPr>
            <w:r w:rsidRPr="005703CF">
              <w:rPr>
                <w:rFonts w:cs="Arial"/>
                <w:sz w:val="16"/>
                <w:szCs w:val="16"/>
              </w:rPr>
              <w:t>At least six</w:t>
            </w:r>
          </w:p>
          <w:p w:rsidR="006B07F6" w:rsidRPr="005703CF" w:rsidRDefault="006B07F6" w:rsidP="007C0423">
            <w:pPr>
              <w:autoSpaceDE w:val="0"/>
              <w:autoSpaceDN w:val="0"/>
              <w:adjustRightInd w:val="0"/>
              <w:rPr>
                <w:rFonts w:cs="Arial"/>
                <w:sz w:val="16"/>
                <w:szCs w:val="16"/>
              </w:rPr>
            </w:pPr>
            <w:r w:rsidRPr="005703CF">
              <w:rPr>
                <w:rFonts w:cs="Arial"/>
                <w:sz w:val="16"/>
                <w:szCs w:val="16"/>
              </w:rPr>
              <w:t>evaluations completed</w:t>
            </w:r>
          </w:p>
          <w:p w:rsidR="006B07F6" w:rsidRPr="005703CF" w:rsidRDefault="006B07F6" w:rsidP="007C0423">
            <w:pPr>
              <w:rPr>
                <w:rFonts w:cs="Arial"/>
                <w:sz w:val="16"/>
                <w:szCs w:val="16"/>
                <w:lang w:bidi="th-TH"/>
              </w:rPr>
            </w:pPr>
            <w:r w:rsidRPr="005703CF">
              <w:rPr>
                <w:rFonts w:cs="Arial"/>
                <w:sz w:val="16"/>
                <w:szCs w:val="16"/>
              </w:rPr>
              <w:t>in the biennium</w:t>
            </w:r>
          </w:p>
        </w:tc>
        <w:tc>
          <w:tcPr>
            <w:tcW w:w="1722" w:type="pct"/>
            <w:shd w:val="clear" w:color="auto" w:fill="FFFFFF"/>
            <w:tcMar>
              <w:top w:w="110" w:type="dxa"/>
            </w:tcMar>
          </w:tcPr>
          <w:p w:rsidR="006B07F6" w:rsidRPr="005703CF" w:rsidRDefault="006B07F6" w:rsidP="007C0423">
            <w:pPr>
              <w:rPr>
                <w:rFonts w:cs="Arial"/>
                <w:sz w:val="16"/>
                <w:szCs w:val="16"/>
                <w:lang w:bidi="th-TH"/>
              </w:rPr>
            </w:pPr>
            <w:r w:rsidRPr="005703CF">
              <w:rPr>
                <w:rFonts w:cs="Arial"/>
                <w:sz w:val="16"/>
                <w:szCs w:val="16"/>
                <w:lang w:bidi="th-TH"/>
              </w:rPr>
              <w:t>Eight evaluations were completed in the biennium.</w:t>
            </w:r>
          </w:p>
          <w:p w:rsidR="006B07F6" w:rsidRPr="005703CF" w:rsidRDefault="006B07F6" w:rsidP="007C0423">
            <w:pPr>
              <w:rPr>
                <w:rFonts w:cs="Arial"/>
                <w:sz w:val="16"/>
                <w:szCs w:val="16"/>
                <w:lang w:bidi="th-TH"/>
              </w:rPr>
            </w:pPr>
          </w:p>
          <w:p w:rsidR="006B07F6" w:rsidRPr="005703CF" w:rsidRDefault="006B07F6" w:rsidP="007C0423">
            <w:pPr>
              <w:rPr>
                <w:rFonts w:cs="Arial"/>
                <w:sz w:val="16"/>
                <w:szCs w:val="16"/>
                <w:lang w:bidi="th-TH"/>
              </w:rPr>
            </w:pPr>
            <w:r w:rsidRPr="005703CF">
              <w:rPr>
                <w:rFonts w:cs="Arial"/>
                <w:sz w:val="16"/>
                <w:szCs w:val="16"/>
                <w:lang w:bidi="th-TH"/>
              </w:rPr>
              <w:t>Six in 2012:</w:t>
            </w:r>
          </w:p>
          <w:p w:rsidR="006B07F6" w:rsidRPr="005703CF" w:rsidRDefault="006B07F6" w:rsidP="007B2B25">
            <w:pPr>
              <w:pStyle w:val="ListParagraph"/>
              <w:numPr>
                <w:ilvl w:val="0"/>
                <w:numId w:val="64"/>
              </w:numPr>
              <w:rPr>
                <w:rFonts w:cs="Arial"/>
                <w:sz w:val="16"/>
                <w:szCs w:val="16"/>
                <w:lang w:bidi="th-TH"/>
              </w:rPr>
            </w:pPr>
            <w:r w:rsidRPr="005703CF">
              <w:rPr>
                <w:rFonts w:cs="Arial"/>
                <w:sz w:val="16"/>
                <w:szCs w:val="16"/>
                <w:lang w:bidi="th-TH"/>
              </w:rPr>
              <w:t>The Country portfolio evaluation (Kenya)</w:t>
            </w:r>
          </w:p>
          <w:p w:rsidR="006B07F6" w:rsidRPr="005703CF" w:rsidRDefault="006B07F6" w:rsidP="007B2B25">
            <w:pPr>
              <w:pStyle w:val="ListParagraph"/>
              <w:numPr>
                <w:ilvl w:val="0"/>
                <w:numId w:val="64"/>
              </w:numPr>
              <w:rPr>
                <w:rFonts w:cs="Arial"/>
                <w:sz w:val="16"/>
                <w:szCs w:val="16"/>
                <w:lang w:bidi="th-TH"/>
              </w:rPr>
            </w:pPr>
            <w:r w:rsidRPr="005703CF">
              <w:rPr>
                <w:rFonts w:cs="Arial"/>
                <w:sz w:val="16"/>
                <w:szCs w:val="16"/>
                <w:lang w:bidi="th-TH"/>
              </w:rPr>
              <w:t>The, validation report of the PPR 2010/11 (in collaboration with the Audit Section)</w:t>
            </w:r>
          </w:p>
          <w:p w:rsidR="006B07F6" w:rsidRPr="005703CF" w:rsidRDefault="006B07F6" w:rsidP="007B2B25">
            <w:pPr>
              <w:pStyle w:val="ListParagraph"/>
              <w:numPr>
                <w:ilvl w:val="0"/>
                <w:numId w:val="64"/>
              </w:numPr>
              <w:rPr>
                <w:rFonts w:cs="Arial"/>
                <w:sz w:val="16"/>
                <w:szCs w:val="16"/>
                <w:lang w:bidi="th-TH"/>
              </w:rPr>
            </w:pPr>
            <w:r w:rsidRPr="005703CF">
              <w:rPr>
                <w:rFonts w:cs="Arial"/>
                <w:sz w:val="16"/>
                <w:szCs w:val="16"/>
                <w:lang w:bidi="th-TH"/>
              </w:rPr>
              <w:t>Four DA project evaluations.</w:t>
            </w:r>
          </w:p>
          <w:p w:rsidR="006B07F6" w:rsidRPr="005703CF" w:rsidRDefault="006B07F6" w:rsidP="007C0423">
            <w:pPr>
              <w:rPr>
                <w:rFonts w:cs="Arial"/>
                <w:sz w:val="16"/>
                <w:szCs w:val="16"/>
                <w:lang w:bidi="th-TH"/>
              </w:rPr>
            </w:pPr>
          </w:p>
          <w:p w:rsidR="006B07F6" w:rsidRPr="005703CF" w:rsidRDefault="006B07F6" w:rsidP="007C0423">
            <w:pPr>
              <w:rPr>
                <w:rFonts w:cs="Arial"/>
                <w:sz w:val="16"/>
                <w:szCs w:val="16"/>
                <w:lang w:bidi="th-TH"/>
              </w:rPr>
            </w:pPr>
            <w:r w:rsidRPr="005703CF">
              <w:rPr>
                <w:rFonts w:cs="Arial"/>
                <w:sz w:val="16"/>
                <w:szCs w:val="16"/>
                <w:lang w:bidi="th-TH"/>
              </w:rPr>
              <w:t xml:space="preserve">Two in 2013: </w:t>
            </w:r>
          </w:p>
          <w:p w:rsidR="006B07F6" w:rsidRPr="005703CF" w:rsidRDefault="007C75ED" w:rsidP="007B2B25">
            <w:pPr>
              <w:pStyle w:val="ListParagraph"/>
              <w:numPr>
                <w:ilvl w:val="0"/>
                <w:numId w:val="65"/>
              </w:numPr>
              <w:rPr>
                <w:rFonts w:cs="Arial"/>
              </w:rPr>
            </w:pPr>
            <w:hyperlink r:id="rId74" w:tgtFrame="_self" w:history="1">
              <w:r w:rsidR="006B07F6" w:rsidRPr="005703CF">
                <w:rPr>
                  <w:rFonts w:cs="Arial"/>
                  <w:sz w:val="16"/>
                  <w:szCs w:val="16"/>
                  <w:lang w:bidi="th-TH"/>
                </w:rPr>
                <w:t>Evaluation of Program 1 Patent Law</w:t>
              </w:r>
            </w:hyperlink>
            <w:r w:rsidR="006B07F6" w:rsidRPr="005703CF">
              <w:rPr>
                <w:rFonts w:cs="Arial"/>
                <w:sz w:val="16"/>
                <w:szCs w:val="16"/>
                <w:lang w:bidi="th-TH"/>
              </w:rPr>
              <w:t xml:space="preserve"> </w:t>
            </w:r>
          </w:p>
          <w:p w:rsidR="006B07F6" w:rsidRPr="005703CF" w:rsidRDefault="007C75ED" w:rsidP="007B2B25">
            <w:pPr>
              <w:pStyle w:val="ListParagraph"/>
              <w:numPr>
                <w:ilvl w:val="0"/>
                <w:numId w:val="65"/>
              </w:numPr>
              <w:rPr>
                <w:rFonts w:cs="Arial"/>
              </w:rPr>
            </w:pPr>
            <w:hyperlink r:id="rId75" w:tgtFrame="_self" w:history="1">
              <w:r w:rsidR="006B07F6" w:rsidRPr="005703CF">
                <w:rPr>
                  <w:rFonts w:cs="Arial"/>
                  <w:sz w:val="16"/>
                  <w:szCs w:val="16"/>
                  <w:lang w:bidi="th-TH"/>
                </w:rPr>
                <w:t>Evaluation Report on Support Services to the Intergovernmental Committee on Intellectual Property and Genetic Resources, Traditional Knowledge and Folklore (IGC)</w:t>
              </w:r>
            </w:hyperlink>
          </w:p>
          <w:p w:rsidR="006B07F6" w:rsidRPr="005703CF" w:rsidRDefault="006B07F6" w:rsidP="007C0423">
            <w:pPr>
              <w:rPr>
                <w:rFonts w:cs="Arial"/>
                <w:sz w:val="16"/>
                <w:szCs w:val="16"/>
                <w:lang w:bidi="th-TH"/>
              </w:rPr>
            </w:pPr>
          </w:p>
          <w:p w:rsidR="006B07F6" w:rsidRPr="005703CF" w:rsidRDefault="006B07F6" w:rsidP="007C0423">
            <w:pPr>
              <w:rPr>
                <w:rFonts w:cs="Arial"/>
                <w:sz w:val="16"/>
                <w:szCs w:val="16"/>
              </w:rPr>
            </w:pPr>
            <w:r w:rsidRPr="005703CF">
              <w:rPr>
                <w:rFonts w:cs="Arial"/>
                <w:sz w:val="16"/>
                <w:szCs w:val="16"/>
                <w:lang w:bidi="th-TH"/>
              </w:rPr>
              <w:t>All evaluations were produced in accordance with the Evaluation Policy and Evaluation Section Procedures Manual.</w:t>
            </w:r>
          </w:p>
          <w:p w:rsidR="006B07F6" w:rsidRPr="005703CF" w:rsidRDefault="006B07F6" w:rsidP="007C0423">
            <w:pPr>
              <w:rPr>
                <w:rFonts w:cs="Arial"/>
                <w:sz w:val="16"/>
                <w:szCs w:val="16"/>
              </w:rPr>
            </w:pPr>
          </w:p>
        </w:tc>
        <w:tc>
          <w:tcPr>
            <w:tcW w:w="682" w:type="pct"/>
            <w:shd w:val="clear" w:color="auto" w:fill="auto"/>
            <w:tcMar>
              <w:top w:w="110" w:type="dxa"/>
            </w:tcMar>
          </w:tcPr>
          <w:p w:rsidR="006B07F6" w:rsidRPr="0020416E" w:rsidRDefault="006B07F6" w:rsidP="007C0423">
            <w:pPr>
              <w:keepNext/>
              <w:keepLines/>
              <w:jc w:val="center"/>
              <w:rPr>
                <w:rFonts w:cs="Arial"/>
                <w:bCs/>
                <w:color w:val="808080"/>
                <w:sz w:val="16"/>
                <w:szCs w:val="16"/>
              </w:rPr>
            </w:pPr>
            <w:r w:rsidRPr="0020416E">
              <w:rPr>
                <w:rFonts w:cs="Arial"/>
                <w:bCs/>
                <w:color w:val="008000"/>
                <w:sz w:val="16"/>
                <w:szCs w:val="16"/>
              </w:rPr>
              <w:t>Fully</w:t>
            </w:r>
            <w:r w:rsidRPr="0020416E">
              <w:rPr>
                <w:rFonts w:cs="Arial"/>
                <w:bCs/>
                <w:color w:val="008000"/>
                <w:sz w:val="16"/>
                <w:szCs w:val="16"/>
              </w:rPr>
              <w:br/>
              <w:t>Achieved</w:t>
            </w:r>
          </w:p>
        </w:tc>
      </w:tr>
    </w:tbl>
    <w:p w:rsidR="006B07F6" w:rsidRPr="002A56E1" w:rsidRDefault="006B07F6" w:rsidP="006B07F6">
      <w:pPr>
        <w:rPr>
          <w:b/>
          <w:sz w:val="18"/>
          <w:szCs w:val="18"/>
        </w:rPr>
      </w:pPr>
    </w:p>
    <w:p w:rsidR="006B07F6" w:rsidRPr="002A56E1" w:rsidRDefault="006B07F6" w:rsidP="006B07F6">
      <w:pPr>
        <w:keepNext/>
        <w:keepLines/>
        <w:rPr>
          <w:rFonts w:cs="Arial"/>
          <w:sz w:val="18"/>
          <w:szCs w:val="18"/>
        </w:rPr>
      </w:pPr>
    </w:p>
    <w:p w:rsidR="006B07F6" w:rsidRPr="002A56E1" w:rsidRDefault="006B07F6" w:rsidP="006B07F6">
      <w:pPr>
        <w:keepNext/>
        <w:keepLines/>
        <w:rPr>
          <w:rFonts w:cs="Arial"/>
          <w:sz w:val="18"/>
          <w:szCs w:val="18"/>
        </w:rPr>
      </w:pPr>
    </w:p>
    <w:p w:rsidR="006B07F6" w:rsidRDefault="006B07F6" w:rsidP="006B07F6">
      <w:pPr>
        <w:rPr>
          <w:rFonts w:cs="Arial"/>
          <w:sz w:val="22"/>
          <w:szCs w:val="22"/>
        </w:rPr>
      </w:pPr>
      <w:r>
        <w:rPr>
          <w:rFonts w:cs="Arial"/>
          <w:sz w:val="22"/>
          <w:szCs w:val="22"/>
        </w:rPr>
        <w:br w:type="page"/>
      </w:r>
    </w:p>
    <w:p w:rsidR="006B07F6" w:rsidRDefault="006B07F6" w:rsidP="006B07F6">
      <w:pPr>
        <w:keepNext/>
        <w:keepLines/>
        <w:rPr>
          <w:rFonts w:cs="Arial"/>
          <w:sz w:val="22"/>
          <w:szCs w:val="22"/>
        </w:rPr>
      </w:pPr>
      <w:r w:rsidRPr="0098133B">
        <w:rPr>
          <w:rFonts w:cs="Arial"/>
          <w:sz w:val="22"/>
          <w:szCs w:val="22"/>
        </w:rPr>
        <w:lastRenderedPageBreak/>
        <w:t xml:space="preserve">BUDGET </w:t>
      </w:r>
      <w:r>
        <w:rPr>
          <w:rFonts w:cs="Arial"/>
          <w:sz w:val="22"/>
          <w:szCs w:val="22"/>
        </w:rPr>
        <w:t>AND ACTUAL EXPENDITURE</w:t>
      </w:r>
    </w:p>
    <w:p w:rsidR="006B07F6" w:rsidRPr="0027745B" w:rsidRDefault="006B07F6" w:rsidP="006B07F6">
      <w:pPr>
        <w:pStyle w:val="NormalWeb"/>
        <w:spacing w:before="0" w:beforeAutospacing="0" w:after="0" w:afterAutospacing="0"/>
        <w:jc w:val="center"/>
        <w:rPr>
          <w:color w:val="000000"/>
          <w:sz w:val="20"/>
          <w:szCs w:val="20"/>
        </w:rPr>
      </w:pPr>
    </w:p>
    <w:p w:rsidR="006B07F6" w:rsidRPr="0027745B" w:rsidRDefault="006B07F6" w:rsidP="006B07F6">
      <w:pPr>
        <w:pStyle w:val="NormalWeb"/>
        <w:spacing w:before="0" w:beforeAutospacing="0" w:after="0" w:afterAutospacing="0"/>
        <w:jc w:val="center"/>
        <w:rPr>
          <w:sz w:val="20"/>
          <w:szCs w:val="20"/>
        </w:rPr>
      </w:pPr>
      <w:r w:rsidRPr="0027745B">
        <w:rPr>
          <w:color w:val="000000"/>
          <w:sz w:val="20"/>
          <w:szCs w:val="20"/>
        </w:rPr>
        <w:t xml:space="preserve">Budget and Actual Expenditure (by result) </w:t>
      </w:r>
    </w:p>
    <w:p w:rsidR="006B07F6" w:rsidRPr="0027745B" w:rsidRDefault="006B07F6" w:rsidP="006B07F6">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6B07F6" w:rsidRDefault="006B07F6" w:rsidP="006B07F6"/>
    <w:tbl>
      <w:tblPr>
        <w:tblW w:w="0" w:type="auto"/>
        <w:tblInd w:w="103" w:type="dxa"/>
        <w:tblLook w:val="04A0" w:firstRow="1" w:lastRow="0" w:firstColumn="1" w:lastColumn="0" w:noHBand="0" w:noVBand="1"/>
      </w:tblPr>
      <w:tblGrid>
        <w:gridCol w:w="591"/>
        <w:gridCol w:w="4234"/>
        <w:gridCol w:w="1512"/>
        <w:gridCol w:w="1512"/>
        <w:gridCol w:w="1512"/>
      </w:tblGrid>
      <w:tr w:rsidR="006B07F6" w:rsidRPr="0020416E" w:rsidTr="00545109">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 xml:space="preserve">2012/13 Budget </w:t>
            </w:r>
            <w:r w:rsidRPr="0020416E">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 xml:space="preserve">2012/13 </w:t>
            </w:r>
            <w:r w:rsidRPr="0020416E">
              <w:rPr>
                <w:rFonts w:cs="Arial"/>
                <w:bCs/>
                <w:color w:val="000000"/>
                <w:sz w:val="16"/>
                <w:szCs w:val="16"/>
              </w:rPr>
              <w:br/>
              <w:t>Expenditure</w:t>
            </w:r>
          </w:p>
        </w:tc>
      </w:tr>
      <w:tr w:rsidR="006B07F6" w:rsidRPr="005E6AFE" w:rsidTr="00545109">
        <w:tc>
          <w:tcPr>
            <w:tcW w:w="591" w:type="dxa"/>
            <w:tcBorders>
              <w:top w:val="nil"/>
              <w:left w:val="single" w:sz="4" w:space="0" w:color="auto"/>
              <w:bottom w:val="nil"/>
              <w:right w:val="nil"/>
            </w:tcBorders>
            <w:shd w:val="clear" w:color="000000" w:fill="FFFFFF"/>
            <w:noWrap/>
            <w:hideMark/>
          </w:tcPr>
          <w:p w:rsidR="006B07F6" w:rsidRPr="0027745B" w:rsidRDefault="006B07F6" w:rsidP="0020416E">
            <w:pPr>
              <w:spacing w:before="120"/>
              <w:jc w:val="center"/>
              <w:rPr>
                <w:rFonts w:cs="Arial"/>
                <w:color w:val="000000"/>
                <w:sz w:val="16"/>
                <w:szCs w:val="16"/>
              </w:rPr>
            </w:pPr>
            <w:r w:rsidRPr="0027745B">
              <w:rPr>
                <w:rFonts w:cs="Arial"/>
                <w:color w:val="000000"/>
                <w:sz w:val="16"/>
                <w:szCs w:val="16"/>
              </w:rPr>
              <w:t>IX.11</w:t>
            </w:r>
          </w:p>
        </w:tc>
        <w:tc>
          <w:tcPr>
            <w:tcW w:w="4234" w:type="dxa"/>
            <w:tcBorders>
              <w:top w:val="nil"/>
              <w:left w:val="nil"/>
              <w:bottom w:val="nil"/>
              <w:right w:val="nil"/>
            </w:tcBorders>
            <w:shd w:val="clear" w:color="000000" w:fill="FFFFFF"/>
            <w:hideMark/>
          </w:tcPr>
          <w:p w:rsidR="006B07F6" w:rsidRPr="0027745B" w:rsidRDefault="006B07F6" w:rsidP="0020416E">
            <w:pPr>
              <w:spacing w:before="120"/>
              <w:rPr>
                <w:rFonts w:cs="Arial"/>
                <w:color w:val="000000"/>
                <w:sz w:val="16"/>
                <w:szCs w:val="16"/>
              </w:rPr>
            </w:pPr>
            <w:r w:rsidRPr="0027745B">
              <w:rPr>
                <w:rFonts w:cs="Arial"/>
                <w:color w:val="000000"/>
                <w:sz w:val="16"/>
                <w:szCs w:val="16"/>
              </w:rPr>
              <w:t>An effective and professional internal audit function is in place covering all high risk work areas</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 xml:space="preserve">1,364 </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1,553</w:t>
            </w:r>
          </w:p>
        </w:tc>
        <w:tc>
          <w:tcPr>
            <w:tcW w:w="1512" w:type="dxa"/>
            <w:tcBorders>
              <w:top w:val="nil"/>
              <w:left w:val="nil"/>
              <w:bottom w:val="nil"/>
              <w:right w:val="single" w:sz="4" w:space="0" w:color="auto"/>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1,834</w:t>
            </w:r>
          </w:p>
        </w:tc>
      </w:tr>
      <w:tr w:rsidR="006B07F6" w:rsidRPr="005E6AFE" w:rsidTr="00545109">
        <w:tc>
          <w:tcPr>
            <w:tcW w:w="591" w:type="dxa"/>
            <w:tcBorders>
              <w:top w:val="nil"/>
              <w:left w:val="single" w:sz="4" w:space="0" w:color="auto"/>
              <w:bottom w:val="nil"/>
              <w:right w:val="nil"/>
            </w:tcBorders>
            <w:shd w:val="clear" w:color="000000" w:fill="FFFFFF"/>
            <w:noWrap/>
            <w:hideMark/>
          </w:tcPr>
          <w:p w:rsidR="006B07F6" w:rsidRPr="0027745B" w:rsidRDefault="006B07F6" w:rsidP="0020416E">
            <w:pPr>
              <w:spacing w:before="120"/>
              <w:jc w:val="center"/>
              <w:rPr>
                <w:rFonts w:cs="Arial"/>
                <w:color w:val="000000"/>
                <w:sz w:val="16"/>
                <w:szCs w:val="16"/>
              </w:rPr>
            </w:pPr>
            <w:r w:rsidRPr="0027745B">
              <w:rPr>
                <w:rFonts w:cs="Arial"/>
                <w:color w:val="000000"/>
                <w:sz w:val="16"/>
                <w:szCs w:val="16"/>
              </w:rPr>
              <w:t>IX.12</w:t>
            </w:r>
          </w:p>
        </w:tc>
        <w:tc>
          <w:tcPr>
            <w:tcW w:w="4234" w:type="dxa"/>
            <w:tcBorders>
              <w:top w:val="nil"/>
              <w:left w:val="nil"/>
              <w:bottom w:val="nil"/>
              <w:right w:val="nil"/>
            </w:tcBorders>
            <w:shd w:val="clear" w:color="000000" w:fill="FFFFFF"/>
            <w:hideMark/>
          </w:tcPr>
          <w:p w:rsidR="006B07F6" w:rsidRPr="0027745B" w:rsidRDefault="006B07F6" w:rsidP="0020416E">
            <w:pPr>
              <w:spacing w:before="120"/>
              <w:rPr>
                <w:rFonts w:cs="Arial"/>
                <w:color w:val="000000"/>
                <w:sz w:val="16"/>
                <w:szCs w:val="16"/>
              </w:rPr>
            </w:pPr>
            <w:r w:rsidRPr="0027745B">
              <w:rPr>
                <w:rFonts w:cs="Arial"/>
                <w:color w:val="000000"/>
                <w:sz w:val="16"/>
                <w:szCs w:val="16"/>
              </w:rPr>
              <w:t>Investigation reports provide a sound basis for decision making by the Director General</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 xml:space="preserve">1,364 </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1,641</w:t>
            </w:r>
          </w:p>
        </w:tc>
        <w:tc>
          <w:tcPr>
            <w:tcW w:w="1512" w:type="dxa"/>
            <w:tcBorders>
              <w:top w:val="nil"/>
              <w:left w:val="nil"/>
              <w:bottom w:val="nil"/>
              <w:right w:val="single" w:sz="4" w:space="0" w:color="auto"/>
            </w:tcBorders>
            <w:shd w:val="clear" w:color="000000" w:fill="FFFFFF"/>
            <w:vAlign w:val="center"/>
            <w:hideMark/>
          </w:tcPr>
          <w:p w:rsidR="006B07F6" w:rsidRPr="0027745B" w:rsidRDefault="006B07F6" w:rsidP="0020416E">
            <w:pPr>
              <w:spacing w:before="120"/>
              <w:jc w:val="right"/>
              <w:rPr>
                <w:rFonts w:cs="Arial"/>
                <w:color w:val="000000"/>
                <w:sz w:val="16"/>
                <w:szCs w:val="16"/>
              </w:rPr>
            </w:pPr>
            <w:r w:rsidRPr="0027745B">
              <w:rPr>
                <w:rFonts w:cs="Arial"/>
                <w:color w:val="000000"/>
                <w:sz w:val="16"/>
                <w:szCs w:val="16"/>
              </w:rPr>
              <w:t>1,497</w:t>
            </w:r>
          </w:p>
        </w:tc>
      </w:tr>
      <w:tr w:rsidR="006B07F6" w:rsidRPr="005E6AFE" w:rsidTr="00545109">
        <w:tc>
          <w:tcPr>
            <w:tcW w:w="591" w:type="dxa"/>
            <w:tcBorders>
              <w:top w:val="nil"/>
              <w:left w:val="single" w:sz="4" w:space="0" w:color="auto"/>
              <w:bottom w:val="single" w:sz="4" w:space="0" w:color="auto"/>
              <w:right w:val="nil"/>
            </w:tcBorders>
            <w:shd w:val="clear" w:color="000000" w:fill="FFFFFF"/>
            <w:noWrap/>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IX.13</w:t>
            </w:r>
          </w:p>
        </w:tc>
        <w:tc>
          <w:tcPr>
            <w:tcW w:w="4234" w:type="dxa"/>
            <w:tcBorders>
              <w:top w:val="nil"/>
              <w:left w:val="nil"/>
              <w:bottom w:val="single" w:sz="4" w:space="0" w:color="auto"/>
              <w:right w:val="nil"/>
            </w:tcBorders>
            <w:shd w:val="clear" w:color="000000" w:fill="FFFFFF"/>
            <w:hideMark/>
          </w:tcPr>
          <w:p w:rsidR="006B07F6" w:rsidRPr="0027745B" w:rsidRDefault="006B07F6" w:rsidP="0020416E">
            <w:pPr>
              <w:spacing w:before="120" w:after="120"/>
              <w:rPr>
                <w:rFonts w:cs="Arial"/>
                <w:color w:val="000000"/>
                <w:sz w:val="16"/>
                <w:szCs w:val="16"/>
              </w:rPr>
            </w:pPr>
            <w:r w:rsidRPr="0027745B">
              <w:rPr>
                <w:rFonts w:cs="Arial"/>
                <w:color w:val="000000"/>
                <w:sz w:val="16"/>
                <w:szCs w:val="16"/>
              </w:rPr>
              <w:t>Evidence-based evaluative information is available to senior management, program managers and Member States for decision making</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after="120"/>
              <w:jc w:val="right"/>
              <w:rPr>
                <w:rFonts w:cs="Arial"/>
                <w:color w:val="000000"/>
                <w:sz w:val="16"/>
                <w:szCs w:val="16"/>
              </w:rPr>
            </w:pPr>
            <w:r w:rsidRPr="0027745B">
              <w:rPr>
                <w:rFonts w:cs="Arial"/>
                <w:color w:val="000000"/>
                <w:sz w:val="16"/>
                <w:szCs w:val="16"/>
              </w:rPr>
              <w:t xml:space="preserve">2,321 </w:t>
            </w:r>
          </w:p>
        </w:tc>
        <w:tc>
          <w:tcPr>
            <w:tcW w:w="1512" w:type="dxa"/>
            <w:tcBorders>
              <w:top w:val="nil"/>
              <w:left w:val="nil"/>
              <w:bottom w:val="nil"/>
              <w:right w:val="nil"/>
            </w:tcBorders>
            <w:shd w:val="clear" w:color="000000" w:fill="FFFFFF"/>
            <w:vAlign w:val="center"/>
            <w:hideMark/>
          </w:tcPr>
          <w:p w:rsidR="006B07F6" w:rsidRPr="0027745B" w:rsidRDefault="006B07F6" w:rsidP="0020416E">
            <w:pPr>
              <w:spacing w:before="120" w:after="120"/>
              <w:jc w:val="right"/>
              <w:rPr>
                <w:rFonts w:cs="Arial"/>
                <w:color w:val="000000"/>
                <w:sz w:val="16"/>
                <w:szCs w:val="16"/>
              </w:rPr>
            </w:pPr>
            <w:r w:rsidRPr="0027745B">
              <w:rPr>
                <w:rFonts w:cs="Arial"/>
                <w:color w:val="000000"/>
                <w:sz w:val="16"/>
                <w:szCs w:val="16"/>
              </w:rPr>
              <w:t>1,598</w:t>
            </w:r>
          </w:p>
        </w:tc>
        <w:tc>
          <w:tcPr>
            <w:tcW w:w="1512" w:type="dxa"/>
            <w:tcBorders>
              <w:top w:val="nil"/>
              <w:left w:val="nil"/>
              <w:bottom w:val="nil"/>
              <w:right w:val="single" w:sz="4" w:space="0" w:color="auto"/>
            </w:tcBorders>
            <w:shd w:val="clear" w:color="000000" w:fill="FFFFFF"/>
            <w:vAlign w:val="center"/>
            <w:hideMark/>
          </w:tcPr>
          <w:p w:rsidR="006B07F6" w:rsidRPr="0027745B" w:rsidRDefault="006B07F6" w:rsidP="0020416E">
            <w:pPr>
              <w:spacing w:before="120" w:after="120"/>
              <w:jc w:val="right"/>
              <w:rPr>
                <w:rFonts w:cs="Arial"/>
                <w:color w:val="000000"/>
                <w:sz w:val="16"/>
                <w:szCs w:val="16"/>
              </w:rPr>
            </w:pPr>
            <w:r w:rsidRPr="0027745B">
              <w:rPr>
                <w:rFonts w:cs="Arial"/>
                <w:color w:val="000000"/>
                <w:sz w:val="16"/>
                <w:szCs w:val="16"/>
              </w:rPr>
              <w:t xml:space="preserve">1,356 </w:t>
            </w:r>
          </w:p>
        </w:tc>
      </w:tr>
      <w:tr w:rsidR="006B07F6" w:rsidRPr="005E6AFE" w:rsidTr="00545109">
        <w:tc>
          <w:tcPr>
            <w:tcW w:w="591" w:type="dxa"/>
            <w:tcBorders>
              <w:top w:val="nil"/>
              <w:left w:val="single" w:sz="4" w:space="0" w:color="auto"/>
              <w:bottom w:val="single" w:sz="4" w:space="0" w:color="auto"/>
              <w:right w:val="nil"/>
            </w:tcBorders>
            <w:shd w:val="clear" w:color="000000" w:fill="CCFFFF"/>
            <w:noWrap/>
            <w:vAlign w:val="bottom"/>
            <w:hideMark/>
          </w:tcPr>
          <w:p w:rsidR="006B07F6" w:rsidRPr="0027745B" w:rsidRDefault="006B07F6" w:rsidP="0020416E">
            <w:pPr>
              <w:spacing w:before="120" w:after="120"/>
              <w:jc w:val="center"/>
              <w:rPr>
                <w:rFonts w:cs="Arial"/>
                <w:b/>
                <w:bCs/>
                <w:color w:val="000000"/>
                <w:sz w:val="16"/>
                <w:szCs w:val="16"/>
              </w:rPr>
            </w:pPr>
            <w:r w:rsidRPr="0027745B">
              <w:rPr>
                <w:rFonts w:cs="Arial"/>
                <w:b/>
                <w:bCs/>
                <w:color w:val="000000"/>
                <w:sz w:val="16"/>
                <w:szCs w:val="16"/>
              </w:rPr>
              <w:t> </w:t>
            </w:r>
          </w:p>
        </w:tc>
        <w:tc>
          <w:tcPr>
            <w:tcW w:w="4234" w:type="dxa"/>
            <w:tcBorders>
              <w:top w:val="nil"/>
              <w:left w:val="nil"/>
              <w:bottom w:val="single" w:sz="4" w:space="0" w:color="auto"/>
              <w:right w:val="nil"/>
            </w:tcBorders>
            <w:shd w:val="clear" w:color="000000" w:fill="CCFFFF"/>
            <w:noWrap/>
            <w:vAlign w:val="center"/>
            <w:hideMark/>
          </w:tcPr>
          <w:p w:rsidR="006B07F6" w:rsidRPr="0027745B" w:rsidRDefault="006B07F6" w:rsidP="0020416E">
            <w:pPr>
              <w:spacing w:before="120" w:after="120"/>
              <w:rPr>
                <w:rFonts w:cs="Arial"/>
                <w:b/>
                <w:bCs/>
                <w:color w:val="000000"/>
                <w:sz w:val="16"/>
                <w:szCs w:val="16"/>
              </w:rPr>
            </w:pPr>
            <w:r w:rsidRPr="0027745B">
              <w:rPr>
                <w:rFonts w:cs="Arial"/>
                <w:b/>
                <w:bCs/>
                <w:color w:val="000000"/>
                <w:sz w:val="16"/>
                <w:szCs w:val="16"/>
              </w:rPr>
              <w:t>Total</w:t>
            </w:r>
          </w:p>
        </w:tc>
        <w:tc>
          <w:tcPr>
            <w:tcW w:w="1512"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6B07F6" w:rsidRPr="0027745B" w:rsidRDefault="006B07F6" w:rsidP="0020416E">
            <w:pPr>
              <w:spacing w:before="120" w:after="120"/>
              <w:jc w:val="right"/>
              <w:rPr>
                <w:rFonts w:cs="Arial"/>
                <w:b/>
                <w:bCs/>
                <w:color w:val="000000"/>
                <w:sz w:val="16"/>
                <w:szCs w:val="16"/>
              </w:rPr>
            </w:pPr>
            <w:r w:rsidRPr="0027745B">
              <w:rPr>
                <w:rFonts w:cs="Arial"/>
                <w:b/>
                <w:bCs/>
                <w:color w:val="000000"/>
                <w:sz w:val="16"/>
                <w:szCs w:val="16"/>
              </w:rPr>
              <w:t>5,050</w:t>
            </w:r>
          </w:p>
        </w:tc>
        <w:tc>
          <w:tcPr>
            <w:tcW w:w="1512" w:type="dxa"/>
            <w:tcBorders>
              <w:top w:val="single" w:sz="4" w:space="0" w:color="auto"/>
              <w:left w:val="nil"/>
              <w:bottom w:val="single" w:sz="4" w:space="0" w:color="auto"/>
              <w:right w:val="single" w:sz="4" w:space="0" w:color="auto"/>
            </w:tcBorders>
            <w:shd w:val="clear" w:color="000000" w:fill="CCFFFF"/>
            <w:noWrap/>
            <w:vAlign w:val="center"/>
            <w:hideMark/>
          </w:tcPr>
          <w:p w:rsidR="006B07F6" w:rsidRPr="0027745B" w:rsidRDefault="006B07F6" w:rsidP="0020416E">
            <w:pPr>
              <w:spacing w:before="120" w:after="120"/>
              <w:jc w:val="right"/>
              <w:rPr>
                <w:rFonts w:cs="Arial"/>
                <w:b/>
                <w:bCs/>
                <w:color w:val="000000"/>
                <w:sz w:val="16"/>
                <w:szCs w:val="16"/>
              </w:rPr>
            </w:pPr>
            <w:r w:rsidRPr="0027745B">
              <w:rPr>
                <w:rFonts w:cs="Arial"/>
                <w:b/>
                <w:bCs/>
                <w:color w:val="000000"/>
                <w:sz w:val="16"/>
                <w:szCs w:val="16"/>
              </w:rPr>
              <w:t>4,792</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6B07F6" w:rsidRPr="0027745B" w:rsidRDefault="006B07F6" w:rsidP="0020416E">
            <w:pPr>
              <w:spacing w:before="120" w:after="120"/>
              <w:jc w:val="right"/>
              <w:rPr>
                <w:rFonts w:cs="Arial"/>
                <w:b/>
                <w:bCs/>
                <w:color w:val="000000"/>
                <w:sz w:val="16"/>
                <w:szCs w:val="16"/>
              </w:rPr>
            </w:pPr>
            <w:r w:rsidRPr="0027745B">
              <w:rPr>
                <w:rFonts w:cs="Arial"/>
                <w:b/>
                <w:bCs/>
                <w:color w:val="000000"/>
                <w:sz w:val="16"/>
                <w:szCs w:val="16"/>
              </w:rPr>
              <w:t>4,687</w:t>
            </w:r>
          </w:p>
        </w:tc>
      </w:tr>
    </w:tbl>
    <w:p w:rsidR="006B07F6" w:rsidRDefault="006B07F6" w:rsidP="006B07F6"/>
    <w:p w:rsidR="006B07F6" w:rsidRDefault="006B07F6" w:rsidP="006B07F6"/>
    <w:p w:rsidR="006B07F6" w:rsidRPr="0027745B" w:rsidRDefault="006B07F6" w:rsidP="006B07F6">
      <w:pPr>
        <w:pStyle w:val="NormalWeb"/>
        <w:spacing w:before="0" w:beforeAutospacing="0" w:after="0" w:afterAutospacing="0"/>
        <w:jc w:val="center"/>
        <w:rPr>
          <w:sz w:val="20"/>
          <w:szCs w:val="20"/>
        </w:rPr>
      </w:pPr>
      <w:r w:rsidRPr="0027745B">
        <w:rPr>
          <w:color w:val="000000"/>
          <w:sz w:val="20"/>
          <w:szCs w:val="20"/>
        </w:rPr>
        <w:t xml:space="preserve">Budget and Actual Expenditure (personnel and non-personnel) </w:t>
      </w:r>
    </w:p>
    <w:p w:rsidR="006B07F6" w:rsidRPr="0027745B" w:rsidRDefault="006B07F6" w:rsidP="006B07F6">
      <w:pPr>
        <w:pStyle w:val="NormalWeb"/>
        <w:spacing w:before="0" w:beforeAutospacing="0" w:after="0" w:afterAutospacing="0"/>
        <w:jc w:val="center"/>
        <w:rPr>
          <w:sz w:val="20"/>
          <w:szCs w:val="20"/>
        </w:rPr>
      </w:pPr>
      <w:r w:rsidRPr="0027745B">
        <w:rPr>
          <w:i/>
          <w:iCs/>
          <w:color w:val="000000"/>
          <w:sz w:val="20"/>
          <w:szCs w:val="20"/>
        </w:rPr>
        <w:t>(</w:t>
      </w:r>
      <w:proofErr w:type="gramStart"/>
      <w:r w:rsidRPr="0027745B">
        <w:rPr>
          <w:i/>
          <w:iCs/>
          <w:color w:val="000000"/>
          <w:sz w:val="20"/>
          <w:szCs w:val="20"/>
        </w:rPr>
        <w:t>in</w:t>
      </w:r>
      <w:proofErr w:type="gramEnd"/>
      <w:r w:rsidRPr="0027745B">
        <w:rPr>
          <w:i/>
          <w:iCs/>
          <w:color w:val="000000"/>
          <w:sz w:val="20"/>
          <w:szCs w:val="20"/>
        </w:rPr>
        <w:t xml:space="preserve"> thousands of Swiss francs)</w:t>
      </w:r>
    </w:p>
    <w:p w:rsidR="006B07F6" w:rsidRPr="0027745B" w:rsidRDefault="006B07F6" w:rsidP="006B07F6">
      <w:pPr>
        <w:rPr>
          <w:szCs w:val="20"/>
        </w:rPr>
      </w:pPr>
    </w:p>
    <w:tbl>
      <w:tblPr>
        <w:tblW w:w="0" w:type="auto"/>
        <w:tblInd w:w="93" w:type="dxa"/>
        <w:tblLook w:val="04A0" w:firstRow="1" w:lastRow="0" w:firstColumn="1" w:lastColumn="0" w:noHBand="0" w:noVBand="1"/>
      </w:tblPr>
      <w:tblGrid>
        <w:gridCol w:w="2709"/>
        <w:gridCol w:w="1665"/>
        <w:gridCol w:w="1666"/>
        <w:gridCol w:w="1665"/>
        <w:gridCol w:w="1666"/>
      </w:tblGrid>
      <w:tr w:rsidR="006B07F6" w:rsidRPr="0020416E" w:rsidTr="0020416E">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6B07F6" w:rsidRPr="0020416E" w:rsidRDefault="006B07F6" w:rsidP="0020416E">
            <w:pPr>
              <w:spacing w:before="120" w:after="120"/>
              <w:rPr>
                <w:rFonts w:cs="Arial"/>
                <w:color w:val="000000"/>
                <w:sz w:val="16"/>
                <w:szCs w:val="16"/>
              </w:rPr>
            </w:pPr>
            <w:r w:rsidRPr="0020416E">
              <w:rPr>
                <w:rFonts w:cs="Arial"/>
                <w:color w:val="000000"/>
                <w:sz w:val="16"/>
                <w:szCs w:val="16"/>
              </w:rPr>
              <w:t xml:space="preserve">       </w:t>
            </w:r>
          </w:p>
        </w:tc>
        <w:tc>
          <w:tcPr>
            <w:tcW w:w="1665" w:type="dxa"/>
            <w:tcBorders>
              <w:top w:val="single" w:sz="4" w:space="0" w:color="auto"/>
              <w:left w:val="nil"/>
              <w:bottom w:val="nil"/>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Approved Budget 2012/13</w:t>
            </w:r>
          </w:p>
        </w:tc>
        <w:tc>
          <w:tcPr>
            <w:tcW w:w="1666" w:type="dxa"/>
            <w:tcBorders>
              <w:top w:val="single" w:sz="4" w:space="0" w:color="auto"/>
              <w:left w:val="nil"/>
              <w:bottom w:val="nil"/>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Budget after transfers 2012/13</w:t>
            </w:r>
          </w:p>
        </w:tc>
        <w:tc>
          <w:tcPr>
            <w:tcW w:w="1665" w:type="dxa"/>
            <w:tcBorders>
              <w:top w:val="single" w:sz="4" w:space="0" w:color="auto"/>
              <w:left w:val="nil"/>
              <w:bottom w:val="nil"/>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Expenditures 2012/13</w:t>
            </w:r>
          </w:p>
        </w:tc>
        <w:tc>
          <w:tcPr>
            <w:tcW w:w="1666" w:type="dxa"/>
            <w:tcBorders>
              <w:top w:val="single" w:sz="4" w:space="0" w:color="auto"/>
              <w:left w:val="nil"/>
              <w:bottom w:val="nil"/>
              <w:right w:val="single" w:sz="4" w:space="0" w:color="auto"/>
            </w:tcBorders>
            <w:shd w:val="clear" w:color="000000" w:fill="CCFFFF"/>
            <w:vAlign w:val="center"/>
            <w:hideMark/>
          </w:tcPr>
          <w:p w:rsidR="006B07F6" w:rsidRPr="0020416E" w:rsidRDefault="006B07F6" w:rsidP="0020416E">
            <w:pPr>
              <w:spacing w:before="120" w:after="120"/>
              <w:jc w:val="center"/>
              <w:rPr>
                <w:rFonts w:cs="Arial"/>
                <w:bCs/>
                <w:color w:val="000000"/>
                <w:sz w:val="16"/>
                <w:szCs w:val="16"/>
              </w:rPr>
            </w:pPr>
            <w:r w:rsidRPr="0020416E">
              <w:rPr>
                <w:rFonts w:cs="Arial"/>
                <w:bCs/>
                <w:color w:val="000000"/>
                <w:sz w:val="16"/>
                <w:szCs w:val="16"/>
              </w:rPr>
              <w:t>Utilization rate (%)</w:t>
            </w:r>
          </w:p>
        </w:tc>
      </w:tr>
      <w:tr w:rsidR="006B07F6" w:rsidRPr="005E6AFE" w:rsidTr="0020416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B07F6" w:rsidRPr="0027745B" w:rsidRDefault="006B07F6" w:rsidP="0020416E">
            <w:pPr>
              <w:spacing w:before="120" w:after="120"/>
              <w:rPr>
                <w:rFonts w:cs="Arial"/>
                <w:color w:val="000000"/>
                <w:sz w:val="16"/>
                <w:szCs w:val="16"/>
              </w:rPr>
            </w:pPr>
            <w:r w:rsidRPr="0027745B">
              <w:rPr>
                <w:rFonts w:cs="Arial"/>
                <w:color w:val="000000"/>
                <w:sz w:val="16"/>
                <w:szCs w:val="16"/>
              </w:rPr>
              <w:t xml:space="preserve">Personnel Resources  </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4,250</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3,987</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3,987</w:t>
            </w:r>
          </w:p>
        </w:tc>
        <w:tc>
          <w:tcPr>
            <w:tcW w:w="1666" w:type="dxa"/>
            <w:tcBorders>
              <w:top w:val="single" w:sz="4" w:space="0" w:color="auto"/>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100%</w:t>
            </w:r>
          </w:p>
        </w:tc>
      </w:tr>
      <w:tr w:rsidR="006B07F6" w:rsidRPr="005E6AFE" w:rsidTr="0020416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B07F6" w:rsidRPr="0027745B" w:rsidRDefault="006B07F6" w:rsidP="0020416E">
            <w:pPr>
              <w:spacing w:before="120" w:after="120"/>
              <w:rPr>
                <w:rFonts w:cs="Arial"/>
                <w:color w:val="000000"/>
                <w:sz w:val="16"/>
                <w:szCs w:val="16"/>
              </w:rPr>
            </w:pPr>
            <w:r w:rsidRPr="0027745B">
              <w:rPr>
                <w:rFonts w:cs="Arial"/>
                <w:color w:val="000000"/>
                <w:sz w:val="16"/>
                <w:szCs w:val="16"/>
              </w:rPr>
              <w:t xml:space="preserve">Non-personnel Resources </w:t>
            </w:r>
          </w:p>
        </w:tc>
        <w:tc>
          <w:tcPr>
            <w:tcW w:w="1665"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800</w:t>
            </w:r>
          </w:p>
        </w:tc>
        <w:tc>
          <w:tcPr>
            <w:tcW w:w="1666"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805</w:t>
            </w:r>
          </w:p>
        </w:tc>
        <w:tc>
          <w:tcPr>
            <w:tcW w:w="1665"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699</w:t>
            </w:r>
          </w:p>
        </w:tc>
        <w:tc>
          <w:tcPr>
            <w:tcW w:w="1666"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color w:val="000000"/>
                <w:sz w:val="16"/>
                <w:szCs w:val="16"/>
              </w:rPr>
            </w:pPr>
            <w:r w:rsidRPr="0027745B">
              <w:rPr>
                <w:rFonts w:cs="Arial"/>
                <w:color w:val="000000"/>
                <w:sz w:val="16"/>
                <w:szCs w:val="16"/>
              </w:rPr>
              <w:t>87%</w:t>
            </w:r>
          </w:p>
        </w:tc>
      </w:tr>
      <w:tr w:rsidR="006B07F6" w:rsidRPr="005E6AFE" w:rsidTr="0020416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6B07F6" w:rsidRPr="0027745B" w:rsidRDefault="006B07F6" w:rsidP="0020416E">
            <w:pPr>
              <w:spacing w:before="120" w:after="120"/>
              <w:jc w:val="right"/>
              <w:rPr>
                <w:rFonts w:cs="Arial"/>
                <w:b/>
                <w:bCs/>
                <w:color w:val="000000"/>
                <w:sz w:val="16"/>
                <w:szCs w:val="16"/>
              </w:rPr>
            </w:pPr>
            <w:r w:rsidRPr="0027745B">
              <w:rPr>
                <w:rFonts w:cs="Arial"/>
                <w:b/>
                <w:bCs/>
                <w:color w:val="000000"/>
                <w:sz w:val="16"/>
                <w:szCs w:val="16"/>
              </w:rPr>
              <w:t xml:space="preserve"> TOTAL </w:t>
            </w:r>
          </w:p>
        </w:tc>
        <w:tc>
          <w:tcPr>
            <w:tcW w:w="1665"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b/>
                <w:bCs/>
                <w:color w:val="000000"/>
                <w:sz w:val="16"/>
                <w:szCs w:val="16"/>
              </w:rPr>
            </w:pPr>
            <w:r w:rsidRPr="0027745B">
              <w:rPr>
                <w:rFonts w:cs="Arial"/>
                <w:b/>
                <w:bCs/>
                <w:color w:val="000000"/>
                <w:sz w:val="16"/>
                <w:szCs w:val="16"/>
              </w:rPr>
              <w:t>5,050</w:t>
            </w:r>
          </w:p>
        </w:tc>
        <w:tc>
          <w:tcPr>
            <w:tcW w:w="1666"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b/>
                <w:color w:val="000000"/>
                <w:sz w:val="16"/>
                <w:szCs w:val="16"/>
              </w:rPr>
            </w:pPr>
            <w:r w:rsidRPr="0027745B">
              <w:rPr>
                <w:rFonts w:cs="Arial"/>
                <w:b/>
                <w:color w:val="000000"/>
                <w:sz w:val="16"/>
                <w:szCs w:val="16"/>
              </w:rPr>
              <w:t>4,792</w:t>
            </w:r>
          </w:p>
        </w:tc>
        <w:tc>
          <w:tcPr>
            <w:tcW w:w="1665"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b/>
                <w:color w:val="000000"/>
                <w:sz w:val="16"/>
                <w:szCs w:val="16"/>
              </w:rPr>
            </w:pPr>
            <w:r w:rsidRPr="0027745B">
              <w:rPr>
                <w:rFonts w:cs="Arial"/>
                <w:b/>
                <w:color w:val="000000"/>
                <w:sz w:val="16"/>
                <w:szCs w:val="16"/>
              </w:rPr>
              <w:t>4,687</w:t>
            </w:r>
          </w:p>
        </w:tc>
        <w:tc>
          <w:tcPr>
            <w:tcW w:w="1666" w:type="dxa"/>
            <w:tcBorders>
              <w:top w:val="nil"/>
              <w:left w:val="nil"/>
              <w:bottom w:val="single" w:sz="4" w:space="0" w:color="auto"/>
              <w:right w:val="single" w:sz="4" w:space="0" w:color="auto"/>
            </w:tcBorders>
            <w:shd w:val="clear" w:color="auto" w:fill="auto"/>
            <w:vAlign w:val="center"/>
            <w:hideMark/>
          </w:tcPr>
          <w:p w:rsidR="006B07F6" w:rsidRPr="0027745B" w:rsidRDefault="006B07F6" w:rsidP="0020416E">
            <w:pPr>
              <w:spacing w:before="120" w:after="120"/>
              <w:jc w:val="center"/>
              <w:rPr>
                <w:rFonts w:cs="Arial"/>
                <w:b/>
                <w:color w:val="000000"/>
                <w:sz w:val="16"/>
                <w:szCs w:val="16"/>
              </w:rPr>
            </w:pPr>
            <w:r w:rsidRPr="0027745B">
              <w:rPr>
                <w:rFonts w:cs="Arial"/>
                <w:b/>
                <w:color w:val="000000"/>
                <w:sz w:val="16"/>
                <w:szCs w:val="16"/>
              </w:rPr>
              <w:t>98%</w:t>
            </w:r>
          </w:p>
        </w:tc>
      </w:tr>
    </w:tbl>
    <w:p w:rsidR="006B07F6" w:rsidRDefault="006B07F6" w:rsidP="006B07F6"/>
    <w:p w:rsidR="006B07F6" w:rsidRPr="0027745B" w:rsidRDefault="006B07F6" w:rsidP="006B07F6">
      <w:pPr>
        <w:autoSpaceDE w:val="0"/>
        <w:autoSpaceDN w:val="0"/>
        <w:rPr>
          <w:rFonts w:cs="Arial"/>
          <w:sz w:val="16"/>
          <w:szCs w:val="16"/>
        </w:rPr>
      </w:pPr>
      <w:r w:rsidRPr="0027745B">
        <w:rPr>
          <w:rFonts w:cs="Arial"/>
          <w:sz w:val="16"/>
          <w:szCs w:val="16"/>
        </w:rPr>
        <w:t>NOTES:</w:t>
      </w:r>
    </w:p>
    <w:p w:rsidR="006B07F6" w:rsidRPr="0027745B" w:rsidRDefault="006B07F6" w:rsidP="006B07F6">
      <w:pPr>
        <w:autoSpaceDE w:val="0"/>
        <w:autoSpaceDN w:val="0"/>
        <w:rPr>
          <w:rFonts w:cs="Arial"/>
          <w:sz w:val="16"/>
          <w:szCs w:val="16"/>
        </w:rPr>
      </w:pPr>
    </w:p>
    <w:p w:rsidR="006B07F6" w:rsidRPr="0027745B" w:rsidRDefault="006B07F6" w:rsidP="006B07F6">
      <w:pPr>
        <w:autoSpaceDE w:val="0"/>
        <w:autoSpaceDN w:val="0"/>
        <w:rPr>
          <w:rFonts w:cs="Arial"/>
          <w:sz w:val="16"/>
          <w:szCs w:val="16"/>
        </w:rPr>
      </w:pPr>
      <w:r w:rsidRPr="0027745B">
        <w:rPr>
          <w:rFonts w:cs="Arial"/>
          <w:sz w:val="16"/>
          <w:szCs w:val="16"/>
        </w:rPr>
        <w:t>(1)  Budget after transfers reflects the adjusted budget of Programs, following transfers during 2012/13 in line with Financial Regulation 5.5.</w:t>
      </w:r>
    </w:p>
    <w:p w:rsidR="006B07F6" w:rsidRPr="0027745B" w:rsidRDefault="006B07F6" w:rsidP="006B07F6">
      <w:pPr>
        <w:autoSpaceDE w:val="0"/>
        <w:autoSpaceDN w:val="0"/>
        <w:rPr>
          <w:rFonts w:cs="Arial"/>
          <w:sz w:val="16"/>
          <w:szCs w:val="16"/>
        </w:rPr>
      </w:pPr>
    </w:p>
    <w:p w:rsidR="006B07F6" w:rsidRPr="0027745B" w:rsidRDefault="00DC2CFA" w:rsidP="006B07F6">
      <w:pPr>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6B07F6" w:rsidRPr="0027745B">
        <w:rPr>
          <w:rFonts w:cs="Arial"/>
          <w:sz w:val="16"/>
          <w:szCs w:val="16"/>
        </w:rPr>
        <w:t xml:space="preserve"> </w:t>
      </w:r>
    </w:p>
    <w:p w:rsidR="006B07F6" w:rsidRPr="0027745B" w:rsidRDefault="006B07F6" w:rsidP="006B07F6">
      <w:pPr>
        <w:autoSpaceDE w:val="0"/>
        <w:autoSpaceDN w:val="0"/>
        <w:rPr>
          <w:rFonts w:cs="Arial"/>
          <w:sz w:val="16"/>
          <w:szCs w:val="16"/>
        </w:rPr>
      </w:pPr>
    </w:p>
    <w:p w:rsidR="006B07F6" w:rsidRPr="005E6AFE" w:rsidRDefault="006B07F6" w:rsidP="006B07F6">
      <w:pPr>
        <w:rPr>
          <w:rFonts w:cs="Arial"/>
          <w:sz w:val="22"/>
          <w:szCs w:val="22"/>
        </w:rPr>
      </w:pPr>
    </w:p>
    <w:p w:rsidR="006B07F6" w:rsidRPr="00822478" w:rsidRDefault="006B07F6" w:rsidP="00545109">
      <w:pPr>
        <w:tabs>
          <w:tab w:val="left" w:pos="709"/>
        </w:tabs>
        <w:jc w:val="both"/>
        <w:rPr>
          <w:rFonts w:eastAsia="SimSun" w:cs="Arial"/>
          <w:szCs w:val="20"/>
          <w:lang w:eastAsia="zh-CN"/>
        </w:rPr>
      </w:pPr>
      <w:r w:rsidRPr="00822478">
        <w:rPr>
          <w:rFonts w:eastAsia="SimSun" w:cs="Arial"/>
          <w:szCs w:val="20"/>
          <w:lang w:eastAsia="zh-CN"/>
        </w:rPr>
        <w:t>A.</w:t>
      </w:r>
      <w:r w:rsidRPr="00822478">
        <w:rPr>
          <w:rFonts w:eastAsia="SimSun" w:cs="Arial"/>
          <w:szCs w:val="20"/>
          <w:lang w:eastAsia="zh-CN"/>
        </w:rPr>
        <w:tab/>
      </w:r>
      <w:r w:rsidRPr="0027745B">
        <w:rPr>
          <w:rFonts w:eastAsia="SimSun" w:cs="Arial"/>
          <w:szCs w:val="20"/>
          <w:u w:val="single"/>
          <w:lang w:eastAsia="zh-CN"/>
        </w:rPr>
        <w:t>Budget after Transfers 2012/13</w:t>
      </w:r>
    </w:p>
    <w:p w:rsidR="006B07F6" w:rsidRPr="00822478" w:rsidRDefault="006B07F6" w:rsidP="00545109">
      <w:pPr>
        <w:tabs>
          <w:tab w:val="left" w:pos="709"/>
        </w:tabs>
        <w:jc w:val="both"/>
        <w:rPr>
          <w:rFonts w:cs="Arial"/>
          <w:szCs w:val="20"/>
        </w:rPr>
      </w:pPr>
    </w:p>
    <w:p w:rsidR="006B07F6" w:rsidRPr="00822478" w:rsidRDefault="006B07F6" w:rsidP="00545109">
      <w:pPr>
        <w:keepNext/>
        <w:tabs>
          <w:tab w:val="left" w:pos="709"/>
        </w:tabs>
        <w:autoSpaceDE w:val="0"/>
        <w:autoSpaceDN w:val="0"/>
        <w:jc w:val="both"/>
        <w:rPr>
          <w:rFonts w:cs="Arial"/>
          <w:szCs w:val="20"/>
        </w:rPr>
      </w:pPr>
      <w:r>
        <w:rPr>
          <w:rFonts w:cs="Arial"/>
          <w:szCs w:val="20"/>
        </w:rPr>
        <w:t>26.11.</w:t>
      </w:r>
      <w:r>
        <w:rPr>
          <w:rFonts w:cs="Arial"/>
          <w:szCs w:val="20"/>
        </w:rPr>
        <w:tab/>
      </w:r>
      <w:r w:rsidRPr="00822478">
        <w:rPr>
          <w:rFonts w:cs="Arial"/>
          <w:szCs w:val="20"/>
        </w:rPr>
        <w:t xml:space="preserve">The </w:t>
      </w:r>
      <w:r>
        <w:rPr>
          <w:rFonts w:cs="Arial"/>
          <w:szCs w:val="20"/>
        </w:rPr>
        <w:t xml:space="preserve">2012/13 </w:t>
      </w:r>
      <w:r w:rsidRPr="00822478">
        <w:rPr>
          <w:rFonts w:cs="Arial"/>
          <w:szCs w:val="20"/>
        </w:rPr>
        <w:t>non-personnel Budget after Transfers reflects downward adjustments made for cost efficiency gains, in accordance with the Organization’s commitment to reduce expenditures by 10.2</w:t>
      </w:r>
      <w:r w:rsidR="00545109">
        <w:rPr>
          <w:rFonts w:cs="Arial"/>
          <w:szCs w:val="20"/>
        </w:rPr>
        <w:t> </w:t>
      </w:r>
      <w:r w:rsidRPr="00822478">
        <w:rPr>
          <w:rFonts w:cs="Arial"/>
          <w:szCs w:val="20"/>
        </w:rPr>
        <w:t>million Swiss francs in the 2012/13 biennium.</w:t>
      </w:r>
      <w:r>
        <w:rPr>
          <w:rFonts w:cs="Arial"/>
          <w:szCs w:val="20"/>
        </w:rPr>
        <w:t xml:space="preserve">  This was offset by additional resources transferred to the Program for the conduct of the </w:t>
      </w:r>
      <w:r w:rsidRPr="002911BB">
        <w:rPr>
          <w:rFonts w:cs="Arial"/>
          <w:szCs w:val="20"/>
        </w:rPr>
        <w:t>Independent External Review on WIPO Technical Assistance Program in Countries Subject to UN Sanction</w:t>
      </w:r>
      <w:r>
        <w:rPr>
          <w:rFonts w:cs="Arial"/>
          <w:szCs w:val="20"/>
        </w:rPr>
        <w:t xml:space="preserve">s. </w:t>
      </w:r>
    </w:p>
    <w:p w:rsidR="006B07F6" w:rsidRPr="00822478" w:rsidRDefault="006B07F6" w:rsidP="00545109">
      <w:pPr>
        <w:tabs>
          <w:tab w:val="left" w:pos="709"/>
        </w:tabs>
        <w:jc w:val="both"/>
        <w:rPr>
          <w:rFonts w:cs="Arial"/>
          <w:szCs w:val="20"/>
        </w:rPr>
      </w:pPr>
    </w:p>
    <w:p w:rsidR="006B07F6" w:rsidRDefault="006B07F6" w:rsidP="00545109">
      <w:pPr>
        <w:tabs>
          <w:tab w:val="left" w:pos="709"/>
        </w:tabs>
        <w:jc w:val="both"/>
        <w:rPr>
          <w:rFonts w:eastAsia="SimSun" w:cs="Arial"/>
          <w:szCs w:val="20"/>
          <w:lang w:eastAsia="zh-CN"/>
        </w:rPr>
      </w:pPr>
      <w:r w:rsidRPr="00822478">
        <w:rPr>
          <w:rFonts w:eastAsia="SimSun" w:cs="Arial"/>
          <w:szCs w:val="20"/>
          <w:lang w:eastAsia="zh-CN"/>
        </w:rPr>
        <w:t>B.</w:t>
      </w:r>
      <w:r w:rsidRPr="00822478">
        <w:rPr>
          <w:rFonts w:eastAsia="SimSun" w:cs="Arial"/>
          <w:szCs w:val="20"/>
          <w:lang w:eastAsia="zh-CN"/>
        </w:rPr>
        <w:tab/>
      </w:r>
      <w:r w:rsidR="00D44A34">
        <w:rPr>
          <w:rFonts w:eastAsia="SimSun" w:cs="Arial"/>
          <w:szCs w:val="20"/>
          <w:u w:val="single"/>
          <w:lang w:eastAsia="zh-CN"/>
        </w:rPr>
        <w:t>Budget U</w:t>
      </w:r>
      <w:r w:rsidRPr="0027745B">
        <w:rPr>
          <w:rFonts w:eastAsia="SimSun" w:cs="Arial"/>
          <w:szCs w:val="20"/>
          <w:u w:val="single"/>
          <w:lang w:eastAsia="zh-CN"/>
        </w:rPr>
        <w:t>tilization 2012/13</w:t>
      </w:r>
    </w:p>
    <w:p w:rsidR="006B07F6" w:rsidRPr="00822478" w:rsidRDefault="006B07F6" w:rsidP="00545109">
      <w:pPr>
        <w:tabs>
          <w:tab w:val="left" w:pos="709"/>
        </w:tabs>
        <w:jc w:val="both"/>
        <w:rPr>
          <w:rFonts w:eastAsia="SimSun" w:cs="Arial"/>
          <w:szCs w:val="20"/>
          <w:lang w:eastAsia="zh-CN"/>
        </w:rPr>
      </w:pPr>
    </w:p>
    <w:p w:rsidR="006B07F6" w:rsidRPr="00545109" w:rsidRDefault="006B07F6" w:rsidP="00545109">
      <w:pPr>
        <w:pStyle w:val="ListParagraph"/>
        <w:tabs>
          <w:tab w:val="left" w:pos="720"/>
        </w:tabs>
        <w:ind w:left="0"/>
        <w:jc w:val="both"/>
        <w:rPr>
          <w:rFonts w:cs="Arial"/>
        </w:rPr>
      </w:pPr>
      <w:r w:rsidRPr="00545109">
        <w:rPr>
          <w:rFonts w:cs="Arial"/>
        </w:rPr>
        <w:t>26.12.</w:t>
      </w:r>
      <w:r w:rsidRPr="00545109">
        <w:rPr>
          <w:rFonts w:cs="Arial"/>
        </w:rPr>
        <w:tab/>
        <w:t>The Budget utilization reflects a slight increase in resources deployed for audit related activities reflected under Result IX.11 (</w:t>
      </w:r>
      <w:r w:rsidRPr="00545109">
        <w:rPr>
          <w:rFonts w:cs="Arial"/>
          <w:color w:val="000000"/>
        </w:rPr>
        <w:t>An effective and professional internal audit function)</w:t>
      </w:r>
      <w:r w:rsidRPr="00545109">
        <w:rPr>
          <w:rFonts w:cs="Arial"/>
        </w:rPr>
        <w:t xml:space="preserve">, due, </w:t>
      </w:r>
      <w:r w:rsidRPr="00545109">
        <w:rPr>
          <w:rFonts w:cs="Arial"/>
          <w:i/>
        </w:rPr>
        <w:t>inter alia</w:t>
      </w:r>
      <w:r w:rsidRPr="00545109">
        <w:rPr>
          <w:rFonts w:cs="Arial"/>
        </w:rPr>
        <w:t xml:space="preserve">, to the costs of outside expertise for specialized audits and investigations.  This was offset by a decrease in resources utilized on evaluations as reflected under Result IX.13 (Evidence-based evaluative information) primarily due to the cost of external individual service providers being less than initially expected.  </w:t>
      </w:r>
    </w:p>
    <w:p w:rsidR="000B5438" w:rsidRDefault="000B5438" w:rsidP="00387ADC">
      <w:pPr>
        <w:tabs>
          <w:tab w:val="left" w:pos="709"/>
        </w:tabs>
        <w:autoSpaceDE w:val="0"/>
        <w:autoSpaceDN w:val="0"/>
        <w:adjustRightInd w:val="0"/>
        <w:jc w:val="both"/>
        <w:rPr>
          <w:rFonts w:eastAsia="SimSun"/>
          <w:color w:val="000000"/>
          <w:szCs w:val="20"/>
          <w:lang w:eastAsia="zh-CN"/>
        </w:rPr>
      </w:pPr>
    </w:p>
    <w:p w:rsidR="006B07F6" w:rsidRDefault="006B07F6">
      <w:pPr>
        <w:rPr>
          <w:rFonts w:eastAsia="SimSun"/>
          <w:color w:val="000000"/>
          <w:szCs w:val="20"/>
          <w:lang w:eastAsia="zh-CN"/>
        </w:rPr>
      </w:pPr>
      <w:r>
        <w:rPr>
          <w:rFonts w:eastAsia="SimSun"/>
          <w:color w:val="000000"/>
          <w:szCs w:val="20"/>
          <w:lang w:eastAsia="zh-CN"/>
        </w:rPr>
        <w:br w:type="page"/>
      </w:r>
    </w:p>
    <w:p w:rsidR="006B07F6" w:rsidRPr="006F08EA" w:rsidRDefault="006F08EA" w:rsidP="006F08EA">
      <w:pPr>
        <w:pStyle w:val="Heading3"/>
      </w:pPr>
      <w:bookmarkStart w:id="68" w:name="_Toc393956078"/>
      <w:r w:rsidRPr="006F08EA">
        <w:lastRenderedPageBreak/>
        <w:t>Program 27</w:t>
      </w:r>
      <w:r w:rsidRPr="006F08EA">
        <w:tab/>
        <w:t>Conference and Language Services</w:t>
      </w:r>
      <w:bookmarkEnd w:id="68"/>
    </w:p>
    <w:p w:rsidR="006B07F6" w:rsidRPr="006B07F6" w:rsidRDefault="006B07F6" w:rsidP="006B07F6">
      <w:pPr>
        <w:ind w:left="2268" w:hanging="2268"/>
        <w:rPr>
          <w:rFonts w:cs="Arial"/>
          <w:b/>
          <w:sz w:val="16"/>
          <w:szCs w:val="16"/>
        </w:rPr>
      </w:pPr>
    </w:p>
    <w:p w:rsidR="00C7008C" w:rsidRPr="00C7008C" w:rsidRDefault="00C7008C" w:rsidP="00C7008C">
      <w:pPr>
        <w:ind w:left="2268" w:hanging="2268"/>
        <w:rPr>
          <w:rFonts w:cs="Arial"/>
          <w:b/>
          <w:sz w:val="22"/>
          <w:szCs w:val="22"/>
        </w:rPr>
      </w:pPr>
      <w:r w:rsidRPr="00C7008C">
        <w:rPr>
          <w:rFonts w:cs="Arial"/>
          <w:b/>
          <w:sz w:val="22"/>
          <w:szCs w:val="22"/>
        </w:rPr>
        <w:t>Program Manager</w:t>
      </w:r>
      <w:r w:rsidRPr="00C7008C">
        <w:rPr>
          <w:rFonts w:cs="Arial"/>
          <w:b/>
          <w:sz w:val="22"/>
          <w:szCs w:val="22"/>
        </w:rPr>
        <w:tab/>
      </w:r>
      <w:r w:rsidRPr="00C7008C">
        <w:rPr>
          <w:rFonts w:cs="Arial"/>
          <w:b/>
          <w:sz w:val="22"/>
          <w:szCs w:val="22"/>
        </w:rPr>
        <w:tab/>
      </w:r>
      <w:r w:rsidRPr="00C7008C">
        <w:rPr>
          <w:rFonts w:cs="Arial"/>
          <w:b/>
          <w:bCs/>
          <w:sz w:val="22"/>
          <w:szCs w:val="22"/>
        </w:rPr>
        <w:t>Mr. A. Sundaram</w:t>
      </w:r>
    </w:p>
    <w:p w:rsidR="00C7008C" w:rsidRPr="00C7008C" w:rsidRDefault="00C7008C" w:rsidP="00C7008C">
      <w:pPr>
        <w:rPr>
          <w:rFonts w:cs="Arial"/>
          <w:sz w:val="16"/>
          <w:szCs w:val="16"/>
        </w:rPr>
      </w:pPr>
    </w:p>
    <w:p w:rsidR="00C7008C" w:rsidRPr="00C7008C" w:rsidRDefault="00C7008C" w:rsidP="00C7008C">
      <w:pPr>
        <w:rPr>
          <w:rFonts w:cs="Arial"/>
          <w:bCs/>
          <w:sz w:val="16"/>
          <w:szCs w:val="16"/>
        </w:rPr>
      </w:pPr>
    </w:p>
    <w:p w:rsidR="00C7008C" w:rsidRPr="00C7008C" w:rsidRDefault="00C7008C" w:rsidP="00C7008C">
      <w:pPr>
        <w:rPr>
          <w:rFonts w:cs="Arial"/>
          <w:sz w:val="22"/>
          <w:szCs w:val="22"/>
        </w:rPr>
      </w:pPr>
      <w:r w:rsidRPr="00C7008C">
        <w:rPr>
          <w:rFonts w:cs="Arial"/>
          <w:bCs/>
          <w:sz w:val="22"/>
          <w:szCs w:val="22"/>
        </w:rPr>
        <w:t>ACHIEVEMENTS IN THE 2012/13 BIENNIUM</w:t>
      </w:r>
    </w:p>
    <w:p w:rsidR="00C7008C" w:rsidRPr="00C7008C" w:rsidRDefault="00C7008C" w:rsidP="00C7008C">
      <w:pPr>
        <w:rPr>
          <w:rFonts w:cs="Arial"/>
          <w:color w:val="000000" w:themeColor="text1"/>
          <w:sz w:val="16"/>
          <w:szCs w:val="16"/>
        </w:rPr>
      </w:pP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27.1</w:t>
      </w:r>
      <w:r w:rsidR="00C7008C" w:rsidRPr="00C7008C">
        <w:rPr>
          <w:rFonts w:eastAsia="Batang" w:cs="Arial"/>
          <w:color w:val="000000"/>
          <w:szCs w:val="20"/>
          <w:lang w:eastAsia="ja-JP"/>
        </w:rPr>
        <w:t>.</w:t>
      </w:r>
      <w:r w:rsidR="00C7008C" w:rsidRPr="00C7008C">
        <w:rPr>
          <w:rFonts w:eastAsia="Batang" w:cs="Arial"/>
          <w:color w:val="000000"/>
          <w:szCs w:val="20"/>
          <w:lang w:eastAsia="ja-JP"/>
        </w:rPr>
        <w:tab/>
        <w:t xml:space="preserve">The implementation of the WIPO Language Policy, adopted by Member States at the 2011 Assemblies, commenced in 2012, with six-language coverage provided to documentation for meetings of all WIPO Committees and Main Bodies and was completed by the end of the biennium.  As a result of the extended language coverage, translation volumes increased significantly during the biennium. </w:t>
      </w:r>
      <w:r w:rsidR="00063DC3">
        <w:rPr>
          <w:rFonts w:eastAsia="Batang" w:cs="Arial"/>
          <w:color w:val="000000"/>
          <w:szCs w:val="20"/>
          <w:lang w:eastAsia="ja-JP"/>
        </w:rPr>
        <w:t xml:space="preserve"> </w:t>
      </w:r>
      <w:r w:rsidR="00C7008C" w:rsidRPr="00C7008C">
        <w:rPr>
          <w:rFonts w:eastAsia="Batang" w:cs="Arial"/>
          <w:color w:val="000000"/>
          <w:szCs w:val="20"/>
          <w:lang w:eastAsia="ja-JP"/>
        </w:rPr>
        <w:t>Compared to a total of 24.52 million words (74,331</w:t>
      </w:r>
      <w:r w:rsidR="00C7008C" w:rsidRPr="00C7008C">
        <w:rPr>
          <w:rFonts w:eastAsia="Batang" w:cs="Arial"/>
          <w:color w:val="000000"/>
          <w:szCs w:val="20"/>
          <w:vertAlign w:val="superscript"/>
          <w:lang w:eastAsia="ja-JP"/>
        </w:rPr>
        <w:footnoteReference w:id="43"/>
      </w:r>
      <w:r w:rsidR="00C7008C" w:rsidRPr="00C7008C">
        <w:rPr>
          <w:rFonts w:eastAsia="Batang" w:cs="Arial"/>
          <w:color w:val="000000"/>
          <w:szCs w:val="20"/>
          <w:lang w:eastAsia="ja-JP"/>
        </w:rPr>
        <w:t> standard UN pages) translated in 2010/11, a total of 33.17</w:t>
      </w:r>
      <w:r w:rsidR="00063DC3">
        <w:rPr>
          <w:rFonts w:eastAsia="Batang" w:cs="Arial"/>
          <w:color w:val="000000"/>
          <w:szCs w:val="20"/>
          <w:lang w:eastAsia="ja-JP"/>
        </w:rPr>
        <w:t> </w:t>
      </w:r>
      <w:r w:rsidR="00C7008C" w:rsidRPr="00C7008C">
        <w:rPr>
          <w:rFonts w:eastAsia="Batang" w:cs="Arial"/>
          <w:color w:val="000000"/>
          <w:szCs w:val="20"/>
          <w:lang w:eastAsia="ja-JP"/>
        </w:rPr>
        <w:t>million words (100,524</w:t>
      </w:r>
      <w:r w:rsidR="00C7008C" w:rsidRPr="00C7008C">
        <w:rPr>
          <w:rFonts w:eastAsia="Batang" w:cs="Arial"/>
          <w:color w:val="000000"/>
          <w:szCs w:val="20"/>
          <w:vertAlign w:val="superscript"/>
          <w:lang w:eastAsia="ja-JP"/>
        </w:rPr>
        <w:footnoteReference w:id="44"/>
      </w:r>
      <w:r w:rsidR="00C7008C" w:rsidRPr="00C7008C">
        <w:rPr>
          <w:rFonts w:eastAsia="Batang" w:cs="Arial"/>
          <w:color w:val="000000"/>
          <w:szCs w:val="20"/>
          <w:lang w:eastAsia="ja-JP"/>
        </w:rPr>
        <w:t xml:space="preserve"> standard UN pages) were translated in 2012/13, representing a workload increase of 35 per cent for the biennium.  The effects of the new language policy were closely monitored throughout 2012, and rigorous rationalization and control measures were applied in 2013 to contain the increase.  Whereas a 53 per cent increase was observed from 2011 to 2012, the number of words translated in 2013 decreased by 18 per cent compared to 2012. </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27.2</w:t>
      </w:r>
      <w:r w:rsidR="00C7008C" w:rsidRPr="00C7008C">
        <w:rPr>
          <w:rFonts w:eastAsia="Batang" w:cs="Arial"/>
          <w:color w:val="000000"/>
          <w:szCs w:val="20"/>
          <w:lang w:eastAsia="ja-JP"/>
        </w:rPr>
        <w:t>.</w:t>
      </w:r>
      <w:r w:rsidR="00C7008C" w:rsidRPr="00C7008C">
        <w:rPr>
          <w:rFonts w:eastAsia="Batang" w:cs="Arial"/>
          <w:color w:val="000000"/>
          <w:szCs w:val="20"/>
          <w:lang w:eastAsia="ja-JP"/>
        </w:rPr>
        <w:tab/>
        <w:t>The Secretariat continued placing a higher reliance on the outsourcing of translation services, with 56 per cent of the workload outsourced to individual and institutional translators in the biennium.  To further improve translation quality, streamline work processes, and develop platforms for multilingual terminology databases, the Computer-Assisted-Translation (CAT) tools identified at the end of 2012, were successfully deployed in 2013.  The CAT tool has now been fully incorporated in the work of the Program.</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27.3</w:t>
      </w:r>
      <w:r w:rsidR="00C7008C" w:rsidRPr="00C7008C">
        <w:rPr>
          <w:rFonts w:eastAsia="Batang" w:cs="Arial"/>
          <w:color w:val="000000"/>
          <w:szCs w:val="20"/>
          <w:lang w:eastAsia="ja-JP"/>
        </w:rPr>
        <w:t>.</w:t>
      </w:r>
      <w:r w:rsidR="00C7008C" w:rsidRPr="00C7008C">
        <w:rPr>
          <w:rFonts w:eastAsia="Batang" w:cs="Arial"/>
          <w:color w:val="000000"/>
          <w:szCs w:val="20"/>
          <w:lang w:eastAsia="ja-JP"/>
        </w:rPr>
        <w:tab/>
        <w:t xml:space="preserve">Interpretation services continued to be provided for all WIPO meetings, both at Headquarters and in other locations, as required.  </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27.4</w:t>
      </w:r>
      <w:r w:rsidR="00C7008C" w:rsidRPr="00C7008C">
        <w:rPr>
          <w:rFonts w:eastAsia="Batang" w:cs="Arial"/>
          <w:color w:val="000000"/>
          <w:szCs w:val="20"/>
          <w:lang w:eastAsia="ja-JP"/>
        </w:rPr>
        <w:t>.</w:t>
      </w:r>
      <w:r w:rsidR="00C7008C" w:rsidRPr="00C7008C">
        <w:rPr>
          <w:rFonts w:eastAsia="Batang" w:cs="Arial"/>
          <w:color w:val="000000"/>
          <w:szCs w:val="20"/>
          <w:lang w:eastAsia="ja-JP"/>
        </w:rPr>
        <w:tab/>
        <w:t>The Program was actively involved in the organization of the Diplomatic Conference on the Protection of Audiovisual Performances in Beijing, China in June 2012</w:t>
      </w:r>
      <w:r w:rsidR="00063DC3">
        <w:rPr>
          <w:rFonts w:eastAsia="Batang" w:cs="Arial"/>
          <w:color w:val="000000"/>
          <w:szCs w:val="20"/>
          <w:lang w:eastAsia="ja-JP"/>
        </w:rPr>
        <w:t>,</w:t>
      </w:r>
      <w:r w:rsidR="00C7008C" w:rsidRPr="00C7008C">
        <w:rPr>
          <w:rFonts w:eastAsia="Batang" w:cs="Arial"/>
          <w:color w:val="000000"/>
          <w:szCs w:val="20"/>
          <w:lang w:eastAsia="ja-JP"/>
        </w:rPr>
        <w:t xml:space="preserve"> and the Diplomatic Conference to Conclude a Treaty to Facilitate Access to Published Works by Visually Impaired Persons and Persons with Print Disabilities in Marrakech, Morocco in June 2013.  It provided conference, translation and interpretation services for the two events, which were each attended by some 900 participants.</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063DC3" w:rsidRDefault="00443901" w:rsidP="00C7008C">
      <w:pPr>
        <w:tabs>
          <w:tab w:val="left" w:pos="709"/>
        </w:tabs>
        <w:autoSpaceDE w:val="0"/>
        <w:autoSpaceDN w:val="0"/>
        <w:adjustRightInd w:val="0"/>
        <w:jc w:val="both"/>
        <w:rPr>
          <w:rFonts w:eastAsia="Batang" w:cs="Arial"/>
          <w:color w:val="000000"/>
          <w:spacing w:val="-2"/>
          <w:szCs w:val="20"/>
          <w:lang w:eastAsia="ja-JP"/>
        </w:rPr>
      </w:pPr>
      <w:r>
        <w:rPr>
          <w:rFonts w:eastAsia="Batang" w:cs="Arial"/>
          <w:color w:val="000000"/>
          <w:szCs w:val="20"/>
          <w:lang w:eastAsia="ja-JP"/>
        </w:rPr>
        <w:t>27.5</w:t>
      </w:r>
      <w:r w:rsidR="00C7008C" w:rsidRPr="00C7008C">
        <w:rPr>
          <w:rFonts w:eastAsia="Batang" w:cs="Arial"/>
          <w:color w:val="000000"/>
          <w:szCs w:val="20"/>
          <w:lang w:eastAsia="ja-JP"/>
        </w:rPr>
        <w:t>.</w:t>
      </w:r>
      <w:r w:rsidR="00C7008C" w:rsidRPr="00C7008C">
        <w:rPr>
          <w:rFonts w:eastAsia="Batang" w:cs="Arial"/>
          <w:color w:val="000000"/>
          <w:szCs w:val="20"/>
          <w:lang w:eastAsia="ja-JP"/>
        </w:rPr>
        <w:tab/>
        <w:t xml:space="preserve">Delegate services like webcasting, video-on-demand and online registration continued to be improved during the biennium.  The use of online registration was extended to all principal Committees and Main Bodies of WIPO, and an enhanced version of the web registration system including functionality </w:t>
      </w:r>
      <w:r w:rsidR="00C7008C" w:rsidRPr="00063DC3">
        <w:rPr>
          <w:rFonts w:eastAsia="Batang" w:cs="Arial"/>
          <w:color w:val="000000"/>
          <w:spacing w:val="-2"/>
          <w:szCs w:val="20"/>
          <w:lang w:eastAsia="ja-JP"/>
        </w:rPr>
        <w:t>to facilitate registration for returning delegates was introduced for the two Assemblies sessions held in 2013.</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tabs>
          <w:tab w:val="left" w:pos="709"/>
        </w:tabs>
        <w:autoSpaceDE w:val="0"/>
        <w:autoSpaceDN w:val="0"/>
        <w:adjustRightInd w:val="0"/>
        <w:jc w:val="both"/>
        <w:rPr>
          <w:rFonts w:eastAsia="Batang" w:cs="Arial"/>
          <w:color w:val="000000"/>
          <w:szCs w:val="20"/>
          <w:lang w:eastAsia="ja-JP"/>
        </w:rPr>
      </w:pPr>
      <w:r>
        <w:rPr>
          <w:rFonts w:eastAsia="Batang" w:cs="Arial"/>
          <w:color w:val="000000"/>
          <w:szCs w:val="20"/>
          <w:lang w:eastAsia="ja-JP"/>
        </w:rPr>
        <w:t>27.6</w:t>
      </w:r>
      <w:r w:rsidR="00C7008C" w:rsidRPr="00C7008C">
        <w:rPr>
          <w:rFonts w:eastAsia="Batang" w:cs="Arial"/>
          <w:color w:val="000000"/>
          <w:szCs w:val="20"/>
          <w:lang w:eastAsia="ja-JP"/>
        </w:rPr>
        <w:t>.</w:t>
      </w:r>
      <w:r w:rsidR="00C7008C" w:rsidRPr="00C7008C">
        <w:rPr>
          <w:rFonts w:eastAsia="Batang" w:cs="Arial"/>
          <w:color w:val="000000"/>
          <w:szCs w:val="20"/>
          <w:lang w:eastAsia="ja-JP"/>
        </w:rPr>
        <w:tab/>
        <w:t xml:space="preserve">During the biennium, some 260 intergovernmental meetings were held in Geneva, compared to 250 in 2010/11.  The number of </w:t>
      </w:r>
      <w:r w:rsidR="00C7008C" w:rsidRPr="00C7008C">
        <w:rPr>
          <w:rFonts w:eastAsia="Batang" w:cs="Arial"/>
          <w:i/>
          <w:color w:val="000000"/>
          <w:szCs w:val="20"/>
          <w:lang w:eastAsia="ja-JP"/>
        </w:rPr>
        <w:t>ad hoc</w:t>
      </w:r>
      <w:r w:rsidR="00C7008C" w:rsidRPr="00C7008C">
        <w:rPr>
          <w:rFonts w:eastAsia="Batang" w:cs="Arial"/>
          <w:color w:val="000000"/>
          <w:szCs w:val="20"/>
          <w:lang w:eastAsia="ja-JP"/>
        </w:rPr>
        <w:t xml:space="preserve"> meetings serviced (study visits, consultations, groups, bilateral meetings, side events, official visits and internal meetings), increased to 11,200 compared to 6,560 in 2010/11.  In addition, a total of 167 meetings were serviced outside the standard meeting hours, i.e. beyond 6.30 p.m. or during weekends during the biennium.  </w:t>
      </w:r>
    </w:p>
    <w:p w:rsidR="00C7008C" w:rsidRPr="00063DC3" w:rsidRDefault="00C7008C" w:rsidP="00C7008C">
      <w:pPr>
        <w:tabs>
          <w:tab w:val="left" w:pos="709"/>
        </w:tabs>
        <w:autoSpaceDE w:val="0"/>
        <w:autoSpaceDN w:val="0"/>
        <w:adjustRightInd w:val="0"/>
        <w:jc w:val="both"/>
        <w:rPr>
          <w:rFonts w:eastAsia="Batang" w:cs="Arial"/>
          <w:color w:val="000000"/>
          <w:sz w:val="16"/>
          <w:szCs w:val="16"/>
          <w:lang w:eastAsia="ja-JP"/>
        </w:rPr>
      </w:pPr>
    </w:p>
    <w:p w:rsidR="00C7008C" w:rsidRPr="00C7008C" w:rsidRDefault="00443901" w:rsidP="00C7008C">
      <w:pPr>
        <w:keepLines/>
        <w:tabs>
          <w:tab w:val="left" w:pos="709"/>
        </w:tabs>
        <w:autoSpaceDE w:val="0"/>
        <w:autoSpaceDN w:val="0"/>
        <w:adjustRightInd w:val="0"/>
        <w:jc w:val="both"/>
        <w:rPr>
          <w:rFonts w:cs="Arial"/>
          <w:bCs/>
          <w:color w:val="000000"/>
          <w:szCs w:val="20"/>
        </w:rPr>
      </w:pPr>
      <w:r>
        <w:rPr>
          <w:rFonts w:cs="Arial"/>
          <w:bCs/>
          <w:color w:val="000000"/>
          <w:szCs w:val="20"/>
        </w:rPr>
        <w:t>27.7</w:t>
      </w:r>
      <w:r w:rsidR="00C7008C" w:rsidRPr="00C7008C">
        <w:rPr>
          <w:rFonts w:cs="Arial"/>
          <w:bCs/>
          <w:color w:val="000000"/>
          <w:szCs w:val="20"/>
        </w:rPr>
        <w:t>.</w:t>
      </w:r>
      <w:r w:rsidR="00C7008C" w:rsidRPr="00C7008C">
        <w:rPr>
          <w:rFonts w:cs="Arial"/>
          <w:bCs/>
          <w:color w:val="000000"/>
          <w:szCs w:val="20"/>
        </w:rPr>
        <w:tab/>
        <w:t>The Records Management and Archiving Policy, adopted during the biennium, served as the general framework for the future development of WIPO’s procedures and retention schedules, with respect to the use, control, security, preservation and disposition of WIPO Records.</w:t>
      </w:r>
    </w:p>
    <w:p w:rsidR="00C7008C" w:rsidRPr="00063DC3" w:rsidRDefault="00C7008C" w:rsidP="00C7008C">
      <w:pPr>
        <w:tabs>
          <w:tab w:val="left" w:pos="709"/>
        </w:tabs>
        <w:jc w:val="both"/>
        <w:rPr>
          <w:rFonts w:cs="Arial"/>
          <w:bCs/>
          <w:sz w:val="16"/>
          <w:szCs w:val="16"/>
        </w:rPr>
      </w:pPr>
    </w:p>
    <w:p w:rsidR="00C7008C" w:rsidRPr="00C7008C" w:rsidRDefault="00443901" w:rsidP="00C7008C">
      <w:pPr>
        <w:tabs>
          <w:tab w:val="left" w:pos="709"/>
        </w:tabs>
        <w:jc w:val="both"/>
        <w:rPr>
          <w:rFonts w:eastAsiaTheme="minorHAnsi" w:cs="Arial"/>
          <w:szCs w:val="20"/>
        </w:rPr>
      </w:pPr>
      <w:r>
        <w:rPr>
          <w:rFonts w:eastAsiaTheme="minorHAnsi" w:cs="Arial"/>
          <w:szCs w:val="20"/>
        </w:rPr>
        <w:t>27.8</w:t>
      </w:r>
      <w:r w:rsidR="00C7008C" w:rsidRPr="00C7008C">
        <w:rPr>
          <w:rFonts w:eastAsiaTheme="minorHAnsi" w:cs="Arial"/>
          <w:szCs w:val="20"/>
        </w:rPr>
        <w:t>.</w:t>
      </w:r>
      <w:r w:rsidR="00C7008C" w:rsidRPr="00C7008C">
        <w:rPr>
          <w:rFonts w:eastAsiaTheme="minorHAnsi" w:cs="Arial"/>
          <w:szCs w:val="20"/>
        </w:rPr>
        <w:tab/>
        <w:t>In line with WIPO’s commitment to implement cost efficiency measures, tariffs with external mail service providers continued to be negotiated.  This resulted in an overall decrease in mailing costs by 23 per cent in 2013 compared with 2012.</w:t>
      </w:r>
    </w:p>
    <w:p w:rsidR="00C7008C" w:rsidRPr="00063DC3" w:rsidRDefault="00C7008C" w:rsidP="00C7008C">
      <w:pPr>
        <w:jc w:val="both"/>
        <w:rPr>
          <w:rFonts w:cs="Arial"/>
          <w:bCs/>
          <w:sz w:val="16"/>
          <w:szCs w:val="16"/>
        </w:rPr>
      </w:pPr>
    </w:p>
    <w:p w:rsidR="00C7008C" w:rsidRDefault="00443901" w:rsidP="00C7008C">
      <w:pPr>
        <w:tabs>
          <w:tab w:val="left" w:pos="709"/>
        </w:tabs>
        <w:jc w:val="both"/>
        <w:rPr>
          <w:rFonts w:cs="Arial"/>
          <w:bCs/>
          <w:szCs w:val="20"/>
        </w:rPr>
      </w:pPr>
      <w:r>
        <w:rPr>
          <w:rFonts w:cs="Arial"/>
          <w:bCs/>
          <w:szCs w:val="20"/>
        </w:rPr>
        <w:t>27.9</w:t>
      </w:r>
      <w:r w:rsidR="006C0510">
        <w:rPr>
          <w:rFonts w:cs="Arial"/>
          <w:bCs/>
          <w:szCs w:val="20"/>
        </w:rPr>
        <w:t>.</w:t>
      </w:r>
      <w:r w:rsidR="00C7008C" w:rsidRPr="00C7008C">
        <w:rPr>
          <w:rFonts w:cs="Arial"/>
          <w:bCs/>
          <w:szCs w:val="20"/>
        </w:rPr>
        <w:tab/>
        <w:t xml:space="preserve">Printing and publication services continued to be provided in an efficient and timely manner in spite of increased workload resulting from the increased number of meetings organized by WIPO during the biennium, in particular the two Diplomatic Conferences and the Extraordinary Sessions of the General Assemblies. </w:t>
      </w:r>
    </w:p>
    <w:p w:rsidR="00443901" w:rsidRDefault="00443901" w:rsidP="00C7008C">
      <w:pPr>
        <w:tabs>
          <w:tab w:val="left" w:pos="709"/>
        </w:tabs>
        <w:jc w:val="both"/>
        <w:rPr>
          <w:rFonts w:cs="Arial"/>
          <w:bCs/>
          <w:szCs w:val="20"/>
        </w:rPr>
      </w:pPr>
    </w:p>
    <w:p w:rsidR="00443901" w:rsidRPr="00C7008C" w:rsidRDefault="00443901" w:rsidP="00C7008C">
      <w:pPr>
        <w:tabs>
          <w:tab w:val="left" w:pos="709"/>
        </w:tabs>
        <w:jc w:val="both"/>
        <w:rPr>
          <w:rFonts w:cs="Arial"/>
          <w:bCs/>
          <w:szCs w:val="20"/>
        </w:rPr>
      </w:pPr>
    </w:p>
    <w:p w:rsidR="00443901" w:rsidRDefault="00443901" w:rsidP="00C7008C">
      <w:pPr>
        <w:rPr>
          <w:rFonts w:cs="Arial"/>
          <w:sz w:val="22"/>
          <w:szCs w:val="22"/>
        </w:rPr>
      </w:pPr>
    </w:p>
    <w:p w:rsidR="00443901" w:rsidRDefault="00443901" w:rsidP="00C7008C">
      <w:pPr>
        <w:rPr>
          <w:rFonts w:cs="Arial"/>
          <w:sz w:val="22"/>
          <w:szCs w:val="22"/>
        </w:rPr>
      </w:pPr>
    </w:p>
    <w:p w:rsidR="00C7008C" w:rsidRPr="00C7008C" w:rsidRDefault="00C7008C" w:rsidP="00C7008C">
      <w:pPr>
        <w:rPr>
          <w:rFonts w:cs="Arial"/>
          <w:sz w:val="22"/>
          <w:szCs w:val="22"/>
        </w:rPr>
      </w:pPr>
      <w:r w:rsidRPr="00C7008C">
        <w:rPr>
          <w:rFonts w:cs="Arial"/>
          <w:sz w:val="22"/>
          <w:szCs w:val="22"/>
        </w:rPr>
        <w:lastRenderedPageBreak/>
        <w:t>PERFORMANCE DATA</w:t>
      </w:r>
    </w:p>
    <w:p w:rsidR="00C7008C" w:rsidRPr="00C7008C" w:rsidRDefault="00C7008C" w:rsidP="00C7008C">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15"/>
        <w:gridCol w:w="1731"/>
        <w:gridCol w:w="1361"/>
        <w:gridCol w:w="3674"/>
        <w:gridCol w:w="1276"/>
      </w:tblGrid>
      <w:tr w:rsidR="00C7008C" w:rsidRPr="00C7008C" w:rsidTr="005228A5">
        <w:trPr>
          <w:cantSplit/>
        </w:trPr>
        <w:tc>
          <w:tcPr>
            <w:tcW w:w="5000" w:type="pct"/>
            <w:gridSpan w:val="5"/>
            <w:tcBorders>
              <w:top w:val="single" w:sz="4" w:space="0" w:color="auto"/>
              <w:bottom w:val="single" w:sz="4" w:space="0" w:color="auto"/>
            </w:tcBorders>
            <w:shd w:val="clear" w:color="auto" w:fill="CCFFFF"/>
            <w:vAlign w:val="center"/>
          </w:tcPr>
          <w:p w:rsidR="00C7008C" w:rsidRPr="00C7008C" w:rsidRDefault="00C7008C" w:rsidP="00C7008C">
            <w:pPr>
              <w:keepNext/>
              <w:keepLines/>
              <w:tabs>
                <w:tab w:val="left" w:pos="1452"/>
              </w:tabs>
              <w:spacing w:before="120" w:after="120"/>
              <w:ind w:left="1452" w:hanging="1452"/>
              <w:rPr>
                <w:rFonts w:cs="Arial"/>
                <w:b/>
                <w:bCs/>
                <w:sz w:val="16"/>
                <w:szCs w:val="16"/>
              </w:rPr>
            </w:pPr>
            <w:r w:rsidRPr="00C7008C">
              <w:rPr>
                <w:rFonts w:cs="Arial"/>
                <w:b/>
                <w:bCs/>
                <w:sz w:val="16"/>
                <w:szCs w:val="16"/>
              </w:rPr>
              <w:t>Expected Result:</w:t>
            </w:r>
            <w:r w:rsidRPr="00C7008C">
              <w:rPr>
                <w:rFonts w:cs="Arial"/>
                <w:b/>
                <w:bCs/>
                <w:sz w:val="16"/>
                <w:szCs w:val="16"/>
              </w:rPr>
              <w:tab/>
            </w:r>
            <w:r w:rsidRPr="00C7008C">
              <w:rPr>
                <w:rFonts w:cs="Arial"/>
                <w:sz w:val="16"/>
                <w:szCs w:val="16"/>
              </w:rPr>
              <w:t>Effective, efficient, quality and customer-oriented support services both to internal clients and to external stakeholders (human resources, IT, conference, language, procurement, travel, printing and publication, premises management)</w:t>
            </w:r>
          </w:p>
        </w:tc>
      </w:tr>
      <w:tr w:rsidR="00C7008C" w:rsidRPr="00C7008C" w:rsidTr="00C7008C">
        <w:trPr>
          <w:cantSplit/>
        </w:trPr>
        <w:tc>
          <w:tcPr>
            <w:tcW w:w="703" w:type="pct"/>
            <w:tcBorders>
              <w:top w:val="single" w:sz="4" w:space="0" w:color="auto"/>
              <w:bottom w:val="nil"/>
              <w:right w:val="nil"/>
            </w:tcBorders>
            <w:shd w:val="clear" w:color="auto" w:fill="auto"/>
            <w:vAlign w:val="center"/>
          </w:tcPr>
          <w:p w:rsidR="00C7008C" w:rsidRPr="00C7008C" w:rsidRDefault="00C7008C" w:rsidP="00C7008C">
            <w:pPr>
              <w:rPr>
                <w:rFonts w:cs="Arial"/>
                <w:sz w:val="16"/>
                <w:szCs w:val="16"/>
              </w:rPr>
            </w:pPr>
            <w:r w:rsidRPr="00C7008C">
              <w:rPr>
                <w:rFonts w:cs="Arial"/>
                <w:b/>
                <w:bCs/>
                <w:sz w:val="16"/>
                <w:szCs w:val="16"/>
              </w:rPr>
              <w:t>Performance Indicators</w:t>
            </w:r>
          </w:p>
        </w:tc>
        <w:tc>
          <w:tcPr>
            <w:tcW w:w="925" w:type="pct"/>
            <w:tcBorders>
              <w:top w:val="single" w:sz="4" w:space="0" w:color="auto"/>
              <w:left w:val="nil"/>
              <w:bottom w:val="nil"/>
              <w:right w:val="nil"/>
            </w:tcBorders>
            <w:shd w:val="clear" w:color="auto" w:fill="auto"/>
            <w:vAlign w:val="center"/>
          </w:tcPr>
          <w:p w:rsidR="00C7008C" w:rsidRPr="00C7008C" w:rsidRDefault="00C7008C" w:rsidP="00C7008C">
            <w:pPr>
              <w:rPr>
                <w:rFonts w:cs="Arial"/>
                <w:b/>
                <w:bCs/>
                <w:sz w:val="16"/>
                <w:szCs w:val="16"/>
              </w:rPr>
            </w:pPr>
            <w:r w:rsidRPr="00C7008C">
              <w:rPr>
                <w:rFonts w:cs="Arial"/>
                <w:b/>
                <w:bCs/>
                <w:sz w:val="16"/>
                <w:szCs w:val="16"/>
              </w:rPr>
              <w:t>Baselines</w:t>
            </w:r>
          </w:p>
        </w:tc>
        <w:tc>
          <w:tcPr>
            <w:tcW w:w="727" w:type="pct"/>
            <w:tcBorders>
              <w:top w:val="single" w:sz="4" w:space="0" w:color="auto"/>
              <w:left w:val="nil"/>
              <w:bottom w:val="nil"/>
              <w:right w:val="nil"/>
            </w:tcBorders>
            <w:shd w:val="clear" w:color="auto" w:fill="auto"/>
            <w:tcMar>
              <w:top w:w="110" w:type="dxa"/>
            </w:tcMar>
            <w:vAlign w:val="center"/>
          </w:tcPr>
          <w:p w:rsidR="00C7008C" w:rsidRPr="00C7008C" w:rsidRDefault="00C7008C" w:rsidP="00C7008C">
            <w:pPr>
              <w:rPr>
                <w:rFonts w:cs="Arial"/>
                <w:b/>
                <w:sz w:val="16"/>
                <w:szCs w:val="16"/>
              </w:rPr>
            </w:pPr>
            <w:r w:rsidRPr="00C7008C">
              <w:rPr>
                <w:rFonts w:cs="Arial"/>
                <w:b/>
                <w:sz w:val="16"/>
                <w:szCs w:val="16"/>
              </w:rPr>
              <w:t>Target</w:t>
            </w:r>
            <w:r w:rsidR="00711C69">
              <w:rPr>
                <w:rFonts w:cs="Arial"/>
                <w:b/>
                <w:sz w:val="16"/>
                <w:szCs w:val="16"/>
              </w:rPr>
              <w:t>s</w:t>
            </w:r>
          </w:p>
        </w:tc>
        <w:tc>
          <w:tcPr>
            <w:tcW w:w="1963" w:type="pct"/>
            <w:tcBorders>
              <w:top w:val="single" w:sz="4" w:space="0" w:color="auto"/>
              <w:left w:val="nil"/>
              <w:bottom w:val="nil"/>
              <w:right w:val="nil"/>
            </w:tcBorders>
            <w:shd w:val="clear" w:color="auto" w:fill="FFFFFF"/>
            <w:tcMar>
              <w:top w:w="110" w:type="dxa"/>
            </w:tcMar>
            <w:vAlign w:val="center"/>
          </w:tcPr>
          <w:p w:rsidR="00C7008C" w:rsidRPr="00C7008C" w:rsidRDefault="00C7008C" w:rsidP="00C7008C">
            <w:pPr>
              <w:rPr>
                <w:rFonts w:cs="Arial"/>
                <w:sz w:val="16"/>
                <w:szCs w:val="16"/>
              </w:rPr>
            </w:pPr>
            <w:r w:rsidRPr="00C7008C">
              <w:rPr>
                <w:rFonts w:cs="Arial"/>
                <w:b/>
                <w:bCs/>
                <w:sz w:val="16"/>
                <w:szCs w:val="16"/>
              </w:rPr>
              <w:t>Performance Data</w:t>
            </w:r>
          </w:p>
        </w:tc>
        <w:tc>
          <w:tcPr>
            <w:tcW w:w="682" w:type="pct"/>
            <w:tcBorders>
              <w:top w:val="single" w:sz="4" w:space="0" w:color="auto"/>
              <w:left w:val="nil"/>
              <w:bottom w:val="nil"/>
            </w:tcBorders>
            <w:shd w:val="clear" w:color="auto" w:fill="auto"/>
            <w:tcMar>
              <w:top w:w="110" w:type="dxa"/>
            </w:tcMar>
            <w:vAlign w:val="center"/>
          </w:tcPr>
          <w:p w:rsidR="00C7008C" w:rsidRPr="00C7008C" w:rsidRDefault="00C7008C" w:rsidP="00C7008C">
            <w:pPr>
              <w:keepNext/>
              <w:keepLines/>
              <w:jc w:val="center"/>
              <w:rPr>
                <w:rFonts w:cs="Arial"/>
                <w:b/>
                <w:bCs/>
                <w:sz w:val="16"/>
                <w:szCs w:val="16"/>
              </w:rPr>
            </w:pPr>
            <w:r w:rsidRPr="00C7008C">
              <w:rPr>
                <w:rFonts w:cs="Arial"/>
                <w:b/>
                <w:bCs/>
                <w:sz w:val="16"/>
                <w:szCs w:val="16"/>
              </w:rPr>
              <w:t>TLS</w:t>
            </w:r>
          </w:p>
        </w:tc>
      </w:tr>
      <w:tr w:rsidR="00C7008C" w:rsidRPr="00C7008C" w:rsidTr="00C7008C">
        <w:trPr>
          <w:cantSplit/>
        </w:trPr>
        <w:tc>
          <w:tcPr>
            <w:tcW w:w="703" w:type="pct"/>
            <w:tcBorders>
              <w:top w:val="nil"/>
            </w:tcBorders>
            <w:shd w:val="clear" w:color="auto" w:fill="auto"/>
          </w:tcPr>
          <w:p w:rsidR="00C7008C" w:rsidRPr="00C7008C" w:rsidRDefault="00C7008C" w:rsidP="00C7008C">
            <w:pPr>
              <w:keepNext/>
              <w:ind w:leftChars="-1" w:left="1" w:hangingChars="2" w:hanging="3"/>
              <w:rPr>
                <w:rFonts w:cs="Arial"/>
                <w:sz w:val="16"/>
                <w:szCs w:val="16"/>
              </w:rPr>
            </w:pPr>
            <w:r w:rsidRPr="00C7008C">
              <w:rPr>
                <w:rFonts w:cs="Arial"/>
                <w:sz w:val="16"/>
                <w:szCs w:val="16"/>
              </w:rPr>
              <w:t xml:space="preserve">% of internal and external users satisfied with WIPO's conference services </w:t>
            </w:r>
          </w:p>
        </w:tc>
        <w:tc>
          <w:tcPr>
            <w:tcW w:w="925" w:type="pct"/>
            <w:tcBorders>
              <w:top w:val="nil"/>
            </w:tcBorders>
            <w:shd w:val="clear" w:color="auto" w:fill="auto"/>
          </w:tcPr>
          <w:p w:rsidR="00C7008C" w:rsidRPr="00C7008C" w:rsidRDefault="00C7008C" w:rsidP="00C7008C">
            <w:pPr>
              <w:autoSpaceDE w:val="0"/>
              <w:autoSpaceDN w:val="0"/>
              <w:adjustRightInd w:val="0"/>
              <w:rPr>
                <w:rFonts w:eastAsia="Batang" w:cs="Arial"/>
                <w:color w:val="002060"/>
                <w:sz w:val="16"/>
                <w:szCs w:val="16"/>
                <w:lang w:eastAsia="ja-JP"/>
              </w:rPr>
            </w:pPr>
            <w:r w:rsidRPr="00C7008C">
              <w:rPr>
                <w:rFonts w:eastAsia="Batang" w:cs="Arial"/>
                <w:i/>
                <w:color w:val="002060"/>
                <w:sz w:val="16"/>
                <w:szCs w:val="16"/>
                <w:lang w:eastAsia="ja-JP"/>
              </w:rPr>
              <w:t xml:space="preserve">Updated Baseline end 2011: </w:t>
            </w:r>
            <w:r w:rsidRPr="00C7008C">
              <w:rPr>
                <w:rFonts w:eastAsia="Batang" w:cs="Arial"/>
                <w:i/>
                <w:sz w:val="16"/>
                <w:szCs w:val="16"/>
                <w:lang w:eastAsia="ja-JP"/>
              </w:rPr>
              <w:t xml:space="preserve"> </w:t>
            </w:r>
            <w:r w:rsidRPr="00C7008C">
              <w:rPr>
                <w:rFonts w:eastAsia="Batang" w:cs="Arial"/>
                <w:color w:val="002060"/>
                <w:sz w:val="16"/>
                <w:szCs w:val="16"/>
                <w:lang w:eastAsia="ja-JP"/>
              </w:rPr>
              <w:t xml:space="preserve">89% favorable feedback </w:t>
            </w:r>
          </w:p>
          <w:p w:rsidR="00C7008C" w:rsidRPr="00C7008C" w:rsidRDefault="00C7008C" w:rsidP="00C7008C">
            <w:pPr>
              <w:keepNext/>
              <w:rPr>
                <w:rFonts w:cs="Arial"/>
                <w:i/>
                <w:sz w:val="8"/>
                <w:szCs w:val="8"/>
              </w:rPr>
            </w:pPr>
          </w:p>
          <w:p w:rsidR="00C7008C" w:rsidRPr="00C7008C" w:rsidRDefault="00C7008C" w:rsidP="00C7008C">
            <w:pPr>
              <w:keepNext/>
              <w:rPr>
                <w:rFonts w:cs="Arial"/>
                <w:sz w:val="16"/>
                <w:szCs w:val="16"/>
              </w:rPr>
            </w:pPr>
            <w:r w:rsidRPr="00C7008C">
              <w:rPr>
                <w:rFonts w:cs="Arial"/>
                <w:i/>
                <w:sz w:val="16"/>
                <w:szCs w:val="16"/>
              </w:rPr>
              <w:t>Original Baseline P&amp;B 2012/13:</w:t>
            </w:r>
            <w:r w:rsidRPr="00C7008C">
              <w:rPr>
                <w:rFonts w:cs="Arial"/>
                <w:sz w:val="16"/>
                <w:szCs w:val="16"/>
              </w:rPr>
              <w:br/>
              <w:t>Rate at end 2011</w:t>
            </w:r>
          </w:p>
        </w:tc>
        <w:tc>
          <w:tcPr>
            <w:tcW w:w="727" w:type="pct"/>
            <w:tcBorders>
              <w:top w:val="nil"/>
            </w:tcBorders>
            <w:shd w:val="clear" w:color="auto" w:fill="auto"/>
            <w:tcMar>
              <w:top w:w="110" w:type="dxa"/>
            </w:tcMar>
          </w:tcPr>
          <w:p w:rsidR="00C7008C" w:rsidRPr="00C7008C" w:rsidRDefault="00EC1008" w:rsidP="00C7008C">
            <w:pPr>
              <w:autoSpaceDE w:val="0"/>
              <w:autoSpaceDN w:val="0"/>
              <w:adjustRightInd w:val="0"/>
              <w:rPr>
                <w:rFonts w:cs="Arial"/>
                <w:sz w:val="16"/>
                <w:szCs w:val="16"/>
              </w:rPr>
            </w:pPr>
            <w:r>
              <w:rPr>
                <w:rFonts w:cs="Arial"/>
                <w:sz w:val="16"/>
                <w:szCs w:val="16"/>
              </w:rPr>
              <w:t>ten per cent</w:t>
            </w:r>
            <w:r w:rsidR="00C7008C" w:rsidRPr="00C7008C">
              <w:rPr>
                <w:rFonts w:cs="Arial"/>
                <w:sz w:val="16"/>
                <w:szCs w:val="16"/>
              </w:rPr>
              <w:t xml:space="preserve"> increase in rate by</w:t>
            </w:r>
          </w:p>
          <w:p w:rsidR="00C7008C" w:rsidRPr="00C7008C" w:rsidRDefault="00C7008C" w:rsidP="00C7008C">
            <w:pPr>
              <w:keepNext/>
              <w:rPr>
                <w:rFonts w:cs="Arial"/>
                <w:sz w:val="16"/>
                <w:szCs w:val="16"/>
              </w:rPr>
            </w:pPr>
            <w:r w:rsidRPr="00C7008C">
              <w:rPr>
                <w:rFonts w:eastAsia="Batang" w:cs="Arial"/>
                <w:sz w:val="16"/>
                <w:szCs w:val="16"/>
                <w:lang w:eastAsia="ja-JP"/>
              </w:rPr>
              <w:t>end 2013</w:t>
            </w:r>
          </w:p>
        </w:tc>
        <w:tc>
          <w:tcPr>
            <w:tcW w:w="1963" w:type="pct"/>
            <w:tcBorders>
              <w:top w:val="nil"/>
            </w:tcBorders>
            <w:shd w:val="clear" w:color="auto" w:fill="FFFFFF"/>
            <w:tcMar>
              <w:top w:w="110" w:type="dxa"/>
            </w:tcMar>
          </w:tcPr>
          <w:p w:rsidR="00C7008C" w:rsidRPr="00C7008C" w:rsidRDefault="00C7008C" w:rsidP="00C7008C">
            <w:pPr>
              <w:rPr>
                <w:rFonts w:cs="Arial"/>
                <w:sz w:val="16"/>
                <w:szCs w:val="16"/>
              </w:rPr>
            </w:pPr>
            <w:r w:rsidRPr="00C7008C">
              <w:rPr>
                <w:rFonts w:cs="Arial"/>
                <w:sz w:val="16"/>
                <w:szCs w:val="16"/>
                <w:lang w:bidi="th-TH"/>
              </w:rPr>
              <w:t>A total of 260 intergovernmental meetings were held in Geneva during the biennium.  In addition, conference support services were provided for some 11,200 other events, such as study visits, consultations, groups, bilateral meetings, side events, official visits and internal meetings. Results of a satisfaction survey, conducted in 2013 indicated that 98% of users considered the overall quality of WIPO’s conference services either excellent (64%) or good (34%).</w:t>
            </w:r>
          </w:p>
        </w:tc>
        <w:tc>
          <w:tcPr>
            <w:tcW w:w="682" w:type="pct"/>
            <w:tcBorders>
              <w:top w:val="nil"/>
            </w:tcBorders>
            <w:shd w:val="clear" w:color="auto" w:fill="auto"/>
            <w:tcMar>
              <w:top w:w="110" w:type="dxa"/>
            </w:tcMar>
          </w:tcPr>
          <w:p w:rsidR="00C7008C" w:rsidRPr="00C7008C" w:rsidRDefault="00C7008C" w:rsidP="00C7008C">
            <w:pPr>
              <w:keepNext/>
              <w:keepLines/>
              <w:jc w:val="center"/>
              <w:rPr>
                <w:rFonts w:cs="Arial"/>
                <w:bCs/>
                <w:sz w:val="16"/>
                <w:szCs w:val="16"/>
              </w:rPr>
            </w:pPr>
            <w:r w:rsidRPr="00C7008C">
              <w:rPr>
                <w:rFonts w:cs="Arial"/>
                <w:bCs/>
                <w:color w:val="008000"/>
                <w:sz w:val="16"/>
                <w:szCs w:val="16"/>
              </w:rPr>
              <w:t>Fully</w:t>
            </w:r>
            <w:r w:rsidRPr="00C7008C">
              <w:rPr>
                <w:rFonts w:cs="Arial"/>
                <w:bCs/>
                <w:color w:val="008000"/>
                <w:sz w:val="16"/>
                <w:szCs w:val="16"/>
              </w:rPr>
              <w:br/>
              <w:t>Achieved</w:t>
            </w:r>
          </w:p>
        </w:tc>
      </w:tr>
      <w:tr w:rsidR="00C7008C" w:rsidRPr="00C7008C" w:rsidTr="00C7008C">
        <w:trPr>
          <w:cantSplit/>
        </w:trPr>
        <w:tc>
          <w:tcPr>
            <w:tcW w:w="703" w:type="pct"/>
            <w:shd w:val="clear" w:color="auto" w:fill="auto"/>
          </w:tcPr>
          <w:p w:rsidR="00C7008C" w:rsidRPr="00C7008C" w:rsidRDefault="00C7008C" w:rsidP="00C7008C">
            <w:pPr>
              <w:rPr>
                <w:rFonts w:cs="Arial"/>
                <w:sz w:val="16"/>
                <w:szCs w:val="16"/>
              </w:rPr>
            </w:pPr>
            <w:r w:rsidRPr="00C7008C">
              <w:rPr>
                <w:rFonts w:cs="Arial"/>
                <w:sz w:val="16"/>
                <w:szCs w:val="16"/>
              </w:rPr>
              <w:t>Translation productivity standards and cost per page of translation</w:t>
            </w:r>
          </w:p>
        </w:tc>
        <w:tc>
          <w:tcPr>
            <w:tcW w:w="925" w:type="pct"/>
            <w:shd w:val="clear" w:color="auto" w:fill="auto"/>
          </w:tcPr>
          <w:p w:rsidR="00C7008C" w:rsidRPr="00C7008C" w:rsidRDefault="00C7008C" w:rsidP="00C7008C">
            <w:pPr>
              <w:rPr>
                <w:rFonts w:cs="Arial"/>
                <w:color w:val="002060"/>
                <w:sz w:val="16"/>
                <w:szCs w:val="16"/>
              </w:rPr>
            </w:pPr>
            <w:r w:rsidRPr="00C7008C">
              <w:rPr>
                <w:rFonts w:cs="Arial"/>
                <w:i/>
                <w:color w:val="002060"/>
                <w:sz w:val="16"/>
                <w:szCs w:val="16"/>
              </w:rPr>
              <w:t>Updated Baseline end 2011:</w:t>
            </w:r>
            <w:r w:rsidR="008417B0">
              <w:rPr>
                <w:rFonts w:cs="Arial"/>
                <w:i/>
                <w:color w:val="002060"/>
                <w:sz w:val="16"/>
                <w:szCs w:val="16"/>
              </w:rPr>
              <w:t xml:space="preserve"> </w:t>
            </w:r>
            <w:r w:rsidRPr="00C7008C">
              <w:rPr>
                <w:rFonts w:cs="Arial"/>
                <w:color w:val="002060"/>
                <w:sz w:val="16"/>
                <w:szCs w:val="16"/>
              </w:rPr>
              <w:t xml:space="preserve">11,933,276 words </w:t>
            </w:r>
          </w:p>
          <w:p w:rsidR="00C7008C" w:rsidRPr="00D95B69" w:rsidRDefault="00C7008C" w:rsidP="00C7008C">
            <w:pPr>
              <w:rPr>
                <w:rFonts w:cs="Arial"/>
                <w:color w:val="002060"/>
                <w:sz w:val="16"/>
                <w:szCs w:val="16"/>
                <w:lang w:val="fr-CH"/>
              </w:rPr>
            </w:pPr>
            <w:r w:rsidRPr="00C7008C">
              <w:rPr>
                <w:rFonts w:cs="Arial"/>
                <w:color w:val="002060"/>
                <w:sz w:val="16"/>
                <w:szCs w:val="16"/>
              </w:rPr>
              <w:t xml:space="preserve">in 2011 (approx. </w:t>
            </w:r>
            <w:r w:rsidRPr="00D95B69">
              <w:rPr>
                <w:rFonts w:cs="Arial"/>
                <w:color w:val="002060"/>
                <w:sz w:val="16"/>
                <w:szCs w:val="16"/>
                <w:lang w:val="fr-CH"/>
              </w:rPr>
              <w:t>36,161 UN standard pages)</w:t>
            </w:r>
          </w:p>
          <w:p w:rsidR="00C7008C" w:rsidRPr="00C568E4" w:rsidRDefault="00C7008C" w:rsidP="00C7008C">
            <w:pPr>
              <w:autoSpaceDE w:val="0"/>
              <w:autoSpaceDN w:val="0"/>
              <w:adjustRightInd w:val="0"/>
              <w:rPr>
                <w:rFonts w:eastAsia="Batang" w:cs="Arial"/>
                <w:color w:val="002060"/>
                <w:sz w:val="16"/>
                <w:szCs w:val="16"/>
                <w:lang w:val="fr-FR" w:eastAsia="ja-JP"/>
              </w:rPr>
            </w:pPr>
            <w:r w:rsidRPr="00C568E4">
              <w:rPr>
                <w:rFonts w:eastAsia="Batang" w:cs="Arial"/>
                <w:color w:val="002060"/>
                <w:sz w:val="16"/>
                <w:szCs w:val="16"/>
                <w:lang w:val="fr-FR" w:eastAsia="ja-JP"/>
              </w:rPr>
              <w:t xml:space="preserve">213 Swiss francs per page </w:t>
            </w:r>
          </w:p>
          <w:p w:rsidR="00C7008C" w:rsidRPr="00C568E4" w:rsidRDefault="00C7008C" w:rsidP="00C7008C">
            <w:pPr>
              <w:rPr>
                <w:rFonts w:cs="Arial"/>
                <w:i/>
                <w:sz w:val="8"/>
                <w:szCs w:val="8"/>
                <w:lang w:val="fr-FR"/>
              </w:rPr>
            </w:pPr>
          </w:p>
          <w:p w:rsidR="00C7008C" w:rsidRPr="00C7008C" w:rsidRDefault="00C7008C" w:rsidP="00C7008C">
            <w:pPr>
              <w:rPr>
                <w:rFonts w:cs="Arial"/>
                <w:sz w:val="16"/>
                <w:szCs w:val="16"/>
              </w:rPr>
            </w:pPr>
            <w:r w:rsidRPr="00C7008C">
              <w:rPr>
                <w:rFonts w:cs="Arial"/>
                <w:i/>
                <w:sz w:val="16"/>
                <w:szCs w:val="16"/>
              </w:rPr>
              <w:t>Original Baseline P&amp;B 2012/13:</w:t>
            </w:r>
            <w:r w:rsidRPr="00C7008C">
              <w:rPr>
                <w:rFonts w:cs="Arial"/>
                <w:sz w:val="16"/>
                <w:szCs w:val="16"/>
              </w:rPr>
              <w:br/>
              <w:t>Productivity and cost levels at end 2011</w:t>
            </w:r>
          </w:p>
        </w:tc>
        <w:tc>
          <w:tcPr>
            <w:tcW w:w="727" w:type="pct"/>
            <w:shd w:val="clear" w:color="auto" w:fill="auto"/>
            <w:tcMar>
              <w:top w:w="110" w:type="dxa"/>
            </w:tcMar>
          </w:tcPr>
          <w:p w:rsidR="00C7008C" w:rsidRPr="00C7008C" w:rsidRDefault="00EC1008" w:rsidP="00C7008C">
            <w:pPr>
              <w:autoSpaceDE w:val="0"/>
              <w:autoSpaceDN w:val="0"/>
              <w:adjustRightInd w:val="0"/>
              <w:rPr>
                <w:rFonts w:cs="Arial"/>
                <w:sz w:val="16"/>
                <w:szCs w:val="16"/>
              </w:rPr>
            </w:pPr>
            <w:r>
              <w:rPr>
                <w:rFonts w:cs="Arial"/>
                <w:sz w:val="16"/>
                <w:szCs w:val="16"/>
              </w:rPr>
              <w:t>ten per cent</w:t>
            </w:r>
            <w:r w:rsidR="00C7008C" w:rsidRPr="00C7008C">
              <w:rPr>
                <w:rFonts w:cs="Arial"/>
                <w:sz w:val="16"/>
                <w:szCs w:val="16"/>
              </w:rPr>
              <w:t xml:space="preserve"> increase over</w:t>
            </w:r>
          </w:p>
          <w:p w:rsidR="00C7008C" w:rsidRPr="00C7008C" w:rsidRDefault="00C7008C" w:rsidP="00C7008C">
            <w:pPr>
              <w:rPr>
                <w:rFonts w:cs="Arial"/>
                <w:sz w:val="16"/>
                <w:szCs w:val="16"/>
              </w:rPr>
            </w:pPr>
            <w:r w:rsidRPr="00C7008C">
              <w:rPr>
                <w:rFonts w:cs="Arial"/>
                <w:sz w:val="16"/>
                <w:szCs w:val="16"/>
              </w:rPr>
              <w:t>baseline</w:t>
            </w:r>
          </w:p>
        </w:tc>
        <w:tc>
          <w:tcPr>
            <w:tcW w:w="1963" w:type="pct"/>
            <w:shd w:val="clear" w:color="auto" w:fill="FFFFFF"/>
            <w:tcMar>
              <w:top w:w="110" w:type="dxa"/>
            </w:tcMar>
          </w:tcPr>
          <w:p w:rsidR="00C7008C" w:rsidRPr="00C7008C" w:rsidRDefault="00C7008C" w:rsidP="00C7008C">
            <w:pPr>
              <w:rPr>
                <w:rFonts w:cs="Arial"/>
                <w:sz w:val="16"/>
                <w:szCs w:val="16"/>
                <w:lang w:bidi="th-TH"/>
              </w:rPr>
            </w:pPr>
            <w:r w:rsidRPr="00C7008C">
              <w:rPr>
                <w:rFonts w:cs="Arial"/>
                <w:sz w:val="16"/>
                <w:szCs w:val="16"/>
                <w:lang w:bidi="th-TH"/>
              </w:rPr>
              <w:t>A total of 18.24 million words (55,282 UN standard pages) were translated in 2012 and 14.93 million words (45,242 UN standard pages) in 2013.</w:t>
            </w:r>
          </w:p>
          <w:p w:rsidR="00C7008C" w:rsidRPr="00C7008C" w:rsidRDefault="00C7008C" w:rsidP="00C7008C">
            <w:pPr>
              <w:rPr>
                <w:rFonts w:cs="Arial"/>
                <w:sz w:val="16"/>
                <w:szCs w:val="16"/>
              </w:rPr>
            </w:pPr>
          </w:p>
          <w:p w:rsidR="00C7008C" w:rsidRPr="00C7008C" w:rsidRDefault="00C7008C" w:rsidP="00C7008C">
            <w:pPr>
              <w:rPr>
                <w:rFonts w:cs="Arial"/>
                <w:sz w:val="16"/>
                <w:szCs w:val="16"/>
              </w:rPr>
            </w:pPr>
            <w:r w:rsidRPr="00C7008C">
              <w:rPr>
                <w:rFonts w:cs="Arial"/>
                <w:sz w:val="16"/>
                <w:szCs w:val="16"/>
              </w:rPr>
              <w:t>The cost per page (weighted average for the biennium) was 191 Swiss francs</w:t>
            </w:r>
            <w:r w:rsidR="008417B0">
              <w:rPr>
                <w:rFonts w:cs="Arial"/>
                <w:sz w:val="16"/>
                <w:szCs w:val="16"/>
              </w:rPr>
              <w:t>.</w:t>
            </w:r>
            <w:r w:rsidRPr="00C7008C">
              <w:rPr>
                <w:rFonts w:cs="Arial"/>
                <w:sz w:val="16"/>
                <w:szCs w:val="16"/>
              </w:rPr>
              <w:t xml:space="preserve"> </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p>
        </w:tc>
      </w:tr>
      <w:tr w:rsidR="00C7008C" w:rsidRPr="00C7008C" w:rsidTr="00C7008C">
        <w:trPr>
          <w:cantSplit/>
        </w:trPr>
        <w:tc>
          <w:tcPr>
            <w:tcW w:w="703" w:type="pct"/>
            <w:shd w:val="clear" w:color="auto" w:fill="auto"/>
          </w:tcPr>
          <w:p w:rsidR="00C7008C" w:rsidRPr="00C7008C" w:rsidRDefault="00C7008C" w:rsidP="00C7008C">
            <w:pPr>
              <w:rPr>
                <w:rFonts w:cs="Arial"/>
                <w:sz w:val="16"/>
                <w:szCs w:val="16"/>
              </w:rPr>
            </w:pPr>
            <w:r w:rsidRPr="008417B0">
              <w:rPr>
                <w:rFonts w:cs="Arial"/>
                <w:spacing w:val="-4"/>
                <w:sz w:val="16"/>
                <w:szCs w:val="16"/>
              </w:rPr>
              <w:t>A comprehensive</w:t>
            </w:r>
            <w:r w:rsidRPr="00C7008C">
              <w:rPr>
                <w:rFonts w:cs="Arial"/>
                <w:sz w:val="16"/>
                <w:szCs w:val="16"/>
              </w:rPr>
              <w:t xml:space="preserve"> language policy adopted by Member States together with related resource allocation requirements</w:t>
            </w:r>
          </w:p>
        </w:tc>
        <w:tc>
          <w:tcPr>
            <w:tcW w:w="925" w:type="pct"/>
            <w:shd w:val="clear" w:color="auto" w:fill="auto"/>
          </w:tcPr>
          <w:p w:rsidR="00C7008C" w:rsidRPr="00C7008C" w:rsidRDefault="00C7008C" w:rsidP="00C7008C">
            <w:pPr>
              <w:rPr>
                <w:rFonts w:cs="Arial"/>
                <w:i/>
                <w:color w:val="002060"/>
                <w:sz w:val="16"/>
                <w:szCs w:val="16"/>
              </w:rPr>
            </w:pPr>
            <w:r w:rsidRPr="00C7008C">
              <w:rPr>
                <w:rFonts w:cs="Arial"/>
                <w:i/>
                <w:color w:val="002060"/>
                <w:sz w:val="16"/>
                <w:szCs w:val="16"/>
              </w:rPr>
              <w:t xml:space="preserve">Updated Baseline end 2011: </w:t>
            </w:r>
            <w:r w:rsidRPr="00C7008C">
              <w:rPr>
                <w:rFonts w:cs="Arial"/>
                <w:color w:val="002060"/>
                <w:sz w:val="16"/>
                <w:szCs w:val="16"/>
              </w:rPr>
              <w:t>Language Policy 2011 elaborated for documentation of WIPO Standing Committees and Main Bodies</w:t>
            </w:r>
          </w:p>
          <w:p w:rsidR="00C7008C" w:rsidRPr="00C7008C" w:rsidRDefault="00C7008C" w:rsidP="00C7008C">
            <w:pPr>
              <w:rPr>
                <w:rFonts w:cs="Arial"/>
                <w:i/>
                <w:color w:val="002060"/>
                <w:sz w:val="8"/>
                <w:szCs w:val="8"/>
              </w:rPr>
            </w:pPr>
          </w:p>
          <w:p w:rsidR="00C7008C" w:rsidRPr="00C7008C" w:rsidRDefault="00C7008C" w:rsidP="00C7008C">
            <w:pPr>
              <w:rPr>
                <w:rFonts w:cs="Arial"/>
                <w:sz w:val="16"/>
                <w:szCs w:val="16"/>
              </w:rPr>
            </w:pPr>
            <w:r w:rsidRPr="00C7008C">
              <w:rPr>
                <w:rFonts w:cs="Arial"/>
                <w:i/>
                <w:sz w:val="16"/>
                <w:szCs w:val="16"/>
              </w:rPr>
              <w:t>Original Baseline P&amp;B 2012/13:</w:t>
            </w:r>
            <w:r w:rsidRPr="00C7008C">
              <w:rPr>
                <w:rFonts w:cs="Arial"/>
                <w:sz w:val="16"/>
                <w:szCs w:val="16"/>
              </w:rPr>
              <w:br/>
              <w:t>Language Policy elaborated in 2010 only for documentation of WIPO Standing Committees</w:t>
            </w:r>
          </w:p>
        </w:tc>
        <w:tc>
          <w:tcPr>
            <w:tcW w:w="727" w:type="pct"/>
            <w:shd w:val="clear" w:color="auto" w:fill="auto"/>
            <w:tcMar>
              <w:top w:w="110" w:type="dxa"/>
            </w:tcMar>
          </w:tcPr>
          <w:p w:rsidR="00C7008C" w:rsidRPr="00C7008C" w:rsidRDefault="00C7008C" w:rsidP="00C7008C">
            <w:pPr>
              <w:autoSpaceDE w:val="0"/>
              <w:autoSpaceDN w:val="0"/>
              <w:adjustRightInd w:val="0"/>
              <w:rPr>
                <w:rFonts w:cs="Arial"/>
                <w:sz w:val="16"/>
                <w:szCs w:val="16"/>
              </w:rPr>
            </w:pPr>
            <w:r w:rsidRPr="00C7008C">
              <w:rPr>
                <w:rFonts w:cs="Arial"/>
                <w:sz w:val="16"/>
                <w:szCs w:val="16"/>
              </w:rPr>
              <w:t>Language policy covers</w:t>
            </w:r>
          </w:p>
          <w:p w:rsidR="00C7008C" w:rsidRPr="00C7008C" w:rsidRDefault="00C7008C" w:rsidP="00C7008C">
            <w:pPr>
              <w:autoSpaceDE w:val="0"/>
              <w:autoSpaceDN w:val="0"/>
              <w:adjustRightInd w:val="0"/>
              <w:rPr>
                <w:rFonts w:cs="Arial"/>
                <w:sz w:val="16"/>
                <w:szCs w:val="16"/>
              </w:rPr>
            </w:pPr>
            <w:r w:rsidRPr="00C7008C">
              <w:rPr>
                <w:rFonts w:cs="Arial"/>
                <w:sz w:val="16"/>
                <w:szCs w:val="16"/>
              </w:rPr>
              <w:t>documentation of all WIPO meetings, as well</w:t>
            </w:r>
          </w:p>
          <w:p w:rsidR="00C7008C" w:rsidRPr="00C7008C" w:rsidRDefault="00C7008C" w:rsidP="00C7008C">
            <w:pPr>
              <w:autoSpaceDE w:val="0"/>
              <w:autoSpaceDN w:val="0"/>
              <w:adjustRightInd w:val="0"/>
              <w:rPr>
                <w:rFonts w:cs="Arial"/>
                <w:sz w:val="16"/>
                <w:szCs w:val="16"/>
              </w:rPr>
            </w:pPr>
            <w:r w:rsidRPr="00C7008C">
              <w:rPr>
                <w:rFonts w:cs="Arial"/>
                <w:sz w:val="16"/>
                <w:szCs w:val="16"/>
              </w:rPr>
              <w:t>as language coverage of</w:t>
            </w:r>
          </w:p>
          <w:p w:rsidR="00C7008C" w:rsidRPr="00C7008C" w:rsidRDefault="00C7008C" w:rsidP="00C7008C">
            <w:pPr>
              <w:autoSpaceDE w:val="0"/>
              <w:autoSpaceDN w:val="0"/>
              <w:adjustRightInd w:val="0"/>
              <w:rPr>
                <w:rFonts w:cs="Arial"/>
                <w:sz w:val="16"/>
                <w:szCs w:val="16"/>
              </w:rPr>
            </w:pPr>
            <w:r w:rsidRPr="00C7008C">
              <w:rPr>
                <w:rFonts w:cs="Arial"/>
                <w:sz w:val="16"/>
                <w:szCs w:val="16"/>
              </w:rPr>
              <w:t>WIPO publications and</w:t>
            </w:r>
          </w:p>
          <w:p w:rsidR="00C7008C" w:rsidRPr="00C7008C" w:rsidRDefault="00C7008C" w:rsidP="00C7008C">
            <w:pPr>
              <w:rPr>
                <w:rFonts w:cs="Arial"/>
                <w:sz w:val="16"/>
                <w:szCs w:val="16"/>
              </w:rPr>
            </w:pPr>
            <w:r w:rsidRPr="00C7008C">
              <w:rPr>
                <w:rFonts w:cs="Arial"/>
                <w:sz w:val="16"/>
                <w:szCs w:val="16"/>
              </w:rPr>
              <w:t>website</w:t>
            </w:r>
          </w:p>
        </w:tc>
        <w:tc>
          <w:tcPr>
            <w:tcW w:w="1963" w:type="pct"/>
            <w:shd w:val="clear" w:color="auto" w:fill="FFFFFF"/>
            <w:tcMar>
              <w:top w:w="110" w:type="dxa"/>
            </w:tcMar>
          </w:tcPr>
          <w:p w:rsidR="00C7008C" w:rsidRPr="00C7008C" w:rsidRDefault="00C7008C" w:rsidP="00C7008C">
            <w:pPr>
              <w:rPr>
                <w:rFonts w:cs="Arial"/>
                <w:sz w:val="16"/>
                <w:szCs w:val="16"/>
              </w:rPr>
            </w:pPr>
            <w:r w:rsidRPr="00C7008C">
              <w:rPr>
                <w:rFonts w:cs="Arial"/>
                <w:sz w:val="16"/>
                <w:szCs w:val="16"/>
              </w:rPr>
              <w:t>The language policy was extended to all WIPO Standing Committees and Main Bodies</w:t>
            </w:r>
            <w:r w:rsidR="008417B0">
              <w:rPr>
                <w:rFonts w:cs="Arial"/>
                <w:sz w:val="16"/>
                <w:szCs w:val="16"/>
              </w:rPr>
              <w:t>.</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r w:rsidRPr="00C7008C" w:rsidDel="009B5D72">
              <w:rPr>
                <w:rFonts w:cs="Arial"/>
                <w:sz w:val="16"/>
                <w:szCs w:val="16"/>
              </w:rPr>
              <w:t xml:space="preserve"> </w:t>
            </w:r>
          </w:p>
        </w:tc>
      </w:tr>
      <w:tr w:rsidR="00C7008C" w:rsidRPr="00C7008C" w:rsidTr="00C7008C">
        <w:trPr>
          <w:cantSplit/>
        </w:trPr>
        <w:tc>
          <w:tcPr>
            <w:tcW w:w="703" w:type="pct"/>
            <w:shd w:val="clear" w:color="auto" w:fill="auto"/>
          </w:tcPr>
          <w:p w:rsidR="00C7008C" w:rsidRPr="00C7008C" w:rsidRDefault="00C7008C" w:rsidP="00C7008C">
            <w:pPr>
              <w:rPr>
                <w:rFonts w:cs="Arial"/>
                <w:sz w:val="16"/>
                <w:szCs w:val="16"/>
              </w:rPr>
            </w:pPr>
            <w:r w:rsidRPr="00C7008C">
              <w:rPr>
                <w:rFonts w:cs="Arial"/>
                <w:sz w:val="16"/>
                <w:szCs w:val="16"/>
              </w:rPr>
              <w:t>Productivity rate for calculations, data input and collection and provision of statistics (mail delivery)</w:t>
            </w:r>
          </w:p>
        </w:tc>
        <w:tc>
          <w:tcPr>
            <w:tcW w:w="925" w:type="pct"/>
            <w:shd w:val="clear" w:color="auto" w:fill="auto"/>
          </w:tcPr>
          <w:p w:rsidR="00C7008C" w:rsidRPr="00C7008C" w:rsidRDefault="00C7008C" w:rsidP="00C7008C">
            <w:pPr>
              <w:rPr>
                <w:rFonts w:cs="Arial"/>
                <w:i/>
                <w:color w:val="002060"/>
                <w:sz w:val="16"/>
                <w:szCs w:val="16"/>
              </w:rPr>
            </w:pPr>
            <w:r w:rsidRPr="00C7008C">
              <w:rPr>
                <w:rFonts w:cs="Arial"/>
                <w:i/>
                <w:color w:val="002060"/>
                <w:sz w:val="16"/>
                <w:szCs w:val="16"/>
              </w:rPr>
              <w:t xml:space="preserve">Updated Baseline end 2011: </w:t>
            </w:r>
          </w:p>
          <w:p w:rsidR="00C7008C" w:rsidRPr="00C7008C" w:rsidRDefault="00C7008C" w:rsidP="00C7008C">
            <w:pPr>
              <w:autoSpaceDE w:val="0"/>
              <w:autoSpaceDN w:val="0"/>
              <w:adjustRightInd w:val="0"/>
              <w:rPr>
                <w:rFonts w:eastAsia="Batang" w:cs="Arial"/>
                <w:color w:val="002060"/>
                <w:sz w:val="16"/>
                <w:szCs w:val="16"/>
                <w:lang w:eastAsia="ja-JP"/>
              </w:rPr>
            </w:pPr>
            <w:r w:rsidRPr="00C7008C">
              <w:rPr>
                <w:rFonts w:eastAsia="Batang" w:cs="Arial"/>
                <w:color w:val="002060"/>
                <w:sz w:val="16"/>
                <w:szCs w:val="16"/>
                <w:lang w:eastAsia="ja-JP"/>
              </w:rPr>
              <w:t xml:space="preserve">1,694,940 items sent at a cost of 2,495,669 Swiss francs in 2011 </w:t>
            </w:r>
          </w:p>
          <w:p w:rsidR="00C7008C" w:rsidRPr="00C7008C" w:rsidRDefault="00C7008C" w:rsidP="00C7008C">
            <w:pPr>
              <w:rPr>
                <w:rFonts w:cs="Arial"/>
                <w:i/>
                <w:color w:val="002060"/>
                <w:sz w:val="8"/>
                <w:szCs w:val="8"/>
              </w:rPr>
            </w:pPr>
          </w:p>
          <w:p w:rsidR="00C7008C" w:rsidRPr="00C7008C" w:rsidRDefault="00C7008C" w:rsidP="003967D4">
            <w:pPr>
              <w:rPr>
                <w:rFonts w:cs="Arial"/>
                <w:sz w:val="16"/>
                <w:szCs w:val="16"/>
              </w:rPr>
            </w:pPr>
            <w:r w:rsidRPr="00C7008C">
              <w:rPr>
                <w:rFonts w:cs="Arial"/>
                <w:i/>
                <w:sz w:val="16"/>
                <w:szCs w:val="16"/>
              </w:rPr>
              <w:t>Original Baseline P&amp;B 2012/13:</w:t>
            </w:r>
            <w:r w:rsidRPr="00C7008C">
              <w:rPr>
                <w:rFonts w:cs="Arial"/>
                <w:sz w:val="16"/>
                <w:szCs w:val="16"/>
              </w:rPr>
              <w:br/>
              <w:t>Rate of productivity at end 2011</w:t>
            </w:r>
          </w:p>
        </w:tc>
        <w:tc>
          <w:tcPr>
            <w:tcW w:w="727" w:type="pct"/>
            <w:shd w:val="clear" w:color="auto" w:fill="auto"/>
            <w:tcMar>
              <w:top w:w="110" w:type="dxa"/>
            </w:tcMar>
          </w:tcPr>
          <w:p w:rsidR="00C7008C" w:rsidRPr="00C7008C" w:rsidRDefault="00EC1008" w:rsidP="00C7008C">
            <w:pPr>
              <w:autoSpaceDE w:val="0"/>
              <w:autoSpaceDN w:val="0"/>
              <w:adjustRightInd w:val="0"/>
              <w:rPr>
                <w:rFonts w:eastAsia="Batang" w:cs="Arial"/>
                <w:sz w:val="16"/>
                <w:szCs w:val="16"/>
                <w:lang w:eastAsia="ja-JP"/>
              </w:rPr>
            </w:pPr>
            <w:r>
              <w:rPr>
                <w:rFonts w:eastAsia="Batang" w:cs="Arial"/>
                <w:sz w:val="16"/>
                <w:szCs w:val="16"/>
                <w:lang w:eastAsia="ja-JP"/>
              </w:rPr>
              <w:t>ten per cent</w:t>
            </w:r>
            <w:r w:rsidR="00C7008C" w:rsidRPr="00C7008C">
              <w:rPr>
                <w:rFonts w:eastAsia="Batang" w:cs="Arial"/>
                <w:sz w:val="16"/>
                <w:szCs w:val="16"/>
                <w:lang w:eastAsia="ja-JP"/>
              </w:rPr>
              <w:t xml:space="preserve"> increase over baselines</w:t>
            </w:r>
            <w:r w:rsidR="00C7008C" w:rsidRPr="00C7008C" w:rsidDel="009B5D72">
              <w:rPr>
                <w:rFonts w:eastAsia="Batang" w:cs="Arial"/>
                <w:sz w:val="16"/>
                <w:szCs w:val="16"/>
                <w:lang w:eastAsia="ja-JP"/>
              </w:rPr>
              <w:t xml:space="preserve"> </w:t>
            </w:r>
          </w:p>
        </w:tc>
        <w:tc>
          <w:tcPr>
            <w:tcW w:w="1963" w:type="pct"/>
            <w:shd w:val="clear" w:color="auto" w:fill="FFFFFF"/>
            <w:tcMar>
              <w:top w:w="110" w:type="dxa"/>
            </w:tcMar>
          </w:tcPr>
          <w:p w:rsidR="00C7008C" w:rsidRPr="00C7008C" w:rsidRDefault="00C7008C" w:rsidP="00C7008C">
            <w:pPr>
              <w:rPr>
                <w:rFonts w:cs="Arial"/>
                <w:sz w:val="16"/>
                <w:szCs w:val="16"/>
              </w:rPr>
            </w:pPr>
            <w:r w:rsidRPr="00C7008C">
              <w:rPr>
                <w:rFonts w:cs="Arial"/>
                <w:sz w:val="16"/>
                <w:szCs w:val="16"/>
              </w:rPr>
              <w:t>Renegotiation of contracts with mail carriers and grouping of addresses resulted in an overall decrease in mailing costs by 23% in 2013 compared with 2012:</w:t>
            </w:r>
          </w:p>
          <w:p w:rsidR="00C7008C" w:rsidRPr="00C7008C" w:rsidRDefault="00C7008C" w:rsidP="007B2B25">
            <w:pPr>
              <w:numPr>
                <w:ilvl w:val="0"/>
                <w:numId w:val="67"/>
              </w:numPr>
              <w:rPr>
                <w:rFonts w:cs="Arial"/>
                <w:sz w:val="16"/>
                <w:szCs w:val="16"/>
              </w:rPr>
            </w:pPr>
            <w:r w:rsidRPr="00C7008C">
              <w:rPr>
                <w:rFonts w:cs="Arial"/>
                <w:sz w:val="16"/>
                <w:szCs w:val="16"/>
              </w:rPr>
              <w:t xml:space="preserve">1,803,346  items sent at a cost of 2,216,038 Swiss francs (2012)  </w:t>
            </w:r>
          </w:p>
          <w:p w:rsidR="00C7008C" w:rsidRPr="00C7008C" w:rsidRDefault="00C7008C" w:rsidP="007B2B25">
            <w:pPr>
              <w:numPr>
                <w:ilvl w:val="0"/>
                <w:numId w:val="67"/>
              </w:numPr>
              <w:rPr>
                <w:rFonts w:cs="Arial"/>
                <w:sz w:val="16"/>
                <w:szCs w:val="16"/>
              </w:rPr>
            </w:pPr>
            <w:r w:rsidRPr="00C7008C">
              <w:rPr>
                <w:rFonts w:cs="Arial"/>
                <w:sz w:val="16"/>
                <w:szCs w:val="16"/>
              </w:rPr>
              <w:t>1,439,000 items at a cost of 1,705,981 Swiss francs (2013)</w:t>
            </w:r>
          </w:p>
          <w:p w:rsidR="00C7008C" w:rsidRPr="00C7008C" w:rsidRDefault="00C7008C" w:rsidP="00C7008C">
            <w:pPr>
              <w:rPr>
                <w:rFonts w:cs="Arial"/>
                <w:sz w:val="16"/>
                <w:szCs w:val="16"/>
                <w:lang w:bidi="th-TH"/>
              </w:rPr>
            </w:pPr>
          </w:p>
          <w:p w:rsidR="00C7008C" w:rsidRPr="00C7008C" w:rsidRDefault="00C7008C" w:rsidP="00C7008C">
            <w:pPr>
              <w:rPr>
                <w:rFonts w:cs="Arial"/>
                <w:sz w:val="16"/>
                <w:szCs w:val="16"/>
              </w:rPr>
            </w:pPr>
            <w:r w:rsidRPr="00C7008C">
              <w:rPr>
                <w:rFonts w:cs="Arial"/>
                <w:sz w:val="16"/>
                <w:szCs w:val="16"/>
              </w:rPr>
              <w:t xml:space="preserve">18% of registered mail for the </w:t>
            </w:r>
            <w:r w:rsidR="00601859">
              <w:rPr>
                <w:rFonts w:cs="Arial"/>
                <w:sz w:val="16"/>
                <w:szCs w:val="16"/>
              </w:rPr>
              <w:t>Madrid System</w:t>
            </w:r>
            <w:r w:rsidRPr="00C7008C">
              <w:rPr>
                <w:rFonts w:cs="Arial"/>
                <w:sz w:val="16"/>
                <w:szCs w:val="16"/>
              </w:rPr>
              <w:t xml:space="preserve"> was sent by regular mail in 2013</w:t>
            </w:r>
            <w:proofErr w:type="gramStart"/>
            <w:r w:rsidRPr="00C7008C">
              <w:rPr>
                <w:rFonts w:cs="Arial"/>
                <w:sz w:val="16"/>
                <w:szCs w:val="16"/>
              </w:rPr>
              <w:t>,  also</w:t>
            </w:r>
            <w:proofErr w:type="gramEnd"/>
            <w:r w:rsidRPr="00C7008C">
              <w:rPr>
                <w:rFonts w:cs="Arial"/>
                <w:sz w:val="16"/>
                <w:szCs w:val="16"/>
              </w:rPr>
              <w:t xml:space="preserve"> contributing to cost reductions.</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p>
        </w:tc>
      </w:tr>
      <w:tr w:rsidR="00C7008C" w:rsidRPr="00C7008C" w:rsidTr="00C7008C">
        <w:trPr>
          <w:cantSplit/>
        </w:trPr>
        <w:tc>
          <w:tcPr>
            <w:tcW w:w="703" w:type="pct"/>
            <w:shd w:val="clear" w:color="auto" w:fill="auto"/>
          </w:tcPr>
          <w:p w:rsidR="00C7008C" w:rsidRDefault="00C7008C" w:rsidP="00C7008C">
            <w:pPr>
              <w:rPr>
                <w:rFonts w:cs="Arial"/>
                <w:sz w:val="16"/>
                <w:szCs w:val="16"/>
              </w:rPr>
            </w:pPr>
            <w:r w:rsidRPr="00C7008C">
              <w:rPr>
                <w:rFonts w:cs="Arial"/>
                <w:sz w:val="16"/>
                <w:szCs w:val="16"/>
              </w:rPr>
              <w:t>% of PCT Media batch in paper and electronic format on time</w:t>
            </w:r>
          </w:p>
          <w:p w:rsidR="003967D4" w:rsidRPr="00C7008C" w:rsidRDefault="003967D4" w:rsidP="00C7008C">
            <w:pPr>
              <w:rPr>
                <w:rFonts w:cs="Arial"/>
                <w:sz w:val="16"/>
                <w:szCs w:val="16"/>
              </w:rPr>
            </w:pPr>
          </w:p>
        </w:tc>
        <w:tc>
          <w:tcPr>
            <w:tcW w:w="925" w:type="pct"/>
            <w:shd w:val="clear" w:color="auto" w:fill="auto"/>
          </w:tcPr>
          <w:p w:rsidR="00C7008C" w:rsidRPr="00C7008C" w:rsidRDefault="00C7008C" w:rsidP="00C7008C">
            <w:pPr>
              <w:rPr>
                <w:rFonts w:cs="Arial"/>
                <w:sz w:val="16"/>
                <w:szCs w:val="16"/>
              </w:rPr>
            </w:pPr>
            <w:r w:rsidRPr="00C7008C">
              <w:rPr>
                <w:rFonts w:cs="Arial"/>
                <w:sz w:val="16"/>
                <w:szCs w:val="16"/>
              </w:rPr>
              <w:t>Rates at end 2011</w:t>
            </w:r>
          </w:p>
        </w:tc>
        <w:tc>
          <w:tcPr>
            <w:tcW w:w="727" w:type="pct"/>
            <w:shd w:val="clear" w:color="auto" w:fill="auto"/>
            <w:tcMar>
              <w:top w:w="110" w:type="dxa"/>
            </w:tcMar>
          </w:tcPr>
          <w:p w:rsidR="00C7008C" w:rsidRPr="00C7008C" w:rsidRDefault="00EC1008" w:rsidP="00C7008C">
            <w:pPr>
              <w:autoSpaceDE w:val="0"/>
              <w:autoSpaceDN w:val="0"/>
              <w:adjustRightInd w:val="0"/>
              <w:rPr>
                <w:rFonts w:cs="Arial"/>
                <w:sz w:val="16"/>
                <w:szCs w:val="16"/>
              </w:rPr>
            </w:pPr>
            <w:r>
              <w:rPr>
                <w:rFonts w:cs="Arial"/>
                <w:sz w:val="16"/>
                <w:szCs w:val="16"/>
              </w:rPr>
              <w:t>ten per cent</w:t>
            </w:r>
            <w:r w:rsidR="00C7008C" w:rsidRPr="00C7008C">
              <w:rPr>
                <w:rFonts w:cs="Arial"/>
                <w:sz w:val="16"/>
                <w:szCs w:val="16"/>
              </w:rPr>
              <w:t xml:space="preserve"> improvement over</w:t>
            </w:r>
          </w:p>
          <w:p w:rsidR="00C7008C" w:rsidRPr="00C7008C" w:rsidRDefault="00C7008C" w:rsidP="00C7008C">
            <w:pPr>
              <w:rPr>
                <w:rFonts w:cs="Arial"/>
                <w:sz w:val="16"/>
                <w:szCs w:val="16"/>
              </w:rPr>
            </w:pPr>
            <w:r w:rsidRPr="00C7008C">
              <w:rPr>
                <w:rFonts w:cs="Arial"/>
                <w:sz w:val="16"/>
                <w:szCs w:val="16"/>
              </w:rPr>
              <w:t>baseline</w:t>
            </w:r>
          </w:p>
        </w:tc>
        <w:tc>
          <w:tcPr>
            <w:tcW w:w="1963" w:type="pct"/>
            <w:shd w:val="clear" w:color="auto" w:fill="FFFFFF"/>
            <w:tcMar>
              <w:top w:w="110" w:type="dxa"/>
            </w:tcMar>
          </w:tcPr>
          <w:p w:rsidR="00C7008C" w:rsidRPr="00C7008C" w:rsidRDefault="00C7008C" w:rsidP="00C7008C">
            <w:pPr>
              <w:rPr>
                <w:rFonts w:cs="Arial"/>
                <w:sz w:val="16"/>
                <w:szCs w:val="16"/>
                <w:lang w:bidi="th-TH"/>
              </w:rPr>
            </w:pPr>
            <w:r w:rsidRPr="00C7008C">
              <w:rPr>
                <w:rFonts w:cs="Arial"/>
                <w:sz w:val="16"/>
                <w:szCs w:val="16"/>
                <w:lang w:bidi="th-TH"/>
              </w:rPr>
              <w:t>PCT Media batch in paper format on time – 98%</w:t>
            </w:r>
          </w:p>
          <w:p w:rsidR="00C7008C" w:rsidRPr="00C7008C" w:rsidRDefault="00C7008C" w:rsidP="00C7008C">
            <w:pPr>
              <w:rPr>
                <w:rFonts w:cs="Arial"/>
                <w:sz w:val="16"/>
                <w:szCs w:val="16"/>
                <w:lang w:bidi="th-TH"/>
              </w:rPr>
            </w:pPr>
          </w:p>
          <w:p w:rsidR="00C7008C" w:rsidRPr="00C7008C" w:rsidRDefault="00C7008C" w:rsidP="00C7008C">
            <w:pPr>
              <w:rPr>
                <w:rFonts w:cs="Arial"/>
                <w:sz w:val="16"/>
                <w:szCs w:val="16"/>
              </w:rPr>
            </w:pPr>
            <w:r w:rsidRPr="00C7008C">
              <w:rPr>
                <w:rFonts w:cs="Arial"/>
                <w:sz w:val="16"/>
                <w:szCs w:val="16"/>
                <w:lang w:bidi="th-TH"/>
              </w:rPr>
              <w:t>PCT Media batch in electronic format on time – 100%</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r w:rsidRPr="00C7008C" w:rsidDel="009B5D72">
              <w:rPr>
                <w:rFonts w:cs="Arial"/>
                <w:sz w:val="16"/>
                <w:szCs w:val="16"/>
              </w:rPr>
              <w:t xml:space="preserve"> </w:t>
            </w:r>
          </w:p>
        </w:tc>
      </w:tr>
      <w:tr w:rsidR="00C7008C" w:rsidRPr="00C7008C" w:rsidTr="00C7008C">
        <w:trPr>
          <w:cantSplit/>
        </w:trPr>
        <w:tc>
          <w:tcPr>
            <w:tcW w:w="703" w:type="pct"/>
            <w:shd w:val="clear" w:color="auto" w:fill="auto"/>
          </w:tcPr>
          <w:p w:rsidR="00C7008C" w:rsidRDefault="00C7008C" w:rsidP="00C7008C">
            <w:pPr>
              <w:rPr>
                <w:rFonts w:cs="Arial"/>
                <w:sz w:val="16"/>
                <w:szCs w:val="16"/>
              </w:rPr>
            </w:pPr>
            <w:r w:rsidRPr="00C7008C">
              <w:rPr>
                <w:rFonts w:cs="Arial"/>
                <w:sz w:val="16"/>
                <w:szCs w:val="16"/>
              </w:rPr>
              <w:t xml:space="preserve">% of Madrid Notifications in paper format on time </w:t>
            </w:r>
          </w:p>
          <w:p w:rsidR="008417B0" w:rsidRPr="00C7008C" w:rsidRDefault="008417B0" w:rsidP="00C7008C">
            <w:pPr>
              <w:rPr>
                <w:rFonts w:cs="Arial"/>
                <w:sz w:val="16"/>
                <w:szCs w:val="16"/>
              </w:rPr>
            </w:pPr>
          </w:p>
        </w:tc>
        <w:tc>
          <w:tcPr>
            <w:tcW w:w="925" w:type="pct"/>
            <w:shd w:val="clear" w:color="auto" w:fill="auto"/>
          </w:tcPr>
          <w:p w:rsidR="00C7008C" w:rsidRPr="00C7008C" w:rsidRDefault="00C7008C" w:rsidP="00C7008C">
            <w:pPr>
              <w:rPr>
                <w:rFonts w:cs="Arial"/>
                <w:sz w:val="16"/>
                <w:szCs w:val="16"/>
              </w:rPr>
            </w:pPr>
            <w:r w:rsidRPr="00C7008C">
              <w:rPr>
                <w:rFonts w:cs="Arial"/>
                <w:sz w:val="16"/>
                <w:szCs w:val="16"/>
              </w:rPr>
              <w:t>Rates at end 2011</w:t>
            </w:r>
          </w:p>
        </w:tc>
        <w:tc>
          <w:tcPr>
            <w:tcW w:w="727" w:type="pct"/>
            <w:shd w:val="clear" w:color="auto" w:fill="auto"/>
            <w:tcMar>
              <w:top w:w="110" w:type="dxa"/>
            </w:tcMar>
          </w:tcPr>
          <w:p w:rsidR="00C7008C" w:rsidRDefault="00EC1008" w:rsidP="008417B0">
            <w:pPr>
              <w:autoSpaceDE w:val="0"/>
              <w:autoSpaceDN w:val="0"/>
              <w:adjustRightInd w:val="0"/>
              <w:rPr>
                <w:rFonts w:cs="Arial"/>
                <w:sz w:val="16"/>
                <w:szCs w:val="16"/>
              </w:rPr>
            </w:pPr>
            <w:r>
              <w:rPr>
                <w:rFonts w:cs="Arial"/>
                <w:sz w:val="16"/>
                <w:szCs w:val="16"/>
              </w:rPr>
              <w:t>ten per cent</w:t>
            </w:r>
            <w:r w:rsidR="00C7008C" w:rsidRPr="00C7008C">
              <w:rPr>
                <w:rFonts w:cs="Arial"/>
                <w:sz w:val="16"/>
                <w:szCs w:val="16"/>
              </w:rPr>
              <w:t xml:space="preserve"> improvement over</w:t>
            </w:r>
            <w:r w:rsidR="008417B0">
              <w:rPr>
                <w:rFonts w:cs="Arial"/>
                <w:sz w:val="16"/>
                <w:szCs w:val="16"/>
              </w:rPr>
              <w:t xml:space="preserve"> b</w:t>
            </w:r>
            <w:r w:rsidR="00C7008C" w:rsidRPr="00C7008C">
              <w:rPr>
                <w:rFonts w:cs="Arial"/>
                <w:sz w:val="16"/>
                <w:szCs w:val="16"/>
              </w:rPr>
              <w:t>aseline</w:t>
            </w:r>
          </w:p>
          <w:p w:rsidR="008417B0" w:rsidRPr="00C7008C" w:rsidRDefault="008417B0" w:rsidP="00C7008C">
            <w:pPr>
              <w:rPr>
                <w:rFonts w:cs="Arial"/>
                <w:sz w:val="16"/>
                <w:szCs w:val="16"/>
              </w:rPr>
            </w:pPr>
          </w:p>
        </w:tc>
        <w:tc>
          <w:tcPr>
            <w:tcW w:w="1962" w:type="pct"/>
            <w:shd w:val="clear" w:color="auto" w:fill="FFFFFF"/>
            <w:tcMar>
              <w:top w:w="110" w:type="dxa"/>
            </w:tcMar>
          </w:tcPr>
          <w:p w:rsidR="00C7008C" w:rsidRPr="00C7008C" w:rsidRDefault="00C7008C" w:rsidP="00C7008C">
            <w:pPr>
              <w:rPr>
                <w:rFonts w:eastAsiaTheme="minorHAnsi" w:cs="Arial"/>
                <w:sz w:val="16"/>
                <w:szCs w:val="16"/>
              </w:rPr>
            </w:pPr>
            <w:r w:rsidRPr="00C7008C">
              <w:rPr>
                <w:rFonts w:eastAsiaTheme="minorHAnsi" w:cs="Arial"/>
                <w:sz w:val="16"/>
                <w:szCs w:val="16"/>
              </w:rPr>
              <w:t>Madrid notifications in paper format available on time – 99%</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bCs/>
                <w:color w:val="008000"/>
                <w:sz w:val="16"/>
                <w:szCs w:val="16"/>
              </w:rPr>
              <w:t>Fully</w:t>
            </w:r>
            <w:r w:rsidRPr="00C7008C">
              <w:rPr>
                <w:rFonts w:cs="Arial"/>
                <w:bCs/>
                <w:color w:val="008000"/>
                <w:sz w:val="16"/>
                <w:szCs w:val="16"/>
              </w:rPr>
              <w:br/>
              <w:t>Achieved</w:t>
            </w:r>
            <w:r w:rsidRPr="00C7008C" w:rsidDel="009B5D72">
              <w:rPr>
                <w:rFonts w:cs="Arial"/>
                <w:sz w:val="16"/>
                <w:szCs w:val="16"/>
              </w:rPr>
              <w:t xml:space="preserve"> </w:t>
            </w:r>
          </w:p>
        </w:tc>
      </w:tr>
      <w:tr w:rsidR="00C7008C" w:rsidRPr="00C7008C" w:rsidTr="00C7008C">
        <w:trPr>
          <w:cantSplit/>
        </w:trPr>
        <w:tc>
          <w:tcPr>
            <w:tcW w:w="703" w:type="pct"/>
            <w:shd w:val="clear" w:color="auto" w:fill="auto"/>
          </w:tcPr>
          <w:p w:rsidR="00C7008C" w:rsidRPr="00C7008C" w:rsidRDefault="00C7008C" w:rsidP="00C7008C">
            <w:pPr>
              <w:rPr>
                <w:rFonts w:cs="Arial"/>
                <w:sz w:val="16"/>
                <w:szCs w:val="16"/>
              </w:rPr>
            </w:pPr>
            <w:r w:rsidRPr="00C7008C">
              <w:rPr>
                <w:rFonts w:cs="Arial"/>
                <w:sz w:val="16"/>
                <w:szCs w:val="16"/>
              </w:rPr>
              <w:lastRenderedPageBreak/>
              <w:t>% of Madrid Romarin in electronic format on time</w:t>
            </w:r>
          </w:p>
          <w:p w:rsidR="00C7008C" w:rsidRPr="00C7008C" w:rsidRDefault="00C7008C" w:rsidP="00C7008C">
            <w:pPr>
              <w:rPr>
                <w:rFonts w:cs="Arial"/>
                <w:sz w:val="16"/>
                <w:szCs w:val="16"/>
              </w:rPr>
            </w:pPr>
          </w:p>
        </w:tc>
        <w:tc>
          <w:tcPr>
            <w:tcW w:w="925" w:type="pct"/>
            <w:shd w:val="clear" w:color="auto" w:fill="auto"/>
          </w:tcPr>
          <w:p w:rsidR="00C7008C" w:rsidRPr="00C7008C" w:rsidRDefault="00C7008C" w:rsidP="00C7008C">
            <w:pPr>
              <w:rPr>
                <w:rFonts w:cs="Arial"/>
                <w:sz w:val="16"/>
                <w:szCs w:val="16"/>
              </w:rPr>
            </w:pPr>
            <w:r w:rsidRPr="00C7008C">
              <w:rPr>
                <w:rFonts w:cs="Arial"/>
                <w:sz w:val="16"/>
                <w:szCs w:val="16"/>
              </w:rPr>
              <w:t>Rates at end 2011</w:t>
            </w:r>
          </w:p>
        </w:tc>
        <w:tc>
          <w:tcPr>
            <w:tcW w:w="727" w:type="pct"/>
            <w:shd w:val="clear" w:color="auto" w:fill="auto"/>
            <w:tcMar>
              <w:top w:w="110" w:type="dxa"/>
            </w:tcMar>
          </w:tcPr>
          <w:p w:rsidR="00C7008C" w:rsidRPr="00C7008C" w:rsidRDefault="00EC1008" w:rsidP="00C7008C">
            <w:pPr>
              <w:rPr>
                <w:rFonts w:cs="Arial"/>
                <w:sz w:val="16"/>
                <w:szCs w:val="16"/>
              </w:rPr>
            </w:pPr>
            <w:r>
              <w:rPr>
                <w:rFonts w:cs="Arial"/>
                <w:sz w:val="16"/>
                <w:szCs w:val="16"/>
              </w:rPr>
              <w:t>ten per cent</w:t>
            </w:r>
            <w:r w:rsidR="00C7008C" w:rsidRPr="00C7008C">
              <w:rPr>
                <w:rFonts w:cs="Arial"/>
                <w:sz w:val="16"/>
                <w:szCs w:val="16"/>
              </w:rPr>
              <w:t xml:space="preserve"> improvement over baseline</w:t>
            </w:r>
          </w:p>
        </w:tc>
        <w:tc>
          <w:tcPr>
            <w:tcW w:w="1962" w:type="pct"/>
            <w:shd w:val="clear" w:color="auto" w:fill="FFFFFF"/>
            <w:tcMar>
              <w:top w:w="110" w:type="dxa"/>
            </w:tcMar>
          </w:tcPr>
          <w:p w:rsidR="00C7008C" w:rsidRDefault="00C7008C" w:rsidP="00C7008C">
            <w:pPr>
              <w:rPr>
                <w:rFonts w:cs="Arial"/>
                <w:sz w:val="16"/>
                <w:szCs w:val="16"/>
                <w:lang w:bidi="th-TH"/>
              </w:rPr>
            </w:pPr>
            <w:r w:rsidRPr="00C7008C">
              <w:rPr>
                <w:rFonts w:cs="Arial"/>
                <w:sz w:val="16"/>
                <w:szCs w:val="16"/>
                <w:lang w:bidi="th-TH"/>
              </w:rPr>
              <w:t>Madrid Romarin available on time – 100% (</w:t>
            </w:r>
            <w:r w:rsidR="002C4DAD">
              <w:rPr>
                <w:rFonts w:cs="Arial"/>
                <w:sz w:val="16"/>
                <w:szCs w:val="16"/>
                <w:lang w:bidi="th-TH"/>
              </w:rPr>
              <w:t xml:space="preserve">beginning </w:t>
            </w:r>
            <w:r w:rsidRPr="00C7008C">
              <w:rPr>
                <w:rFonts w:cs="Arial"/>
                <w:sz w:val="16"/>
                <w:szCs w:val="16"/>
                <w:lang w:bidi="th-TH"/>
              </w:rPr>
              <w:t>2012)</w:t>
            </w:r>
          </w:p>
          <w:p w:rsidR="008417B0" w:rsidRPr="00C7008C" w:rsidRDefault="008417B0" w:rsidP="00C7008C">
            <w:pPr>
              <w:rPr>
                <w:rFonts w:cs="Arial"/>
                <w:sz w:val="16"/>
                <w:szCs w:val="16"/>
                <w:lang w:bidi="th-TH"/>
              </w:rPr>
            </w:pPr>
          </w:p>
          <w:p w:rsidR="00C7008C" w:rsidRPr="00C7008C" w:rsidRDefault="00C7008C" w:rsidP="00C7008C">
            <w:pPr>
              <w:rPr>
                <w:rFonts w:cs="Arial"/>
                <w:sz w:val="16"/>
                <w:szCs w:val="16"/>
              </w:rPr>
            </w:pPr>
            <w:r w:rsidRPr="00C7008C">
              <w:rPr>
                <w:rFonts w:cs="Arial"/>
                <w:sz w:val="16"/>
                <w:szCs w:val="16"/>
                <w:lang w:bidi="th-TH"/>
              </w:rPr>
              <w:t xml:space="preserve">This service was discontinued in early 2012. </w:t>
            </w:r>
          </w:p>
        </w:tc>
        <w:tc>
          <w:tcPr>
            <w:tcW w:w="682" w:type="pct"/>
            <w:shd w:val="clear" w:color="auto" w:fill="auto"/>
            <w:tcMar>
              <w:top w:w="110" w:type="dxa"/>
            </w:tcMar>
          </w:tcPr>
          <w:p w:rsidR="00C7008C" w:rsidRPr="00C7008C" w:rsidRDefault="00C7008C" w:rsidP="00C7008C">
            <w:pPr>
              <w:keepNext/>
              <w:keepLines/>
              <w:jc w:val="center"/>
              <w:rPr>
                <w:rFonts w:cs="Arial"/>
                <w:bCs/>
                <w:color w:val="808080"/>
                <w:sz w:val="16"/>
                <w:szCs w:val="16"/>
              </w:rPr>
            </w:pPr>
            <w:r w:rsidRPr="00C7008C">
              <w:rPr>
                <w:rFonts w:cs="Arial"/>
                <w:sz w:val="16"/>
                <w:szCs w:val="16"/>
              </w:rPr>
              <w:t>Discontinued</w:t>
            </w:r>
          </w:p>
        </w:tc>
      </w:tr>
    </w:tbl>
    <w:p w:rsidR="00C7008C" w:rsidRPr="00C7008C" w:rsidRDefault="00C7008C" w:rsidP="00C7008C">
      <w:pPr>
        <w:keepNext/>
        <w:keepLines/>
        <w:rPr>
          <w:rFonts w:cs="Arial"/>
          <w:sz w:val="22"/>
          <w:szCs w:val="22"/>
        </w:rPr>
      </w:pPr>
    </w:p>
    <w:p w:rsidR="00C7008C" w:rsidRPr="00C7008C" w:rsidRDefault="00C7008C" w:rsidP="00C7008C">
      <w:pPr>
        <w:keepNext/>
        <w:keepLines/>
        <w:rPr>
          <w:rFonts w:cs="Arial"/>
          <w:sz w:val="22"/>
          <w:szCs w:val="22"/>
        </w:rPr>
      </w:pPr>
    </w:p>
    <w:p w:rsidR="00C7008C" w:rsidRPr="00C7008C" w:rsidRDefault="00C7008C" w:rsidP="00C7008C">
      <w:pPr>
        <w:keepNext/>
        <w:keepLines/>
        <w:rPr>
          <w:rFonts w:cs="Arial"/>
          <w:sz w:val="22"/>
          <w:szCs w:val="22"/>
        </w:rPr>
      </w:pPr>
      <w:r w:rsidRPr="00C7008C">
        <w:rPr>
          <w:rFonts w:cs="Arial"/>
          <w:sz w:val="22"/>
          <w:szCs w:val="22"/>
        </w:rPr>
        <w:t>BUDGET AND ACTUAL EXPENDITURE</w:t>
      </w:r>
    </w:p>
    <w:p w:rsidR="00C7008C" w:rsidRPr="00C7008C" w:rsidRDefault="00C7008C" w:rsidP="00C7008C">
      <w:pPr>
        <w:keepNext/>
        <w:keepLines/>
        <w:rPr>
          <w:rFonts w:cs="Arial"/>
          <w:szCs w:val="20"/>
        </w:rPr>
      </w:pPr>
    </w:p>
    <w:p w:rsidR="00C7008C" w:rsidRPr="00C7008C" w:rsidRDefault="00C7008C" w:rsidP="00C7008C">
      <w:pPr>
        <w:jc w:val="center"/>
        <w:rPr>
          <w:rFonts w:cs="Arial"/>
          <w:szCs w:val="20"/>
        </w:rPr>
      </w:pPr>
      <w:r w:rsidRPr="00C7008C">
        <w:rPr>
          <w:rFonts w:cs="Arial"/>
          <w:color w:val="000000"/>
          <w:szCs w:val="20"/>
        </w:rPr>
        <w:t xml:space="preserve">Budget and Actual Expenditure (by result) </w:t>
      </w:r>
    </w:p>
    <w:p w:rsidR="00C7008C" w:rsidRPr="00C7008C" w:rsidRDefault="00C7008C" w:rsidP="00C7008C">
      <w:pPr>
        <w:jc w:val="center"/>
        <w:rPr>
          <w:rFonts w:cs="Arial"/>
          <w:szCs w:val="20"/>
        </w:rPr>
      </w:pPr>
      <w:r w:rsidRPr="00C7008C">
        <w:rPr>
          <w:rFonts w:cs="Arial"/>
          <w:i/>
          <w:iCs/>
          <w:color w:val="000000"/>
          <w:szCs w:val="20"/>
        </w:rPr>
        <w:t>(</w:t>
      </w:r>
      <w:proofErr w:type="gramStart"/>
      <w:r w:rsidRPr="00C7008C">
        <w:rPr>
          <w:rFonts w:cs="Arial"/>
          <w:i/>
          <w:iCs/>
          <w:color w:val="000000"/>
          <w:szCs w:val="20"/>
        </w:rPr>
        <w:t>in</w:t>
      </w:r>
      <w:proofErr w:type="gramEnd"/>
      <w:r w:rsidRPr="00C7008C">
        <w:rPr>
          <w:rFonts w:cs="Arial"/>
          <w:i/>
          <w:iCs/>
          <w:color w:val="000000"/>
          <w:szCs w:val="20"/>
        </w:rPr>
        <w:t xml:space="preserve"> thousands of Swiss francs)</w:t>
      </w:r>
    </w:p>
    <w:p w:rsidR="00C7008C" w:rsidRPr="00C7008C" w:rsidRDefault="00C7008C" w:rsidP="00C7008C">
      <w:pPr>
        <w:keepNext/>
        <w:keepLines/>
        <w:rPr>
          <w:rFonts w:cs="Arial"/>
          <w:szCs w:val="20"/>
        </w:rPr>
      </w:pPr>
    </w:p>
    <w:tbl>
      <w:tblPr>
        <w:tblW w:w="0" w:type="auto"/>
        <w:tblInd w:w="103" w:type="dxa"/>
        <w:tblLook w:val="04A0" w:firstRow="1" w:lastRow="0" w:firstColumn="1" w:lastColumn="0" w:noHBand="0" w:noVBand="1"/>
      </w:tblPr>
      <w:tblGrid>
        <w:gridCol w:w="501"/>
        <w:gridCol w:w="4324"/>
        <w:gridCol w:w="1507"/>
        <w:gridCol w:w="1507"/>
        <w:gridCol w:w="1507"/>
      </w:tblGrid>
      <w:tr w:rsidR="00C7008C" w:rsidRPr="00C7008C" w:rsidTr="00C7008C">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Expected Result No. and Description</w:t>
            </w:r>
          </w:p>
        </w:tc>
        <w:tc>
          <w:tcPr>
            <w:tcW w:w="1507" w:type="dxa"/>
            <w:tcBorders>
              <w:top w:val="single" w:sz="4" w:space="0" w:color="auto"/>
              <w:left w:val="nil"/>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2012/13 Approved Budget</w:t>
            </w:r>
          </w:p>
        </w:tc>
        <w:tc>
          <w:tcPr>
            <w:tcW w:w="1507" w:type="dxa"/>
            <w:tcBorders>
              <w:top w:val="single" w:sz="4" w:space="0" w:color="auto"/>
              <w:left w:val="nil"/>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 xml:space="preserve">2012/13 Budget </w:t>
            </w:r>
            <w:r w:rsidRPr="00C7008C">
              <w:rPr>
                <w:rFonts w:cs="Arial"/>
                <w:bCs/>
                <w:color w:val="000000"/>
                <w:sz w:val="16"/>
                <w:szCs w:val="16"/>
              </w:rPr>
              <w:br/>
              <w:t>After Transfers</w:t>
            </w:r>
          </w:p>
        </w:tc>
        <w:tc>
          <w:tcPr>
            <w:tcW w:w="1507" w:type="dxa"/>
            <w:tcBorders>
              <w:top w:val="single" w:sz="4" w:space="0" w:color="auto"/>
              <w:left w:val="nil"/>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 xml:space="preserve">2012/13 </w:t>
            </w:r>
            <w:r w:rsidRPr="00C7008C">
              <w:rPr>
                <w:rFonts w:cs="Arial"/>
                <w:bCs/>
                <w:color w:val="000000"/>
                <w:sz w:val="16"/>
                <w:szCs w:val="16"/>
              </w:rPr>
              <w:br/>
              <w:t>Expenditure</w:t>
            </w:r>
          </w:p>
        </w:tc>
      </w:tr>
      <w:tr w:rsidR="00C7008C" w:rsidRPr="00C7008C" w:rsidTr="00C7008C">
        <w:tc>
          <w:tcPr>
            <w:tcW w:w="501" w:type="dxa"/>
            <w:tcBorders>
              <w:top w:val="nil"/>
              <w:left w:val="single" w:sz="4" w:space="0" w:color="auto"/>
              <w:bottom w:val="single" w:sz="4" w:space="0" w:color="auto"/>
              <w:right w:val="nil"/>
            </w:tcBorders>
            <w:shd w:val="clear" w:color="000000" w:fill="FFFFFF"/>
            <w:noWrap/>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IX.1</w:t>
            </w:r>
          </w:p>
        </w:tc>
        <w:tc>
          <w:tcPr>
            <w:tcW w:w="4324" w:type="dxa"/>
            <w:tcBorders>
              <w:top w:val="nil"/>
              <w:left w:val="nil"/>
              <w:bottom w:val="single" w:sz="4" w:space="0" w:color="auto"/>
              <w:right w:val="nil"/>
            </w:tcBorders>
            <w:shd w:val="clear" w:color="000000" w:fill="FFFFFF"/>
            <w:hideMark/>
          </w:tcPr>
          <w:p w:rsidR="00C7008C" w:rsidRPr="00C7008C" w:rsidRDefault="00C7008C" w:rsidP="00C7008C">
            <w:pPr>
              <w:spacing w:before="120" w:after="120"/>
              <w:rPr>
                <w:rFonts w:cs="Arial"/>
                <w:color w:val="000000"/>
                <w:sz w:val="16"/>
                <w:szCs w:val="16"/>
              </w:rPr>
            </w:pPr>
            <w:r w:rsidRPr="00C7008C">
              <w:rPr>
                <w:rFonts w:cs="Arial"/>
                <w:color w:val="000000"/>
                <w:sz w:val="16"/>
                <w:szCs w:val="16"/>
              </w:rPr>
              <w:t>Effective, efficient, quality and customer-oriented support services both to internal clients and to external stakeholders (human resources, IT, conference, language, procurement, travel, printing and publication, premises management)</w:t>
            </w:r>
          </w:p>
        </w:tc>
        <w:tc>
          <w:tcPr>
            <w:tcW w:w="1507" w:type="dxa"/>
            <w:tcBorders>
              <w:top w:val="nil"/>
              <w:left w:val="nil"/>
              <w:bottom w:val="nil"/>
              <w:right w:val="nil"/>
            </w:tcBorders>
            <w:shd w:val="clear" w:color="000000" w:fill="FFFFFF"/>
            <w:vAlign w:val="center"/>
            <w:hideMark/>
          </w:tcPr>
          <w:p w:rsidR="00C7008C" w:rsidRPr="00C7008C" w:rsidRDefault="00C7008C" w:rsidP="00C7008C">
            <w:pPr>
              <w:spacing w:before="120" w:after="120"/>
              <w:jc w:val="right"/>
              <w:rPr>
                <w:rFonts w:cs="Arial"/>
                <w:color w:val="000000"/>
                <w:sz w:val="16"/>
                <w:szCs w:val="16"/>
              </w:rPr>
            </w:pPr>
            <w:r w:rsidRPr="00C7008C">
              <w:rPr>
                <w:rFonts w:cs="Arial"/>
                <w:color w:val="000000"/>
                <w:sz w:val="16"/>
                <w:szCs w:val="16"/>
              </w:rPr>
              <w:t xml:space="preserve">37,240 </w:t>
            </w:r>
          </w:p>
        </w:tc>
        <w:tc>
          <w:tcPr>
            <w:tcW w:w="1507" w:type="dxa"/>
            <w:tcBorders>
              <w:top w:val="nil"/>
              <w:left w:val="nil"/>
              <w:bottom w:val="nil"/>
              <w:right w:val="nil"/>
            </w:tcBorders>
            <w:shd w:val="clear" w:color="000000" w:fill="FFFFFF"/>
            <w:vAlign w:val="center"/>
            <w:hideMark/>
          </w:tcPr>
          <w:p w:rsidR="00C7008C" w:rsidRPr="00C7008C" w:rsidRDefault="00C7008C" w:rsidP="00C7008C">
            <w:pPr>
              <w:spacing w:before="120" w:after="120"/>
              <w:jc w:val="right"/>
              <w:rPr>
                <w:rFonts w:cs="Arial"/>
                <w:color w:val="000000"/>
                <w:sz w:val="16"/>
                <w:szCs w:val="16"/>
              </w:rPr>
            </w:pPr>
            <w:r w:rsidRPr="00C7008C">
              <w:rPr>
                <w:rFonts w:cs="Arial"/>
                <w:color w:val="000000"/>
                <w:sz w:val="16"/>
                <w:szCs w:val="16"/>
              </w:rPr>
              <w:t xml:space="preserve">37,706 </w:t>
            </w:r>
          </w:p>
        </w:tc>
        <w:tc>
          <w:tcPr>
            <w:tcW w:w="1507" w:type="dxa"/>
            <w:tcBorders>
              <w:top w:val="nil"/>
              <w:left w:val="nil"/>
              <w:bottom w:val="nil"/>
              <w:right w:val="single" w:sz="4" w:space="0" w:color="auto"/>
            </w:tcBorders>
            <w:shd w:val="clear" w:color="000000" w:fill="FFFFFF"/>
            <w:vAlign w:val="center"/>
            <w:hideMark/>
          </w:tcPr>
          <w:p w:rsidR="00C7008C" w:rsidRPr="00C7008C" w:rsidRDefault="00C7008C" w:rsidP="00C7008C">
            <w:pPr>
              <w:spacing w:before="120" w:after="120"/>
              <w:jc w:val="right"/>
              <w:rPr>
                <w:rFonts w:cs="Arial"/>
                <w:color w:val="000000"/>
                <w:sz w:val="16"/>
                <w:szCs w:val="16"/>
              </w:rPr>
            </w:pPr>
            <w:r w:rsidRPr="00C7008C">
              <w:rPr>
                <w:rFonts w:cs="Arial"/>
                <w:color w:val="000000"/>
                <w:sz w:val="16"/>
                <w:szCs w:val="16"/>
              </w:rPr>
              <w:t xml:space="preserve">37,079 </w:t>
            </w:r>
          </w:p>
        </w:tc>
      </w:tr>
      <w:tr w:rsidR="00C7008C" w:rsidRPr="00C7008C" w:rsidTr="00C7008C">
        <w:tc>
          <w:tcPr>
            <w:tcW w:w="501" w:type="dxa"/>
            <w:tcBorders>
              <w:top w:val="nil"/>
              <w:left w:val="single" w:sz="4" w:space="0" w:color="auto"/>
              <w:bottom w:val="single" w:sz="4" w:space="0" w:color="auto"/>
              <w:right w:val="nil"/>
            </w:tcBorders>
            <w:shd w:val="clear" w:color="000000" w:fill="CCFFFF"/>
            <w:noWrap/>
            <w:vAlign w:val="bottom"/>
            <w:hideMark/>
          </w:tcPr>
          <w:p w:rsidR="00C7008C" w:rsidRPr="00C7008C" w:rsidRDefault="00C7008C" w:rsidP="00C7008C">
            <w:pPr>
              <w:spacing w:before="120" w:after="120"/>
              <w:jc w:val="center"/>
              <w:rPr>
                <w:rFonts w:cs="Arial"/>
                <w:b/>
                <w:bCs/>
                <w:color w:val="000000"/>
                <w:sz w:val="16"/>
                <w:szCs w:val="16"/>
              </w:rPr>
            </w:pPr>
            <w:r w:rsidRPr="00C7008C">
              <w:rPr>
                <w:rFonts w:cs="Arial"/>
                <w:b/>
                <w:bCs/>
                <w:color w:val="000000"/>
                <w:sz w:val="16"/>
                <w:szCs w:val="16"/>
              </w:rPr>
              <w:t> </w:t>
            </w:r>
          </w:p>
        </w:tc>
        <w:tc>
          <w:tcPr>
            <w:tcW w:w="4324" w:type="dxa"/>
            <w:tcBorders>
              <w:top w:val="nil"/>
              <w:left w:val="nil"/>
              <w:bottom w:val="single" w:sz="4" w:space="0" w:color="auto"/>
              <w:right w:val="nil"/>
            </w:tcBorders>
            <w:shd w:val="clear" w:color="000000" w:fill="CCFFFF"/>
            <w:noWrap/>
            <w:vAlign w:val="center"/>
            <w:hideMark/>
          </w:tcPr>
          <w:p w:rsidR="00C7008C" w:rsidRPr="00C7008C" w:rsidRDefault="00C7008C" w:rsidP="00C7008C">
            <w:pPr>
              <w:spacing w:before="120" w:after="120"/>
              <w:rPr>
                <w:rFonts w:cs="Arial"/>
                <w:b/>
                <w:bCs/>
                <w:color w:val="000000"/>
                <w:sz w:val="16"/>
                <w:szCs w:val="16"/>
              </w:rPr>
            </w:pPr>
            <w:r w:rsidRPr="00C7008C">
              <w:rPr>
                <w:rFonts w:cs="Arial"/>
                <w:b/>
                <w:bCs/>
                <w:color w:val="000000"/>
                <w:sz w:val="16"/>
                <w:szCs w:val="16"/>
              </w:rPr>
              <w:t>Total</w:t>
            </w:r>
          </w:p>
        </w:tc>
        <w:tc>
          <w:tcPr>
            <w:tcW w:w="1507"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right"/>
              <w:rPr>
                <w:rFonts w:cs="Arial"/>
                <w:b/>
                <w:bCs/>
                <w:color w:val="000000"/>
                <w:sz w:val="16"/>
                <w:szCs w:val="16"/>
              </w:rPr>
            </w:pPr>
            <w:r w:rsidRPr="00C7008C">
              <w:rPr>
                <w:rFonts w:cs="Arial"/>
                <w:b/>
                <w:bCs/>
                <w:color w:val="000000"/>
                <w:sz w:val="16"/>
                <w:szCs w:val="16"/>
              </w:rPr>
              <w:t>37,240</w:t>
            </w:r>
          </w:p>
        </w:tc>
        <w:tc>
          <w:tcPr>
            <w:tcW w:w="1507" w:type="dxa"/>
            <w:tcBorders>
              <w:top w:val="single" w:sz="4" w:space="0" w:color="auto"/>
              <w:left w:val="nil"/>
              <w:bottom w:val="single" w:sz="4" w:space="0" w:color="auto"/>
              <w:right w:val="single" w:sz="4" w:space="0" w:color="auto"/>
            </w:tcBorders>
            <w:shd w:val="clear" w:color="000000" w:fill="CCFFFF"/>
            <w:noWrap/>
            <w:vAlign w:val="center"/>
            <w:hideMark/>
          </w:tcPr>
          <w:p w:rsidR="00C7008C" w:rsidRPr="00C7008C" w:rsidRDefault="00C7008C" w:rsidP="00C7008C">
            <w:pPr>
              <w:spacing w:before="120" w:after="120"/>
              <w:jc w:val="right"/>
              <w:rPr>
                <w:rFonts w:cs="Arial"/>
                <w:b/>
                <w:bCs/>
                <w:color w:val="000000"/>
                <w:sz w:val="16"/>
                <w:szCs w:val="16"/>
              </w:rPr>
            </w:pPr>
            <w:r w:rsidRPr="00C7008C">
              <w:rPr>
                <w:rFonts w:cs="Arial"/>
                <w:b/>
                <w:bCs/>
                <w:color w:val="000000"/>
                <w:sz w:val="16"/>
                <w:szCs w:val="16"/>
              </w:rPr>
              <w:t>37,706</w:t>
            </w:r>
          </w:p>
        </w:tc>
        <w:tc>
          <w:tcPr>
            <w:tcW w:w="1507" w:type="dxa"/>
            <w:tcBorders>
              <w:top w:val="single" w:sz="4" w:space="0" w:color="auto"/>
              <w:left w:val="nil"/>
              <w:bottom w:val="single" w:sz="4" w:space="0" w:color="auto"/>
              <w:right w:val="single" w:sz="4" w:space="0" w:color="auto"/>
            </w:tcBorders>
            <w:shd w:val="clear" w:color="000000" w:fill="CCFFFF"/>
            <w:vAlign w:val="center"/>
            <w:hideMark/>
          </w:tcPr>
          <w:p w:rsidR="00C7008C" w:rsidRPr="00C7008C" w:rsidRDefault="00C7008C" w:rsidP="00C7008C">
            <w:pPr>
              <w:spacing w:before="120" w:after="120"/>
              <w:jc w:val="right"/>
              <w:rPr>
                <w:rFonts w:cs="Arial"/>
                <w:b/>
                <w:bCs/>
                <w:color w:val="000000"/>
                <w:sz w:val="16"/>
                <w:szCs w:val="16"/>
              </w:rPr>
            </w:pPr>
            <w:r w:rsidRPr="00C7008C">
              <w:rPr>
                <w:rFonts w:cs="Arial"/>
                <w:b/>
                <w:bCs/>
                <w:color w:val="000000"/>
                <w:sz w:val="16"/>
                <w:szCs w:val="16"/>
              </w:rPr>
              <w:t>37,079</w:t>
            </w:r>
          </w:p>
        </w:tc>
      </w:tr>
    </w:tbl>
    <w:p w:rsidR="00C7008C" w:rsidRPr="00C7008C" w:rsidRDefault="00C7008C" w:rsidP="00C7008C">
      <w:pPr>
        <w:keepNext/>
        <w:keepLines/>
        <w:rPr>
          <w:rFonts w:cs="Arial"/>
          <w:szCs w:val="20"/>
        </w:rPr>
      </w:pPr>
    </w:p>
    <w:p w:rsidR="00C7008C" w:rsidRPr="00C7008C" w:rsidRDefault="00C7008C" w:rsidP="00C7008C">
      <w:pPr>
        <w:jc w:val="center"/>
        <w:rPr>
          <w:rFonts w:cs="Arial"/>
          <w:szCs w:val="20"/>
        </w:rPr>
      </w:pPr>
      <w:r w:rsidRPr="00C7008C">
        <w:rPr>
          <w:rFonts w:cs="Arial"/>
          <w:color w:val="000000"/>
          <w:szCs w:val="20"/>
        </w:rPr>
        <w:t xml:space="preserve">Budget and Actual Expenditure (personnel and non-personnel) </w:t>
      </w:r>
    </w:p>
    <w:p w:rsidR="00C7008C" w:rsidRPr="00C7008C" w:rsidRDefault="00C7008C" w:rsidP="00C7008C">
      <w:pPr>
        <w:jc w:val="center"/>
        <w:rPr>
          <w:rFonts w:cs="Arial"/>
          <w:i/>
          <w:iCs/>
          <w:color w:val="000000"/>
          <w:szCs w:val="20"/>
        </w:rPr>
      </w:pPr>
      <w:r w:rsidRPr="00C7008C">
        <w:rPr>
          <w:rFonts w:cs="Arial"/>
          <w:i/>
          <w:iCs/>
          <w:color w:val="000000"/>
          <w:szCs w:val="20"/>
        </w:rPr>
        <w:t>(</w:t>
      </w:r>
      <w:proofErr w:type="gramStart"/>
      <w:r w:rsidRPr="00C7008C">
        <w:rPr>
          <w:rFonts w:cs="Arial"/>
          <w:i/>
          <w:iCs/>
          <w:color w:val="000000"/>
          <w:szCs w:val="20"/>
        </w:rPr>
        <w:t>in</w:t>
      </w:r>
      <w:proofErr w:type="gramEnd"/>
      <w:r w:rsidRPr="00C7008C">
        <w:rPr>
          <w:rFonts w:cs="Arial"/>
          <w:i/>
          <w:iCs/>
          <w:color w:val="000000"/>
          <w:szCs w:val="20"/>
        </w:rPr>
        <w:t xml:space="preserve"> thousands of Swiss francs)</w:t>
      </w:r>
    </w:p>
    <w:p w:rsidR="00C7008C" w:rsidRPr="00C7008C" w:rsidRDefault="00C7008C" w:rsidP="00C7008C">
      <w:pPr>
        <w:jc w:val="center"/>
        <w:rPr>
          <w:rFonts w:cs="Arial"/>
          <w:szCs w:val="20"/>
        </w:rPr>
      </w:pPr>
    </w:p>
    <w:tbl>
      <w:tblPr>
        <w:tblW w:w="0" w:type="auto"/>
        <w:tblInd w:w="93" w:type="dxa"/>
        <w:tblLook w:val="04A0" w:firstRow="1" w:lastRow="0" w:firstColumn="1" w:lastColumn="0" w:noHBand="0" w:noVBand="1"/>
      </w:tblPr>
      <w:tblGrid>
        <w:gridCol w:w="2567"/>
        <w:gridCol w:w="1701"/>
        <w:gridCol w:w="1701"/>
        <w:gridCol w:w="1701"/>
        <w:gridCol w:w="1701"/>
      </w:tblGrid>
      <w:tr w:rsidR="00C7008C" w:rsidRPr="00C7008C" w:rsidTr="00C7008C">
        <w:tc>
          <w:tcPr>
            <w:tcW w:w="2567"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C7008C" w:rsidRPr="00C7008C" w:rsidRDefault="00C7008C" w:rsidP="00C7008C">
            <w:pPr>
              <w:spacing w:before="120" w:after="120"/>
              <w:rPr>
                <w:rFonts w:cs="Arial"/>
                <w:color w:val="000000"/>
                <w:sz w:val="16"/>
                <w:szCs w:val="16"/>
              </w:rPr>
            </w:pPr>
            <w:r w:rsidRPr="00C7008C">
              <w:rPr>
                <w:rFonts w:cs="Arial"/>
                <w:color w:val="000000"/>
                <w:sz w:val="16"/>
                <w:szCs w:val="16"/>
              </w:rPr>
              <w:t> </w:t>
            </w:r>
          </w:p>
        </w:tc>
        <w:tc>
          <w:tcPr>
            <w:tcW w:w="1701" w:type="dxa"/>
            <w:tcBorders>
              <w:top w:val="single" w:sz="4" w:space="0" w:color="auto"/>
              <w:left w:val="nil"/>
              <w:bottom w:val="nil"/>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Approved Budget 2012/13</w:t>
            </w:r>
          </w:p>
        </w:tc>
        <w:tc>
          <w:tcPr>
            <w:tcW w:w="1701" w:type="dxa"/>
            <w:tcBorders>
              <w:top w:val="single" w:sz="4" w:space="0" w:color="auto"/>
              <w:left w:val="nil"/>
              <w:bottom w:val="nil"/>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Budget after transfers 2012/13</w:t>
            </w:r>
          </w:p>
        </w:tc>
        <w:tc>
          <w:tcPr>
            <w:tcW w:w="1701" w:type="dxa"/>
            <w:tcBorders>
              <w:top w:val="single" w:sz="4" w:space="0" w:color="auto"/>
              <w:left w:val="nil"/>
              <w:bottom w:val="nil"/>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Expenditures 2012/13</w:t>
            </w:r>
          </w:p>
        </w:tc>
        <w:tc>
          <w:tcPr>
            <w:tcW w:w="1701" w:type="dxa"/>
            <w:tcBorders>
              <w:top w:val="single" w:sz="4" w:space="0" w:color="auto"/>
              <w:left w:val="nil"/>
              <w:bottom w:val="nil"/>
              <w:right w:val="single" w:sz="4" w:space="0" w:color="auto"/>
            </w:tcBorders>
            <w:shd w:val="clear" w:color="000000" w:fill="CCFFFF"/>
            <w:vAlign w:val="center"/>
            <w:hideMark/>
          </w:tcPr>
          <w:p w:rsidR="00C7008C" w:rsidRPr="00C7008C" w:rsidRDefault="00C7008C" w:rsidP="00C7008C">
            <w:pPr>
              <w:spacing w:before="120" w:after="120"/>
              <w:jc w:val="center"/>
              <w:rPr>
                <w:rFonts w:cs="Arial"/>
                <w:bCs/>
                <w:color w:val="000000"/>
                <w:sz w:val="16"/>
                <w:szCs w:val="16"/>
              </w:rPr>
            </w:pPr>
            <w:r w:rsidRPr="00C7008C">
              <w:rPr>
                <w:rFonts w:cs="Arial"/>
                <w:bCs/>
                <w:color w:val="000000"/>
                <w:sz w:val="16"/>
                <w:szCs w:val="16"/>
              </w:rPr>
              <w:t>Utilization rate (%)</w:t>
            </w:r>
          </w:p>
        </w:tc>
      </w:tr>
      <w:tr w:rsidR="00C7008C" w:rsidRPr="00C7008C" w:rsidTr="00C7008C">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C7008C" w:rsidRPr="00C7008C" w:rsidRDefault="00C7008C" w:rsidP="00C7008C">
            <w:pPr>
              <w:spacing w:before="120" w:after="120"/>
              <w:rPr>
                <w:rFonts w:cs="Arial"/>
                <w:color w:val="000000"/>
                <w:sz w:val="16"/>
                <w:szCs w:val="16"/>
              </w:rPr>
            </w:pPr>
            <w:r w:rsidRPr="00C7008C">
              <w:rPr>
                <w:rFonts w:cs="Arial"/>
                <w:color w:val="000000"/>
                <w:sz w:val="16"/>
                <w:szCs w:val="16"/>
              </w:rPr>
              <w:t xml:space="preserve"> Personnel Resources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28,090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28,022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28,022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100%</w:t>
            </w:r>
          </w:p>
        </w:tc>
      </w:tr>
      <w:tr w:rsidR="00C7008C" w:rsidRPr="00C7008C" w:rsidTr="00C7008C">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C7008C" w:rsidRPr="00C7008C" w:rsidRDefault="00C7008C" w:rsidP="00C7008C">
            <w:pPr>
              <w:spacing w:before="120" w:after="120"/>
              <w:rPr>
                <w:rFonts w:cs="Arial"/>
                <w:color w:val="000000"/>
                <w:sz w:val="16"/>
                <w:szCs w:val="16"/>
              </w:rPr>
            </w:pPr>
            <w:r w:rsidRPr="00C7008C">
              <w:rPr>
                <w:rFonts w:cs="Arial"/>
                <w:color w:val="000000"/>
                <w:sz w:val="16"/>
                <w:szCs w:val="16"/>
              </w:rPr>
              <w:t xml:space="preserve"> Non-personnel Resources </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9,150</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9,684</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9,057</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color w:val="000000"/>
                <w:sz w:val="16"/>
                <w:szCs w:val="16"/>
              </w:rPr>
            </w:pPr>
            <w:r w:rsidRPr="00C7008C">
              <w:rPr>
                <w:rFonts w:cs="Arial"/>
                <w:color w:val="000000"/>
                <w:sz w:val="16"/>
                <w:szCs w:val="16"/>
              </w:rPr>
              <w:t>94%</w:t>
            </w:r>
          </w:p>
        </w:tc>
      </w:tr>
      <w:tr w:rsidR="00C7008C" w:rsidRPr="00C7008C" w:rsidTr="00C7008C">
        <w:tc>
          <w:tcPr>
            <w:tcW w:w="2567" w:type="dxa"/>
            <w:tcBorders>
              <w:top w:val="nil"/>
              <w:left w:val="single" w:sz="4" w:space="0" w:color="auto"/>
              <w:bottom w:val="single" w:sz="4" w:space="0" w:color="auto"/>
              <w:right w:val="single" w:sz="4" w:space="0" w:color="auto"/>
            </w:tcBorders>
            <w:shd w:val="clear" w:color="auto" w:fill="auto"/>
            <w:noWrap/>
            <w:vAlign w:val="center"/>
            <w:hideMark/>
          </w:tcPr>
          <w:p w:rsidR="00C7008C" w:rsidRPr="00C7008C" w:rsidRDefault="00C7008C" w:rsidP="00C7008C">
            <w:pPr>
              <w:spacing w:before="120" w:after="120"/>
              <w:jc w:val="right"/>
              <w:rPr>
                <w:rFonts w:cs="Arial"/>
                <w:b/>
                <w:bCs/>
                <w:color w:val="000000"/>
                <w:sz w:val="16"/>
                <w:szCs w:val="16"/>
              </w:rPr>
            </w:pPr>
            <w:r w:rsidRPr="00C7008C">
              <w:rPr>
                <w:rFonts w:cs="Arial"/>
                <w:b/>
                <w:bCs/>
                <w:color w:val="000000"/>
                <w:sz w:val="16"/>
                <w:szCs w:val="16"/>
              </w:rPr>
              <w:t xml:space="preserve"> TOTAL </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b/>
                <w:bCs/>
                <w:color w:val="000000"/>
                <w:sz w:val="16"/>
                <w:szCs w:val="16"/>
              </w:rPr>
            </w:pPr>
            <w:r w:rsidRPr="00C7008C">
              <w:rPr>
                <w:rFonts w:cs="Arial"/>
                <w:b/>
                <w:bCs/>
                <w:color w:val="000000"/>
                <w:sz w:val="16"/>
                <w:szCs w:val="16"/>
              </w:rPr>
              <w:t>37,240</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b/>
                <w:color w:val="000000"/>
                <w:sz w:val="16"/>
                <w:szCs w:val="16"/>
              </w:rPr>
            </w:pPr>
            <w:r w:rsidRPr="00C7008C">
              <w:rPr>
                <w:rFonts w:cs="Arial"/>
                <w:b/>
                <w:color w:val="000000"/>
                <w:sz w:val="16"/>
                <w:szCs w:val="16"/>
              </w:rPr>
              <w:t>37,706</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b/>
                <w:color w:val="000000"/>
                <w:sz w:val="16"/>
                <w:szCs w:val="16"/>
              </w:rPr>
            </w:pPr>
            <w:r w:rsidRPr="00C7008C">
              <w:rPr>
                <w:rFonts w:cs="Arial"/>
                <w:b/>
                <w:color w:val="000000"/>
                <w:sz w:val="16"/>
                <w:szCs w:val="16"/>
              </w:rPr>
              <w:t>37,079</w:t>
            </w:r>
          </w:p>
        </w:tc>
        <w:tc>
          <w:tcPr>
            <w:tcW w:w="1701" w:type="dxa"/>
            <w:tcBorders>
              <w:top w:val="nil"/>
              <w:left w:val="nil"/>
              <w:bottom w:val="single" w:sz="4" w:space="0" w:color="auto"/>
              <w:right w:val="single" w:sz="4" w:space="0" w:color="auto"/>
            </w:tcBorders>
            <w:shd w:val="clear" w:color="auto" w:fill="auto"/>
            <w:vAlign w:val="center"/>
            <w:hideMark/>
          </w:tcPr>
          <w:p w:rsidR="00C7008C" w:rsidRPr="00C7008C" w:rsidRDefault="00C7008C" w:rsidP="00C7008C">
            <w:pPr>
              <w:spacing w:before="120" w:after="120"/>
              <w:jc w:val="center"/>
              <w:rPr>
                <w:rFonts w:cs="Arial"/>
                <w:b/>
                <w:color w:val="000000"/>
                <w:sz w:val="16"/>
                <w:szCs w:val="16"/>
              </w:rPr>
            </w:pPr>
            <w:r w:rsidRPr="00C7008C">
              <w:rPr>
                <w:rFonts w:cs="Arial"/>
                <w:b/>
                <w:color w:val="000000"/>
                <w:sz w:val="16"/>
                <w:szCs w:val="16"/>
              </w:rPr>
              <w:t>98%</w:t>
            </w:r>
          </w:p>
        </w:tc>
      </w:tr>
    </w:tbl>
    <w:p w:rsidR="00C7008C" w:rsidRPr="00C7008C" w:rsidRDefault="00C7008C" w:rsidP="00C7008C">
      <w:pPr>
        <w:keepNext/>
        <w:keepLines/>
        <w:rPr>
          <w:rFonts w:cs="Arial"/>
          <w:sz w:val="22"/>
          <w:szCs w:val="22"/>
        </w:rPr>
      </w:pPr>
    </w:p>
    <w:p w:rsidR="00C7008C" w:rsidRPr="00C7008C" w:rsidRDefault="00C7008C" w:rsidP="00C7008C">
      <w:pPr>
        <w:keepNext/>
        <w:autoSpaceDE w:val="0"/>
        <w:autoSpaceDN w:val="0"/>
        <w:rPr>
          <w:rFonts w:cs="Arial"/>
          <w:sz w:val="16"/>
          <w:szCs w:val="16"/>
        </w:rPr>
      </w:pPr>
      <w:r w:rsidRPr="00C7008C">
        <w:rPr>
          <w:rFonts w:cs="Arial"/>
          <w:sz w:val="16"/>
          <w:szCs w:val="16"/>
        </w:rPr>
        <w:t>NOTES:</w:t>
      </w:r>
    </w:p>
    <w:p w:rsidR="00C7008C" w:rsidRPr="00C7008C" w:rsidRDefault="00C7008C" w:rsidP="00C7008C">
      <w:pPr>
        <w:keepNext/>
        <w:autoSpaceDE w:val="0"/>
        <w:autoSpaceDN w:val="0"/>
        <w:rPr>
          <w:rFonts w:cs="Arial"/>
          <w:sz w:val="16"/>
          <w:szCs w:val="16"/>
        </w:rPr>
      </w:pPr>
    </w:p>
    <w:p w:rsidR="00C7008C" w:rsidRDefault="00C7008C" w:rsidP="00C7008C">
      <w:pPr>
        <w:keepNext/>
        <w:autoSpaceDE w:val="0"/>
        <w:autoSpaceDN w:val="0"/>
        <w:rPr>
          <w:rFonts w:cs="Arial"/>
          <w:sz w:val="16"/>
          <w:szCs w:val="16"/>
        </w:rPr>
      </w:pPr>
      <w:r w:rsidRPr="00C7008C">
        <w:rPr>
          <w:rFonts w:cs="Arial"/>
          <w:sz w:val="16"/>
          <w:szCs w:val="16"/>
        </w:rPr>
        <w:t>(1)  Budget after transfers reflects the adjusted budget of Programs, following transfers during 2012/13 in line with Financial Regulation 5.5.</w:t>
      </w:r>
    </w:p>
    <w:p w:rsidR="00C7008C" w:rsidRPr="00C7008C" w:rsidRDefault="00C7008C" w:rsidP="00C7008C">
      <w:pPr>
        <w:keepNext/>
        <w:autoSpaceDE w:val="0"/>
        <w:autoSpaceDN w:val="0"/>
        <w:rPr>
          <w:rFonts w:cs="Arial"/>
          <w:sz w:val="16"/>
          <w:szCs w:val="16"/>
        </w:rPr>
      </w:pPr>
    </w:p>
    <w:p w:rsidR="00C7008C" w:rsidRPr="00C7008C" w:rsidRDefault="00C7008C" w:rsidP="00C7008C">
      <w:pPr>
        <w:keepNext/>
        <w:autoSpaceDE w:val="0"/>
        <w:autoSpaceDN w:val="0"/>
        <w:rPr>
          <w:rFonts w:cs="Arial"/>
          <w:sz w:val="16"/>
          <w:szCs w:val="16"/>
        </w:rPr>
      </w:pPr>
      <w:r w:rsidRPr="00C7008C" w:rsidDel="009B5D72">
        <w:rPr>
          <w:rFonts w:cs="Arial"/>
          <w:sz w:val="16"/>
          <w:szCs w:val="16"/>
        </w:rPr>
        <w:t xml:space="preserve"> </w:t>
      </w:r>
      <w:r w:rsidR="00DC2CFA">
        <w:rPr>
          <w:rFonts w:cs="Arial"/>
          <w:sz w:val="16"/>
          <w:szCs w:val="16"/>
        </w:rPr>
        <w:t xml:space="preserve">(2)  The personnel allocation for the 2012/13 Budget after transfers represents actual expenditures incurred in the biennium. </w:t>
      </w:r>
      <w:r w:rsidRPr="00C7008C">
        <w:rPr>
          <w:rFonts w:cs="Arial"/>
          <w:sz w:val="16"/>
          <w:szCs w:val="16"/>
        </w:rPr>
        <w:t xml:space="preserve"> </w:t>
      </w:r>
    </w:p>
    <w:p w:rsidR="00C7008C" w:rsidRPr="00C7008C" w:rsidRDefault="00C7008C" w:rsidP="00C7008C">
      <w:pPr>
        <w:keepNext/>
        <w:keepLines/>
        <w:rPr>
          <w:rFonts w:cs="Arial"/>
          <w:sz w:val="22"/>
          <w:szCs w:val="22"/>
        </w:rPr>
      </w:pPr>
    </w:p>
    <w:p w:rsidR="00C7008C" w:rsidRPr="00C7008C" w:rsidRDefault="00C7008C" w:rsidP="003967D4">
      <w:pPr>
        <w:tabs>
          <w:tab w:val="left" w:pos="709"/>
        </w:tabs>
        <w:jc w:val="both"/>
        <w:rPr>
          <w:rFonts w:cs="Arial"/>
          <w:szCs w:val="20"/>
        </w:rPr>
      </w:pPr>
      <w:r w:rsidRPr="00C7008C">
        <w:rPr>
          <w:rFonts w:cs="Arial"/>
          <w:szCs w:val="20"/>
        </w:rPr>
        <w:t xml:space="preserve">A. </w:t>
      </w:r>
      <w:r w:rsidR="003967D4">
        <w:rPr>
          <w:rFonts w:cs="Arial"/>
          <w:szCs w:val="20"/>
        </w:rPr>
        <w:tab/>
      </w:r>
      <w:r w:rsidRPr="00C7008C">
        <w:rPr>
          <w:rFonts w:cs="Arial"/>
          <w:szCs w:val="20"/>
          <w:u w:val="single"/>
        </w:rPr>
        <w:t>Budget after Transfers 2012/13</w:t>
      </w:r>
    </w:p>
    <w:p w:rsidR="00C7008C" w:rsidRPr="00C7008C" w:rsidRDefault="00C7008C" w:rsidP="003967D4">
      <w:pPr>
        <w:tabs>
          <w:tab w:val="left" w:pos="709"/>
        </w:tabs>
        <w:jc w:val="both"/>
        <w:rPr>
          <w:rFonts w:cs="Arial"/>
          <w:szCs w:val="20"/>
        </w:rPr>
      </w:pPr>
    </w:p>
    <w:p w:rsidR="00C7008C" w:rsidRDefault="00C7008C" w:rsidP="003967D4">
      <w:pPr>
        <w:tabs>
          <w:tab w:val="left" w:pos="709"/>
        </w:tabs>
        <w:jc w:val="both"/>
        <w:rPr>
          <w:rFonts w:cs="Arial"/>
          <w:szCs w:val="20"/>
        </w:rPr>
      </w:pPr>
      <w:r w:rsidRPr="00C7008C">
        <w:rPr>
          <w:rFonts w:cs="Arial"/>
          <w:bCs/>
        </w:rPr>
        <w:t>27.11</w:t>
      </w:r>
      <w:r w:rsidR="005703CF">
        <w:rPr>
          <w:rFonts w:cs="Arial"/>
          <w:bCs/>
        </w:rPr>
        <w:t>.</w:t>
      </w:r>
      <w:r w:rsidRPr="00C7008C">
        <w:rPr>
          <w:rFonts w:cs="Arial"/>
          <w:bCs/>
        </w:rPr>
        <w:tab/>
      </w:r>
      <w:r w:rsidRPr="00C7008C">
        <w:rPr>
          <w:rFonts w:cs="Arial"/>
          <w:szCs w:val="20"/>
        </w:rPr>
        <w:t xml:space="preserve">The increase in the Budget after Transfers reflects net additional resources transferred to the Program for: </w:t>
      </w:r>
    </w:p>
    <w:p w:rsidR="008417B0" w:rsidRPr="00C7008C" w:rsidRDefault="008417B0" w:rsidP="003967D4">
      <w:pPr>
        <w:tabs>
          <w:tab w:val="left" w:pos="709"/>
        </w:tabs>
        <w:jc w:val="both"/>
        <w:rPr>
          <w:rFonts w:cs="Arial"/>
          <w:szCs w:val="20"/>
        </w:rPr>
      </w:pPr>
    </w:p>
    <w:p w:rsidR="00C7008C" w:rsidRDefault="00C7008C" w:rsidP="007B2B25">
      <w:pPr>
        <w:numPr>
          <w:ilvl w:val="0"/>
          <w:numId w:val="68"/>
        </w:numPr>
        <w:tabs>
          <w:tab w:val="left" w:pos="709"/>
        </w:tabs>
        <w:ind w:left="993" w:hanging="284"/>
        <w:jc w:val="both"/>
        <w:rPr>
          <w:rFonts w:cs="Arial"/>
          <w:szCs w:val="20"/>
        </w:rPr>
      </w:pPr>
      <w:r w:rsidRPr="00C7008C">
        <w:rPr>
          <w:rFonts w:cs="Arial"/>
          <w:szCs w:val="20"/>
        </w:rPr>
        <w:t xml:space="preserve">the implementation of the WIPO Language Policy, in particular to deal with the increase in the translation volumes as a result of the extended language coverage; </w:t>
      </w:r>
      <w:r w:rsidR="008417B0">
        <w:rPr>
          <w:rFonts w:cs="Arial"/>
          <w:szCs w:val="20"/>
        </w:rPr>
        <w:t xml:space="preserve"> </w:t>
      </w:r>
      <w:r w:rsidRPr="00C7008C">
        <w:rPr>
          <w:rFonts w:cs="Arial"/>
          <w:szCs w:val="20"/>
        </w:rPr>
        <w:t xml:space="preserve">and, </w:t>
      </w:r>
    </w:p>
    <w:p w:rsidR="00C7008C" w:rsidRPr="00C7008C" w:rsidRDefault="00C7008C" w:rsidP="007B2B25">
      <w:pPr>
        <w:numPr>
          <w:ilvl w:val="0"/>
          <w:numId w:val="68"/>
        </w:numPr>
        <w:tabs>
          <w:tab w:val="left" w:pos="709"/>
        </w:tabs>
        <w:ind w:left="993" w:hanging="284"/>
        <w:jc w:val="both"/>
        <w:rPr>
          <w:rFonts w:cs="Arial"/>
          <w:szCs w:val="20"/>
        </w:rPr>
      </w:pPr>
      <w:proofErr w:type="gramStart"/>
      <w:r w:rsidRPr="00C7008C">
        <w:rPr>
          <w:rFonts w:cs="Arial"/>
          <w:szCs w:val="20"/>
        </w:rPr>
        <w:t>the</w:t>
      </w:r>
      <w:proofErr w:type="gramEnd"/>
      <w:r w:rsidRPr="00C7008C">
        <w:rPr>
          <w:rFonts w:cs="Arial"/>
          <w:szCs w:val="20"/>
        </w:rPr>
        <w:t xml:space="preserve"> provision of interpretation services for the Extraordinary General Assembly in December 2013.  </w:t>
      </w:r>
    </w:p>
    <w:p w:rsidR="00C7008C" w:rsidRPr="00C7008C" w:rsidRDefault="00C7008C" w:rsidP="003967D4">
      <w:pPr>
        <w:tabs>
          <w:tab w:val="left" w:pos="709"/>
        </w:tabs>
        <w:jc w:val="both"/>
        <w:rPr>
          <w:rFonts w:cs="Arial"/>
          <w:szCs w:val="20"/>
        </w:rPr>
      </w:pPr>
    </w:p>
    <w:p w:rsidR="00C7008C" w:rsidRPr="00C7008C" w:rsidRDefault="00C7008C" w:rsidP="003967D4">
      <w:pPr>
        <w:tabs>
          <w:tab w:val="left" w:pos="709"/>
        </w:tabs>
        <w:jc w:val="both"/>
        <w:rPr>
          <w:rFonts w:cs="Arial"/>
          <w:szCs w:val="20"/>
        </w:rPr>
      </w:pPr>
      <w:r w:rsidRPr="00C7008C">
        <w:rPr>
          <w:rFonts w:cs="Arial"/>
          <w:szCs w:val="20"/>
        </w:rPr>
        <w:t>B</w:t>
      </w:r>
      <w:r w:rsidR="008417B0">
        <w:rPr>
          <w:rFonts w:cs="Arial"/>
          <w:szCs w:val="20"/>
        </w:rPr>
        <w:t>.</w:t>
      </w:r>
      <w:r w:rsidR="008417B0" w:rsidRPr="00C7008C">
        <w:rPr>
          <w:rFonts w:cs="Arial"/>
          <w:szCs w:val="20"/>
        </w:rPr>
        <w:t xml:space="preserve"> </w:t>
      </w:r>
      <w:r w:rsidR="003967D4">
        <w:rPr>
          <w:rFonts w:cs="Arial"/>
          <w:szCs w:val="20"/>
        </w:rPr>
        <w:tab/>
      </w:r>
      <w:r w:rsidR="003967D4">
        <w:rPr>
          <w:rFonts w:cs="Arial"/>
          <w:szCs w:val="20"/>
          <w:u w:val="single"/>
        </w:rPr>
        <w:t>Budget U</w:t>
      </w:r>
      <w:r w:rsidRPr="00C7008C">
        <w:rPr>
          <w:rFonts w:cs="Arial"/>
          <w:szCs w:val="20"/>
          <w:u w:val="single"/>
        </w:rPr>
        <w:t>tilization</w:t>
      </w:r>
      <w:r w:rsidR="003967D4">
        <w:rPr>
          <w:rFonts w:cs="Arial"/>
          <w:szCs w:val="20"/>
          <w:u w:val="single"/>
        </w:rPr>
        <w:t xml:space="preserve"> 2012/13</w:t>
      </w:r>
    </w:p>
    <w:p w:rsidR="00C7008C" w:rsidRPr="00C7008C" w:rsidRDefault="00C7008C" w:rsidP="003967D4">
      <w:pPr>
        <w:keepNext/>
        <w:keepLines/>
        <w:tabs>
          <w:tab w:val="left" w:pos="709"/>
        </w:tabs>
        <w:jc w:val="both"/>
        <w:rPr>
          <w:rFonts w:cs="Arial"/>
          <w:szCs w:val="20"/>
        </w:rPr>
      </w:pPr>
    </w:p>
    <w:p w:rsidR="00C7008C" w:rsidRPr="00C7008C" w:rsidRDefault="00C7008C" w:rsidP="003967D4">
      <w:pPr>
        <w:keepNext/>
        <w:keepLines/>
        <w:tabs>
          <w:tab w:val="left" w:pos="709"/>
        </w:tabs>
        <w:jc w:val="both"/>
        <w:rPr>
          <w:rFonts w:cs="Arial"/>
          <w:szCs w:val="20"/>
        </w:rPr>
      </w:pPr>
      <w:r w:rsidRPr="00C7008C">
        <w:rPr>
          <w:rFonts w:cs="Arial"/>
          <w:bCs/>
        </w:rPr>
        <w:t>27.12</w:t>
      </w:r>
      <w:r w:rsidR="005703CF">
        <w:rPr>
          <w:rFonts w:cs="Arial"/>
          <w:bCs/>
        </w:rPr>
        <w:t>.</w:t>
      </w:r>
      <w:r w:rsidRPr="00C7008C">
        <w:rPr>
          <w:rFonts w:cs="Arial"/>
          <w:bCs/>
        </w:rPr>
        <w:tab/>
      </w:r>
      <w:r w:rsidRPr="00C7008C">
        <w:rPr>
          <w:rFonts w:cs="Arial"/>
          <w:szCs w:val="20"/>
        </w:rPr>
        <w:t xml:space="preserve">The slight underutilization of resources in the biennium compared with the Budget after Transfer reflects a slower than anticipated development of IT translation tools, and costs savings in relation to mail expedition, printing services and records and archives management.   </w:t>
      </w:r>
    </w:p>
    <w:p w:rsidR="00C7008C" w:rsidRDefault="00C7008C">
      <w:pPr>
        <w:rPr>
          <w:rFonts w:ascii="Arial Bold" w:eastAsiaTheme="majorEastAsia" w:hAnsi="Arial Bold" w:cstheme="majorBidi"/>
          <w:b/>
          <w:bCs/>
          <w:caps/>
          <w:sz w:val="22"/>
        </w:rPr>
      </w:pPr>
      <w:r>
        <w:br w:type="page"/>
      </w:r>
    </w:p>
    <w:p w:rsidR="00AF1291" w:rsidRPr="006F08EA" w:rsidRDefault="006F08EA" w:rsidP="006F08EA">
      <w:pPr>
        <w:pStyle w:val="Heading3"/>
      </w:pPr>
      <w:bookmarkStart w:id="69" w:name="_Toc393956079"/>
      <w:r w:rsidRPr="006F08EA">
        <w:lastRenderedPageBreak/>
        <w:t>Program 28</w:t>
      </w:r>
      <w:r w:rsidRPr="006F08EA">
        <w:tab/>
        <w:t>Safety and Security</w:t>
      </w:r>
      <w:bookmarkEnd w:id="69"/>
    </w:p>
    <w:p w:rsidR="00AF1291" w:rsidRPr="00711C69" w:rsidRDefault="00AF1291" w:rsidP="00AF1291">
      <w:pPr>
        <w:ind w:left="2268" w:hanging="2268"/>
        <w:rPr>
          <w:rFonts w:cs="Arial"/>
          <w:b/>
          <w:sz w:val="16"/>
          <w:szCs w:val="16"/>
        </w:rPr>
      </w:pPr>
    </w:p>
    <w:p w:rsidR="005228A5" w:rsidRPr="005A14A5" w:rsidRDefault="005228A5" w:rsidP="005228A5">
      <w:pPr>
        <w:ind w:left="2268" w:hanging="2268"/>
        <w:rPr>
          <w:rFonts w:cs="Arial"/>
          <w:b/>
          <w:sz w:val="22"/>
          <w:szCs w:val="22"/>
        </w:rPr>
      </w:pPr>
      <w:r w:rsidRPr="005A14A5">
        <w:rPr>
          <w:rFonts w:cs="Arial"/>
          <w:b/>
          <w:sz w:val="22"/>
          <w:szCs w:val="22"/>
        </w:rPr>
        <w:t>Program Manager</w:t>
      </w:r>
      <w:r w:rsidRPr="005A14A5">
        <w:rPr>
          <w:rFonts w:cs="Arial"/>
          <w:b/>
          <w:sz w:val="22"/>
          <w:szCs w:val="22"/>
        </w:rPr>
        <w:tab/>
      </w:r>
      <w:r w:rsidRPr="005A14A5">
        <w:rPr>
          <w:rFonts w:cs="Arial"/>
          <w:b/>
          <w:sz w:val="22"/>
          <w:szCs w:val="22"/>
        </w:rPr>
        <w:tab/>
      </w:r>
      <w:r w:rsidRPr="005A14A5">
        <w:rPr>
          <w:rFonts w:cs="Arial"/>
          <w:b/>
          <w:bCs/>
          <w:sz w:val="22"/>
          <w:szCs w:val="22"/>
        </w:rPr>
        <w:t>Mr. A. Sundaram</w:t>
      </w:r>
    </w:p>
    <w:p w:rsidR="005228A5" w:rsidRPr="00711C69" w:rsidRDefault="005228A5" w:rsidP="005228A5">
      <w:pPr>
        <w:rPr>
          <w:rFonts w:cs="Arial"/>
          <w:sz w:val="16"/>
          <w:szCs w:val="16"/>
        </w:rPr>
      </w:pPr>
    </w:p>
    <w:p w:rsidR="005228A5" w:rsidRPr="00711C69" w:rsidRDefault="005228A5" w:rsidP="005228A5">
      <w:pPr>
        <w:rPr>
          <w:rFonts w:cs="Arial"/>
          <w:bCs/>
          <w:sz w:val="16"/>
          <w:szCs w:val="16"/>
        </w:rPr>
      </w:pPr>
    </w:p>
    <w:p w:rsidR="005228A5" w:rsidRPr="005A14A5" w:rsidRDefault="005228A5" w:rsidP="005228A5">
      <w:pPr>
        <w:rPr>
          <w:rFonts w:cs="Arial"/>
          <w:sz w:val="22"/>
          <w:szCs w:val="22"/>
        </w:rPr>
      </w:pPr>
      <w:r w:rsidRPr="005A14A5">
        <w:rPr>
          <w:rFonts w:cs="Arial"/>
          <w:bCs/>
          <w:sz w:val="22"/>
          <w:szCs w:val="22"/>
        </w:rPr>
        <w:t>ACHIEVEMENTS IN THE 2012/13 BIENNIUM</w:t>
      </w:r>
    </w:p>
    <w:p w:rsidR="005228A5" w:rsidRPr="005A14A5" w:rsidRDefault="005228A5" w:rsidP="005228A5">
      <w:pPr>
        <w:rPr>
          <w:rFonts w:cs="Arial"/>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28.1.</w:t>
      </w:r>
      <w:r>
        <w:rPr>
          <w:rFonts w:cs="Arial"/>
          <w:bCs/>
          <w:color w:val="000000"/>
          <w:szCs w:val="20"/>
        </w:rPr>
        <w:tab/>
      </w:r>
      <w:r w:rsidRPr="005A14A5">
        <w:rPr>
          <w:rFonts w:cs="Arial"/>
          <w:bCs/>
          <w:color w:val="000000"/>
          <w:szCs w:val="20"/>
        </w:rPr>
        <w:t>Costs related to safety and security services during the 2012/13 biennium continued to be consistent with previous years’ costs as a percentage of total organizational expenditure.  During the biennium, the Program continued to manage organization-wide safety and security systems and gradually took over management responsibility of these systems in the New Building as the guarantees expired.</w:t>
      </w:r>
    </w:p>
    <w:p w:rsidR="005228A5" w:rsidRPr="005A14A5" w:rsidRDefault="005228A5" w:rsidP="005228A5">
      <w:pPr>
        <w:tabs>
          <w:tab w:val="left" w:pos="709"/>
        </w:tabs>
        <w:jc w:val="both"/>
        <w:rPr>
          <w:rFonts w:cs="Arial"/>
          <w:bCs/>
          <w:color w:val="000000"/>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28.2</w:t>
      </w:r>
      <w:r w:rsidR="009D313E">
        <w:rPr>
          <w:rFonts w:cs="Arial"/>
          <w:bCs/>
          <w:color w:val="000000"/>
          <w:szCs w:val="20"/>
        </w:rPr>
        <w:t>.</w:t>
      </w:r>
      <w:r>
        <w:rPr>
          <w:rFonts w:cs="Arial"/>
          <w:bCs/>
          <w:color w:val="000000"/>
          <w:szCs w:val="20"/>
        </w:rPr>
        <w:tab/>
      </w:r>
      <w:r w:rsidRPr="005A14A5">
        <w:rPr>
          <w:rFonts w:cs="Arial"/>
          <w:bCs/>
          <w:color w:val="000000"/>
          <w:szCs w:val="20"/>
        </w:rPr>
        <w:t>The biennium 2012/13 also saw the implementation of new policies on safety and security for official staff travel, standardization of badge layouts in line with United Nations Security Management System (UNSMS), improved biometric access controls to the New Building Datacenter and professionalized security management of WIPO sponsored events outside of Geneva.  Most notably, comprehensive security services were provided leading up to and during the two significant Diplomatic Conferences - the Diplomatic Conference on the Protection of Audiovisual Performances in Beijing, China, from June 20-26, 2012 and the Diplomatic Conference to Conclude a Treaty to Facilitate Access to Published Works by Visually Impaired Persons and Persons with Print Disabilities in Marrakesh, Morocco, from June 17-28, 2013.  Furthermore, following the decision of the CEB in November 2012, event security procedures were enhanced to ensure optimal safety and security managemen</w:t>
      </w:r>
      <w:r w:rsidR="009D313E">
        <w:rPr>
          <w:rFonts w:cs="Arial"/>
          <w:bCs/>
          <w:color w:val="000000"/>
          <w:szCs w:val="20"/>
        </w:rPr>
        <w:t>t for these hi-profile events.</w:t>
      </w:r>
      <w:r w:rsidRPr="005A14A5">
        <w:rPr>
          <w:rFonts w:cs="Arial"/>
          <w:bCs/>
          <w:color w:val="000000"/>
          <w:szCs w:val="20"/>
        </w:rPr>
        <w:t xml:space="preserve">  As a result, improved venue risk assessments were performed, safety and evacuation protocols developed and strengthened security services were provided for several major external WIPO-sponsored events/conferences in 2013, namely the African Conference on the Strategic Importance of IP Policies to Foster Innovation, Value Creation and Competitiveness in Dar es Salaam, the United Republic of Tanzania, from March 12-13; </w:t>
      </w:r>
      <w:r w:rsidR="008C4799">
        <w:rPr>
          <w:rFonts w:cs="Arial"/>
          <w:bCs/>
          <w:color w:val="000000"/>
          <w:szCs w:val="20"/>
        </w:rPr>
        <w:t xml:space="preserve"> </w:t>
      </w:r>
      <w:r w:rsidRPr="005A14A5">
        <w:rPr>
          <w:rFonts w:cs="Arial"/>
          <w:bCs/>
          <w:color w:val="000000"/>
          <w:szCs w:val="20"/>
        </w:rPr>
        <w:t xml:space="preserve">the Worldwide Symposium on Geographical Indications in Bangkok, Thailand, from March 27-29; </w:t>
      </w:r>
      <w:r w:rsidR="008C4799">
        <w:rPr>
          <w:rFonts w:cs="Arial"/>
          <w:bCs/>
          <w:color w:val="000000"/>
          <w:szCs w:val="20"/>
        </w:rPr>
        <w:t xml:space="preserve"> </w:t>
      </w:r>
      <w:r w:rsidRPr="005A14A5">
        <w:rPr>
          <w:rFonts w:cs="Arial"/>
          <w:bCs/>
          <w:color w:val="000000"/>
          <w:szCs w:val="20"/>
        </w:rPr>
        <w:t xml:space="preserve">Meeting of ECOWAS and Mauritania Ministers with responsibility for copyright in Abidjan, </w:t>
      </w:r>
      <w:r w:rsidR="008C4799" w:rsidRPr="005A14A5">
        <w:rPr>
          <w:rFonts w:cs="Arial"/>
          <w:bCs/>
          <w:color w:val="000000"/>
          <w:szCs w:val="20"/>
        </w:rPr>
        <w:t>C</w:t>
      </w:r>
      <w:r w:rsidR="008C4799">
        <w:rPr>
          <w:rFonts w:cs="Arial"/>
          <w:bCs/>
          <w:color w:val="000000"/>
          <w:szCs w:val="20"/>
        </w:rPr>
        <w:t>ô</w:t>
      </w:r>
      <w:r w:rsidR="008C4799" w:rsidRPr="005A14A5">
        <w:rPr>
          <w:rFonts w:cs="Arial"/>
          <w:bCs/>
          <w:color w:val="000000"/>
          <w:szCs w:val="20"/>
        </w:rPr>
        <w:t xml:space="preserve">te </w:t>
      </w:r>
      <w:r w:rsidRPr="005A14A5">
        <w:rPr>
          <w:rFonts w:cs="Arial"/>
          <w:bCs/>
          <w:color w:val="000000"/>
          <w:szCs w:val="20"/>
        </w:rPr>
        <w:t xml:space="preserve">d’Ivoire, from December 4-6, as well as the afore-mentioned Diplomatic Conference in Marrakesh (Morocco).  </w:t>
      </w:r>
    </w:p>
    <w:p w:rsidR="005228A5" w:rsidRPr="005A14A5" w:rsidRDefault="005228A5" w:rsidP="005228A5">
      <w:pPr>
        <w:tabs>
          <w:tab w:val="left" w:pos="709"/>
        </w:tabs>
        <w:jc w:val="both"/>
        <w:rPr>
          <w:rFonts w:cs="Arial"/>
          <w:bCs/>
          <w:color w:val="000000"/>
          <w:szCs w:val="20"/>
        </w:rPr>
      </w:pPr>
      <w:r w:rsidRPr="005A14A5">
        <w:rPr>
          <w:rFonts w:cs="Arial"/>
          <w:bCs/>
          <w:color w:val="000000"/>
          <w:szCs w:val="20"/>
        </w:rPr>
        <w:t xml:space="preserve">  </w:t>
      </w:r>
    </w:p>
    <w:p w:rsidR="005228A5" w:rsidRPr="005A14A5" w:rsidRDefault="005228A5" w:rsidP="005228A5">
      <w:pPr>
        <w:tabs>
          <w:tab w:val="left" w:pos="709"/>
        </w:tabs>
        <w:jc w:val="both"/>
        <w:rPr>
          <w:rFonts w:cs="Arial"/>
          <w:bCs/>
          <w:color w:val="000000"/>
          <w:szCs w:val="20"/>
        </w:rPr>
      </w:pPr>
      <w:r>
        <w:rPr>
          <w:rFonts w:cs="Arial"/>
          <w:bCs/>
          <w:color w:val="000000"/>
          <w:szCs w:val="20"/>
        </w:rPr>
        <w:t>28.3</w:t>
      </w:r>
      <w:r w:rsidR="009D313E">
        <w:rPr>
          <w:rFonts w:cs="Arial"/>
          <w:bCs/>
          <w:color w:val="000000"/>
          <w:szCs w:val="20"/>
        </w:rPr>
        <w:t>.</w:t>
      </w:r>
      <w:r>
        <w:rPr>
          <w:rFonts w:cs="Arial"/>
          <w:bCs/>
          <w:color w:val="000000"/>
          <w:szCs w:val="20"/>
        </w:rPr>
        <w:tab/>
      </w:r>
      <w:r w:rsidRPr="005A14A5">
        <w:rPr>
          <w:rFonts w:cs="Arial"/>
          <w:bCs/>
          <w:color w:val="000000"/>
          <w:szCs w:val="20"/>
        </w:rPr>
        <w:t>Assessment audits of the WIPO External Office premises in Singapore and Tokyo were duly performed in 2012.  However, the assessment audits of the Offices in Rio de Janeiro and New York, originally planned for the first half of 2013, were postponed due to the extensive preparations leading up to, and the increased demands needed for, the Diplomatic Conference in Marrakesh, as well as the Extraordinary General Assemblies held in December 2013.  In addition, the Program provided extensive input into the Business Continuity Response Plan (BCRP) and the Business Continuity Management Strategy (BCMS) for WIPO operations.</w:t>
      </w:r>
    </w:p>
    <w:p w:rsidR="005228A5" w:rsidRPr="005A14A5" w:rsidRDefault="005228A5" w:rsidP="005228A5">
      <w:pPr>
        <w:tabs>
          <w:tab w:val="left" w:pos="709"/>
        </w:tabs>
        <w:jc w:val="both"/>
        <w:rPr>
          <w:rFonts w:cs="Arial"/>
          <w:bCs/>
          <w:color w:val="000000"/>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28.4</w:t>
      </w:r>
      <w:r w:rsidR="009D313E">
        <w:rPr>
          <w:rFonts w:cs="Arial"/>
          <w:bCs/>
          <w:color w:val="000000"/>
          <w:szCs w:val="20"/>
        </w:rPr>
        <w:t>.</w:t>
      </w:r>
      <w:r>
        <w:rPr>
          <w:rFonts w:cs="Arial"/>
          <w:bCs/>
          <w:color w:val="000000"/>
          <w:szCs w:val="20"/>
        </w:rPr>
        <w:tab/>
      </w:r>
      <w:r w:rsidRPr="005A14A5">
        <w:rPr>
          <w:rFonts w:cs="Arial"/>
          <w:bCs/>
          <w:color w:val="000000"/>
          <w:szCs w:val="20"/>
        </w:rPr>
        <w:t xml:space="preserve">The total number of reported safety and security incidents during the biennium remained low across both years, with six staff-related safety incidents resulting in injury in 2012 and four in 2013.  The total percentage of staff related incidents with injuries amounted to less than </w:t>
      </w:r>
      <w:r w:rsidR="002C4DAD">
        <w:rPr>
          <w:rFonts w:cs="Arial"/>
          <w:bCs/>
          <w:color w:val="000000"/>
          <w:szCs w:val="20"/>
        </w:rPr>
        <w:t>two</w:t>
      </w:r>
      <w:r w:rsidR="002C4DAD" w:rsidRPr="005A14A5">
        <w:rPr>
          <w:rFonts w:cs="Arial"/>
          <w:bCs/>
          <w:color w:val="000000"/>
          <w:szCs w:val="20"/>
        </w:rPr>
        <w:t xml:space="preserve"> </w:t>
      </w:r>
      <w:r w:rsidRPr="005A14A5">
        <w:rPr>
          <w:rFonts w:cs="Arial"/>
          <w:bCs/>
          <w:color w:val="000000"/>
          <w:szCs w:val="20"/>
        </w:rPr>
        <w:t>per cent during 2012/13.</w:t>
      </w:r>
      <w:r w:rsidRPr="005A14A5">
        <w:rPr>
          <w:rFonts w:cs="Arial"/>
          <w:bCs/>
          <w:color w:val="000000"/>
          <w:szCs w:val="20"/>
          <w:highlight w:val="yellow"/>
        </w:rPr>
        <w:t xml:space="preserve"> </w:t>
      </w:r>
    </w:p>
    <w:p w:rsidR="005228A5" w:rsidRPr="005A14A5" w:rsidRDefault="005228A5" w:rsidP="005228A5">
      <w:pPr>
        <w:tabs>
          <w:tab w:val="left" w:pos="709"/>
        </w:tabs>
        <w:jc w:val="both"/>
        <w:rPr>
          <w:rFonts w:cs="Arial"/>
          <w:bCs/>
          <w:color w:val="000000"/>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28.5</w:t>
      </w:r>
      <w:r w:rsidR="009D313E">
        <w:rPr>
          <w:rFonts w:cs="Arial"/>
          <w:bCs/>
          <w:color w:val="000000"/>
          <w:szCs w:val="20"/>
        </w:rPr>
        <w:t>.</w:t>
      </w:r>
      <w:r>
        <w:rPr>
          <w:rFonts w:cs="Arial"/>
          <w:bCs/>
          <w:color w:val="000000"/>
          <w:szCs w:val="20"/>
        </w:rPr>
        <w:tab/>
      </w:r>
      <w:r w:rsidRPr="005A14A5">
        <w:rPr>
          <w:rFonts w:cs="Arial"/>
          <w:bCs/>
          <w:color w:val="000000"/>
          <w:szCs w:val="20"/>
        </w:rPr>
        <w:t xml:space="preserve">Steady progress was made throughout the biennium on the construction and technical safety/security systems for the new Security Coordination Operations Center (SCOC) located on the ground floor in the GB1 complex. </w:t>
      </w:r>
      <w:r w:rsidR="008C4799">
        <w:rPr>
          <w:rFonts w:cs="Arial"/>
          <w:bCs/>
          <w:color w:val="000000"/>
          <w:szCs w:val="20"/>
        </w:rPr>
        <w:t xml:space="preserve"> </w:t>
      </w:r>
      <w:r w:rsidRPr="005A14A5">
        <w:rPr>
          <w:rFonts w:cs="Arial"/>
          <w:bCs/>
          <w:color w:val="000000"/>
          <w:szCs w:val="20"/>
        </w:rPr>
        <w:t>Work commenced on the SCOC in February 2012.  The technical complexity of the SCOC required a separate local area network (LAN), which was installed at the end of 2012, independent of the area-wide network available to the rest of the Organization to ensure the connectivity and optimal performance of these security systems</w:t>
      </w:r>
      <w:r w:rsidR="008C4799">
        <w:rPr>
          <w:rFonts w:cs="Arial"/>
          <w:bCs/>
          <w:color w:val="000000"/>
          <w:szCs w:val="20"/>
        </w:rPr>
        <w:t xml:space="preserve">. </w:t>
      </w:r>
      <w:r w:rsidR="008C4799" w:rsidRPr="005A14A5">
        <w:rPr>
          <w:rFonts w:cs="Arial"/>
          <w:bCs/>
          <w:color w:val="000000"/>
          <w:szCs w:val="20"/>
        </w:rPr>
        <w:t xml:space="preserve"> </w:t>
      </w:r>
      <w:r w:rsidRPr="005A14A5">
        <w:rPr>
          <w:rFonts w:cs="Arial"/>
          <w:bCs/>
          <w:color w:val="000000"/>
          <w:szCs w:val="20"/>
        </w:rPr>
        <w:t xml:space="preserve">In addition, specific safety/security technologies such as emergency communications and fire detection systems were installed by the end of 2013.  Completion of the project is expected by the end of 2014.  </w:t>
      </w:r>
    </w:p>
    <w:p w:rsidR="005228A5" w:rsidRPr="005A14A5" w:rsidRDefault="005228A5" w:rsidP="005228A5">
      <w:pPr>
        <w:tabs>
          <w:tab w:val="left" w:pos="709"/>
        </w:tabs>
        <w:jc w:val="both"/>
        <w:rPr>
          <w:rFonts w:cs="Arial"/>
          <w:bCs/>
          <w:color w:val="000000"/>
          <w:szCs w:val="20"/>
        </w:rPr>
      </w:pPr>
    </w:p>
    <w:p w:rsidR="005228A5" w:rsidRPr="005A14A5" w:rsidRDefault="005228A5" w:rsidP="005228A5">
      <w:pPr>
        <w:tabs>
          <w:tab w:val="left" w:pos="709"/>
        </w:tabs>
        <w:jc w:val="both"/>
        <w:rPr>
          <w:rFonts w:cs="Arial"/>
          <w:bCs/>
          <w:color w:val="000000"/>
          <w:szCs w:val="20"/>
        </w:rPr>
      </w:pPr>
      <w:r>
        <w:rPr>
          <w:rFonts w:cs="Arial"/>
          <w:bCs/>
          <w:color w:val="000000"/>
          <w:szCs w:val="20"/>
        </w:rPr>
        <w:t>28.6</w:t>
      </w:r>
      <w:r w:rsidR="009D313E">
        <w:rPr>
          <w:rFonts w:cs="Arial"/>
          <w:bCs/>
          <w:color w:val="000000"/>
          <w:szCs w:val="20"/>
        </w:rPr>
        <w:t>.</w:t>
      </w:r>
      <w:r>
        <w:rPr>
          <w:rFonts w:cs="Arial"/>
          <w:bCs/>
          <w:color w:val="000000"/>
          <w:szCs w:val="20"/>
        </w:rPr>
        <w:tab/>
      </w:r>
      <w:r w:rsidRPr="005A14A5">
        <w:rPr>
          <w:rFonts w:cs="Arial"/>
          <w:bCs/>
          <w:color w:val="000000"/>
          <w:szCs w:val="20"/>
        </w:rPr>
        <w:t xml:space="preserve">Moreover, as part of WIPO’s commitment to ensuring compliance with the Cantonal and the UN’s Security Policy Manual on fire safety, a comprehensive review of current procedures was undertaken. </w:t>
      </w:r>
      <w:r w:rsidR="00711C69">
        <w:rPr>
          <w:rFonts w:cs="Arial"/>
          <w:bCs/>
          <w:color w:val="000000"/>
          <w:szCs w:val="20"/>
        </w:rPr>
        <w:t xml:space="preserve"> </w:t>
      </w:r>
      <w:r w:rsidRPr="005A14A5">
        <w:rPr>
          <w:rFonts w:cs="Arial"/>
          <w:bCs/>
          <w:color w:val="000000"/>
          <w:szCs w:val="20"/>
        </w:rPr>
        <w:t>As</w:t>
      </w:r>
      <w:r w:rsidR="00711C69">
        <w:rPr>
          <w:rFonts w:cs="Arial"/>
          <w:bCs/>
          <w:color w:val="000000"/>
          <w:szCs w:val="20"/>
        </w:rPr>
        <w:t> </w:t>
      </w:r>
      <w:r w:rsidRPr="005A14A5">
        <w:rPr>
          <w:rFonts w:cs="Arial"/>
          <w:bCs/>
          <w:color w:val="000000"/>
          <w:szCs w:val="20"/>
        </w:rPr>
        <w:t xml:space="preserve">a result, the following measures were implemented during the biennium: </w:t>
      </w:r>
      <w:r w:rsidR="00711C69">
        <w:rPr>
          <w:rFonts w:cs="Arial"/>
          <w:bCs/>
          <w:color w:val="000000"/>
          <w:szCs w:val="20"/>
        </w:rPr>
        <w:t xml:space="preserve"> </w:t>
      </w:r>
      <w:r w:rsidRPr="005A14A5">
        <w:rPr>
          <w:rFonts w:cs="Arial"/>
          <w:bCs/>
          <w:color w:val="000000"/>
          <w:szCs w:val="20"/>
        </w:rPr>
        <w:t xml:space="preserve">(i) new fire safety signage; </w:t>
      </w:r>
      <w:r w:rsidR="008C4799">
        <w:rPr>
          <w:rFonts w:cs="Arial"/>
          <w:bCs/>
          <w:color w:val="000000"/>
          <w:szCs w:val="20"/>
        </w:rPr>
        <w:t xml:space="preserve"> </w:t>
      </w:r>
      <w:r w:rsidRPr="005A14A5">
        <w:rPr>
          <w:rFonts w:cs="Arial"/>
          <w:bCs/>
          <w:color w:val="000000"/>
          <w:szCs w:val="20"/>
        </w:rPr>
        <w:t>(ii)</w:t>
      </w:r>
      <w:r w:rsidR="00711C69">
        <w:rPr>
          <w:rFonts w:cs="Arial"/>
          <w:bCs/>
          <w:color w:val="000000"/>
          <w:szCs w:val="20"/>
        </w:rPr>
        <w:t> </w:t>
      </w:r>
      <w:r w:rsidRPr="005A14A5">
        <w:rPr>
          <w:rFonts w:cs="Arial"/>
          <w:bCs/>
          <w:color w:val="000000"/>
          <w:szCs w:val="20"/>
        </w:rPr>
        <w:t>the installation of 58 automatically controlled fire doors;</w:t>
      </w:r>
      <w:r w:rsidR="00711C69">
        <w:rPr>
          <w:rFonts w:cs="Arial"/>
          <w:bCs/>
          <w:color w:val="000000"/>
          <w:szCs w:val="20"/>
        </w:rPr>
        <w:t xml:space="preserve"> </w:t>
      </w:r>
      <w:r w:rsidRPr="005A14A5">
        <w:rPr>
          <w:rFonts w:cs="Arial"/>
          <w:bCs/>
          <w:color w:val="000000"/>
          <w:szCs w:val="20"/>
        </w:rPr>
        <w:t xml:space="preserve"> (iii) the upgrading of 240 fire-extinguishers; </w:t>
      </w:r>
      <w:r w:rsidR="008C4799">
        <w:rPr>
          <w:rFonts w:cs="Arial"/>
          <w:bCs/>
          <w:color w:val="000000"/>
          <w:szCs w:val="20"/>
        </w:rPr>
        <w:t xml:space="preserve"> </w:t>
      </w:r>
      <w:r w:rsidRPr="005A14A5">
        <w:rPr>
          <w:rFonts w:cs="Arial"/>
          <w:bCs/>
          <w:color w:val="000000"/>
          <w:szCs w:val="20"/>
        </w:rPr>
        <w:t xml:space="preserve">(iv) the installation of new sirens and sprinklers in certain facilities; </w:t>
      </w:r>
      <w:r w:rsidR="008C4799">
        <w:rPr>
          <w:rFonts w:cs="Arial"/>
          <w:bCs/>
          <w:color w:val="000000"/>
          <w:szCs w:val="20"/>
        </w:rPr>
        <w:t xml:space="preserve"> (v) </w:t>
      </w:r>
      <w:r w:rsidRPr="005A14A5">
        <w:rPr>
          <w:rFonts w:cs="Arial"/>
          <w:bCs/>
          <w:color w:val="000000"/>
          <w:szCs w:val="20"/>
        </w:rPr>
        <w:t xml:space="preserve">routine fire-safety inspections by a specially-trained guard; </w:t>
      </w:r>
      <w:r w:rsidR="008C4799">
        <w:rPr>
          <w:rFonts w:cs="Arial"/>
          <w:bCs/>
          <w:color w:val="000000"/>
          <w:szCs w:val="20"/>
        </w:rPr>
        <w:t xml:space="preserve"> (vi) </w:t>
      </w:r>
      <w:r w:rsidRPr="005A14A5">
        <w:rPr>
          <w:rFonts w:cs="Arial"/>
          <w:bCs/>
          <w:color w:val="000000"/>
          <w:szCs w:val="20"/>
        </w:rPr>
        <w:t xml:space="preserve">the designation of Floor Wardens in all WIPO buildings; and </w:t>
      </w:r>
      <w:r w:rsidR="008C4799">
        <w:rPr>
          <w:rFonts w:cs="Arial"/>
          <w:bCs/>
          <w:color w:val="000000"/>
          <w:szCs w:val="20"/>
        </w:rPr>
        <w:t xml:space="preserve">(vii) </w:t>
      </w:r>
      <w:r w:rsidRPr="005A14A5">
        <w:rPr>
          <w:rFonts w:cs="Arial"/>
          <w:bCs/>
          <w:color w:val="000000"/>
          <w:szCs w:val="20"/>
        </w:rPr>
        <w:t xml:space="preserve">a training program for WIPO staff on fire prevention and fire-fighting techniques. </w:t>
      </w:r>
      <w:r w:rsidR="008C4799">
        <w:rPr>
          <w:rFonts w:cs="Arial"/>
          <w:bCs/>
          <w:color w:val="000000"/>
          <w:szCs w:val="20"/>
        </w:rPr>
        <w:t xml:space="preserve"> </w:t>
      </w:r>
      <w:r w:rsidRPr="005A14A5">
        <w:rPr>
          <w:rFonts w:cs="Arial"/>
          <w:bCs/>
          <w:color w:val="000000"/>
          <w:szCs w:val="20"/>
        </w:rPr>
        <w:t xml:space="preserve">This training was prioritized for WIPO’s Floor Wardens.  Moreover, in alignment with WIPO’s commitment to improve safety preparedness, 12 basic first-aid training courses were provided to 200 WIPO staff, and first aid kits and defibrillators were deployed in all buildings of the WIPO campus.  </w:t>
      </w:r>
    </w:p>
    <w:p w:rsidR="005228A5" w:rsidRPr="008C207C" w:rsidRDefault="005228A5" w:rsidP="005228A5">
      <w:pPr>
        <w:rPr>
          <w:rFonts w:cs="Arial"/>
          <w:sz w:val="22"/>
          <w:szCs w:val="22"/>
        </w:rPr>
      </w:pPr>
      <w:r w:rsidRPr="008C207C">
        <w:rPr>
          <w:rFonts w:cs="Arial"/>
          <w:sz w:val="22"/>
          <w:szCs w:val="22"/>
        </w:rPr>
        <w:lastRenderedPageBreak/>
        <w:t>PERFORMANCE DATA</w:t>
      </w:r>
    </w:p>
    <w:p w:rsidR="005228A5" w:rsidRPr="008C207C" w:rsidRDefault="005228A5" w:rsidP="005228A5">
      <w:pPr>
        <w:rPr>
          <w:rFonts w:cs="Arial"/>
          <w:b/>
          <w:sz w:val="22"/>
          <w:szCs w:val="22"/>
        </w:rPr>
      </w:pPr>
    </w:p>
    <w:tbl>
      <w:tblPr>
        <w:tblW w:w="4888"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690"/>
        <w:gridCol w:w="1003"/>
        <w:gridCol w:w="1134"/>
        <w:gridCol w:w="4252"/>
        <w:gridCol w:w="1278"/>
      </w:tblGrid>
      <w:tr w:rsidR="005228A5" w:rsidTr="00CD26D6">
        <w:trPr>
          <w:cantSplit/>
        </w:trPr>
        <w:tc>
          <w:tcPr>
            <w:tcW w:w="5000" w:type="pct"/>
            <w:gridSpan w:val="5"/>
            <w:tcBorders>
              <w:top w:val="single" w:sz="4" w:space="0" w:color="auto"/>
              <w:bottom w:val="single" w:sz="4" w:space="0" w:color="auto"/>
            </w:tcBorders>
            <w:shd w:val="clear" w:color="auto" w:fill="CCFFFF"/>
            <w:vAlign w:val="center"/>
          </w:tcPr>
          <w:p w:rsidR="005228A5" w:rsidRDefault="005228A5" w:rsidP="005228A5">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301B3A">
              <w:rPr>
                <w:rFonts w:cs="Arial"/>
                <w:sz w:val="16"/>
                <w:szCs w:val="16"/>
              </w:rPr>
              <w:t>WIPO staff, delegates, visitors and information and physical assets are safe and secure</w:t>
            </w:r>
          </w:p>
        </w:tc>
      </w:tr>
      <w:tr w:rsidR="008C4799" w:rsidRPr="008C4799" w:rsidTr="00CD26D6">
        <w:trPr>
          <w:cantSplit/>
        </w:trPr>
        <w:tc>
          <w:tcPr>
            <w:tcW w:w="903" w:type="pct"/>
            <w:tcBorders>
              <w:top w:val="single" w:sz="4" w:space="0" w:color="auto"/>
            </w:tcBorders>
            <w:shd w:val="clear" w:color="auto" w:fill="auto"/>
            <w:vAlign w:val="center"/>
          </w:tcPr>
          <w:p w:rsidR="005228A5" w:rsidRPr="008C4799" w:rsidRDefault="005228A5" w:rsidP="005228A5">
            <w:pPr>
              <w:rPr>
                <w:rFonts w:cs="Arial"/>
                <w:sz w:val="16"/>
                <w:szCs w:val="16"/>
              </w:rPr>
            </w:pPr>
            <w:r w:rsidRPr="008C4799">
              <w:rPr>
                <w:rFonts w:cs="Arial"/>
                <w:b/>
                <w:bCs/>
                <w:sz w:val="16"/>
                <w:szCs w:val="16"/>
              </w:rPr>
              <w:t>Performance Indicators</w:t>
            </w:r>
          </w:p>
        </w:tc>
        <w:tc>
          <w:tcPr>
            <w:tcW w:w="536" w:type="pct"/>
            <w:tcBorders>
              <w:top w:val="single" w:sz="4" w:space="0" w:color="auto"/>
            </w:tcBorders>
            <w:shd w:val="clear" w:color="auto" w:fill="auto"/>
            <w:vAlign w:val="center"/>
          </w:tcPr>
          <w:p w:rsidR="005228A5" w:rsidRPr="008C4799" w:rsidRDefault="005228A5" w:rsidP="005228A5">
            <w:pPr>
              <w:rPr>
                <w:rFonts w:cs="Arial"/>
                <w:b/>
                <w:bCs/>
                <w:sz w:val="16"/>
                <w:szCs w:val="16"/>
              </w:rPr>
            </w:pPr>
            <w:r w:rsidRPr="008C4799">
              <w:rPr>
                <w:rFonts w:cs="Arial"/>
                <w:b/>
                <w:bCs/>
                <w:sz w:val="16"/>
                <w:szCs w:val="16"/>
              </w:rPr>
              <w:t>Baselines</w:t>
            </w:r>
          </w:p>
        </w:tc>
        <w:tc>
          <w:tcPr>
            <w:tcW w:w="606" w:type="pct"/>
            <w:tcBorders>
              <w:top w:val="single" w:sz="4" w:space="0" w:color="auto"/>
            </w:tcBorders>
            <w:shd w:val="clear" w:color="auto" w:fill="auto"/>
            <w:tcMar>
              <w:top w:w="110" w:type="dxa"/>
            </w:tcMar>
            <w:vAlign w:val="center"/>
          </w:tcPr>
          <w:p w:rsidR="005228A5" w:rsidRPr="008C4799" w:rsidRDefault="005228A5" w:rsidP="005228A5">
            <w:pPr>
              <w:rPr>
                <w:rFonts w:cs="Arial"/>
                <w:b/>
                <w:sz w:val="16"/>
                <w:szCs w:val="16"/>
              </w:rPr>
            </w:pPr>
            <w:r w:rsidRPr="008C4799">
              <w:rPr>
                <w:rFonts w:cs="Arial"/>
                <w:b/>
                <w:sz w:val="16"/>
                <w:szCs w:val="16"/>
              </w:rPr>
              <w:t>Target</w:t>
            </w:r>
            <w:r w:rsidR="00711C69" w:rsidRPr="008C4799">
              <w:rPr>
                <w:rFonts w:cs="Arial"/>
                <w:b/>
                <w:sz w:val="16"/>
                <w:szCs w:val="16"/>
              </w:rPr>
              <w:t>s</w:t>
            </w:r>
          </w:p>
        </w:tc>
        <w:tc>
          <w:tcPr>
            <w:tcW w:w="2272" w:type="pct"/>
            <w:tcBorders>
              <w:top w:val="single" w:sz="4" w:space="0" w:color="auto"/>
            </w:tcBorders>
            <w:shd w:val="clear" w:color="auto" w:fill="FFFFFF"/>
            <w:tcMar>
              <w:top w:w="110" w:type="dxa"/>
            </w:tcMar>
            <w:vAlign w:val="center"/>
          </w:tcPr>
          <w:p w:rsidR="005228A5" w:rsidRPr="008C4799" w:rsidRDefault="005228A5" w:rsidP="005228A5">
            <w:pPr>
              <w:rPr>
                <w:rFonts w:cs="Arial"/>
                <w:sz w:val="16"/>
                <w:szCs w:val="16"/>
              </w:rPr>
            </w:pPr>
            <w:r w:rsidRPr="008C4799">
              <w:rPr>
                <w:rFonts w:cs="Arial"/>
                <w:b/>
                <w:bCs/>
                <w:sz w:val="16"/>
                <w:szCs w:val="16"/>
              </w:rPr>
              <w:t>Performance Data</w:t>
            </w:r>
          </w:p>
        </w:tc>
        <w:tc>
          <w:tcPr>
            <w:tcW w:w="683" w:type="pct"/>
            <w:tcBorders>
              <w:top w:val="single" w:sz="4" w:space="0" w:color="auto"/>
            </w:tcBorders>
            <w:shd w:val="clear" w:color="auto" w:fill="auto"/>
            <w:tcMar>
              <w:top w:w="110" w:type="dxa"/>
            </w:tcMar>
            <w:vAlign w:val="center"/>
          </w:tcPr>
          <w:p w:rsidR="005228A5" w:rsidRPr="008C4799" w:rsidRDefault="005228A5" w:rsidP="005228A5">
            <w:pPr>
              <w:keepNext/>
              <w:keepLines/>
              <w:jc w:val="center"/>
              <w:rPr>
                <w:rFonts w:cs="Arial"/>
                <w:b/>
                <w:bCs/>
                <w:sz w:val="16"/>
                <w:szCs w:val="16"/>
              </w:rPr>
            </w:pPr>
            <w:r w:rsidRPr="008C4799">
              <w:rPr>
                <w:rFonts w:cs="Arial"/>
                <w:b/>
                <w:bCs/>
                <w:sz w:val="16"/>
                <w:szCs w:val="16"/>
              </w:rPr>
              <w:t>TLS</w:t>
            </w:r>
          </w:p>
        </w:tc>
      </w:tr>
      <w:tr w:rsidR="005228A5" w:rsidTr="00CD26D6">
        <w:trPr>
          <w:cantSplit/>
        </w:trPr>
        <w:tc>
          <w:tcPr>
            <w:tcW w:w="903" w:type="pct"/>
            <w:shd w:val="clear" w:color="auto" w:fill="auto"/>
          </w:tcPr>
          <w:p w:rsidR="005228A5" w:rsidRPr="00301B3A" w:rsidRDefault="005228A5" w:rsidP="005228A5">
            <w:pPr>
              <w:rPr>
                <w:rFonts w:cs="Arial"/>
                <w:sz w:val="16"/>
                <w:szCs w:val="16"/>
              </w:rPr>
            </w:pPr>
            <w:r w:rsidRPr="00301B3A">
              <w:rPr>
                <w:rFonts w:cs="Arial"/>
                <w:sz w:val="16"/>
                <w:szCs w:val="16"/>
              </w:rPr>
              <w:t>% of WIPO staff, delegates and visitors reporting a work related injury or incident</w:t>
            </w:r>
          </w:p>
        </w:tc>
        <w:tc>
          <w:tcPr>
            <w:tcW w:w="536" w:type="pct"/>
            <w:shd w:val="clear" w:color="auto" w:fill="auto"/>
          </w:tcPr>
          <w:p w:rsidR="005228A5" w:rsidRPr="00301B3A" w:rsidRDefault="005228A5" w:rsidP="005228A5">
            <w:pPr>
              <w:rPr>
                <w:rFonts w:cs="Arial"/>
                <w:sz w:val="16"/>
                <w:szCs w:val="16"/>
              </w:rPr>
            </w:pPr>
            <w:r w:rsidRPr="00301B3A">
              <w:rPr>
                <w:rFonts w:cs="Arial"/>
                <w:sz w:val="16"/>
                <w:szCs w:val="16"/>
              </w:rPr>
              <w:t>2%</w:t>
            </w:r>
          </w:p>
        </w:tc>
        <w:tc>
          <w:tcPr>
            <w:tcW w:w="606" w:type="pct"/>
            <w:shd w:val="clear" w:color="auto" w:fill="auto"/>
            <w:tcMar>
              <w:top w:w="110" w:type="dxa"/>
            </w:tcMar>
          </w:tcPr>
          <w:p w:rsidR="005228A5" w:rsidRPr="00B05940" w:rsidRDefault="005228A5" w:rsidP="005228A5">
            <w:pPr>
              <w:rPr>
                <w:rFonts w:cs="Arial"/>
                <w:sz w:val="16"/>
                <w:szCs w:val="16"/>
              </w:rPr>
            </w:pPr>
            <w:r w:rsidRPr="00B05940">
              <w:rPr>
                <w:rFonts w:ascii="ArialMT" w:hAnsi="ArialMT" w:cs="ArialMT"/>
                <w:sz w:val="16"/>
                <w:szCs w:val="16"/>
              </w:rPr>
              <w:t>2% or less</w:t>
            </w:r>
          </w:p>
        </w:tc>
        <w:tc>
          <w:tcPr>
            <w:tcW w:w="2272" w:type="pct"/>
            <w:shd w:val="clear" w:color="auto" w:fill="FFFFFF"/>
            <w:tcMar>
              <w:top w:w="110" w:type="dxa"/>
            </w:tcMar>
          </w:tcPr>
          <w:p w:rsidR="005228A5" w:rsidRDefault="005228A5" w:rsidP="00CD26D6">
            <w:pPr>
              <w:rPr>
                <w:rFonts w:cs="Arial"/>
                <w:sz w:val="16"/>
                <w:szCs w:val="16"/>
              </w:rPr>
            </w:pPr>
            <w:r w:rsidRPr="008C677B">
              <w:rPr>
                <w:rFonts w:cs="Arial"/>
                <w:sz w:val="16"/>
                <w:szCs w:val="16"/>
              </w:rPr>
              <w:t>The total percentage of staff related incidents</w:t>
            </w:r>
            <w:r>
              <w:rPr>
                <w:rFonts w:cs="Arial"/>
                <w:sz w:val="16"/>
                <w:szCs w:val="16"/>
              </w:rPr>
              <w:t xml:space="preserve"> with injuries</w:t>
            </w:r>
            <w:r w:rsidRPr="008C677B">
              <w:rPr>
                <w:rFonts w:cs="Arial"/>
                <w:sz w:val="16"/>
                <w:szCs w:val="16"/>
              </w:rPr>
              <w:t xml:space="preserve"> </w:t>
            </w:r>
            <w:r>
              <w:rPr>
                <w:rFonts w:cs="Arial"/>
                <w:sz w:val="16"/>
                <w:szCs w:val="16"/>
              </w:rPr>
              <w:t>amounted to</w:t>
            </w:r>
            <w:r w:rsidRPr="008C677B">
              <w:rPr>
                <w:rFonts w:cs="Arial"/>
                <w:sz w:val="16"/>
                <w:szCs w:val="16"/>
              </w:rPr>
              <w:t xml:space="preserve"> less</w:t>
            </w:r>
            <w:r>
              <w:rPr>
                <w:rFonts w:cs="Arial"/>
                <w:sz w:val="16"/>
                <w:szCs w:val="16"/>
              </w:rPr>
              <w:t xml:space="preserve"> than 2 per cent during 2012/13:</w:t>
            </w:r>
          </w:p>
          <w:p w:rsidR="008C4799" w:rsidRPr="008C4799" w:rsidRDefault="008C4799" w:rsidP="005228A5">
            <w:pPr>
              <w:jc w:val="both"/>
              <w:rPr>
                <w:rFonts w:cs="Arial"/>
                <w:sz w:val="8"/>
                <w:szCs w:val="8"/>
              </w:rPr>
            </w:pPr>
          </w:p>
          <w:p w:rsidR="005228A5" w:rsidRDefault="005228A5" w:rsidP="007B2B25">
            <w:pPr>
              <w:pStyle w:val="ListParagraph"/>
              <w:numPr>
                <w:ilvl w:val="0"/>
                <w:numId w:val="69"/>
              </w:numPr>
              <w:ind w:left="460"/>
              <w:jc w:val="both"/>
              <w:rPr>
                <w:rFonts w:cs="Arial"/>
                <w:sz w:val="16"/>
                <w:szCs w:val="16"/>
              </w:rPr>
            </w:pPr>
            <w:r w:rsidRPr="008C677B">
              <w:rPr>
                <w:rFonts w:cs="Arial"/>
                <w:sz w:val="16"/>
                <w:szCs w:val="16"/>
              </w:rPr>
              <w:t>six staff-related incidents</w:t>
            </w:r>
            <w:r>
              <w:rPr>
                <w:rFonts w:cs="Arial"/>
                <w:sz w:val="16"/>
                <w:szCs w:val="16"/>
              </w:rPr>
              <w:t xml:space="preserve"> (2012)</w:t>
            </w:r>
          </w:p>
          <w:p w:rsidR="005228A5" w:rsidRPr="00B05940" w:rsidRDefault="005228A5" w:rsidP="007B2B25">
            <w:pPr>
              <w:pStyle w:val="ListParagraph"/>
              <w:numPr>
                <w:ilvl w:val="0"/>
                <w:numId w:val="69"/>
              </w:numPr>
              <w:ind w:left="460"/>
              <w:jc w:val="both"/>
              <w:rPr>
                <w:rFonts w:cs="Arial"/>
                <w:sz w:val="16"/>
                <w:szCs w:val="16"/>
              </w:rPr>
            </w:pPr>
            <w:r w:rsidRPr="008C677B">
              <w:rPr>
                <w:rFonts w:cs="Arial"/>
                <w:sz w:val="16"/>
                <w:szCs w:val="16"/>
              </w:rPr>
              <w:t>four staff-related incidents</w:t>
            </w:r>
            <w:r>
              <w:rPr>
                <w:rFonts w:cs="Arial"/>
                <w:sz w:val="16"/>
                <w:szCs w:val="16"/>
              </w:rPr>
              <w:t xml:space="preserve"> (</w:t>
            </w:r>
            <w:r w:rsidRPr="008C677B">
              <w:rPr>
                <w:rFonts w:cs="Arial"/>
                <w:sz w:val="16"/>
                <w:szCs w:val="16"/>
              </w:rPr>
              <w:t>2013</w:t>
            </w:r>
            <w:r>
              <w:rPr>
                <w:rFonts w:cs="Arial"/>
                <w:sz w:val="16"/>
                <w:szCs w:val="16"/>
              </w:rPr>
              <w:t>)</w:t>
            </w:r>
          </w:p>
        </w:tc>
        <w:tc>
          <w:tcPr>
            <w:tcW w:w="683" w:type="pct"/>
            <w:shd w:val="clear" w:color="auto" w:fill="auto"/>
            <w:tcMar>
              <w:top w:w="110" w:type="dxa"/>
            </w:tcMar>
          </w:tcPr>
          <w:p w:rsidR="005228A5" w:rsidRPr="00B05940" w:rsidRDefault="005228A5" w:rsidP="005228A5">
            <w:pPr>
              <w:keepNext/>
              <w:keepLines/>
              <w:jc w:val="center"/>
              <w:rPr>
                <w:rFonts w:cs="Arial"/>
                <w:bCs/>
                <w:color w:val="808080"/>
                <w:sz w:val="16"/>
                <w:szCs w:val="16"/>
              </w:rPr>
            </w:pPr>
            <w:r w:rsidRPr="00B05940">
              <w:rPr>
                <w:rFonts w:cs="Arial"/>
                <w:bCs/>
                <w:color w:val="008000"/>
                <w:sz w:val="16"/>
                <w:szCs w:val="16"/>
              </w:rPr>
              <w:t>Fully</w:t>
            </w:r>
            <w:r w:rsidRPr="00B05940">
              <w:rPr>
                <w:rFonts w:cs="Arial"/>
                <w:bCs/>
                <w:color w:val="008000"/>
                <w:sz w:val="16"/>
                <w:szCs w:val="16"/>
              </w:rPr>
              <w:br/>
              <w:t>Achieved</w:t>
            </w:r>
          </w:p>
        </w:tc>
      </w:tr>
      <w:tr w:rsidR="005228A5" w:rsidRPr="0017565C" w:rsidTr="00CD26D6">
        <w:trPr>
          <w:cantSplit/>
        </w:trPr>
        <w:tc>
          <w:tcPr>
            <w:tcW w:w="903" w:type="pct"/>
            <w:shd w:val="clear" w:color="auto" w:fill="auto"/>
          </w:tcPr>
          <w:p w:rsidR="005228A5" w:rsidRPr="00301B3A" w:rsidRDefault="005228A5" w:rsidP="005228A5">
            <w:pPr>
              <w:rPr>
                <w:rFonts w:cs="Arial"/>
                <w:sz w:val="16"/>
                <w:szCs w:val="16"/>
              </w:rPr>
            </w:pPr>
            <w:r w:rsidRPr="00301B3A">
              <w:rPr>
                <w:rFonts w:cs="Arial"/>
                <w:sz w:val="16"/>
                <w:szCs w:val="16"/>
              </w:rPr>
              <w:t>% of timely requests for safety and security assistance at conferences or events held in or outside of Geneva</w:t>
            </w:r>
          </w:p>
        </w:tc>
        <w:tc>
          <w:tcPr>
            <w:tcW w:w="536" w:type="pct"/>
            <w:shd w:val="clear" w:color="auto" w:fill="auto"/>
          </w:tcPr>
          <w:p w:rsidR="005228A5" w:rsidRPr="00301B3A" w:rsidRDefault="005228A5" w:rsidP="005228A5">
            <w:pPr>
              <w:rPr>
                <w:rFonts w:cs="Arial"/>
                <w:sz w:val="16"/>
                <w:szCs w:val="16"/>
              </w:rPr>
            </w:pPr>
            <w:r w:rsidRPr="00301B3A">
              <w:rPr>
                <w:rFonts w:cs="Arial"/>
                <w:sz w:val="16"/>
                <w:szCs w:val="16"/>
              </w:rPr>
              <w:t>65%</w:t>
            </w:r>
          </w:p>
        </w:tc>
        <w:tc>
          <w:tcPr>
            <w:tcW w:w="606" w:type="pct"/>
            <w:shd w:val="clear" w:color="auto" w:fill="auto"/>
            <w:tcMar>
              <w:top w:w="110" w:type="dxa"/>
            </w:tcMar>
          </w:tcPr>
          <w:p w:rsidR="005228A5" w:rsidRPr="00B05940" w:rsidRDefault="005228A5" w:rsidP="005228A5">
            <w:pPr>
              <w:rPr>
                <w:rFonts w:cs="Arial"/>
                <w:sz w:val="16"/>
                <w:szCs w:val="16"/>
              </w:rPr>
            </w:pPr>
            <w:r w:rsidRPr="00B05940">
              <w:rPr>
                <w:rFonts w:ascii="ArialMT" w:hAnsi="ArialMT" w:cs="ArialMT"/>
                <w:sz w:val="16"/>
                <w:szCs w:val="16"/>
              </w:rPr>
              <w:t>80%</w:t>
            </w:r>
          </w:p>
        </w:tc>
        <w:tc>
          <w:tcPr>
            <w:tcW w:w="2272" w:type="pct"/>
            <w:shd w:val="clear" w:color="auto" w:fill="FFFFFF"/>
            <w:tcMar>
              <w:top w:w="110" w:type="dxa"/>
            </w:tcMar>
          </w:tcPr>
          <w:p w:rsidR="005228A5" w:rsidRDefault="005228A5" w:rsidP="005228A5">
            <w:pPr>
              <w:rPr>
                <w:rFonts w:cs="Arial"/>
                <w:sz w:val="16"/>
                <w:szCs w:val="16"/>
              </w:rPr>
            </w:pPr>
            <w:r>
              <w:rPr>
                <w:rFonts w:cs="Arial"/>
                <w:sz w:val="16"/>
                <w:szCs w:val="16"/>
              </w:rPr>
              <w:t xml:space="preserve">During the biennium, a total of seven audits of external conferences/meetings were completed with assistance from the respective country offices of UN DSS and complied with </w:t>
            </w:r>
            <w:r w:rsidRPr="00526696">
              <w:rPr>
                <w:rFonts w:cs="Arial"/>
                <w:sz w:val="16"/>
                <w:szCs w:val="16"/>
              </w:rPr>
              <w:t xml:space="preserve"> </w:t>
            </w:r>
            <w:r>
              <w:rPr>
                <w:rFonts w:cs="Arial"/>
                <w:sz w:val="16"/>
                <w:szCs w:val="16"/>
              </w:rPr>
              <w:t xml:space="preserve">all </w:t>
            </w:r>
            <w:r w:rsidRPr="00526696">
              <w:rPr>
                <w:rFonts w:cs="Arial"/>
                <w:sz w:val="16"/>
                <w:szCs w:val="16"/>
              </w:rPr>
              <w:t xml:space="preserve">UN </w:t>
            </w:r>
            <w:r>
              <w:rPr>
                <w:rFonts w:cs="Arial"/>
                <w:sz w:val="16"/>
                <w:szCs w:val="16"/>
              </w:rPr>
              <w:t>safety/</w:t>
            </w:r>
            <w:r w:rsidRPr="00526696">
              <w:rPr>
                <w:rFonts w:cs="Arial"/>
                <w:sz w:val="16"/>
                <w:szCs w:val="16"/>
              </w:rPr>
              <w:t>security management system standards</w:t>
            </w:r>
            <w:r>
              <w:rPr>
                <w:rFonts w:cs="Arial"/>
                <w:sz w:val="16"/>
                <w:szCs w:val="16"/>
              </w:rPr>
              <w:t>:</w:t>
            </w:r>
          </w:p>
          <w:p w:rsidR="008C4799" w:rsidRPr="008C4799" w:rsidRDefault="008C4799" w:rsidP="005228A5">
            <w:pPr>
              <w:rPr>
                <w:rFonts w:cs="Arial"/>
                <w:sz w:val="8"/>
                <w:szCs w:val="8"/>
              </w:rPr>
            </w:pPr>
          </w:p>
          <w:p w:rsidR="005228A5" w:rsidRDefault="009D313E" w:rsidP="007B2B25">
            <w:pPr>
              <w:pStyle w:val="ListParagraph"/>
              <w:numPr>
                <w:ilvl w:val="0"/>
                <w:numId w:val="70"/>
              </w:numPr>
              <w:ind w:left="460" w:hanging="284"/>
              <w:rPr>
                <w:rFonts w:cs="Arial"/>
                <w:sz w:val="16"/>
                <w:szCs w:val="16"/>
              </w:rPr>
            </w:pPr>
            <w:r>
              <w:rPr>
                <w:rFonts w:cs="Arial"/>
                <w:sz w:val="16"/>
                <w:szCs w:val="16"/>
              </w:rPr>
              <w:t>t</w:t>
            </w:r>
            <w:r w:rsidR="005228A5">
              <w:rPr>
                <w:rFonts w:cs="Arial"/>
                <w:sz w:val="16"/>
                <w:szCs w:val="16"/>
              </w:rPr>
              <w:t>hree (2012)</w:t>
            </w:r>
          </w:p>
          <w:p w:rsidR="008C4799" w:rsidRPr="008C4799" w:rsidRDefault="009D313E" w:rsidP="007B2B25">
            <w:pPr>
              <w:pStyle w:val="ListParagraph"/>
              <w:numPr>
                <w:ilvl w:val="0"/>
                <w:numId w:val="70"/>
              </w:numPr>
              <w:ind w:left="460" w:hanging="284"/>
              <w:rPr>
                <w:rFonts w:cs="Arial"/>
                <w:sz w:val="16"/>
                <w:szCs w:val="16"/>
              </w:rPr>
            </w:pPr>
            <w:r>
              <w:rPr>
                <w:rFonts w:cs="Arial"/>
                <w:sz w:val="16"/>
                <w:szCs w:val="16"/>
              </w:rPr>
              <w:t>f</w:t>
            </w:r>
            <w:r w:rsidR="005228A5">
              <w:rPr>
                <w:rFonts w:cs="Arial"/>
                <w:sz w:val="16"/>
                <w:szCs w:val="16"/>
              </w:rPr>
              <w:t>our (2013)</w:t>
            </w:r>
            <w:r w:rsidR="008C4799">
              <w:rPr>
                <w:rFonts w:cs="Arial"/>
                <w:sz w:val="16"/>
                <w:szCs w:val="16"/>
              </w:rPr>
              <w:br/>
            </w:r>
          </w:p>
          <w:p w:rsidR="005228A5" w:rsidRDefault="005228A5" w:rsidP="005228A5">
            <w:pPr>
              <w:rPr>
                <w:rFonts w:cs="Arial"/>
                <w:sz w:val="16"/>
                <w:szCs w:val="16"/>
              </w:rPr>
            </w:pPr>
            <w:r w:rsidRPr="00F35125">
              <w:rPr>
                <w:rFonts w:cs="Arial"/>
                <w:sz w:val="16"/>
                <w:szCs w:val="16"/>
              </w:rPr>
              <w:t xml:space="preserve">In addition, </w:t>
            </w:r>
            <w:r w:rsidRPr="00EC1C2D">
              <w:rPr>
                <w:rFonts w:cs="Arial"/>
                <w:sz w:val="16"/>
                <w:szCs w:val="16"/>
              </w:rPr>
              <w:t>audits were completed for two external events managed directly by WIPO.</w:t>
            </w:r>
            <w:r w:rsidR="008C4799">
              <w:rPr>
                <w:rFonts w:cs="Arial"/>
                <w:sz w:val="16"/>
                <w:szCs w:val="16"/>
              </w:rPr>
              <w:t xml:space="preserve"> </w:t>
            </w:r>
            <w:r>
              <w:rPr>
                <w:rFonts w:cs="Arial"/>
                <w:sz w:val="16"/>
                <w:szCs w:val="16"/>
              </w:rPr>
              <w:t>(100% of all requests were responded to in a timely manner)</w:t>
            </w:r>
            <w:r w:rsidR="008C4799">
              <w:rPr>
                <w:rFonts w:cs="Arial"/>
                <w:sz w:val="16"/>
                <w:szCs w:val="16"/>
              </w:rPr>
              <w:t>.</w:t>
            </w:r>
          </w:p>
          <w:p w:rsidR="005228A5" w:rsidRDefault="005228A5" w:rsidP="005228A5">
            <w:pPr>
              <w:rPr>
                <w:rFonts w:cs="Arial"/>
                <w:sz w:val="16"/>
                <w:szCs w:val="16"/>
              </w:rPr>
            </w:pPr>
          </w:p>
          <w:p w:rsidR="005228A5" w:rsidRDefault="005228A5" w:rsidP="005228A5">
            <w:pPr>
              <w:rPr>
                <w:rFonts w:cs="Arial"/>
                <w:sz w:val="16"/>
                <w:szCs w:val="16"/>
              </w:rPr>
            </w:pPr>
            <w:r w:rsidRPr="00F35125">
              <w:rPr>
                <w:rFonts w:cs="Arial"/>
                <w:sz w:val="16"/>
                <w:szCs w:val="16"/>
              </w:rPr>
              <w:t>In 2012, there were two audits undertaken of External Office premises</w:t>
            </w:r>
            <w:r>
              <w:rPr>
                <w:rFonts w:cs="Arial"/>
                <w:sz w:val="16"/>
                <w:szCs w:val="16"/>
              </w:rPr>
              <w:t xml:space="preserve"> (Singapore and Tokyo).</w:t>
            </w:r>
          </w:p>
          <w:p w:rsidR="005228A5" w:rsidRDefault="005228A5" w:rsidP="005228A5">
            <w:pPr>
              <w:rPr>
                <w:rFonts w:cs="Arial"/>
                <w:sz w:val="16"/>
                <w:szCs w:val="16"/>
              </w:rPr>
            </w:pPr>
          </w:p>
          <w:p w:rsidR="005228A5" w:rsidRDefault="005228A5" w:rsidP="005228A5">
            <w:pPr>
              <w:rPr>
                <w:rFonts w:cs="Arial"/>
                <w:sz w:val="16"/>
                <w:szCs w:val="16"/>
              </w:rPr>
            </w:pPr>
            <w:r>
              <w:rPr>
                <w:rFonts w:cs="Arial"/>
                <w:sz w:val="16"/>
                <w:szCs w:val="16"/>
              </w:rPr>
              <w:t xml:space="preserve">In 2013, the audits of the  External Office premises for  </w:t>
            </w:r>
            <w:r w:rsidRPr="00F84B21">
              <w:rPr>
                <w:rFonts w:cs="Arial"/>
                <w:sz w:val="16"/>
                <w:szCs w:val="16"/>
              </w:rPr>
              <w:t xml:space="preserve">Rio de Janeiro and New York </w:t>
            </w:r>
            <w:r>
              <w:rPr>
                <w:rFonts w:cs="Arial"/>
                <w:sz w:val="16"/>
                <w:szCs w:val="16"/>
              </w:rPr>
              <w:t xml:space="preserve">were </w:t>
            </w:r>
            <w:r w:rsidRPr="002340DA">
              <w:rPr>
                <w:rFonts w:cs="Arial"/>
                <w:sz w:val="16"/>
                <w:szCs w:val="16"/>
              </w:rPr>
              <w:t>postponed due to the extensive preparations leading up to and the increased demands needed for the Diplomatic Conference in Marrakesh, as well as the Extraordinary General Assemblies held in December 2013.</w:t>
            </w:r>
          </w:p>
          <w:p w:rsidR="005228A5" w:rsidRDefault="005228A5" w:rsidP="005228A5">
            <w:pPr>
              <w:rPr>
                <w:rFonts w:cs="Arial"/>
                <w:sz w:val="16"/>
                <w:szCs w:val="16"/>
                <w:lang w:bidi="th-TH"/>
              </w:rPr>
            </w:pPr>
          </w:p>
        </w:tc>
        <w:tc>
          <w:tcPr>
            <w:tcW w:w="683" w:type="pct"/>
            <w:shd w:val="clear" w:color="auto" w:fill="auto"/>
          </w:tcPr>
          <w:p w:rsidR="005228A5" w:rsidRDefault="005228A5" w:rsidP="005228A5">
            <w:pPr>
              <w:keepNext/>
              <w:keepLines/>
              <w:jc w:val="center"/>
              <w:rPr>
                <w:rStyle w:val="Style5"/>
                <w:rFonts w:cs="Arial"/>
                <w:color w:val="00B050"/>
                <w:sz w:val="16"/>
                <w:szCs w:val="16"/>
              </w:rPr>
            </w:pPr>
            <w:r w:rsidRPr="00B05940">
              <w:rPr>
                <w:rFonts w:cs="Arial"/>
                <w:bCs/>
                <w:color w:val="008000"/>
                <w:sz w:val="16"/>
                <w:szCs w:val="16"/>
              </w:rPr>
              <w:t>Fully</w:t>
            </w:r>
            <w:r w:rsidRPr="00B05940">
              <w:rPr>
                <w:rFonts w:cs="Arial"/>
                <w:bCs/>
                <w:color w:val="008000"/>
                <w:sz w:val="16"/>
                <w:szCs w:val="16"/>
              </w:rPr>
              <w:br/>
              <w:t>Achieved</w:t>
            </w: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B05940" w:rsidRDefault="005228A5" w:rsidP="005228A5">
            <w:pPr>
              <w:keepNext/>
              <w:keepLines/>
              <w:jc w:val="center"/>
              <w:rPr>
                <w:rStyle w:val="Style5"/>
                <w:rFonts w:ascii="Arial" w:hAnsi="Arial" w:cs="Arial"/>
                <w:sz w:val="16"/>
                <w:szCs w:val="16"/>
              </w:rPr>
            </w:pPr>
          </w:p>
          <w:p w:rsidR="005228A5" w:rsidRPr="008C4799" w:rsidRDefault="008C4799" w:rsidP="005228A5">
            <w:pPr>
              <w:keepNext/>
              <w:keepLines/>
              <w:jc w:val="center"/>
              <w:rPr>
                <w:rStyle w:val="Style5"/>
                <w:rFonts w:ascii="Arial" w:hAnsi="Arial" w:cs="Arial"/>
                <w:color w:val="E36C0A" w:themeColor="accent6" w:themeShade="BF"/>
                <w:sz w:val="16"/>
                <w:szCs w:val="16"/>
              </w:rPr>
            </w:pPr>
            <w:r w:rsidRPr="008C4799">
              <w:rPr>
                <w:rStyle w:val="Style5"/>
                <w:rFonts w:ascii="Arial" w:hAnsi="Arial" w:cs="Arial"/>
                <w:color w:val="E36C0A" w:themeColor="accent6" w:themeShade="BF"/>
                <w:sz w:val="16"/>
                <w:szCs w:val="16"/>
              </w:rPr>
              <w:t>Partially</w:t>
            </w:r>
            <w:r w:rsidRPr="008C4799">
              <w:rPr>
                <w:rStyle w:val="Style5"/>
                <w:rFonts w:ascii="Arial" w:hAnsi="Arial" w:cs="Arial"/>
                <w:color w:val="E36C0A" w:themeColor="accent6" w:themeShade="BF"/>
                <w:sz w:val="16"/>
                <w:szCs w:val="16"/>
              </w:rPr>
              <w:br/>
            </w:r>
            <w:r w:rsidR="005228A5" w:rsidRPr="008C4799">
              <w:rPr>
                <w:rStyle w:val="Style5"/>
                <w:rFonts w:ascii="Arial" w:hAnsi="Arial" w:cs="Arial"/>
                <w:color w:val="E36C0A" w:themeColor="accent6" w:themeShade="BF"/>
                <w:sz w:val="16"/>
                <w:szCs w:val="16"/>
              </w:rPr>
              <w:t>Achieved</w:t>
            </w:r>
          </w:p>
          <w:p w:rsidR="005228A5" w:rsidRPr="009B667B" w:rsidRDefault="005228A5" w:rsidP="005228A5">
            <w:pPr>
              <w:keepNext/>
              <w:keepLines/>
              <w:jc w:val="center"/>
              <w:rPr>
                <w:rFonts w:cs="Arial"/>
                <w:bCs/>
                <w:color w:val="333333"/>
                <w:sz w:val="16"/>
                <w:szCs w:val="16"/>
              </w:rPr>
            </w:pPr>
          </w:p>
        </w:tc>
      </w:tr>
    </w:tbl>
    <w:p w:rsidR="005228A5" w:rsidRPr="008C207C" w:rsidRDefault="005228A5" w:rsidP="005228A5">
      <w:pPr>
        <w:rPr>
          <w:rFonts w:cs="Arial"/>
          <w:sz w:val="22"/>
          <w:szCs w:val="22"/>
        </w:rPr>
      </w:pPr>
    </w:p>
    <w:p w:rsidR="005228A5" w:rsidRPr="008C207C" w:rsidRDefault="005228A5" w:rsidP="005228A5">
      <w:pPr>
        <w:rPr>
          <w:rFonts w:cs="Arial"/>
          <w:sz w:val="22"/>
          <w:szCs w:val="22"/>
        </w:rPr>
      </w:pPr>
    </w:p>
    <w:p w:rsidR="005228A5" w:rsidRPr="008C207C" w:rsidRDefault="005228A5" w:rsidP="005228A5">
      <w:pPr>
        <w:rPr>
          <w:rFonts w:cs="Arial"/>
          <w:sz w:val="22"/>
          <w:szCs w:val="22"/>
        </w:rPr>
      </w:pPr>
    </w:p>
    <w:p w:rsidR="005228A5" w:rsidRDefault="005228A5" w:rsidP="005228A5">
      <w:pPr>
        <w:rPr>
          <w:rFonts w:cs="Arial"/>
          <w:sz w:val="22"/>
          <w:szCs w:val="22"/>
        </w:rPr>
      </w:pPr>
      <w:r w:rsidRPr="008C207C">
        <w:rPr>
          <w:rFonts w:cs="Arial"/>
          <w:sz w:val="22"/>
          <w:szCs w:val="22"/>
        </w:rPr>
        <w:t xml:space="preserve">BUDGET </w:t>
      </w:r>
      <w:r>
        <w:rPr>
          <w:rFonts w:cs="Arial"/>
          <w:sz w:val="22"/>
          <w:szCs w:val="22"/>
        </w:rPr>
        <w:t>AND ACTUAL EXPENDITURE</w:t>
      </w:r>
    </w:p>
    <w:p w:rsidR="005228A5" w:rsidRDefault="005228A5" w:rsidP="005228A5">
      <w:pPr>
        <w:rPr>
          <w:rFonts w:cs="Arial"/>
          <w:sz w:val="22"/>
          <w:szCs w:val="22"/>
        </w:rPr>
      </w:pPr>
    </w:p>
    <w:p w:rsidR="005228A5" w:rsidRPr="00B05940" w:rsidRDefault="005228A5" w:rsidP="005228A5">
      <w:pPr>
        <w:pStyle w:val="NormalWeb"/>
        <w:spacing w:before="0" w:beforeAutospacing="0" w:after="0" w:afterAutospacing="0"/>
        <w:jc w:val="center"/>
        <w:rPr>
          <w:sz w:val="20"/>
          <w:szCs w:val="20"/>
        </w:rPr>
      </w:pPr>
      <w:r w:rsidRPr="00B05940">
        <w:rPr>
          <w:color w:val="000000"/>
          <w:sz w:val="20"/>
          <w:szCs w:val="20"/>
        </w:rPr>
        <w:t xml:space="preserve">Budget and Actual Expenditure (by result) </w:t>
      </w:r>
    </w:p>
    <w:p w:rsidR="005228A5" w:rsidRPr="00B05940" w:rsidRDefault="005228A5" w:rsidP="005228A5">
      <w:pPr>
        <w:pStyle w:val="NormalWeb"/>
        <w:spacing w:before="0" w:beforeAutospacing="0" w:after="0" w:afterAutospacing="0"/>
        <w:jc w:val="center"/>
        <w:rPr>
          <w:i/>
          <w:iCs/>
          <w:color w:val="000000"/>
          <w:sz w:val="20"/>
          <w:szCs w:val="20"/>
        </w:rPr>
      </w:pPr>
      <w:r w:rsidRPr="00B05940">
        <w:rPr>
          <w:i/>
          <w:iCs/>
          <w:color w:val="000000"/>
          <w:sz w:val="20"/>
          <w:szCs w:val="20"/>
        </w:rPr>
        <w:t>(</w:t>
      </w:r>
      <w:proofErr w:type="gramStart"/>
      <w:r w:rsidRPr="00B05940">
        <w:rPr>
          <w:i/>
          <w:iCs/>
          <w:color w:val="000000"/>
          <w:sz w:val="20"/>
          <w:szCs w:val="20"/>
        </w:rPr>
        <w:t>in</w:t>
      </w:r>
      <w:proofErr w:type="gramEnd"/>
      <w:r w:rsidRPr="00B05940">
        <w:rPr>
          <w:i/>
          <w:iCs/>
          <w:color w:val="000000"/>
          <w:sz w:val="20"/>
          <w:szCs w:val="20"/>
        </w:rPr>
        <w:t xml:space="preserve"> thousands of Swiss francs)</w:t>
      </w:r>
    </w:p>
    <w:p w:rsidR="005228A5" w:rsidRPr="00B05940" w:rsidRDefault="005228A5" w:rsidP="005228A5">
      <w:pPr>
        <w:pStyle w:val="NormalWeb"/>
        <w:spacing w:before="0" w:beforeAutospacing="0" w:after="0" w:afterAutospacing="0"/>
        <w:jc w:val="center"/>
        <w:rPr>
          <w:sz w:val="20"/>
          <w:szCs w:val="20"/>
        </w:rPr>
      </w:pPr>
    </w:p>
    <w:tbl>
      <w:tblPr>
        <w:tblW w:w="0" w:type="auto"/>
        <w:tblInd w:w="103" w:type="dxa"/>
        <w:tblLayout w:type="fixed"/>
        <w:tblLook w:val="04A0" w:firstRow="1" w:lastRow="0" w:firstColumn="1" w:lastColumn="0" w:noHBand="0" w:noVBand="1"/>
      </w:tblPr>
      <w:tblGrid>
        <w:gridCol w:w="501"/>
        <w:gridCol w:w="4040"/>
        <w:gridCol w:w="1606"/>
        <w:gridCol w:w="1607"/>
        <w:gridCol w:w="1607"/>
      </w:tblGrid>
      <w:tr w:rsidR="005228A5" w:rsidRPr="009D313E" w:rsidTr="00CD26D6">
        <w:tc>
          <w:tcPr>
            <w:tcW w:w="4541"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Expected Result No. and Description</w:t>
            </w:r>
          </w:p>
        </w:tc>
        <w:tc>
          <w:tcPr>
            <w:tcW w:w="1606" w:type="dxa"/>
            <w:tcBorders>
              <w:top w:val="single" w:sz="4" w:space="0" w:color="auto"/>
              <w:left w:val="nil"/>
              <w:bottom w:val="single" w:sz="4" w:space="0" w:color="auto"/>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2012/13 Approved Budget</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 xml:space="preserve">2012/13 Budget </w:t>
            </w:r>
            <w:r w:rsidRPr="009D313E">
              <w:rPr>
                <w:rFonts w:cs="Arial"/>
                <w:bCs/>
                <w:color w:val="000000"/>
                <w:sz w:val="16"/>
                <w:szCs w:val="16"/>
              </w:rPr>
              <w:br/>
              <w:t>After Transfers</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 xml:space="preserve">2012/13 </w:t>
            </w:r>
            <w:r w:rsidRPr="009D313E">
              <w:rPr>
                <w:rFonts w:cs="Arial"/>
                <w:bCs/>
                <w:color w:val="000000"/>
                <w:sz w:val="16"/>
                <w:szCs w:val="16"/>
              </w:rPr>
              <w:br/>
              <w:t>Expenditure</w:t>
            </w:r>
          </w:p>
        </w:tc>
      </w:tr>
      <w:tr w:rsidR="005228A5" w:rsidRPr="00B05940" w:rsidTr="00CD26D6">
        <w:tc>
          <w:tcPr>
            <w:tcW w:w="501" w:type="dxa"/>
            <w:tcBorders>
              <w:top w:val="nil"/>
              <w:left w:val="single" w:sz="4" w:space="0" w:color="auto"/>
              <w:bottom w:val="single" w:sz="4" w:space="0" w:color="auto"/>
              <w:right w:val="nil"/>
            </w:tcBorders>
            <w:shd w:val="clear" w:color="000000" w:fill="FFFFFF"/>
            <w:noWrap/>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IX.4</w:t>
            </w:r>
          </w:p>
        </w:tc>
        <w:tc>
          <w:tcPr>
            <w:tcW w:w="4040" w:type="dxa"/>
            <w:tcBorders>
              <w:top w:val="nil"/>
              <w:left w:val="nil"/>
              <w:bottom w:val="single" w:sz="4" w:space="0" w:color="auto"/>
              <w:right w:val="nil"/>
            </w:tcBorders>
            <w:shd w:val="clear" w:color="000000" w:fill="FFFFFF"/>
            <w:hideMark/>
          </w:tcPr>
          <w:p w:rsidR="005228A5" w:rsidRPr="00B05940" w:rsidRDefault="005228A5" w:rsidP="009D313E">
            <w:pPr>
              <w:spacing w:before="120" w:after="120"/>
              <w:rPr>
                <w:rFonts w:cs="Arial"/>
                <w:color w:val="000000"/>
                <w:sz w:val="16"/>
                <w:szCs w:val="16"/>
              </w:rPr>
            </w:pPr>
            <w:r w:rsidRPr="00B05940">
              <w:rPr>
                <w:rFonts w:cs="Arial"/>
                <w:color w:val="000000"/>
                <w:sz w:val="16"/>
                <w:szCs w:val="16"/>
              </w:rPr>
              <w:t>WIPO staff, delegates, visitors and information and physical assets are safe and secure</w:t>
            </w:r>
          </w:p>
        </w:tc>
        <w:tc>
          <w:tcPr>
            <w:tcW w:w="1606" w:type="dxa"/>
            <w:tcBorders>
              <w:top w:val="nil"/>
              <w:left w:val="nil"/>
              <w:bottom w:val="nil"/>
              <w:right w:val="nil"/>
            </w:tcBorders>
            <w:shd w:val="clear" w:color="000000" w:fill="FFFFFF"/>
            <w:vAlign w:val="center"/>
            <w:hideMark/>
          </w:tcPr>
          <w:p w:rsidR="005228A5" w:rsidRPr="00B05940" w:rsidRDefault="005228A5" w:rsidP="009D313E">
            <w:pPr>
              <w:spacing w:before="120" w:after="120"/>
              <w:jc w:val="right"/>
              <w:rPr>
                <w:rFonts w:cs="Arial"/>
                <w:color w:val="000000"/>
                <w:sz w:val="16"/>
                <w:szCs w:val="16"/>
              </w:rPr>
            </w:pPr>
            <w:r w:rsidRPr="00B05940">
              <w:rPr>
                <w:rFonts w:cs="Arial"/>
                <w:color w:val="000000"/>
                <w:sz w:val="16"/>
                <w:szCs w:val="16"/>
              </w:rPr>
              <w:t xml:space="preserve">12,159 </w:t>
            </w:r>
          </w:p>
        </w:tc>
        <w:tc>
          <w:tcPr>
            <w:tcW w:w="1607" w:type="dxa"/>
            <w:tcBorders>
              <w:top w:val="nil"/>
              <w:left w:val="nil"/>
              <w:bottom w:val="nil"/>
              <w:right w:val="nil"/>
            </w:tcBorders>
            <w:shd w:val="clear" w:color="000000" w:fill="FFFFFF"/>
            <w:vAlign w:val="center"/>
            <w:hideMark/>
          </w:tcPr>
          <w:p w:rsidR="005228A5" w:rsidRPr="00B05940" w:rsidRDefault="005228A5" w:rsidP="009D313E">
            <w:pPr>
              <w:spacing w:before="120" w:after="120"/>
              <w:jc w:val="right"/>
              <w:rPr>
                <w:rFonts w:cs="Arial"/>
                <w:color w:val="000000"/>
                <w:sz w:val="16"/>
                <w:szCs w:val="16"/>
              </w:rPr>
            </w:pPr>
            <w:r w:rsidRPr="00B05940">
              <w:rPr>
                <w:rFonts w:cs="Arial"/>
                <w:color w:val="000000"/>
                <w:sz w:val="16"/>
                <w:szCs w:val="16"/>
              </w:rPr>
              <w:t xml:space="preserve">11,385 </w:t>
            </w:r>
          </w:p>
        </w:tc>
        <w:tc>
          <w:tcPr>
            <w:tcW w:w="1607" w:type="dxa"/>
            <w:tcBorders>
              <w:top w:val="nil"/>
              <w:left w:val="nil"/>
              <w:bottom w:val="nil"/>
              <w:right w:val="single" w:sz="4" w:space="0" w:color="auto"/>
            </w:tcBorders>
            <w:shd w:val="clear" w:color="000000" w:fill="FFFFFF"/>
            <w:vAlign w:val="center"/>
            <w:hideMark/>
          </w:tcPr>
          <w:p w:rsidR="005228A5" w:rsidRPr="00B05940" w:rsidRDefault="005228A5" w:rsidP="009D313E">
            <w:pPr>
              <w:spacing w:before="120" w:after="120"/>
              <w:jc w:val="right"/>
              <w:rPr>
                <w:rFonts w:cs="Arial"/>
                <w:color w:val="000000"/>
                <w:sz w:val="16"/>
                <w:szCs w:val="16"/>
              </w:rPr>
            </w:pPr>
            <w:r w:rsidRPr="00B05940">
              <w:rPr>
                <w:rFonts w:cs="Arial"/>
                <w:color w:val="000000"/>
                <w:sz w:val="16"/>
                <w:szCs w:val="16"/>
              </w:rPr>
              <w:t xml:space="preserve">11,026 </w:t>
            </w:r>
          </w:p>
        </w:tc>
      </w:tr>
      <w:tr w:rsidR="005228A5" w:rsidRPr="00B05940" w:rsidTr="00CD26D6">
        <w:tc>
          <w:tcPr>
            <w:tcW w:w="501" w:type="dxa"/>
            <w:tcBorders>
              <w:top w:val="nil"/>
              <w:left w:val="single" w:sz="4" w:space="0" w:color="auto"/>
              <w:bottom w:val="single" w:sz="4" w:space="0" w:color="auto"/>
              <w:right w:val="nil"/>
            </w:tcBorders>
            <w:shd w:val="clear" w:color="000000" w:fill="CCFFFF"/>
            <w:noWrap/>
            <w:vAlign w:val="bottom"/>
            <w:hideMark/>
          </w:tcPr>
          <w:p w:rsidR="005228A5" w:rsidRPr="00B05940" w:rsidRDefault="005228A5" w:rsidP="009D313E">
            <w:pPr>
              <w:spacing w:before="120" w:after="120"/>
              <w:jc w:val="center"/>
              <w:rPr>
                <w:rFonts w:cs="Arial"/>
                <w:b/>
                <w:bCs/>
                <w:color w:val="000000"/>
                <w:sz w:val="16"/>
                <w:szCs w:val="16"/>
              </w:rPr>
            </w:pPr>
            <w:r w:rsidRPr="00B05940">
              <w:rPr>
                <w:rFonts w:cs="Arial"/>
                <w:b/>
                <w:bCs/>
                <w:color w:val="000000"/>
                <w:sz w:val="16"/>
                <w:szCs w:val="16"/>
              </w:rPr>
              <w:t> </w:t>
            </w:r>
          </w:p>
        </w:tc>
        <w:tc>
          <w:tcPr>
            <w:tcW w:w="4040" w:type="dxa"/>
            <w:tcBorders>
              <w:top w:val="nil"/>
              <w:left w:val="nil"/>
              <w:bottom w:val="single" w:sz="4" w:space="0" w:color="auto"/>
              <w:right w:val="nil"/>
            </w:tcBorders>
            <w:shd w:val="clear" w:color="000000" w:fill="CCFFFF"/>
            <w:noWrap/>
            <w:vAlign w:val="center"/>
            <w:hideMark/>
          </w:tcPr>
          <w:p w:rsidR="005228A5" w:rsidRPr="00B05940" w:rsidRDefault="005228A5" w:rsidP="009D313E">
            <w:pPr>
              <w:spacing w:before="120" w:after="120"/>
              <w:rPr>
                <w:rFonts w:cs="Arial"/>
                <w:b/>
                <w:bCs/>
                <w:color w:val="000000"/>
                <w:sz w:val="16"/>
                <w:szCs w:val="16"/>
              </w:rPr>
            </w:pPr>
            <w:r w:rsidRPr="00B05940">
              <w:rPr>
                <w:rFonts w:cs="Arial"/>
                <w:b/>
                <w:bCs/>
                <w:color w:val="000000"/>
                <w:sz w:val="16"/>
                <w:szCs w:val="16"/>
              </w:rPr>
              <w:t>Total</w:t>
            </w:r>
          </w:p>
        </w:tc>
        <w:tc>
          <w:tcPr>
            <w:tcW w:w="1606" w:type="dxa"/>
            <w:tcBorders>
              <w:top w:val="single" w:sz="4" w:space="0" w:color="auto"/>
              <w:left w:val="single" w:sz="4" w:space="0" w:color="auto"/>
              <w:bottom w:val="single" w:sz="4" w:space="0" w:color="auto"/>
              <w:right w:val="single" w:sz="4" w:space="0" w:color="auto"/>
            </w:tcBorders>
            <w:shd w:val="clear" w:color="000000" w:fill="CCFFFF"/>
            <w:vAlign w:val="center"/>
            <w:hideMark/>
          </w:tcPr>
          <w:p w:rsidR="005228A5" w:rsidRPr="00B05940" w:rsidRDefault="005228A5" w:rsidP="009D313E">
            <w:pPr>
              <w:spacing w:before="120" w:after="120"/>
              <w:jc w:val="right"/>
              <w:rPr>
                <w:rFonts w:cs="Arial"/>
                <w:b/>
                <w:bCs/>
                <w:color w:val="000000"/>
                <w:sz w:val="16"/>
                <w:szCs w:val="16"/>
              </w:rPr>
            </w:pPr>
            <w:r w:rsidRPr="00B05940">
              <w:rPr>
                <w:rFonts w:cs="Arial"/>
                <w:b/>
                <w:bCs/>
                <w:color w:val="000000"/>
                <w:sz w:val="16"/>
                <w:szCs w:val="16"/>
              </w:rPr>
              <w:t>12,159</w:t>
            </w:r>
          </w:p>
        </w:tc>
        <w:tc>
          <w:tcPr>
            <w:tcW w:w="1607" w:type="dxa"/>
            <w:tcBorders>
              <w:top w:val="single" w:sz="4" w:space="0" w:color="auto"/>
              <w:left w:val="nil"/>
              <w:bottom w:val="single" w:sz="4" w:space="0" w:color="auto"/>
              <w:right w:val="single" w:sz="4" w:space="0" w:color="auto"/>
            </w:tcBorders>
            <w:shd w:val="clear" w:color="000000" w:fill="CCFFFF"/>
            <w:noWrap/>
            <w:vAlign w:val="center"/>
            <w:hideMark/>
          </w:tcPr>
          <w:p w:rsidR="005228A5" w:rsidRPr="00B05940" w:rsidRDefault="005228A5" w:rsidP="009D313E">
            <w:pPr>
              <w:spacing w:before="120" w:after="120"/>
              <w:jc w:val="right"/>
              <w:rPr>
                <w:rFonts w:cs="Arial"/>
                <w:b/>
                <w:bCs/>
                <w:color w:val="000000"/>
                <w:sz w:val="16"/>
                <w:szCs w:val="16"/>
              </w:rPr>
            </w:pPr>
            <w:r w:rsidRPr="00B05940">
              <w:rPr>
                <w:rFonts w:cs="Arial"/>
                <w:b/>
                <w:bCs/>
                <w:color w:val="000000"/>
                <w:sz w:val="16"/>
                <w:szCs w:val="16"/>
              </w:rPr>
              <w:t>11,385</w:t>
            </w:r>
          </w:p>
        </w:tc>
        <w:tc>
          <w:tcPr>
            <w:tcW w:w="1607" w:type="dxa"/>
            <w:tcBorders>
              <w:top w:val="single" w:sz="4" w:space="0" w:color="auto"/>
              <w:left w:val="nil"/>
              <w:bottom w:val="single" w:sz="4" w:space="0" w:color="auto"/>
              <w:right w:val="single" w:sz="4" w:space="0" w:color="auto"/>
            </w:tcBorders>
            <w:shd w:val="clear" w:color="000000" w:fill="CCFFFF"/>
            <w:vAlign w:val="center"/>
            <w:hideMark/>
          </w:tcPr>
          <w:p w:rsidR="005228A5" w:rsidRPr="00B05940" w:rsidRDefault="005228A5" w:rsidP="009D313E">
            <w:pPr>
              <w:spacing w:before="120" w:after="120"/>
              <w:jc w:val="right"/>
              <w:rPr>
                <w:rFonts w:cs="Arial"/>
                <w:b/>
                <w:bCs/>
                <w:color w:val="000000"/>
                <w:sz w:val="16"/>
                <w:szCs w:val="16"/>
              </w:rPr>
            </w:pPr>
            <w:r w:rsidRPr="00B05940">
              <w:rPr>
                <w:rFonts w:cs="Arial"/>
                <w:b/>
                <w:color w:val="000000"/>
                <w:sz w:val="16"/>
                <w:szCs w:val="16"/>
              </w:rPr>
              <w:t>11,026</w:t>
            </w:r>
          </w:p>
        </w:tc>
      </w:tr>
    </w:tbl>
    <w:p w:rsidR="005228A5" w:rsidRDefault="005228A5" w:rsidP="005228A5">
      <w:pPr>
        <w:rPr>
          <w:rFonts w:cs="Arial"/>
          <w:sz w:val="22"/>
          <w:szCs w:val="22"/>
        </w:rPr>
      </w:pPr>
    </w:p>
    <w:p w:rsidR="009D313E" w:rsidRDefault="009D313E" w:rsidP="005228A5">
      <w:pPr>
        <w:pStyle w:val="NormalWeb"/>
        <w:spacing w:before="0" w:beforeAutospacing="0" w:after="0" w:afterAutospacing="0"/>
        <w:jc w:val="center"/>
        <w:rPr>
          <w:color w:val="000000"/>
          <w:sz w:val="20"/>
          <w:szCs w:val="20"/>
        </w:rPr>
      </w:pPr>
    </w:p>
    <w:p w:rsidR="009D313E" w:rsidRDefault="009D313E">
      <w:pPr>
        <w:rPr>
          <w:rFonts w:cs="Arial"/>
          <w:color w:val="000000"/>
          <w:szCs w:val="20"/>
        </w:rPr>
      </w:pPr>
      <w:r>
        <w:rPr>
          <w:color w:val="000000"/>
          <w:szCs w:val="20"/>
        </w:rPr>
        <w:br w:type="page"/>
      </w:r>
    </w:p>
    <w:p w:rsidR="009D313E" w:rsidRDefault="009D313E" w:rsidP="005228A5">
      <w:pPr>
        <w:pStyle w:val="NormalWeb"/>
        <w:spacing w:before="0" w:beforeAutospacing="0" w:after="0" w:afterAutospacing="0"/>
        <w:jc w:val="center"/>
        <w:rPr>
          <w:color w:val="000000"/>
          <w:sz w:val="20"/>
          <w:szCs w:val="20"/>
        </w:rPr>
      </w:pPr>
    </w:p>
    <w:p w:rsidR="005228A5" w:rsidRPr="00B05940" w:rsidRDefault="005228A5" w:rsidP="005228A5">
      <w:pPr>
        <w:pStyle w:val="NormalWeb"/>
        <w:spacing w:before="0" w:beforeAutospacing="0" w:after="0" w:afterAutospacing="0"/>
        <w:jc w:val="center"/>
        <w:rPr>
          <w:sz w:val="20"/>
          <w:szCs w:val="20"/>
        </w:rPr>
      </w:pPr>
      <w:r w:rsidRPr="00B05940">
        <w:rPr>
          <w:color w:val="000000"/>
          <w:sz w:val="20"/>
          <w:szCs w:val="20"/>
        </w:rPr>
        <w:t xml:space="preserve">Budget and Actual Expenditure (personnel and non-personnel) </w:t>
      </w:r>
    </w:p>
    <w:p w:rsidR="005228A5" w:rsidRPr="00B05940" w:rsidRDefault="005228A5" w:rsidP="005228A5">
      <w:pPr>
        <w:pStyle w:val="NormalWeb"/>
        <w:spacing w:before="0" w:beforeAutospacing="0" w:after="0" w:afterAutospacing="0"/>
        <w:jc w:val="center"/>
        <w:rPr>
          <w:sz w:val="20"/>
          <w:szCs w:val="20"/>
        </w:rPr>
      </w:pPr>
      <w:r w:rsidRPr="00B05940">
        <w:rPr>
          <w:i/>
          <w:iCs/>
          <w:color w:val="000000"/>
          <w:sz w:val="20"/>
          <w:szCs w:val="20"/>
        </w:rPr>
        <w:t>(</w:t>
      </w:r>
      <w:proofErr w:type="gramStart"/>
      <w:r w:rsidRPr="00B05940">
        <w:rPr>
          <w:i/>
          <w:iCs/>
          <w:color w:val="000000"/>
          <w:sz w:val="20"/>
          <w:szCs w:val="20"/>
        </w:rPr>
        <w:t>in</w:t>
      </w:r>
      <w:proofErr w:type="gramEnd"/>
      <w:r w:rsidRPr="00B05940">
        <w:rPr>
          <w:i/>
          <w:iCs/>
          <w:color w:val="000000"/>
          <w:sz w:val="20"/>
          <w:szCs w:val="20"/>
        </w:rPr>
        <w:t xml:space="preserve"> thousands of Swiss francs)</w:t>
      </w:r>
    </w:p>
    <w:p w:rsidR="005228A5" w:rsidRPr="008C207C" w:rsidRDefault="005228A5" w:rsidP="005228A5">
      <w:pPr>
        <w:rPr>
          <w:rFonts w:cs="Arial"/>
          <w:sz w:val="22"/>
          <w:szCs w:val="22"/>
        </w:rPr>
      </w:pPr>
    </w:p>
    <w:tbl>
      <w:tblPr>
        <w:tblW w:w="0" w:type="auto"/>
        <w:tblInd w:w="93" w:type="dxa"/>
        <w:tblLook w:val="04A0" w:firstRow="1" w:lastRow="0" w:firstColumn="1" w:lastColumn="0" w:noHBand="0" w:noVBand="1"/>
      </w:tblPr>
      <w:tblGrid>
        <w:gridCol w:w="2709"/>
        <w:gridCol w:w="1630"/>
        <w:gridCol w:w="1631"/>
        <w:gridCol w:w="1630"/>
        <w:gridCol w:w="1631"/>
      </w:tblGrid>
      <w:tr w:rsidR="005228A5" w:rsidRPr="009D313E" w:rsidTr="009D313E">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5228A5" w:rsidRPr="009D313E" w:rsidRDefault="005228A5" w:rsidP="009D313E">
            <w:pPr>
              <w:spacing w:before="120" w:after="120"/>
              <w:rPr>
                <w:rFonts w:cs="Arial"/>
                <w:color w:val="000000"/>
                <w:sz w:val="16"/>
                <w:szCs w:val="16"/>
              </w:rPr>
            </w:pPr>
            <w:r w:rsidRPr="009D313E">
              <w:rPr>
                <w:rFonts w:cs="Arial"/>
                <w:color w:val="000000"/>
                <w:sz w:val="16"/>
                <w:szCs w:val="16"/>
              </w:rPr>
              <w:t> </w:t>
            </w:r>
          </w:p>
        </w:tc>
        <w:tc>
          <w:tcPr>
            <w:tcW w:w="1630" w:type="dxa"/>
            <w:tcBorders>
              <w:top w:val="single" w:sz="4" w:space="0" w:color="auto"/>
              <w:left w:val="nil"/>
              <w:bottom w:val="nil"/>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Approved Budget 2012/13</w:t>
            </w:r>
          </w:p>
        </w:tc>
        <w:tc>
          <w:tcPr>
            <w:tcW w:w="1631" w:type="dxa"/>
            <w:tcBorders>
              <w:top w:val="single" w:sz="4" w:space="0" w:color="auto"/>
              <w:left w:val="nil"/>
              <w:bottom w:val="nil"/>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Budget after transfers 2012/13</w:t>
            </w:r>
          </w:p>
        </w:tc>
        <w:tc>
          <w:tcPr>
            <w:tcW w:w="1630" w:type="dxa"/>
            <w:tcBorders>
              <w:top w:val="single" w:sz="4" w:space="0" w:color="auto"/>
              <w:left w:val="nil"/>
              <w:bottom w:val="nil"/>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Expenditures 2012/13</w:t>
            </w:r>
          </w:p>
        </w:tc>
        <w:tc>
          <w:tcPr>
            <w:tcW w:w="1631" w:type="dxa"/>
            <w:tcBorders>
              <w:top w:val="single" w:sz="4" w:space="0" w:color="auto"/>
              <w:left w:val="nil"/>
              <w:bottom w:val="nil"/>
              <w:right w:val="single" w:sz="4" w:space="0" w:color="auto"/>
            </w:tcBorders>
            <w:shd w:val="clear" w:color="000000" w:fill="CCFFFF"/>
            <w:vAlign w:val="center"/>
            <w:hideMark/>
          </w:tcPr>
          <w:p w:rsidR="005228A5" w:rsidRPr="009D313E" w:rsidRDefault="005228A5" w:rsidP="009D313E">
            <w:pPr>
              <w:spacing w:before="120" w:after="120"/>
              <w:jc w:val="center"/>
              <w:rPr>
                <w:rFonts w:cs="Arial"/>
                <w:bCs/>
                <w:color w:val="000000"/>
                <w:sz w:val="16"/>
                <w:szCs w:val="16"/>
              </w:rPr>
            </w:pPr>
            <w:r w:rsidRPr="009D313E">
              <w:rPr>
                <w:rFonts w:cs="Arial"/>
                <w:bCs/>
                <w:color w:val="000000"/>
                <w:sz w:val="16"/>
                <w:szCs w:val="16"/>
              </w:rPr>
              <w:t>Utilization rate (%)</w:t>
            </w:r>
          </w:p>
        </w:tc>
      </w:tr>
      <w:tr w:rsidR="005228A5" w:rsidRPr="00B05940" w:rsidTr="009D313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228A5" w:rsidRPr="00B05940" w:rsidRDefault="005228A5" w:rsidP="009D313E">
            <w:pPr>
              <w:spacing w:before="120" w:after="120"/>
              <w:rPr>
                <w:rFonts w:cs="Arial"/>
                <w:color w:val="000000"/>
                <w:sz w:val="16"/>
                <w:szCs w:val="16"/>
              </w:rPr>
            </w:pPr>
            <w:r w:rsidRPr="00B05940">
              <w:rPr>
                <w:rFonts w:cs="Arial"/>
                <w:color w:val="000000"/>
                <w:sz w:val="16"/>
                <w:szCs w:val="16"/>
              </w:rPr>
              <w:t xml:space="preserve">Personnel Resources  </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2,693</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2,280</w:t>
            </w:r>
          </w:p>
        </w:tc>
        <w:tc>
          <w:tcPr>
            <w:tcW w:w="1630" w:type="dxa"/>
            <w:tcBorders>
              <w:top w:val="single" w:sz="4" w:space="0" w:color="auto"/>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2,280</w:t>
            </w:r>
          </w:p>
        </w:tc>
        <w:tc>
          <w:tcPr>
            <w:tcW w:w="1631" w:type="dxa"/>
            <w:tcBorders>
              <w:top w:val="single" w:sz="4" w:space="0" w:color="auto"/>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100%</w:t>
            </w:r>
          </w:p>
        </w:tc>
      </w:tr>
      <w:tr w:rsidR="005228A5" w:rsidRPr="00B05940" w:rsidTr="009D313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228A5" w:rsidRPr="00B05940" w:rsidRDefault="005228A5" w:rsidP="009D313E">
            <w:pPr>
              <w:spacing w:before="120" w:after="120"/>
              <w:rPr>
                <w:rFonts w:cs="Arial"/>
                <w:color w:val="000000"/>
                <w:sz w:val="16"/>
                <w:szCs w:val="16"/>
              </w:rPr>
            </w:pPr>
            <w:r w:rsidRPr="00B05940">
              <w:rPr>
                <w:rFonts w:cs="Arial"/>
                <w:color w:val="000000"/>
                <w:sz w:val="16"/>
                <w:szCs w:val="16"/>
              </w:rPr>
              <w:t xml:space="preserve">Non-personnel Resources </w:t>
            </w:r>
          </w:p>
        </w:tc>
        <w:tc>
          <w:tcPr>
            <w:tcW w:w="1630"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9,466</w:t>
            </w:r>
          </w:p>
        </w:tc>
        <w:tc>
          <w:tcPr>
            <w:tcW w:w="1631"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9,105</w:t>
            </w:r>
          </w:p>
        </w:tc>
        <w:tc>
          <w:tcPr>
            <w:tcW w:w="1630"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8,746</w:t>
            </w:r>
          </w:p>
        </w:tc>
        <w:tc>
          <w:tcPr>
            <w:tcW w:w="1631"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color w:val="000000"/>
                <w:sz w:val="16"/>
                <w:szCs w:val="16"/>
              </w:rPr>
            </w:pPr>
            <w:r w:rsidRPr="00B05940">
              <w:rPr>
                <w:rFonts w:cs="Arial"/>
                <w:color w:val="000000"/>
                <w:sz w:val="16"/>
                <w:szCs w:val="16"/>
              </w:rPr>
              <w:t>96%</w:t>
            </w:r>
          </w:p>
        </w:tc>
      </w:tr>
      <w:tr w:rsidR="005228A5" w:rsidRPr="00B05940" w:rsidTr="009D313E">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5228A5" w:rsidRPr="00B05940" w:rsidRDefault="005228A5" w:rsidP="009D313E">
            <w:pPr>
              <w:spacing w:before="120" w:after="120"/>
              <w:jc w:val="right"/>
              <w:rPr>
                <w:rFonts w:cs="Arial"/>
                <w:b/>
                <w:bCs/>
                <w:color w:val="000000"/>
                <w:sz w:val="16"/>
                <w:szCs w:val="16"/>
              </w:rPr>
            </w:pPr>
            <w:r w:rsidRPr="00B05940">
              <w:rPr>
                <w:rFonts w:cs="Arial"/>
                <w:b/>
                <w:bCs/>
                <w:color w:val="000000"/>
                <w:sz w:val="16"/>
                <w:szCs w:val="16"/>
              </w:rPr>
              <w:t xml:space="preserve"> TOTAL </w:t>
            </w:r>
          </w:p>
        </w:tc>
        <w:tc>
          <w:tcPr>
            <w:tcW w:w="1630"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b/>
                <w:bCs/>
                <w:color w:val="000000"/>
                <w:sz w:val="16"/>
                <w:szCs w:val="16"/>
              </w:rPr>
            </w:pPr>
            <w:r w:rsidRPr="00B05940">
              <w:rPr>
                <w:rFonts w:cs="Arial"/>
                <w:b/>
                <w:bCs/>
                <w:color w:val="000000"/>
                <w:sz w:val="16"/>
                <w:szCs w:val="16"/>
              </w:rPr>
              <w:t>12,159</w:t>
            </w:r>
          </w:p>
        </w:tc>
        <w:tc>
          <w:tcPr>
            <w:tcW w:w="1631"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b/>
                <w:color w:val="000000"/>
                <w:sz w:val="16"/>
                <w:szCs w:val="16"/>
              </w:rPr>
            </w:pPr>
            <w:r w:rsidRPr="00B05940">
              <w:rPr>
                <w:rFonts w:cs="Arial"/>
                <w:b/>
                <w:color w:val="000000"/>
                <w:sz w:val="16"/>
                <w:szCs w:val="16"/>
              </w:rPr>
              <w:t>11,385</w:t>
            </w:r>
          </w:p>
        </w:tc>
        <w:tc>
          <w:tcPr>
            <w:tcW w:w="1630"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b/>
                <w:color w:val="000000"/>
                <w:sz w:val="16"/>
                <w:szCs w:val="16"/>
              </w:rPr>
            </w:pPr>
            <w:r w:rsidRPr="00B05940">
              <w:rPr>
                <w:rFonts w:cs="Arial"/>
                <w:b/>
                <w:color w:val="000000"/>
                <w:sz w:val="16"/>
                <w:szCs w:val="16"/>
              </w:rPr>
              <w:t>11,026</w:t>
            </w:r>
          </w:p>
        </w:tc>
        <w:tc>
          <w:tcPr>
            <w:tcW w:w="1631" w:type="dxa"/>
            <w:tcBorders>
              <w:top w:val="nil"/>
              <w:left w:val="nil"/>
              <w:bottom w:val="single" w:sz="4" w:space="0" w:color="auto"/>
              <w:right w:val="single" w:sz="4" w:space="0" w:color="auto"/>
            </w:tcBorders>
            <w:shd w:val="clear" w:color="auto" w:fill="auto"/>
            <w:vAlign w:val="center"/>
            <w:hideMark/>
          </w:tcPr>
          <w:p w:rsidR="005228A5" w:rsidRPr="00B05940" w:rsidRDefault="005228A5" w:rsidP="009D313E">
            <w:pPr>
              <w:spacing w:before="120" w:after="120"/>
              <w:jc w:val="center"/>
              <w:rPr>
                <w:rFonts w:cs="Arial"/>
                <w:b/>
                <w:color w:val="000000"/>
                <w:sz w:val="16"/>
                <w:szCs w:val="16"/>
              </w:rPr>
            </w:pPr>
            <w:r w:rsidRPr="00B05940">
              <w:rPr>
                <w:rFonts w:cs="Arial"/>
                <w:b/>
                <w:color w:val="000000"/>
                <w:sz w:val="16"/>
                <w:szCs w:val="16"/>
              </w:rPr>
              <w:t>97%</w:t>
            </w:r>
          </w:p>
        </w:tc>
      </w:tr>
    </w:tbl>
    <w:p w:rsidR="005228A5" w:rsidRDefault="005228A5" w:rsidP="005228A5">
      <w:pPr>
        <w:rPr>
          <w:rFonts w:cs="Arial"/>
          <w:sz w:val="22"/>
          <w:szCs w:val="22"/>
        </w:rPr>
      </w:pPr>
    </w:p>
    <w:p w:rsidR="005228A5" w:rsidRPr="00B05940" w:rsidRDefault="005228A5" w:rsidP="005228A5">
      <w:pPr>
        <w:keepNext/>
        <w:autoSpaceDE w:val="0"/>
        <w:autoSpaceDN w:val="0"/>
        <w:rPr>
          <w:rFonts w:cs="Arial"/>
          <w:sz w:val="16"/>
          <w:szCs w:val="16"/>
        </w:rPr>
      </w:pPr>
      <w:r w:rsidRPr="00B05940">
        <w:rPr>
          <w:rFonts w:cs="Arial"/>
          <w:sz w:val="16"/>
          <w:szCs w:val="16"/>
        </w:rPr>
        <w:t>NOTES:</w:t>
      </w:r>
    </w:p>
    <w:p w:rsidR="005228A5" w:rsidRPr="00B05940" w:rsidRDefault="005228A5" w:rsidP="005228A5">
      <w:pPr>
        <w:keepNext/>
        <w:autoSpaceDE w:val="0"/>
        <w:autoSpaceDN w:val="0"/>
        <w:rPr>
          <w:rFonts w:cs="Arial"/>
          <w:sz w:val="16"/>
          <w:szCs w:val="16"/>
        </w:rPr>
      </w:pPr>
    </w:p>
    <w:p w:rsidR="005228A5" w:rsidRPr="00B05940" w:rsidRDefault="005228A5" w:rsidP="005228A5">
      <w:pPr>
        <w:keepNext/>
        <w:autoSpaceDE w:val="0"/>
        <w:autoSpaceDN w:val="0"/>
        <w:rPr>
          <w:rFonts w:cs="Arial"/>
          <w:sz w:val="16"/>
          <w:szCs w:val="16"/>
        </w:rPr>
      </w:pPr>
      <w:r w:rsidRPr="00B05940">
        <w:rPr>
          <w:rFonts w:cs="Arial"/>
          <w:sz w:val="16"/>
          <w:szCs w:val="16"/>
        </w:rPr>
        <w:t>(1)  Budget after transfers reflects the adjusted budget of Programs, following transfers during 2012/13 in line with Financial Regulation 5.5.</w:t>
      </w:r>
    </w:p>
    <w:p w:rsidR="005228A5" w:rsidRPr="00B05940" w:rsidRDefault="005228A5" w:rsidP="005228A5">
      <w:pPr>
        <w:keepNext/>
        <w:autoSpaceDE w:val="0"/>
        <w:autoSpaceDN w:val="0"/>
        <w:rPr>
          <w:rFonts w:cs="Arial"/>
          <w:sz w:val="16"/>
          <w:szCs w:val="16"/>
        </w:rPr>
      </w:pPr>
    </w:p>
    <w:p w:rsidR="005228A5" w:rsidRPr="00B05940" w:rsidRDefault="00DC2CFA" w:rsidP="005228A5">
      <w:pPr>
        <w:keepNext/>
        <w:autoSpaceDE w:val="0"/>
        <w:autoSpaceDN w:val="0"/>
        <w:rPr>
          <w:rFonts w:cs="Arial"/>
          <w:sz w:val="16"/>
          <w:szCs w:val="16"/>
        </w:rPr>
      </w:pPr>
      <w:r>
        <w:rPr>
          <w:rFonts w:cs="Arial"/>
          <w:sz w:val="16"/>
          <w:szCs w:val="16"/>
        </w:rPr>
        <w:t xml:space="preserve">(2)  The personnel allocation for the 2012/13 Budget after transfers represents actual expenditures incurred in the biennium. </w:t>
      </w:r>
      <w:r w:rsidR="005228A5" w:rsidRPr="00B05940">
        <w:rPr>
          <w:rFonts w:cs="Arial"/>
          <w:sz w:val="16"/>
          <w:szCs w:val="16"/>
        </w:rPr>
        <w:t xml:space="preserve"> </w:t>
      </w:r>
    </w:p>
    <w:p w:rsidR="005228A5" w:rsidRDefault="005228A5" w:rsidP="005228A5">
      <w:pPr>
        <w:rPr>
          <w:rFonts w:cs="Arial"/>
          <w:sz w:val="22"/>
          <w:szCs w:val="22"/>
        </w:rPr>
      </w:pPr>
    </w:p>
    <w:p w:rsidR="005228A5" w:rsidRPr="00B05940" w:rsidRDefault="005228A5" w:rsidP="005228A5">
      <w:pPr>
        <w:tabs>
          <w:tab w:val="left" w:pos="709"/>
        </w:tabs>
        <w:rPr>
          <w:rFonts w:cs="Arial"/>
          <w:szCs w:val="20"/>
          <w:u w:val="single"/>
        </w:rPr>
      </w:pPr>
      <w:r w:rsidRPr="00B05940">
        <w:rPr>
          <w:rFonts w:cs="Arial"/>
          <w:szCs w:val="20"/>
        </w:rPr>
        <w:t>A.</w:t>
      </w:r>
      <w:r w:rsidRPr="00B05940">
        <w:rPr>
          <w:rFonts w:cs="Arial"/>
          <w:szCs w:val="20"/>
        </w:rPr>
        <w:tab/>
      </w:r>
      <w:r w:rsidRPr="00B05940">
        <w:rPr>
          <w:rFonts w:cs="Arial"/>
          <w:szCs w:val="20"/>
          <w:u w:val="single"/>
        </w:rPr>
        <w:t>Budget after Transfers 2012/13</w:t>
      </w:r>
    </w:p>
    <w:p w:rsidR="005228A5" w:rsidRPr="00B05940" w:rsidRDefault="005228A5" w:rsidP="005228A5">
      <w:pPr>
        <w:tabs>
          <w:tab w:val="left" w:pos="709"/>
        </w:tabs>
        <w:jc w:val="both"/>
        <w:rPr>
          <w:rFonts w:cs="Arial"/>
          <w:szCs w:val="20"/>
          <w:u w:val="single"/>
        </w:rPr>
      </w:pPr>
    </w:p>
    <w:p w:rsidR="005228A5" w:rsidRPr="00B05940" w:rsidRDefault="005228A5" w:rsidP="005228A5">
      <w:pPr>
        <w:tabs>
          <w:tab w:val="left" w:pos="709"/>
        </w:tabs>
        <w:autoSpaceDE w:val="0"/>
        <w:autoSpaceDN w:val="0"/>
        <w:jc w:val="both"/>
        <w:rPr>
          <w:rFonts w:cs="Arial"/>
          <w:szCs w:val="20"/>
          <w:lang w:eastAsia="ko-KR"/>
        </w:rPr>
      </w:pPr>
      <w:r>
        <w:rPr>
          <w:rFonts w:cs="Arial"/>
          <w:szCs w:val="20"/>
          <w:lang w:eastAsia="ko-KR"/>
        </w:rPr>
        <w:t>28.7</w:t>
      </w:r>
      <w:r w:rsidR="009D313E">
        <w:rPr>
          <w:rFonts w:cs="Arial"/>
          <w:szCs w:val="20"/>
          <w:lang w:eastAsia="ko-KR"/>
        </w:rPr>
        <w:t>.</w:t>
      </w:r>
      <w:r>
        <w:rPr>
          <w:rFonts w:cs="Arial"/>
          <w:szCs w:val="20"/>
          <w:lang w:eastAsia="ko-KR"/>
        </w:rPr>
        <w:tab/>
      </w:r>
      <w:r w:rsidRPr="00B05940">
        <w:rPr>
          <w:rFonts w:cs="Arial"/>
          <w:szCs w:val="20"/>
          <w:lang w:eastAsia="ko-KR"/>
        </w:rPr>
        <w:t xml:space="preserve">The Budget after Transfer reflects a downward adjustment both in personnel and non-personnel resources, respectively, due to: </w:t>
      </w:r>
    </w:p>
    <w:p w:rsidR="005228A5" w:rsidRPr="00B05940" w:rsidRDefault="005228A5" w:rsidP="005228A5">
      <w:pPr>
        <w:tabs>
          <w:tab w:val="left" w:pos="709"/>
        </w:tabs>
        <w:autoSpaceDE w:val="0"/>
        <w:autoSpaceDN w:val="0"/>
        <w:jc w:val="both"/>
        <w:rPr>
          <w:rFonts w:cs="Arial"/>
          <w:szCs w:val="20"/>
          <w:lang w:eastAsia="ko-KR"/>
        </w:rPr>
      </w:pPr>
    </w:p>
    <w:p w:rsidR="005228A5" w:rsidRDefault="005228A5" w:rsidP="007B2B25">
      <w:pPr>
        <w:pStyle w:val="ListParagraph"/>
        <w:numPr>
          <w:ilvl w:val="0"/>
          <w:numId w:val="71"/>
        </w:numPr>
        <w:tabs>
          <w:tab w:val="left" w:pos="709"/>
        </w:tabs>
        <w:autoSpaceDE w:val="0"/>
        <w:autoSpaceDN w:val="0"/>
        <w:jc w:val="both"/>
        <w:rPr>
          <w:rFonts w:cs="Arial"/>
          <w:lang w:eastAsia="ko-KR"/>
        </w:rPr>
      </w:pPr>
      <w:r w:rsidRPr="00B05940">
        <w:rPr>
          <w:rFonts w:cs="Arial"/>
          <w:lang w:eastAsia="ko-KR"/>
        </w:rPr>
        <w:t xml:space="preserve">the transfer of vacant posts from the Program to strengthen the Organization’s work on </w:t>
      </w:r>
      <w:r w:rsidRPr="00B05940">
        <w:rPr>
          <w:rFonts w:cs="Arial"/>
        </w:rPr>
        <w:t>economic studies and analysis in Program 16 and to facilitate the implementation of the WIPO Language Policy in Program 27;</w:t>
      </w:r>
      <w:r w:rsidRPr="00B05940">
        <w:rPr>
          <w:rFonts w:cs="Arial"/>
          <w:lang w:eastAsia="ko-KR"/>
        </w:rPr>
        <w:t xml:space="preserve"> </w:t>
      </w:r>
    </w:p>
    <w:p w:rsidR="004805AC" w:rsidRPr="00B05940" w:rsidRDefault="004805AC" w:rsidP="004805AC">
      <w:pPr>
        <w:pStyle w:val="ListParagraph"/>
        <w:tabs>
          <w:tab w:val="left" w:pos="709"/>
        </w:tabs>
        <w:autoSpaceDE w:val="0"/>
        <w:autoSpaceDN w:val="0"/>
        <w:jc w:val="both"/>
        <w:rPr>
          <w:rFonts w:cs="Arial"/>
          <w:lang w:eastAsia="ko-KR"/>
        </w:rPr>
      </w:pPr>
    </w:p>
    <w:p w:rsidR="005228A5" w:rsidRPr="00B05940" w:rsidRDefault="005228A5" w:rsidP="007B2B25">
      <w:pPr>
        <w:pStyle w:val="ListParagraph"/>
        <w:keepNext/>
        <w:numPr>
          <w:ilvl w:val="0"/>
          <w:numId w:val="71"/>
        </w:numPr>
        <w:tabs>
          <w:tab w:val="left" w:pos="709"/>
        </w:tabs>
        <w:autoSpaceDE w:val="0"/>
        <w:autoSpaceDN w:val="0"/>
        <w:jc w:val="both"/>
        <w:rPr>
          <w:rFonts w:cs="Arial"/>
        </w:rPr>
      </w:pPr>
      <w:proofErr w:type="gramStart"/>
      <w:r w:rsidRPr="00B05940">
        <w:rPr>
          <w:rFonts w:cs="Arial"/>
        </w:rPr>
        <w:t>adjustments</w:t>
      </w:r>
      <w:proofErr w:type="gramEnd"/>
      <w:r w:rsidRPr="00B05940">
        <w:rPr>
          <w:rFonts w:cs="Arial"/>
        </w:rPr>
        <w:t xml:space="preserve"> made for cost efficiency gains, in accordance with the Organization’s commitment to reduce expenditures by 10.2 million Swiss francs in the 2012/13 biennium.</w:t>
      </w:r>
    </w:p>
    <w:p w:rsidR="005228A5" w:rsidRPr="00B05940" w:rsidRDefault="005228A5" w:rsidP="005228A5">
      <w:pPr>
        <w:tabs>
          <w:tab w:val="left" w:pos="709"/>
        </w:tabs>
        <w:autoSpaceDE w:val="0"/>
        <w:autoSpaceDN w:val="0"/>
        <w:jc w:val="both"/>
        <w:rPr>
          <w:rFonts w:cs="Arial"/>
          <w:szCs w:val="20"/>
          <w:lang w:eastAsia="ko-KR"/>
        </w:rPr>
      </w:pPr>
    </w:p>
    <w:p w:rsidR="005228A5" w:rsidRPr="00B05940" w:rsidRDefault="005228A5" w:rsidP="005228A5">
      <w:pPr>
        <w:tabs>
          <w:tab w:val="left" w:pos="709"/>
        </w:tabs>
        <w:jc w:val="both"/>
        <w:rPr>
          <w:rFonts w:cs="Arial"/>
          <w:szCs w:val="20"/>
          <w:u w:val="single"/>
          <w:lang w:eastAsia="ko-KR"/>
        </w:rPr>
      </w:pPr>
      <w:r w:rsidRPr="00B05940">
        <w:rPr>
          <w:rFonts w:cs="Arial"/>
          <w:szCs w:val="20"/>
          <w:lang w:eastAsia="ko-KR"/>
        </w:rPr>
        <w:t>B.</w:t>
      </w:r>
      <w:r w:rsidRPr="00B05940">
        <w:rPr>
          <w:rFonts w:cs="Arial"/>
          <w:szCs w:val="20"/>
          <w:lang w:eastAsia="ko-KR"/>
        </w:rPr>
        <w:tab/>
      </w:r>
      <w:r w:rsidRPr="00B05940">
        <w:rPr>
          <w:rFonts w:cs="Arial"/>
          <w:szCs w:val="20"/>
          <w:u w:val="single"/>
          <w:lang w:eastAsia="ko-KR"/>
        </w:rPr>
        <w:t xml:space="preserve">Budget </w:t>
      </w:r>
      <w:r w:rsidR="004805AC">
        <w:rPr>
          <w:rFonts w:cs="Arial"/>
          <w:szCs w:val="20"/>
          <w:u w:val="single"/>
          <w:lang w:eastAsia="ko-KR"/>
        </w:rPr>
        <w:t>U</w:t>
      </w:r>
      <w:r w:rsidRPr="00B05940">
        <w:rPr>
          <w:rFonts w:cs="Arial"/>
          <w:szCs w:val="20"/>
          <w:u w:val="single"/>
          <w:lang w:eastAsia="ko-KR"/>
        </w:rPr>
        <w:t>tilization 2012/13</w:t>
      </w:r>
    </w:p>
    <w:p w:rsidR="005228A5" w:rsidRPr="00B05940" w:rsidRDefault="005228A5" w:rsidP="005228A5">
      <w:pPr>
        <w:tabs>
          <w:tab w:val="left" w:pos="709"/>
        </w:tabs>
        <w:jc w:val="both"/>
        <w:rPr>
          <w:rFonts w:cs="Arial"/>
          <w:szCs w:val="20"/>
        </w:rPr>
      </w:pPr>
    </w:p>
    <w:p w:rsidR="005228A5" w:rsidRPr="00B05940" w:rsidRDefault="005228A5" w:rsidP="005228A5">
      <w:pPr>
        <w:tabs>
          <w:tab w:val="left" w:pos="709"/>
        </w:tabs>
        <w:jc w:val="both"/>
        <w:rPr>
          <w:rFonts w:cs="Arial"/>
          <w:szCs w:val="20"/>
        </w:rPr>
      </w:pPr>
      <w:r>
        <w:rPr>
          <w:rFonts w:cs="Arial"/>
          <w:szCs w:val="20"/>
        </w:rPr>
        <w:t>28.8</w:t>
      </w:r>
      <w:r w:rsidR="009D313E">
        <w:rPr>
          <w:rFonts w:cs="Arial"/>
          <w:szCs w:val="20"/>
        </w:rPr>
        <w:t>.</w:t>
      </w:r>
      <w:r>
        <w:rPr>
          <w:rFonts w:cs="Arial"/>
          <w:szCs w:val="20"/>
        </w:rPr>
        <w:tab/>
      </w:r>
      <w:r w:rsidRPr="00B05940">
        <w:rPr>
          <w:rFonts w:cs="Arial"/>
          <w:szCs w:val="20"/>
        </w:rPr>
        <w:t xml:space="preserve">Budget utilization (non-personnel) amounted to 96 per cent primarily due to a slight delay in the implementation of the H-MOSS Security Project pending the appointment of a new project manager. </w:t>
      </w:r>
      <w:r w:rsidR="004805AC">
        <w:rPr>
          <w:rFonts w:cs="Arial"/>
          <w:szCs w:val="20"/>
        </w:rPr>
        <w:t xml:space="preserve"> </w:t>
      </w:r>
      <w:r w:rsidRPr="00B05940">
        <w:rPr>
          <w:rFonts w:cs="Arial"/>
          <w:szCs w:val="20"/>
        </w:rPr>
        <w:t xml:space="preserve">In addition, the Arndt surge capacity foreseen for </w:t>
      </w:r>
      <w:r w:rsidRPr="00CD26D6">
        <w:rPr>
          <w:rFonts w:cs="Arial"/>
          <w:i/>
          <w:szCs w:val="20"/>
        </w:rPr>
        <w:t>ad-hoc</w:t>
      </w:r>
      <w:r w:rsidRPr="00B05940">
        <w:rPr>
          <w:rFonts w:cs="Arial"/>
          <w:szCs w:val="20"/>
        </w:rPr>
        <w:t xml:space="preserve"> security requirements for unanticipated events was not fully utilized. </w:t>
      </w:r>
    </w:p>
    <w:p w:rsidR="00AF1291" w:rsidRDefault="00AF1291">
      <w:pPr>
        <w:rPr>
          <w:rFonts w:eastAsia="SimSun"/>
          <w:color w:val="000000"/>
          <w:szCs w:val="20"/>
          <w:lang w:eastAsia="zh-CN"/>
        </w:rPr>
      </w:pPr>
      <w:r>
        <w:rPr>
          <w:rFonts w:eastAsia="SimSun"/>
          <w:color w:val="000000"/>
          <w:szCs w:val="20"/>
          <w:lang w:eastAsia="zh-CN"/>
        </w:rPr>
        <w:br w:type="page"/>
      </w:r>
    </w:p>
    <w:p w:rsidR="00AF1291" w:rsidRPr="006F08EA" w:rsidRDefault="006F08EA" w:rsidP="006F08EA">
      <w:pPr>
        <w:pStyle w:val="Heading3"/>
      </w:pPr>
      <w:bookmarkStart w:id="70" w:name="_Toc393956080"/>
      <w:r w:rsidRPr="006F08EA">
        <w:lastRenderedPageBreak/>
        <w:t>Program 29</w:t>
      </w:r>
      <w:r w:rsidRPr="006F08EA">
        <w:tab/>
        <w:t>Construction Projects</w:t>
      </w:r>
      <w:bookmarkEnd w:id="70"/>
    </w:p>
    <w:p w:rsidR="00AF1291" w:rsidRPr="00234C82" w:rsidRDefault="00AF1291" w:rsidP="00AF1291">
      <w:pPr>
        <w:ind w:left="2268" w:hanging="2268"/>
        <w:rPr>
          <w:rFonts w:cs="Arial"/>
          <w:b/>
          <w:sz w:val="22"/>
          <w:szCs w:val="22"/>
        </w:rPr>
      </w:pPr>
    </w:p>
    <w:p w:rsidR="009121FA" w:rsidRPr="00234C82" w:rsidRDefault="009121FA" w:rsidP="009121FA">
      <w:pPr>
        <w:ind w:left="2268" w:hanging="2268"/>
        <w:rPr>
          <w:rFonts w:cs="Arial"/>
          <w:b/>
          <w:sz w:val="22"/>
          <w:szCs w:val="22"/>
        </w:rPr>
      </w:pPr>
      <w:r w:rsidRPr="00234C82">
        <w:rPr>
          <w:rFonts w:cs="Arial"/>
          <w:b/>
          <w:sz w:val="22"/>
          <w:szCs w:val="22"/>
        </w:rPr>
        <w:t>Program Manager</w:t>
      </w:r>
      <w:r w:rsidRPr="00234C82">
        <w:rPr>
          <w:rFonts w:cs="Arial"/>
          <w:b/>
          <w:sz w:val="22"/>
          <w:szCs w:val="22"/>
        </w:rPr>
        <w:tab/>
      </w:r>
      <w:r w:rsidRPr="00234C82">
        <w:rPr>
          <w:rFonts w:cs="Arial"/>
          <w:b/>
          <w:sz w:val="22"/>
          <w:szCs w:val="22"/>
        </w:rPr>
        <w:tab/>
      </w:r>
      <w:r w:rsidRPr="00234C82">
        <w:rPr>
          <w:rFonts w:cs="Arial"/>
          <w:b/>
          <w:bCs/>
          <w:sz w:val="22"/>
          <w:szCs w:val="22"/>
        </w:rPr>
        <w:t>Mr. A. Sundaram</w:t>
      </w:r>
    </w:p>
    <w:p w:rsidR="009121FA" w:rsidRPr="00234C82" w:rsidRDefault="009121FA" w:rsidP="009121FA">
      <w:pPr>
        <w:rPr>
          <w:rFonts w:cs="Arial"/>
          <w:sz w:val="22"/>
          <w:szCs w:val="22"/>
        </w:rPr>
      </w:pPr>
    </w:p>
    <w:p w:rsidR="009121FA" w:rsidRPr="00234C82" w:rsidRDefault="009121FA" w:rsidP="009121FA">
      <w:pPr>
        <w:rPr>
          <w:rFonts w:cs="Arial"/>
          <w:bCs/>
          <w:sz w:val="22"/>
          <w:szCs w:val="22"/>
        </w:rPr>
      </w:pPr>
    </w:p>
    <w:p w:rsidR="009121FA" w:rsidRPr="00234C82" w:rsidRDefault="009121FA" w:rsidP="009121FA">
      <w:pPr>
        <w:rPr>
          <w:rFonts w:cs="Arial"/>
          <w:sz w:val="22"/>
          <w:szCs w:val="22"/>
        </w:rPr>
      </w:pPr>
      <w:r w:rsidRPr="00234C82">
        <w:rPr>
          <w:rFonts w:cs="Arial"/>
          <w:bCs/>
          <w:sz w:val="22"/>
          <w:szCs w:val="22"/>
        </w:rPr>
        <w:t>ACHIEVEMENTS IN THE 2012/13 BIENNIUM</w:t>
      </w:r>
    </w:p>
    <w:p w:rsidR="009121FA" w:rsidRPr="00083772" w:rsidRDefault="009121FA" w:rsidP="009121FA">
      <w:pPr>
        <w:rPr>
          <w:rFonts w:cs="Arial"/>
          <w:szCs w:val="20"/>
        </w:rPr>
      </w:pPr>
    </w:p>
    <w:p w:rsidR="009121FA" w:rsidRPr="00CD26D6" w:rsidRDefault="00946C0C" w:rsidP="009121FA">
      <w:pPr>
        <w:jc w:val="both"/>
        <w:rPr>
          <w:rFonts w:cs="Arial"/>
          <w:szCs w:val="20"/>
        </w:rPr>
      </w:pPr>
      <w:r w:rsidRPr="00946C0C">
        <w:rPr>
          <w:rFonts w:cs="Arial"/>
          <w:szCs w:val="20"/>
        </w:rPr>
        <w:t xml:space="preserve">NEW CONSTRUCTION PROJECT </w:t>
      </w:r>
    </w:p>
    <w:p w:rsidR="009121FA" w:rsidRPr="00DA4F0F" w:rsidRDefault="009121FA" w:rsidP="009121FA">
      <w:pPr>
        <w:jc w:val="both"/>
        <w:rPr>
          <w:szCs w:val="20"/>
        </w:rPr>
      </w:pPr>
    </w:p>
    <w:p w:rsidR="009121FA" w:rsidRPr="00083772" w:rsidRDefault="009121FA" w:rsidP="009121FA">
      <w:pPr>
        <w:tabs>
          <w:tab w:val="left" w:pos="709"/>
        </w:tabs>
        <w:jc w:val="both"/>
        <w:rPr>
          <w:rFonts w:cs="Arial"/>
          <w:szCs w:val="20"/>
        </w:rPr>
      </w:pPr>
      <w:r w:rsidRPr="00083772">
        <w:rPr>
          <w:rFonts w:cs="Arial"/>
          <w:szCs w:val="20"/>
        </w:rPr>
        <w:t>29.1.</w:t>
      </w:r>
      <w:r w:rsidRPr="00083772">
        <w:rPr>
          <w:rFonts w:cs="Arial"/>
          <w:szCs w:val="20"/>
        </w:rPr>
        <w:tab/>
        <w:t xml:space="preserve">By the end of 2011, a number of repairs, replacement and finishing works had not been completed by the former general contractor.  In view of the continued delays, the Secretariat engaged in a series of high-level discussions with the former general contractor from December 2011 to July 2012.  Following these meetings, WIPO and the former general contractor agreed to jointly and amicably terminate the contract.  As of August 2012, all repairs, replacement and finishing works are being carried out by WIPO, with the costs covered from funds retained from the last payments to the former general contractor.  Most of the outstanding works concerning the facades and a variety of smaller items throughout the building were completed during the biennium. </w:t>
      </w:r>
      <w:r w:rsidR="00946C0C">
        <w:rPr>
          <w:rFonts w:cs="Arial"/>
          <w:szCs w:val="20"/>
        </w:rPr>
        <w:t xml:space="preserve"> </w:t>
      </w:r>
      <w:r w:rsidRPr="00083772">
        <w:rPr>
          <w:rFonts w:cs="Arial"/>
          <w:szCs w:val="20"/>
        </w:rPr>
        <w:t xml:space="preserve">The remaining works relating mainly to the ground floor and garden windows required further assessment, which took place in the second semester of 2013. </w:t>
      </w:r>
      <w:r w:rsidR="00946C0C">
        <w:rPr>
          <w:rFonts w:cs="Arial"/>
          <w:szCs w:val="20"/>
        </w:rPr>
        <w:t xml:space="preserve"> </w:t>
      </w:r>
      <w:r w:rsidRPr="00083772">
        <w:rPr>
          <w:rFonts w:cs="Arial"/>
          <w:szCs w:val="20"/>
        </w:rPr>
        <w:t xml:space="preserve">The necessary repair works are expected to take place in the 2014/15 biennium. </w:t>
      </w:r>
      <w:r w:rsidR="00946C0C">
        <w:rPr>
          <w:rFonts w:cs="Arial"/>
          <w:szCs w:val="20"/>
        </w:rPr>
        <w:t xml:space="preserve"> </w:t>
      </w:r>
      <w:r w:rsidRPr="00083772">
        <w:rPr>
          <w:rFonts w:cs="Arial"/>
          <w:szCs w:val="20"/>
        </w:rPr>
        <w:t xml:space="preserve">The vegetation of the rooftop was postponed from autumn 2013 until spring 2014. </w:t>
      </w:r>
    </w:p>
    <w:p w:rsidR="009121FA" w:rsidRPr="00083772" w:rsidRDefault="009121FA" w:rsidP="009121FA">
      <w:pPr>
        <w:jc w:val="both"/>
        <w:rPr>
          <w:rFonts w:cs="Arial"/>
          <w:szCs w:val="20"/>
        </w:rPr>
      </w:pPr>
    </w:p>
    <w:p w:rsidR="009121FA" w:rsidRPr="00946C0C" w:rsidRDefault="00946C0C" w:rsidP="009121FA">
      <w:pPr>
        <w:jc w:val="both"/>
        <w:rPr>
          <w:rFonts w:cs="Arial"/>
          <w:szCs w:val="20"/>
        </w:rPr>
      </w:pPr>
      <w:r w:rsidRPr="00946C0C">
        <w:rPr>
          <w:rFonts w:cs="Arial"/>
          <w:szCs w:val="20"/>
        </w:rPr>
        <w:t xml:space="preserve">NEW CONFERENCE HALL PROJECT </w:t>
      </w:r>
    </w:p>
    <w:p w:rsidR="009121FA" w:rsidRPr="00083772" w:rsidRDefault="009121FA" w:rsidP="009121FA">
      <w:pPr>
        <w:jc w:val="both"/>
        <w:rPr>
          <w:rFonts w:cs="Arial"/>
          <w:szCs w:val="20"/>
        </w:rPr>
      </w:pPr>
    </w:p>
    <w:p w:rsidR="009121FA" w:rsidRDefault="009121FA" w:rsidP="009121FA">
      <w:pPr>
        <w:jc w:val="both"/>
        <w:rPr>
          <w:rFonts w:cs="Arial"/>
          <w:szCs w:val="20"/>
        </w:rPr>
      </w:pPr>
      <w:r>
        <w:rPr>
          <w:rFonts w:cs="Arial"/>
          <w:szCs w:val="20"/>
        </w:rPr>
        <w:t>29.2.</w:t>
      </w:r>
      <w:r>
        <w:rPr>
          <w:rFonts w:cs="Arial"/>
          <w:szCs w:val="20"/>
        </w:rPr>
        <w:tab/>
      </w:r>
      <w:r w:rsidRPr="00083772">
        <w:rPr>
          <w:rFonts w:cs="Arial"/>
          <w:szCs w:val="20"/>
        </w:rPr>
        <w:t>The worksite for the New Conference Hall Project opened in mid-August 2011, and the excavation and construction of the main structure were ongoing until end-2011.  In view of delays caused by the former general contractor at the beginning of 2012 and the consequent lack of compliance with certain contractual requirements, the Secretariat engaged in a series of high-level discussions with the former general contractor until July 2012.  Following these meetings, WIPO and the former general contractor agreed to jointly and amicably terminate the contract.  As of August 2012, the worksite has been under the direct responsibility of WIPO.  A number of modifications to the governance and project management structure</w:t>
      </w:r>
      <w:r w:rsidRPr="009C5F90">
        <w:rPr>
          <w:rFonts w:cs="Arial"/>
          <w:szCs w:val="20"/>
        </w:rPr>
        <w:t>, as well as to the contractual framework,</w:t>
      </w:r>
      <w:r w:rsidRPr="00083772">
        <w:rPr>
          <w:rFonts w:cs="Arial"/>
          <w:szCs w:val="20"/>
        </w:rPr>
        <w:t xml:space="preserve"> were introduced</w:t>
      </w:r>
      <w:r w:rsidRPr="009C5F90">
        <w:rPr>
          <w:rFonts w:cs="Arial"/>
          <w:szCs w:val="20"/>
        </w:rPr>
        <w:t>, and a</w:t>
      </w:r>
      <w:r w:rsidRPr="00083772">
        <w:rPr>
          <w:rFonts w:cs="Arial"/>
          <w:szCs w:val="20"/>
        </w:rPr>
        <w:t>dditional mandates were given to the architect, pilot and engineering firms so as to distribute all the elements previously included in the mandate of the general contractor</w:t>
      </w:r>
      <w:r w:rsidRPr="009C5F90">
        <w:rPr>
          <w:rFonts w:cs="Arial"/>
          <w:szCs w:val="20"/>
        </w:rPr>
        <w:t xml:space="preserve">.  </w:t>
      </w:r>
      <w:r w:rsidRPr="00083772">
        <w:rPr>
          <w:rFonts w:cs="Arial"/>
          <w:szCs w:val="20"/>
        </w:rPr>
        <w:t xml:space="preserve">The adapted governance and project management structure brought added flexibility and agility and led to improved response times.  As at the end of 2012, about 27 per cent of the contractors and providers were engaged by WIPO, corresponding to about 42 per cent of the total construction cost. </w:t>
      </w:r>
      <w:r w:rsidR="00946C0C">
        <w:rPr>
          <w:rFonts w:cs="Arial"/>
          <w:szCs w:val="20"/>
        </w:rPr>
        <w:t xml:space="preserve"> </w:t>
      </w:r>
      <w:r w:rsidRPr="00083772">
        <w:rPr>
          <w:rFonts w:cs="Arial"/>
          <w:szCs w:val="20"/>
        </w:rPr>
        <w:t>By end 2013, the total number of contractors on site stood at around 50, for a total awarded contract amount of almost 50 million Swiss francs, which corresponds to approximately 98</w:t>
      </w:r>
      <w:r w:rsidR="00946C0C">
        <w:rPr>
          <w:rFonts w:cs="Arial"/>
          <w:szCs w:val="20"/>
        </w:rPr>
        <w:t> </w:t>
      </w:r>
      <w:r w:rsidRPr="00083772">
        <w:rPr>
          <w:rFonts w:cs="Arial"/>
          <w:szCs w:val="20"/>
        </w:rPr>
        <w:t>per</w:t>
      </w:r>
      <w:r w:rsidR="00946C0C">
        <w:rPr>
          <w:rFonts w:cs="Arial"/>
          <w:szCs w:val="20"/>
        </w:rPr>
        <w:t> </w:t>
      </w:r>
      <w:r w:rsidRPr="00083772">
        <w:rPr>
          <w:rFonts w:cs="Arial"/>
          <w:szCs w:val="20"/>
        </w:rPr>
        <w:t xml:space="preserve">cent of the reference construction cost. </w:t>
      </w:r>
      <w:r w:rsidR="00946C0C">
        <w:rPr>
          <w:rFonts w:cs="Arial"/>
          <w:szCs w:val="20"/>
        </w:rPr>
        <w:t xml:space="preserve"> </w:t>
      </w:r>
      <w:r w:rsidRPr="00083772">
        <w:rPr>
          <w:rFonts w:cs="Arial"/>
          <w:szCs w:val="20"/>
        </w:rPr>
        <w:t>The aforementioned arrangements also facilitated dealing with a number of project modifications and unforeseen matters identified during project execution in a proactive and timely manner.</w:t>
      </w:r>
    </w:p>
    <w:p w:rsidR="009121FA" w:rsidRPr="00083772" w:rsidRDefault="009121FA" w:rsidP="009121FA">
      <w:pPr>
        <w:tabs>
          <w:tab w:val="left" w:pos="709"/>
        </w:tabs>
        <w:jc w:val="both"/>
        <w:rPr>
          <w:rFonts w:cs="Arial"/>
          <w:szCs w:val="20"/>
        </w:rPr>
      </w:pPr>
    </w:p>
    <w:p w:rsidR="009121FA" w:rsidRPr="00083772" w:rsidRDefault="009121FA" w:rsidP="009121FA">
      <w:pPr>
        <w:tabs>
          <w:tab w:val="left" w:pos="709"/>
        </w:tabs>
        <w:autoSpaceDE w:val="0"/>
        <w:autoSpaceDN w:val="0"/>
        <w:adjustRightInd w:val="0"/>
        <w:jc w:val="both"/>
        <w:rPr>
          <w:rFonts w:cs="Arial"/>
          <w:szCs w:val="20"/>
        </w:rPr>
      </w:pPr>
      <w:r>
        <w:rPr>
          <w:rFonts w:cs="Arial"/>
          <w:szCs w:val="20"/>
        </w:rPr>
        <w:t>29.3.</w:t>
      </w:r>
      <w:r>
        <w:rPr>
          <w:rFonts w:cs="Arial"/>
          <w:szCs w:val="20"/>
        </w:rPr>
        <w:tab/>
      </w:r>
      <w:r w:rsidRPr="00083772">
        <w:rPr>
          <w:rFonts w:cs="Arial"/>
          <w:szCs w:val="20"/>
        </w:rPr>
        <w:t>The delays by the former general contractor, the subsequent amicable termination of the contract and the progress on the worksite led to a revised provisional timetable, bringing the expected completion date from April 2013, i.e. the initial delivery as per the contract with the former general contractor, to February 2014.  The expected completion date was further amended from February 2014 to April 2014.</w:t>
      </w:r>
      <w:r w:rsidRPr="00083772">
        <w:rPr>
          <w:rStyle w:val="FootnoteReference"/>
          <w:rFonts w:cs="Arial"/>
          <w:szCs w:val="20"/>
        </w:rPr>
        <w:footnoteReference w:id="45"/>
      </w:r>
    </w:p>
    <w:p w:rsidR="009121FA" w:rsidRPr="00083772" w:rsidRDefault="009121FA" w:rsidP="009121FA">
      <w:pPr>
        <w:tabs>
          <w:tab w:val="left" w:pos="709"/>
        </w:tabs>
        <w:autoSpaceDE w:val="0"/>
        <w:autoSpaceDN w:val="0"/>
        <w:adjustRightInd w:val="0"/>
        <w:jc w:val="both"/>
        <w:rPr>
          <w:rFonts w:cs="Arial"/>
          <w:szCs w:val="20"/>
        </w:rPr>
      </w:pPr>
    </w:p>
    <w:p w:rsidR="009121FA" w:rsidRPr="00083772" w:rsidRDefault="009121FA" w:rsidP="009121FA">
      <w:pPr>
        <w:tabs>
          <w:tab w:val="left" w:pos="709"/>
        </w:tabs>
        <w:jc w:val="both"/>
        <w:rPr>
          <w:rFonts w:cs="Arial"/>
          <w:szCs w:val="20"/>
        </w:rPr>
      </w:pPr>
      <w:r>
        <w:rPr>
          <w:rFonts w:cs="Arial"/>
          <w:szCs w:val="20"/>
        </w:rPr>
        <w:t>29.4.</w:t>
      </w:r>
      <w:r>
        <w:rPr>
          <w:rFonts w:cs="Arial"/>
          <w:szCs w:val="20"/>
        </w:rPr>
        <w:tab/>
      </w:r>
      <w:r w:rsidRPr="00083772">
        <w:rPr>
          <w:rFonts w:cs="Arial"/>
          <w:szCs w:val="20"/>
        </w:rPr>
        <w:t xml:space="preserve">Part of the </w:t>
      </w:r>
      <w:r w:rsidRPr="00083772">
        <w:rPr>
          <w:rFonts w:cs="Arial"/>
          <w:bCs/>
          <w:szCs w:val="20"/>
        </w:rPr>
        <w:t xml:space="preserve">renovated basement of the AB Building was delivered and has been </w:t>
      </w:r>
      <w:r w:rsidRPr="00083772">
        <w:rPr>
          <w:rFonts w:cs="Arial"/>
          <w:szCs w:val="20"/>
        </w:rPr>
        <w:t xml:space="preserve">in use since September 2013.  One new meeting room on </w:t>
      </w:r>
      <w:r w:rsidRPr="00083772">
        <w:rPr>
          <w:rFonts w:cs="Arial"/>
          <w:bCs/>
          <w:szCs w:val="20"/>
        </w:rPr>
        <w:t xml:space="preserve">the AB Building mezzanine has </w:t>
      </w:r>
      <w:r w:rsidRPr="00083772">
        <w:rPr>
          <w:rFonts w:cs="Arial"/>
          <w:szCs w:val="20"/>
        </w:rPr>
        <w:t>been in use since October</w:t>
      </w:r>
      <w:r>
        <w:rPr>
          <w:rFonts w:cs="Arial"/>
          <w:szCs w:val="20"/>
        </w:rPr>
        <w:t> </w:t>
      </w:r>
      <w:r w:rsidRPr="00083772">
        <w:rPr>
          <w:rFonts w:cs="Arial"/>
          <w:szCs w:val="20"/>
        </w:rPr>
        <w:t xml:space="preserve">2013.  </w:t>
      </w:r>
    </w:p>
    <w:p w:rsidR="009121FA" w:rsidRPr="002C4083" w:rsidRDefault="009121FA" w:rsidP="009121FA">
      <w:pPr>
        <w:rPr>
          <w:rFonts w:cs="Arial"/>
          <w:bCs/>
          <w:szCs w:val="20"/>
        </w:rPr>
      </w:pPr>
    </w:p>
    <w:p w:rsidR="009121FA" w:rsidRPr="00083772" w:rsidRDefault="009121FA" w:rsidP="009121FA">
      <w:pPr>
        <w:rPr>
          <w:rFonts w:cs="Arial"/>
          <w:szCs w:val="20"/>
        </w:rPr>
      </w:pPr>
    </w:p>
    <w:p w:rsidR="009121FA" w:rsidRDefault="009121FA" w:rsidP="009121FA">
      <w:pPr>
        <w:rPr>
          <w:rFonts w:cs="Arial"/>
          <w:sz w:val="22"/>
          <w:szCs w:val="22"/>
        </w:rPr>
      </w:pPr>
      <w:r>
        <w:rPr>
          <w:rFonts w:cs="Arial"/>
          <w:sz w:val="22"/>
          <w:szCs w:val="22"/>
        </w:rPr>
        <w:br w:type="page"/>
      </w:r>
    </w:p>
    <w:p w:rsidR="009121FA" w:rsidRPr="00234C82" w:rsidRDefault="009121FA" w:rsidP="009121FA">
      <w:pPr>
        <w:rPr>
          <w:rFonts w:cs="Arial"/>
          <w:sz w:val="22"/>
          <w:szCs w:val="22"/>
        </w:rPr>
      </w:pPr>
      <w:r w:rsidRPr="00234C82">
        <w:rPr>
          <w:rFonts w:cs="Arial"/>
          <w:sz w:val="22"/>
          <w:szCs w:val="22"/>
        </w:rPr>
        <w:lastRenderedPageBreak/>
        <w:t>PERFORMANCE DATA</w:t>
      </w:r>
    </w:p>
    <w:p w:rsidR="009121FA" w:rsidRPr="00A8525E" w:rsidRDefault="009121FA" w:rsidP="009121FA">
      <w:pPr>
        <w:rPr>
          <w:b/>
          <w:sz w:val="16"/>
          <w:szCs w:val="16"/>
        </w:rPr>
      </w:pP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02"/>
        <w:gridCol w:w="1095"/>
        <w:gridCol w:w="1136"/>
        <w:gridCol w:w="4390"/>
        <w:gridCol w:w="1134"/>
      </w:tblGrid>
      <w:tr w:rsidR="009121FA" w:rsidTr="00946C0C">
        <w:trPr>
          <w:cantSplit/>
          <w:trHeight w:val="677"/>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9121FA" w:rsidRDefault="009121FA" w:rsidP="002249F8">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E03FF">
              <w:rPr>
                <w:rFonts w:cs="Arial"/>
                <w:sz w:val="16"/>
                <w:szCs w:val="16"/>
              </w:rPr>
              <w:t>New conference hall and related facilities available for meetings of Member States</w:t>
            </w:r>
          </w:p>
        </w:tc>
      </w:tr>
      <w:tr w:rsidR="009121FA" w:rsidRPr="00B100BE" w:rsidTr="00946C0C">
        <w:trPr>
          <w:cantSplit/>
        </w:trPr>
        <w:tc>
          <w:tcPr>
            <w:tcW w:w="856" w:type="pct"/>
            <w:tcBorders>
              <w:top w:val="single" w:sz="4" w:space="0" w:color="auto"/>
              <w:left w:val="single" w:sz="4" w:space="0" w:color="auto"/>
              <w:bottom w:val="nil"/>
            </w:tcBorders>
            <w:shd w:val="clear" w:color="auto" w:fill="auto"/>
            <w:vAlign w:val="center"/>
          </w:tcPr>
          <w:p w:rsidR="009121FA" w:rsidRPr="00B100BE" w:rsidRDefault="009121FA" w:rsidP="002249F8">
            <w:pPr>
              <w:rPr>
                <w:rFonts w:cs="Arial"/>
                <w:sz w:val="16"/>
                <w:szCs w:val="16"/>
              </w:rPr>
            </w:pPr>
            <w:r w:rsidRPr="00B100BE">
              <w:rPr>
                <w:rFonts w:cs="Arial"/>
                <w:b/>
                <w:bCs/>
                <w:sz w:val="16"/>
                <w:szCs w:val="16"/>
              </w:rPr>
              <w:t>Performance Indicators</w:t>
            </w:r>
          </w:p>
        </w:tc>
        <w:tc>
          <w:tcPr>
            <w:tcW w:w="585" w:type="pct"/>
            <w:tcBorders>
              <w:top w:val="single" w:sz="4" w:space="0" w:color="auto"/>
              <w:bottom w:val="nil"/>
            </w:tcBorders>
            <w:shd w:val="clear" w:color="auto" w:fill="auto"/>
            <w:vAlign w:val="center"/>
          </w:tcPr>
          <w:p w:rsidR="009121FA" w:rsidRPr="00B100BE" w:rsidRDefault="009121FA" w:rsidP="002249F8">
            <w:pPr>
              <w:rPr>
                <w:rFonts w:cs="Arial"/>
                <w:b/>
                <w:bCs/>
                <w:sz w:val="16"/>
                <w:szCs w:val="16"/>
              </w:rPr>
            </w:pPr>
            <w:r w:rsidRPr="00083772">
              <w:rPr>
                <w:rFonts w:cs="Arial"/>
                <w:b/>
                <w:bCs/>
                <w:sz w:val="16"/>
                <w:szCs w:val="16"/>
              </w:rPr>
              <w:t>Baselines</w:t>
            </w:r>
          </w:p>
        </w:tc>
        <w:tc>
          <w:tcPr>
            <w:tcW w:w="607" w:type="pct"/>
            <w:tcBorders>
              <w:top w:val="single" w:sz="4" w:space="0" w:color="auto"/>
              <w:bottom w:val="nil"/>
            </w:tcBorders>
            <w:shd w:val="clear" w:color="auto" w:fill="auto"/>
            <w:tcMar>
              <w:top w:w="110" w:type="dxa"/>
            </w:tcMar>
            <w:vAlign w:val="center"/>
          </w:tcPr>
          <w:p w:rsidR="009121FA" w:rsidRPr="00083772" w:rsidRDefault="009121FA" w:rsidP="002249F8">
            <w:pPr>
              <w:rPr>
                <w:rFonts w:cs="Arial"/>
                <w:b/>
                <w:sz w:val="16"/>
                <w:szCs w:val="16"/>
              </w:rPr>
            </w:pPr>
            <w:r w:rsidRPr="00083772">
              <w:rPr>
                <w:rFonts w:cs="Arial"/>
                <w:b/>
                <w:sz w:val="16"/>
                <w:szCs w:val="16"/>
              </w:rPr>
              <w:t>Target</w:t>
            </w:r>
            <w:r w:rsidR="00E41397">
              <w:rPr>
                <w:rFonts w:cs="Arial"/>
                <w:b/>
                <w:sz w:val="16"/>
                <w:szCs w:val="16"/>
              </w:rPr>
              <w:t>s</w:t>
            </w:r>
          </w:p>
        </w:tc>
        <w:tc>
          <w:tcPr>
            <w:tcW w:w="2346" w:type="pct"/>
            <w:tcBorders>
              <w:top w:val="single" w:sz="4" w:space="0" w:color="auto"/>
              <w:bottom w:val="nil"/>
            </w:tcBorders>
            <w:shd w:val="clear" w:color="auto" w:fill="FFFFFF"/>
            <w:tcMar>
              <w:top w:w="110" w:type="dxa"/>
            </w:tcMar>
            <w:vAlign w:val="center"/>
          </w:tcPr>
          <w:p w:rsidR="009121FA" w:rsidRPr="00B100BE" w:rsidRDefault="009121FA" w:rsidP="002249F8">
            <w:pPr>
              <w:rPr>
                <w:rFonts w:cs="Arial"/>
                <w:sz w:val="16"/>
                <w:szCs w:val="16"/>
              </w:rPr>
            </w:pPr>
            <w:r w:rsidRPr="00B100BE">
              <w:rPr>
                <w:rFonts w:cs="Arial"/>
                <w:b/>
                <w:bCs/>
                <w:sz w:val="16"/>
                <w:szCs w:val="16"/>
              </w:rPr>
              <w:t>Performance Data</w:t>
            </w:r>
          </w:p>
        </w:tc>
        <w:tc>
          <w:tcPr>
            <w:tcW w:w="606" w:type="pct"/>
            <w:tcBorders>
              <w:top w:val="single" w:sz="4" w:space="0" w:color="auto"/>
              <w:bottom w:val="nil"/>
              <w:right w:val="single" w:sz="4" w:space="0" w:color="auto"/>
            </w:tcBorders>
            <w:shd w:val="clear" w:color="auto" w:fill="auto"/>
            <w:tcMar>
              <w:top w:w="110" w:type="dxa"/>
            </w:tcMar>
            <w:vAlign w:val="center"/>
          </w:tcPr>
          <w:p w:rsidR="009121FA" w:rsidRPr="00083772" w:rsidRDefault="009121FA" w:rsidP="002249F8">
            <w:pPr>
              <w:keepNext/>
              <w:keepLines/>
              <w:jc w:val="center"/>
              <w:rPr>
                <w:rFonts w:cs="Arial"/>
                <w:b/>
                <w:bCs/>
                <w:sz w:val="16"/>
                <w:szCs w:val="16"/>
              </w:rPr>
            </w:pPr>
            <w:r w:rsidRPr="00B100BE">
              <w:rPr>
                <w:rFonts w:cs="Arial"/>
                <w:b/>
                <w:bCs/>
                <w:sz w:val="16"/>
                <w:szCs w:val="16"/>
              </w:rPr>
              <w:t>TLS</w:t>
            </w:r>
          </w:p>
        </w:tc>
      </w:tr>
      <w:tr w:rsidR="009121FA" w:rsidTr="00946C0C">
        <w:trPr>
          <w:cantSplit/>
        </w:trPr>
        <w:tc>
          <w:tcPr>
            <w:tcW w:w="856" w:type="pct"/>
            <w:tcBorders>
              <w:top w:val="nil"/>
              <w:left w:val="single" w:sz="4" w:space="0" w:color="auto"/>
              <w:bottom w:val="single" w:sz="4" w:space="0" w:color="auto"/>
            </w:tcBorders>
            <w:shd w:val="clear" w:color="auto" w:fill="auto"/>
          </w:tcPr>
          <w:p w:rsidR="009121FA" w:rsidRDefault="009121FA" w:rsidP="002249F8">
            <w:pPr>
              <w:rPr>
                <w:rFonts w:cs="Arial"/>
                <w:sz w:val="16"/>
                <w:szCs w:val="16"/>
              </w:rPr>
            </w:pPr>
            <w:r w:rsidRPr="00FE03FF">
              <w:rPr>
                <w:rFonts w:cs="Arial"/>
                <w:sz w:val="16"/>
                <w:szCs w:val="16"/>
              </w:rPr>
              <w:t>Construction of new conference hall and related facilities in compliance with the approved quality, budget and time framework</w:t>
            </w:r>
          </w:p>
        </w:tc>
        <w:tc>
          <w:tcPr>
            <w:tcW w:w="585" w:type="pct"/>
            <w:tcBorders>
              <w:top w:val="nil"/>
              <w:bottom w:val="single" w:sz="4" w:space="0" w:color="auto"/>
            </w:tcBorders>
            <w:shd w:val="clear" w:color="auto" w:fill="auto"/>
          </w:tcPr>
          <w:p w:rsidR="009121FA" w:rsidRDefault="009121FA" w:rsidP="002249F8">
            <w:pPr>
              <w:rPr>
                <w:rFonts w:cs="Arial"/>
                <w:sz w:val="16"/>
                <w:szCs w:val="16"/>
              </w:rPr>
            </w:pPr>
            <w:r w:rsidRPr="003143EC">
              <w:rPr>
                <w:rFonts w:cs="Arial"/>
                <w:sz w:val="16"/>
                <w:szCs w:val="16"/>
              </w:rPr>
              <w:t>n/a</w:t>
            </w:r>
          </w:p>
        </w:tc>
        <w:tc>
          <w:tcPr>
            <w:tcW w:w="607" w:type="pct"/>
            <w:tcBorders>
              <w:top w:val="nil"/>
              <w:bottom w:val="single" w:sz="4" w:space="0" w:color="auto"/>
            </w:tcBorders>
            <w:shd w:val="clear" w:color="auto" w:fill="auto"/>
            <w:tcMar>
              <w:top w:w="110" w:type="dxa"/>
            </w:tcMar>
          </w:tcPr>
          <w:p w:rsidR="009121FA" w:rsidRPr="00083772" w:rsidRDefault="009121FA" w:rsidP="002249F8">
            <w:pPr>
              <w:rPr>
                <w:rFonts w:cs="Arial"/>
                <w:i/>
                <w:sz w:val="16"/>
                <w:szCs w:val="16"/>
              </w:rPr>
            </w:pPr>
            <w:r w:rsidRPr="00B100BE">
              <w:rPr>
                <w:rFonts w:cs="Arial"/>
                <w:sz w:val="16"/>
                <w:szCs w:val="16"/>
              </w:rPr>
              <w:t>n/a</w:t>
            </w:r>
            <w:r w:rsidRPr="00083772" w:rsidDel="00B100BE">
              <w:rPr>
                <w:rFonts w:cs="Arial"/>
                <w:sz w:val="16"/>
                <w:szCs w:val="16"/>
              </w:rPr>
              <w:t xml:space="preserve"> </w:t>
            </w:r>
          </w:p>
        </w:tc>
        <w:tc>
          <w:tcPr>
            <w:tcW w:w="2346" w:type="pct"/>
            <w:tcBorders>
              <w:top w:val="nil"/>
              <w:bottom w:val="single" w:sz="4" w:space="0" w:color="auto"/>
            </w:tcBorders>
            <w:shd w:val="clear" w:color="auto" w:fill="FFFFFF"/>
            <w:tcMar>
              <w:top w:w="110" w:type="dxa"/>
            </w:tcMar>
          </w:tcPr>
          <w:p w:rsidR="009121FA" w:rsidRPr="00B100BE" w:rsidRDefault="009121FA" w:rsidP="002249F8">
            <w:pPr>
              <w:rPr>
                <w:rFonts w:cs="Arial"/>
                <w:sz w:val="16"/>
                <w:szCs w:val="16"/>
                <w:lang w:bidi="th-TH"/>
              </w:rPr>
            </w:pPr>
            <w:r w:rsidRPr="00B100BE">
              <w:rPr>
                <w:rFonts w:cs="Arial"/>
                <w:sz w:val="16"/>
                <w:szCs w:val="16"/>
                <w:lang w:bidi="th-TH"/>
              </w:rPr>
              <w:t>Completion of the construction phase of the New Conference Hall Project (</w:t>
            </w:r>
            <w:r w:rsidRPr="00B100BE">
              <w:rPr>
                <w:rFonts w:cs="Arial"/>
                <w:sz w:val="16"/>
                <w:szCs w:val="16"/>
              </w:rPr>
              <w:t xml:space="preserve">new conference hall </w:t>
            </w:r>
            <w:r w:rsidRPr="00B100BE">
              <w:rPr>
                <w:rFonts w:cs="Arial"/>
                <w:i/>
                <w:sz w:val="16"/>
                <w:szCs w:val="16"/>
              </w:rPr>
              <w:t>per se</w:t>
            </w:r>
            <w:r w:rsidRPr="00B100BE">
              <w:rPr>
                <w:rFonts w:cs="Arial"/>
                <w:sz w:val="16"/>
                <w:szCs w:val="16"/>
              </w:rPr>
              <w:t>, modifications to the remaining two floors of the AB Building and the new access center to the WIPO campus) deferred until April 2014</w:t>
            </w:r>
            <w:r w:rsidRPr="00B100BE">
              <w:rPr>
                <w:rStyle w:val="FootnoteReference"/>
                <w:rFonts w:cs="Arial"/>
                <w:sz w:val="16"/>
                <w:szCs w:val="16"/>
              </w:rPr>
              <w:footnoteReference w:id="46"/>
            </w:r>
            <w:r w:rsidRPr="00B100BE">
              <w:rPr>
                <w:rFonts w:cs="Arial"/>
                <w:sz w:val="16"/>
                <w:szCs w:val="16"/>
              </w:rPr>
              <w:t xml:space="preserve"> </w:t>
            </w:r>
            <w:r w:rsidRPr="00B100BE">
              <w:rPr>
                <w:rFonts w:cs="Arial"/>
                <w:sz w:val="16"/>
                <w:szCs w:val="16"/>
                <w:lang w:bidi="th-TH"/>
              </w:rPr>
              <w:t>for expected first use in September 2014.</w:t>
            </w:r>
          </w:p>
          <w:p w:rsidR="009121FA" w:rsidRPr="00B100BE" w:rsidRDefault="009121FA" w:rsidP="002249F8">
            <w:pPr>
              <w:rPr>
                <w:rFonts w:cs="Arial"/>
                <w:sz w:val="16"/>
                <w:szCs w:val="16"/>
                <w:lang w:bidi="th-TH"/>
              </w:rPr>
            </w:pPr>
          </w:p>
          <w:p w:rsidR="009121FA" w:rsidRPr="00B100BE" w:rsidRDefault="009121FA" w:rsidP="002249F8">
            <w:pPr>
              <w:rPr>
                <w:rFonts w:cs="Arial"/>
                <w:sz w:val="16"/>
                <w:szCs w:val="16"/>
                <w:lang w:bidi="th-TH"/>
              </w:rPr>
            </w:pPr>
            <w:r w:rsidRPr="00B100BE">
              <w:rPr>
                <w:rFonts w:cs="Arial"/>
                <w:sz w:val="16"/>
                <w:szCs w:val="16"/>
                <w:lang w:bidi="th-TH"/>
              </w:rPr>
              <w:t>Completion of modifications to the basement of the AB Building as well as one new meeting room on the AB Building mezzanine in September and October 2013 respectively.</w:t>
            </w:r>
          </w:p>
          <w:p w:rsidR="009121FA" w:rsidRPr="00B100BE" w:rsidRDefault="009121FA" w:rsidP="002249F8">
            <w:pPr>
              <w:rPr>
                <w:rFonts w:cs="Arial"/>
                <w:sz w:val="16"/>
                <w:szCs w:val="16"/>
                <w:lang w:bidi="th-TH"/>
              </w:rPr>
            </w:pPr>
          </w:p>
          <w:p w:rsidR="009121FA" w:rsidRPr="00B100BE" w:rsidRDefault="009121FA" w:rsidP="002249F8">
            <w:pPr>
              <w:rPr>
                <w:rFonts w:cs="Arial"/>
                <w:sz w:val="16"/>
                <w:szCs w:val="16"/>
                <w:lang w:bidi="th-TH"/>
              </w:rPr>
            </w:pPr>
            <w:r w:rsidRPr="00B100BE">
              <w:rPr>
                <w:rFonts w:cs="Arial"/>
                <w:sz w:val="16"/>
                <w:szCs w:val="16"/>
              </w:rPr>
              <w:t>Compliance with approved and required quality standards and budgetary limits continued to be closely monitored by the Pilot, Construction Management and Coordination Committee and the Construction Committee.</w:t>
            </w:r>
          </w:p>
          <w:p w:rsidR="009121FA" w:rsidRPr="00B100BE" w:rsidRDefault="009121FA" w:rsidP="002249F8">
            <w:pPr>
              <w:rPr>
                <w:rFonts w:cs="Arial"/>
                <w:sz w:val="16"/>
                <w:szCs w:val="16"/>
              </w:rPr>
            </w:pPr>
          </w:p>
        </w:tc>
        <w:tc>
          <w:tcPr>
            <w:tcW w:w="606" w:type="pct"/>
            <w:tcBorders>
              <w:top w:val="nil"/>
              <w:bottom w:val="single" w:sz="4" w:space="0" w:color="auto"/>
              <w:right w:val="single" w:sz="4" w:space="0" w:color="auto"/>
            </w:tcBorders>
            <w:shd w:val="clear" w:color="auto" w:fill="auto"/>
            <w:tcMar>
              <w:top w:w="110" w:type="dxa"/>
            </w:tcMar>
          </w:tcPr>
          <w:p w:rsidR="009121FA" w:rsidRPr="00B100BE" w:rsidRDefault="009121FA" w:rsidP="002249F8">
            <w:pPr>
              <w:keepNext/>
              <w:keepLines/>
              <w:jc w:val="center"/>
              <w:rPr>
                <w:rFonts w:cs="Arial"/>
                <w:bCs/>
                <w:color w:val="808080"/>
                <w:sz w:val="16"/>
                <w:szCs w:val="16"/>
              </w:rPr>
            </w:pPr>
            <w:r w:rsidRPr="00946C0C">
              <w:rPr>
                <w:rStyle w:val="Style5"/>
                <w:rFonts w:ascii="Arial" w:hAnsi="Arial" w:cs="Arial"/>
                <w:color w:val="595959" w:themeColor="text1" w:themeTint="A6"/>
                <w:sz w:val="16"/>
                <w:szCs w:val="16"/>
              </w:rPr>
              <w:t>Not Assessable</w:t>
            </w:r>
          </w:p>
        </w:tc>
      </w:tr>
      <w:tr w:rsidR="009121FA" w:rsidTr="00946C0C">
        <w:trPr>
          <w:cantSplit/>
        </w:trPr>
        <w:tc>
          <w:tcPr>
            <w:tcW w:w="5000" w:type="pct"/>
            <w:gridSpan w:val="5"/>
            <w:tcBorders>
              <w:top w:val="single" w:sz="4" w:space="0" w:color="auto"/>
              <w:left w:val="single" w:sz="4" w:space="0" w:color="auto"/>
              <w:bottom w:val="nil"/>
              <w:right w:val="single" w:sz="4" w:space="0" w:color="auto"/>
            </w:tcBorders>
            <w:shd w:val="clear" w:color="auto" w:fill="CCFFFF"/>
            <w:vAlign w:val="center"/>
          </w:tcPr>
          <w:p w:rsidR="009121FA" w:rsidRDefault="009121FA" w:rsidP="002249F8">
            <w:pPr>
              <w:keepNext/>
              <w:keepLines/>
              <w:tabs>
                <w:tab w:val="left" w:pos="1452"/>
              </w:tabs>
              <w:spacing w:before="120" w:after="120"/>
              <w:ind w:left="1452" w:hanging="1452"/>
              <w:rPr>
                <w:rFonts w:cs="Arial"/>
                <w:b/>
                <w:bCs/>
                <w:sz w:val="16"/>
                <w:szCs w:val="16"/>
              </w:rPr>
            </w:pPr>
            <w:r w:rsidRPr="00234BEF">
              <w:rPr>
                <w:rFonts w:cs="Arial"/>
                <w:b/>
                <w:bCs/>
                <w:sz w:val="16"/>
                <w:szCs w:val="16"/>
              </w:rPr>
              <w:t>Expected Result</w:t>
            </w:r>
            <w:r>
              <w:rPr>
                <w:rFonts w:cs="Arial"/>
                <w:b/>
                <w:bCs/>
                <w:sz w:val="16"/>
                <w:szCs w:val="16"/>
              </w:rPr>
              <w:t>:</w:t>
            </w:r>
            <w:r>
              <w:rPr>
                <w:rFonts w:cs="Arial"/>
                <w:b/>
                <w:bCs/>
                <w:sz w:val="16"/>
                <w:szCs w:val="16"/>
              </w:rPr>
              <w:tab/>
            </w:r>
            <w:r w:rsidRPr="00FE03FF">
              <w:rPr>
                <w:rFonts w:cs="Arial"/>
                <w:sz w:val="16"/>
                <w:szCs w:val="16"/>
              </w:rPr>
              <w:t>Costs related to the new administrative building are kept to a minimum</w:t>
            </w:r>
          </w:p>
        </w:tc>
      </w:tr>
      <w:tr w:rsidR="009121FA" w:rsidRPr="009121FA" w:rsidTr="00946C0C">
        <w:trPr>
          <w:cantSplit/>
        </w:trPr>
        <w:tc>
          <w:tcPr>
            <w:tcW w:w="856" w:type="pct"/>
            <w:tcBorders>
              <w:top w:val="single" w:sz="4" w:space="0" w:color="auto"/>
              <w:left w:val="single" w:sz="4" w:space="0" w:color="auto"/>
              <w:bottom w:val="nil"/>
            </w:tcBorders>
            <w:shd w:val="clear" w:color="auto" w:fill="auto"/>
            <w:vAlign w:val="center"/>
          </w:tcPr>
          <w:p w:rsidR="009121FA" w:rsidRPr="009121FA" w:rsidRDefault="009121FA" w:rsidP="002249F8">
            <w:pPr>
              <w:rPr>
                <w:rFonts w:cs="Arial"/>
                <w:sz w:val="16"/>
                <w:szCs w:val="16"/>
              </w:rPr>
            </w:pPr>
            <w:r w:rsidRPr="009121FA">
              <w:rPr>
                <w:rFonts w:cs="Arial"/>
                <w:b/>
                <w:bCs/>
                <w:sz w:val="16"/>
                <w:szCs w:val="16"/>
              </w:rPr>
              <w:t>Performance Indicators</w:t>
            </w:r>
          </w:p>
        </w:tc>
        <w:tc>
          <w:tcPr>
            <w:tcW w:w="585" w:type="pct"/>
            <w:tcBorders>
              <w:top w:val="single" w:sz="4" w:space="0" w:color="auto"/>
              <w:bottom w:val="nil"/>
            </w:tcBorders>
            <w:shd w:val="clear" w:color="auto" w:fill="auto"/>
            <w:vAlign w:val="center"/>
          </w:tcPr>
          <w:p w:rsidR="009121FA" w:rsidRPr="009121FA" w:rsidRDefault="009121FA" w:rsidP="002249F8">
            <w:pPr>
              <w:rPr>
                <w:rFonts w:cs="Arial"/>
                <w:b/>
                <w:bCs/>
                <w:sz w:val="16"/>
                <w:szCs w:val="16"/>
              </w:rPr>
            </w:pPr>
            <w:r w:rsidRPr="009121FA">
              <w:rPr>
                <w:rFonts w:cs="Arial"/>
                <w:b/>
                <w:bCs/>
                <w:sz w:val="16"/>
                <w:szCs w:val="16"/>
              </w:rPr>
              <w:t>Baselines</w:t>
            </w:r>
          </w:p>
        </w:tc>
        <w:tc>
          <w:tcPr>
            <w:tcW w:w="607" w:type="pct"/>
            <w:tcBorders>
              <w:top w:val="single" w:sz="4" w:space="0" w:color="auto"/>
              <w:bottom w:val="nil"/>
            </w:tcBorders>
            <w:shd w:val="clear" w:color="auto" w:fill="auto"/>
            <w:tcMar>
              <w:top w:w="110" w:type="dxa"/>
            </w:tcMar>
            <w:vAlign w:val="center"/>
          </w:tcPr>
          <w:p w:rsidR="009121FA" w:rsidRPr="009121FA" w:rsidRDefault="009121FA" w:rsidP="002249F8">
            <w:pPr>
              <w:rPr>
                <w:rFonts w:cs="Arial"/>
                <w:b/>
                <w:sz w:val="16"/>
                <w:szCs w:val="16"/>
              </w:rPr>
            </w:pPr>
            <w:r w:rsidRPr="009121FA">
              <w:rPr>
                <w:rFonts w:cs="Arial"/>
                <w:b/>
                <w:sz w:val="16"/>
                <w:szCs w:val="16"/>
              </w:rPr>
              <w:t>Target</w:t>
            </w:r>
            <w:r w:rsidR="00E41397">
              <w:rPr>
                <w:rFonts w:cs="Arial"/>
                <w:b/>
                <w:sz w:val="16"/>
                <w:szCs w:val="16"/>
              </w:rPr>
              <w:t>s</w:t>
            </w:r>
          </w:p>
        </w:tc>
        <w:tc>
          <w:tcPr>
            <w:tcW w:w="2346" w:type="pct"/>
            <w:tcBorders>
              <w:top w:val="single" w:sz="4" w:space="0" w:color="auto"/>
              <w:bottom w:val="nil"/>
            </w:tcBorders>
            <w:shd w:val="clear" w:color="auto" w:fill="FFFFFF"/>
            <w:tcMar>
              <w:top w:w="110" w:type="dxa"/>
            </w:tcMar>
            <w:vAlign w:val="center"/>
          </w:tcPr>
          <w:p w:rsidR="009121FA" w:rsidRPr="009121FA" w:rsidRDefault="009121FA" w:rsidP="002249F8">
            <w:pPr>
              <w:rPr>
                <w:rFonts w:cs="Arial"/>
                <w:sz w:val="16"/>
                <w:szCs w:val="16"/>
              </w:rPr>
            </w:pPr>
            <w:r w:rsidRPr="009121FA">
              <w:rPr>
                <w:rFonts w:cs="Arial"/>
                <w:b/>
                <w:bCs/>
                <w:sz w:val="16"/>
                <w:szCs w:val="16"/>
              </w:rPr>
              <w:t>Performance Data</w:t>
            </w:r>
          </w:p>
        </w:tc>
        <w:tc>
          <w:tcPr>
            <w:tcW w:w="606" w:type="pct"/>
            <w:tcBorders>
              <w:top w:val="single" w:sz="4" w:space="0" w:color="auto"/>
              <w:bottom w:val="nil"/>
              <w:right w:val="single" w:sz="4" w:space="0" w:color="auto"/>
            </w:tcBorders>
            <w:shd w:val="clear" w:color="auto" w:fill="auto"/>
            <w:tcMar>
              <w:top w:w="110" w:type="dxa"/>
            </w:tcMar>
            <w:vAlign w:val="center"/>
          </w:tcPr>
          <w:p w:rsidR="009121FA" w:rsidRPr="009121FA" w:rsidRDefault="009121FA" w:rsidP="002249F8">
            <w:pPr>
              <w:keepNext/>
              <w:keepLines/>
              <w:jc w:val="center"/>
              <w:rPr>
                <w:rFonts w:cs="Arial"/>
                <w:b/>
                <w:bCs/>
                <w:sz w:val="16"/>
                <w:szCs w:val="16"/>
              </w:rPr>
            </w:pPr>
            <w:r w:rsidRPr="009121FA">
              <w:rPr>
                <w:rFonts w:cs="Arial"/>
                <w:b/>
                <w:bCs/>
                <w:sz w:val="16"/>
                <w:szCs w:val="16"/>
              </w:rPr>
              <w:t>TLS</w:t>
            </w:r>
          </w:p>
        </w:tc>
      </w:tr>
      <w:tr w:rsidR="009121FA" w:rsidTr="00946C0C">
        <w:trPr>
          <w:cantSplit/>
        </w:trPr>
        <w:tc>
          <w:tcPr>
            <w:tcW w:w="856" w:type="pct"/>
            <w:tcBorders>
              <w:top w:val="nil"/>
              <w:left w:val="single" w:sz="4" w:space="0" w:color="auto"/>
              <w:bottom w:val="single" w:sz="4" w:space="0" w:color="auto"/>
            </w:tcBorders>
            <w:shd w:val="clear" w:color="auto" w:fill="auto"/>
          </w:tcPr>
          <w:p w:rsidR="009121FA" w:rsidRDefault="009121FA" w:rsidP="002249F8">
            <w:pPr>
              <w:rPr>
                <w:rFonts w:cs="Arial"/>
                <w:sz w:val="16"/>
                <w:szCs w:val="16"/>
              </w:rPr>
            </w:pPr>
            <w:r w:rsidRPr="00FE03FF">
              <w:rPr>
                <w:rFonts w:cs="Arial"/>
                <w:sz w:val="16"/>
                <w:szCs w:val="16"/>
              </w:rPr>
              <w:t>Use of remaining funds available under the approved consolidated budget and provisions during the construction guarantee period</w:t>
            </w:r>
          </w:p>
          <w:p w:rsidR="009121FA" w:rsidRDefault="009121FA" w:rsidP="002249F8">
            <w:pPr>
              <w:rPr>
                <w:rFonts w:cs="Arial"/>
                <w:sz w:val="16"/>
                <w:szCs w:val="16"/>
              </w:rPr>
            </w:pPr>
          </w:p>
        </w:tc>
        <w:tc>
          <w:tcPr>
            <w:tcW w:w="585" w:type="pct"/>
            <w:tcBorders>
              <w:top w:val="nil"/>
              <w:bottom w:val="single" w:sz="4" w:space="0" w:color="auto"/>
            </w:tcBorders>
            <w:shd w:val="clear" w:color="auto" w:fill="auto"/>
          </w:tcPr>
          <w:p w:rsidR="009121FA" w:rsidRDefault="009121FA" w:rsidP="002249F8">
            <w:pPr>
              <w:rPr>
                <w:rFonts w:cs="Arial"/>
                <w:sz w:val="16"/>
                <w:szCs w:val="16"/>
              </w:rPr>
            </w:pPr>
            <w:r w:rsidRPr="003143EC">
              <w:rPr>
                <w:rFonts w:cs="Arial"/>
                <w:sz w:val="16"/>
                <w:szCs w:val="16"/>
              </w:rPr>
              <w:t>n/a</w:t>
            </w:r>
          </w:p>
        </w:tc>
        <w:tc>
          <w:tcPr>
            <w:tcW w:w="607" w:type="pct"/>
            <w:tcBorders>
              <w:top w:val="nil"/>
              <w:bottom w:val="single" w:sz="4" w:space="0" w:color="auto"/>
            </w:tcBorders>
            <w:shd w:val="clear" w:color="auto" w:fill="auto"/>
            <w:tcMar>
              <w:top w:w="110" w:type="dxa"/>
            </w:tcMar>
          </w:tcPr>
          <w:p w:rsidR="009121FA" w:rsidRPr="00083772" w:rsidRDefault="009121FA" w:rsidP="002249F8">
            <w:pPr>
              <w:rPr>
                <w:rFonts w:cs="Arial"/>
                <w:i/>
                <w:sz w:val="16"/>
                <w:szCs w:val="16"/>
              </w:rPr>
            </w:pPr>
            <w:r w:rsidRPr="00B100BE">
              <w:rPr>
                <w:rFonts w:cs="Arial"/>
                <w:sz w:val="16"/>
                <w:szCs w:val="16"/>
              </w:rPr>
              <w:t>n/a</w:t>
            </w:r>
            <w:r w:rsidRPr="00083772" w:rsidDel="00B100BE">
              <w:rPr>
                <w:rFonts w:cs="Arial"/>
                <w:sz w:val="16"/>
                <w:szCs w:val="16"/>
              </w:rPr>
              <w:t xml:space="preserve"> </w:t>
            </w:r>
          </w:p>
        </w:tc>
        <w:tc>
          <w:tcPr>
            <w:tcW w:w="2346" w:type="pct"/>
            <w:tcBorders>
              <w:top w:val="nil"/>
              <w:bottom w:val="single" w:sz="4" w:space="0" w:color="auto"/>
            </w:tcBorders>
            <w:shd w:val="clear" w:color="auto" w:fill="FFFFFF"/>
            <w:tcMar>
              <w:top w:w="110" w:type="dxa"/>
            </w:tcMar>
          </w:tcPr>
          <w:p w:rsidR="009121FA" w:rsidRPr="00B100BE" w:rsidRDefault="009121FA" w:rsidP="002249F8">
            <w:pPr>
              <w:rPr>
                <w:rFonts w:cs="Arial"/>
                <w:sz w:val="16"/>
                <w:szCs w:val="16"/>
              </w:rPr>
            </w:pPr>
            <w:r w:rsidRPr="00B100BE">
              <w:rPr>
                <w:rFonts w:cs="Arial"/>
                <w:sz w:val="16"/>
                <w:szCs w:val="16"/>
              </w:rPr>
              <w:t>Expenditure was within the budgetary limits at the end of 2012/13 biennium.</w:t>
            </w:r>
          </w:p>
        </w:tc>
        <w:tc>
          <w:tcPr>
            <w:tcW w:w="606" w:type="pct"/>
            <w:tcBorders>
              <w:top w:val="nil"/>
              <w:bottom w:val="single" w:sz="4" w:space="0" w:color="auto"/>
              <w:right w:val="single" w:sz="4" w:space="0" w:color="auto"/>
            </w:tcBorders>
            <w:shd w:val="clear" w:color="auto" w:fill="auto"/>
            <w:tcMar>
              <w:top w:w="110" w:type="dxa"/>
            </w:tcMar>
          </w:tcPr>
          <w:p w:rsidR="009121FA" w:rsidRPr="00083772" w:rsidRDefault="009121FA" w:rsidP="002249F8">
            <w:pPr>
              <w:keepNext/>
              <w:keepLines/>
              <w:jc w:val="center"/>
              <w:rPr>
                <w:rFonts w:cs="Arial"/>
                <w:bCs/>
                <w:color w:val="808080"/>
                <w:sz w:val="16"/>
                <w:szCs w:val="16"/>
              </w:rPr>
            </w:pPr>
            <w:r w:rsidRPr="00946C0C">
              <w:rPr>
                <w:rStyle w:val="Style5"/>
                <w:rFonts w:ascii="Arial" w:hAnsi="Arial" w:cs="Arial"/>
                <w:color w:val="595959" w:themeColor="text1" w:themeTint="A6"/>
                <w:sz w:val="16"/>
                <w:szCs w:val="16"/>
              </w:rPr>
              <w:t>Not Assessable</w:t>
            </w:r>
          </w:p>
        </w:tc>
      </w:tr>
    </w:tbl>
    <w:p w:rsidR="009121FA" w:rsidRPr="00234C82" w:rsidRDefault="009121FA" w:rsidP="009121FA">
      <w:pPr>
        <w:rPr>
          <w:rFonts w:cs="Arial"/>
          <w:sz w:val="22"/>
          <w:szCs w:val="22"/>
        </w:rPr>
      </w:pPr>
    </w:p>
    <w:p w:rsidR="009121FA" w:rsidRDefault="009121FA" w:rsidP="009121FA">
      <w:pPr>
        <w:rPr>
          <w:rFonts w:cs="Arial"/>
          <w:sz w:val="22"/>
          <w:szCs w:val="22"/>
        </w:rPr>
      </w:pPr>
    </w:p>
    <w:p w:rsidR="009121FA" w:rsidRDefault="009121FA" w:rsidP="009121FA">
      <w:pPr>
        <w:rPr>
          <w:rFonts w:cs="Arial"/>
          <w:sz w:val="22"/>
          <w:szCs w:val="22"/>
        </w:rPr>
      </w:pPr>
      <w:r w:rsidRPr="00234C82">
        <w:rPr>
          <w:rFonts w:cs="Arial"/>
          <w:sz w:val="22"/>
          <w:szCs w:val="22"/>
        </w:rPr>
        <w:t xml:space="preserve">BUDGET </w:t>
      </w:r>
      <w:r>
        <w:rPr>
          <w:rFonts w:cs="Arial"/>
          <w:sz w:val="22"/>
          <w:szCs w:val="22"/>
        </w:rPr>
        <w:t>AND ACTUAL EXPENDITURE</w:t>
      </w:r>
    </w:p>
    <w:p w:rsidR="009121FA" w:rsidRPr="00083772" w:rsidRDefault="009121FA" w:rsidP="009121FA">
      <w:pPr>
        <w:rPr>
          <w:rFonts w:cs="Arial"/>
          <w:szCs w:val="20"/>
        </w:rPr>
      </w:pPr>
    </w:p>
    <w:p w:rsidR="009121FA" w:rsidRPr="00083772" w:rsidRDefault="009121FA" w:rsidP="009121FA">
      <w:pPr>
        <w:jc w:val="center"/>
        <w:rPr>
          <w:rFonts w:eastAsiaTheme="minorEastAsia"/>
          <w:szCs w:val="20"/>
        </w:rPr>
      </w:pPr>
      <w:r w:rsidRPr="00083772">
        <w:rPr>
          <w:rFonts w:eastAsiaTheme="minorEastAsia" w:cs="Arial"/>
          <w:color w:val="000000"/>
          <w:szCs w:val="20"/>
        </w:rPr>
        <w:t xml:space="preserve">Budget and Actual Expenditure (by result) </w:t>
      </w:r>
    </w:p>
    <w:p w:rsidR="009121FA" w:rsidRPr="00083772" w:rsidRDefault="009121FA" w:rsidP="009121FA">
      <w:pPr>
        <w:jc w:val="center"/>
        <w:rPr>
          <w:rFonts w:eastAsiaTheme="minorEastAsia" w:cs="Arial"/>
          <w:i/>
          <w:iCs/>
          <w:color w:val="000000"/>
          <w:szCs w:val="20"/>
        </w:rPr>
      </w:pPr>
      <w:r w:rsidRPr="00083772">
        <w:rPr>
          <w:rFonts w:eastAsiaTheme="minorEastAsia" w:cs="Arial"/>
          <w:i/>
          <w:iCs/>
          <w:color w:val="000000"/>
          <w:szCs w:val="20"/>
        </w:rPr>
        <w:t>(</w:t>
      </w:r>
      <w:proofErr w:type="gramStart"/>
      <w:r w:rsidRPr="00083772">
        <w:rPr>
          <w:rFonts w:eastAsiaTheme="minorEastAsia" w:cs="Arial"/>
          <w:i/>
          <w:iCs/>
          <w:color w:val="000000"/>
          <w:szCs w:val="20"/>
        </w:rPr>
        <w:t>in</w:t>
      </w:r>
      <w:proofErr w:type="gramEnd"/>
      <w:r w:rsidRPr="00083772">
        <w:rPr>
          <w:rFonts w:eastAsiaTheme="minorEastAsia" w:cs="Arial"/>
          <w:i/>
          <w:iCs/>
          <w:color w:val="000000"/>
          <w:szCs w:val="20"/>
        </w:rPr>
        <w:t xml:space="preserve"> thousands of Swiss francs)</w:t>
      </w:r>
    </w:p>
    <w:p w:rsidR="009121FA" w:rsidRPr="00083772" w:rsidRDefault="009121FA" w:rsidP="009121FA">
      <w:pPr>
        <w:jc w:val="center"/>
        <w:rPr>
          <w:rFonts w:eastAsiaTheme="minorEastAsia"/>
          <w:szCs w:val="20"/>
        </w:rPr>
      </w:pPr>
    </w:p>
    <w:tbl>
      <w:tblPr>
        <w:tblW w:w="0" w:type="auto"/>
        <w:tblInd w:w="103" w:type="dxa"/>
        <w:tblLayout w:type="fixed"/>
        <w:tblLook w:val="04A0" w:firstRow="1" w:lastRow="0" w:firstColumn="1" w:lastColumn="0" w:noHBand="0" w:noVBand="1"/>
      </w:tblPr>
      <w:tblGrid>
        <w:gridCol w:w="537"/>
        <w:gridCol w:w="4288"/>
        <w:gridCol w:w="1512"/>
        <w:gridCol w:w="1512"/>
        <w:gridCol w:w="1512"/>
      </w:tblGrid>
      <w:tr w:rsidR="009121FA" w:rsidRPr="009121FA" w:rsidTr="006B2753">
        <w:tc>
          <w:tcPr>
            <w:tcW w:w="4825" w:type="dxa"/>
            <w:gridSpan w:val="2"/>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Expected Result No. and Description</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2012/13 Approved Budget</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 xml:space="preserve">2012/13 Budget </w:t>
            </w:r>
            <w:r w:rsidRPr="009121FA">
              <w:rPr>
                <w:rFonts w:cs="Arial"/>
                <w:bCs/>
                <w:color w:val="000000"/>
                <w:sz w:val="16"/>
                <w:szCs w:val="16"/>
              </w:rPr>
              <w:br/>
              <w:t>After Transfers</w:t>
            </w:r>
          </w:p>
        </w:tc>
        <w:tc>
          <w:tcPr>
            <w:tcW w:w="1512" w:type="dxa"/>
            <w:tcBorders>
              <w:top w:val="single" w:sz="4" w:space="0" w:color="auto"/>
              <w:left w:val="nil"/>
              <w:bottom w:val="single" w:sz="4" w:space="0" w:color="auto"/>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 xml:space="preserve">2012/13 </w:t>
            </w:r>
            <w:r w:rsidRPr="009121FA">
              <w:rPr>
                <w:rFonts w:cs="Arial"/>
                <w:bCs/>
                <w:color w:val="000000"/>
                <w:sz w:val="16"/>
                <w:szCs w:val="16"/>
              </w:rPr>
              <w:br/>
              <w:t>Expenditure</w:t>
            </w:r>
          </w:p>
        </w:tc>
      </w:tr>
      <w:tr w:rsidR="009121FA" w:rsidRPr="00B100BE" w:rsidTr="006B2753">
        <w:tc>
          <w:tcPr>
            <w:tcW w:w="537" w:type="dxa"/>
            <w:tcBorders>
              <w:top w:val="nil"/>
              <w:left w:val="single" w:sz="4" w:space="0" w:color="auto"/>
              <w:bottom w:val="nil"/>
              <w:right w:val="nil"/>
            </w:tcBorders>
            <w:shd w:val="clear" w:color="000000" w:fill="FFFFFF"/>
            <w:noWrap/>
            <w:hideMark/>
          </w:tcPr>
          <w:p w:rsidR="009121FA" w:rsidRPr="00083772" w:rsidRDefault="009121FA" w:rsidP="00946C0C">
            <w:pPr>
              <w:spacing w:before="120"/>
              <w:jc w:val="center"/>
              <w:rPr>
                <w:rFonts w:cs="Arial"/>
                <w:color w:val="000000"/>
                <w:sz w:val="16"/>
                <w:szCs w:val="16"/>
              </w:rPr>
            </w:pPr>
            <w:r w:rsidRPr="00083772">
              <w:rPr>
                <w:rFonts w:cs="Arial"/>
                <w:color w:val="000000"/>
                <w:sz w:val="16"/>
                <w:szCs w:val="16"/>
              </w:rPr>
              <w:t>IX.4</w:t>
            </w:r>
          </w:p>
        </w:tc>
        <w:tc>
          <w:tcPr>
            <w:tcW w:w="4288" w:type="dxa"/>
            <w:tcBorders>
              <w:top w:val="nil"/>
              <w:left w:val="nil"/>
              <w:bottom w:val="nil"/>
              <w:right w:val="nil"/>
            </w:tcBorders>
            <w:shd w:val="clear" w:color="000000" w:fill="FFFFFF"/>
            <w:hideMark/>
          </w:tcPr>
          <w:p w:rsidR="009121FA" w:rsidRPr="00083772" w:rsidRDefault="009121FA" w:rsidP="00946C0C">
            <w:pPr>
              <w:spacing w:before="120"/>
              <w:rPr>
                <w:rFonts w:cs="Arial"/>
                <w:color w:val="000000"/>
                <w:sz w:val="16"/>
                <w:szCs w:val="16"/>
              </w:rPr>
            </w:pPr>
            <w:r w:rsidRPr="00083772">
              <w:rPr>
                <w:rFonts w:cs="Arial"/>
                <w:color w:val="000000"/>
                <w:sz w:val="16"/>
                <w:szCs w:val="16"/>
              </w:rPr>
              <w:t>WIPO staff, delegates, visitors and information and physical assets are safe and secure</w:t>
            </w:r>
          </w:p>
        </w:tc>
        <w:tc>
          <w:tcPr>
            <w:tcW w:w="1512" w:type="dxa"/>
            <w:tcBorders>
              <w:top w:val="nil"/>
              <w:left w:val="nil"/>
              <w:bottom w:val="nil"/>
              <w:right w:val="nil"/>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46 </w:t>
            </w:r>
          </w:p>
        </w:tc>
        <w:tc>
          <w:tcPr>
            <w:tcW w:w="1512" w:type="dxa"/>
            <w:tcBorders>
              <w:top w:val="nil"/>
              <w:left w:val="nil"/>
              <w:bottom w:val="nil"/>
              <w:right w:val="nil"/>
            </w:tcBorders>
            <w:shd w:val="clear" w:color="000000" w:fill="FFFFFF"/>
            <w:vAlign w:val="center"/>
            <w:hideMark/>
          </w:tcPr>
          <w:p w:rsidR="009121FA" w:rsidRPr="00083772" w:rsidRDefault="009121FA" w:rsidP="00F21199">
            <w:pPr>
              <w:spacing w:before="120"/>
              <w:jc w:val="right"/>
              <w:rPr>
                <w:rFonts w:cs="Arial"/>
                <w:color w:val="000000"/>
                <w:sz w:val="16"/>
                <w:szCs w:val="16"/>
              </w:rPr>
            </w:pPr>
            <w:r w:rsidRPr="00083772">
              <w:rPr>
                <w:rFonts w:cs="Arial"/>
                <w:color w:val="000000"/>
                <w:sz w:val="16"/>
                <w:szCs w:val="16"/>
              </w:rPr>
              <w:t>4</w:t>
            </w:r>
            <w:r w:rsidR="00F21199">
              <w:rPr>
                <w:rFonts w:cs="Arial"/>
                <w:color w:val="000000"/>
                <w:sz w:val="16"/>
                <w:szCs w:val="16"/>
              </w:rPr>
              <w:t>8</w:t>
            </w:r>
            <w:r w:rsidRPr="00083772">
              <w:rPr>
                <w:rFonts w:cs="Arial"/>
                <w:color w:val="000000"/>
                <w:sz w:val="16"/>
                <w:szCs w:val="16"/>
              </w:rPr>
              <w:t xml:space="preserve"> </w:t>
            </w:r>
          </w:p>
        </w:tc>
        <w:tc>
          <w:tcPr>
            <w:tcW w:w="1512" w:type="dxa"/>
            <w:tcBorders>
              <w:top w:val="nil"/>
              <w:left w:val="nil"/>
              <w:bottom w:val="nil"/>
              <w:right w:val="single" w:sz="4" w:space="0" w:color="auto"/>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60 </w:t>
            </w:r>
          </w:p>
        </w:tc>
      </w:tr>
      <w:tr w:rsidR="009121FA" w:rsidRPr="00B100BE" w:rsidTr="006B2753">
        <w:tc>
          <w:tcPr>
            <w:tcW w:w="537" w:type="dxa"/>
            <w:tcBorders>
              <w:top w:val="nil"/>
              <w:left w:val="single" w:sz="4" w:space="0" w:color="auto"/>
              <w:bottom w:val="nil"/>
              <w:right w:val="nil"/>
            </w:tcBorders>
            <w:shd w:val="clear" w:color="000000" w:fill="FFFFFF"/>
            <w:noWrap/>
            <w:hideMark/>
          </w:tcPr>
          <w:p w:rsidR="009121FA" w:rsidRPr="00083772" w:rsidRDefault="009121FA" w:rsidP="00946C0C">
            <w:pPr>
              <w:spacing w:before="120"/>
              <w:jc w:val="center"/>
              <w:rPr>
                <w:rFonts w:cs="Arial"/>
                <w:color w:val="000000"/>
                <w:sz w:val="16"/>
                <w:szCs w:val="16"/>
              </w:rPr>
            </w:pPr>
            <w:r w:rsidRPr="00083772">
              <w:rPr>
                <w:rFonts w:cs="Arial"/>
                <w:color w:val="000000"/>
                <w:sz w:val="16"/>
                <w:szCs w:val="16"/>
              </w:rPr>
              <w:t>IX.5</w:t>
            </w:r>
          </w:p>
        </w:tc>
        <w:tc>
          <w:tcPr>
            <w:tcW w:w="4288" w:type="dxa"/>
            <w:tcBorders>
              <w:top w:val="nil"/>
              <w:left w:val="nil"/>
              <w:bottom w:val="nil"/>
              <w:right w:val="nil"/>
            </w:tcBorders>
            <w:shd w:val="clear" w:color="000000" w:fill="FFFFFF"/>
            <w:hideMark/>
          </w:tcPr>
          <w:p w:rsidR="009121FA" w:rsidRPr="00083772" w:rsidRDefault="009121FA" w:rsidP="00946C0C">
            <w:pPr>
              <w:spacing w:before="120"/>
              <w:rPr>
                <w:rFonts w:cs="Arial"/>
                <w:color w:val="000000"/>
                <w:sz w:val="16"/>
                <w:szCs w:val="16"/>
              </w:rPr>
            </w:pPr>
            <w:r w:rsidRPr="00083772">
              <w:rPr>
                <w:rFonts w:cs="Arial"/>
                <w:color w:val="000000"/>
                <w:sz w:val="16"/>
                <w:szCs w:val="16"/>
              </w:rPr>
              <w:t>Costs related to the new administrative building are kept to a minimum</w:t>
            </w:r>
          </w:p>
        </w:tc>
        <w:tc>
          <w:tcPr>
            <w:tcW w:w="1512" w:type="dxa"/>
            <w:tcBorders>
              <w:top w:val="nil"/>
              <w:left w:val="nil"/>
              <w:bottom w:val="nil"/>
              <w:right w:val="nil"/>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7,020 </w:t>
            </w:r>
          </w:p>
        </w:tc>
        <w:tc>
          <w:tcPr>
            <w:tcW w:w="1512" w:type="dxa"/>
            <w:tcBorders>
              <w:top w:val="nil"/>
              <w:left w:val="nil"/>
              <w:bottom w:val="nil"/>
              <w:right w:val="nil"/>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6,601 </w:t>
            </w:r>
          </w:p>
        </w:tc>
        <w:tc>
          <w:tcPr>
            <w:tcW w:w="1512" w:type="dxa"/>
            <w:tcBorders>
              <w:top w:val="nil"/>
              <w:left w:val="nil"/>
              <w:bottom w:val="nil"/>
              <w:right w:val="single" w:sz="4" w:space="0" w:color="auto"/>
            </w:tcBorders>
            <w:shd w:val="clear" w:color="000000" w:fill="FFFFFF"/>
            <w:vAlign w:val="center"/>
            <w:hideMark/>
          </w:tcPr>
          <w:p w:rsidR="009121FA" w:rsidRPr="00083772" w:rsidRDefault="009121FA" w:rsidP="00946C0C">
            <w:pPr>
              <w:spacing w:before="120"/>
              <w:jc w:val="right"/>
              <w:rPr>
                <w:rFonts w:cs="Arial"/>
                <w:color w:val="000000"/>
                <w:sz w:val="16"/>
                <w:szCs w:val="16"/>
              </w:rPr>
            </w:pPr>
            <w:r w:rsidRPr="00083772">
              <w:rPr>
                <w:rFonts w:cs="Arial"/>
                <w:color w:val="000000"/>
                <w:sz w:val="16"/>
                <w:szCs w:val="16"/>
              </w:rPr>
              <w:t xml:space="preserve">6,674 </w:t>
            </w:r>
          </w:p>
        </w:tc>
      </w:tr>
      <w:tr w:rsidR="009121FA" w:rsidRPr="00B100BE" w:rsidTr="006B2753">
        <w:tc>
          <w:tcPr>
            <w:tcW w:w="537" w:type="dxa"/>
            <w:tcBorders>
              <w:top w:val="nil"/>
              <w:left w:val="single" w:sz="4" w:space="0" w:color="auto"/>
              <w:bottom w:val="single" w:sz="4" w:space="0" w:color="auto"/>
              <w:right w:val="nil"/>
            </w:tcBorders>
            <w:shd w:val="clear" w:color="000000" w:fill="FFFFFF"/>
            <w:noWrap/>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IX.6</w:t>
            </w:r>
          </w:p>
        </w:tc>
        <w:tc>
          <w:tcPr>
            <w:tcW w:w="4288" w:type="dxa"/>
            <w:tcBorders>
              <w:top w:val="nil"/>
              <w:left w:val="nil"/>
              <w:bottom w:val="single" w:sz="4" w:space="0" w:color="auto"/>
              <w:right w:val="nil"/>
            </w:tcBorders>
            <w:shd w:val="clear" w:color="000000" w:fill="FFFFFF"/>
            <w:hideMark/>
          </w:tcPr>
          <w:p w:rsidR="009121FA" w:rsidRPr="00083772" w:rsidRDefault="009121FA" w:rsidP="002249F8">
            <w:pPr>
              <w:spacing w:before="120" w:after="120"/>
              <w:rPr>
                <w:rFonts w:cs="Arial"/>
                <w:color w:val="000000"/>
                <w:sz w:val="16"/>
                <w:szCs w:val="16"/>
              </w:rPr>
            </w:pPr>
            <w:r w:rsidRPr="00083772">
              <w:rPr>
                <w:rFonts w:cs="Arial"/>
                <w:color w:val="000000"/>
                <w:sz w:val="16"/>
                <w:szCs w:val="16"/>
              </w:rPr>
              <w:t>New conference hall and related facilities available for meetings of Member States</w:t>
            </w:r>
          </w:p>
        </w:tc>
        <w:tc>
          <w:tcPr>
            <w:tcW w:w="1512" w:type="dxa"/>
            <w:tcBorders>
              <w:top w:val="nil"/>
              <w:left w:val="nil"/>
              <w:bottom w:val="single" w:sz="4" w:space="0" w:color="auto"/>
              <w:right w:val="nil"/>
            </w:tcBorders>
            <w:shd w:val="clear" w:color="000000" w:fill="FFFFFF"/>
            <w:vAlign w:val="center"/>
            <w:hideMark/>
          </w:tcPr>
          <w:p w:rsidR="009121FA" w:rsidRPr="00083772" w:rsidRDefault="009121FA" w:rsidP="002249F8">
            <w:pPr>
              <w:spacing w:before="120" w:after="120"/>
              <w:jc w:val="right"/>
              <w:rPr>
                <w:rFonts w:cs="Arial"/>
                <w:color w:val="000000"/>
                <w:sz w:val="16"/>
                <w:szCs w:val="16"/>
              </w:rPr>
            </w:pPr>
            <w:r w:rsidRPr="00083772">
              <w:rPr>
                <w:rFonts w:cs="Arial"/>
                <w:color w:val="000000"/>
                <w:sz w:val="16"/>
                <w:szCs w:val="16"/>
              </w:rPr>
              <w:t xml:space="preserve"> 608 </w:t>
            </w:r>
          </w:p>
        </w:tc>
        <w:tc>
          <w:tcPr>
            <w:tcW w:w="1512" w:type="dxa"/>
            <w:tcBorders>
              <w:top w:val="nil"/>
              <w:left w:val="nil"/>
              <w:bottom w:val="single" w:sz="4" w:space="0" w:color="auto"/>
              <w:right w:val="nil"/>
            </w:tcBorders>
            <w:shd w:val="clear" w:color="000000" w:fill="FFFFFF"/>
            <w:vAlign w:val="center"/>
            <w:hideMark/>
          </w:tcPr>
          <w:p w:rsidR="009121FA" w:rsidRPr="00083772" w:rsidRDefault="009121FA" w:rsidP="002249F8">
            <w:pPr>
              <w:spacing w:before="120" w:after="120"/>
              <w:jc w:val="right"/>
              <w:rPr>
                <w:rFonts w:cs="Arial"/>
                <w:color w:val="000000"/>
                <w:sz w:val="16"/>
                <w:szCs w:val="16"/>
              </w:rPr>
            </w:pPr>
            <w:r w:rsidRPr="00083772">
              <w:rPr>
                <w:rFonts w:cs="Arial"/>
                <w:color w:val="000000"/>
                <w:sz w:val="16"/>
                <w:szCs w:val="16"/>
              </w:rPr>
              <w:t xml:space="preserve">587 </w:t>
            </w:r>
          </w:p>
        </w:tc>
        <w:tc>
          <w:tcPr>
            <w:tcW w:w="1512" w:type="dxa"/>
            <w:tcBorders>
              <w:top w:val="nil"/>
              <w:left w:val="nil"/>
              <w:bottom w:val="single" w:sz="4" w:space="0" w:color="auto"/>
              <w:right w:val="single" w:sz="4" w:space="0" w:color="auto"/>
            </w:tcBorders>
            <w:shd w:val="clear" w:color="000000" w:fill="FFFFFF"/>
            <w:vAlign w:val="center"/>
            <w:hideMark/>
          </w:tcPr>
          <w:p w:rsidR="009121FA" w:rsidRPr="00083772" w:rsidRDefault="009121FA" w:rsidP="002249F8">
            <w:pPr>
              <w:spacing w:before="120" w:after="120"/>
              <w:jc w:val="right"/>
              <w:rPr>
                <w:rFonts w:cs="Arial"/>
                <w:color w:val="000000"/>
                <w:sz w:val="16"/>
                <w:szCs w:val="16"/>
              </w:rPr>
            </w:pPr>
            <w:r w:rsidRPr="00083772">
              <w:rPr>
                <w:rFonts w:cs="Arial"/>
                <w:color w:val="000000"/>
                <w:sz w:val="16"/>
                <w:szCs w:val="16"/>
              </w:rPr>
              <w:t xml:space="preserve">350 </w:t>
            </w:r>
          </w:p>
        </w:tc>
      </w:tr>
      <w:tr w:rsidR="009121FA" w:rsidRPr="00B100BE" w:rsidTr="006B2753">
        <w:tc>
          <w:tcPr>
            <w:tcW w:w="537" w:type="dxa"/>
            <w:tcBorders>
              <w:top w:val="nil"/>
              <w:left w:val="single" w:sz="4" w:space="0" w:color="auto"/>
              <w:bottom w:val="single" w:sz="4" w:space="0" w:color="auto"/>
              <w:right w:val="nil"/>
            </w:tcBorders>
            <w:shd w:val="clear" w:color="000000" w:fill="CCFFFF"/>
            <w:noWrap/>
            <w:vAlign w:val="bottom"/>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 </w:t>
            </w:r>
          </w:p>
        </w:tc>
        <w:tc>
          <w:tcPr>
            <w:tcW w:w="4288" w:type="dxa"/>
            <w:tcBorders>
              <w:top w:val="nil"/>
              <w:left w:val="nil"/>
              <w:bottom w:val="single" w:sz="4" w:space="0" w:color="auto"/>
              <w:right w:val="nil"/>
            </w:tcBorders>
            <w:shd w:val="clear" w:color="000000" w:fill="CCFFFF"/>
            <w:noWrap/>
            <w:vAlign w:val="center"/>
            <w:hideMark/>
          </w:tcPr>
          <w:p w:rsidR="009121FA" w:rsidRPr="00083772" w:rsidRDefault="009121FA" w:rsidP="002249F8">
            <w:pPr>
              <w:spacing w:before="120" w:after="120"/>
              <w:rPr>
                <w:rFonts w:cs="Arial"/>
                <w:b/>
                <w:bCs/>
                <w:color w:val="000000"/>
                <w:sz w:val="16"/>
                <w:szCs w:val="16"/>
              </w:rPr>
            </w:pPr>
            <w:r w:rsidRPr="00083772">
              <w:rPr>
                <w:rFonts w:cs="Arial"/>
                <w:b/>
                <w:bCs/>
                <w:color w:val="000000"/>
                <w:sz w:val="16"/>
                <w:szCs w:val="16"/>
              </w:rPr>
              <w:t>Total</w:t>
            </w:r>
          </w:p>
        </w:tc>
        <w:tc>
          <w:tcPr>
            <w:tcW w:w="1512" w:type="dxa"/>
            <w:tcBorders>
              <w:top w:val="nil"/>
              <w:left w:val="single" w:sz="4" w:space="0" w:color="auto"/>
              <w:bottom w:val="single" w:sz="4" w:space="0" w:color="auto"/>
              <w:right w:val="single" w:sz="4" w:space="0" w:color="auto"/>
            </w:tcBorders>
            <w:shd w:val="clear" w:color="000000" w:fill="CCFFFF"/>
            <w:vAlign w:val="center"/>
            <w:hideMark/>
          </w:tcPr>
          <w:p w:rsidR="009121FA" w:rsidRPr="00083772" w:rsidRDefault="009121FA" w:rsidP="002249F8">
            <w:pPr>
              <w:spacing w:before="120" w:after="120"/>
              <w:jc w:val="right"/>
              <w:rPr>
                <w:rFonts w:cs="Arial"/>
                <w:b/>
                <w:bCs/>
                <w:color w:val="000000"/>
                <w:sz w:val="16"/>
                <w:szCs w:val="16"/>
              </w:rPr>
            </w:pPr>
            <w:r w:rsidRPr="00083772">
              <w:rPr>
                <w:rFonts w:cs="Arial"/>
                <w:b/>
                <w:bCs/>
                <w:color w:val="000000"/>
                <w:sz w:val="16"/>
                <w:szCs w:val="16"/>
              </w:rPr>
              <w:t>7,675</w:t>
            </w:r>
          </w:p>
        </w:tc>
        <w:tc>
          <w:tcPr>
            <w:tcW w:w="1512" w:type="dxa"/>
            <w:tcBorders>
              <w:top w:val="nil"/>
              <w:left w:val="nil"/>
              <w:bottom w:val="single" w:sz="4" w:space="0" w:color="auto"/>
              <w:right w:val="single" w:sz="4" w:space="0" w:color="auto"/>
            </w:tcBorders>
            <w:shd w:val="clear" w:color="000000" w:fill="CCFFFF"/>
            <w:noWrap/>
            <w:vAlign w:val="center"/>
            <w:hideMark/>
          </w:tcPr>
          <w:p w:rsidR="009121FA" w:rsidRPr="00083772" w:rsidRDefault="009121FA" w:rsidP="002249F8">
            <w:pPr>
              <w:spacing w:before="120" w:after="120"/>
              <w:jc w:val="right"/>
              <w:rPr>
                <w:rFonts w:cs="Arial"/>
                <w:b/>
                <w:bCs/>
                <w:color w:val="000000"/>
                <w:sz w:val="16"/>
                <w:szCs w:val="16"/>
              </w:rPr>
            </w:pPr>
            <w:r w:rsidRPr="00083772">
              <w:rPr>
                <w:rFonts w:cs="Arial"/>
                <w:b/>
                <w:bCs/>
                <w:color w:val="000000"/>
                <w:sz w:val="16"/>
                <w:szCs w:val="16"/>
              </w:rPr>
              <w:t>7,237</w:t>
            </w:r>
          </w:p>
        </w:tc>
        <w:tc>
          <w:tcPr>
            <w:tcW w:w="1512" w:type="dxa"/>
            <w:tcBorders>
              <w:top w:val="nil"/>
              <w:left w:val="nil"/>
              <w:bottom w:val="single" w:sz="4" w:space="0" w:color="auto"/>
              <w:right w:val="single" w:sz="4" w:space="0" w:color="auto"/>
            </w:tcBorders>
            <w:shd w:val="clear" w:color="000000" w:fill="CCFFFF"/>
            <w:vAlign w:val="center"/>
            <w:hideMark/>
          </w:tcPr>
          <w:p w:rsidR="009121FA" w:rsidRPr="00083772" w:rsidRDefault="009121FA" w:rsidP="002249F8">
            <w:pPr>
              <w:spacing w:before="120" w:after="120"/>
              <w:jc w:val="right"/>
              <w:rPr>
                <w:rFonts w:cs="Arial"/>
                <w:b/>
                <w:bCs/>
                <w:color w:val="000000"/>
                <w:sz w:val="16"/>
                <w:szCs w:val="16"/>
              </w:rPr>
            </w:pPr>
            <w:r w:rsidRPr="00083772">
              <w:rPr>
                <w:rFonts w:cs="Arial"/>
                <w:b/>
                <w:bCs/>
                <w:color w:val="000000"/>
                <w:sz w:val="16"/>
                <w:szCs w:val="16"/>
              </w:rPr>
              <w:t>7,084</w:t>
            </w:r>
          </w:p>
        </w:tc>
      </w:tr>
    </w:tbl>
    <w:p w:rsidR="009121FA" w:rsidRPr="00551D33" w:rsidRDefault="009121FA" w:rsidP="009121FA">
      <w:pPr>
        <w:spacing w:after="200" w:line="276" w:lineRule="auto"/>
        <w:rPr>
          <w:rFonts w:asciiTheme="minorHAnsi" w:eastAsiaTheme="minorHAnsi" w:hAnsiTheme="minorHAnsi" w:cstheme="minorBidi"/>
          <w:sz w:val="22"/>
          <w:szCs w:val="22"/>
        </w:rPr>
      </w:pPr>
    </w:p>
    <w:p w:rsidR="009121FA" w:rsidRPr="00234C82" w:rsidRDefault="009121FA" w:rsidP="009121FA">
      <w:pPr>
        <w:rPr>
          <w:rFonts w:cs="Arial"/>
          <w:sz w:val="22"/>
          <w:szCs w:val="22"/>
        </w:rPr>
      </w:pPr>
    </w:p>
    <w:p w:rsidR="009121FA" w:rsidRDefault="009121FA" w:rsidP="009121FA">
      <w:pPr>
        <w:rPr>
          <w:rFonts w:eastAsiaTheme="minorEastAsia" w:cs="Arial"/>
          <w:color w:val="000000"/>
          <w:sz w:val="22"/>
          <w:szCs w:val="22"/>
        </w:rPr>
      </w:pPr>
      <w:r>
        <w:rPr>
          <w:rFonts w:eastAsiaTheme="minorEastAsia" w:cs="Arial"/>
          <w:color w:val="000000"/>
          <w:sz w:val="22"/>
          <w:szCs w:val="22"/>
        </w:rPr>
        <w:br w:type="page"/>
      </w:r>
    </w:p>
    <w:p w:rsidR="009121FA" w:rsidRDefault="009121FA" w:rsidP="009121FA">
      <w:pPr>
        <w:jc w:val="center"/>
        <w:rPr>
          <w:rFonts w:eastAsiaTheme="minorEastAsia" w:cs="Arial"/>
          <w:color w:val="000000"/>
          <w:sz w:val="22"/>
          <w:szCs w:val="22"/>
        </w:rPr>
      </w:pPr>
    </w:p>
    <w:p w:rsidR="009121FA" w:rsidRPr="00083772" w:rsidRDefault="009121FA" w:rsidP="009121FA">
      <w:pPr>
        <w:jc w:val="center"/>
        <w:rPr>
          <w:rFonts w:eastAsiaTheme="minorEastAsia"/>
          <w:szCs w:val="20"/>
        </w:rPr>
      </w:pPr>
      <w:r w:rsidRPr="00083772">
        <w:rPr>
          <w:rFonts w:eastAsiaTheme="minorEastAsia" w:cs="Arial"/>
          <w:color w:val="000000"/>
          <w:szCs w:val="20"/>
        </w:rPr>
        <w:t xml:space="preserve">Budget and Actual Expenditure (personnel and non-personnel) </w:t>
      </w:r>
    </w:p>
    <w:p w:rsidR="009121FA" w:rsidRPr="00083772" w:rsidRDefault="009121FA" w:rsidP="009121FA">
      <w:pPr>
        <w:jc w:val="center"/>
        <w:rPr>
          <w:rFonts w:eastAsiaTheme="minorEastAsia" w:cs="Arial"/>
          <w:i/>
          <w:iCs/>
          <w:color w:val="000000"/>
          <w:szCs w:val="20"/>
        </w:rPr>
      </w:pPr>
      <w:r w:rsidRPr="00083772">
        <w:rPr>
          <w:rFonts w:eastAsiaTheme="minorEastAsia" w:cs="Arial"/>
          <w:i/>
          <w:iCs/>
          <w:color w:val="000000"/>
          <w:szCs w:val="20"/>
        </w:rPr>
        <w:t>(</w:t>
      </w:r>
      <w:proofErr w:type="gramStart"/>
      <w:r w:rsidRPr="00083772">
        <w:rPr>
          <w:rFonts w:eastAsiaTheme="minorEastAsia" w:cs="Arial"/>
          <w:i/>
          <w:iCs/>
          <w:color w:val="000000"/>
          <w:szCs w:val="20"/>
        </w:rPr>
        <w:t>in</w:t>
      </w:r>
      <w:proofErr w:type="gramEnd"/>
      <w:r w:rsidRPr="00083772">
        <w:rPr>
          <w:rFonts w:eastAsiaTheme="minorEastAsia" w:cs="Arial"/>
          <w:i/>
          <w:iCs/>
          <w:color w:val="000000"/>
          <w:szCs w:val="20"/>
        </w:rPr>
        <w:t xml:space="preserve"> thousands of Swiss francs)</w:t>
      </w:r>
    </w:p>
    <w:p w:rsidR="009121FA" w:rsidRPr="00B72648" w:rsidRDefault="009121FA" w:rsidP="009121FA">
      <w:pPr>
        <w:jc w:val="center"/>
        <w:rPr>
          <w:rFonts w:eastAsiaTheme="minorEastAsia"/>
        </w:rPr>
      </w:pPr>
    </w:p>
    <w:tbl>
      <w:tblPr>
        <w:tblW w:w="0" w:type="auto"/>
        <w:tblInd w:w="93" w:type="dxa"/>
        <w:tblLook w:val="04A0" w:firstRow="1" w:lastRow="0" w:firstColumn="1" w:lastColumn="0" w:noHBand="0" w:noVBand="1"/>
      </w:tblPr>
      <w:tblGrid>
        <w:gridCol w:w="2709"/>
        <w:gridCol w:w="1692"/>
        <w:gridCol w:w="1692"/>
        <w:gridCol w:w="1692"/>
        <w:gridCol w:w="1586"/>
      </w:tblGrid>
      <w:tr w:rsidR="009121FA" w:rsidRPr="009121FA" w:rsidTr="006B2753">
        <w:tc>
          <w:tcPr>
            <w:tcW w:w="2709" w:type="dxa"/>
            <w:tcBorders>
              <w:top w:val="single" w:sz="4" w:space="0" w:color="auto"/>
              <w:left w:val="single" w:sz="4" w:space="0" w:color="auto"/>
              <w:bottom w:val="single" w:sz="4" w:space="0" w:color="auto"/>
              <w:right w:val="single" w:sz="4" w:space="0" w:color="auto"/>
            </w:tcBorders>
            <w:shd w:val="clear" w:color="000000" w:fill="CCFFFF"/>
            <w:noWrap/>
            <w:vAlign w:val="center"/>
            <w:hideMark/>
          </w:tcPr>
          <w:p w:rsidR="009121FA" w:rsidRPr="009121FA" w:rsidRDefault="009121FA" w:rsidP="002249F8">
            <w:pPr>
              <w:spacing w:before="120" w:after="120"/>
              <w:rPr>
                <w:rFonts w:cs="Arial"/>
                <w:color w:val="000000"/>
                <w:sz w:val="16"/>
                <w:szCs w:val="16"/>
              </w:rPr>
            </w:pPr>
            <w:r w:rsidRPr="009121FA">
              <w:rPr>
                <w:rFonts w:cs="Arial"/>
                <w:color w:val="000000"/>
                <w:sz w:val="16"/>
                <w:szCs w:val="16"/>
              </w:rPr>
              <w:t> </w:t>
            </w:r>
          </w:p>
        </w:tc>
        <w:tc>
          <w:tcPr>
            <w:tcW w:w="1692" w:type="dxa"/>
            <w:tcBorders>
              <w:top w:val="single" w:sz="4" w:space="0" w:color="auto"/>
              <w:left w:val="nil"/>
              <w:bottom w:val="nil"/>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Approved Budget 2012/13</w:t>
            </w:r>
          </w:p>
        </w:tc>
        <w:tc>
          <w:tcPr>
            <w:tcW w:w="1692" w:type="dxa"/>
            <w:tcBorders>
              <w:top w:val="single" w:sz="4" w:space="0" w:color="auto"/>
              <w:left w:val="nil"/>
              <w:bottom w:val="nil"/>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Budget after transfers 2012/13</w:t>
            </w:r>
          </w:p>
        </w:tc>
        <w:tc>
          <w:tcPr>
            <w:tcW w:w="1692" w:type="dxa"/>
            <w:tcBorders>
              <w:top w:val="single" w:sz="4" w:space="0" w:color="auto"/>
              <w:left w:val="nil"/>
              <w:bottom w:val="nil"/>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Expenditures 2012/13</w:t>
            </w:r>
          </w:p>
        </w:tc>
        <w:tc>
          <w:tcPr>
            <w:tcW w:w="1586" w:type="dxa"/>
            <w:tcBorders>
              <w:top w:val="single" w:sz="4" w:space="0" w:color="auto"/>
              <w:left w:val="nil"/>
              <w:bottom w:val="nil"/>
              <w:right w:val="single" w:sz="4" w:space="0" w:color="auto"/>
            </w:tcBorders>
            <w:shd w:val="clear" w:color="000000" w:fill="CCFFFF"/>
            <w:vAlign w:val="center"/>
            <w:hideMark/>
          </w:tcPr>
          <w:p w:rsidR="009121FA" w:rsidRPr="009121FA" w:rsidRDefault="009121FA" w:rsidP="002249F8">
            <w:pPr>
              <w:spacing w:before="120" w:after="120"/>
              <w:jc w:val="center"/>
              <w:rPr>
                <w:rFonts w:cs="Arial"/>
                <w:bCs/>
                <w:color w:val="000000"/>
                <w:sz w:val="16"/>
                <w:szCs w:val="16"/>
              </w:rPr>
            </w:pPr>
            <w:r w:rsidRPr="009121FA">
              <w:rPr>
                <w:rFonts w:cs="Arial"/>
                <w:bCs/>
                <w:color w:val="000000"/>
                <w:sz w:val="16"/>
                <w:szCs w:val="16"/>
              </w:rPr>
              <w:t>Utilization rate (%)</w:t>
            </w:r>
          </w:p>
        </w:tc>
      </w:tr>
      <w:tr w:rsidR="009121FA" w:rsidRPr="00B100BE" w:rsidTr="006B2753">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9121FA" w:rsidRPr="00083772" w:rsidRDefault="009121FA" w:rsidP="002249F8">
            <w:pPr>
              <w:spacing w:before="120" w:after="120"/>
              <w:rPr>
                <w:rFonts w:cs="Arial"/>
                <w:color w:val="000000"/>
                <w:sz w:val="16"/>
                <w:szCs w:val="16"/>
              </w:rPr>
            </w:pPr>
            <w:r w:rsidRPr="00083772">
              <w:rPr>
                <w:rFonts w:cs="Arial"/>
                <w:color w:val="000000"/>
                <w:sz w:val="16"/>
                <w:szCs w:val="16"/>
              </w:rPr>
              <w:t xml:space="preserve">Personnel Resources  </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345</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367</w:t>
            </w:r>
          </w:p>
        </w:tc>
        <w:tc>
          <w:tcPr>
            <w:tcW w:w="1692" w:type="dxa"/>
            <w:tcBorders>
              <w:top w:val="single" w:sz="4" w:space="0" w:color="auto"/>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367</w:t>
            </w:r>
          </w:p>
        </w:tc>
        <w:tc>
          <w:tcPr>
            <w:tcW w:w="1586" w:type="dxa"/>
            <w:tcBorders>
              <w:top w:val="single" w:sz="4" w:space="0" w:color="auto"/>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100%</w:t>
            </w:r>
          </w:p>
        </w:tc>
      </w:tr>
      <w:tr w:rsidR="009121FA" w:rsidRPr="00B100BE" w:rsidTr="006B2753">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9121FA" w:rsidRPr="00083772" w:rsidRDefault="009121FA" w:rsidP="002249F8">
            <w:pPr>
              <w:spacing w:before="120" w:after="120"/>
              <w:rPr>
                <w:rFonts w:cs="Arial"/>
                <w:color w:val="000000"/>
                <w:sz w:val="16"/>
                <w:szCs w:val="16"/>
              </w:rPr>
            </w:pPr>
            <w:r w:rsidRPr="00083772">
              <w:rPr>
                <w:rFonts w:cs="Arial"/>
                <w:color w:val="000000"/>
                <w:sz w:val="16"/>
                <w:szCs w:val="16"/>
              </w:rPr>
              <w:t xml:space="preserve">Non-personnel Resources </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7,330</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6,870</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6,717</w:t>
            </w:r>
          </w:p>
        </w:tc>
        <w:tc>
          <w:tcPr>
            <w:tcW w:w="1586"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color w:val="000000"/>
                <w:sz w:val="16"/>
                <w:szCs w:val="16"/>
              </w:rPr>
            </w:pPr>
            <w:r w:rsidRPr="00083772">
              <w:rPr>
                <w:rFonts w:cs="Arial"/>
                <w:color w:val="000000"/>
                <w:sz w:val="16"/>
                <w:szCs w:val="16"/>
              </w:rPr>
              <w:t>98%</w:t>
            </w:r>
          </w:p>
        </w:tc>
      </w:tr>
      <w:tr w:rsidR="009121FA" w:rsidRPr="00B100BE" w:rsidTr="006B2753">
        <w:tc>
          <w:tcPr>
            <w:tcW w:w="2709" w:type="dxa"/>
            <w:tcBorders>
              <w:top w:val="nil"/>
              <w:left w:val="single" w:sz="4" w:space="0" w:color="auto"/>
              <w:bottom w:val="single" w:sz="4" w:space="0" w:color="auto"/>
              <w:right w:val="single" w:sz="4" w:space="0" w:color="auto"/>
            </w:tcBorders>
            <w:shd w:val="clear" w:color="auto" w:fill="auto"/>
            <w:noWrap/>
            <w:vAlign w:val="center"/>
            <w:hideMark/>
          </w:tcPr>
          <w:p w:rsidR="009121FA" w:rsidRPr="00083772" w:rsidRDefault="009121FA" w:rsidP="002249F8">
            <w:pPr>
              <w:spacing w:before="120" w:after="120"/>
              <w:jc w:val="right"/>
              <w:rPr>
                <w:rFonts w:cs="Arial"/>
                <w:b/>
                <w:bCs/>
                <w:color w:val="000000"/>
                <w:sz w:val="16"/>
                <w:szCs w:val="16"/>
              </w:rPr>
            </w:pPr>
            <w:r w:rsidRPr="00083772">
              <w:rPr>
                <w:rFonts w:cs="Arial"/>
                <w:b/>
                <w:bCs/>
                <w:color w:val="000000"/>
                <w:sz w:val="16"/>
                <w:szCs w:val="16"/>
              </w:rPr>
              <w:t xml:space="preserve"> TOTAL </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7,675</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7,237</w:t>
            </w:r>
          </w:p>
        </w:tc>
        <w:tc>
          <w:tcPr>
            <w:tcW w:w="1692"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7,084</w:t>
            </w:r>
          </w:p>
        </w:tc>
        <w:tc>
          <w:tcPr>
            <w:tcW w:w="1586" w:type="dxa"/>
            <w:tcBorders>
              <w:top w:val="nil"/>
              <w:left w:val="nil"/>
              <w:bottom w:val="single" w:sz="4" w:space="0" w:color="auto"/>
              <w:right w:val="single" w:sz="4" w:space="0" w:color="auto"/>
            </w:tcBorders>
            <w:shd w:val="clear" w:color="auto" w:fill="auto"/>
            <w:vAlign w:val="center"/>
            <w:hideMark/>
          </w:tcPr>
          <w:p w:rsidR="009121FA" w:rsidRPr="00083772" w:rsidRDefault="009121FA" w:rsidP="002249F8">
            <w:pPr>
              <w:spacing w:before="120" w:after="120"/>
              <w:jc w:val="center"/>
              <w:rPr>
                <w:rFonts w:cs="Arial"/>
                <w:b/>
                <w:bCs/>
                <w:color w:val="000000"/>
                <w:sz w:val="16"/>
                <w:szCs w:val="16"/>
              </w:rPr>
            </w:pPr>
            <w:r w:rsidRPr="00083772">
              <w:rPr>
                <w:rFonts w:cs="Arial"/>
                <w:b/>
                <w:bCs/>
                <w:color w:val="000000"/>
                <w:sz w:val="16"/>
                <w:szCs w:val="16"/>
              </w:rPr>
              <w:t>98%</w:t>
            </w:r>
          </w:p>
        </w:tc>
      </w:tr>
    </w:tbl>
    <w:p w:rsidR="009121FA" w:rsidRPr="00551D33" w:rsidRDefault="009121FA" w:rsidP="009121FA">
      <w:pPr>
        <w:rPr>
          <w:rFonts w:asciiTheme="minorHAnsi" w:eastAsiaTheme="minorHAnsi" w:hAnsiTheme="minorHAnsi" w:cstheme="minorBidi"/>
          <w:sz w:val="22"/>
          <w:szCs w:val="22"/>
        </w:rPr>
      </w:pPr>
    </w:p>
    <w:p w:rsidR="009121FA" w:rsidRPr="00B50FDC" w:rsidRDefault="009121FA" w:rsidP="009121FA">
      <w:pPr>
        <w:keepNext/>
        <w:autoSpaceDE w:val="0"/>
        <w:autoSpaceDN w:val="0"/>
        <w:rPr>
          <w:sz w:val="16"/>
          <w:szCs w:val="16"/>
        </w:rPr>
      </w:pPr>
      <w:r w:rsidRPr="00B50FDC">
        <w:rPr>
          <w:sz w:val="16"/>
          <w:szCs w:val="16"/>
        </w:rPr>
        <w:t>NOTES:</w:t>
      </w:r>
    </w:p>
    <w:p w:rsidR="009121FA" w:rsidRPr="00B50FDC" w:rsidRDefault="009121FA" w:rsidP="009121FA">
      <w:pPr>
        <w:keepNext/>
        <w:autoSpaceDE w:val="0"/>
        <w:autoSpaceDN w:val="0"/>
        <w:rPr>
          <w:sz w:val="16"/>
          <w:szCs w:val="16"/>
        </w:rPr>
      </w:pPr>
    </w:p>
    <w:p w:rsidR="009121FA" w:rsidRPr="00B50FDC" w:rsidRDefault="009121FA" w:rsidP="009121FA">
      <w:pPr>
        <w:keepNext/>
        <w:autoSpaceDE w:val="0"/>
        <w:autoSpaceDN w:val="0"/>
        <w:rPr>
          <w:sz w:val="16"/>
          <w:szCs w:val="16"/>
        </w:rPr>
      </w:pPr>
      <w:r w:rsidRPr="00B50FDC">
        <w:rPr>
          <w:sz w:val="16"/>
          <w:szCs w:val="16"/>
        </w:rPr>
        <w:t>(1)  Budget after transfers reflects the adjusted budget of Programs, following transfers during 2012/13 in line with Financial Regulation 5.5.</w:t>
      </w:r>
    </w:p>
    <w:p w:rsidR="009121FA" w:rsidRPr="00B50FDC" w:rsidRDefault="009121FA" w:rsidP="009121FA">
      <w:pPr>
        <w:keepNext/>
        <w:autoSpaceDE w:val="0"/>
        <w:autoSpaceDN w:val="0"/>
        <w:rPr>
          <w:sz w:val="16"/>
          <w:szCs w:val="16"/>
        </w:rPr>
      </w:pPr>
    </w:p>
    <w:p w:rsidR="009121FA" w:rsidRPr="00B50FDC" w:rsidRDefault="00DC2CFA" w:rsidP="009121FA">
      <w:pPr>
        <w:keepNext/>
        <w:autoSpaceDE w:val="0"/>
        <w:autoSpaceDN w:val="0"/>
        <w:rPr>
          <w:sz w:val="16"/>
          <w:szCs w:val="16"/>
        </w:rPr>
      </w:pPr>
      <w:r>
        <w:rPr>
          <w:sz w:val="16"/>
          <w:szCs w:val="16"/>
        </w:rPr>
        <w:t xml:space="preserve">(2)  The personnel allocation for the 2012/13 Budget after transfers represents actual expenditures incurred in the biennium. </w:t>
      </w:r>
      <w:r w:rsidR="009121FA" w:rsidRPr="00B50FDC">
        <w:rPr>
          <w:sz w:val="16"/>
          <w:szCs w:val="16"/>
        </w:rPr>
        <w:t xml:space="preserve"> </w:t>
      </w:r>
    </w:p>
    <w:p w:rsidR="009121FA" w:rsidRPr="00B50FDC" w:rsidRDefault="009121FA" w:rsidP="009121FA">
      <w:pPr>
        <w:rPr>
          <w:rFonts w:asciiTheme="minorHAnsi" w:eastAsiaTheme="minorHAnsi" w:hAnsiTheme="minorHAnsi" w:cstheme="minorBidi"/>
          <w:sz w:val="22"/>
          <w:szCs w:val="22"/>
        </w:rPr>
      </w:pPr>
    </w:p>
    <w:p w:rsidR="009121FA" w:rsidRPr="00B50FDC" w:rsidRDefault="009121FA" w:rsidP="009121FA">
      <w:pPr>
        <w:rPr>
          <w:rFonts w:cs="Arial"/>
          <w:sz w:val="22"/>
          <w:szCs w:val="22"/>
        </w:rPr>
      </w:pPr>
    </w:p>
    <w:p w:rsidR="009121FA" w:rsidRPr="00232819" w:rsidRDefault="009121FA" w:rsidP="009121FA">
      <w:pPr>
        <w:tabs>
          <w:tab w:val="left" w:pos="709"/>
        </w:tabs>
        <w:rPr>
          <w:rFonts w:cs="Arial"/>
          <w:szCs w:val="20"/>
        </w:rPr>
      </w:pPr>
      <w:r w:rsidRPr="00232819">
        <w:rPr>
          <w:rFonts w:cs="Arial"/>
          <w:szCs w:val="20"/>
        </w:rPr>
        <w:t xml:space="preserve">A. </w:t>
      </w:r>
      <w:r>
        <w:rPr>
          <w:rFonts w:cs="Arial"/>
          <w:szCs w:val="20"/>
        </w:rPr>
        <w:tab/>
      </w:r>
      <w:r w:rsidRPr="00232819">
        <w:rPr>
          <w:rFonts w:cs="Arial"/>
          <w:szCs w:val="20"/>
          <w:u w:val="single"/>
        </w:rPr>
        <w:t>Budget after Transfers 2012/13</w:t>
      </w:r>
    </w:p>
    <w:p w:rsidR="009121FA" w:rsidRPr="00232819" w:rsidRDefault="009121FA" w:rsidP="009121FA">
      <w:pPr>
        <w:tabs>
          <w:tab w:val="left" w:pos="709"/>
        </w:tabs>
        <w:rPr>
          <w:rFonts w:cs="Arial"/>
          <w:szCs w:val="20"/>
        </w:rPr>
      </w:pPr>
    </w:p>
    <w:p w:rsidR="009121FA" w:rsidRPr="00DC59AA" w:rsidRDefault="009121FA" w:rsidP="009121FA">
      <w:pPr>
        <w:keepNext/>
        <w:tabs>
          <w:tab w:val="left" w:pos="709"/>
        </w:tabs>
        <w:autoSpaceDE w:val="0"/>
        <w:autoSpaceDN w:val="0"/>
        <w:jc w:val="both"/>
        <w:rPr>
          <w:szCs w:val="20"/>
        </w:rPr>
      </w:pPr>
      <w:r>
        <w:rPr>
          <w:szCs w:val="20"/>
        </w:rPr>
        <w:t>29.5.</w:t>
      </w:r>
      <w:r>
        <w:rPr>
          <w:szCs w:val="20"/>
        </w:rPr>
        <w:tab/>
      </w:r>
      <w:r w:rsidRPr="00DC59AA">
        <w:rPr>
          <w:szCs w:val="20"/>
        </w:rPr>
        <w:t>The non-personnel allocation for the 2012/13 Budget after Transfers reflects downward adjustments made for cost efficiency gains, in accordance with the Organization’s commitment to reduce expenditures by 10.2 million Swiss francs in the 2012/13 biennium.</w:t>
      </w:r>
    </w:p>
    <w:p w:rsidR="009121FA" w:rsidRPr="00232819" w:rsidRDefault="009121FA" w:rsidP="009121FA">
      <w:pPr>
        <w:tabs>
          <w:tab w:val="left" w:pos="709"/>
        </w:tabs>
        <w:jc w:val="both"/>
        <w:rPr>
          <w:rFonts w:cs="Arial"/>
          <w:szCs w:val="20"/>
        </w:rPr>
      </w:pPr>
    </w:p>
    <w:p w:rsidR="009121FA" w:rsidRPr="00232819" w:rsidRDefault="009121FA" w:rsidP="009121FA">
      <w:pPr>
        <w:tabs>
          <w:tab w:val="left" w:pos="709"/>
        </w:tabs>
        <w:jc w:val="both"/>
        <w:rPr>
          <w:rFonts w:cs="Arial"/>
          <w:szCs w:val="20"/>
        </w:rPr>
      </w:pPr>
      <w:r w:rsidRPr="00232819">
        <w:rPr>
          <w:rFonts w:cs="Arial"/>
          <w:szCs w:val="20"/>
        </w:rPr>
        <w:t>B</w:t>
      </w:r>
      <w:r w:rsidR="00946C0C">
        <w:rPr>
          <w:rFonts w:cs="Arial"/>
          <w:szCs w:val="20"/>
        </w:rPr>
        <w:t>.</w:t>
      </w:r>
      <w:r w:rsidR="00946C0C" w:rsidRPr="00232819">
        <w:rPr>
          <w:rFonts w:cs="Arial"/>
          <w:szCs w:val="20"/>
        </w:rPr>
        <w:t xml:space="preserve"> </w:t>
      </w:r>
      <w:r w:rsidR="00946C0C">
        <w:rPr>
          <w:rFonts w:cs="Arial"/>
          <w:szCs w:val="20"/>
        </w:rPr>
        <w:tab/>
      </w:r>
      <w:r w:rsidRPr="00232819">
        <w:rPr>
          <w:rFonts w:cs="Arial"/>
          <w:szCs w:val="20"/>
          <w:u w:val="single"/>
        </w:rPr>
        <w:t>Budget utilization</w:t>
      </w:r>
    </w:p>
    <w:p w:rsidR="009121FA" w:rsidRPr="00232819" w:rsidRDefault="009121FA" w:rsidP="009121FA">
      <w:pPr>
        <w:keepNext/>
        <w:keepLines/>
        <w:tabs>
          <w:tab w:val="left" w:pos="709"/>
        </w:tabs>
        <w:jc w:val="both"/>
        <w:rPr>
          <w:rFonts w:cs="Arial"/>
          <w:szCs w:val="20"/>
        </w:rPr>
      </w:pPr>
    </w:p>
    <w:p w:rsidR="009121FA" w:rsidRDefault="009121FA" w:rsidP="009121FA">
      <w:pPr>
        <w:tabs>
          <w:tab w:val="left" w:pos="709"/>
        </w:tabs>
        <w:autoSpaceDE w:val="0"/>
        <w:autoSpaceDN w:val="0"/>
        <w:adjustRightInd w:val="0"/>
        <w:jc w:val="both"/>
        <w:rPr>
          <w:rFonts w:eastAsia="Batang" w:cs="Arial"/>
          <w:szCs w:val="20"/>
          <w:lang w:eastAsia="ko-KR"/>
        </w:rPr>
      </w:pPr>
      <w:r>
        <w:rPr>
          <w:rFonts w:eastAsia="Batang" w:cs="Arial"/>
          <w:szCs w:val="20"/>
          <w:lang w:eastAsia="ko-KR"/>
        </w:rPr>
        <w:t>29.6.</w:t>
      </w:r>
      <w:r>
        <w:rPr>
          <w:rFonts w:eastAsia="Batang" w:cs="Arial"/>
          <w:szCs w:val="20"/>
          <w:lang w:eastAsia="ko-KR"/>
        </w:rPr>
        <w:tab/>
      </w:r>
      <w:r w:rsidRPr="00DC59AA">
        <w:rPr>
          <w:rFonts w:eastAsia="Batang" w:cs="Arial"/>
          <w:szCs w:val="20"/>
          <w:lang w:eastAsia="ko-KR"/>
        </w:rPr>
        <w:t xml:space="preserve">Overall budget utilization for the Program in the biennium was in accordance with the Budget after Transfer for 2012/13. </w:t>
      </w:r>
    </w:p>
    <w:p w:rsidR="005703CF" w:rsidRDefault="005703CF" w:rsidP="009121FA">
      <w:pPr>
        <w:tabs>
          <w:tab w:val="left" w:pos="709"/>
        </w:tabs>
        <w:autoSpaceDE w:val="0"/>
        <w:autoSpaceDN w:val="0"/>
        <w:adjustRightInd w:val="0"/>
        <w:jc w:val="both"/>
        <w:rPr>
          <w:rFonts w:eastAsia="Batang" w:cs="Arial"/>
          <w:szCs w:val="20"/>
          <w:lang w:eastAsia="ko-KR"/>
        </w:rPr>
      </w:pPr>
    </w:p>
    <w:p w:rsidR="005703CF" w:rsidRDefault="005703CF" w:rsidP="009121FA">
      <w:pPr>
        <w:tabs>
          <w:tab w:val="left" w:pos="709"/>
        </w:tabs>
        <w:autoSpaceDE w:val="0"/>
        <w:autoSpaceDN w:val="0"/>
        <w:adjustRightInd w:val="0"/>
        <w:jc w:val="both"/>
        <w:rPr>
          <w:rFonts w:eastAsia="Batang" w:cs="Arial"/>
          <w:szCs w:val="20"/>
          <w:lang w:eastAsia="ko-KR"/>
        </w:rPr>
      </w:pPr>
    </w:p>
    <w:p w:rsidR="005703CF" w:rsidRDefault="005703CF" w:rsidP="009121FA">
      <w:pPr>
        <w:tabs>
          <w:tab w:val="left" w:pos="709"/>
        </w:tabs>
        <w:autoSpaceDE w:val="0"/>
        <w:autoSpaceDN w:val="0"/>
        <w:adjustRightInd w:val="0"/>
        <w:jc w:val="both"/>
        <w:rPr>
          <w:rFonts w:eastAsia="Batang" w:cs="Arial"/>
          <w:szCs w:val="20"/>
          <w:lang w:eastAsia="ko-KR"/>
        </w:rPr>
      </w:pPr>
    </w:p>
    <w:p w:rsidR="005703CF" w:rsidRPr="00AF7D22" w:rsidRDefault="005703CF" w:rsidP="005703CF">
      <w:pPr>
        <w:tabs>
          <w:tab w:val="left" w:pos="709"/>
        </w:tabs>
        <w:jc w:val="both"/>
      </w:pPr>
    </w:p>
    <w:p w:rsidR="005703CF" w:rsidRDefault="005703CF" w:rsidP="005703CF"/>
    <w:p w:rsidR="005703CF" w:rsidRDefault="005703CF" w:rsidP="005703CF">
      <w:pPr>
        <w:tabs>
          <w:tab w:val="left" w:pos="5387"/>
        </w:tabs>
      </w:pPr>
      <w:r>
        <w:tab/>
      </w:r>
      <w:r w:rsidRPr="00C842DA">
        <w:t>[</w:t>
      </w:r>
      <w:r>
        <w:t xml:space="preserve">Appendix </w:t>
      </w:r>
      <w:r w:rsidR="00CF558F">
        <w:t xml:space="preserve">I </w:t>
      </w:r>
      <w:proofErr w:type="gramStart"/>
      <w:r>
        <w:t>follows</w:t>
      </w:r>
      <w:proofErr w:type="gramEnd"/>
      <w:r w:rsidRPr="00C842DA">
        <w:t>]</w:t>
      </w:r>
    </w:p>
    <w:p w:rsidR="005703CF" w:rsidRPr="00DC59AA" w:rsidRDefault="005703CF" w:rsidP="009121FA">
      <w:pPr>
        <w:tabs>
          <w:tab w:val="left" w:pos="709"/>
        </w:tabs>
        <w:autoSpaceDE w:val="0"/>
        <w:autoSpaceDN w:val="0"/>
        <w:adjustRightInd w:val="0"/>
        <w:jc w:val="both"/>
        <w:rPr>
          <w:rFonts w:eastAsia="Batang" w:cs="Arial"/>
          <w:szCs w:val="20"/>
          <w:lang w:eastAsia="ko-KR"/>
        </w:rPr>
      </w:pPr>
    </w:p>
    <w:p w:rsidR="009121FA" w:rsidRPr="00232819" w:rsidRDefault="009121FA" w:rsidP="009121FA">
      <w:pPr>
        <w:keepNext/>
        <w:keepLines/>
        <w:tabs>
          <w:tab w:val="left" w:pos="709"/>
        </w:tabs>
        <w:rPr>
          <w:rFonts w:cs="Arial"/>
          <w:szCs w:val="20"/>
        </w:rPr>
      </w:pPr>
    </w:p>
    <w:p w:rsidR="009121FA" w:rsidRDefault="009121FA" w:rsidP="006F08EA">
      <w:pPr>
        <w:rPr>
          <w:rFonts w:eastAsia="SimSun"/>
          <w:color w:val="000000"/>
          <w:szCs w:val="20"/>
          <w:lang w:eastAsia="zh-CN"/>
        </w:rPr>
        <w:sectPr w:rsidR="009121FA" w:rsidSect="0078320A">
          <w:headerReference w:type="default" r:id="rId76"/>
          <w:footerReference w:type="default" r:id="rId77"/>
          <w:pgSz w:w="11907" w:h="16840" w:code="9"/>
          <w:pgMar w:top="567" w:right="1134" w:bottom="1418" w:left="1418" w:header="510" w:footer="1021" w:gutter="0"/>
          <w:pgNumType w:start="1"/>
          <w:cols w:space="720"/>
          <w:docGrid w:linePitch="272"/>
        </w:sectPr>
      </w:pPr>
    </w:p>
    <w:p w:rsidR="006A1FCF" w:rsidRDefault="006A1FCF" w:rsidP="006A1FCF">
      <w:pPr>
        <w:pStyle w:val="Heading1"/>
      </w:pPr>
      <w:bookmarkStart w:id="71" w:name="_Toc393956081"/>
      <w:r>
        <w:lastRenderedPageBreak/>
        <w:t>APPENDICES</w:t>
      </w:r>
      <w:bookmarkEnd w:id="71"/>
    </w:p>
    <w:p w:rsidR="006A1FCF" w:rsidRDefault="006A1FCF" w:rsidP="00362FE5">
      <w:pPr>
        <w:pStyle w:val="Heading4"/>
      </w:pPr>
    </w:p>
    <w:p w:rsidR="009417F7" w:rsidRPr="007029B1" w:rsidRDefault="009417F7" w:rsidP="007029B1">
      <w:pPr>
        <w:pStyle w:val="Heading4"/>
      </w:pPr>
      <w:bookmarkStart w:id="72" w:name="_Toc393956082"/>
      <w:r w:rsidRPr="007029B1">
        <w:t>Appendix I</w:t>
      </w:r>
      <w:r w:rsidRPr="007029B1">
        <w:br/>
      </w:r>
      <w:r w:rsidRPr="007029B1">
        <w:br/>
      </w:r>
      <w:r w:rsidR="007029B1" w:rsidRPr="007029B1">
        <w:t>Breakdown of the Performance Assessments by Program</w:t>
      </w:r>
      <w:bookmarkEnd w:id="72"/>
      <w:r w:rsidR="007029B1" w:rsidRPr="007029B1">
        <w:t xml:space="preserve"> </w:t>
      </w:r>
    </w:p>
    <w:p w:rsidR="009417F7" w:rsidRDefault="009417F7" w:rsidP="009417F7">
      <w:pPr>
        <w:jc w:val="both"/>
      </w:pPr>
    </w:p>
    <w:p w:rsidR="009417F7" w:rsidRPr="00812B04" w:rsidRDefault="009417F7" w:rsidP="009417F7">
      <w:pPr>
        <w:jc w:val="both"/>
      </w:pPr>
      <w:r w:rsidRPr="00812B04">
        <w:t>The performance assessments for individual Programs in the PPR 2012/13 comprise:</w:t>
      </w:r>
    </w:p>
    <w:p w:rsidR="009417F7" w:rsidRPr="00812B04" w:rsidRDefault="009417F7" w:rsidP="009417F7">
      <w:pPr>
        <w:jc w:val="both"/>
        <w:rPr>
          <w:i/>
          <w:iCs/>
        </w:rPr>
      </w:pPr>
    </w:p>
    <w:p w:rsidR="009417F7" w:rsidRPr="00812B04" w:rsidRDefault="009417F7" w:rsidP="009417F7">
      <w:pPr>
        <w:jc w:val="both"/>
        <w:rPr>
          <w:bCs/>
          <w:i/>
          <w:iCs/>
          <w:szCs w:val="22"/>
        </w:rPr>
      </w:pPr>
      <w:r w:rsidRPr="00812B04">
        <w:rPr>
          <w:i/>
          <w:iCs/>
        </w:rPr>
        <w:t xml:space="preserve">Section I: </w:t>
      </w:r>
      <w:r>
        <w:rPr>
          <w:i/>
          <w:iCs/>
        </w:rPr>
        <w:t xml:space="preserve"> </w:t>
      </w:r>
      <w:r w:rsidRPr="00812B04">
        <w:rPr>
          <w:bCs/>
          <w:i/>
          <w:iCs/>
        </w:rPr>
        <w:t xml:space="preserve">Achievements in the 2012/13 </w:t>
      </w:r>
      <w:r>
        <w:rPr>
          <w:bCs/>
          <w:i/>
          <w:iCs/>
        </w:rPr>
        <w:t>B</w:t>
      </w:r>
      <w:r w:rsidRPr="00812B04">
        <w:rPr>
          <w:bCs/>
          <w:i/>
          <w:iCs/>
        </w:rPr>
        <w:t>iennium</w:t>
      </w:r>
    </w:p>
    <w:p w:rsidR="009417F7" w:rsidRPr="00812B04" w:rsidRDefault="009417F7" w:rsidP="009417F7">
      <w:pPr>
        <w:jc w:val="both"/>
      </w:pPr>
    </w:p>
    <w:p w:rsidR="009417F7" w:rsidRPr="00812B04" w:rsidRDefault="009417F7" w:rsidP="009417F7">
      <w:pPr>
        <w:jc w:val="both"/>
      </w:pPr>
      <w:r w:rsidRPr="00812B04">
        <w:t>An analytical summary presenting results achieved in the biennium 2012/13 by the Program concerned and any challenges encountered during the period under review.</w:t>
      </w:r>
    </w:p>
    <w:p w:rsidR="009417F7" w:rsidRPr="00812B04" w:rsidRDefault="009417F7" w:rsidP="009417F7">
      <w:pPr>
        <w:jc w:val="both"/>
        <w:rPr>
          <w:i/>
          <w:iCs/>
        </w:rPr>
      </w:pPr>
    </w:p>
    <w:p w:rsidR="009417F7" w:rsidRPr="00812B04" w:rsidRDefault="009417F7" w:rsidP="009417F7">
      <w:pPr>
        <w:jc w:val="both"/>
        <w:rPr>
          <w:i/>
          <w:iCs/>
        </w:rPr>
      </w:pPr>
      <w:r w:rsidRPr="00812B04">
        <w:rPr>
          <w:i/>
          <w:iCs/>
        </w:rPr>
        <w:t>Section II:  Implementation of the WIPO Development Agenda</w:t>
      </w:r>
    </w:p>
    <w:p w:rsidR="009417F7" w:rsidRPr="00812B04" w:rsidRDefault="009417F7" w:rsidP="009417F7">
      <w:pPr>
        <w:jc w:val="both"/>
      </w:pPr>
    </w:p>
    <w:p w:rsidR="009417F7" w:rsidRPr="00812B04" w:rsidRDefault="009417F7" w:rsidP="009417F7">
      <w:pPr>
        <w:autoSpaceDE w:val="0"/>
        <w:autoSpaceDN w:val="0"/>
        <w:adjustRightInd w:val="0"/>
        <w:jc w:val="both"/>
        <w:rPr>
          <w:rFonts w:ascii="ArialMT" w:hAnsi="ArialMT" w:cs="ArialMT"/>
          <w:lang w:bidi="th-TH"/>
        </w:rPr>
      </w:pPr>
      <w:r w:rsidRPr="00812B04">
        <w:t xml:space="preserve">This section reports on a Program’s role and contribution to the implementation of the Development Agenda.  In line with </w:t>
      </w:r>
      <w:r w:rsidRPr="00812B04">
        <w:rPr>
          <w:rFonts w:ascii="ArialMT" w:hAnsi="ArialMT" w:cs="ArialMT"/>
          <w:lang w:bidi="th-TH"/>
        </w:rPr>
        <w:t>the Budgetary Process for Projects Proposed by the Committee on Development and Intellectual Property (CDIP) for the Implementation of the DA Recommendations, approved by the WIPO Assemblies in 2010</w:t>
      </w:r>
      <w:r w:rsidRPr="00812B04">
        <w:rPr>
          <w:rStyle w:val="FootnoteReference"/>
          <w:rFonts w:ascii="ArialMT" w:hAnsi="ArialMT" w:cs="ArialMT"/>
          <w:lang w:bidi="th-TH"/>
        </w:rPr>
        <w:footnoteReference w:id="47"/>
      </w:r>
      <w:r w:rsidRPr="00812B04">
        <w:t>, the reporting on the DA includes detailed reporting on both the implementation of DA projects and DA Recommendations.</w:t>
      </w:r>
    </w:p>
    <w:p w:rsidR="009417F7" w:rsidRPr="00812B04" w:rsidRDefault="009417F7" w:rsidP="009417F7">
      <w:pPr>
        <w:jc w:val="both"/>
        <w:rPr>
          <w:i/>
          <w:iCs/>
        </w:rPr>
      </w:pPr>
    </w:p>
    <w:p w:rsidR="009417F7" w:rsidRPr="00812B04" w:rsidRDefault="009417F7" w:rsidP="009417F7">
      <w:pPr>
        <w:jc w:val="both"/>
        <w:rPr>
          <w:i/>
          <w:iCs/>
        </w:rPr>
      </w:pPr>
      <w:r w:rsidRPr="00812B04">
        <w:rPr>
          <w:i/>
          <w:iCs/>
        </w:rPr>
        <w:t xml:space="preserve">Section III: </w:t>
      </w:r>
      <w:r>
        <w:rPr>
          <w:i/>
          <w:iCs/>
        </w:rPr>
        <w:t xml:space="preserve"> </w:t>
      </w:r>
      <w:r w:rsidRPr="00812B04">
        <w:rPr>
          <w:i/>
          <w:iCs/>
        </w:rPr>
        <w:t>Performance Data</w:t>
      </w:r>
    </w:p>
    <w:p w:rsidR="009417F7" w:rsidRPr="00812B04" w:rsidRDefault="009417F7" w:rsidP="009417F7">
      <w:pPr>
        <w:jc w:val="both"/>
      </w:pPr>
    </w:p>
    <w:p w:rsidR="009417F7" w:rsidRDefault="009417F7" w:rsidP="00F979B6">
      <w:pPr>
        <w:jc w:val="both"/>
      </w:pPr>
      <w:r w:rsidRPr="00812B04">
        <w:t>The table in this section recapitulates the Expected Results to which the Program contributes and the Performance Indicators</w:t>
      </w:r>
      <w:r>
        <w:t>, which measure</w:t>
      </w:r>
      <w:r w:rsidRPr="00812B04">
        <w:t xml:space="preserve"> Programs’ contribution to the Results as approved by Member States in the Program and Budget 2012/13.  Baselines have been updated, as appropriate, to reflect </w:t>
      </w:r>
      <w:r>
        <w:t xml:space="preserve">the </w:t>
      </w:r>
      <w:r w:rsidRPr="00812B04">
        <w:t>status at the end of 2011.  In line with Member States’ requests, the performance data tables were enhanced in 2012</w:t>
      </w:r>
      <w:r>
        <w:t>/13</w:t>
      </w:r>
      <w:r w:rsidRPr="00812B04">
        <w:t xml:space="preserve"> to reflect both the original baselines (as per the Program and Budget 2012/13), the updated baselines (as per the end of 2011), and targets (as per the Program and Budget 2012/13) for comparability purposes in relation to the performance data and assessments.  The performance data for 2012/13 in relation to each indicator is provided in the fourth column.  The fifth column provides an assessment of performance using the “traffic light system”.  </w:t>
      </w:r>
    </w:p>
    <w:p w:rsidR="009417F7" w:rsidRDefault="009417F7" w:rsidP="009417F7">
      <w:pPr>
        <w:jc w:val="both"/>
      </w:pPr>
    </w:p>
    <w:p w:rsidR="009417F7" w:rsidRDefault="009417F7" w:rsidP="009417F7">
      <w:pPr>
        <w:jc w:val="both"/>
        <w:rPr>
          <w:i/>
          <w:iCs/>
        </w:rPr>
      </w:pPr>
    </w:p>
    <w:p w:rsidR="009417F7" w:rsidRPr="00812B04" w:rsidRDefault="009417F7" w:rsidP="009417F7">
      <w:pPr>
        <w:jc w:val="both"/>
        <w:rPr>
          <w:i/>
          <w:iCs/>
        </w:rPr>
      </w:pPr>
      <w:r w:rsidRPr="00812B04">
        <w:rPr>
          <w:i/>
          <w:iCs/>
        </w:rPr>
        <w:t>Section IV:  Budget and Actual Expenditure for 2012/13</w:t>
      </w:r>
    </w:p>
    <w:p w:rsidR="009417F7" w:rsidRPr="00812B04" w:rsidRDefault="009417F7" w:rsidP="009417F7">
      <w:pPr>
        <w:jc w:val="both"/>
      </w:pPr>
    </w:p>
    <w:p w:rsidR="009417F7" w:rsidRPr="00812B04" w:rsidRDefault="009417F7" w:rsidP="009417F7">
      <w:pPr>
        <w:tabs>
          <w:tab w:val="left" w:pos="851"/>
        </w:tabs>
        <w:jc w:val="both"/>
      </w:pPr>
      <w:r w:rsidRPr="00812B04">
        <w:t>The final section provides information on the Approved Budget 2012/13, the Budget after Transfers 2012/13, actual expenditure and budget utilization in the biennium.  The reporting in this section has been improved for 2012/13 and include</w:t>
      </w:r>
      <w:r>
        <w:t>s</w:t>
      </w:r>
      <w:r w:rsidRPr="00812B04">
        <w:t xml:space="preserve"> two tables:</w:t>
      </w:r>
    </w:p>
    <w:p w:rsidR="009417F7" w:rsidRPr="00812B04" w:rsidRDefault="009417F7" w:rsidP="009417F7">
      <w:pPr>
        <w:jc w:val="both"/>
      </w:pPr>
    </w:p>
    <w:p w:rsidR="009417F7" w:rsidRPr="00812B04" w:rsidRDefault="009417F7" w:rsidP="009417F7">
      <w:pPr>
        <w:jc w:val="both"/>
      </w:pPr>
      <w:r w:rsidRPr="00812B04">
        <w:t xml:space="preserve">The </w:t>
      </w:r>
      <w:r w:rsidRPr="00812B04">
        <w:rPr>
          <w:i/>
        </w:rPr>
        <w:t xml:space="preserve">Budget and Actual Expenditure (by result) </w:t>
      </w:r>
      <w:r w:rsidRPr="00812B04">
        <w:t>provides, for the first time, information on the Approved Budget 2012/13, the Budget after Transfer 2012/13, and actual expenditure by Result for the biennium.</w:t>
      </w:r>
    </w:p>
    <w:p w:rsidR="009417F7" w:rsidRPr="00812B04" w:rsidRDefault="009417F7" w:rsidP="009417F7">
      <w:pPr>
        <w:jc w:val="both"/>
      </w:pPr>
    </w:p>
    <w:p w:rsidR="009417F7" w:rsidRDefault="009417F7" w:rsidP="009417F7">
      <w:pPr>
        <w:jc w:val="both"/>
      </w:pPr>
      <w:r w:rsidRPr="00812B04">
        <w:t xml:space="preserve">The </w:t>
      </w:r>
      <w:r w:rsidRPr="00812B04">
        <w:rPr>
          <w:i/>
        </w:rPr>
        <w:t xml:space="preserve">Budget and Actual Expenditure (personnel and non-personnel resources) </w:t>
      </w:r>
      <w:r w:rsidRPr="00812B04">
        <w:t xml:space="preserve">provides information on the Approved Budget 2012/13, the Budget after Transfer </w:t>
      </w:r>
      <w:proofErr w:type="gramStart"/>
      <w:r w:rsidRPr="00812B04">
        <w:t>2012/13,</w:t>
      </w:r>
      <w:proofErr w:type="gramEnd"/>
      <w:r w:rsidRPr="00812B04">
        <w:t xml:space="preserve"> and actual expenditure 2012/13 (personnel and non-personnel).  Explanations are provided for the differences between the Approved Budget and Budget after Transfer, as well as for budget utilization, taking into account both a Results view and a view of type of expenditure (personnel and non-personnel).</w:t>
      </w:r>
    </w:p>
    <w:p w:rsidR="00AD3310" w:rsidRPr="00812B04" w:rsidRDefault="00AD3310" w:rsidP="009417F7">
      <w:pPr>
        <w:jc w:val="both"/>
      </w:pPr>
    </w:p>
    <w:p w:rsidR="00271EF7" w:rsidRDefault="00271EF7" w:rsidP="00271EF7">
      <w:pPr>
        <w:autoSpaceDE w:val="0"/>
        <w:autoSpaceDN w:val="0"/>
        <w:adjustRightInd w:val="0"/>
        <w:jc w:val="both"/>
      </w:pPr>
    </w:p>
    <w:p w:rsidR="00CF558F" w:rsidRDefault="00CF558F" w:rsidP="00271EF7">
      <w:pPr>
        <w:autoSpaceDE w:val="0"/>
        <w:autoSpaceDN w:val="0"/>
        <w:adjustRightInd w:val="0"/>
        <w:jc w:val="right"/>
      </w:pPr>
      <w:r w:rsidRPr="00C842DA">
        <w:t>[</w:t>
      </w:r>
      <w:r>
        <w:t>Appendix I</w:t>
      </w:r>
      <w:r w:rsidR="00271EF7">
        <w:t>I</w:t>
      </w:r>
      <w:r>
        <w:t xml:space="preserve"> follows</w:t>
      </w:r>
      <w:r w:rsidRPr="00C842DA">
        <w:t>]</w:t>
      </w:r>
    </w:p>
    <w:p w:rsidR="00CF558F" w:rsidRPr="00035F86" w:rsidRDefault="00CF558F" w:rsidP="00035F86">
      <w:pPr>
        <w:rPr>
          <w:rFonts w:eastAsiaTheme="minorHAnsi" w:cs="Arial"/>
          <w:sz w:val="16"/>
          <w:szCs w:val="16"/>
        </w:rPr>
      </w:pPr>
    </w:p>
    <w:p w:rsidR="00BF29C2" w:rsidRPr="009C28FD" w:rsidRDefault="00BF29C2" w:rsidP="009C28FD">
      <w:pPr>
        <w:rPr>
          <w:rFonts w:eastAsiaTheme="minorHAnsi" w:cs="Arial"/>
          <w:sz w:val="16"/>
          <w:szCs w:val="16"/>
        </w:rPr>
      </w:pPr>
      <w:r>
        <w:rPr>
          <w:noProof/>
        </w:rPr>
        <w:br w:type="page"/>
      </w:r>
    </w:p>
    <w:p w:rsidR="005703CF" w:rsidRPr="0048186F" w:rsidRDefault="00271EF7" w:rsidP="0048186F">
      <w:pPr>
        <w:pStyle w:val="Heading4"/>
      </w:pPr>
      <w:bookmarkStart w:id="73" w:name="_Toc393956083"/>
      <w:r>
        <w:lastRenderedPageBreak/>
        <w:t>Appendix II</w:t>
      </w:r>
      <w:r w:rsidR="0048186F" w:rsidRPr="0048186F">
        <w:br/>
      </w:r>
      <w:r w:rsidR="0048186F" w:rsidRPr="0048186F">
        <w:br/>
        <w:t>Implementation of Funds-in-Trust 2013</w:t>
      </w:r>
      <w:bookmarkEnd w:id="73"/>
    </w:p>
    <w:p w:rsidR="005703CF" w:rsidRDefault="005703CF" w:rsidP="005703CF">
      <w:pPr>
        <w:jc w:val="center"/>
        <w:rPr>
          <w:rFonts w:cs="Arial"/>
          <w:noProof/>
        </w:rPr>
      </w:pPr>
    </w:p>
    <w:p w:rsidR="005703CF" w:rsidRDefault="005703CF" w:rsidP="005703CF">
      <w:pPr>
        <w:jc w:val="both"/>
        <w:rPr>
          <w:szCs w:val="20"/>
        </w:rPr>
      </w:pPr>
      <w:r w:rsidRPr="002B4DBC">
        <w:rPr>
          <w:szCs w:val="20"/>
        </w:rPr>
        <w:t xml:space="preserve">As part of </w:t>
      </w:r>
      <w:r>
        <w:rPr>
          <w:szCs w:val="20"/>
        </w:rPr>
        <w:t xml:space="preserve">the </w:t>
      </w:r>
      <w:r w:rsidRPr="002B4DBC">
        <w:rPr>
          <w:szCs w:val="20"/>
        </w:rPr>
        <w:t xml:space="preserve">efforts to enhance the integration of all activities under the results-based management framework </w:t>
      </w:r>
      <w:r>
        <w:rPr>
          <w:szCs w:val="20"/>
        </w:rPr>
        <w:t>of the Organization</w:t>
      </w:r>
      <w:r w:rsidRPr="002B4DBC">
        <w:rPr>
          <w:szCs w:val="20"/>
        </w:rPr>
        <w:t xml:space="preserve">, irrespective of the source of funds, </w:t>
      </w:r>
      <w:r>
        <w:rPr>
          <w:szCs w:val="20"/>
        </w:rPr>
        <w:t>t</w:t>
      </w:r>
      <w:r w:rsidRPr="002B4DBC">
        <w:rPr>
          <w:szCs w:val="20"/>
        </w:rPr>
        <w:t xml:space="preserve">his </w:t>
      </w:r>
      <w:r>
        <w:rPr>
          <w:szCs w:val="20"/>
        </w:rPr>
        <w:t>Appendix</w:t>
      </w:r>
      <w:r w:rsidRPr="002B4DBC">
        <w:rPr>
          <w:szCs w:val="20"/>
        </w:rPr>
        <w:t xml:space="preserve"> provides</w:t>
      </w:r>
      <w:r>
        <w:rPr>
          <w:szCs w:val="20"/>
        </w:rPr>
        <w:t xml:space="preserve"> an overview of activities implemented under the WIPO Funds-in-Trust (FITs).  At the same time, this report responds to a request by d</w:t>
      </w:r>
      <w:r w:rsidRPr="002B4DBC">
        <w:rPr>
          <w:szCs w:val="20"/>
        </w:rPr>
        <w:t xml:space="preserve">onors </w:t>
      </w:r>
      <w:r>
        <w:rPr>
          <w:szCs w:val="20"/>
        </w:rPr>
        <w:t>for</w:t>
      </w:r>
      <w:r w:rsidRPr="002B4DBC">
        <w:rPr>
          <w:szCs w:val="20"/>
        </w:rPr>
        <w:t xml:space="preserve"> a more comprehensive report </w:t>
      </w:r>
      <w:r>
        <w:rPr>
          <w:szCs w:val="20"/>
        </w:rPr>
        <w:t>on</w:t>
      </w:r>
      <w:r w:rsidRPr="002B4DBC">
        <w:rPr>
          <w:szCs w:val="20"/>
        </w:rPr>
        <w:t xml:space="preserve"> all </w:t>
      </w:r>
      <w:r>
        <w:rPr>
          <w:szCs w:val="20"/>
        </w:rPr>
        <w:t>FITs,</w:t>
      </w:r>
      <w:r w:rsidRPr="002B4DBC">
        <w:rPr>
          <w:szCs w:val="20"/>
        </w:rPr>
        <w:t xml:space="preserve"> including both programmatic and financial </w:t>
      </w:r>
      <w:r>
        <w:rPr>
          <w:szCs w:val="20"/>
        </w:rPr>
        <w:t>information</w:t>
      </w:r>
      <w:r w:rsidRPr="002B4DBC">
        <w:rPr>
          <w:szCs w:val="20"/>
        </w:rPr>
        <w:t xml:space="preserve">.  In order to streamline reporting, the FIT report </w:t>
      </w:r>
      <w:r>
        <w:rPr>
          <w:szCs w:val="20"/>
        </w:rPr>
        <w:t xml:space="preserve">is an integral part of the Program Performance Report, providing an annual view of activities implemented </w:t>
      </w:r>
      <w:r w:rsidRPr="003F05A4">
        <w:rPr>
          <w:szCs w:val="20"/>
        </w:rPr>
        <w:t>in 2013.</w:t>
      </w:r>
      <w:r>
        <w:rPr>
          <w:szCs w:val="20"/>
        </w:rPr>
        <w:t xml:space="preserve">  </w:t>
      </w:r>
      <w:r w:rsidRPr="003F05A4">
        <w:rPr>
          <w:szCs w:val="20"/>
        </w:rPr>
        <w:t xml:space="preserve">The next annual FIT report will be included in the </w:t>
      </w:r>
      <w:r w:rsidRPr="003C18E2">
        <w:rPr>
          <w:szCs w:val="20"/>
        </w:rPr>
        <w:t>mid-term</w:t>
      </w:r>
      <w:r w:rsidRPr="003F05A4">
        <w:rPr>
          <w:szCs w:val="20"/>
        </w:rPr>
        <w:t xml:space="preserve"> PPR for 2014</w:t>
      </w:r>
      <w:r>
        <w:rPr>
          <w:szCs w:val="20"/>
        </w:rPr>
        <w:t xml:space="preserve">.  This annex reports on the FITs listed in the table below and excludes the FITs for Junior Professional Officers (JPOs).   </w:t>
      </w:r>
    </w:p>
    <w:p w:rsidR="005703CF" w:rsidRDefault="005703CF" w:rsidP="005703CF">
      <w:pPr>
        <w:jc w:val="center"/>
        <w:rPr>
          <w:rFonts w:cs="Arial"/>
          <w:noProof/>
        </w:rPr>
      </w:pPr>
    </w:p>
    <w:p w:rsidR="005703CF" w:rsidRDefault="005703CF" w:rsidP="005703CF">
      <w:pPr>
        <w:jc w:val="center"/>
        <w:rPr>
          <w:rFonts w:cs="Arial"/>
          <w:noProof/>
        </w:rPr>
      </w:pPr>
    </w:p>
    <w:tbl>
      <w:tblPr>
        <w:tblpPr w:leftFromText="180" w:rightFromText="180" w:vertAnchor="page" w:horzAnchor="margin" w:tblpY="45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5061"/>
      </w:tblGrid>
      <w:tr w:rsidR="005703CF" w:rsidRPr="00233A64" w:rsidTr="00606EF6">
        <w:tc>
          <w:tcPr>
            <w:tcW w:w="4068" w:type="dxa"/>
            <w:shd w:val="clear" w:color="auto" w:fill="CCFFFF"/>
            <w:tcMar>
              <w:top w:w="57" w:type="dxa"/>
              <w:left w:w="57" w:type="dxa"/>
              <w:bottom w:w="57" w:type="dxa"/>
              <w:right w:w="57" w:type="dxa"/>
            </w:tcMar>
          </w:tcPr>
          <w:p w:rsidR="005703CF" w:rsidRPr="00233A64" w:rsidRDefault="005703CF" w:rsidP="00606EF6">
            <w:pPr>
              <w:jc w:val="center"/>
              <w:rPr>
                <w:rFonts w:cs="Arial"/>
                <w:b/>
                <w:bCs/>
                <w:sz w:val="18"/>
                <w:szCs w:val="18"/>
              </w:rPr>
            </w:pPr>
            <w:r w:rsidRPr="00233A64">
              <w:rPr>
                <w:rFonts w:cs="Arial"/>
                <w:b/>
                <w:bCs/>
                <w:sz w:val="18"/>
                <w:szCs w:val="18"/>
              </w:rPr>
              <w:t>FUND-IN-TRUST</w:t>
            </w:r>
          </w:p>
        </w:tc>
        <w:tc>
          <w:tcPr>
            <w:tcW w:w="5061" w:type="dxa"/>
            <w:shd w:val="clear" w:color="auto" w:fill="CCFFFF"/>
            <w:tcMar>
              <w:top w:w="57" w:type="dxa"/>
              <w:left w:w="57" w:type="dxa"/>
              <w:bottom w:w="57" w:type="dxa"/>
              <w:right w:w="57" w:type="dxa"/>
            </w:tcMar>
          </w:tcPr>
          <w:p w:rsidR="005703CF" w:rsidRPr="00233A64" w:rsidRDefault="005703CF" w:rsidP="00606EF6">
            <w:pPr>
              <w:jc w:val="center"/>
              <w:rPr>
                <w:rFonts w:cs="Arial"/>
                <w:b/>
                <w:bCs/>
                <w:sz w:val="18"/>
                <w:szCs w:val="18"/>
              </w:rPr>
            </w:pPr>
            <w:r>
              <w:rPr>
                <w:rFonts w:cs="Arial"/>
                <w:b/>
                <w:bCs/>
                <w:sz w:val="18"/>
                <w:szCs w:val="18"/>
              </w:rPr>
              <w:t xml:space="preserve">IMPLEMENTING </w:t>
            </w:r>
            <w:r w:rsidRPr="00233A64">
              <w:rPr>
                <w:rFonts w:cs="Arial"/>
                <w:b/>
                <w:bCs/>
                <w:sz w:val="18"/>
                <w:szCs w:val="18"/>
              </w:rPr>
              <w:t>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Australia</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Pr>
                <w:rFonts w:cs="Arial"/>
                <w:sz w:val="18"/>
                <w:szCs w:val="18"/>
              </w:rPr>
              <w:t>Office of the Director General</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Brazil</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Pr>
                <w:rFonts w:cs="Arial"/>
                <w:sz w:val="18"/>
                <w:szCs w:val="18"/>
              </w:rPr>
              <w:t>Global Infrastructure</w:t>
            </w:r>
          </w:p>
        </w:tc>
      </w:tr>
      <w:tr w:rsidR="005703CF" w:rsidRPr="00233A64" w:rsidTr="00606EF6">
        <w:tc>
          <w:tcPr>
            <w:tcW w:w="4068" w:type="dxa"/>
            <w:tcMar>
              <w:top w:w="57" w:type="dxa"/>
              <w:left w:w="57" w:type="dxa"/>
              <w:bottom w:w="57" w:type="dxa"/>
              <w:right w:w="57" w:type="dxa"/>
            </w:tcMar>
            <w:vAlign w:val="center"/>
          </w:tcPr>
          <w:p w:rsidR="005703CF" w:rsidRPr="008F5032" w:rsidRDefault="005703CF" w:rsidP="00606EF6">
            <w:pPr>
              <w:rPr>
                <w:rFonts w:cs="Arial"/>
                <w:sz w:val="18"/>
                <w:szCs w:val="18"/>
              </w:rPr>
            </w:pPr>
            <w:r w:rsidRPr="008F5032">
              <w:rPr>
                <w:rFonts w:cs="Arial"/>
                <w:sz w:val="18"/>
                <w:szCs w:val="18"/>
              </w:rPr>
              <w:t>EU/Pakistan</w:t>
            </w:r>
          </w:p>
        </w:tc>
        <w:tc>
          <w:tcPr>
            <w:tcW w:w="5061" w:type="dxa"/>
            <w:tcMar>
              <w:top w:w="57" w:type="dxa"/>
              <w:left w:w="57" w:type="dxa"/>
              <w:bottom w:w="57" w:type="dxa"/>
              <w:right w:w="57" w:type="dxa"/>
            </w:tcMar>
            <w:vAlign w:val="center"/>
          </w:tcPr>
          <w:p w:rsidR="005703CF" w:rsidRDefault="005703CF" w:rsidP="00606EF6">
            <w:pPr>
              <w:rPr>
                <w:rFonts w:cs="Arial"/>
                <w:sz w:val="18"/>
                <w:szCs w:val="18"/>
              </w:rPr>
            </w:pPr>
            <w:r w:rsidRPr="00233A64">
              <w:rPr>
                <w:rFonts w:cs="Arial"/>
                <w:sz w:val="18"/>
                <w:szCs w:val="18"/>
              </w:rPr>
              <w:t>Development Sector</w:t>
            </w:r>
          </w:p>
        </w:tc>
      </w:tr>
      <w:tr w:rsidR="005703CF" w:rsidRPr="005703CF"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Finland Copyright III</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Culture and Creative Industries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France IP</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Ibero-American Program for Industrial Property</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Italy</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Japan Copyright</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Culture and Creative Industries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Japan IP</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Japan IP/Africa</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Republic of Korea Copyright</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Culture and Creative Industries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Republic of Korea Education</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Republic of Korea IP</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Spain</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Development Sector</w:t>
            </w:r>
          </w:p>
        </w:tc>
      </w:tr>
      <w:tr w:rsidR="005703CF" w:rsidRPr="00233A64" w:rsidTr="00606EF6">
        <w:tc>
          <w:tcPr>
            <w:tcW w:w="4068" w:type="dxa"/>
            <w:tcMar>
              <w:top w:w="57" w:type="dxa"/>
              <w:left w:w="57" w:type="dxa"/>
              <w:bottom w:w="57" w:type="dxa"/>
              <w:right w:w="57" w:type="dxa"/>
            </w:tcMar>
          </w:tcPr>
          <w:p w:rsidR="005703CF" w:rsidRPr="008F5032" w:rsidRDefault="005703CF" w:rsidP="00606EF6">
            <w:pPr>
              <w:rPr>
                <w:rFonts w:cs="Arial"/>
                <w:sz w:val="18"/>
                <w:szCs w:val="18"/>
              </w:rPr>
            </w:pPr>
            <w:r w:rsidRPr="008F5032">
              <w:rPr>
                <w:rFonts w:cs="Arial"/>
                <w:sz w:val="18"/>
                <w:szCs w:val="18"/>
              </w:rPr>
              <w:t>US Copyright</w:t>
            </w:r>
          </w:p>
        </w:tc>
        <w:tc>
          <w:tcPr>
            <w:tcW w:w="5061" w:type="dxa"/>
            <w:tcMar>
              <w:top w:w="57" w:type="dxa"/>
              <w:left w:w="57" w:type="dxa"/>
              <w:bottom w:w="57" w:type="dxa"/>
              <w:right w:w="57" w:type="dxa"/>
            </w:tcMar>
          </w:tcPr>
          <w:p w:rsidR="005703CF" w:rsidRPr="00233A64" w:rsidRDefault="005703CF" w:rsidP="00606EF6">
            <w:pPr>
              <w:rPr>
                <w:rFonts w:cs="Arial"/>
                <w:sz w:val="18"/>
                <w:szCs w:val="18"/>
              </w:rPr>
            </w:pPr>
            <w:r w:rsidRPr="00233A64">
              <w:rPr>
                <w:rFonts w:cs="Arial"/>
                <w:sz w:val="18"/>
                <w:szCs w:val="18"/>
              </w:rPr>
              <w:t>Culture and Creative Industries Sector</w:t>
            </w:r>
          </w:p>
        </w:tc>
      </w:tr>
    </w:tbl>
    <w:p w:rsidR="005703CF" w:rsidRDefault="005703CF" w:rsidP="005703CF">
      <w:pPr>
        <w:tabs>
          <w:tab w:val="left" w:pos="0"/>
          <w:tab w:val="left" w:pos="9071"/>
        </w:tabs>
        <w:rPr>
          <w:rFonts w:cs="Arial"/>
          <w:b/>
          <w:szCs w:val="20"/>
        </w:rPr>
        <w:sectPr w:rsidR="005703CF" w:rsidSect="002249F8">
          <w:headerReference w:type="default" r:id="rId78"/>
          <w:pgSz w:w="11907" w:h="16840" w:code="9"/>
          <w:pgMar w:top="851" w:right="1418" w:bottom="1276" w:left="1418" w:header="510" w:footer="1021" w:gutter="0"/>
          <w:cols w:space="720"/>
        </w:sectPr>
      </w:pPr>
    </w:p>
    <w:p w:rsidR="005703CF" w:rsidRDefault="005703CF" w:rsidP="005703CF">
      <w:pPr>
        <w:rPr>
          <w:rFonts w:cs="Arial"/>
          <w:b/>
          <w:szCs w:val="20"/>
        </w:rPr>
      </w:pPr>
      <w:r>
        <w:rPr>
          <w:rFonts w:cs="Arial"/>
          <w:b/>
          <w:szCs w:val="20"/>
        </w:rPr>
        <w:lastRenderedPageBreak/>
        <w:t>AUSTRALIA</w:t>
      </w:r>
    </w:p>
    <w:p w:rsidR="005703CF" w:rsidRDefault="005703CF" w:rsidP="005703CF">
      <w:pPr>
        <w:rPr>
          <w:rFonts w:cs="Arial"/>
          <w:b/>
          <w:szCs w:val="20"/>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850"/>
        <w:gridCol w:w="3260"/>
      </w:tblGrid>
      <w:tr w:rsidR="005703CF" w:rsidRPr="002B7DE5" w:rsidTr="002249F8">
        <w:trPr>
          <w:cantSplit/>
        </w:trPr>
        <w:tc>
          <w:tcPr>
            <w:tcW w:w="9072" w:type="dxa"/>
            <w:gridSpan w:val="5"/>
            <w:tcBorders>
              <w:top w:val="single" w:sz="4" w:space="0" w:color="000000"/>
              <w:bottom w:val="single" w:sz="4" w:space="0" w:color="000000"/>
            </w:tcBorders>
            <w:shd w:val="clear" w:color="auto" w:fill="CCFFFF"/>
            <w:vAlign w:val="center"/>
          </w:tcPr>
          <w:p w:rsidR="005703CF" w:rsidRPr="002B7DE5"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712F53">
              <w:rPr>
                <w:rFonts w:eastAsia="MS Mincho" w:cs="Arial"/>
                <w:bCs/>
                <w:color w:val="000000"/>
                <w:sz w:val="16"/>
                <w:szCs w:val="16"/>
                <w:lang w:val="en-AU" w:eastAsia="ja-JP" w:bidi="th-TH"/>
              </w:rPr>
              <w:t xml:space="preserve">Clearly defined </w:t>
            </w:r>
            <w:r>
              <w:rPr>
                <w:rFonts w:eastAsia="MS Mincho" w:cs="Arial"/>
                <w:bCs/>
                <w:color w:val="000000"/>
                <w:sz w:val="16"/>
                <w:szCs w:val="16"/>
                <w:lang w:val="en-AU" w:eastAsia="ja-JP" w:bidi="th-TH"/>
              </w:rPr>
              <w:t>and</w:t>
            </w:r>
            <w:r w:rsidRPr="00712F53">
              <w:rPr>
                <w:rFonts w:eastAsia="MS Mincho" w:cs="Arial"/>
                <w:bCs/>
                <w:color w:val="000000"/>
                <w:sz w:val="16"/>
                <w:szCs w:val="16"/>
                <w:lang w:val="en-AU" w:eastAsia="ja-JP" w:bidi="th-TH"/>
              </w:rPr>
              <w:t xml:space="preserve"> coherent national innovation and IP policies, strategies and development plans consistent with national development goals and objectives</w:t>
            </w:r>
          </w:p>
        </w:tc>
      </w:tr>
      <w:tr w:rsidR="005703CF" w:rsidRPr="002B7DE5" w:rsidTr="002249F8">
        <w:trPr>
          <w:cantSplit/>
        </w:trPr>
        <w:tc>
          <w:tcPr>
            <w:tcW w:w="1843" w:type="dxa"/>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774D44" w:rsidTr="002249F8">
        <w:trPr>
          <w:cantSplit/>
          <w:trHeight w:val="49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IP strategy missions</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to April,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Cambodia</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sidRPr="00D45848">
              <w:rPr>
                <w:rFonts w:cs="Arial"/>
                <w:color w:val="000000"/>
                <w:sz w:val="16"/>
                <w:szCs w:val="16"/>
              </w:rPr>
              <w:t>To assist Cambodia in formulating a national IP strategy with the aim of harnessing national IP capacities so as to achieve development goals and policies</w:t>
            </w:r>
          </w:p>
        </w:tc>
      </w:tr>
      <w:tr w:rsidR="005703CF" w:rsidRPr="00774D44" w:rsidTr="002249F8">
        <w:trPr>
          <w:cantSplit/>
          <w:trHeight w:val="530"/>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sidRPr="00A86490">
              <w:rPr>
                <w:rFonts w:cs="Arial"/>
                <w:color w:val="000000"/>
                <w:sz w:val="16"/>
                <w:szCs w:val="16"/>
              </w:rPr>
              <w:t>Stock-taking an</w:t>
            </w:r>
            <w:r>
              <w:rPr>
                <w:rFonts w:cs="Arial"/>
                <w:color w:val="000000"/>
                <w:sz w:val="16"/>
                <w:szCs w:val="16"/>
              </w:rPr>
              <w:t>d needs a</w:t>
            </w:r>
            <w:r w:rsidRPr="00A86490">
              <w:rPr>
                <w:rFonts w:cs="Arial"/>
                <w:color w:val="000000"/>
                <w:sz w:val="16"/>
                <w:szCs w:val="16"/>
              </w:rPr>
              <w:t>ssessment mission</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sidRPr="00A86490">
              <w:rPr>
                <w:rFonts w:cs="Arial"/>
                <w:color w:val="000000"/>
                <w:sz w:val="16"/>
                <w:szCs w:val="16"/>
              </w:rPr>
              <w:t>April 2 to 5,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sidRPr="00A86490">
              <w:rPr>
                <w:rFonts w:cs="Arial"/>
                <w:color w:val="000000"/>
                <w:sz w:val="16"/>
                <w:szCs w:val="16"/>
              </w:rPr>
              <w:t>Solomon Islands</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To produce a </w:t>
            </w:r>
            <w:r w:rsidRPr="00A550EC">
              <w:rPr>
                <w:rFonts w:cs="Arial"/>
                <w:color w:val="000000"/>
                <w:sz w:val="16"/>
                <w:szCs w:val="16"/>
              </w:rPr>
              <w:t>report on “Intellectual Property in Solomon Islands”</w:t>
            </w:r>
            <w:r>
              <w:rPr>
                <w:rFonts w:cs="Arial"/>
                <w:color w:val="000000"/>
                <w:sz w:val="16"/>
                <w:szCs w:val="16"/>
              </w:rPr>
              <w:t xml:space="preserve">, providing an assessment </w:t>
            </w:r>
            <w:r w:rsidRPr="00A550EC">
              <w:rPr>
                <w:rFonts w:cs="Arial"/>
                <w:color w:val="000000"/>
                <w:sz w:val="16"/>
                <w:szCs w:val="16"/>
              </w:rPr>
              <w:t xml:space="preserve">of the </w:t>
            </w:r>
            <w:r>
              <w:rPr>
                <w:rFonts w:cs="Arial"/>
                <w:color w:val="000000"/>
                <w:sz w:val="16"/>
                <w:szCs w:val="16"/>
              </w:rPr>
              <w:t xml:space="preserve">current </w:t>
            </w:r>
            <w:r w:rsidRPr="00A550EC">
              <w:rPr>
                <w:rFonts w:cs="Arial"/>
                <w:color w:val="000000"/>
                <w:sz w:val="16"/>
                <w:szCs w:val="16"/>
              </w:rPr>
              <w:t xml:space="preserve">IP situation in the country </w:t>
            </w:r>
            <w:r>
              <w:rPr>
                <w:rFonts w:cs="Arial"/>
                <w:color w:val="000000"/>
                <w:sz w:val="16"/>
                <w:szCs w:val="16"/>
              </w:rPr>
              <w:t>and also serving as the</w:t>
            </w:r>
            <w:r w:rsidRPr="00A550EC">
              <w:rPr>
                <w:rFonts w:cs="Arial"/>
                <w:color w:val="000000"/>
                <w:sz w:val="16"/>
                <w:szCs w:val="16"/>
              </w:rPr>
              <w:t xml:space="preserve"> basis for </w:t>
            </w:r>
            <w:r>
              <w:rPr>
                <w:rFonts w:cs="Arial"/>
                <w:color w:val="000000"/>
                <w:sz w:val="16"/>
                <w:szCs w:val="16"/>
              </w:rPr>
              <w:t xml:space="preserve">IP </w:t>
            </w:r>
            <w:r w:rsidRPr="00A550EC">
              <w:rPr>
                <w:rFonts w:cs="Arial"/>
                <w:color w:val="000000"/>
                <w:sz w:val="16"/>
                <w:szCs w:val="16"/>
              </w:rPr>
              <w:t>strategy</w:t>
            </w:r>
            <w:r>
              <w:rPr>
                <w:rFonts w:cs="Arial"/>
                <w:color w:val="000000"/>
                <w:sz w:val="16"/>
                <w:szCs w:val="16"/>
              </w:rPr>
              <w:t xml:space="preserve"> development</w:t>
            </w:r>
          </w:p>
        </w:tc>
      </w:tr>
      <w:tr w:rsidR="005703CF" w:rsidRPr="00774D44" w:rsidTr="002249F8">
        <w:trPr>
          <w:cantSplit/>
          <w:trHeight w:val="552"/>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sidRPr="00A550EC">
              <w:rPr>
                <w:rFonts w:cs="Arial"/>
                <w:color w:val="000000"/>
                <w:sz w:val="16"/>
                <w:szCs w:val="16"/>
              </w:rPr>
              <w:t xml:space="preserve">A </w:t>
            </w:r>
            <w:r>
              <w:rPr>
                <w:rFonts w:cs="Arial"/>
                <w:color w:val="000000"/>
                <w:sz w:val="16"/>
                <w:szCs w:val="16"/>
              </w:rPr>
              <w:t>needs assessment and IP s</w:t>
            </w:r>
            <w:r w:rsidRPr="00A550EC">
              <w:rPr>
                <w:rFonts w:cs="Arial"/>
                <w:color w:val="000000"/>
                <w:sz w:val="16"/>
                <w:szCs w:val="16"/>
              </w:rPr>
              <w:t>trategy mission</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sidRPr="00A550EC">
              <w:rPr>
                <w:rFonts w:cs="Arial"/>
                <w:sz w:val="16"/>
                <w:szCs w:val="16"/>
              </w:rPr>
              <w:t>May 13 to 16,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sidRPr="00A550EC">
              <w:rPr>
                <w:rFonts w:cs="Arial"/>
                <w:color w:val="000000"/>
                <w:sz w:val="16"/>
                <w:szCs w:val="16"/>
              </w:rPr>
              <w:t>Vanuatu</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sidRPr="00A550EC">
              <w:rPr>
                <w:rFonts w:cs="Arial"/>
                <w:color w:val="000000"/>
                <w:sz w:val="16"/>
                <w:szCs w:val="16"/>
              </w:rPr>
              <w:t xml:space="preserve">To make a comprehensive assessment </w:t>
            </w:r>
            <w:r>
              <w:rPr>
                <w:rFonts w:cs="Arial"/>
                <w:color w:val="000000"/>
                <w:sz w:val="16"/>
                <w:szCs w:val="16"/>
              </w:rPr>
              <w:t>of the modernization of the national IP system and to prepare a first draft of a</w:t>
            </w:r>
            <w:r w:rsidRPr="00A550EC">
              <w:rPr>
                <w:rFonts w:cs="Arial"/>
                <w:color w:val="000000"/>
                <w:sz w:val="16"/>
                <w:szCs w:val="16"/>
              </w:rPr>
              <w:t xml:space="preserve"> </w:t>
            </w:r>
            <w:r>
              <w:rPr>
                <w:rFonts w:cs="Arial"/>
                <w:color w:val="000000"/>
                <w:sz w:val="16"/>
                <w:szCs w:val="16"/>
              </w:rPr>
              <w:t xml:space="preserve">national </w:t>
            </w:r>
            <w:r w:rsidRPr="00A550EC">
              <w:rPr>
                <w:rFonts w:cs="Arial"/>
                <w:color w:val="000000"/>
                <w:sz w:val="16"/>
                <w:szCs w:val="16"/>
              </w:rPr>
              <w:t>IP strategy</w:t>
            </w:r>
            <w:r>
              <w:rPr>
                <w:rFonts w:cs="Arial"/>
                <w:color w:val="000000"/>
                <w:sz w:val="16"/>
                <w:szCs w:val="16"/>
              </w:rPr>
              <w:t xml:space="preserve"> in order to enable the effective use of the national IP system for economic development</w:t>
            </w:r>
          </w:p>
        </w:tc>
      </w:tr>
      <w:tr w:rsidR="005703CF" w:rsidRPr="00774D44" w:rsidTr="002249F8">
        <w:trPr>
          <w:cantSplit/>
          <w:trHeight w:val="552"/>
        </w:trPr>
        <w:tc>
          <w:tcPr>
            <w:tcW w:w="1843"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A needs assessment and IP s</w:t>
            </w:r>
            <w:r w:rsidRPr="00A550EC">
              <w:rPr>
                <w:rFonts w:cs="Arial"/>
                <w:color w:val="000000"/>
                <w:sz w:val="16"/>
                <w:szCs w:val="16"/>
              </w:rPr>
              <w:t>trategy mission</w:t>
            </w:r>
          </w:p>
        </w:tc>
        <w:tc>
          <w:tcPr>
            <w:tcW w:w="1134"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sidRPr="00C85053">
              <w:rPr>
                <w:rFonts w:cs="Arial"/>
                <w:sz w:val="16"/>
                <w:szCs w:val="16"/>
              </w:rPr>
              <w:t>May 20 to 23, 2013</w:t>
            </w:r>
          </w:p>
        </w:tc>
        <w:tc>
          <w:tcPr>
            <w:tcW w:w="1985"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sidRPr="00C85053">
              <w:rPr>
                <w:rFonts w:cs="Arial"/>
                <w:color w:val="000000"/>
                <w:sz w:val="16"/>
                <w:szCs w:val="16"/>
              </w:rPr>
              <w:t>Tonga</w:t>
            </w:r>
          </w:p>
        </w:tc>
        <w:tc>
          <w:tcPr>
            <w:tcW w:w="4110" w:type="dxa"/>
            <w:gridSpan w:val="2"/>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sidRPr="00D66F0B">
              <w:rPr>
                <w:rFonts w:cs="Arial"/>
                <w:color w:val="000000"/>
                <w:sz w:val="16"/>
                <w:szCs w:val="16"/>
              </w:rPr>
              <w:t>To make a comprehensive assessment o</w:t>
            </w:r>
            <w:r>
              <w:rPr>
                <w:rFonts w:cs="Arial"/>
                <w:color w:val="000000"/>
                <w:sz w:val="16"/>
                <w:szCs w:val="16"/>
              </w:rPr>
              <w:t>f</w:t>
            </w:r>
            <w:r w:rsidRPr="00D66F0B">
              <w:rPr>
                <w:rFonts w:cs="Arial"/>
                <w:color w:val="000000"/>
                <w:sz w:val="16"/>
                <w:szCs w:val="16"/>
              </w:rPr>
              <w:t xml:space="preserve"> the modernization </w:t>
            </w:r>
            <w:r>
              <w:rPr>
                <w:rFonts w:cs="Arial"/>
                <w:color w:val="000000"/>
                <w:sz w:val="16"/>
                <w:szCs w:val="16"/>
              </w:rPr>
              <w:t xml:space="preserve">of the national IP system </w:t>
            </w:r>
            <w:r w:rsidRPr="00D66F0B">
              <w:rPr>
                <w:rFonts w:cs="Arial"/>
                <w:color w:val="000000"/>
                <w:sz w:val="16"/>
                <w:szCs w:val="16"/>
              </w:rPr>
              <w:t xml:space="preserve">and </w:t>
            </w:r>
            <w:r>
              <w:rPr>
                <w:rFonts w:cs="Arial"/>
                <w:color w:val="000000"/>
                <w:sz w:val="16"/>
                <w:szCs w:val="16"/>
              </w:rPr>
              <w:t xml:space="preserve">to </w:t>
            </w:r>
            <w:r w:rsidRPr="00D66F0B">
              <w:rPr>
                <w:rFonts w:cs="Arial"/>
                <w:color w:val="000000"/>
                <w:sz w:val="16"/>
                <w:szCs w:val="16"/>
              </w:rPr>
              <w:t xml:space="preserve">prepare a first draft of a national IP strategy in order to enable the effective use of </w:t>
            </w:r>
            <w:r>
              <w:rPr>
                <w:rFonts w:cs="Arial"/>
                <w:color w:val="000000"/>
                <w:sz w:val="16"/>
                <w:szCs w:val="16"/>
              </w:rPr>
              <w:t xml:space="preserve">the </w:t>
            </w:r>
            <w:r w:rsidRPr="00D66F0B">
              <w:rPr>
                <w:rFonts w:cs="Arial"/>
                <w:color w:val="000000"/>
                <w:sz w:val="16"/>
                <w:szCs w:val="16"/>
              </w:rPr>
              <w:t>national IP system for economic development</w:t>
            </w:r>
          </w:p>
        </w:tc>
      </w:tr>
      <w:tr w:rsidR="005703CF" w:rsidRPr="002B7DE5" w:rsidTr="002249F8">
        <w:trPr>
          <w:cantSplit/>
        </w:trPr>
        <w:tc>
          <w:tcPr>
            <w:tcW w:w="9072" w:type="dxa"/>
            <w:gridSpan w:val="5"/>
            <w:tcBorders>
              <w:top w:val="single" w:sz="4" w:space="0" w:color="000000"/>
              <w:bottom w:val="single" w:sz="4" w:space="0" w:color="000000"/>
            </w:tcBorders>
            <w:shd w:val="clear" w:color="auto" w:fill="CCFFFF"/>
            <w:vAlign w:val="center"/>
          </w:tcPr>
          <w:p w:rsidR="005703CF" w:rsidRPr="002B7DE5"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712F53">
              <w:rPr>
                <w:rFonts w:cs="Arial"/>
                <w:bCs/>
                <w:sz w:val="16"/>
                <w:szCs w:val="16"/>
                <w:lang w:val="en-AU"/>
              </w:rPr>
              <w:t>IP offices have a better understanding of, and are more confident of, accession requirements and processes required to implement the PCT in their country</w:t>
            </w:r>
          </w:p>
        </w:tc>
      </w:tr>
      <w:tr w:rsidR="005703CF" w:rsidRPr="002B7DE5" w:rsidTr="002249F8">
        <w:trPr>
          <w:cantSplit/>
        </w:trPr>
        <w:tc>
          <w:tcPr>
            <w:tcW w:w="1843" w:type="dxa"/>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774D44" w:rsidTr="002249F8">
        <w:trPr>
          <w:cantSplit/>
          <w:trHeight w:val="520"/>
        </w:trPr>
        <w:tc>
          <w:tcPr>
            <w:tcW w:w="1843"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Sub-Regional Seminar on the PCT</w:t>
            </w:r>
          </w:p>
        </w:tc>
        <w:tc>
          <w:tcPr>
            <w:tcW w:w="1134"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February 19 and 20,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South Africa/Rwanda, Uganda and the United Republic of Tanzania </w:t>
            </w:r>
          </w:p>
        </w:tc>
        <w:tc>
          <w:tcPr>
            <w:tcW w:w="4110" w:type="dxa"/>
            <w:gridSpan w:val="2"/>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present an overview of the PCT, and ways of improving national patent systems within the context of the international system, to recently appointed heads of offices from several African countries</w:t>
            </w:r>
          </w:p>
        </w:tc>
      </w:tr>
      <w:tr w:rsidR="005703CF" w:rsidRPr="00774D44" w:rsidTr="002249F8">
        <w:trPr>
          <w:cantSplit/>
          <w:trHeight w:val="520"/>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Sub-Regional Workshop on the PCT for countries in Asia</w:t>
            </w:r>
            <w:r>
              <w:rPr>
                <w:rFonts w:cs="Arial"/>
                <w:color w:val="000000"/>
                <w:sz w:val="16"/>
                <w:szCs w:val="16"/>
              </w:rPr>
              <w:noBreakHyphen/>
              <w:t>Pacific</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April 15 to 17,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Singapore/Cambodia, Lao </w:t>
            </w:r>
            <w:r w:rsidRPr="00F733B7">
              <w:rPr>
                <w:rFonts w:cs="Arial"/>
                <w:color w:val="000000"/>
                <w:sz w:val="16"/>
                <w:szCs w:val="16"/>
              </w:rPr>
              <w:t>People’s Democratic Republic</w:t>
            </w:r>
            <w:r>
              <w:rPr>
                <w:rFonts w:cs="Arial"/>
                <w:color w:val="000000"/>
                <w:sz w:val="16"/>
                <w:szCs w:val="16"/>
              </w:rPr>
              <w:t>, Myanmar and the Philippines (hosted by the WIPO Singapore Office)</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To deliver thorough training on the </w:t>
            </w:r>
            <w:r w:rsidR="009E5B4C">
              <w:rPr>
                <w:rFonts w:cs="Arial"/>
                <w:color w:val="000000"/>
                <w:sz w:val="16"/>
                <w:szCs w:val="16"/>
              </w:rPr>
              <w:t>PCT System</w:t>
            </w:r>
            <w:r>
              <w:rPr>
                <w:rFonts w:cs="Arial"/>
                <w:color w:val="000000"/>
                <w:sz w:val="16"/>
                <w:szCs w:val="16"/>
              </w:rPr>
              <w:t xml:space="preserve"> the functioning and advantages of the PCT for developing countries within the Asia and the Pacific region.  To provide advice on accession to the PCT and its implications</w:t>
            </w:r>
          </w:p>
        </w:tc>
      </w:tr>
      <w:tr w:rsidR="005703CF" w:rsidRPr="00774D44" w:rsidTr="002249F8">
        <w:trPr>
          <w:cantSplit/>
          <w:trHeight w:val="528"/>
        </w:trPr>
        <w:tc>
          <w:tcPr>
            <w:tcW w:w="1843"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Patent Examination Training </w:t>
            </w:r>
          </w:p>
        </w:tc>
        <w:tc>
          <w:tcPr>
            <w:tcW w:w="1134"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June 17 to 21, 2013</w:t>
            </w:r>
          </w:p>
        </w:tc>
        <w:tc>
          <w:tcPr>
            <w:tcW w:w="1985"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Australia/ Egypt </w:t>
            </w:r>
          </w:p>
        </w:tc>
        <w:tc>
          <w:tcPr>
            <w:tcW w:w="4110" w:type="dxa"/>
            <w:gridSpan w:val="2"/>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provide substantive and concrete patent examination training to examiners of the Egyptian Patent Office (EgPO) on international search and preliminary examination procedures and practices.  This training was provided by IP Australia and focused on equipping the examiners with the skills to act as an International Authority under the PCT and carry out the required processes under the Treaty</w:t>
            </w:r>
          </w:p>
        </w:tc>
      </w:tr>
      <w:tr w:rsidR="005703CF" w:rsidRPr="002B7DE5" w:rsidTr="002249F8">
        <w:trPr>
          <w:cantSplit/>
        </w:trPr>
        <w:tc>
          <w:tcPr>
            <w:tcW w:w="9072" w:type="dxa"/>
            <w:gridSpan w:val="5"/>
            <w:tcBorders>
              <w:top w:val="single" w:sz="4" w:space="0" w:color="000000"/>
              <w:bottom w:val="single" w:sz="4" w:space="0" w:color="000000"/>
            </w:tcBorders>
            <w:shd w:val="clear" w:color="auto" w:fill="CCFFFF"/>
            <w:vAlign w:val="center"/>
          </w:tcPr>
          <w:p w:rsidR="005703CF" w:rsidRPr="00712F53" w:rsidRDefault="005703CF" w:rsidP="002249F8">
            <w:pPr>
              <w:keepNext/>
              <w:keepLines/>
              <w:tabs>
                <w:tab w:val="left" w:pos="1740"/>
              </w:tabs>
              <w:spacing w:before="120" w:after="120"/>
              <w:ind w:left="1740" w:hanging="1740"/>
              <w:rPr>
                <w:rFonts w:cs="Arial"/>
                <w:b/>
                <w:bCs/>
                <w:sz w:val="16"/>
                <w:szCs w:val="16"/>
                <w:lang w:val="en-AU"/>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712F53">
              <w:rPr>
                <w:rFonts w:cs="Arial"/>
                <w:bCs/>
                <w:sz w:val="16"/>
                <w:szCs w:val="16"/>
                <w:lang w:val="en-AU"/>
              </w:rPr>
              <w:t>IP offices have a better understanding of, and are more confident of, accession requirements and processes required to implement the Madrid Protocol in their country</w:t>
            </w:r>
          </w:p>
        </w:tc>
      </w:tr>
      <w:tr w:rsidR="005703CF" w:rsidRPr="002B7DE5" w:rsidTr="002249F8">
        <w:trPr>
          <w:cantSplit/>
        </w:trPr>
        <w:tc>
          <w:tcPr>
            <w:tcW w:w="1843" w:type="dxa"/>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5B38F2" w:rsidTr="002249F8">
        <w:trPr>
          <w:cantSplit/>
          <w:trHeight w:val="473"/>
        </w:trPr>
        <w:tc>
          <w:tcPr>
            <w:tcW w:w="1843" w:type="dxa"/>
            <w:tcBorders>
              <w:bottom w:val="single" w:sz="4" w:space="0" w:color="000000"/>
            </w:tcBorders>
          </w:tcPr>
          <w:p w:rsidR="005703CF" w:rsidRPr="005B38F2" w:rsidRDefault="005703CF" w:rsidP="002249F8">
            <w:pPr>
              <w:autoSpaceDE w:val="0"/>
              <w:autoSpaceDN w:val="0"/>
              <w:adjustRightInd w:val="0"/>
              <w:spacing w:before="120" w:after="120"/>
              <w:rPr>
                <w:rFonts w:cs="Arial"/>
                <w:color w:val="000000"/>
                <w:sz w:val="16"/>
                <w:szCs w:val="16"/>
              </w:rPr>
            </w:pPr>
          </w:p>
        </w:tc>
        <w:tc>
          <w:tcPr>
            <w:tcW w:w="1134" w:type="dxa"/>
            <w:tcBorders>
              <w:bottom w:val="single" w:sz="4" w:space="0" w:color="000000"/>
            </w:tcBorders>
          </w:tcPr>
          <w:p w:rsidR="005703CF" w:rsidRPr="005B38F2" w:rsidRDefault="005703CF" w:rsidP="002249F8">
            <w:pPr>
              <w:autoSpaceDE w:val="0"/>
              <w:autoSpaceDN w:val="0"/>
              <w:adjustRightInd w:val="0"/>
              <w:spacing w:before="120" w:after="120"/>
              <w:rPr>
                <w:rFonts w:cs="Arial"/>
                <w:color w:val="000000"/>
                <w:sz w:val="16"/>
                <w:szCs w:val="16"/>
              </w:rPr>
            </w:pPr>
          </w:p>
        </w:tc>
        <w:tc>
          <w:tcPr>
            <w:tcW w:w="2835" w:type="dxa"/>
            <w:gridSpan w:val="2"/>
            <w:tcBorders>
              <w:bottom w:val="single" w:sz="4" w:space="0" w:color="000000"/>
            </w:tcBorders>
          </w:tcPr>
          <w:p w:rsidR="005703CF" w:rsidRPr="005B38F2"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w:t>
            </w:r>
            <w:r w:rsidRPr="003B1DAB">
              <w:rPr>
                <w:rFonts w:cs="Arial"/>
                <w:i/>
                <w:color w:val="000000"/>
                <w:sz w:val="16"/>
                <w:szCs w:val="16"/>
              </w:rPr>
              <w:t>no activity in 2013</w:t>
            </w:r>
            <w:r>
              <w:rPr>
                <w:rFonts w:cs="Arial"/>
                <w:color w:val="000000"/>
                <w:sz w:val="16"/>
                <w:szCs w:val="16"/>
              </w:rPr>
              <w:t>]</w:t>
            </w:r>
          </w:p>
        </w:tc>
        <w:tc>
          <w:tcPr>
            <w:tcW w:w="3260" w:type="dxa"/>
            <w:tcBorders>
              <w:bottom w:val="single" w:sz="4" w:space="0" w:color="000000"/>
            </w:tcBorders>
          </w:tcPr>
          <w:p w:rsidR="005703CF" w:rsidRPr="000514BA" w:rsidRDefault="005703CF" w:rsidP="002249F8">
            <w:pPr>
              <w:autoSpaceDE w:val="0"/>
              <w:autoSpaceDN w:val="0"/>
              <w:adjustRightInd w:val="0"/>
              <w:spacing w:before="120"/>
              <w:rPr>
                <w:rFonts w:cs="Arial"/>
                <w:color w:val="000000"/>
                <w:sz w:val="16"/>
                <w:szCs w:val="16"/>
              </w:rPr>
            </w:pPr>
          </w:p>
        </w:tc>
      </w:tr>
      <w:tr w:rsidR="005703CF" w:rsidRPr="00774D44" w:rsidTr="002249F8">
        <w:trPr>
          <w:cantSplit/>
          <w:trHeight w:val="315"/>
        </w:trPr>
        <w:tc>
          <w:tcPr>
            <w:tcW w:w="9072" w:type="dxa"/>
            <w:gridSpan w:val="5"/>
            <w:tcBorders>
              <w:top w:val="single" w:sz="4" w:space="0" w:color="000000"/>
              <w:bottom w:val="single" w:sz="4" w:space="0" w:color="000000"/>
            </w:tcBorders>
            <w:shd w:val="clear" w:color="auto" w:fill="CCFFFF"/>
          </w:tcPr>
          <w:p w:rsidR="005703CF" w:rsidRPr="00774D44" w:rsidRDefault="005703CF" w:rsidP="002249F8">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lastRenderedPageBreak/>
              <w:t>RESULT</w:t>
            </w:r>
            <w:r w:rsidRPr="00712F53">
              <w:rPr>
                <w:rFonts w:cs="Arial"/>
                <w:bCs/>
                <w:sz w:val="16"/>
                <w:szCs w:val="16"/>
                <w:lang w:val="en-AU"/>
              </w:rPr>
              <w:t>:</w:t>
            </w:r>
            <w:r w:rsidRPr="00712F53">
              <w:rPr>
                <w:rFonts w:cs="Arial"/>
                <w:bCs/>
                <w:sz w:val="16"/>
                <w:szCs w:val="16"/>
                <w:lang w:val="en-AU"/>
              </w:rPr>
              <w:tab/>
              <w:t>Enhanced human resources capacities enable IP officials to deal with the broad range of requirements for the effective use of IP for development in DCs, LDCs and countries with economies in transition</w:t>
            </w:r>
          </w:p>
        </w:tc>
      </w:tr>
      <w:tr w:rsidR="005703CF" w:rsidRPr="00774D44" w:rsidTr="002249F8">
        <w:trPr>
          <w:cantSplit/>
          <w:trHeight w:val="402"/>
        </w:trPr>
        <w:tc>
          <w:tcPr>
            <w:tcW w:w="1843" w:type="dxa"/>
            <w:tcBorders>
              <w:top w:val="single" w:sz="4" w:space="0" w:color="000000"/>
            </w:tcBorders>
            <w:vAlign w:val="center"/>
          </w:tcPr>
          <w:p w:rsidR="005703CF" w:rsidRPr="002B7DE5" w:rsidRDefault="005703CF" w:rsidP="002249F8">
            <w:pPr>
              <w:keepNext/>
              <w:keepLines/>
              <w:spacing w:before="120" w:after="120"/>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Date</w:t>
            </w:r>
          </w:p>
        </w:tc>
        <w:tc>
          <w:tcPr>
            <w:tcW w:w="1985" w:type="dxa"/>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Purpose(s)/Description(s)</w:t>
            </w:r>
          </w:p>
        </w:tc>
      </w:tr>
      <w:tr w:rsidR="005703CF" w:rsidRPr="00774D44" w:rsidTr="002249F8">
        <w:trPr>
          <w:cantSplit/>
          <w:trHeight w:val="315"/>
        </w:trPr>
        <w:tc>
          <w:tcPr>
            <w:tcW w:w="1843"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National Seminar on Copyright and Consultation Meeting with the Government of Tonga</w:t>
            </w:r>
          </w:p>
        </w:tc>
        <w:tc>
          <w:tcPr>
            <w:tcW w:w="1134" w:type="dxa"/>
          </w:tcPr>
          <w:p w:rsidR="005703CF" w:rsidRPr="00A12513"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14 to 17,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Tonga</w:t>
            </w:r>
          </w:p>
        </w:tc>
        <w:tc>
          <w:tcPr>
            <w:tcW w:w="4110" w:type="dxa"/>
            <w:gridSpan w:val="2"/>
          </w:tcPr>
          <w:p w:rsidR="005703CF" w:rsidRPr="00A12513"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increase capacity and awareness of copyright and related rights among government officials and related stakeholders.  The Seminar focused on the relevance and importance of copyright in promoting cultural and economic development</w:t>
            </w:r>
          </w:p>
        </w:tc>
      </w:tr>
      <w:tr w:rsidR="005703CF" w:rsidRPr="00774D44" w:rsidTr="002249F8">
        <w:trPr>
          <w:cantSplit/>
          <w:trHeight w:val="315"/>
        </w:trPr>
        <w:tc>
          <w:tcPr>
            <w:tcW w:w="1843"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Study Visit on Copyright </w:t>
            </w:r>
          </w:p>
        </w:tc>
        <w:tc>
          <w:tcPr>
            <w:tcW w:w="1134" w:type="dxa"/>
          </w:tcPr>
          <w:p w:rsidR="005703CF" w:rsidRPr="00A12513" w:rsidRDefault="005703CF" w:rsidP="002249F8">
            <w:pPr>
              <w:autoSpaceDE w:val="0"/>
              <w:autoSpaceDN w:val="0"/>
              <w:adjustRightInd w:val="0"/>
              <w:spacing w:before="120" w:after="120"/>
              <w:rPr>
                <w:rFonts w:cs="Arial"/>
                <w:color w:val="000000"/>
                <w:sz w:val="16"/>
                <w:szCs w:val="16"/>
              </w:rPr>
            </w:pPr>
            <w:r w:rsidRPr="001530F7">
              <w:rPr>
                <w:rFonts w:cs="Arial"/>
                <w:color w:val="000000"/>
                <w:sz w:val="16"/>
                <w:szCs w:val="16"/>
              </w:rPr>
              <w:t>Apr</w:t>
            </w:r>
            <w:r>
              <w:rPr>
                <w:rFonts w:cs="Arial"/>
                <w:color w:val="000000"/>
                <w:sz w:val="16"/>
                <w:szCs w:val="16"/>
              </w:rPr>
              <w:t>il</w:t>
            </w:r>
            <w:r w:rsidRPr="001530F7">
              <w:rPr>
                <w:rFonts w:cs="Arial"/>
                <w:color w:val="000000"/>
                <w:sz w:val="16"/>
                <w:szCs w:val="16"/>
              </w:rPr>
              <w:t xml:space="preserve"> 15</w:t>
            </w:r>
            <w:r>
              <w:rPr>
                <w:rFonts w:cs="Arial"/>
                <w:color w:val="000000"/>
                <w:sz w:val="16"/>
                <w:szCs w:val="16"/>
              </w:rPr>
              <w:t xml:space="preserve"> and </w:t>
            </w:r>
            <w:r w:rsidRPr="001530F7">
              <w:rPr>
                <w:rFonts w:cs="Arial"/>
                <w:color w:val="000000"/>
                <w:sz w:val="16"/>
                <w:szCs w:val="16"/>
              </w:rPr>
              <w:t>16</w:t>
            </w:r>
            <w:r>
              <w:rPr>
                <w:rFonts w:cs="Arial"/>
                <w:color w:val="000000"/>
                <w:sz w:val="16"/>
                <w:szCs w:val="16"/>
              </w:rPr>
              <w:t>;</w:t>
            </w:r>
            <w:r w:rsidRPr="001530F7">
              <w:rPr>
                <w:rFonts w:cs="Arial"/>
                <w:color w:val="000000"/>
                <w:sz w:val="16"/>
                <w:szCs w:val="16"/>
              </w:rPr>
              <w:t xml:space="preserve"> </w:t>
            </w:r>
            <w:r>
              <w:rPr>
                <w:rFonts w:cs="Arial"/>
                <w:color w:val="000000"/>
                <w:sz w:val="16"/>
                <w:szCs w:val="16"/>
              </w:rPr>
              <w:t xml:space="preserve"> </w:t>
            </w:r>
            <w:r w:rsidRPr="001530F7">
              <w:rPr>
                <w:rFonts w:cs="Arial"/>
                <w:color w:val="000000"/>
                <w:sz w:val="16"/>
                <w:szCs w:val="16"/>
              </w:rPr>
              <w:t>Apr</w:t>
            </w:r>
            <w:r>
              <w:rPr>
                <w:rFonts w:cs="Arial"/>
                <w:color w:val="000000"/>
                <w:sz w:val="16"/>
                <w:szCs w:val="16"/>
              </w:rPr>
              <w:t>il</w:t>
            </w:r>
            <w:r w:rsidRPr="001530F7">
              <w:rPr>
                <w:rFonts w:cs="Arial"/>
                <w:color w:val="000000"/>
                <w:sz w:val="16"/>
                <w:szCs w:val="16"/>
              </w:rPr>
              <w:t xml:space="preserve"> 18</w:t>
            </w:r>
            <w:r>
              <w:rPr>
                <w:rFonts w:cs="Arial"/>
                <w:color w:val="000000"/>
                <w:sz w:val="16"/>
                <w:szCs w:val="16"/>
              </w:rPr>
              <w:t xml:space="preserve"> and </w:t>
            </w:r>
            <w:r w:rsidRPr="001530F7">
              <w:rPr>
                <w:rFonts w:cs="Arial"/>
                <w:color w:val="000000"/>
                <w:sz w:val="16"/>
                <w:szCs w:val="16"/>
              </w:rPr>
              <w:t>19</w:t>
            </w:r>
            <w:r>
              <w:rPr>
                <w:rFonts w:cs="Arial"/>
                <w:color w:val="000000"/>
                <w:sz w:val="16"/>
                <w:szCs w:val="16"/>
              </w:rPr>
              <w:t>,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Samoa, Solomon Islands and Tonga (officials from the above</w:t>
            </w:r>
            <w:r>
              <w:rPr>
                <w:rFonts w:cs="Arial"/>
                <w:color w:val="000000"/>
                <w:sz w:val="16"/>
                <w:szCs w:val="16"/>
              </w:rPr>
              <w:noBreakHyphen/>
              <w:t>mentioned countries hosted in Australia)</w:t>
            </w:r>
          </w:p>
        </w:tc>
        <w:tc>
          <w:tcPr>
            <w:tcW w:w="4110" w:type="dxa"/>
            <w:gridSpan w:val="2"/>
          </w:tcPr>
          <w:p w:rsidR="005703CF" w:rsidRPr="00A12513"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increase knowledge of and enhance understanding of copyright as well as to improve the capacity of heads of copyright offices and other senior officials to deal with copyright policies and strategies</w:t>
            </w:r>
          </w:p>
        </w:tc>
      </w:tr>
      <w:tr w:rsidR="005703CF" w:rsidRPr="00774D44" w:rsidTr="002249F8">
        <w:trPr>
          <w:cantSplit/>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Expert m</w:t>
            </w:r>
            <w:r w:rsidRPr="00A12513">
              <w:rPr>
                <w:rFonts w:cs="Arial"/>
                <w:color w:val="000000"/>
                <w:sz w:val="16"/>
                <w:szCs w:val="16"/>
              </w:rPr>
              <w:t xml:space="preserve">ission </w:t>
            </w:r>
            <w:r>
              <w:rPr>
                <w:rFonts w:cs="Arial"/>
                <w:color w:val="000000"/>
                <w:sz w:val="16"/>
                <w:szCs w:val="16"/>
              </w:rPr>
              <w:t xml:space="preserve">by an official from IP Australia </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sidRPr="00A12513">
              <w:rPr>
                <w:rFonts w:cs="Arial"/>
                <w:color w:val="000000"/>
                <w:sz w:val="16"/>
                <w:szCs w:val="16"/>
              </w:rPr>
              <w:t>June 10 to 14,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Cambodia</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introduce best practices of examination in the trademark system in the context of the revised Trademark Law Regulations of Cambodia</w:t>
            </w:r>
          </w:p>
        </w:tc>
      </w:tr>
      <w:tr w:rsidR="005703CF" w:rsidRPr="00774D44" w:rsidTr="002249F8">
        <w:trPr>
          <w:cantSplit/>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Expert mission by an official from IP Australia </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July 8 to 12,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Lao People’s Democratic Republic</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To provide on-the-job training of trademark examiners </w:t>
            </w:r>
            <w:r w:rsidRPr="00D13F9F">
              <w:rPr>
                <w:rFonts w:cs="Arial"/>
                <w:color w:val="000000"/>
                <w:sz w:val="16"/>
                <w:szCs w:val="16"/>
              </w:rPr>
              <w:t>with</w:t>
            </w:r>
            <w:r>
              <w:rPr>
                <w:rFonts w:cs="Arial"/>
                <w:color w:val="000000"/>
                <w:sz w:val="16"/>
                <w:szCs w:val="16"/>
              </w:rPr>
              <w:t xml:space="preserve"> a view to enhancing their</w:t>
            </w:r>
            <w:r w:rsidRPr="00D13F9F">
              <w:rPr>
                <w:rFonts w:cs="Arial"/>
                <w:color w:val="000000"/>
                <w:sz w:val="16"/>
                <w:szCs w:val="16"/>
              </w:rPr>
              <w:t xml:space="preserve"> knowledge and skills regarding examination based on absolute and relative grounds</w:t>
            </w:r>
          </w:p>
        </w:tc>
      </w:tr>
      <w:tr w:rsidR="005703CF" w:rsidRPr="00774D44" w:rsidTr="002249F8">
        <w:trPr>
          <w:cantSplit/>
          <w:trHeight w:val="315"/>
        </w:trPr>
        <w:tc>
          <w:tcPr>
            <w:tcW w:w="1843"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Provision of a speaker for an International Forum on IP valuation</w:t>
            </w:r>
          </w:p>
        </w:tc>
        <w:tc>
          <w:tcPr>
            <w:tcW w:w="1134" w:type="dxa"/>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November 6 and 7, 2013</w:t>
            </w:r>
          </w:p>
        </w:tc>
        <w:tc>
          <w:tcPr>
            <w:tcW w:w="1985" w:type="dxa"/>
            <w:tcBorders>
              <w:bottom w:val="single" w:sz="4" w:space="0" w:color="000000"/>
            </w:tcBorders>
          </w:tcPr>
          <w:p w:rsidR="005703CF" w:rsidRPr="00626AE0" w:rsidRDefault="005703CF" w:rsidP="002249F8">
            <w:pPr>
              <w:autoSpaceDE w:val="0"/>
              <w:autoSpaceDN w:val="0"/>
              <w:adjustRightInd w:val="0"/>
              <w:spacing w:before="120" w:after="120"/>
              <w:rPr>
                <w:rFonts w:cs="Arial"/>
                <w:color w:val="000000"/>
                <w:sz w:val="16"/>
                <w:szCs w:val="16"/>
              </w:rPr>
            </w:pPr>
            <w:r w:rsidRPr="00626AE0">
              <w:rPr>
                <w:rFonts w:cs="Arial"/>
                <w:color w:val="000000"/>
                <w:sz w:val="16"/>
                <w:szCs w:val="16"/>
              </w:rPr>
              <w:t>Malaysia hosted the Forum and the international speaker came from Brazil</w:t>
            </w:r>
            <w:r w:rsidRPr="003C18E2">
              <w:rPr>
                <w:rFonts w:cs="Arial"/>
                <w:color w:val="000000"/>
                <w:sz w:val="16"/>
                <w:szCs w:val="16"/>
              </w:rPr>
              <w:t xml:space="preserve">/ </w:t>
            </w:r>
            <w:r w:rsidRPr="00626AE0">
              <w:rPr>
                <w:rFonts w:cs="Arial"/>
                <w:color w:val="000000"/>
                <w:sz w:val="16"/>
                <w:szCs w:val="16"/>
              </w:rPr>
              <w:t>400 participants from China (1), European Union (1), France (1), Japan (5), Malaysia (host - 381), Philippines(1), Singapore (2), Thailand (3), United Kingdom (1), United States</w:t>
            </w:r>
            <w:r>
              <w:rPr>
                <w:rFonts w:cs="Arial"/>
                <w:color w:val="000000"/>
                <w:sz w:val="16"/>
                <w:szCs w:val="16"/>
              </w:rPr>
              <w:t xml:space="preserve"> of America</w:t>
            </w:r>
            <w:r w:rsidRPr="00626AE0">
              <w:rPr>
                <w:rFonts w:cs="Arial"/>
                <w:color w:val="000000"/>
                <w:sz w:val="16"/>
                <w:szCs w:val="16"/>
              </w:rPr>
              <w:t xml:space="preserve"> (2) and Viet Nam (1) </w:t>
            </w:r>
          </w:p>
        </w:tc>
        <w:tc>
          <w:tcPr>
            <w:tcW w:w="4110" w:type="dxa"/>
            <w:gridSpan w:val="2"/>
            <w:tcBorders>
              <w:bottom w:val="single" w:sz="4" w:space="0" w:color="000000"/>
            </w:tcBorders>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provide expertise on IP valuation, IP financing and the development of a sustainable IP ecosystem</w:t>
            </w:r>
          </w:p>
        </w:tc>
      </w:tr>
      <w:tr w:rsidR="005703CF" w:rsidRPr="00774D44" w:rsidTr="002249F8">
        <w:trPr>
          <w:cantSplit/>
          <w:trHeight w:val="315"/>
        </w:trPr>
        <w:tc>
          <w:tcPr>
            <w:tcW w:w="9072" w:type="dxa"/>
            <w:gridSpan w:val="5"/>
            <w:tcBorders>
              <w:top w:val="single" w:sz="4" w:space="0" w:color="000000"/>
              <w:bottom w:val="single" w:sz="4" w:space="0" w:color="000000"/>
            </w:tcBorders>
            <w:shd w:val="clear" w:color="auto" w:fill="CCFFFF"/>
          </w:tcPr>
          <w:p w:rsidR="005703CF" w:rsidRPr="00774D44" w:rsidRDefault="005703CF" w:rsidP="002249F8">
            <w:pPr>
              <w:keepNext/>
              <w:keepLines/>
              <w:tabs>
                <w:tab w:val="left" w:pos="1740"/>
              </w:tabs>
              <w:spacing w:before="120" w:after="120"/>
              <w:ind w:left="1740" w:hanging="1740"/>
              <w:rPr>
                <w:rFonts w:cs="Arial"/>
                <w:color w:val="000000"/>
                <w:sz w:val="16"/>
                <w:szCs w:val="16"/>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t>IP-based tools and training are used to enhance knowledge transfer from developed to developing countries, particularly least developed countries, to address global challenges</w:t>
            </w:r>
          </w:p>
        </w:tc>
      </w:tr>
      <w:tr w:rsidR="005703CF" w:rsidRPr="00774D44" w:rsidTr="002249F8">
        <w:trPr>
          <w:cantSplit/>
          <w:trHeight w:val="429"/>
        </w:trPr>
        <w:tc>
          <w:tcPr>
            <w:tcW w:w="1843" w:type="dxa"/>
            <w:tcBorders>
              <w:top w:val="single" w:sz="4" w:space="0" w:color="000000"/>
            </w:tcBorders>
            <w:vAlign w:val="center"/>
          </w:tcPr>
          <w:p w:rsidR="005703CF" w:rsidRPr="002B7DE5" w:rsidRDefault="005703CF" w:rsidP="002249F8">
            <w:pPr>
              <w:keepNext/>
              <w:keepLines/>
              <w:spacing w:before="120" w:after="120"/>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Date</w:t>
            </w:r>
          </w:p>
        </w:tc>
        <w:tc>
          <w:tcPr>
            <w:tcW w:w="1985" w:type="dxa"/>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vAlign w:val="center"/>
          </w:tcPr>
          <w:p w:rsidR="005703CF" w:rsidRPr="002B7DE5" w:rsidRDefault="005703CF" w:rsidP="002249F8">
            <w:pPr>
              <w:keepNext/>
              <w:keepLines/>
              <w:spacing w:before="120" w:after="120"/>
              <w:rPr>
                <w:rFonts w:cs="Arial"/>
                <w:sz w:val="16"/>
                <w:szCs w:val="16"/>
              </w:rPr>
            </w:pPr>
            <w:r w:rsidRPr="002B7DE5">
              <w:rPr>
                <w:rFonts w:cs="Arial"/>
                <w:b/>
                <w:bCs/>
                <w:sz w:val="16"/>
                <w:szCs w:val="16"/>
              </w:rPr>
              <w:t>Purpose(s)/Description(s)</w:t>
            </w:r>
          </w:p>
        </w:tc>
      </w:tr>
      <w:tr w:rsidR="005703CF" w:rsidRPr="00774D44" w:rsidTr="002249F8">
        <w:trPr>
          <w:cantSplit/>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Hosting arrangements for African biomedical scientists in research organizations outside of Africa</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to December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Cameroon, Egypt, Ghana, Nigeria and South Africa (hosting institutions are in India, Switzerland and the United States of America)</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The purpose of the hosting arrangements is to:  </w:t>
            </w:r>
            <w:r w:rsidRPr="0096583B">
              <w:rPr>
                <w:rFonts w:cs="Arial"/>
                <w:color w:val="000000"/>
                <w:sz w:val="16"/>
                <w:szCs w:val="16"/>
              </w:rPr>
              <w:t>(i)</w:t>
            </w:r>
            <w:r>
              <w:rPr>
                <w:rFonts w:cs="Arial"/>
                <w:color w:val="000000"/>
                <w:sz w:val="16"/>
                <w:szCs w:val="16"/>
              </w:rPr>
              <w:t xml:space="preserve"> promote the effective use of </w:t>
            </w:r>
            <w:r w:rsidRPr="0096583B">
              <w:rPr>
                <w:rFonts w:cs="Arial"/>
                <w:color w:val="000000"/>
                <w:sz w:val="16"/>
                <w:szCs w:val="16"/>
              </w:rPr>
              <w:t>IP to address a global health challenge (</w:t>
            </w:r>
            <w:r>
              <w:rPr>
                <w:rFonts w:cs="Arial"/>
                <w:color w:val="000000"/>
                <w:sz w:val="16"/>
                <w:szCs w:val="16"/>
              </w:rPr>
              <w:t>n</w:t>
            </w:r>
            <w:r w:rsidRPr="0096583B">
              <w:rPr>
                <w:rFonts w:cs="Arial"/>
                <w:color w:val="000000"/>
                <w:sz w:val="16"/>
                <w:szCs w:val="16"/>
              </w:rPr>
              <w:t xml:space="preserve">eglected </w:t>
            </w:r>
            <w:r>
              <w:rPr>
                <w:rFonts w:cs="Arial"/>
                <w:color w:val="000000"/>
                <w:sz w:val="16"/>
                <w:szCs w:val="16"/>
              </w:rPr>
              <w:t>t</w:t>
            </w:r>
            <w:r w:rsidRPr="0096583B">
              <w:rPr>
                <w:rFonts w:cs="Arial"/>
                <w:color w:val="000000"/>
                <w:sz w:val="16"/>
                <w:szCs w:val="16"/>
              </w:rPr>
              <w:t xml:space="preserve">ropical </w:t>
            </w:r>
            <w:r>
              <w:rPr>
                <w:rFonts w:cs="Arial"/>
                <w:color w:val="000000"/>
                <w:sz w:val="16"/>
                <w:szCs w:val="16"/>
              </w:rPr>
              <w:t>d</w:t>
            </w:r>
            <w:r w:rsidRPr="0096583B">
              <w:rPr>
                <w:rFonts w:cs="Arial"/>
                <w:color w:val="000000"/>
                <w:sz w:val="16"/>
                <w:szCs w:val="16"/>
              </w:rPr>
              <w:t>iseases)</w:t>
            </w:r>
            <w:r>
              <w:rPr>
                <w:rFonts w:cs="Arial"/>
                <w:color w:val="000000"/>
                <w:sz w:val="16"/>
                <w:szCs w:val="16"/>
              </w:rPr>
              <w:t>,</w:t>
            </w:r>
            <w:r w:rsidRPr="0096583B">
              <w:rPr>
                <w:rFonts w:cs="Arial"/>
                <w:color w:val="000000"/>
                <w:sz w:val="16"/>
                <w:szCs w:val="16"/>
              </w:rPr>
              <w:t xml:space="preserve"> which affects many LDCs</w:t>
            </w:r>
            <w:r>
              <w:rPr>
                <w:rFonts w:cs="Arial"/>
                <w:color w:val="000000"/>
                <w:sz w:val="16"/>
                <w:szCs w:val="16"/>
              </w:rPr>
              <w:t xml:space="preserve">; </w:t>
            </w:r>
            <w:r w:rsidRPr="0096583B">
              <w:rPr>
                <w:rFonts w:cs="Arial"/>
                <w:color w:val="000000"/>
                <w:sz w:val="16"/>
                <w:szCs w:val="16"/>
              </w:rPr>
              <w:t>and (ii) promote knowledge transfer for scientists, particularly from LDCs</w:t>
            </w:r>
            <w:r>
              <w:rPr>
                <w:rFonts w:cs="Arial"/>
                <w:color w:val="000000"/>
                <w:sz w:val="16"/>
                <w:szCs w:val="16"/>
              </w:rPr>
              <w:t xml:space="preserve">.  </w:t>
            </w:r>
            <w:r w:rsidRPr="0096583B">
              <w:rPr>
                <w:rFonts w:cs="Arial"/>
                <w:color w:val="000000"/>
                <w:sz w:val="16"/>
                <w:szCs w:val="16"/>
              </w:rPr>
              <w:t xml:space="preserve">Customized research programs were developed to ensure </w:t>
            </w:r>
            <w:r>
              <w:rPr>
                <w:rFonts w:cs="Arial"/>
                <w:color w:val="000000"/>
                <w:sz w:val="16"/>
                <w:szCs w:val="16"/>
              </w:rPr>
              <w:t xml:space="preserve">that </w:t>
            </w:r>
            <w:r w:rsidRPr="0096583B">
              <w:rPr>
                <w:rFonts w:cs="Arial"/>
                <w:color w:val="000000"/>
                <w:sz w:val="16"/>
                <w:szCs w:val="16"/>
              </w:rPr>
              <w:t xml:space="preserve">participants upgrade research skills and are able to make a significant contribution in their home countries to research on </w:t>
            </w:r>
            <w:r>
              <w:rPr>
                <w:rFonts w:cs="Arial"/>
                <w:color w:val="000000"/>
                <w:sz w:val="16"/>
                <w:szCs w:val="16"/>
              </w:rPr>
              <w:t>n</w:t>
            </w:r>
            <w:r w:rsidRPr="0096583B">
              <w:rPr>
                <w:rFonts w:cs="Arial"/>
                <w:color w:val="000000"/>
                <w:sz w:val="16"/>
                <w:szCs w:val="16"/>
              </w:rPr>
              <w:t xml:space="preserve">eglected </w:t>
            </w:r>
            <w:r>
              <w:rPr>
                <w:rFonts w:cs="Arial"/>
                <w:color w:val="000000"/>
                <w:sz w:val="16"/>
                <w:szCs w:val="16"/>
              </w:rPr>
              <w:t>t</w:t>
            </w:r>
            <w:r w:rsidRPr="0096583B">
              <w:rPr>
                <w:rFonts w:cs="Arial"/>
                <w:color w:val="000000"/>
                <w:sz w:val="16"/>
                <w:szCs w:val="16"/>
              </w:rPr>
              <w:t xml:space="preserve">ropical </w:t>
            </w:r>
            <w:r>
              <w:rPr>
                <w:rFonts w:cs="Arial"/>
                <w:color w:val="000000"/>
                <w:sz w:val="16"/>
                <w:szCs w:val="16"/>
              </w:rPr>
              <w:t>d</w:t>
            </w:r>
            <w:r w:rsidRPr="0096583B">
              <w:rPr>
                <w:rFonts w:cs="Arial"/>
                <w:color w:val="000000"/>
                <w:sz w:val="16"/>
                <w:szCs w:val="16"/>
              </w:rPr>
              <w:t>iseases</w:t>
            </w:r>
          </w:p>
        </w:tc>
      </w:tr>
      <w:tr w:rsidR="005703CF" w:rsidRPr="00774D44" w:rsidTr="002249F8">
        <w:trPr>
          <w:cantSplit/>
          <w:trHeight w:val="315"/>
        </w:trPr>
        <w:tc>
          <w:tcPr>
            <w:tcW w:w="1843" w:type="dxa"/>
          </w:tcPr>
          <w:p w:rsidR="005703CF" w:rsidRPr="00774D44" w:rsidRDefault="005703CF" w:rsidP="002249F8">
            <w:pPr>
              <w:spacing w:before="120" w:after="120"/>
              <w:rPr>
                <w:rFonts w:cs="Arial"/>
                <w:color w:val="000000"/>
                <w:sz w:val="16"/>
                <w:szCs w:val="16"/>
              </w:rPr>
            </w:pPr>
            <w:r w:rsidRPr="00D566BF">
              <w:rPr>
                <w:rFonts w:cs="Arial"/>
                <w:sz w:val="16"/>
                <w:szCs w:val="16"/>
              </w:rPr>
              <w:t>National Workshop on Intellectual Property and Technology Management for Universities and Research and Development</w:t>
            </w:r>
            <w:r>
              <w:rPr>
                <w:rFonts w:cs="Arial"/>
                <w:sz w:val="16"/>
                <w:szCs w:val="16"/>
              </w:rPr>
              <w:t xml:space="preserve"> (R&amp;D)</w:t>
            </w:r>
            <w:r w:rsidRPr="00D566BF">
              <w:rPr>
                <w:rFonts w:cs="Arial"/>
                <w:sz w:val="16"/>
                <w:szCs w:val="16"/>
              </w:rPr>
              <w:t xml:space="preserve"> </w:t>
            </w:r>
            <w:r>
              <w:rPr>
                <w:rFonts w:cs="Arial"/>
                <w:sz w:val="16"/>
                <w:szCs w:val="16"/>
              </w:rPr>
              <w:t>In</w:t>
            </w:r>
            <w:r w:rsidRPr="00D566BF">
              <w:rPr>
                <w:rFonts w:cs="Arial"/>
                <w:sz w:val="16"/>
                <w:szCs w:val="16"/>
              </w:rPr>
              <w:t>stitutions</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sidRPr="00D566BF">
              <w:rPr>
                <w:rFonts w:cs="Arial"/>
                <w:sz w:val="16"/>
                <w:szCs w:val="16"/>
              </w:rPr>
              <w:t>May 20 to 23,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sidRPr="00D566BF">
              <w:rPr>
                <w:rFonts w:cs="Arial"/>
                <w:color w:val="000000"/>
                <w:sz w:val="16"/>
                <w:szCs w:val="16"/>
              </w:rPr>
              <w:t>Indonesia</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sz w:val="16"/>
                <w:szCs w:val="16"/>
              </w:rPr>
              <w:t>To develop</w:t>
            </w:r>
            <w:r w:rsidRPr="00D566BF">
              <w:rPr>
                <w:rFonts w:cs="Arial"/>
                <w:sz w:val="16"/>
                <w:szCs w:val="16"/>
              </w:rPr>
              <w:t xml:space="preserve"> skills on IPR management and technology transfer for national professionals from public universities and R&amp;D institutions</w:t>
            </w:r>
          </w:p>
        </w:tc>
      </w:tr>
      <w:tr w:rsidR="005703CF" w:rsidRPr="00774D44" w:rsidTr="002249F8">
        <w:trPr>
          <w:cantSplit/>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sidRPr="00B357EF">
              <w:rPr>
                <w:rFonts w:cs="Arial"/>
                <w:sz w:val="16"/>
                <w:szCs w:val="16"/>
              </w:rPr>
              <w:lastRenderedPageBreak/>
              <w:t>National Tra</w:t>
            </w:r>
            <w:r>
              <w:rPr>
                <w:rFonts w:cs="Arial"/>
                <w:sz w:val="16"/>
                <w:szCs w:val="16"/>
              </w:rPr>
              <w:t xml:space="preserve">ining on </w:t>
            </w:r>
            <w:r w:rsidRPr="00B357EF">
              <w:rPr>
                <w:rFonts w:cs="Arial"/>
                <w:sz w:val="16"/>
                <w:szCs w:val="16"/>
              </w:rPr>
              <w:t>Successful Technology Transfer</w:t>
            </w:r>
          </w:p>
        </w:tc>
        <w:tc>
          <w:tcPr>
            <w:tcW w:w="1134" w:type="dxa"/>
          </w:tcPr>
          <w:p w:rsidR="005703CF" w:rsidRPr="00774D44" w:rsidRDefault="005703CF" w:rsidP="002249F8">
            <w:pPr>
              <w:spacing w:before="120" w:after="120"/>
              <w:rPr>
                <w:rFonts w:cs="Arial"/>
                <w:color w:val="000000"/>
                <w:sz w:val="16"/>
                <w:szCs w:val="16"/>
              </w:rPr>
            </w:pPr>
            <w:r>
              <w:rPr>
                <w:rFonts w:cs="Arial"/>
                <w:sz w:val="16"/>
                <w:szCs w:val="16"/>
              </w:rPr>
              <w:t>May</w:t>
            </w:r>
            <w:r w:rsidRPr="00B357EF">
              <w:rPr>
                <w:rFonts w:cs="Arial"/>
                <w:sz w:val="16"/>
                <w:szCs w:val="16"/>
              </w:rPr>
              <w:t xml:space="preserve"> 28 to 31, 2013</w:t>
            </w:r>
          </w:p>
        </w:tc>
        <w:tc>
          <w:tcPr>
            <w:tcW w:w="1985"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Thailand</w:t>
            </w:r>
          </w:p>
        </w:tc>
        <w:tc>
          <w:tcPr>
            <w:tcW w:w="4110" w:type="dxa"/>
            <w:gridSpan w:val="2"/>
          </w:tcPr>
          <w:p w:rsidR="005703CF" w:rsidRPr="00774D44" w:rsidRDefault="005703CF" w:rsidP="002249F8">
            <w:pPr>
              <w:autoSpaceDE w:val="0"/>
              <w:autoSpaceDN w:val="0"/>
              <w:adjustRightInd w:val="0"/>
              <w:spacing w:before="120" w:after="120"/>
              <w:rPr>
                <w:rFonts w:cs="Arial"/>
                <w:color w:val="000000"/>
                <w:sz w:val="16"/>
                <w:szCs w:val="16"/>
              </w:rPr>
            </w:pPr>
            <w:r w:rsidRPr="00D566BF">
              <w:rPr>
                <w:rFonts w:cs="Arial"/>
                <w:sz w:val="16"/>
                <w:szCs w:val="16"/>
              </w:rPr>
              <w:t>To assist Thailand to develop human capital with necessary co</w:t>
            </w:r>
            <w:r>
              <w:rPr>
                <w:rFonts w:cs="Arial"/>
                <w:sz w:val="16"/>
                <w:szCs w:val="16"/>
              </w:rPr>
              <w:t>mpetences in the areas relevant</w:t>
            </w:r>
            <w:r w:rsidRPr="00D566BF">
              <w:rPr>
                <w:rFonts w:cs="Arial"/>
                <w:sz w:val="16"/>
                <w:szCs w:val="16"/>
              </w:rPr>
              <w:t xml:space="preserve"> for technology transfer</w:t>
            </w:r>
            <w:r>
              <w:rPr>
                <w:rFonts w:cs="Arial"/>
                <w:sz w:val="16"/>
                <w:szCs w:val="16"/>
              </w:rPr>
              <w:t>,</w:t>
            </w:r>
            <w:r w:rsidRPr="00D566BF">
              <w:rPr>
                <w:rFonts w:cs="Arial"/>
                <w:sz w:val="16"/>
                <w:szCs w:val="16"/>
              </w:rPr>
              <w:t xml:space="preserve"> such as using licensing agreement</w:t>
            </w:r>
            <w:r>
              <w:rPr>
                <w:rFonts w:cs="Arial"/>
                <w:sz w:val="16"/>
                <w:szCs w:val="16"/>
              </w:rPr>
              <w:t>s</w:t>
            </w:r>
            <w:r w:rsidRPr="00D566BF">
              <w:rPr>
                <w:rFonts w:cs="Arial"/>
                <w:sz w:val="16"/>
                <w:szCs w:val="16"/>
              </w:rPr>
              <w:t xml:space="preserve"> as a tool for transfer of technology</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sidRPr="00B357EF">
              <w:rPr>
                <w:rFonts w:cs="Arial"/>
                <w:sz w:val="16"/>
                <w:szCs w:val="16"/>
              </w:rPr>
              <w:t>National Worksho</w:t>
            </w:r>
            <w:r>
              <w:rPr>
                <w:rFonts w:cs="Arial"/>
                <w:sz w:val="16"/>
                <w:szCs w:val="16"/>
              </w:rPr>
              <w:t xml:space="preserve">p on Intellectual Property </w:t>
            </w:r>
            <w:r w:rsidRPr="00B357EF">
              <w:rPr>
                <w:rFonts w:cs="Arial"/>
                <w:sz w:val="16"/>
                <w:szCs w:val="16"/>
              </w:rPr>
              <w:t>Valuation</w:t>
            </w:r>
          </w:p>
        </w:tc>
        <w:tc>
          <w:tcPr>
            <w:tcW w:w="1134" w:type="dxa"/>
          </w:tcPr>
          <w:p w:rsidR="005703CF" w:rsidRPr="00B357EF" w:rsidRDefault="005703CF" w:rsidP="002249F8">
            <w:pPr>
              <w:spacing w:before="120" w:after="120"/>
              <w:rPr>
                <w:rFonts w:cs="Arial"/>
                <w:sz w:val="16"/>
                <w:szCs w:val="16"/>
              </w:rPr>
            </w:pPr>
            <w:r w:rsidRPr="00B357EF">
              <w:rPr>
                <w:rFonts w:cs="Arial"/>
                <w:sz w:val="16"/>
                <w:szCs w:val="16"/>
              </w:rPr>
              <w:t>June 5 to 7,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Viet Nam (Hanoi)</w:t>
            </w:r>
          </w:p>
        </w:tc>
        <w:tc>
          <w:tcPr>
            <w:tcW w:w="4110" w:type="dxa"/>
            <w:gridSpan w:val="2"/>
          </w:tcPr>
          <w:p w:rsidR="005703CF" w:rsidRPr="00D566BF" w:rsidRDefault="005703CF" w:rsidP="002249F8">
            <w:pPr>
              <w:autoSpaceDE w:val="0"/>
              <w:autoSpaceDN w:val="0"/>
              <w:adjustRightInd w:val="0"/>
              <w:spacing w:before="120" w:after="120"/>
              <w:rPr>
                <w:rFonts w:cs="Arial"/>
                <w:sz w:val="16"/>
                <w:szCs w:val="16"/>
              </w:rPr>
            </w:pPr>
            <w:r w:rsidRPr="00A52F48">
              <w:rPr>
                <w:rFonts w:cs="Arial"/>
                <w:sz w:val="16"/>
                <w:szCs w:val="16"/>
              </w:rPr>
              <w:t xml:space="preserve">To support Viet Nam to develop </w:t>
            </w:r>
            <w:r>
              <w:rPr>
                <w:rFonts w:cs="Arial"/>
                <w:sz w:val="16"/>
                <w:szCs w:val="16"/>
              </w:rPr>
              <w:t>a</w:t>
            </w:r>
            <w:r w:rsidRPr="00A52F48">
              <w:rPr>
                <w:rFonts w:cs="Arial"/>
                <w:sz w:val="16"/>
                <w:szCs w:val="16"/>
              </w:rPr>
              <w:t xml:space="preserve"> critical mass of technology management and IP professionals with necessary skills</w:t>
            </w:r>
            <w:r>
              <w:rPr>
                <w:rFonts w:cs="Arial"/>
                <w:sz w:val="16"/>
                <w:szCs w:val="16"/>
              </w:rPr>
              <w:t xml:space="preserve"> in the area of IP valuation</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sidRPr="00B357EF">
              <w:rPr>
                <w:rFonts w:cs="Arial"/>
                <w:sz w:val="16"/>
                <w:szCs w:val="16"/>
              </w:rPr>
              <w:t>National Worksho</w:t>
            </w:r>
            <w:r>
              <w:rPr>
                <w:rFonts w:cs="Arial"/>
                <w:sz w:val="16"/>
                <w:szCs w:val="16"/>
              </w:rPr>
              <w:t xml:space="preserve">p on Intellectual Property </w:t>
            </w:r>
            <w:r w:rsidRPr="00B357EF">
              <w:rPr>
                <w:rFonts w:cs="Arial"/>
                <w:sz w:val="16"/>
                <w:szCs w:val="16"/>
              </w:rPr>
              <w:t>Valuation</w:t>
            </w:r>
          </w:p>
        </w:tc>
        <w:tc>
          <w:tcPr>
            <w:tcW w:w="1134" w:type="dxa"/>
          </w:tcPr>
          <w:p w:rsidR="005703CF" w:rsidRPr="00B357EF" w:rsidRDefault="005703CF" w:rsidP="002249F8">
            <w:pPr>
              <w:autoSpaceDE w:val="0"/>
              <w:autoSpaceDN w:val="0"/>
              <w:adjustRightInd w:val="0"/>
              <w:spacing w:before="120" w:after="120"/>
              <w:rPr>
                <w:rFonts w:cs="Arial"/>
                <w:sz w:val="16"/>
                <w:szCs w:val="16"/>
              </w:rPr>
            </w:pPr>
            <w:r>
              <w:rPr>
                <w:rFonts w:cs="Arial"/>
                <w:color w:val="000000"/>
                <w:sz w:val="16"/>
                <w:szCs w:val="16"/>
              </w:rPr>
              <w:t>June 10 to 12</w:t>
            </w:r>
            <w:r w:rsidRPr="00B357EF">
              <w:rPr>
                <w:rFonts w:cs="Arial"/>
                <w:color w:val="000000"/>
                <w:sz w:val="16"/>
                <w:szCs w:val="16"/>
              </w:rPr>
              <w:t>,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Viet Nam </w:t>
            </w:r>
            <w:r>
              <w:rPr>
                <w:rFonts w:cs="Arial"/>
                <w:color w:val="000000"/>
                <w:sz w:val="16"/>
                <w:szCs w:val="16"/>
              </w:rPr>
              <w:br/>
              <w:t>(Ho Chi Minh City)</w:t>
            </w:r>
          </w:p>
        </w:tc>
        <w:tc>
          <w:tcPr>
            <w:tcW w:w="4110" w:type="dxa"/>
            <w:gridSpan w:val="2"/>
          </w:tcPr>
          <w:p w:rsidR="005703CF" w:rsidRPr="00D566BF" w:rsidRDefault="005703CF" w:rsidP="002249F8">
            <w:pPr>
              <w:autoSpaceDE w:val="0"/>
              <w:autoSpaceDN w:val="0"/>
              <w:adjustRightInd w:val="0"/>
              <w:spacing w:before="120" w:after="120"/>
              <w:rPr>
                <w:rFonts w:cs="Arial"/>
                <w:sz w:val="16"/>
                <w:szCs w:val="16"/>
              </w:rPr>
            </w:pPr>
            <w:r w:rsidRPr="00A52F48">
              <w:rPr>
                <w:rFonts w:cs="Arial"/>
                <w:sz w:val="16"/>
                <w:szCs w:val="16"/>
              </w:rPr>
              <w:t xml:space="preserve">To support Viet Nam develop </w:t>
            </w:r>
            <w:r>
              <w:rPr>
                <w:rFonts w:cs="Arial"/>
                <w:sz w:val="16"/>
                <w:szCs w:val="16"/>
              </w:rPr>
              <w:t>a</w:t>
            </w:r>
            <w:r w:rsidRPr="00A52F48">
              <w:rPr>
                <w:rFonts w:cs="Arial"/>
                <w:sz w:val="16"/>
                <w:szCs w:val="16"/>
              </w:rPr>
              <w:t xml:space="preserve"> critical mass of technology management and IP professionals with necessary skills</w:t>
            </w:r>
            <w:r>
              <w:rPr>
                <w:rFonts w:cs="Arial"/>
                <w:sz w:val="16"/>
                <w:szCs w:val="16"/>
              </w:rPr>
              <w:t xml:space="preserve"> in the area of IP valuation</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Pr>
                <w:rFonts w:cs="Arial"/>
                <w:color w:val="000000"/>
                <w:sz w:val="16"/>
                <w:szCs w:val="16"/>
              </w:rPr>
              <w:t>Translation of WIPO Patent Drafting Manual into Vietnamese</w:t>
            </w:r>
          </w:p>
        </w:tc>
        <w:tc>
          <w:tcPr>
            <w:tcW w:w="1134" w:type="dxa"/>
          </w:tcPr>
          <w:p w:rsidR="005703CF" w:rsidRPr="00B357E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September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Viet Nam</w:t>
            </w:r>
          </w:p>
        </w:tc>
        <w:tc>
          <w:tcPr>
            <w:tcW w:w="4110" w:type="dxa"/>
            <w:gridSpan w:val="2"/>
          </w:tcPr>
          <w:p w:rsidR="005703CF" w:rsidRPr="00A52F48" w:rsidRDefault="005703CF" w:rsidP="002249F8">
            <w:pPr>
              <w:autoSpaceDE w:val="0"/>
              <w:autoSpaceDN w:val="0"/>
              <w:adjustRightInd w:val="0"/>
              <w:spacing w:before="120" w:after="120"/>
              <w:rPr>
                <w:rFonts w:cs="Arial"/>
                <w:sz w:val="16"/>
                <w:szCs w:val="16"/>
              </w:rPr>
            </w:pPr>
            <w:r>
              <w:rPr>
                <w:rFonts w:cs="Arial"/>
                <w:color w:val="000000"/>
                <w:sz w:val="16"/>
                <w:szCs w:val="16"/>
              </w:rPr>
              <w:t>To enable further dissemination of knowledge through use of the Manual in training provided by participants of the WIPO FIT course (see below) in their working environment</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sidRPr="00B357EF">
              <w:rPr>
                <w:rFonts w:cs="Arial"/>
                <w:sz w:val="16"/>
                <w:szCs w:val="16"/>
              </w:rPr>
              <w:t>National Workshop on Patent Drafting</w:t>
            </w:r>
          </w:p>
        </w:tc>
        <w:tc>
          <w:tcPr>
            <w:tcW w:w="1134" w:type="dxa"/>
          </w:tcPr>
          <w:p w:rsidR="005703CF" w:rsidRPr="00B357EF" w:rsidRDefault="005703CF" w:rsidP="002249F8">
            <w:pPr>
              <w:spacing w:before="120" w:after="120"/>
              <w:rPr>
                <w:rFonts w:cs="Arial"/>
                <w:sz w:val="16"/>
                <w:szCs w:val="16"/>
              </w:rPr>
            </w:pPr>
            <w:r w:rsidRPr="00B357EF">
              <w:rPr>
                <w:rFonts w:cs="Arial"/>
                <w:sz w:val="16"/>
                <w:szCs w:val="16"/>
              </w:rPr>
              <w:t>September 9 to 13, 2013</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Viet Nam</w:t>
            </w:r>
          </w:p>
        </w:tc>
        <w:tc>
          <w:tcPr>
            <w:tcW w:w="4110" w:type="dxa"/>
            <w:gridSpan w:val="2"/>
          </w:tcPr>
          <w:p w:rsidR="005703CF" w:rsidRPr="00D566BF" w:rsidRDefault="005703CF" w:rsidP="002249F8">
            <w:pPr>
              <w:autoSpaceDE w:val="0"/>
              <w:autoSpaceDN w:val="0"/>
              <w:adjustRightInd w:val="0"/>
              <w:spacing w:before="120" w:after="120"/>
              <w:rPr>
                <w:rFonts w:cs="Arial"/>
                <w:sz w:val="16"/>
                <w:szCs w:val="16"/>
              </w:rPr>
            </w:pPr>
            <w:r>
              <w:rPr>
                <w:rFonts w:cs="Arial"/>
                <w:sz w:val="16"/>
                <w:szCs w:val="16"/>
              </w:rPr>
              <w:t>T</w:t>
            </w:r>
            <w:r w:rsidRPr="00DB7551">
              <w:rPr>
                <w:rFonts w:cs="Arial"/>
                <w:sz w:val="16"/>
                <w:szCs w:val="16"/>
              </w:rPr>
              <w:t>o provide strategic knowledge of the patent system and practical training on the drafting of patent applications</w:t>
            </w:r>
            <w:r>
              <w:rPr>
                <w:rFonts w:cs="Arial"/>
                <w:sz w:val="16"/>
                <w:szCs w:val="16"/>
              </w:rPr>
              <w:t xml:space="preserve">, </w:t>
            </w:r>
            <w:r w:rsidRPr="00DB7551">
              <w:rPr>
                <w:rFonts w:cs="Arial"/>
                <w:sz w:val="16"/>
                <w:szCs w:val="16"/>
              </w:rPr>
              <w:t>particularly on the different strategies of designing claims</w:t>
            </w:r>
          </w:p>
        </w:tc>
      </w:tr>
      <w:tr w:rsidR="005703CF" w:rsidRPr="00774D44" w:rsidTr="002249F8">
        <w:trPr>
          <w:cantSplit/>
          <w:trHeight w:val="315"/>
        </w:trPr>
        <w:tc>
          <w:tcPr>
            <w:tcW w:w="1843" w:type="dxa"/>
          </w:tcPr>
          <w:p w:rsidR="005703CF" w:rsidRPr="00B357EF" w:rsidRDefault="005703CF" w:rsidP="002249F8">
            <w:pPr>
              <w:autoSpaceDE w:val="0"/>
              <w:autoSpaceDN w:val="0"/>
              <w:adjustRightInd w:val="0"/>
              <w:spacing w:before="120" w:after="120"/>
              <w:rPr>
                <w:rFonts w:cs="Arial"/>
                <w:sz w:val="16"/>
                <w:szCs w:val="16"/>
              </w:rPr>
            </w:pPr>
            <w:r>
              <w:rPr>
                <w:rFonts w:cs="Arial"/>
                <w:color w:val="000000"/>
                <w:sz w:val="16"/>
                <w:szCs w:val="16"/>
              </w:rPr>
              <w:t>“Tool Box”</w:t>
            </w:r>
          </w:p>
        </w:tc>
        <w:tc>
          <w:tcPr>
            <w:tcW w:w="1134" w:type="dxa"/>
          </w:tcPr>
          <w:p w:rsidR="005703CF" w:rsidRPr="00B357EF" w:rsidRDefault="005703CF" w:rsidP="002249F8">
            <w:pPr>
              <w:spacing w:before="120" w:after="120"/>
              <w:rPr>
                <w:rFonts w:cs="Arial"/>
                <w:sz w:val="16"/>
                <w:szCs w:val="16"/>
              </w:rPr>
            </w:pPr>
            <w:r>
              <w:rPr>
                <w:rFonts w:cs="Arial"/>
                <w:color w:val="000000"/>
                <w:sz w:val="16"/>
                <w:szCs w:val="16"/>
              </w:rPr>
              <w:t>October 2013 to April 2014</w:t>
            </w:r>
          </w:p>
        </w:tc>
        <w:tc>
          <w:tcPr>
            <w:tcW w:w="1985"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All FIT beneficiary countries</w:t>
            </w:r>
          </w:p>
        </w:tc>
        <w:tc>
          <w:tcPr>
            <w:tcW w:w="4110" w:type="dxa"/>
            <w:gridSpan w:val="2"/>
          </w:tcPr>
          <w:p w:rsidR="005703CF" w:rsidRDefault="005703CF" w:rsidP="002249F8">
            <w:pPr>
              <w:autoSpaceDE w:val="0"/>
              <w:autoSpaceDN w:val="0"/>
              <w:adjustRightInd w:val="0"/>
              <w:spacing w:before="120" w:after="120"/>
              <w:rPr>
                <w:rFonts w:cs="Arial"/>
                <w:sz w:val="16"/>
                <w:szCs w:val="16"/>
              </w:rPr>
            </w:pPr>
            <w:r>
              <w:rPr>
                <w:rFonts w:cs="Arial"/>
                <w:sz w:val="16"/>
                <w:szCs w:val="16"/>
              </w:rPr>
              <w:t>To develop models of the IP-</w:t>
            </w:r>
            <w:r w:rsidRPr="004A5A77">
              <w:rPr>
                <w:rFonts w:cs="Arial"/>
                <w:sz w:val="16"/>
                <w:szCs w:val="16"/>
              </w:rPr>
              <w:t xml:space="preserve">based agreements that </w:t>
            </w:r>
            <w:r>
              <w:rPr>
                <w:rFonts w:cs="Arial"/>
                <w:sz w:val="16"/>
                <w:szCs w:val="16"/>
              </w:rPr>
              <w:t>will facilitate collaboration between</w:t>
            </w:r>
            <w:r w:rsidRPr="004A5A77">
              <w:rPr>
                <w:rFonts w:cs="Arial"/>
                <w:sz w:val="16"/>
                <w:szCs w:val="16"/>
              </w:rPr>
              <w:t xml:space="preserve"> academic institutions in </w:t>
            </w:r>
            <w:r>
              <w:rPr>
                <w:rFonts w:cs="Arial"/>
                <w:sz w:val="16"/>
                <w:szCs w:val="16"/>
              </w:rPr>
              <w:t xml:space="preserve">the </w:t>
            </w:r>
            <w:r w:rsidRPr="004A5A77">
              <w:rPr>
                <w:rFonts w:cs="Arial"/>
                <w:sz w:val="16"/>
                <w:szCs w:val="16"/>
              </w:rPr>
              <w:t xml:space="preserve">Asia </w:t>
            </w:r>
            <w:r>
              <w:rPr>
                <w:rFonts w:cs="Arial"/>
                <w:sz w:val="16"/>
                <w:szCs w:val="16"/>
              </w:rPr>
              <w:t>Pacific r</w:t>
            </w:r>
            <w:r w:rsidRPr="004A5A77">
              <w:rPr>
                <w:rFonts w:cs="Arial"/>
                <w:sz w:val="16"/>
                <w:szCs w:val="16"/>
              </w:rPr>
              <w:t>egion</w:t>
            </w:r>
            <w:r>
              <w:rPr>
                <w:rFonts w:cs="Arial"/>
                <w:sz w:val="16"/>
                <w:szCs w:val="16"/>
              </w:rPr>
              <w:t>,</w:t>
            </w:r>
            <w:r w:rsidRPr="004A5A77">
              <w:rPr>
                <w:rFonts w:cs="Arial"/>
                <w:sz w:val="16"/>
                <w:szCs w:val="16"/>
              </w:rPr>
              <w:t xml:space="preserve"> in the research and business context</w:t>
            </w:r>
            <w:r>
              <w:rPr>
                <w:rFonts w:cs="Arial"/>
                <w:sz w:val="16"/>
                <w:szCs w:val="16"/>
              </w:rPr>
              <w:t>,</w:t>
            </w:r>
            <w:r w:rsidRPr="004A5A77">
              <w:rPr>
                <w:rFonts w:cs="Arial"/>
                <w:sz w:val="16"/>
                <w:szCs w:val="16"/>
              </w:rPr>
              <w:t xml:space="preserve"> with other R&amp;D institutions, consortia and industries</w:t>
            </w:r>
          </w:p>
        </w:tc>
      </w:tr>
      <w:tr w:rsidR="005703CF" w:rsidRPr="00774D44" w:rsidTr="002249F8">
        <w:trPr>
          <w:cantSplit/>
          <w:trHeight w:val="315"/>
        </w:trPr>
        <w:tc>
          <w:tcPr>
            <w:tcW w:w="1843" w:type="dxa"/>
            <w:tcBorders>
              <w:bottom w:val="single" w:sz="4" w:space="0" w:color="000000"/>
            </w:tcBorders>
          </w:tcPr>
          <w:p w:rsidR="005703CF" w:rsidRPr="00B357EF" w:rsidRDefault="005703CF" w:rsidP="002249F8">
            <w:pPr>
              <w:autoSpaceDE w:val="0"/>
              <w:autoSpaceDN w:val="0"/>
              <w:adjustRightInd w:val="0"/>
              <w:spacing w:before="120" w:after="120"/>
              <w:rPr>
                <w:rFonts w:cs="Arial"/>
                <w:sz w:val="16"/>
                <w:szCs w:val="16"/>
              </w:rPr>
            </w:pPr>
            <w:r w:rsidRPr="00B357EF">
              <w:rPr>
                <w:rFonts w:cs="Arial"/>
                <w:sz w:val="16"/>
                <w:szCs w:val="16"/>
              </w:rPr>
              <w:t>National Advanced Training Program on Successful Tech</w:t>
            </w:r>
            <w:r>
              <w:rPr>
                <w:rFonts w:cs="Arial"/>
                <w:sz w:val="16"/>
                <w:szCs w:val="16"/>
              </w:rPr>
              <w:t xml:space="preserve">nology Licensing </w:t>
            </w:r>
          </w:p>
        </w:tc>
        <w:tc>
          <w:tcPr>
            <w:tcW w:w="1134" w:type="dxa"/>
            <w:tcBorders>
              <w:bottom w:val="single" w:sz="4" w:space="0" w:color="000000"/>
            </w:tcBorders>
          </w:tcPr>
          <w:p w:rsidR="005703CF" w:rsidRPr="00B357EF" w:rsidRDefault="005703CF" w:rsidP="002249F8">
            <w:pPr>
              <w:spacing w:before="120" w:after="120"/>
              <w:rPr>
                <w:rFonts w:cs="Arial"/>
                <w:sz w:val="16"/>
                <w:szCs w:val="16"/>
              </w:rPr>
            </w:pPr>
            <w:r w:rsidRPr="00B357EF">
              <w:rPr>
                <w:rFonts w:cs="Arial"/>
                <w:sz w:val="16"/>
                <w:szCs w:val="16"/>
              </w:rPr>
              <w:t>November 4 to 7, 2013</w:t>
            </w:r>
          </w:p>
        </w:tc>
        <w:tc>
          <w:tcPr>
            <w:tcW w:w="1985" w:type="dxa"/>
            <w:tcBorders>
              <w:bottom w:val="single" w:sz="4" w:space="0" w:color="000000"/>
            </w:tcBorders>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Thailand</w:t>
            </w:r>
          </w:p>
        </w:tc>
        <w:tc>
          <w:tcPr>
            <w:tcW w:w="4110" w:type="dxa"/>
            <w:gridSpan w:val="2"/>
            <w:tcBorders>
              <w:bottom w:val="single" w:sz="4" w:space="0" w:color="000000"/>
            </w:tcBorders>
          </w:tcPr>
          <w:p w:rsidR="005703CF" w:rsidRPr="00D566BF" w:rsidRDefault="005703CF" w:rsidP="002249F8">
            <w:pPr>
              <w:autoSpaceDE w:val="0"/>
              <w:autoSpaceDN w:val="0"/>
              <w:adjustRightInd w:val="0"/>
              <w:spacing w:before="120" w:after="120"/>
              <w:rPr>
                <w:rFonts w:cs="Arial"/>
                <w:sz w:val="16"/>
                <w:szCs w:val="16"/>
              </w:rPr>
            </w:pPr>
            <w:r>
              <w:rPr>
                <w:rFonts w:cs="Arial"/>
                <w:sz w:val="16"/>
                <w:szCs w:val="16"/>
              </w:rPr>
              <w:t>T</w:t>
            </w:r>
            <w:r w:rsidRPr="00B357EF">
              <w:rPr>
                <w:rFonts w:cs="Arial"/>
                <w:sz w:val="16"/>
                <w:szCs w:val="16"/>
              </w:rPr>
              <w:t>o upg</w:t>
            </w:r>
            <w:r>
              <w:rPr>
                <w:rFonts w:cs="Arial"/>
                <w:sz w:val="16"/>
                <w:szCs w:val="16"/>
              </w:rPr>
              <w:t xml:space="preserve">rade knowledge and </w:t>
            </w:r>
            <w:r w:rsidRPr="00B357EF">
              <w:rPr>
                <w:rFonts w:cs="Arial"/>
                <w:sz w:val="16"/>
                <w:szCs w:val="16"/>
              </w:rPr>
              <w:t>skill</w:t>
            </w:r>
            <w:r>
              <w:rPr>
                <w:rFonts w:cs="Arial"/>
                <w:sz w:val="16"/>
                <w:szCs w:val="16"/>
              </w:rPr>
              <w:t>s of national professionals</w:t>
            </w:r>
            <w:r w:rsidRPr="00B357EF">
              <w:rPr>
                <w:rFonts w:cs="Arial"/>
                <w:sz w:val="16"/>
                <w:szCs w:val="16"/>
              </w:rPr>
              <w:t xml:space="preserve"> in the area of licensing, in particular in the application of IP valuation methods in the context of licensing negotiation and in </w:t>
            </w:r>
            <w:r>
              <w:rPr>
                <w:rFonts w:cs="Arial"/>
                <w:sz w:val="16"/>
                <w:szCs w:val="16"/>
              </w:rPr>
              <w:t xml:space="preserve">the </w:t>
            </w:r>
            <w:r w:rsidRPr="00B357EF">
              <w:rPr>
                <w:rFonts w:cs="Arial"/>
                <w:sz w:val="16"/>
                <w:szCs w:val="16"/>
              </w:rPr>
              <w:t>drafting of a</w:t>
            </w:r>
            <w:r>
              <w:rPr>
                <w:rFonts w:cs="Arial"/>
                <w:sz w:val="16"/>
                <w:szCs w:val="16"/>
              </w:rPr>
              <w:t xml:space="preserve"> </w:t>
            </w:r>
            <w:r w:rsidRPr="00B357EF">
              <w:rPr>
                <w:rFonts w:cs="Arial"/>
                <w:sz w:val="16"/>
                <w:szCs w:val="16"/>
              </w:rPr>
              <w:t>licensing agreement</w:t>
            </w:r>
          </w:p>
        </w:tc>
      </w:tr>
      <w:tr w:rsidR="005703CF" w:rsidRPr="00774D44" w:rsidTr="002249F8">
        <w:trPr>
          <w:cantSplit/>
          <w:trHeight w:val="315"/>
        </w:trPr>
        <w:tc>
          <w:tcPr>
            <w:tcW w:w="9072" w:type="dxa"/>
            <w:gridSpan w:val="5"/>
            <w:tcBorders>
              <w:top w:val="single" w:sz="4" w:space="0" w:color="000000"/>
              <w:bottom w:val="single" w:sz="4" w:space="0" w:color="000000"/>
            </w:tcBorders>
            <w:shd w:val="clear" w:color="auto" w:fill="CCFFFF"/>
          </w:tcPr>
          <w:p w:rsidR="005703CF" w:rsidRPr="00712F53" w:rsidRDefault="005703CF" w:rsidP="002249F8">
            <w:pPr>
              <w:keepNext/>
              <w:keepLines/>
              <w:tabs>
                <w:tab w:val="left" w:pos="1740"/>
              </w:tabs>
              <w:spacing w:before="120" w:after="120"/>
              <w:ind w:left="1740" w:hanging="1740"/>
              <w:rPr>
                <w:sz w:val="18"/>
                <w:szCs w:val="18"/>
                <w:lang w:val="en-AU"/>
              </w:rPr>
            </w:pPr>
            <w:r w:rsidRPr="00712F53">
              <w:rPr>
                <w:rFonts w:cs="Arial"/>
                <w:b/>
                <w:bCs/>
                <w:color w:val="000000"/>
                <w:sz w:val="16"/>
                <w:szCs w:val="16"/>
              </w:rPr>
              <w:t>RESULT</w:t>
            </w:r>
            <w:r w:rsidRPr="00712F53">
              <w:rPr>
                <w:rFonts w:cs="Arial"/>
                <w:bCs/>
                <w:sz w:val="16"/>
                <w:szCs w:val="16"/>
                <w:lang w:val="en-AU"/>
              </w:rPr>
              <w:t>:</w:t>
            </w:r>
            <w:r w:rsidRPr="00712F53">
              <w:rPr>
                <w:rFonts w:cs="Arial"/>
                <w:bCs/>
                <w:sz w:val="16"/>
                <w:szCs w:val="16"/>
                <w:lang w:val="en-AU"/>
              </w:rPr>
              <w:tab/>
            </w:r>
            <w:r w:rsidRPr="00C17B79">
              <w:rPr>
                <w:rFonts w:cs="Arial"/>
                <w:bCs/>
                <w:sz w:val="16"/>
                <w:szCs w:val="16"/>
                <w:lang w:val="en-AU"/>
              </w:rPr>
              <w:t>Enhanced access to, and use of, IP information and knowledge by IP institutions and the public to promote innovation and increased access to protected creative works and creative works in the public domain</w:t>
            </w:r>
          </w:p>
        </w:tc>
      </w:tr>
      <w:tr w:rsidR="005703CF" w:rsidRPr="00774D44" w:rsidTr="002249F8">
        <w:trPr>
          <w:cantSplit/>
          <w:trHeight w:val="487"/>
        </w:trPr>
        <w:tc>
          <w:tcPr>
            <w:tcW w:w="1843" w:type="dxa"/>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000000"/>
            </w:tcBorders>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985" w:type="dxa"/>
            <w:tcBorders>
              <w:top w:val="single" w:sz="4" w:space="0" w:color="000000"/>
            </w:tcBorders>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110" w:type="dxa"/>
            <w:gridSpan w:val="2"/>
            <w:tcBorders>
              <w:top w:val="single" w:sz="4" w:space="0" w:color="000000"/>
            </w:tcBorders>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644BAE" w:rsidTr="002249F8">
        <w:trPr>
          <w:cantSplit/>
          <w:trHeight w:val="315"/>
        </w:trPr>
        <w:tc>
          <w:tcPr>
            <w:tcW w:w="1843" w:type="dxa"/>
          </w:tcPr>
          <w:p w:rsidR="005703CF" w:rsidRPr="00644BAE" w:rsidRDefault="005703CF" w:rsidP="002249F8">
            <w:pPr>
              <w:spacing w:before="120" w:after="120"/>
              <w:rPr>
                <w:rFonts w:cs="Arial"/>
                <w:color w:val="000000"/>
                <w:sz w:val="16"/>
                <w:szCs w:val="16"/>
              </w:rPr>
            </w:pPr>
            <w:r w:rsidRPr="00644BAE">
              <w:rPr>
                <w:rFonts w:eastAsia="Calibri" w:cs="Arial"/>
                <w:sz w:val="16"/>
                <w:szCs w:val="16"/>
              </w:rPr>
              <w:t>Mission by WIPO consultants to Namibia, Bangladesh and Sri Lanka</w:t>
            </w:r>
          </w:p>
        </w:tc>
        <w:tc>
          <w:tcPr>
            <w:tcW w:w="1134" w:type="dxa"/>
          </w:tcPr>
          <w:p w:rsidR="005703CF" w:rsidRPr="00644BAE" w:rsidRDefault="005703CF" w:rsidP="002249F8">
            <w:pPr>
              <w:spacing w:before="120" w:after="120"/>
              <w:rPr>
                <w:rFonts w:cs="Arial"/>
                <w:color w:val="000000"/>
                <w:sz w:val="16"/>
                <w:szCs w:val="16"/>
              </w:rPr>
            </w:pPr>
            <w:r w:rsidRPr="00644BAE">
              <w:rPr>
                <w:rFonts w:eastAsia="Calibri" w:cs="Arial"/>
                <w:sz w:val="16"/>
                <w:szCs w:val="16"/>
              </w:rPr>
              <w:t>February 2013 (Namibia)</w:t>
            </w:r>
            <w:r>
              <w:rPr>
                <w:rFonts w:eastAsia="Calibri" w:cs="Arial"/>
                <w:sz w:val="16"/>
                <w:szCs w:val="16"/>
              </w:rPr>
              <w:br/>
            </w:r>
            <w:r w:rsidRPr="00644BAE">
              <w:rPr>
                <w:rFonts w:eastAsia="Calibri" w:cs="Arial"/>
                <w:sz w:val="16"/>
                <w:szCs w:val="16"/>
              </w:rPr>
              <w:t xml:space="preserve">April 2013 </w:t>
            </w:r>
            <w:r w:rsidRPr="003C18E2">
              <w:rPr>
                <w:rFonts w:eastAsia="Calibri" w:cs="Arial"/>
                <w:spacing w:val="-4"/>
                <w:sz w:val="16"/>
                <w:szCs w:val="16"/>
              </w:rPr>
              <w:t>(Bangladesh)</w:t>
            </w:r>
            <w:r w:rsidRPr="00644BAE">
              <w:rPr>
                <w:rFonts w:eastAsia="Calibri" w:cs="Arial"/>
                <w:sz w:val="16"/>
                <w:szCs w:val="16"/>
              </w:rPr>
              <w:t>December 2013 (Sri</w:t>
            </w:r>
            <w:r>
              <w:rPr>
                <w:rFonts w:eastAsia="Calibri" w:cs="Arial"/>
                <w:sz w:val="16"/>
                <w:szCs w:val="16"/>
              </w:rPr>
              <w:t> </w:t>
            </w:r>
            <w:r w:rsidRPr="00644BAE">
              <w:rPr>
                <w:rFonts w:eastAsia="Calibri" w:cs="Arial"/>
                <w:sz w:val="16"/>
                <w:szCs w:val="16"/>
              </w:rPr>
              <w:t>Lanka)</w:t>
            </w:r>
          </w:p>
        </w:tc>
        <w:tc>
          <w:tcPr>
            <w:tcW w:w="1985" w:type="dxa"/>
          </w:tcPr>
          <w:p w:rsidR="005703CF" w:rsidRPr="00644BAE" w:rsidRDefault="005703CF" w:rsidP="002249F8">
            <w:pPr>
              <w:autoSpaceDE w:val="0"/>
              <w:autoSpaceDN w:val="0"/>
              <w:adjustRightInd w:val="0"/>
              <w:spacing w:before="120" w:after="120"/>
              <w:rPr>
                <w:rFonts w:cs="Arial"/>
                <w:color w:val="000000"/>
                <w:sz w:val="16"/>
                <w:szCs w:val="16"/>
              </w:rPr>
            </w:pPr>
            <w:r w:rsidRPr="00644BAE">
              <w:rPr>
                <w:rFonts w:cs="Arial"/>
                <w:color w:val="000000"/>
                <w:sz w:val="16"/>
                <w:szCs w:val="16"/>
              </w:rPr>
              <w:t>Bangladesh</w:t>
            </w:r>
            <w:r>
              <w:rPr>
                <w:rFonts w:cs="Arial"/>
                <w:color w:val="000000"/>
                <w:sz w:val="16"/>
                <w:szCs w:val="16"/>
              </w:rPr>
              <w:t>,</w:t>
            </w:r>
            <w:r w:rsidRPr="00644BAE">
              <w:rPr>
                <w:rFonts w:cs="Arial"/>
                <w:color w:val="000000"/>
                <w:sz w:val="16"/>
                <w:szCs w:val="16"/>
              </w:rPr>
              <w:t xml:space="preserve"> Nam</w:t>
            </w:r>
            <w:r>
              <w:rPr>
                <w:rFonts w:cs="Arial"/>
                <w:color w:val="000000"/>
                <w:sz w:val="16"/>
                <w:szCs w:val="16"/>
              </w:rPr>
              <w:t>i</w:t>
            </w:r>
            <w:r w:rsidRPr="00644BAE">
              <w:rPr>
                <w:rFonts w:cs="Arial"/>
                <w:color w:val="000000"/>
                <w:sz w:val="16"/>
                <w:szCs w:val="16"/>
              </w:rPr>
              <w:t>bia</w:t>
            </w:r>
            <w:r>
              <w:rPr>
                <w:rFonts w:cs="Arial"/>
                <w:color w:val="000000"/>
                <w:sz w:val="16"/>
                <w:szCs w:val="16"/>
              </w:rPr>
              <w:t xml:space="preserve"> and</w:t>
            </w:r>
            <w:r w:rsidRPr="00644BAE">
              <w:rPr>
                <w:rFonts w:cs="Arial"/>
                <w:color w:val="000000"/>
                <w:sz w:val="16"/>
                <w:szCs w:val="16"/>
              </w:rPr>
              <w:t xml:space="preserve"> Sri Lanka</w:t>
            </w:r>
          </w:p>
        </w:tc>
        <w:tc>
          <w:tcPr>
            <w:tcW w:w="4110" w:type="dxa"/>
            <w:gridSpan w:val="2"/>
          </w:tcPr>
          <w:p w:rsidR="005703CF" w:rsidRPr="00644BAE" w:rsidRDefault="005703CF" w:rsidP="002249F8">
            <w:pPr>
              <w:spacing w:before="120" w:after="120"/>
              <w:rPr>
                <w:rFonts w:cs="Arial"/>
                <w:color w:val="000000"/>
                <w:sz w:val="16"/>
                <w:szCs w:val="16"/>
              </w:rPr>
            </w:pPr>
            <w:r>
              <w:rPr>
                <w:rFonts w:eastAsia="Calibri" w:cs="Arial"/>
                <w:sz w:val="16"/>
                <w:szCs w:val="16"/>
              </w:rPr>
              <w:t>T</w:t>
            </w:r>
            <w:r w:rsidRPr="00644BAE">
              <w:rPr>
                <w:rFonts w:eastAsia="Calibri" w:cs="Arial"/>
                <w:sz w:val="16"/>
                <w:szCs w:val="16"/>
              </w:rPr>
              <w:t xml:space="preserve">o explore </w:t>
            </w:r>
            <w:r>
              <w:rPr>
                <w:rFonts w:eastAsia="Calibri" w:cs="Arial"/>
                <w:sz w:val="16"/>
                <w:szCs w:val="16"/>
              </w:rPr>
              <w:t xml:space="preserve">the </w:t>
            </w:r>
            <w:r w:rsidRPr="00644BAE">
              <w:rPr>
                <w:rFonts w:eastAsia="Calibri" w:cs="Arial"/>
                <w:sz w:val="16"/>
                <w:szCs w:val="16"/>
              </w:rPr>
              <w:t>possibility of establishing a Memorandum of Understanding with a local NGO so</w:t>
            </w:r>
            <w:r>
              <w:rPr>
                <w:rFonts w:eastAsia="Calibri" w:cs="Arial"/>
                <w:sz w:val="16"/>
                <w:szCs w:val="16"/>
              </w:rPr>
              <w:t xml:space="preserve"> as to build the capacity of this</w:t>
            </w:r>
            <w:r w:rsidRPr="00644BAE">
              <w:rPr>
                <w:rFonts w:eastAsia="Calibri" w:cs="Arial"/>
                <w:sz w:val="16"/>
                <w:szCs w:val="16"/>
              </w:rPr>
              <w:t xml:space="preserve"> local organization</w:t>
            </w:r>
            <w:r w:rsidRPr="00644BAE">
              <w:rPr>
                <w:rFonts w:eastAsia="Calibri" w:cs="Arial"/>
                <w:sz w:val="16"/>
                <w:szCs w:val="16"/>
                <w:lang w:val="en"/>
              </w:rPr>
              <w:t xml:space="preserve"> that support</w:t>
            </w:r>
            <w:r>
              <w:rPr>
                <w:rFonts w:eastAsia="Calibri" w:cs="Arial"/>
                <w:sz w:val="16"/>
                <w:szCs w:val="16"/>
                <w:lang w:val="en"/>
              </w:rPr>
              <w:t>s</w:t>
            </w:r>
            <w:r w:rsidRPr="00644BAE">
              <w:rPr>
                <w:rFonts w:eastAsia="Calibri" w:cs="Arial"/>
                <w:sz w:val="16"/>
                <w:szCs w:val="16"/>
                <w:lang w:val="en"/>
              </w:rPr>
              <w:t xml:space="preserve"> persons who are visually impaired</w:t>
            </w:r>
            <w:r>
              <w:rPr>
                <w:rFonts w:eastAsia="Calibri" w:cs="Arial"/>
                <w:sz w:val="16"/>
                <w:szCs w:val="16"/>
                <w:lang w:val="en"/>
              </w:rPr>
              <w:t xml:space="preserve">, </w:t>
            </w:r>
            <w:r w:rsidRPr="00644BAE">
              <w:rPr>
                <w:rFonts w:eastAsia="Calibri" w:cs="Arial"/>
                <w:sz w:val="16"/>
                <w:szCs w:val="16"/>
                <w:lang w:val="en"/>
              </w:rPr>
              <w:t xml:space="preserve">as well as </w:t>
            </w:r>
            <w:r>
              <w:rPr>
                <w:rFonts w:eastAsia="Calibri" w:cs="Arial"/>
                <w:sz w:val="16"/>
                <w:szCs w:val="16"/>
                <w:lang w:val="en"/>
              </w:rPr>
              <w:t xml:space="preserve">to build </w:t>
            </w:r>
            <w:r w:rsidRPr="00644BAE">
              <w:rPr>
                <w:rFonts w:eastAsia="Calibri" w:cs="Arial"/>
                <w:sz w:val="16"/>
                <w:szCs w:val="16"/>
                <w:lang w:val="en"/>
              </w:rPr>
              <w:t xml:space="preserve">the capacity of the </w:t>
            </w:r>
            <w:r>
              <w:rPr>
                <w:rFonts w:eastAsia="Calibri" w:cs="Arial"/>
                <w:sz w:val="16"/>
                <w:szCs w:val="16"/>
                <w:lang w:val="en"/>
              </w:rPr>
              <w:t xml:space="preserve">national </w:t>
            </w:r>
            <w:r w:rsidRPr="00644BAE">
              <w:rPr>
                <w:rFonts w:eastAsia="Calibri" w:cs="Arial"/>
                <w:sz w:val="16"/>
                <w:szCs w:val="16"/>
                <w:lang w:val="en"/>
              </w:rPr>
              <w:t>publishing industry and government services</w:t>
            </w:r>
            <w:r>
              <w:rPr>
                <w:rFonts w:eastAsia="Calibri" w:cs="Arial"/>
                <w:sz w:val="16"/>
                <w:szCs w:val="16"/>
                <w:lang w:val="en"/>
              </w:rPr>
              <w:t xml:space="preserve"> </w:t>
            </w:r>
            <w:r w:rsidRPr="00644BAE">
              <w:rPr>
                <w:rFonts w:eastAsia="Calibri" w:cs="Arial"/>
                <w:sz w:val="16"/>
                <w:szCs w:val="16"/>
                <w:lang w:val="en"/>
              </w:rPr>
              <w:t>to produce or convert and distribute accessible format versions of books (braille, audio, large print)</w:t>
            </w:r>
          </w:p>
        </w:tc>
      </w:tr>
    </w:tbl>
    <w:p w:rsidR="005703CF" w:rsidRDefault="005703CF" w:rsidP="005703CF"/>
    <w:p w:rsidR="005703CF" w:rsidRDefault="005703CF" w:rsidP="005703CF">
      <w:pPr>
        <w:tabs>
          <w:tab w:val="left" w:pos="0"/>
          <w:tab w:val="left" w:pos="9071"/>
        </w:tabs>
        <w:rPr>
          <w:rFonts w:cs="Arial"/>
          <w:b/>
          <w:sz w:val="18"/>
          <w:szCs w:val="18"/>
        </w:rPr>
      </w:pPr>
    </w:p>
    <w:p w:rsidR="005703CF" w:rsidRPr="00280DA3" w:rsidRDefault="005703CF" w:rsidP="005703CF">
      <w:pPr>
        <w:tabs>
          <w:tab w:val="left" w:pos="0"/>
          <w:tab w:val="left" w:pos="9071"/>
        </w:tabs>
        <w:rPr>
          <w:rFonts w:cs="Arial"/>
          <w:b/>
          <w:sz w:val="18"/>
          <w:szCs w:val="18"/>
        </w:rPr>
      </w:pPr>
      <w:r>
        <w:rPr>
          <w:rFonts w:cs="Arial"/>
          <w:b/>
          <w:sz w:val="18"/>
          <w:szCs w:val="18"/>
        </w:rPr>
        <w:t>AUSTRALIA</w:t>
      </w:r>
      <w:r w:rsidRPr="00280DA3">
        <w:rPr>
          <w:rFonts w:cs="Arial"/>
          <w:b/>
          <w:sz w:val="18"/>
          <w:szCs w:val="18"/>
        </w:rPr>
        <w:t xml:space="preserve"> Donor Contributions and Expenditure in 201</w:t>
      </w:r>
      <w:r>
        <w:rPr>
          <w:rFonts w:cs="Arial"/>
          <w:b/>
          <w:sz w:val="18"/>
          <w:szCs w:val="18"/>
        </w:rPr>
        <w:t>3</w:t>
      </w:r>
      <w:r w:rsidRPr="00496129">
        <w:rPr>
          <w:rFonts w:ascii="Arial Bold" w:hAnsi="Arial Bold" w:cs="Arial Bold"/>
          <w:b/>
          <w:bCs/>
          <w:sz w:val="18"/>
          <w:szCs w:val="18"/>
          <w:vertAlign w:val="superscript"/>
        </w:rPr>
        <w:t>1</w:t>
      </w:r>
    </w:p>
    <w:p w:rsidR="005703CF" w:rsidRDefault="005703CF" w:rsidP="005703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40"/>
        <w:gridCol w:w="1870"/>
        <w:gridCol w:w="1650"/>
        <w:gridCol w:w="2200"/>
      </w:tblGrid>
      <w:tr w:rsidR="005703CF" w:rsidRPr="00834B2E" w:rsidTr="002249F8">
        <w:trPr>
          <w:trHeight w:val="43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54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220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1,841,407</w:t>
            </w:r>
          </w:p>
        </w:tc>
        <w:tc>
          <w:tcPr>
            <w:tcW w:w="1540" w:type="dxa"/>
            <w:shd w:val="clear" w:color="auto" w:fill="auto"/>
            <w:vAlign w:val="center"/>
          </w:tcPr>
          <w:p w:rsidR="005703CF" w:rsidRPr="00834B2E" w:rsidRDefault="005703CF" w:rsidP="002249F8">
            <w:pPr>
              <w:spacing w:before="120" w:after="120"/>
              <w:jc w:val="center"/>
              <w:rPr>
                <w:rFonts w:eastAsia="MS Mincho" w:cs="Arial"/>
                <w:color w:val="000000"/>
                <w:sz w:val="16"/>
                <w:szCs w:val="16"/>
                <w:lang w:eastAsia="ja-JP" w:bidi="th-TH"/>
              </w:rPr>
            </w:pPr>
            <w:r>
              <w:rPr>
                <w:rFonts w:cs="Arial"/>
                <w:color w:val="000000"/>
                <w:sz w:val="16"/>
                <w:szCs w:val="16"/>
              </w:rPr>
              <w:t>-13,623</w:t>
            </w:r>
          </w:p>
        </w:tc>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694,474</w:t>
            </w:r>
          </w:p>
        </w:tc>
        <w:tc>
          <w:tcPr>
            <w:tcW w:w="165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w:t>
            </w:r>
          </w:p>
        </w:tc>
        <w:tc>
          <w:tcPr>
            <w:tcW w:w="220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1,333,310</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rPr>
          <w:rFonts w:cs="Arial"/>
          <w:b/>
          <w:szCs w:val="20"/>
        </w:rPr>
      </w:pPr>
      <w:r>
        <w:rPr>
          <w:rFonts w:cs="Arial"/>
          <w:b/>
          <w:szCs w:val="20"/>
          <w:highlight w:val="yellow"/>
        </w:rPr>
        <w:br w:type="page"/>
      </w:r>
      <w:r w:rsidRPr="000B4395">
        <w:rPr>
          <w:rFonts w:cs="Arial"/>
          <w:b/>
          <w:szCs w:val="20"/>
        </w:rPr>
        <w:lastRenderedPageBreak/>
        <w:t>BRAZIL</w:t>
      </w:r>
    </w:p>
    <w:p w:rsidR="005703CF" w:rsidRDefault="005703CF" w:rsidP="005703CF">
      <w:pPr>
        <w:rPr>
          <w:rFonts w:cs="Arial"/>
          <w:b/>
          <w:szCs w:val="20"/>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835"/>
        <w:gridCol w:w="3260"/>
      </w:tblGrid>
      <w:tr w:rsidR="005703CF" w:rsidRPr="005746B5" w:rsidTr="002249F8">
        <w:tc>
          <w:tcPr>
            <w:tcW w:w="9072" w:type="dxa"/>
            <w:gridSpan w:val="4"/>
            <w:tcBorders>
              <w:top w:val="single" w:sz="4" w:space="0" w:color="000000"/>
              <w:bottom w:val="single" w:sz="4" w:space="0" w:color="000000"/>
            </w:tcBorders>
            <w:shd w:val="clear" w:color="auto" w:fill="CCFFFF"/>
            <w:vAlign w:val="center"/>
          </w:tcPr>
          <w:p w:rsidR="005703CF" w:rsidRPr="005746B5" w:rsidRDefault="005703CF" w:rsidP="002249F8">
            <w:pPr>
              <w:keepNext/>
              <w:keepLines/>
              <w:tabs>
                <w:tab w:val="left" w:pos="1740"/>
              </w:tabs>
              <w:spacing w:before="120" w:after="120"/>
              <w:ind w:left="1740" w:hanging="1740"/>
              <w:rPr>
                <w:rFonts w:cs="Arial"/>
                <w:b/>
                <w:bCs/>
                <w:sz w:val="16"/>
                <w:szCs w:val="16"/>
              </w:rPr>
            </w:pPr>
            <w:r w:rsidRPr="005746B5">
              <w:rPr>
                <w:rFonts w:cs="Arial"/>
                <w:b/>
                <w:bCs/>
                <w:color w:val="000000"/>
                <w:sz w:val="16"/>
                <w:szCs w:val="16"/>
              </w:rPr>
              <w:t>RESULT</w:t>
            </w:r>
            <w:r w:rsidRPr="005746B5">
              <w:rPr>
                <w:rFonts w:cs="Arial"/>
                <w:b/>
                <w:bCs/>
                <w:sz w:val="16"/>
                <w:szCs w:val="16"/>
              </w:rPr>
              <w:t>:</w:t>
            </w:r>
            <w:r w:rsidRPr="005746B5">
              <w:rPr>
                <w:rFonts w:cs="Arial"/>
                <w:b/>
                <w:bCs/>
                <w:sz w:val="16"/>
                <w:szCs w:val="16"/>
              </w:rPr>
              <w:tab/>
            </w:r>
            <w:r w:rsidRPr="005746B5">
              <w:rPr>
                <w:rFonts w:cs="Arial"/>
                <w:bCs/>
                <w:sz w:val="16"/>
                <w:szCs w:val="16"/>
              </w:rPr>
              <w:t>Enhanced human resources capacities able to deal with the broad range of requirements for the effective use of IP for development in developing countries, LDCs and countries with economies in transition</w:t>
            </w:r>
          </w:p>
        </w:tc>
      </w:tr>
      <w:tr w:rsidR="005703CF" w:rsidRPr="005746B5" w:rsidTr="002249F8">
        <w:tc>
          <w:tcPr>
            <w:tcW w:w="1843" w:type="dxa"/>
            <w:tcBorders>
              <w:top w:val="single" w:sz="4" w:space="0" w:color="000000"/>
            </w:tcBorders>
            <w:vAlign w:val="center"/>
          </w:tcPr>
          <w:p w:rsidR="005703CF" w:rsidRPr="005746B5" w:rsidRDefault="005703CF" w:rsidP="002249F8">
            <w:pPr>
              <w:keepNext/>
              <w:keepLines/>
              <w:rPr>
                <w:rFonts w:cs="Arial"/>
                <w:b/>
                <w:bCs/>
                <w:sz w:val="16"/>
                <w:szCs w:val="16"/>
              </w:rPr>
            </w:pPr>
            <w:r w:rsidRPr="005746B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5746B5" w:rsidRDefault="005703CF" w:rsidP="002249F8">
            <w:pPr>
              <w:keepNext/>
              <w:keepLines/>
              <w:rPr>
                <w:rFonts w:cs="Arial"/>
                <w:sz w:val="16"/>
                <w:szCs w:val="16"/>
              </w:rPr>
            </w:pPr>
            <w:r w:rsidRPr="005746B5">
              <w:rPr>
                <w:rFonts w:cs="Arial"/>
                <w:b/>
                <w:bCs/>
                <w:sz w:val="16"/>
                <w:szCs w:val="16"/>
              </w:rPr>
              <w:t>Date</w:t>
            </w:r>
          </w:p>
        </w:tc>
        <w:tc>
          <w:tcPr>
            <w:tcW w:w="2835" w:type="dxa"/>
            <w:tcBorders>
              <w:top w:val="single" w:sz="4" w:space="0" w:color="000000"/>
            </w:tcBorders>
            <w:shd w:val="clear" w:color="auto" w:fill="auto"/>
            <w:tcMar>
              <w:top w:w="110" w:type="dxa"/>
            </w:tcMar>
            <w:vAlign w:val="center"/>
          </w:tcPr>
          <w:p w:rsidR="005703CF" w:rsidRPr="005746B5" w:rsidRDefault="005703CF" w:rsidP="002249F8">
            <w:pPr>
              <w:keepNext/>
              <w:keepLines/>
              <w:rPr>
                <w:rFonts w:cs="Arial"/>
                <w:sz w:val="16"/>
                <w:szCs w:val="16"/>
              </w:rPr>
            </w:pPr>
            <w:r w:rsidRPr="005746B5">
              <w:rPr>
                <w:rFonts w:cs="Arial"/>
                <w:b/>
                <w:bCs/>
                <w:sz w:val="16"/>
                <w:szCs w:val="16"/>
              </w:rPr>
              <w:t>Host Country/</w:t>
            </w:r>
            <w:r w:rsidRPr="005746B5">
              <w:rPr>
                <w:rFonts w:cs="Arial"/>
                <w:b/>
                <w:bCs/>
                <w:sz w:val="16"/>
                <w:szCs w:val="16"/>
              </w:rPr>
              <w:br/>
              <w:t>Recipients</w:t>
            </w:r>
          </w:p>
        </w:tc>
        <w:tc>
          <w:tcPr>
            <w:tcW w:w="3260" w:type="dxa"/>
            <w:tcBorders>
              <w:top w:val="single" w:sz="4" w:space="0" w:color="000000"/>
            </w:tcBorders>
            <w:shd w:val="clear" w:color="auto" w:fill="FFFFFF"/>
            <w:tcMar>
              <w:top w:w="110" w:type="dxa"/>
            </w:tcMar>
            <w:vAlign w:val="center"/>
          </w:tcPr>
          <w:p w:rsidR="005703CF" w:rsidRPr="005746B5" w:rsidRDefault="005703CF" w:rsidP="002249F8">
            <w:pPr>
              <w:keepNext/>
              <w:keepLines/>
              <w:rPr>
                <w:rFonts w:cs="Arial"/>
                <w:sz w:val="16"/>
                <w:szCs w:val="16"/>
              </w:rPr>
            </w:pPr>
            <w:r w:rsidRPr="005746B5">
              <w:rPr>
                <w:rFonts w:cs="Arial"/>
                <w:b/>
                <w:bCs/>
                <w:sz w:val="16"/>
                <w:szCs w:val="16"/>
              </w:rPr>
              <w:t>Purpose(s)/Description(s)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 xml:space="preserve">Launch of </w:t>
            </w:r>
            <w:r w:rsidRPr="005746B5">
              <w:rPr>
                <w:rFonts w:eastAsia="SimSun" w:cs="Arial"/>
                <w:color w:val="000000"/>
                <w:sz w:val="16"/>
                <w:szCs w:val="16"/>
                <w:shd w:val="clear" w:color="auto" w:fill="FFFFFF"/>
                <w:lang w:eastAsia="zh-CN"/>
              </w:rPr>
              <w:t>The Mediation Center of INPI</w:t>
            </w:r>
            <w:r>
              <w:rPr>
                <w:rFonts w:eastAsia="SimSun" w:cs="Arial"/>
                <w:color w:val="000000"/>
                <w:sz w:val="16"/>
                <w:szCs w:val="16"/>
                <w:shd w:val="clear" w:color="auto" w:fill="FFFFFF"/>
                <w:lang w:eastAsia="zh-CN"/>
              </w:rPr>
              <w:t>, including a workshop</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March 12 to 14, 2013</w:t>
            </w:r>
          </w:p>
        </w:tc>
        <w:tc>
          <w:tcPr>
            <w:tcW w:w="2835" w:type="dxa"/>
          </w:tcPr>
          <w:p w:rsidR="005703CF" w:rsidRPr="005746B5" w:rsidRDefault="005703CF" w:rsidP="00606EF6">
            <w:pPr>
              <w:autoSpaceDE w:val="0"/>
              <w:autoSpaceDN w:val="0"/>
              <w:adjustRightInd w:val="0"/>
              <w:spacing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after="120"/>
              <w:rPr>
                <w:rFonts w:eastAsia="SimSun" w:cs="Arial"/>
                <w:sz w:val="16"/>
                <w:szCs w:val="16"/>
                <w:lang w:eastAsia="zh-CN"/>
              </w:rPr>
            </w:pPr>
            <w:r w:rsidRPr="005746B5">
              <w:rPr>
                <w:rFonts w:eastAsia="SimSun" w:cs="Arial"/>
                <w:color w:val="000000"/>
                <w:sz w:val="16"/>
                <w:szCs w:val="16"/>
                <w:shd w:val="clear" w:color="auto" w:fill="FFFFFF"/>
                <w:lang w:eastAsia="zh-CN"/>
              </w:rPr>
              <w:t xml:space="preserve">The Mediation Center of INPI was officially launched during a ceremony followed by a workshop at the Regional Federal Judiciary School (EMARF), on March 12 and 13, 2013. </w:t>
            </w:r>
            <w:r w:rsidR="00606EF6">
              <w:rPr>
                <w:rFonts w:eastAsia="SimSun" w:cs="Arial"/>
                <w:color w:val="000000"/>
                <w:sz w:val="16"/>
                <w:szCs w:val="16"/>
                <w:shd w:val="clear" w:color="auto" w:fill="FFFFFF"/>
                <w:lang w:eastAsia="zh-CN"/>
              </w:rPr>
              <w:t xml:space="preserve"> </w:t>
            </w:r>
            <w:r w:rsidRPr="005746B5">
              <w:rPr>
                <w:rFonts w:eastAsia="SimSun" w:cs="Arial"/>
                <w:color w:val="000000"/>
                <w:sz w:val="16"/>
                <w:szCs w:val="16"/>
                <w:shd w:val="clear" w:color="auto" w:fill="FFFFFF"/>
                <w:lang w:eastAsia="zh-CN"/>
              </w:rPr>
              <w:t>WBO</w:t>
            </w:r>
            <w:r>
              <w:rPr>
                <w:rFonts w:eastAsia="SimSun" w:cs="Arial"/>
                <w:color w:val="000000"/>
                <w:sz w:val="16"/>
                <w:szCs w:val="16"/>
                <w:shd w:val="clear" w:color="auto" w:fill="FFFFFF"/>
                <w:lang w:eastAsia="zh-CN"/>
              </w:rPr>
              <w:t xml:space="preserve"> </w:t>
            </w:r>
            <w:r w:rsidRPr="005746B5">
              <w:rPr>
                <w:rFonts w:eastAsia="SimSun" w:cs="Arial"/>
                <w:color w:val="000000"/>
                <w:sz w:val="16"/>
                <w:szCs w:val="16"/>
                <w:shd w:val="clear" w:color="auto" w:fill="FFFFFF"/>
                <w:lang w:eastAsia="zh-CN"/>
              </w:rPr>
              <w:t>parti</w:t>
            </w:r>
            <w:r>
              <w:rPr>
                <w:rFonts w:eastAsia="SimSun" w:cs="Arial"/>
                <w:color w:val="000000"/>
                <w:sz w:val="16"/>
                <w:szCs w:val="16"/>
                <w:shd w:val="clear" w:color="auto" w:fill="FFFFFF"/>
                <w:lang w:eastAsia="zh-CN"/>
              </w:rPr>
              <w:t xml:space="preserve">cipated in the opening ceremony to emphasize </w:t>
            </w:r>
            <w:r w:rsidRPr="005746B5">
              <w:rPr>
                <w:rFonts w:eastAsia="SimSun" w:cs="Arial"/>
                <w:color w:val="000000"/>
                <w:sz w:val="16"/>
                <w:szCs w:val="16"/>
                <w:shd w:val="clear" w:color="auto" w:fill="FFFFFF"/>
                <w:lang w:eastAsia="zh-CN"/>
              </w:rPr>
              <w:t xml:space="preserve">the importance of the partnership between WIPO and INPI </w:t>
            </w:r>
            <w:r>
              <w:rPr>
                <w:rFonts w:eastAsia="SimSun" w:cs="Arial"/>
                <w:color w:val="000000"/>
                <w:sz w:val="16"/>
                <w:szCs w:val="16"/>
                <w:shd w:val="clear" w:color="auto" w:fill="FFFFFF"/>
                <w:lang w:eastAsia="zh-CN"/>
              </w:rPr>
              <w:t>in</w:t>
            </w:r>
            <w:r w:rsidRPr="005746B5">
              <w:rPr>
                <w:rFonts w:eastAsia="SimSun" w:cs="Arial"/>
                <w:color w:val="000000"/>
                <w:sz w:val="16"/>
                <w:szCs w:val="16"/>
                <w:shd w:val="clear" w:color="auto" w:fill="FFFFFF"/>
                <w:lang w:eastAsia="zh-CN"/>
              </w:rPr>
              <w:t xml:space="preserve"> the establishment of the new INPI’s Center. </w:t>
            </w:r>
            <w:r w:rsidR="00606EF6">
              <w:rPr>
                <w:rFonts w:eastAsia="SimSun" w:cs="Arial"/>
                <w:color w:val="000000"/>
                <w:sz w:val="16"/>
                <w:szCs w:val="16"/>
                <w:shd w:val="clear" w:color="auto" w:fill="FFFFFF"/>
                <w:lang w:eastAsia="zh-CN"/>
              </w:rPr>
              <w:t xml:space="preserve"> </w:t>
            </w:r>
            <w:r w:rsidRPr="005746B5">
              <w:rPr>
                <w:rFonts w:eastAsia="SimSun" w:cs="Arial"/>
                <w:color w:val="000000"/>
                <w:sz w:val="16"/>
                <w:szCs w:val="16"/>
                <w:shd w:val="clear" w:color="auto" w:fill="FFFFFF"/>
                <w:lang w:eastAsia="zh-CN"/>
              </w:rPr>
              <w:t>Moreover, </w:t>
            </w:r>
            <w:r>
              <w:rPr>
                <w:rFonts w:eastAsia="SimSun" w:cs="Arial"/>
                <w:color w:val="000000"/>
                <w:sz w:val="16"/>
                <w:szCs w:val="16"/>
                <w:shd w:val="clear" w:color="auto" w:fill="FFFFFF"/>
                <w:lang w:eastAsia="zh-CN"/>
              </w:rPr>
              <w:t xml:space="preserve">the </w:t>
            </w:r>
            <w:r w:rsidRPr="005746B5">
              <w:rPr>
                <w:rFonts w:eastAsia="SimSun" w:cs="Arial"/>
                <w:color w:val="000000"/>
                <w:sz w:val="16"/>
                <w:szCs w:val="16"/>
                <w:shd w:val="clear" w:color="auto" w:fill="FFFFFF"/>
                <w:lang w:eastAsia="zh-CN"/>
              </w:rPr>
              <w:t xml:space="preserve">WIPO Mediation and Arbitration Center (AMC) reported </w:t>
            </w:r>
            <w:r>
              <w:rPr>
                <w:rFonts w:eastAsia="SimSun" w:cs="Arial"/>
                <w:color w:val="000000"/>
                <w:sz w:val="16"/>
                <w:szCs w:val="16"/>
                <w:shd w:val="clear" w:color="auto" w:fill="FFFFFF"/>
                <w:lang w:eastAsia="zh-CN"/>
              </w:rPr>
              <w:t>on recent</w:t>
            </w:r>
            <w:r w:rsidRPr="005746B5">
              <w:rPr>
                <w:rFonts w:eastAsia="SimSun" w:cs="Arial"/>
                <w:color w:val="000000"/>
                <w:sz w:val="16"/>
                <w:szCs w:val="16"/>
                <w:shd w:val="clear" w:color="auto" w:fill="FFFFFF"/>
                <w:lang w:eastAsia="zh-CN"/>
              </w:rPr>
              <w:t xml:space="preserve"> capacity building activities organized by INPI and WIPO</w:t>
            </w:r>
            <w:r>
              <w:rPr>
                <w:rFonts w:eastAsia="SimSun" w:cs="Arial"/>
                <w:color w:val="000000"/>
                <w:sz w:val="16"/>
                <w:szCs w:val="16"/>
                <w:shd w:val="clear" w:color="auto" w:fill="FFFFFF"/>
                <w:lang w:eastAsia="zh-CN"/>
              </w:rPr>
              <w:t xml:space="preserve"> to highlight the importance of training and encourage interest in mediation and alternative dispute resolution work.</w:t>
            </w:r>
          </w:p>
        </w:tc>
      </w:tr>
      <w:tr w:rsidR="005703CF" w:rsidRPr="005746B5" w:rsidTr="002249F8">
        <w:trPr>
          <w:trHeight w:val="371"/>
        </w:trPr>
        <w:tc>
          <w:tcPr>
            <w:tcW w:w="1843" w:type="dxa"/>
          </w:tcPr>
          <w:p w:rsidR="005703CF" w:rsidRPr="005746B5" w:rsidRDefault="005703CF" w:rsidP="00606EF6">
            <w:pPr>
              <w:spacing w:after="120"/>
              <w:rPr>
                <w:rFonts w:eastAsia="SimSun"/>
                <w:sz w:val="16"/>
                <w:szCs w:val="16"/>
                <w:lang w:eastAsia="zh-CN"/>
              </w:rPr>
            </w:pPr>
            <w:r w:rsidRPr="005746B5">
              <w:rPr>
                <w:rFonts w:eastAsia="SimSun"/>
                <w:sz w:val="16"/>
                <w:szCs w:val="16"/>
                <w:lang w:eastAsia="zh-CN"/>
              </w:rPr>
              <w:t>Meeting of the PROSUR countries with IADB, USPTO and CIPO.</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April 2 to 4, 2013</w:t>
            </w:r>
          </w:p>
        </w:tc>
        <w:tc>
          <w:tcPr>
            <w:tcW w:w="2835" w:type="dxa"/>
          </w:tcPr>
          <w:p w:rsidR="005703CF" w:rsidRPr="005746B5" w:rsidRDefault="005703CF" w:rsidP="00606EF6">
            <w:pPr>
              <w:autoSpaceDE w:val="0"/>
              <w:autoSpaceDN w:val="0"/>
              <w:adjustRightInd w:val="0"/>
              <w:spacing w:after="120"/>
              <w:rPr>
                <w:rFonts w:cs="Arial"/>
                <w:sz w:val="16"/>
                <w:szCs w:val="16"/>
                <w:lang w:val="pt-BR"/>
              </w:rPr>
            </w:pPr>
            <w:r>
              <w:rPr>
                <w:rFonts w:cs="Arial"/>
                <w:color w:val="000000"/>
                <w:sz w:val="16"/>
                <w:szCs w:val="16"/>
                <w:lang w:val="pt-BR" w:eastAsia="pt-BR"/>
              </w:rPr>
              <w:t>United States of America/</w:t>
            </w:r>
            <w:r w:rsidRPr="005746B5">
              <w:rPr>
                <w:rFonts w:cs="Arial"/>
                <w:color w:val="000000"/>
                <w:sz w:val="16"/>
                <w:szCs w:val="16"/>
                <w:lang w:val="pt-BR" w:eastAsia="pt-BR"/>
              </w:rPr>
              <w:t>Argentina, Brazil, Chile, Colombia, Ecuador, Paraguay, Peru, Suriname, Uruguay</w:t>
            </w:r>
          </w:p>
        </w:tc>
        <w:tc>
          <w:tcPr>
            <w:tcW w:w="3260" w:type="dxa"/>
          </w:tcPr>
          <w:p w:rsidR="005703CF" w:rsidRDefault="005703CF" w:rsidP="00606EF6">
            <w:pPr>
              <w:spacing w:after="220"/>
              <w:rPr>
                <w:rFonts w:eastAsia="SimSun" w:cs="Arial"/>
                <w:color w:val="000000"/>
                <w:sz w:val="16"/>
                <w:szCs w:val="16"/>
                <w:shd w:val="clear" w:color="auto" w:fill="FFFFFF"/>
                <w:lang w:eastAsia="zh-CN"/>
              </w:rPr>
            </w:pPr>
            <w:r w:rsidRPr="005746B5">
              <w:rPr>
                <w:rFonts w:eastAsia="SimSun"/>
                <w:sz w:val="16"/>
                <w:szCs w:val="16"/>
                <w:lang w:eastAsia="zh-CN"/>
              </w:rPr>
              <w:t>Meeting to discuss future strategies of the PROSUR platform Project</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XXXI Seminar for Officials of IP Offices of Latin American Countries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April 15 to 19, 2013</w:t>
            </w:r>
          </w:p>
        </w:tc>
        <w:tc>
          <w:tcPr>
            <w:tcW w:w="2835" w:type="dxa"/>
          </w:tcPr>
          <w:p w:rsidR="005703CF" w:rsidRPr="002C4083" w:rsidRDefault="005703CF" w:rsidP="00606EF6">
            <w:pPr>
              <w:autoSpaceDE w:val="0"/>
              <w:autoSpaceDN w:val="0"/>
              <w:adjustRightInd w:val="0"/>
              <w:spacing w:after="120"/>
              <w:rPr>
                <w:rFonts w:cs="Arial"/>
                <w:sz w:val="16"/>
                <w:szCs w:val="16"/>
                <w:lang w:val="es-ES"/>
              </w:rPr>
            </w:pPr>
            <w:r w:rsidRPr="002C4083">
              <w:rPr>
                <w:rFonts w:cs="Arial"/>
                <w:sz w:val="16"/>
                <w:szCs w:val="16"/>
                <w:lang w:val="es-ES"/>
              </w:rPr>
              <w:t>Brazil/ Argentina, Brazil, Bolivia, Chile, Colombia, Costa Rica, Cuba, the Dominican Republic, Ecuador, El Salvador, Guatemala, Honduras, Mexico, Nicaragua, Panama, Paraguay, Peru, Uruguay</w:t>
            </w:r>
          </w:p>
        </w:tc>
        <w:tc>
          <w:tcPr>
            <w:tcW w:w="3260" w:type="dxa"/>
          </w:tcPr>
          <w:p w:rsidR="005703CF" w:rsidRPr="005746B5" w:rsidRDefault="005703CF" w:rsidP="00606EF6">
            <w:pPr>
              <w:spacing w:after="220"/>
              <w:rPr>
                <w:rFonts w:eastAsia="SimSun" w:cs="Arial"/>
                <w:sz w:val="16"/>
                <w:szCs w:val="16"/>
                <w:lang w:eastAsia="zh-CN"/>
              </w:rPr>
            </w:pPr>
            <w:r>
              <w:rPr>
                <w:rFonts w:eastAsia="SimSun" w:cs="Arial"/>
                <w:color w:val="000000"/>
                <w:sz w:val="16"/>
                <w:szCs w:val="16"/>
                <w:shd w:val="clear" w:color="auto" w:fill="FFFFFF"/>
                <w:lang w:eastAsia="zh-CN"/>
              </w:rPr>
              <w:t xml:space="preserve">To create a forum for </w:t>
            </w:r>
            <w:r w:rsidRPr="005746B5">
              <w:rPr>
                <w:rFonts w:eastAsia="SimSun" w:cs="Arial"/>
                <w:color w:val="000000"/>
                <w:sz w:val="16"/>
                <w:szCs w:val="16"/>
                <w:shd w:val="clear" w:color="auto" w:fill="FFFFFF"/>
                <w:lang w:eastAsia="zh-CN"/>
              </w:rPr>
              <w:t xml:space="preserve">representatives </w:t>
            </w:r>
            <w:r>
              <w:rPr>
                <w:rFonts w:eastAsia="SimSun" w:cs="Arial"/>
                <w:color w:val="000000"/>
                <w:sz w:val="16"/>
                <w:szCs w:val="16"/>
                <w:shd w:val="clear" w:color="auto" w:fill="FFFFFF"/>
                <w:lang w:eastAsia="zh-CN"/>
              </w:rPr>
              <w:t>from</w:t>
            </w:r>
            <w:r w:rsidRPr="005746B5">
              <w:rPr>
                <w:rFonts w:eastAsia="SimSun" w:cs="Arial"/>
                <w:color w:val="000000"/>
                <w:sz w:val="16"/>
                <w:szCs w:val="16"/>
                <w:shd w:val="clear" w:color="auto" w:fill="FFFFFF"/>
                <w:lang w:eastAsia="zh-CN"/>
              </w:rPr>
              <w:t xml:space="preserve"> Latin American IP Offices to increase the exchange of experiences and partnership on IP in order to strengthen the use of intangible assets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“PI em questão”</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April 8, 2013</w:t>
            </w:r>
          </w:p>
        </w:tc>
        <w:tc>
          <w:tcPr>
            <w:tcW w:w="2835" w:type="dxa"/>
          </w:tcPr>
          <w:p w:rsidR="005703CF" w:rsidRPr="005746B5" w:rsidRDefault="005703CF" w:rsidP="00606EF6">
            <w:pPr>
              <w:autoSpaceDE w:val="0"/>
              <w:autoSpaceDN w:val="0"/>
              <w:adjustRightInd w:val="0"/>
              <w:spacing w:after="120"/>
              <w:rPr>
                <w:rFonts w:cs="Arial"/>
                <w:color w:val="000000"/>
                <w:sz w:val="16"/>
                <w:szCs w:val="16"/>
                <w:lang w:eastAsia="pt-BR"/>
              </w:rPr>
            </w:pPr>
            <w:r w:rsidRPr="005746B5">
              <w:rPr>
                <w:rFonts w:cs="Arial"/>
                <w:color w:val="000000"/>
                <w:sz w:val="16"/>
                <w:szCs w:val="16"/>
                <w:lang w:eastAsia="pt-BR"/>
              </w:rPr>
              <w:t>Brazil</w:t>
            </w:r>
          </w:p>
        </w:tc>
        <w:tc>
          <w:tcPr>
            <w:tcW w:w="3260" w:type="dxa"/>
          </w:tcPr>
          <w:p w:rsidR="005703CF" w:rsidRPr="005746B5" w:rsidRDefault="005703CF" w:rsidP="00606EF6">
            <w:pPr>
              <w:spacing w:after="120"/>
              <w:rPr>
                <w:rFonts w:eastAsia="SimSun"/>
                <w:sz w:val="16"/>
                <w:szCs w:val="16"/>
                <w:lang w:eastAsia="zh-CN"/>
              </w:rPr>
            </w:pPr>
            <w:r>
              <w:rPr>
                <w:rFonts w:eastAsia="SimSun"/>
                <w:sz w:val="16"/>
                <w:szCs w:val="16"/>
                <w:lang w:eastAsia="zh-CN"/>
              </w:rPr>
              <w:t>A l</w:t>
            </w:r>
            <w:r w:rsidRPr="005746B5">
              <w:rPr>
                <w:rFonts w:eastAsia="SimSun"/>
                <w:sz w:val="16"/>
                <w:szCs w:val="16"/>
                <w:lang w:eastAsia="zh-CN"/>
              </w:rPr>
              <w:t xml:space="preserve">ecture on </w:t>
            </w:r>
            <w:r w:rsidRPr="005746B5">
              <w:rPr>
                <w:rFonts w:eastAsia="SimSun"/>
                <w:i/>
                <w:sz w:val="16"/>
                <w:szCs w:val="16"/>
                <w:lang w:eastAsia="zh-CN"/>
              </w:rPr>
              <w:t>Aspects Related to the Development of Research Projects on the Economics of IP</w:t>
            </w:r>
            <w:r>
              <w:rPr>
                <w:rFonts w:eastAsia="SimSun"/>
                <w:sz w:val="16"/>
                <w:szCs w:val="16"/>
                <w:lang w:eastAsia="zh-CN"/>
              </w:rPr>
              <w:t xml:space="preserve"> </w:t>
            </w:r>
            <w:r w:rsidRPr="005746B5">
              <w:rPr>
                <w:rFonts w:eastAsia="SimSun"/>
                <w:sz w:val="16"/>
                <w:szCs w:val="16"/>
                <w:lang w:eastAsia="zh-CN"/>
              </w:rPr>
              <w:t>to students of the Master Course on IP, Innovation and Development as well as to a group of Brazilian researchers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Training Program on IP Commercialization</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May 13 to 14, 2013</w:t>
            </w:r>
          </w:p>
        </w:tc>
        <w:tc>
          <w:tcPr>
            <w:tcW w:w="2835" w:type="dxa"/>
          </w:tcPr>
          <w:p w:rsidR="005703CF" w:rsidRPr="005746B5" w:rsidRDefault="005703CF" w:rsidP="00606EF6">
            <w:pPr>
              <w:autoSpaceDE w:val="0"/>
              <w:autoSpaceDN w:val="0"/>
              <w:adjustRightInd w:val="0"/>
              <w:spacing w:after="120"/>
              <w:rPr>
                <w:rFonts w:cs="Arial"/>
                <w:color w:val="000000"/>
                <w:sz w:val="16"/>
                <w:szCs w:val="16"/>
                <w:lang w:eastAsia="pt-BR"/>
              </w:rPr>
            </w:pPr>
            <w:r w:rsidRPr="005746B5">
              <w:rPr>
                <w:rFonts w:cs="Arial"/>
                <w:color w:val="000000"/>
                <w:sz w:val="16"/>
                <w:szCs w:val="16"/>
                <w:lang w:eastAsia="pt-BR"/>
              </w:rPr>
              <w:t>Brazil</w:t>
            </w:r>
          </w:p>
        </w:tc>
        <w:tc>
          <w:tcPr>
            <w:tcW w:w="3260" w:type="dxa"/>
          </w:tcPr>
          <w:p w:rsidR="005703CF" w:rsidRPr="005746B5" w:rsidRDefault="005703CF" w:rsidP="00606EF6">
            <w:pPr>
              <w:spacing w:after="120"/>
              <w:rPr>
                <w:rFonts w:eastAsia="SimSun"/>
                <w:sz w:val="16"/>
                <w:szCs w:val="16"/>
                <w:lang w:eastAsia="zh-CN"/>
              </w:rPr>
            </w:pPr>
            <w:r>
              <w:rPr>
                <w:rFonts w:eastAsia="SimSun"/>
                <w:sz w:val="16"/>
                <w:szCs w:val="16"/>
                <w:lang w:eastAsia="zh-CN"/>
              </w:rPr>
              <w:t>To build capacity in</w:t>
            </w:r>
            <w:r w:rsidRPr="005746B5">
              <w:rPr>
                <w:rFonts w:eastAsia="SimSun"/>
                <w:sz w:val="16"/>
                <w:szCs w:val="16"/>
                <w:lang w:eastAsia="zh-CN"/>
              </w:rPr>
              <w:t xml:space="preserve"> the private sector and research institutions </w:t>
            </w:r>
            <w:r>
              <w:rPr>
                <w:rFonts w:eastAsia="SimSun"/>
                <w:sz w:val="16"/>
                <w:szCs w:val="16"/>
                <w:lang w:eastAsia="zh-CN"/>
              </w:rPr>
              <w:t>related to</w:t>
            </w:r>
            <w:r w:rsidRPr="005746B5">
              <w:rPr>
                <w:rFonts w:eastAsia="SimSun"/>
                <w:sz w:val="16"/>
                <w:szCs w:val="16"/>
                <w:lang w:eastAsia="zh-CN"/>
              </w:rPr>
              <w:t xml:space="preserve"> the management of intangibles </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Global Agenda Council IP Meeting</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June 11 and 12, 2013</w:t>
            </w:r>
          </w:p>
        </w:tc>
        <w:tc>
          <w:tcPr>
            <w:tcW w:w="2835" w:type="dxa"/>
          </w:tcPr>
          <w:p w:rsidR="005703CF" w:rsidRPr="005703CF" w:rsidRDefault="005703CF" w:rsidP="00606EF6">
            <w:pPr>
              <w:autoSpaceDE w:val="0"/>
              <w:autoSpaceDN w:val="0"/>
              <w:adjustRightInd w:val="0"/>
              <w:spacing w:after="120"/>
              <w:rPr>
                <w:rFonts w:cs="Arial"/>
                <w:color w:val="000000"/>
                <w:sz w:val="16"/>
                <w:szCs w:val="16"/>
                <w:lang w:val="es-ES" w:eastAsia="pt-BR"/>
              </w:rPr>
            </w:pPr>
            <w:r w:rsidRPr="005703CF">
              <w:rPr>
                <w:rFonts w:cs="Arial"/>
                <w:color w:val="000000"/>
                <w:sz w:val="16"/>
                <w:szCs w:val="16"/>
                <w:lang w:val="es-ES" w:eastAsia="pt-BR"/>
              </w:rPr>
              <w:t>Brazil/ Colombia, Peru and Uruguay</w:t>
            </w:r>
          </w:p>
        </w:tc>
        <w:tc>
          <w:tcPr>
            <w:tcW w:w="3260" w:type="dxa"/>
          </w:tcPr>
          <w:p w:rsidR="005703CF" w:rsidRPr="005746B5" w:rsidRDefault="005703CF" w:rsidP="00606EF6">
            <w:pPr>
              <w:spacing w:after="220"/>
              <w:rPr>
                <w:rFonts w:eastAsia="SimSun"/>
                <w:sz w:val="16"/>
                <w:szCs w:val="16"/>
                <w:lang w:eastAsia="zh-CN"/>
              </w:rPr>
            </w:pPr>
            <w:r>
              <w:rPr>
                <w:rFonts w:eastAsia="SimSun" w:cs="Arial"/>
                <w:color w:val="000000"/>
                <w:sz w:val="16"/>
                <w:szCs w:val="16"/>
                <w:shd w:val="clear" w:color="auto" w:fill="FFFFFF"/>
                <w:lang w:eastAsia="zh-CN"/>
              </w:rPr>
              <w:t>T</w:t>
            </w:r>
            <w:r w:rsidRPr="005746B5">
              <w:rPr>
                <w:rFonts w:eastAsia="SimSun" w:cs="Arial"/>
                <w:color w:val="000000"/>
                <w:sz w:val="16"/>
                <w:szCs w:val="16"/>
                <w:shd w:val="clear" w:color="auto" w:fill="FFFFFF"/>
                <w:lang w:eastAsia="zh-CN"/>
              </w:rPr>
              <w:t xml:space="preserve">o </w:t>
            </w:r>
            <w:r>
              <w:rPr>
                <w:rFonts w:eastAsia="SimSun" w:cs="Arial"/>
                <w:color w:val="000000"/>
                <w:sz w:val="16"/>
                <w:szCs w:val="16"/>
                <w:shd w:val="clear" w:color="auto" w:fill="FFFFFF"/>
                <w:lang w:eastAsia="zh-CN"/>
              </w:rPr>
              <w:t>create a forum for discussion on</w:t>
            </w:r>
            <w:r w:rsidRPr="005746B5">
              <w:rPr>
                <w:rFonts w:eastAsia="SimSun" w:cs="Arial"/>
                <w:color w:val="000000"/>
                <w:sz w:val="16"/>
                <w:szCs w:val="16"/>
                <w:shd w:val="clear" w:color="auto" w:fill="FFFFFF"/>
                <w:lang w:eastAsia="zh-CN"/>
              </w:rPr>
              <w:t xml:space="preserve"> the future of the IP System with a focus on development</w:t>
            </w:r>
            <w:r>
              <w:rPr>
                <w:rFonts w:eastAsia="SimSun" w:cs="Arial"/>
                <w:color w:val="000000"/>
                <w:sz w:val="16"/>
                <w:szCs w:val="16"/>
                <w:shd w:val="clear" w:color="auto" w:fill="FFFFFF"/>
                <w:lang w:eastAsia="zh-CN"/>
              </w:rPr>
              <w:t>, in particular</w:t>
            </w:r>
            <w:r w:rsidRPr="005746B5">
              <w:rPr>
                <w:rFonts w:eastAsia="SimSun" w:cs="Arial"/>
                <w:color w:val="000000"/>
                <w:sz w:val="16"/>
                <w:szCs w:val="16"/>
                <w:shd w:val="clear" w:color="auto" w:fill="FFFFFF"/>
                <w:lang w:eastAsia="zh-CN"/>
              </w:rPr>
              <w:t xml:space="preserve"> in the context of the Thematic Network of Councils </w:t>
            </w:r>
            <w:r>
              <w:rPr>
                <w:rFonts w:eastAsia="SimSun" w:cs="Arial"/>
                <w:color w:val="000000"/>
                <w:sz w:val="16"/>
                <w:szCs w:val="16"/>
                <w:shd w:val="clear" w:color="auto" w:fill="FFFFFF"/>
                <w:lang w:eastAsia="zh-CN"/>
              </w:rPr>
              <w:t>of the World Economic Forum for</w:t>
            </w:r>
            <w:r w:rsidRPr="005746B5">
              <w:rPr>
                <w:rFonts w:eastAsia="SimSun" w:cs="Arial"/>
                <w:color w:val="000000"/>
                <w:sz w:val="16"/>
                <w:szCs w:val="16"/>
                <w:shd w:val="clear" w:color="auto" w:fill="FFFFFF"/>
                <w:lang w:eastAsia="zh-CN"/>
              </w:rPr>
              <w:t xml:space="preserve"> more than 1</w:t>
            </w:r>
            <w:r>
              <w:rPr>
                <w:rFonts w:eastAsia="SimSun" w:cs="Arial"/>
                <w:color w:val="000000"/>
                <w:sz w:val="16"/>
                <w:szCs w:val="16"/>
                <w:shd w:val="clear" w:color="auto" w:fill="FFFFFF"/>
                <w:lang w:eastAsia="zh-CN"/>
              </w:rPr>
              <w:t>,</w:t>
            </w:r>
            <w:r w:rsidRPr="005746B5">
              <w:rPr>
                <w:rFonts w:eastAsia="SimSun" w:cs="Arial"/>
                <w:color w:val="000000"/>
                <w:sz w:val="16"/>
                <w:szCs w:val="16"/>
                <w:shd w:val="clear" w:color="auto" w:fill="FFFFFF"/>
                <w:lang w:eastAsia="zh-CN"/>
              </w:rPr>
              <w:t>500 leaders committed to addressing pressing issues and providing new ideas and solutions for sustainable economic development</w:t>
            </w:r>
          </w:p>
        </w:tc>
      </w:tr>
      <w:tr w:rsidR="005703CF" w:rsidRPr="005746B5" w:rsidTr="002249F8">
        <w:trPr>
          <w:trHeight w:val="371"/>
        </w:trPr>
        <w:tc>
          <w:tcPr>
            <w:tcW w:w="1843" w:type="dxa"/>
          </w:tcPr>
          <w:p w:rsidR="005703CF" w:rsidRPr="00606EF6" w:rsidRDefault="005703CF" w:rsidP="00606EF6">
            <w:pPr>
              <w:autoSpaceDE w:val="0"/>
              <w:autoSpaceDN w:val="0"/>
              <w:adjustRightInd w:val="0"/>
              <w:spacing w:after="120"/>
              <w:rPr>
                <w:rFonts w:cs="Arial"/>
                <w:color w:val="000000"/>
                <w:sz w:val="16"/>
                <w:szCs w:val="16"/>
              </w:rPr>
            </w:pPr>
            <w:r w:rsidRPr="005746B5">
              <w:rPr>
                <w:rFonts w:cs="Arial"/>
                <w:sz w:val="16"/>
                <w:szCs w:val="16"/>
              </w:rPr>
              <w:t xml:space="preserve">II Inter-Regional Forum for Heads of Industrial Property Offices of Arab </w:t>
            </w:r>
            <w:r>
              <w:rPr>
                <w:rFonts w:cs="Arial"/>
                <w:sz w:val="16"/>
                <w:szCs w:val="16"/>
              </w:rPr>
              <w:t xml:space="preserve">and </w:t>
            </w:r>
            <w:r w:rsidRPr="005746B5">
              <w:rPr>
                <w:rFonts w:cs="Arial"/>
                <w:sz w:val="16"/>
                <w:szCs w:val="16"/>
              </w:rPr>
              <w:t>South America</w:t>
            </w:r>
            <w:r>
              <w:rPr>
                <w:rFonts w:cs="Arial"/>
                <w:sz w:val="16"/>
                <w:szCs w:val="16"/>
              </w:rPr>
              <w:t>n</w:t>
            </w:r>
            <w:r w:rsidRPr="005746B5">
              <w:rPr>
                <w:rFonts w:cs="Arial"/>
                <w:sz w:val="16"/>
                <w:szCs w:val="16"/>
              </w:rPr>
              <w:t xml:space="preserve"> Countries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June 25 to 27, 2013</w:t>
            </w:r>
          </w:p>
        </w:tc>
        <w:tc>
          <w:tcPr>
            <w:tcW w:w="2835" w:type="dxa"/>
          </w:tcPr>
          <w:p w:rsidR="005703CF" w:rsidRPr="00606EF6" w:rsidRDefault="005703CF" w:rsidP="00606EF6">
            <w:pPr>
              <w:rPr>
                <w:bCs/>
                <w:color w:val="000000"/>
                <w:sz w:val="16"/>
                <w:szCs w:val="16"/>
              </w:rPr>
            </w:pPr>
            <w:r w:rsidRPr="002C4083">
              <w:rPr>
                <w:sz w:val="16"/>
                <w:szCs w:val="16"/>
              </w:rPr>
              <w:t xml:space="preserve">Brazil/Argentina, Chile, Colombia, Ecuador, Paraguay, Peru, and Uruguay (Particpants funded by FIT Brazil); </w:t>
            </w:r>
            <w:r w:rsidR="00606EF6" w:rsidRPr="002C4083">
              <w:rPr>
                <w:sz w:val="16"/>
                <w:szCs w:val="16"/>
              </w:rPr>
              <w:t xml:space="preserve"> </w:t>
            </w:r>
            <w:r w:rsidRPr="006607AC">
              <w:rPr>
                <w:color w:val="000000"/>
                <w:sz w:val="16"/>
                <w:szCs w:val="16"/>
                <w:lang w:val="de-DE"/>
              </w:rPr>
              <w:t xml:space="preserve">Egypt, </w:t>
            </w:r>
            <w:r w:rsidRPr="006607AC">
              <w:rPr>
                <w:bCs/>
                <w:color w:val="000000"/>
                <w:sz w:val="16"/>
                <w:szCs w:val="16"/>
              </w:rPr>
              <w:t>Libya,</w:t>
            </w:r>
            <w:r w:rsidR="00606EF6">
              <w:rPr>
                <w:bCs/>
                <w:color w:val="000000"/>
                <w:sz w:val="16"/>
                <w:szCs w:val="16"/>
              </w:rPr>
              <w:t xml:space="preserve"> </w:t>
            </w:r>
            <w:r w:rsidRPr="006607AC">
              <w:rPr>
                <w:bCs/>
                <w:color w:val="000000"/>
                <w:sz w:val="16"/>
                <w:szCs w:val="16"/>
              </w:rPr>
              <w:t xml:space="preserve">Morocco, Oman, Palestine, </w:t>
            </w:r>
            <w:r w:rsidRPr="006607AC">
              <w:rPr>
                <w:color w:val="000000"/>
                <w:sz w:val="16"/>
                <w:szCs w:val="16"/>
                <w:lang w:val="de-DE"/>
              </w:rPr>
              <w:t>Qatar</w:t>
            </w:r>
            <w:r w:rsidR="00606EF6">
              <w:rPr>
                <w:color w:val="000000"/>
                <w:sz w:val="16"/>
                <w:szCs w:val="16"/>
                <w:lang w:val="de-DE"/>
              </w:rPr>
              <w:t xml:space="preserve">, </w:t>
            </w:r>
            <w:r w:rsidRPr="006607AC">
              <w:rPr>
                <w:bCs/>
                <w:color w:val="000000"/>
                <w:sz w:val="16"/>
                <w:szCs w:val="16"/>
              </w:rPr>
              <w:t>Saudi</w:t>
            </w:r>
            <w:r w:rsidR="00606EF6">
              <w:rPr>
                <w:bCs/>
                <w:color w:val="000000"/>
                <w:sz w:val="16"/>
                <w:szCs w:val="16"/>
              </w:rPr>
              <w:t> </w:t>
            </w:r>
            <w:r w:rsidRPr="006607AC">
              <w:rPr>
                <w:bCs/>
                <w:color w:val="000000"/>
                <w:sz w:val="16"/>
                <w:szCs w:val="16"/>
              </w:rPr>
              <w:t>Arabia, Sudan</w:t>
            </w:r>
            <w:r w:rsidR="00606EF6">
              <w:rPr>
                <w:bCs/>
                <w:color w:val="000000"/>
                <w:sz w:val="16"/>
                <w:szCs w:val="16"/>
              </w:rPr>
              <w:t xml:space="preserve">, </w:t>
            </w:r>
            <w:r w:rsidRPr="006607AC">
              <w:rPr>
                <w:color w:val="000000"/>
                <w:sz w:val="16"/>
                <w:szCs w:val="16"/>
                <w:lang w:val="de-DE"/>
              </w:rPr>
              <w:t>Tunisia, and Yemen (funded by Program 30)</w:t>
            </w:r>
          </w:p>
        </w:tc>
        <w:tc>
          <w:tcPr>
            <w:tcW w:w="3260" w:type="dxa"/>
          </w:tcPr>
          <w:p w:rsidR="005703CF" w:rsidRPr="005746B5" w:rsidRDefault="005703CF" w:rsidP="00606EF6">
            <w:pPr>
              <w:spacing w:after="220"/>
              <w:rPr>
                <w:rFonts w:eastAsia="SimSun"/>
                <w:sz w:val="16"/>
                <w:szCs w:val="16"/>
                <w:lang w:eastAsia="zh-CN"/>
              </w:rPr>
            </w:pPr>
            <w:r>
              <w:rPr>
                <w:rFonts w:cs="Arial"/>
                <w:color w:val="000000"/>
                <w:sz w:val="16"/>
                <w:szCs w:val="16"/>
                <w:shd w:val="clear" w:color="auto" w:fill="FFFFFF"/>
              </w:rPr>
              <w:t xml:space="preserve">To: </w:t>
            </w:r>
            <w:r w:rsidR="00606EF6">
              <w:rPr>
                <w:rFonts w:cs="Arial"/>
                <w:color w:val="000000"/>
                <w:sz w:val="16"/>
                <w:szCs w:val="16"/>
                <w:shd w:val="clear" w:color="auto" w:fill="FFFFFF"/>
              </w:rPr>
              <w:t xml:space="preserve"> </w:t>
            </w:r>
            <w:r>
              <w:rPr>
                <w:rFonts w:cs="Arial"/>
                <w:color w:val="000000"/>
                <w:sz w:val="16"/>
                <w:szCs w:val="16"/>
                <w:shd w:val="clear" w:color="auto" w:fill="FFFFFF"/>
              </w:rPr>
              <w:t>(i) discuss</w:t>
            </w:r>
            <w:r w:rsidRPr="005746B5">
              <w:rPr>
                <w:rFonts w:cs="Arial"/>
                <w:color w:val="000000"/>
                <w:sz w:val="16"/>
                <w:szCs w:val="16"/>
                <w:shd w:val="clear" w:color="auto" w:fill="FFFFFF"/>
              </w:rPr>
              <w:t xml:space="preserve"> the increasing importance of innovation strategies for economic competi</w:t>
            </w:r>
            <w:r>
              <w:rPr>
                <w:rFonts w:cs="Arial"/>
                <w:color w:val="000000"/>
                <w:sz w:val="16"/>
                <w:szCs w:val="16"/>
                <w:shd w:val="clear" w:color="auto" w:fill="FFFFFF"/>
              </w:rPr>
              <w:t xml:space="preserve">tiveness and social development; </w:t>
            </w:r>
            <w:r w:rsidR="00606EF6">
              <w:rPr>
                <w:rFonts w:cs="Arial"/>
                <w:color w:val="000000"/>
                <w:sz w:val="16"/>
                <w:szCs w:val="16"/>
                <w:shd w:val="clear" w:color="auto" w:fill="FFFFFF"/>
              </w:rPr>
              <w:t xml:space="preserve"> </w:t>
            </w:r>
            <w:r>
              <w:rPr>
                <w:rFonts w:cs="Arial"/>
                <w:color w:val="000000"/>
                <w:sz w:val="16"/>
                <w:szCs w:val="16"/>
                <w:shd w:val="clear" w:color="auto" w:fill="FFFFFF"/>
              </w:rPr>
              <w:t xml:space="preserve">(ii) </w:t>
            </w:r>
            <w:r w:rsidRPr="005746B5">
              <w:rPr>
                <w:rFonts w:cs="Arial"/>
                <w:color w:val="000000"/>
                <w:sz w:val="16"/>
                <w:szCs w:val="16"/>
                <w:shd w:val="clear" w:color="auto" w:fill="FFFFFF"/>
              </w:rPr>
              <w:t>to strengthen the coope</w:t>
            </w:r>
            <w:r>
              <w:rPr>
                <w:rFonts w:cs="Arial"/>
                <w:color w:val="000000"/>
                <w:sz w:val="16"/>
                <w:szCs w:val="16"/>
                <w:shd w:val="clear" w:color="auto" w:fill="FFFFFF"/>
              </w:rPr>
              <w:t xml:space="preserve">ration between the two regions; </w:t>
            </w:r>
            <w:r w:rsidR="00606EF6">
              <w:rPr>
                <w:rFonts w:cs="Arial"/>
                <w:color w:val="000000"/>
                <w:sz w:val="16"/>
                <w:szCs w:val="16"/>
                <w:shd w:val="clear" w:color="auto" w:fill="FFFFFF"/>
              </w:rPr>
              <w:t xml:space="preserve"> </w:t>
            </w:r>
            <w:r>
              <w:rPr>
                <w:rFonts w:cs="Arial"/>
                <w:color w:val="000000"/>
                <w:sz w:val="16"/>
                <w:szCs w:val="16"/>
                <w:shd w:val="clear" w:color="auto" w:fill="FFFFFF"/>
              </w:rPr>
              <w:t xml:space="preserve">and (iii) </w:t>
            </w:r>
            <w:r w:rsidRPr="005746B5">
              <w:rPr>
                <w:rFonts w:cs="Arial"/>
                <w:color w:val="000000"/>
                <w:sz w:val="16"/>
                <w:szCs w:val="16"/>
                <w:shd w:val="clear" w:color="auto" w:fill="FFFFFF"/>
              </w:rPr>
              <w:t>to facilitate the sharing of experiences and similar challenges on IP matters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Pr>
                <w:rFonts w:eastAsia="SimSun"/>
                <w:sz w:val="16"/>
                <w:szCs w:val="16"/>
                <w:lang w:eastAsia="zh-CN"/>
              </w:rPr>
              <w:t xml:space="preserve">Two </w:t>
            </w:r>
            <w:r w:rsidRPr="005746B5">
              <w:rPr>
                <w:rFonts w:eastAsia="SimSun"/>
                <w:sz w:val="16"/>
                <w:szCs w:val="16"/>
                <w:lang w:eastAsia="zh-CN"/>
              </w:rPr>
              <w:t>Workshops on IP and Technology Transfer</w:t>
            </w:r>
            <w:r>
              <w:rPr>
                <w:rFonts w:eastAsia="SimSun"/>
                <w:sz w:val="16"/>
                <w:szCs w:val="16"/>
                <w:lang w:eastAsia="zh-CN"/>
              </w:rPr>
              <w:t xml:space="preserve"> </w:t>
            </w:r>
            <w:r w:rsidRPr="00FC6FAE">
              <w:rPr>
                <w:rFonts w:eastAsia="SimSun"/>
                <w:sz w:val="16"/>
                <w:szCs w:val="16"/>
                <w:lang w:eastAsia="zh-CN"/>
              </w:rPr>
              <w:t>organized by the Catholic University of Rio de</w:t>
            </w:r>
            <w:r>
              <w:rPr>
                <w:rFonts w:eastAsia="SimSun"/>
                <w:sz w:val="16"/>
                <w:szCs w:val="16"/>
                <w:lang w:eastAsia="zh-CN"/>
              </w:rPr>
              <w:t xml:space="preserve"> </w:t>
            </w:r>
            <w:r w:rsidRPr="00FC6FAE">
              <w:rPr>
                <w:rFonts w:eastAsia="SimSun"/>
                <w:sz w:val="16"/>
                <w:szCs w:val="16"/>
                <w:lang w:eastAsia="zh-CN"/>
              </w:rPr>
              <w:t>Janeiro (PUC-Rio) and the Catholic University of RIo Grande do Sul PUC-RS)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July 1 to 4, 2013</w:t>
            </w:r>
          </w:p>
        </w:tc>
        <w:tc>
          <w:tcPr>
            <w:tcW w:w="2835" w:type="dxa"/>
          </w:tcPr>
          <w:p w:rsidR="005703CF" w:rsidRPr="002C4083" w:rsidRDefault="005703CF" w:rsidP="002249F8">
            <w:pPr>
              <w:autoSpaceDE w:val="0"/>
              <w:autoSpaceDN w:val="0"/>
              <w:adjustRightInd w:val="0"/>
              <w:spacing w:after="120"/>
              <w:rPr>
                <w:rFonts w:cs="Arial"/>
                <w:color w:val="000000"/>
                <w:sz w:val="16"/>
                <w:szCs w:val="16"/>
                <w:lang w:val="pt-BR" w:eastAsia="pt-BR"/>
              </w:rPr>
            </w:pPr>
            <w:r w:rsidRPr="002C4083">
              <w:rPr>
                <w:rFonts w:cs="Arial"/>
                <w:color w:val="000000"/>
                <w:sz w:val="16"/>
                <w:szCs w:val="16"/>
                <w:lang w:val="pt-BR" w:eastAsia="pt-BR"/>
              </w:rPr>
              <w:t>Brazil (Rio de Janeiro and Porto Alegre)/Brazil</w:t>
            </w:r>
          </w:p>
        </w:tc>
        <w:tc>
          <w:tcPr>
            <w:tcW w:w="3260" w:type="dxa"/>
          </w:tcPr>
          <w:p w:rsidR="005703CF" w:rsidRPr="005746B5" w:rsidRDefault="005703CF" w:rsidP="00606EF6">
            <w:pPr>
              <w:spacing w:after="220"/>
              <w:rPr>
                <w:rFonts w:eastAsia="SimSun"/>
                <w:sz w:val="16"/>
                <w:szCs w:val="16"/>
                <w:lang w:eastAsia="zh-CN"/>
              </w:rPr>
            </w:pPr>
            <w:r>
              <w:rPr>
                <w:rFonts w:eastAsia="SimSun"/>
                <w:sz w:val="16"/>
                <w:szCs w:val="16"/>
                <w:lang w:eastAsia="zh-CN"/>
              </w:rPr>
              <w:t>To discuss</w:t>
            </w:r>
            <w:r w:rsidRPr="005746B5">
              <w:rPr>
                <w:rFonts w:eastAsia="SimSun"/>
                <w:sz w:val="16"/>
                <w:szCs w:val="16"/>
                <w:lang w:eastAsia="zh-CN"/>
              </w:rPr>
              <w:t xml:space="preserve"> aspects related to public policies on innovation and IP as they relate to the challenges of knowledge transfer faced by technology transfer offices of universities and research institutions</w:t>
            </w:r>
          </w:p>
        </w:tc>
      </w:tr>
      <w:tr w:rsidR="005703CF" w:rsidRPr="005746B5" w:rsidTr="002249F8">
        <w:trPr>
          <w:trHeight w:val="371"/>
        </w:trPr>
        <w:tc>
          <w:tcPr>
            <w:tcW w:w="1843" w:type="dxa"/>
          </w:tcPr>
          <w:p w:rsidR="005703CF" w:rsidRPr="005746B5" w:rsidRDefault="005703CF" w:rsidP="00606EF6">
            <w:pPr>
              <w:spacing w:before="120" w:after="220"/>
              <w:rPr>
                <w:rFonts w:eastAsia="SimSun"/>
                <w:sz w:val="16"/>
                <w:szCs w:val="16"/>
                <w:lang w:eastAsia="zh-CN"/>
              </w:rPr>
            </w:pPr>
            <w:r w:rsidRPr="005746B5">
              <w:rPr>
                <w:rFonts w:eastAsia="SimSun"/>
                <w:sz w:val="16"/>
                <w:szCs w:val="16"/>
                <w:lang w:eastAsia="zh-CN"/>
              </w:rPr>
              <w:lastRenderedPageBreak/>
              <w:t>Conference on the Strategic Use of Intellectual Property by the Sport Industry</w:t>
            </w:r>
          </w:p>
        </w:tc>
        <w:tc>
          <w:tcPr>
            <w:tcW w:w="1134" w:type="dxa"/>
          </w:tcPr>
          <w:p w:rsidR="005703CF" w:rsidRPr="005746B5" w:rsidRDefault="005703CF" w:rsidP="00606EF6">
            <w:pPr>
              <w:autoSpaceDE w:val="0"/>
              <w:autoSpaceDN w:val="0"/>
              <w:adjustRightInd w:val="0"/>
              <w:spacing w:before="120" w:after="120"/>
              <w:rPr>
                <w:rFonts w:cs="Arial"/>
                <w:color w:val="000000"/>
                <w:sz w:val="16"/>
                <w:szCs w:val="16"/>
              </w:rPr>
            </w:pPr>
            <w:r w:rsidRPr="005746B5">
              <w:rPr>
                <w:rFonts w:cs="Arial"/>
                <w:color w:val="000000"/>
                <w:sz w:val="16"/>
                <w:szCs w:val="16"/>
              </w:rPr>
              <w:t>July 30 and 31, 2013</w:t>
            </w:r>
          </w:p>
        </w:tc>
        <w:tc>
          <w:tcPr>
            <w:tcW w:w="2835" w:type="dxa"/>
          </w:tcPr>
          <w:p w:rsidR="005703CF" w:rsidRPr="005746B5" w:rsidRDefault="005703CF" w:rsidP="00606EF6">
            <w:pPr>
              <w:autoSpaceDE w:val="0"/>
              <w:autoSpaceDN w:val="0"/>
              <w:adjustRightInd w:val="0"/>
              <w:spacing w:before="120" w:after="120"/>
              <w:rPr>
                <w:rFonts w:cs="Arial"/>
                <w:color w:val="000000"/>
                <w:sz w:val="16"/>
                <w:szCs w:val="16"/>
                <w:lang w:eastAsia="pt-BR"/>
              </w:rPr>
            </w:pPr>
            <w:r w:rsidRPr="005746B5">
              <w:rPr>
                <w:rFonts w:cs="Arial"/>
                <w:color w:val="000000"/>
                <w:sz w:val="16"/>
                <w:szCs w:val="16"/>
                <w:lang w:eastAsia="pt-BR"/>
              </w:rPr>
              <w:t>Brazil</w:t>
            </w:r>
          </w:p>
        </w:tc>
        <w:tc>
          <w:tcPr>
            <w:tcW w:w="3260" w:type="dxa"/>
          </w:tcPr>
          <w:p w:rsidR="005703CF" w:rsidRPr="005746B5" w:rsidRDefault="005703CF" w:rsidP="00606EF6">
            <w:pPr>
              <w:spacing w:before="120" w:after="120"/>
              <w:rPr>
                <w:rFonts w:eastAsia="SimSun" w:cs="Arial"/>
                <w:sz w:val="16"/>
                <w:szCs w:val="16"/>
                <w:lang w:eastAsia="zh-CN"/>
              </w:rPr>
            </w:pPr>
            <w:r w:rsidRPr="005746B5">
              <w:rPr>
                <w:rFonts w:eastAsia="SimSun" w:cs="Arial"/>
                <w:color w:val="000000"/>
                <w:sz w:val="16"/>
                <w:szCs w:val="16"/>
                <w:shd w:val="clear" w:color="auto" w:fill="FFFFFF"/>
                <w:lang w:eastAsia="zh-CN"/>
              </w:rPr>
              <w:t>T</w:t>
            </w:r>
            <w:r>
              <w:rPr>
                <w:rFonts w:eastAsia="SimSun" w:cs="Arial"/>
                <w:color w:val="000000"/>
                <w:sz w:val="16"/>
                <w:szCs w:val="16"/>
                <w:shd w:val="clear" w:color="auto" w:fill="FFFFFF"/>
                <w:lang w:eastAsia="zh-CN"/>
              </w:rPr>
              <w:t xml:space="preserve">o strengthen the understanding of </w:t>
            </w:r>
            <w:r w:rsidRPr="005746B5">
              <w:rPr>
                <w:rFonts w:eastAsia="SimSun" w:cs="Arial"/>
                <w:color w:val="000000"/>
                <w:sz w:val="16"/>
                <w:szCs w:val="16"/>
                <w:shd w:val="clear" w:color="auto" w:fill="FFFFFF"/>
                <w:lang w:eastAsia="zh-CN"/>
              </w:rPr>
              <w:t>the importance of</w:t>
            </w:r>
            <w:r>
              <w:rPr>
                <w:rFonts w:eastAsia="SimSun" w:cs="Arial"/>
                <w:color w:val="000000"/>
                <w:sz w:val="16"/>
                <w:szCs w:val="16"/>
                <w:shd w:val="clear" w:color="auto" w:fill="FFFFFF"/>
                <w:lang w:eastAsia="zh-CN"/>
              </w:rPr>
              <w:t>: (i)</w:t>
            </w:r>
            <w:r w:rsidRPr="005746B5">
              <w:rPr>
                <w:rFonts w:eastAsia="SimSun" w:cs="Arial"/>
                <w:color w:val="000000"/>
                <w:sz w:val="16"/>
                <w:szCs w:val="16"/>
                <w:shd w:val="clear" w:color="auto" w:fill="FFFFFF"/>
                <w:lang w:eastAsia="zh-CN"/>
              </w:rPr>
              <w:t xml:space="preserve"> </w:t>
            </w:r>
            <w:r>
              <w:rPr>
                <w:rFonts w:eastAsia="SimSun" w:cs="Arial"/>
                <w:color w:val="000000"/>
                <w:sz w:val="16"/>
                <w:szCs w:val="16"/>
                <w:shd w:val="clear" w:color="auto" w:fill="FFFFFF"/>
                <w:lang w:eastAsia="zh-CN"/>
              </w:rPr>
              <w:t xml:space="preserve">a strategic approach </w:t>
            </w:r>
            <w:r w:rsidRPr="005746B5">
              <w:rPr>
                <w:rFonts w:eastAsia="SimSun" w:cs="Arial"/>
                <w:color w:val="000000"/>
                <w:sz w:val="16"/>
                <w:szCs w:val="16"/>
                <w:shd w:val="clear" w:color="auto" w:fill="FFFFFF"/>
                <w:lang w:eastAsia="zh-CN"/>
              </w:rPr>
              <w:t>to create IP legacy after major sports events</w:t>
            </w:r>
            <w:r>
              <w:rPr>
                <w:rFonts w:eastAsia="SimSun" w:cs="Arial"/>
                <w:color w:val="000000"/>
                <w:sz w:val="16"/>
                <w:szCs w:val="16"/>
                <w:shd w:val="clear" w:color="auto" w:fill="FFFFFF"/>
                <w:lang w:eastAsia="zh-CN"/>
              </w:rPr>
              <w:t>; (ii)</w:t>
            </w:r>
            <w:r w:rsidRPr="005746B5">
              <w:rPr>
                <w:rFonts w:eastAsia="SimSun" w:cs="Arial"/>
                <w:color w:val="000000"/>
                <w:sz w:val="16"/>
                <w:szCs w:val="16"/>
                <w:shd w:val="clear" w:color="auto" w:fill="FFFFFF"/>
                <w:lang w:eastAsia="zh-CN"/>
              </w:rPr>
              <w:t xml:space="preserve"> an informed use of trademarks and patents for the success of commercial transactions undertaken in the context of major sport events.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VI International Congress on Free Software and Electronic Government (CONSEG</w:t>
            </w:r>
            <w:r>
              <w:rPr>
                <w:rFonts w:eastAsia="SimSun"/>
                <w:sz w:val="16"/>
                <w:szCs w:val="16"/>
                <w:lang w:eastAsia="zh-CN"/>
              </w:rPr>
              <w:t>U</w:t>
            </w:r>
            <w:r w:rsidRPr="005746B5">
              <w:rPr>
                <w:rFonts w:eastAsia="SimSun"/>
                <w:sz w:val="16"/>
                <w:szCs w:val="16"/>
                <w:lang w:eastAsia="zh-CN"/>
              </w:rPr>
              <w:t>I)</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August 13 and 15, 2013</w:t>
            </w:r>
          </w:p>
        </w:tc>
        <w:tc>
          <w:tcPr>
            <w:tcW w:w="2835" w:type="dxa"/>
          </w:tcPr>
          <w:p w:rsidR="005703CF" w:rsidRPr="005746B5" w:rsidRDefault="005703CF" w:rsidP="002249F8">
            <w:pPr>
              <w:autoSpaceDE w:val="0"/>
              <w:autoSpaceDN w:val="0"/>
              <w:adjustRightInd w:val="0"/>
              <w:spacing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after="120"/>
              <w:rPr>
                <w:rFonts w:eastAsia="SimSun"/>
                <w:sz w:val="16"/>
                <w:szCs w:val="16"/>
                <w:lang w:eastAsia="zh-CN"/>
              </w:rPr>
            </w:pPr>
            <w:r>
              <w:rPr>
                <w:rFonts w:eastAsia="SimSun"/>
                <w:sz w:val="16"/>
                <w:szCs w:val="16"/>
                <w:lang w:val="en-GB" w:eastAsia="zh-CN"/>
              </w:rPr>
              <w:t>T</w:t>
            </w:r>
            <w:r w:rsidRPr="005746B5">
              <w:rPr>
                <w:rFonts w:eastAsia="SimSun"/>
                <w:sz w:val="16"/>
                <w:szCs w:val="16"/>
                <w:lang w:val="en-GB" w:eastAsia="zh-CN"/>
              </w:rPr>
              <w:t xml:space="preserve">o promote </w:t>
            </w:r>
            <w:r w:rsidRPr="005746B5">
              <w:rPr>
                <w:rFonts w:eastAsia="SimSun"/>
                <w:sz w:val="16"/>
                <w:szCs w:val="16"/>
                <w:lang w:eastAsia="zh-CN"/>
              </w:rPr>
              <w:t xml:space="preserve">a </w:t>
            </w:r>
            <w:r>
              <w:rPr>
                <w:rFonts w:eastAsia="SimSun"/>
                <w:sz w:val="16"/>
                <w:szCs w:val="16"/>
                <w:lang w:eastAsia="zh-CN"/>
              </w:rPr>
              <w:t xml:space="preserve">forum for </w:t>
            </w:r>
            <w:r w:rsidRPr="005746B5">
              <w:rPr>
                <w:rFonts w:eastAsia="SimSun"/>
                <w:sz w:val="16"/>
                <w:szCs w:val="16"/>
                <w:lang w:eastAsia="zh-CN"/>
              </w:rPr>
              <w:t xml:space="preserve">debate </w:t>
            </w:r>
            <w:r>
              <w:rPr>
                <w:rFonts w:eastAsia="SimSun"/>
                <w:sz w:val="16"/>
                <w:szCs w:val="16"/>
                <w:lang w:eastAsia="zh-CN"/>
              </w:rPr>
              <w:t xml:space="preserve">between </w:t>
            </w:r>
            <w:r w:rsidRPr="005746B5">
              <w:rPr>
                <w:rFonts w:eastAsia="SimSun"/>
                <w:sz w:val="16"/>
                <w:szCs w:val="16"/>
                <w:lang w:eastAsia="zh-CN"/>
              </w:rPr>
              <w:t>repr</w:t>
            </w:r>
            <w:r>
              <w:rPr>
                <w:rFonts w:eastAsia="SimSun"/>
                <w:sz w:val="16"/>
                <w:szCs w:val="16"/>
                <w:lang w:eastAsia="zh-CN"/>
              </w:rPr>
              <w:t>esentatives from the G</w:t>
            </w:r>
            <w:r w:rsidRPr="005746B5">
              <w:rPr>
                <w:rFonts w:eastAsia="SimSun"/>
                <w:sz w:val="16"/>
                <w:szCs w:val="16"/>
                <w:lang w:eastAsia="zh-CN"/>
              </w:rPr>
              <w:t>overnment</w:t>
            </w:r>
            <w:r>
              <w:rPr>
                <w:rFonts w:eastAsia="SimSun"/>
                <w:sz w:val="16"/>
                <w:szCs w:val="16"/>
                <w:lang w:eastAsia="zh-CN"/>
              </w:rPr>
              <w:t xml:space="preserve"> of Brazil</w:t>
            </w:r>
            <w:r w:rsidRPr="005746B5">
              <w:rPr>
                <w:rFonts w:eastAsia="SimSun"/>
                <w:sz w:val="16"/>
                <w:szCs w:val="16"/>
                <w:lang w:eastAsia="zh-CN"/>
              </w:rPr>
              <w:t xml:space="preserve"> and civil society on projects and initiatives related to knowledge-sharing, adoption of open-source standards and promotion of free software solutions, in order to contribute to the enhancement of public policies on information and communication technologies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WIPO Inter-Regional Workshop on Patent Analytics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August 26 to 28, 2013</w:t>
            </w:r>
          </w:p>
        </w:tc>
        <w:tc>
          <w:tcPr>
            <w:tcW w:w="2835" w:type="dxa"/>
          </w:tcPr>
          <w:p w:rsidR="005703CF" w:rsidRPr="005746B5" w:rsidRDefault="005703CF" w:rsidP="002249F8">
            <w:pPr>
              <w:autoSpaceDE w:val="0"/>
              <w:autoSpaceDN w:val="0"/>
              <w:adjustRightInd w:val="0"/>
              <w:spacing w:after="120"/>
              <w:rPr>
                <w:rFonts w:cs="Arial"/>
                <w:color w:val="000000"/>
                <w:sz w:val="16"/>
                <w:szCs w:val="16"/>
                <w:lang w:eastAsia="pt-BR"/>
              </w:rPr>
            </w:pPr>
            <w:r w:rsidRPr="005746B5">
              <w:rPr>
                <w:rFonts w:cs="Arial"/>
                <w:sz w:val="16"/>
                <w:szCs w:val="16"/>
              </w:rPr>
              <w:t>Brazil</w:t>
            </w:r>
            <w:r>
              <w:rPr>
                <w:rFonts w:cs="Arial"/>
                <w:sz w:val="16"/>
                <w:szCs w:val="16"/>
              </w:rPr>
              <w:t>/</w:t>
            </w:r>
            <w:r w:rsidRPr="005746B5">
              <w:rPr>
                <w:rFonts w:cs="Arial"/>
                <w:sz w:val="16"/>
                <w:szCs w:val="16"/>
              </w:rPr>
              <w:t xml:space="preserve"> Chile, Colombia, Cuba, Mexico and the Philippines </w:t>
            </w:r>
          </w:p>
        </w:tc>
        <w:tc>
          <w:tcPr>
            <w:tcW w:w="3260" w:type="dxa"/>
          </w:tcPr>
          <w:p w:rsidR="005703CF" w:rsidRPr="005746B5" w:rsidRDefault="005703CF" w:rsidP="00606EF6">
            <w:pPr>
              <w:spacing w:after="220"/>
              <w:rPr>
                <w:rFonts w:eastAsia="SimSun"/>
                <w:sz w:val="16"/>
                <w:szCs w:val="16"/>
                <w:lang w:eastAsia="zh-CN"/>
              </w:rPr>
            </w:pPr>
            <w:r>
              <w:rPr>
                <w:rFonts w:eastAsia="SimSun"/>
                <w:sz w:val="16"/>
                <w:szCs w:val="16"/>
                <w:lang w:eastAsia="zh-CN"/>
              </w:rPr>
              <w:t>T</w:t>
            </w:r>
            <w:r w:rsidRPr="005746B5">
              <w:rPr>
                <w:rFonts w:eastAsia="SimSun"/>
                <w:sz w:val="16"/>
                <w:szCs w:val="16"/>
                <w:lang w:eastAsia="zh-CN"/>
              </w:rPr>
              <w:t>o</w:t>
            </w:r>
            <w:r>
              <w:rPr>
                <w:rFonts w:eastAsia="SimSun"/>
                <w:sz w:val="16"/>
                <w:szCs w:val="16"/>
                <w:lang w:eastAsia="zh-CN"/>
              </w:rPr>
              <w:t>: (i)</w:t>
            </w:r>
            <w:r w:rsidRPr="005746B5">
              <w:rPr>
                <w:rFonts w:eastAsia="SimSun"/>
                <w:sz w:val="16"/>
                <w:szCs w:val="16"/>
                <w:lang w:eastAsia="zh-CN"/>
              </w:rPr>
              <w:t xml:space="preserve"> discus</w:t>
            </w:r>
            <w:r>
              <w:rPr>
                <w:rFonts w:eastAsia="SimSun"/>
                <w:sz w:val="16"/>
                <w:szCs w:val="16"/>
                <w:lang w:eastAsia="zh-CN"/>
              </w:rPr>
              <w:t>s patent landscaping challenges;</w:t>
            </w:r>
            <w:r w:rsidRPr="005746B5">
              <w:rPr>
                <w:rFonts w:eastAsia="SimSun"/>
                <w:sz w:val="16"/>
                <w:szCs w:val="16"/>
                <w:lang w:eastAsia="zh-CN"/>
              </w:rPr>
              <w:t xml:space="preserve"> </w:t>
            </w:r>
            <w:r>
              <w:rPr>
                <w:rFonts w:eastAsia="SimSun"/>
                <w:sz w:val="16"/>
                <w:szCs w:val="16"/>
                <w:lang w:eastAsia="zh-CN"/>
              </w:rPr>
              <w:t>(ii)</w:t>
            </w:r>
            <w:r w:rsidRPr="005746B5">
              <w:rPr>
                <w:rFonts w:eastAsia="SimSun"/>
                <w:sz w:val="16"/>
                <w:szCs w:val="16"/>
                <w:lang w:eastAsia="zh-CN"/>
              </w:rPr>
              <w:t xml:space="preserve"> share best practices</w:t>
            </w:r>
            <w:r>
              <w:rPr>
                <w:rFonts w:eastAsia="SimSun"/>
                <w:sz w:val="16"/>
                <w:szCs w:val="16"/>
                <w:lang w:eastAsia="zh-CN"/>
              </w:rPr>
              <w:t>;</w:t>
            </w:r>
            <w:r w:rsidRPr="005746B5">
              <w:rPr>
                <w:rFonts w:eastAsia="SimSun"/>
                <w:sz w:val="16"/>
                <w:szCs w:val="16"/>
                <w:lang w:eastAsia="zh-CN"/>
              </w:rPr>
              <w:t xml:space="preserve"> </w:t>
            </w:r>
            <w:r>
              <w:rPr>
                <w:rFonts w:eastAsia="SimSun"/>
                <w:sz w:val="16"/>
                <w:szCs w:val="16"/>
                <w:lang w:eastAsia="zh-CN"/>
              </w:rPr>
              <w:t xml:space="preserve">(iii) </w:t>
            </w:r>
            <w:r w:rsidRPr="005746B5">
              <w:rPr>
                <w:rFonts w:eastAsia="SimSun"/>
                <w:sz w:val="16"/>
                <w:szCs w:val="16"/>
                <w:lang w:eastAsia="zh-CN"/>
              </w:rPr>
              <w:t>identify opportunities for enhanced cooperation in the field of use of patent information</w:t>
            </w:r>
            <w:r>
              <w:rPr>
                <w:rFonts w:eastAsia="SimSun"/>
                <w:sz w:val="16"/>
                <w:szCs w:val="16"/>
                <w:lang w:eastAsia="zh-CN"/>
              </w:rPr>
              <w:t>; and (iv) to provide</w:t>
            </w:r>
            <w:r w:rsidRPr="005746B5">
              <w:rPr>
                <w:rFonts w:eastAsia="SimSun"/>
                <w:sz w:val="16"/>
                <w:szCs w:val="16"/>
                <w:lang w:eastAsia="zh-CN"/>
              </w:rPr>
              <w:t xml:space="preserve"> a platform for discussion and feedback to the draft WIPO Patent Landscaping Reports Guidelines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cs="Arial"/>
                <w:color w:val="000000"/>
                <w:sz w:val="16"/>
                <w:szCs w:val="16"/>
              </w:rPr>
              <w:t>PROSUR consultancy</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September 3 to October 3, 2013</w:t>
            </w:r>
          </w:p>
        </w:tc>
        <w:tc>
          <w:tcPr>
            <w:tcW w:w="2835" w:type="dxa"/>
          </w:tcPr>
          <w:p w:rsidR="005703CF" w:rsidRPr="005703CF" w:rsidRDefault="005703CF" w:rsidP="002249F8">
            <w:pPr>
              <w:autoSpaceDE w:val="0"/>
              <w:autoSpaceDN w:val="0"/>
              <w:adjustRightInd w:val="0"/>
              <w:spacing w:after="120"/>
              <w:rPr>
                <w:rFonts w:cs="Arial"/>
                <w:sz w:val="16"/>
                <w:szCs w:val="16"/>
                <w:lang w:val="es-ES"/>
              </w:rPr>
            </w:pPr>
            <w:r w:rsidRPr="005746B5">
              <w:rPr>
                <w:rFonts w:cs="Arial"/>
                <w:color w:val="000000"/>
                <w:sz w:val="16"/>
                <w:szCs w:val="16"/>
                <w:lang w:val="pt-BR" w:eastAsia="pt-BR"/>
              </w:rPr>
              <w:t>Argentina, Chile, Colombia, Ecuador, Paraguay, Peru, Suriname, Uruguay</w:t>
            </w:r>
          </w:p>
        </w:tc>
        <w:tc>
          <w:tcPr>
            <w:tcW w:w="3260" w:type="dxa"/>
          </w:tcPr>
          <w:p w:rsidR="005703CF" w:rsidRPr="001C4C24" w:rsidRDefault="005703CF" w:rsidP="00606EF6">
            <w:pPr>
              <w:spacing w:after="200"/>
              <w:rPr>
                <w:rFonts w:cs="Arial"/>
                <w:color w:val="000000"/>
                <w:sz w:val="16"/>
                <w:szCs w:val="16"/>
                <w:lang w:eastAsia="pt-BR"/>
              </w:rPr>
            </w:pPr>
            <w:r>
              <w:rPr>
                <w:rFonts w:cs="Arial"/>
                <w:sz w:val="16"/>
                <w:szCs w:val="16"/>
              </w:rPr>
              <w:t>To develop</w:t>
            </w:r>
            <w:r w:rsidRPr="005746B5">
              <w:rPr>
                <w:rFonts w:cs="Arial"/>
                <w:color w:val="000000"/>
                <w:sz w:val="16"/>
                <w:szCs w:val="16"/>
                <w:lang w:eastAsia="pt-BR"/>
              </w:rPr>
              <w:t xml:space="preserve"> an evaluative study on the institutionalization of the PROSUR Platform (Reg</w:t>
            </w:r>
            <w:r>
              <w:rPr>
                <w:rFonts w:cs="Arial"/>
                <w:color w:val="000000"/>
                <w:sz w:val="16"/>
                <w:szCs w:val="16"/>
                <w:lang w:eastAsia="pt-BR"/>
              </w:rPr>
              <w:t>ional Cooperation System on IP)</w:t>
            </w:r>
            <w:r w:rsidRPr="005746B5">
              <w:rPr>
                <w:rFonts w:cs="Arial"/>
                <w:color w:val="000000"/>
                <w:sz w:val="16"/>
                <w:szCs w:val="16"/>
                <w:lang w:eastAsia="pt-BR"/>
              </w:rPr>
              <w:t xml:space="preserve"> </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 xml:space="preserve">Workshop on the Strategic Use of IP for SMEs </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 xml:space="preserve">September 10 and 11, 2013 </w:t>
            </w:r>
          </w:p>
        </w:tc>
        <w:tc>
          <w:tcPr>
            <w:tcW w:w="2835" w:type="dxa"/>
          </w:tcPr>
          <w:p w:rsidR="005703CF" w:rsidRDefault="005703CF" w:rsidP="002249F8">
            <w:pPr>
              <w:autoSpaceDE w:val="0"/>
              <w:autoSpaceDN w:val="0"/>
              <w:adjustRightInd w:val="0"/>
              <w:spacing w:after="120"/>
              <w:rPr>
                <w:rFonts w:cs="Arial"/>
                <w:sz w:val="16"/>
                <w:szCs w:val="16"/>
                <w:lang w:val="en-GB"/>
              </w:rPr>
            </w:pPr>
            <w:r w:rsidRPr="005746B5">
              <w:rPr>
                <w:rFonts w:cs="Arial"/>
                <w:sz w:val="16"/>
                <w:szCs w:val="16"/>
                <w:lang w:val="en-GB"/>
              </w:rPr>
              <w:t>Brazil</w:t>
            </w:r>
          </w:p>
          <w:p w:rsidR="005703CF" w:rsidRPr="005746B5" w:rsidRDefault="005703CF" w:rsidP="002249F8">
            <w:pPr>
              <w:autoSpaceDE w:val="0"/>
              <w:autoSpaceDN w:val="0"/>
              <w:adjustRightInd w:val="0"/>
              <w:spacing w:after="120"/>
              <w:rPr>
                <w:rFonts w:cs="Arial"/>
                <w:sz w:val="16"/>
                <w:szCs w:val="16"/>
                <w:lang w:val="en-GB"/>
              </w:rPr>
            </w:pPr>
          </w:p>
        </w:tc>
        <w:tc>
          <w:tcPr>
            <w:tcW w:w="3260" w:type="dxa"/>
          </w:tcPr>
          <w:p w:rsidR="005703CF" w:rsidRPr="001C4C24" w:rsidRDefault="005703CF" w:rsidP="00606EF6">
            <w:pPr>
              <w:spacing w:after="220"/>
              <w:rPr>
                <w:rFonts w:eastAsia="SimSun" w:cs="Arial"/>
                <w:sz w:val="16"/>
                <w:szCs w:val="16"/>
                <w:lang w:eastAsia="zh-CN"/>
              </w:rPr>
            </w:pPr>
            <w:r>
              <w:rPr>
                <w:rFonts w:eastAsia="SimSun" w:cs="Arial"/>
                <w:sz w:val="16"/>
                <w:szCs w:val="16"/>
                <w:lang w:eastAsia="zh-CN"/>
              </w:rPr>
              <w:t>T</w:t>
            </w:r>
            <w:r w:rsidRPr="005746B5">
              <w:rPr>
                <w:rFonts w:eastAsia="SimSun" w:cs="Arial"/>
                <w:sz w:val="16"/>
                <w:szCs w:val="16"/>
                <w:lang w:eastAsia="zh-CN"/>
              </w:rPr>
              <w:t>o promote a better understanding and use of the IP system by SMEs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Annual Meeting of the IP Network of Rio de Janeiro</w:t>
            </w:r>
            <w:r>
              <w:rPr>
                <w:rFonts w:eastAsia="SimSun"/>
                <w:sz w:val="16"/>
                <w:szCs w:val="16"/>
                <w:lang w:eastAsia="zh-CN"/>
              </w:rPr>
              <w:t xml:space="preserve"> (REPICT)</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September 12 and 13, 2013</w:t>
            </w:r>
          </w:p>
        </w:tc>
        <w:tc>
          <w:tcPr>
            <w:tcW w:w="2835" w:type="dxa"/>
          </w:tcPr>
          <w:p w:rsidR="005703CF" w:rsidRPr="001C4C24" w:rsidRDefault="005703CF" w:rsidP="002249F8">
            <w:pPr>
              <w:autoSpaceDE w:val="0"/>
              <w:autoSpaceDN w:val="0"/>
              <w:adjustRightInd w:val="0"/>
              <w:spacing w:after="120"/>
              <w:rPr>
                <w:rFonts w:cs="Arial"/>
                <w:sz w:val="16"/>
                <w:szCs w:val="16"/>
              </w:rPr>
            </w:pPr>
            <w:r>
              <w:rPr>
                <w:rFonts w:cs="Arial"/>
                <w:sz w:val="16"/>
                <w:szCs w:val="16"/>
                <w:lang w:val="en-GB"/>
              </w:rPr>
              <w:t>Brazil</w:t>
            </w:r>
          </w:p>
        </w:tc>
        <w:tc>
          <w:tcPr>
            <w:tcW w:w="3260" w:type="dxa"/>
          </w:tcPr>
          <w:p w:rsidR="005703CF" w:rsidRPr="005746B5" w:rsidRDefault="005703CF" w:rsidP="00606EF6">
            <w:pPr>
              <w:tabs>
                <w:tab w:val="left" w:pos="567"/>
                <w:tab w:val="left" w:pos="1134"/>
                <w:tab w:val="left" w:pos="1701"/>
                <w:tab w:val="left" w:pos="5670"/>
              </w:tabs>
              <w:suppressAutoHyphens/>
              <w:rPr>
                <w:rFonts w:eastAsia="SimSun" w:cs="Arial"/>
                <w:sz w:val="16"/>
                <w:szCs w:val="16"/>
                <w:lang w:eastAsia="zh-CN"/>
              </w:rPr>
            </w:pPr>
            <w:r w:rsidRPr="005746B5">
              <w:rPr>
                <w:rFonts w:eastAsia="SimSun" w:cs="Arial"/>
                <w:sz w:val="16"/>
                <w:szCs w:val="16"/>
                <w:lang w:eastAsia="zh-CN"/>
              </w:rPr>
              <w:t xml:space="preserve">REPICT has served as a model to optimize the delivery of IP services, as well as to contribute to a more inclusive discussion among the Brazilian scientific and technological community on issues such as the innovation law, incentives to R&amp;D investments and to IP protection, innovation and commercialization models. </w:t>
            </w:r>
          </w:p>
          <w:p w:rsidR="005703CF" w:rsidRPr="00606EF6" w:rsidRDefault="005703CF" w:rsidP="00606EF6">
            <w:pPr>
              <w:spacing w:after="220"/>
              <w:rPr>
                <w:rFonts w:eastAsia="SimSun" w:cs="Arial"/>
                <w:sz w:val="16"/>
                <w:szCs w:val="16"/>
                <w:lang w:eastAsia="zh-CN"/>
              </w:rPr>
            </w:pPr>
            <w:r w:rsidRPr="005746B5">
              <w:rPr>
                <w:rFonts w:eastAsia="SimSun" w:cs="Arial"/>
                <w:sz w:val="16"/>
                <w:szCs w:val="16"/>
                <w:lang w:eastAsia="zh-CN"/>
              </w:rPr>
              <w:t>This was the sixteenth edition of REPICT’s Annual Meeting, which is one of the most important regular events on IP and technology transfer in Brazil.</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Workshop on IP and Technology Transfer in the Context of Green Technologies</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October 22 to 24, 2013</w:t>
            </w:r>
          </w:p>
        </w:tc>
        <w:tc>
          <w:tcPr>
            <w:tcW w:w="2835" w:type="dxa"/>
          </w:tcPr>
          <w:p w:rsidR="005703CF" w:rsidRPr="005746B5" w:rsidRDefault="005703CF" w:rsidP="002249F8">
            <w:pPr>
              <w:autoSpaceDE w:val="0"/>
              <w:autoSpaceDN w:val="0"/>
              <w:adjustRightInd w:val="0"/>
              <w:spacing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after="220"/>
              <w:rPr>
                <w:rFonts w:eastAsia="SimSun" w:cs="Arial"/>
                <w:sz w:val="16"/>
                <w:szCs w:val="16"/>
                <w:lang w:eastAsia="zh-CN"/>
              </w:rPr>
            </w:pPr>
            <w:r>
              <w:rPr>
                <w:rFonts w:eastAsia="SimSun" w:cs="Arial"/>
                <w:color w:val="000000"/>
                <w:sz w:val="16"/>
                <w:szCs w:val="16"/>
                <w:shd w:val="clear" w:color="auto" w:fill="FFFFFF"/>
                <w:lang w:eastAsia="zh-CN"/>
              </w:rPr>
              <w:t>To: (i)</w:t>
            </w:r>
            <w:r w:rsidRPr="005746B5">
              <w:rPr>
                <w:rFonts w:eastAsia="SimSun" w:cs="Arial"/>
                <w:color w:val="000000"/>
                <w:sz w:val="16"/>
                <w:szCs w:val="16"/>
                <w:shd w:val="clear" w:color="auto" w:fill="FFFFFF"/>
                <w:lang w:eastAsia="zh-CN"/>
              </w:rPr>
              <w:t xml:space="preserve"> </w:t>
            </w:r>
            <w:r>
              <w:rPr>
                <w:rFonts w:eastAsia="SimSun" w:cs="Arial"/>
                <w:color w:val="000000"/>
                <w:sz w:val="16"/>
                <w:szCs w:val="16"/>
                <w:shd w:val="clear" w:color="auto" w:fill="FFFFFF"/>
                <w:lang w:eastAsia="zh-CN"/>
              </w:rPr>
              <w:t xml:space="preserve">discuss </w:t>
            </w:r>
            <w:r w:rsidRPr="005746B5">
              <w:rPr>
                <w:rFonts w:eastAsia="SimSun" w:cs="Arial"/>
                <w:color w:val="000000"/>
                <w:sz w:val="16"/>
                <w:szCs w:val="16"/>
                <w:shd w:val="clear" w:color="auto" w:fill="FFFFFF"/>
                <w:lang w:eastAsia="zh-CN"/>
              </w:rPr>
              <w:t>mechanisms for accessing green technology in the context of the WIPO G</w:t>
            </w:r>
            <w:r>
              <w:rPr>
                <w:rFonts w:eastAsia="SimSun" w:cs="Arial"/>
                <w:color w:val="000000"/>
                <w:sz w:val="16"/>
                <w:szCs w:val="16"/>
                <w:shd w:val="clear" w:color="auto" w:fill="FFFFFF"/>
                <w:lang w:eastAsia="zh-CN"/>
              </w:rPr>
              <w:t>REEN</w:t>
            </w:r>
            <w:r w:rsidRPr="005746B5">
              <w:rPr>
                <w:rFonts w:eastAsia="SimSun" w:cs="Arial"/>
                <w:color w:val="000000"/>
                <w:sz w:val="16"/>
                <w:szCs w:val="16"/>
                <w:shd w:val="clear" w:color="auto" w:fill="FFFFFF"/>
                <w:lang w:eastAsia="zh-CN"/>
              </w:rPr>
              <w:t xml:space="preserve"> </w:t>
            </w:r>
            <w:r>
              <w:rPr>
                <w:rFonts w:eastAsia="SimSun" w:cs="Arial"/>
                <w:color w:val="000000"/>
                <w:sz w:val="16"/>
                <w:szCs w:val="16"/>
                <w:shd w:val="clear" w:color="auto" w:fill="FFFFFF"/>
                <w:lang w:eastAsia="zh-CN"/>
              </w:rPr>
              <w:t xml:space="preserve">platform and </w:t>
            </w:r>
            <w:r w:rsidRPr="005746B5">
              <w:rPr>
                <w:rFonts w:eastAsia="SimSun" w:cs="Arial"/>
                <w:color w:val="000000"/>
                <w:sz w:val="16"/>
                <w:szCs w:val="16"/>
                <w:shd w:val="clear" w:color="auto" w:fill="FFFFFF"/>
                <w:lang w:eastAsia="zh-CN"/>
              </w:rPr>
              <w:t>challenges related to negotiating transfe</w:t>
            </w:r>
            <w:r>
              <w:rPr>
                <w:rFonts w:eastAsia="SimSun" w:cs="Arial"/>
                <w:color w:val="000000"/>
                <w:sz w:val="16"/>
                <w:szCs w:val="16"/>
                <w:shd w:val="clear" w:color="auto" w:fill="FFFFFF"/>
                <w:lang w:eastAsia="zh-CN"/>
              </w:rPr>
              <w:t>r of green technologies; and (ii) to present</w:t>
            </w:r>
            <w:r w:rsidRPr="005746B5">
              <w:rPr>
                <w:rFonts w:eastAsia="SimSun" w:cs="Arial"/>
                <w:color w:val="000000"/>
                <w:sz w:val="16"/>
                <w:szCs w:val="16"/>
                <w:shd w:val="clear" w:color="auto" w:fill="FFFFFF"/>
                <w:lang w:eastAsia="zh-CN"/>
              </w:rPr>
              <w:t xml:space="preserve"> successful business cases, in which the management of IP was central for the development of clean and sustainable technologies</w:t>
            </w:r>
          </w:p>
        </w:tc>
      </w:tr>
      <w:tr w:rsidR="005703CF" w:rsidRPr="005746B5" w:rsidTr="002249F8">
        <w:trPr>
          <w:trHeight w:val="371"/>
        </w:trPr>
        <w:tc>
          <w:tcPr>
            <w:tcW w:w="1843" w:type="dxa"/>
          </w:tcPr>
          <w:p w:rsidR="005703CF" w:rsidRPr="005746B5" w:rsidRDefault="005703CF" w:rsidP="002249F8">
            <w:pPr>
              <w:spacing w:after="220"/>
              <w:rPr>
                <w:rFonts w:eastAsia="SimSun"/>
                <w:sz w:val="16"/>
                <w:szCs w:val="16"/>
                <w:lang w:eastAsia="zh-CN"/>
              </w:rPr>
            </w:pPr>
            <w:r w:rsidRPr="005746B5">
              <w:rPr>
                <w:rFonts w:eastAsia="SimSun"/>
                <w:sz w:val="16"/>
                <w:szCs w:val="16"/>
                <w:lang w:eastAsia="zh-CN"/>
              </w:rPr>
              <w:t>Conference of Patent Statistics for Decision Makers (PSDBM 2013)</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November 11 to 13, 2013</w:t>
            </w:r>
          </w:p>
        </w:tc>
        <w:tc>
          <w:tcPr>
            <w:tcW w:w="2835" w:type="dxa"/>
          </w:tcPr>
          <w:p w:rsidR="005703CF" w:rsidRPr="005746B5" w:rsidRDefault="005703CF" w:rsidP="002249F8">
            <w:pPr>
              <w:autoSpaceDE w:val="0"/>
              <w:autoSpaceDN w:val="0"/>
              <w:adjustRightInd w:val="0"/>
              <w:spacing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after="220"/>
              <w:rPr>
                <w:rFonts w:eastAsia="SimSun" w:cs="Arial"/>
                <w:sz w:val="16"/>
                <w:szCs w:val="16"/>
                <w:lang w:eastAsia="zh-CN"/>
              </w:rPr>
            </w:pPr>
            <w:r w:rsidRPr="005746B5">
              <w:rPr>
                <w:rFonts w:eastAsia="SimSun" w:cs="Arial"/>
                <w:color w:val="000000"/>
                <w:sz w:val="16"/>
                <w:szCs w:val="16"/>
                <w:shd w:val="clear" w:color="auto" w:fill="FFFFFF"/>
                <w:lang w:eastAsia="zh-CN"/>
              </w:rPr>
              <w:t xml:space="preserve">The PSDBM 2013 was organized by the Organization for Economic Cooperation and Development (OECD), the European Patent Office (EPO), the National Institute of Industrial Property (INPI) of Brazil and WIPO. The Conference </w:t>
            </w:r>
            <w:r>
              <w:rPr>
                <w:rFonts w:eastAsia="SimSun" w:cs="Arial"/>
                <w:color w:val="000000"/>
                <w:sz w:val="16"/>
                <w:szCs w:val="16"/>
                <w:shd w:val="clear" w:color="auto" w:fill="FFFFFF"/>
                <w:lang w:eastAsia="zh-CN"/>
              </w:rPr>
              <w:t>addressed</w:t>
            </w:r>
            <w:r w:rsidRPr="005746B5">
              <w:rPr>
                <w:rFonts w:eastAsia="SimSun" w:cs="Arial"/>
                <w:color w:val="000000"/>
                <w:sz w:val="16"/>
                <w:szCs w:val="16"/>
                <w:shd w:val="clear" w:color="auto" w:fill="FFFFFF"/>
                <w:lang w:eastAsia="zh-CN"/>
              </w:rPr>
              <w:t xml:space="preserve"> the management of patent applications by IP offices, the relationship between IP and the global mobility of human capital, the geography of innovation and technological change, among other topics. Moreover, the Conference offered the opportunity to enlarge the understanding of Patent Statistics and how they can serve as tool for policy.</w:t>
            </w:r>
          </w:p>
        </w:tc>
      </w:tr>
      <w:tr w:rsidR="005703CF" w:rsidRPr="005746B5" w:rsidTr="002249F8">
        <w:trPr>
          <w:trHeight w:val="371"/>
        </w:trPr>
        <w:tc>
          <w:tcPr>
            <w:tcW w:w="1843" w:type="dxa"/>
          </w:tcPr>
          <w:p w:rsidR="005703CF" w:rsidRPr="005746B5" w:rsidRDefault="005703CF" w:rsidP="00606EF6">
            <w:pPr>
              <w:spacing w:before="120" w:after="220"/>
              <w:rPr>
                <w:rFonts w:eastAsia="SimSun"/>
                <w:sz w:val="16"/>
                <w:szCs w:val="16"/>
                <w:lang w:eastAsia="zh-CN"/>
              </w:rPr>
            </w:pPr>
            <w:r w:rsidRPr="005746B5">
              <w:rPr>
                <w:rFonts w:eastAsia="SimSun" w:cs="Arial"/>
                <w:sz w:val="16"/>
                <w:szCs w:val="16"/>
                <w:lang w:eastAsia="zh-CN"/>
              </w:rPr>
              <w:lastRenderedPageBreak/>
              <w:t>VI Academic Meeting on Intellectual Property, Innovation and Development (ENAPID)</w:t>
            </w:r>
          </w:p>
        </w:tc>
        <w:tc>
          <w:tcPr>
            <w:tcW w:w="1134" w:type="dxa"/>
          </w:tcPr>
          <w:p w:rsidR="005703CF" w:rsidRPr="005746B5" w:rsidRDefault="005703CF" w:rsidP="00606EF6">
            <w:pPr>
              <w:autoSpaceDE w:val="0"/>
              <w:autoSpaceDN w:val="0"/>
              <w:adjustRightInd w:val="0"/>
              <w:spacing w:before="120" w:after="120"/>
              <w:rPr>
                <w:rFonts w:cs="Arial"/>
                <w:color w:val="000000"/>
                <w:sz w:val="16"/>
                <w:szCs w:val="16"/>
              </w:rPr>
            </w:pPr>
            <w:r w:rsidRPr="005746B5">
              <w:rPr>
                <w:rFonts w:cs="Arial"/>
                <w:color w:val="000000"/>
                <w:sz w:val="16"/>
                <w:szCs w:val="16"/>
              </w:rPr>
              <w:t>November 26 to 28, 2013</w:t>
            </w:r>
          </w:p>
        </w:tc>
        <w:tc>
          <w:tcPr>
            <w:tcW w:w="2835" w:type="dxa"/>
          </w:tcPr>
          <w:p w:rsidR="005703CF" w:rsidRPr="005746B5" w:rsidRDefault="005703CF" w:rsidP="00606EF6">
            <w:pPr>
              <w:autoSpaceDE w:val="0"/>
              <w:autoSpaceDN w:val="0"/>
              <w:adjustRightInd w:val="0"/>
              <w:spacing w:before="120" w:after="120"/>
              <w:rPr>
                <w:rFonts w:cs="Arial"/>
                <w:sz w:val="16"/>
                <w:szCs w:val="16"/>
                <w:lang w:val="en-GB"/>
              </w:rPr>
            </w:pPr>
            <w:r w:rsidRPr="005746B5">
              <w:rPr>
                <w:rFonts w:cs="Arial"/>
                <w:sz w:val="16"/>
                <w:szCs w:val="16"/>
                <w:lang w:val="en-GB"/>
              </w:rPr>
              <w:t>Brazil</w:t>
            </w:r>
          </w:p>
        </w:tc>
        <w:tc>
          <w:tcPr>
            <w:tcW w:w="3260" w:type="dxa"/>
          </w:tcPr>
          <w:p w:rsidR="005703CF" w:rsidRPr="005746B5" w:rsidRDefault="005703CF" w:rsidP="00606EF6">
            <w:pPr>
              <w:spacing w:before="120" w:after="220"/>
              <w:rPr>
                <w:rFonts w:eastAsia="SimSun" w:cs="Arial"/>
                <w:sz w:val="16"/>
                <w:szCs w:val="16"/>
                <w:lang w:eastAsia="zh-CN"/>
              </w:rPr>
            </w:pPr>
            <w:r>
              <w:rPr>
                <w:rFonts w:eastAsia="SimSun" w:cs="Arial"/>
                <w:color w:val="000000"/>
                <w:sz w:val="16"/>
                <w:szCs w:val="16"/>
                <w:shd w:val="clear" w:color="auto" w:fill="FFFFFF"/>
                <w:lang w:eastAsia="zh-CN"/>
              </w:rPr>
              <w:t>To provide a forum for academic discussions on G</w:t>
            </w:r>
            <w:r w:rsidRPr="005746B5">
              <w:rPr>
                <w:rFonts w:eastAsia="SimSun" w:cs="Arial"/>
                <w:color w:val="000000"/>
                <w:sz w:val="16"/>
                <w:szCs w:val="16"/>
                <w:shd w:val="clear" w:color="auto" w:fill="FFFFFF"/>
                <w:lang w:eastAsia="zh-CN"/>
              </w:rPr>
              <w:t xml:space="preserve">eographical </w:t>
            </w:r>
            <w:r>
              <w:rPr>
                <w:rFonts w:eastAsia="SimSun" w:cs="Arial"/>
                <w:color w:val="000000"/>
                <w:sz w:val="16"/>
                <w:szCs w:val="16"/>
                <w:shd w:val="clear" w:color="auto" w:fill="FFFFFF"/>
                <w:lang w:eastAsia="zh-CN"/>
              </w:rPr>
              <w:t>I</w:t>
            </w:r>
            <w:r w:rsidRPr="005746B5">
              <w:rPr>
                <w:rFonts w:eastAsia="SimSun" w:cs="Arial"/>
                <w:color w:val="000000"/>
                <w:sz w:val="16"/>
                <w:szCs w:val="16"/>
                <w:shd w:val="clear" w:color="auto" w:fill="FFFFFF"/>
                <w:lang w:eastAsia="zh-CN"/>
              </w:rPr>
              <w:t>ndications</w:t>
            </w:r>
            <w:r>
              <w:rPr>
                <w:rFonts w:eastAsia="SimSun" w:cs="Arial"/>
                <w:color w:val="000000"/>
                <w:sz w:val="16"/>
                <w:szCs w:val="16"/>
                <w:shd w:val="clear" w:color="auto" w:fill="FFFFFF"/>
                <w:lang w:eastAsia="zh-CN"/>
              </w:rPr>
              <w:t xml:space="preserve"> (GIs)</w:t>
            </w:r>
            <w:r w:rsidRPr="005746B5">
              <w:rPr>
                <w:rFonts w:eastAsia="SimSun" w:cs="Arial"/>
                <w:color w:val="000000"/>
                <w:sz w:val="16"/>
                <w:szCs w:val="16"/>
                <w:shd w:val="clear" w:color="auto" w:fill="FFFFFF"/>
                <w:lang w:eastAsia="zh-CN"/>
              </w:rPr>
              <w:t>, green patents, technology transfer offices (TTOs), business strategies and IP education. Three international experts from Colombia, Mexico and Uruguay, participated in the meeting. They presented different experiences regarding the management of IP networks and also debated over economic gains from geographical indications protection.</w:t>
            </w:r>
          </w:p>
        </w:tc>
      </w:tr>
      <w:tr w:rsidR="005703CF" w:rsidRPr="005746B5" w:rsidTr="002249F8">
        <w:trPr>
          <w:trHeight w:val="371"/>
        </w:trPr>
        <w:tc>
          <w:tcPr>
            <w:tcW w:w="1843" w:type="dxa"/>
          </w:tcPr>
          <w:p w:rsidR="005703CF" w:rsidRPr="005746B5" w:rsidRDefault="005703CF" w:rsidP="002249F8">
            <w:pPr>
              <w:spacing w:after="220"/>
              <w:rPr>
                <w:rFonts w:eastAsia="SimSun" w:cs="Arial"/>
                <w:sz w:val="16"/>
                <w:szCs w:val="16"/>
                <w:lang w:eastAsia="zh-CN"/>
              </w:rPr>
            </w:pPr>
            <w:r w:rsidRPr="005746B5">
              <w:rPr>
                <w:rFonts w:cs="Arial"/>
                <w:color w:val="000000"/>
                <w:sz w:val="16"/>
                <w:szCs w:val="16"/>
              </w:rPr>
              <w:t>Intermediate Course for Classification, Search and Examination in the Chemical and Pharmaceutical Field</w:t>
            </w:r>
          </w:p>
        </w:tc>
        <w:tc>
          <w:tcPr>
            <w:tcW w:w="1134" w:type="dxa"/>
          </w:tcPr>
          <w:p w:rsidR="005703CF" w:rsidRPr="005746B5" w:rsidRDefault="005703CF" w:rsidP="002249F8">
            <w:pPr>
              <w:autoSpaceDE w:val="0"/>
              <w:autoSpaceDN w:val="0"/>
              <w:adjustRightInd w:val="0"/>
              <w:spacing w:after="120"/>
              <w:rPr>
                <w:rFonts w:cs="Arial"/>
                <w:color w:val="000000"/>
                <w:sz w:val="16"/>
                <w:szCs w:val="16"/>
              </w:rPr>
            </w:pPr>
            <w:r w:rsidRPr="005746B5">
              <w:rPr>
                <w:rFonts w:cs="Arial"/>
                <w:color w:val="000000"/>
                <w:sz w:val="16"/>
                <w:szCs w:val="16"/>
              </w:rPr>
              <w:t>November 25 to December 5, 2013</w:t>
            </w:r>
          </w:p>
        </w:tc>
        <w:tc>
          <w:tcPr>
            <w:tcW w:w="2835" w:type="dxa"/>
          </w:tcPr>
          <w:p w:rsidR="005703CF" w:rsidRPr="005703CF" w:rsidRDefault="005703CF" w:rsidP="002249F8">
            <w:pPr>
              <w:autoSpaceDE w:val="0"/>
              <w:autoSpaceDN w:val="0"/>
              <w:adjustRightInd w:val="0"/>
              <w:spacing w:after="120"/>
              <w:rPr>
                <w:rFonts w:cs="Arial"/>
                <w:sz w:val="16"/>
                <w:szCs w:val="16"/>
                <w:lang w:val="es-ES"/>
              </w:rPr>
            </w:pPr>
            <w:r w:rsidRPr="002C4083">
              <w:rPr>
                <w:rFonts w:cs="Arial"/>
                <w:color w:val="000000"/>
                <w:sz w:val="16"/>
                <w:szCs w:val="16"/>
                <w:lang w:val="es-ES"/>
              </w:rPr>
              <w:t>Brazil/ Argentina, Chile, Colombia, Cuba, Ecuador, Paraguay, Peru and Uruguay</w:t>
            </w:r>
          </w:p>
        </w:tc>
        <w:tc>
          <w:tcPr>
            <w:tcW w:w="3260" w:type="dxa"/>
          </w:tcPr>
          <w:p w:rsidR="005703CF" w:rsidRDefault="005703CF" w:rsidP="00606EF6">
            <w:pPr>
              <w:spacing w:after="220"/>
              <w:rPr>
                <w:rFonts w:eastAsia="SimSun" w:cs="Arial"/>
                <w:color w:val="000000"/>
                <w:sz w:val="16"/>
                <w:szCs w:val="16"/>
                <w:shd w:val="clear" w:color="auto" w:fill="FFFFFF"/>
                <w:lang w:eastAsia="zh-CN"/>
              </w:rPr>
            </w:pPr>
            <w:r>
              <w:rPr>
                <w:rFonts w:cs="Arial"/>
                <w:sz w:val="16"/>
                <w:szCs w:val="16"/>
              </w:rPr>
              <w:t>To p</w:t>
            </w:r>
            <w:r w:rsidRPr="005746B5">
              <w:rPr>
                <w:rFonts w:cs="Arial"/>
                <w:sz w:val="16"/>
                <w:szCs w:val="16"/>
              </w:rPr>
              <w:t>romote the exchange of experiences among examiners from the  Latin American Region</w:t>
            </w:r>
          </w:p>
        </w:tc>
      </w:tr>
    </w:tbl>
    <w:p w:rsidR="005703CF" w:rsidRDefault="005703CF" w:rsidP="005703CF"/>
    <w:p w:rsidR="005703CF" w:rsidRDefault="005703CF" w:rsidP="005703CF">
      <w:pPr>
        <w:tabs>
          <w:tab w:val="left" w:pos="0"/>
          <w:tab w:val="left" w:pos="9071"/>
        </w:tabs>
        <w:rPr>
          <w:rFonts w:cs="Arial"/>
          <w:b/>
          <w:sz w:val="18"/>
          <w:szCs w:val="18"/>
        </w:rPr>
      </w:pPr>
    </w:p>
    <w:p w:rsidR="005703CF" w:rsidRDefault="005703CF" w:rsidP="005703CF">
      <w:pPr>
        <w:tabs>
          <w:tab w:val="left" w:pos="0"/>
          <w:tab w:val="left" w:pos="9071"/>
        </w:tabs>
        <w:rPr>
          <w:rFonts w:cs="Arial"/>
          <w:b/>
          <w:sz w:val="18"/>
          <w:szCs w:val="18"/>
        </w:rPr>
      </w:pPr>
    </w:p>
    <w:p w:rsidR="005703CF" w:rsidRPr="00280DA3" w:rsidRDefault="005703CF" w:rsidP="005703CF">
      <w:pPr>
        <w:tabs>
          <w:tab w:val="left" w:pos="0"/>
          <w:tab w:val="left" w:pos="9071"/>
        </w:tabs>
        <w:rPr>
          <w:rFonts w:cs="Arial"/>
          <w:b/>
          <w:sz w:val="18"/>
          <w:szCs w:val="18"/>
        </w:rPr>
      </w:pPr>
      <w:r>
        <w:rPr>
          <w:rFonts w:cs="Arial"/>
          <w:b/>
          <w:sz w:val="18"/>
          <w:szCs w:val="18"/>
        </w:rPr>
        <w:t>Brazil</w:t>
      </w:r>
      <w:r w:rsidRPr="00280DA3">
        <w:rPr>
          <w:rFonts w:cs="Arial"/>
          <w:b/>
          <w:sz w:val="18"/>
          <w:szCs w:val="18"/>
        </w:rPr>
        <w:t xml:space="preserve"> Donor Contributions and Expenditure in 201</w:t>
      </w:r>
      <w:r>
        <w:rPr>
          <w:rFonts w:cs="Arial"/>
          <w:b/>
          <w:sz w:val="18"/>
          <w:szCs w:val="18"/>
        </w:rPr>
        <w:t>3</w:t>
      </w:r>
      <w:r w:rsidRPr="00496129">
        <w:rPr>
          <w:rFonts w:ascii="Arial Bold" w:hAnsi="Arial Bold" w:cs="Arial Bold"/>
          <w:b/>
          <w:bCs/>
          <w:sz w:val="18"/>
          <w:szCs w:val="18"/>
          <w:vertAlign w:val="superscript"/>
        </w:rPr>
        <w:t>1</w:t>
      </w:r>
    </w:p>
    <w:p w:rsidR="005703CF" w:rsidRDefault="005703CF" w:rsidP="005703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466,247</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293,548</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269,066</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490,730</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tabs>
          <w:tab w:val="left" w:pos="0"/>
          <w:tab w:val="left" w:pos="9071"/>
        </w:tabs>
        <w:rPr>
          <w:rFonts w:cs="Arial"/>
          <w:b/>
          <w:szCs w:val="20"/>
        </w:rPr>
      </w:pPr>
    </w:p>
    <w:p w:rsidR="005703CF" w:rsidRDefault="005703CF" w:rsidP="005703CF">
      <w:pPr>
        <w:tabs>
          <w:tab w:val="left" w:pos="0"/>
          <w:tab w:val="left" w:pos="9071"/>
        </w:tabs>
        <w:rPr>
          <w:rFonts w:cs="Arial"/>
          <w:b/>
          <w:szCs w:val="20"/>
        </w:rPr>
      </w:pPr>
    </w:p>
    <w:p w:rsidR="005703CF" w:rsidRDefault="005703CF" w:rsidP="005703CF">
      <w:pPr>
        <w:tabs>
          <w:tab w:val="left" w:pos="0"/>
          <w:tab w:val="left" w:pos="9071"/>
        </w:tabs>
        <w:rPr>
          <w:rFonts w:cs="Arial"/>
          <w:b/>
          <w:szCs w:val="20"/>
        </w:rPr>
      </w:pPr>
    </w:p>
    <w:p w:rsidR="005703CF" w:rsidRDefault="005703CF" w:rsidP="005703CF">
      <w:pPr>
        <w:tabs>
          <w:tab w:val="left" w:pos="0"/>
          <w:tab w:val="left" w:pos="9071"/>
        </w:tabs>
        <w:rPr>
          <w:rFonts w:cs="Arial"/>
          <w:b/>
          <w:szCs w:val="20"/>
        </w:rPr>
      </w:pPr>
      <w:r>
        <w:rPr>
          <w:rFonts w:cs="Arial"/>
          <w:b/>
          <w:szCs w:val="20"/>
        </w:rPr>
        <w:br w:type="page"/>
      </w:r>
      <w:r>
        <w:rPr>
          <w:rFonts w:cs="Arial"/>
          <w:b/>
          <w:szCs w:val="20"/>
        </w:rPr>
        <w:lastRenderedPageBreak/>
        <w:t>EUROPEAN UNION (Pakistan Project)</w:t>
      </w:r>
    </w:p>
    <w:p w:rsidR="00CD26D6" w:rsidRDefault="00CD26D6" w:rsidP="005703CF">
      <w:pPr>
        <w:tabs>
          <w:tab w:val="left" w:pos="0"/>
          <w:tab w:val="left" w:pos="9071"/>
        </w:tabs>
        <w:rPr>
          <w:rFonts w:cs="Arial"/>
          <w:b/>
          <w:szCs w:val="20"/>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2835"/>
        <w:gridCol w:w="3260"/>
      </w:tblGrid>
      <w:tr w:rsidR="00CD26D6" w:rsidRPr="002B7DE5" w:rsidTr="00CD26D6">
        <w:tc>
          <w:tcPr>
            <w:tcW w:w="9072" w:type="dxa"/>
            <w:gridSpan w:val="4"/>
            <w:tcBorders>
              <w:top w:val="single" w:sz="4" w:space="0" w:color="auto"/>
              <w:bottom w:val="single" w:sz="4" w:space="0" w:color="auto"/>
            </w:tcBorders>
            <w:shd w:val="clear" w:color="auto" w:fill="CCFFFF"/>
            <w:vAlign w:val="center"/>
          </w:tcPr>
          <w:p w:rsidR="00CD26D6" w:rsidRPr="002B7DE5" w:rsidRDefault="00CD26D6" w:rsidP="007F4A69">
            <w:pPr>
              <w:tabs>
                <w:tab w:val="left" w:pos="0"/>
                <w:tab w:val="left" w:pos="1692"/>
                <w:tab w:val="left" w:pos="9071"/>
              </w:tabs>
              <w:spacing w:before="120" w:after="120"/>
              <w:rPr>
                <w:rFonts w:cs="Arial"/>
                <w:b/>
                <w:bCs/>
                <w:sz w:val="16"/>
                <w:szCs w:val="16"/>
              </w:rPr>
            </w:pPr>
            <w:r w:rsidRPr="00CD26D6">
              <w:rPr>
                <w:rFonts w:cs="Arial"/>
                <w:b/>
                <w:bCs/>
                <w:sz w:val="16"/>
                <w:szCs w:val="16"/>
              </w:rPr>
              <w:t>RESULT</w:t>
            </w:r>
            <w:r w:rsidRPr="002B7DE5">
              <w:rPr>
                <w:rFonts w:cs="Arial"/>
                <w:b/>
                <w:bCs/>
                <w:sz w:val="16"/>
                <w:szCs w:val="16"/>
              </w:rPr>
              <w:t>:</w:t>
            </w:r>
            <w:r>
              <w:rPr>
                <w:rFonts w:cs="Arial"/>
                <w:bCs/>
                <w:color w:val="000000"/>
                <w:sz w:val="16"/>
                <w:szCs w:val="16"/>
              </w:rPr>
              <w:tab/>
            </w:r>
            <w:r w:rsidRPr="00BA2F54">
              <w:rPr>
                <w:rFonts w:cs="Arial"/>
                <w:bCs/>
                <w:color w:val="000000"/>
                <w:sz w:val="16"/>
                <w:szCs w:val="16"/>
              </w:rPr>
              <w:t>Tailored and balanced IP legislative, regulatory and policy frameworks</w:t>
            </w:r>
            <w:r w:rsidRPr="002B7DE5">
              <w:rPr>
                <w:rFonts w:cs="Arial"/>
                <w:b/>
                <w:bCs/>
                <w:sz w:val="16"/>
                <w:szCs w:val="16"/>
              </w:rPr>
              <w:tab/>
            </w:r>
            <w:r w:rsidRPr="00CD26D6">
              <w:rPr>
                <w:rFonts w:cs="Arial"/>
                <w:b/>
                <w:bCs/>
                <w:sz w:val="16"/>
                <w:szCs w:val="16"/>
              </w:rPr>
              <w:t>Tailored and balanced IP legislative, regulatory and policy frameworks</w:t>
            </w:r>
          </w:p>
        </w:tc>
      </w:tr>
      <w:tr w:rsidR="00CD26D6" w:rsidRPr="002B7DE5" w:rsidTr="00CD26D6">
        <w:tc>
          <w:tcPr>
            <w:tcW w:w="1843" w:type="dxa"/>
            <w:tcBorders>
              <w:top w:val="single" w:sz="4" w:space="0" w:color="auto"/>
            </w:tcBorders>
            <w:vAlign w:val="center"/>
          </w:tcPr>
          <w:p w:rsidR="00CD26D6" w:rsidRPr="002B7DE5" w:rsidRDefault="00CD26D6" w:rsidP="00CD26D6">
            <w:pPr>
              <w:keepNext/>
              <w:keepLines/>
              <w:rPr>
                <w:rFonts w:cs="Arial"/>
                <w:b/>
                <w:bCs/>
                <w:sz w:val="16"/>
                <w:szCs w:val="16"/>
              </w:rPr>
            </w:pPr>
            <w:r w:rsidRPr="002B7DE5">
              <w:rPr>
                <w:rFonts w:cs="Arial"/>
                <w:b/>
                <w:bCs/>
                <w:sz w:val="16"/>
                <w:szCs w:val="16"/>
              </w:rPr>
              <w:t>Activity</w:t>
            </w:r>
          </w:p>
        </w:tc>
        <w:tc>
          <w:tcPr>
            <w:tcW w:w="1134" w:type="dxa"/>
            <w:tcBorders>
              <w:top w:val="single" w:sz="4" w:space="0" w:color="auto"/>
            </w:tcBorders>
            <w:shd w:val="clear" w:color="auto" w:fill="auto"/>
            <w:tcMar>
              <w:top w:w="110" w:type="dxa"/>
            </w:tcMar>
            <w:vAlign w:val="center"/>
          </w:tcPr>
          <w:p w:rsidR="00CD26D6" w:rsidRPr="002B7DE5" w:rsidRDefault="00CD26D6" w:rsidP="00CD26D6">
            <w:pPr>
              <w:keepNext/>
              <w:keepLines/>
              <w:rPr>
                <w:rFonts w:cs="Arial"/>
                <w:sz w:val="16"/>
                <w:szCs w:val="16"/>
              </w:rPr>
            </w:pPr>
            <w:r w:rsidRPr="002B7DE5">
              <w:rPr>
                <w:rFonts w:cs="Arial"/>
                <w:b/>
                <w:bCs/>
                <w:sz w:val="16"/>
                <w:szCs w:val="16"/>
              </w:rPr>
              <w:t>Date</w:t>
            </w:r>
          </w:p>
        </w:tc>
        <w:tc>
          <w:tcPr>
            <w:tcW w:w="2835" w:type="dxa"/>
            <w:tcBorders>
              <w:top w:val="single" w:sz="4" w:space="0" w:color="auto"/>
            </w:tcBorders>
            <w:shd w:val="clear" w:color="auto" w:fill="auto"/>
            <w:tcMar>
              <w:top w:w="110" w:type="dxa"/>
            </w:tcMar>
            <w:vAlign w:val="center"/>
          </w:tcPr>
          <w:p w:rsidR="00CD26D6" w:rsidRPr="002B7DE5" w:rsidRDefault="00CD26D6" w:rsidP="00CD26D6">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3260" w:type="dxa"/>
            <w:tcBorders>
              <w:top w:val="single" w:sz="4" w:space="0" w:color="auto"/>
            </w:tcBorders>
            <w:shd w:val="clear" w:color="auto" w:fill="FFFFFF"/>
            <w:tcMar>
              <w:top w:w="110" w:type="dxa"/>
            </w:tcMar>
            <w:vAlign w:val="center"/>
          </w:tcPr>
          <w:p w:rsidR="00CD26D6" w:rsidRPr="002B7DE5" w:rsidRDefault="00CD26D6" w:rsidP="00CD26D6">
            <w:pPr>
              <w:keepNext/>
              <w:keepLines/>
              <w:rPr>
                <w:rFonts w:cs="Arial"/>
                <w:sz w:val="16"/>
                <w:szCs w:val="16"/>
              </w:rPr>
            </w:pPr>
            <w:r w:rsidRPr="002B7DE5">
              <w:rPr>
                <w:rFonts w:cs="Arial"/>
                <w:b/>
                <w:bCs/>
                <w:sz w:val="16"/>
                <w:szCs w:val="16"/>
              </w:rPr>
              <w:t>Purpose(s)/Description(s)</w:t>
            </w:r>
          </w:p>
        </w:tc>
      </w:tr>
      <w:tr w:rsidR="00CD26D6" w:rsidRPr="00774D44" w:rsidTr="00CD26D6">
        <w:trPr>
          <w:trHeight w:val="495"/>
        </w:trPr>
        <w:tc>
          <w:tcPr>
            <w:tcW w:w="1843"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Final consultations with national stakeholders on Utility Model protection</w:t>
            </w:r>
          </w:p>
        </w:tc>
        <w:tc>
          <w:tcPr>
            <w:tcW w:w="1134"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February 25 to 26, 2013</w:t>
            </w:r>
          </w:p>
        </w:tc>
        <w:tc>
          <w:tcPr>
            <w:tcW w:w="2835"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Pakistan</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17 participants</w:t>
            </w:r>
          </w:p>
        </w:tc>
        <w:tc>
          <w:tcPr>
            <w:tcW w:w="3260"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(i) present the finalized paper "Utility Model Protection in Pakistan - An Option for Incentivizing Incremental Innovation"; and (ii) discuss the recommendations of the paper and the way forward</w:t>
            </w:r>
          </w:p>
        </w:tc>
      </w:tr>
      <w:tr w:rsidR="00CD26D6" w:rsidRPr="00774D44" w:rsidTr="00CD26D6">
        <w:trPr>
          <w:trHeight w:val="495"/>
        </w:trPr>
        <w:tc>
          <w:tcPr>
            <w:tcW w:w="1843"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Expert mission for development of an IP curriculum for law, business and engineering universities</w:t>
            </w:r>
          </w:p>
          <w:p w:rsidR="00CD26D6" w:rsidRPr="00B93AF6" w:rsidRDefault="00CD26D6" w:rsidP="00CD26D6">
            <w:pPr>
              <w:autoSpaceDE w:val="0"/>
              <w:autoSpaceDN w:val="0"/>
              <w:adjustRightInd w:val="0"/>
              <w:spacing w:before="120" w:after="120"/>
              <w:rPr>
                <w:rFonts w:cs="Arial"/>
                <w:color w:val="000000"/>
                <w:sz w:val="16"/>
                <w:szCs w:val="16"/>
              </w:rPr>
            </w:pPr>
          </w:p>
        </w:tc>
        <w:tc>
          <w:tcPr>
            <w:tcW w:w="1134"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February 25 to March 1, 2013</w:t>
            </w:r>
          </w:p>
        </w:tc>
        <w:tc>
          <w:tcPr>
            <w:tcW w:w="2835"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 xml:space="preserve">Pakistan </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13 participants</w:t>
            </w:r>
          </w:p>
        </w:tc>
        <w:tc>
          <w:tcPr>
            <w:tcW w:w="3260"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(i) consult with educational and IP authorities on current status of IP teaching in law, business and engineering universities in Pakistan; (ii) identify requirements of such universities in regard to establishing an IP curricula; and (iii) develop an appropriate IP curricula, based on the findings, including training objectives and course content and structure</w:t>
            </w:r>
          </w:p>
        </w:tc>
      </w:tr>
      <w:tr w:rsidR="00CD26D6" w:rsidRPr="00774D44" w:rsidTr="00CD26D6">
        <w:trPr>
          <w:trHeight w:val="495"/>
        </w:trPr>
        <w:tc>
          <w:tcPr>
            <w:tcW w:w="1843"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Final consultations with national stakeholders on branding options for a horticultural product (Kinnow) through use of IP instruments</w:t>
            </w:r>
          </w:p>
        </w:tc>
        <w:tc>
          <w:tcPr>
            <w:tcW w:w="1134"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March 8 to 11, 2013</w:t>
            </w:r>
          </w:p>
          <w:p w:rsidR="00CD26D6" w:rsidRPr="00B93AF6" w:rsidRDefault="00CD26D6" w:rsidP="00CD26D6">
            <w:pPr>
              <w:autoSpaceDE w:val="0"/>
              <w:autoSpaceDN w:val="0"/>
              <w:adjustRightInd w:val="0"/>
              <w:spacing w:before="120" w:after="120"/>
              <w:rPr>
                <w:rFonts w:cs="Arial"/>
                <w:color w:val="000000"/>
                <w:sz w:val="16"/>
                <w:szCs w:val="16"/>
              </w:rPr>
            </w:pPr>
          </w:p>
        </w:tc>
        <w:tc>
          <w:tcPr>
            <w:tcW w:w="2835"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Pakistan</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Over 50 participants</w:t>
            </w:r>
            <w:r>
              <w:rPr>
                <w:rFonts w:cs="Arial"/>
                <w:color w:val="000000"/>
                <w:sz w:val="16"/>
                <w:szCs w:val="16"/>
              </w:rPr>
              <w:br/>
            </w:r>
          </w:p>
        </w:tc>
        <w:tc>
          <w:tcPr>
            <w:tcW w:w="3260"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(i) present the draft paper on Kinnow; (ii) review and analyze additional data for completion of the paper including marketing potential and institutional mechanisms; (iii) discuss possible use of collective/certification marks and GIs; and (iv) discuss plan of action and next steps</w:t>
            </w:r>
          </w:p>
        </w:tc>
      </w:tr>
      <w:tr w:rsidR="00CD26D6" w:rsidRPr="00774D44" w:rsidTr="00CD26D6">
        <w:trPr>
          <w:trHeight w:val="495"/>
        </w:trPr>
        <w:tc>
          <w:tcPr>
            <w:tcW w:w="1843" w:type="dxa"/>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Final consultations with national stakeholders on establishment of a collective management organization (CMO)</w:t>
            </w:r>
            <w:r>
              <w:rPr>
                <w:rFonts w:cs="Arial"/>
                <w:color w:val="000000"/>
                <w:sz w:val="16"/>
                <w:szCs w:val="16"/>
              </w:rPr>
              <w:br/>
            </w:r>
          </w:p>
        </w:tc>
        <w:tc>
          <w:tcPr>
            <w:tcW w:w="1134"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September 12 to 13, 2013</w:t>
            </w:r>
          </w:p>
          <w:p w:rsidR="00CD26D6" w:rsidRPr="00B93AF6" w:rsidRDefault="00CD26D6" w:rsidP="00CD26D6">
            <w:pPr>
              <w:autoSpaceDE w:val="0"/>
              <w:autoSpaceDN w:val="0"/>
              <w:adjustRightInd w:val="0"/>
              <w:spacing w:before="120" w:after="120"/>
              <w:rPr>
                <w:rFonts w:cs="Arial"/>
                <w:color w:val="000000"/>
                <w:sz w:val="16"/>
                <w:szCs w:val="16"/>
              </w:rPr>
            </w:pPr>
          </w:p>
        </w:tc>
        <w:tc>
          <w:tcPr>
            <w:tcW w:w="2835"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Pakistan</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43 participants</w:t>
            </w:r>
            <w:r>
              <w:rPr>
                <w:rFonts w:cs="Arial"/>
                <w:color w:val="000000"/>
                <w:sz w:val="16"/>
                <w:szCs w:val="16"/>
              </w:rPr>
              <w:br/>
            </w:r>
          </w:p>
        </w:tc>
        <w:tc>
          <w:tcPr>
            <w:tcW w:w="3260" w:type="dxa"/>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(i) present the updated study on establishment of a CMO in Pakistan; (ii) share experiences of establishing viable CMOs in the region and elsewhere; (iii) discuss recommendations of the study; and (iv) discuss specific steps for establishing an effective CMO in Pakistan</w:t>
            </w:r>
          </w:p>
          <w:p w:rsidR="00CD26D6" w:rsidRPr="00B93AF6" w:rsidRDefault="00CD26D6" w:rsidP="00CD26D6">
            <w:pPr>
              <w:autoSpaceDE w:val="0"/>
              <w:autoSpaceDN w:val="0"/>
              <w:adjustRightInd w:val="0"/>
              <w:spacing w:before="120" w:after="120"/>
              <w:rPr>
                <w:rFonts w:cs="Arial"/>
                <w:color w:val="000000"/>
                <w:sz w:val="16"/>
                <w:szCs w:val="16"/>
              </w:rPr>
            </w:pPr>
          </w:p>
        </w:tc>
      </w:tr>
      <w:tr w:rsidR="00CD26D6" w:rsidRPr="00774D44" w:rsidTr="00CD26D6">
        <w:trPr>
          <w:trHeight w:val="495"/>
        </w:trPr>
        <w:tc>
          <w:tcPr>
            <w:tcW w:w="1843" w:type="dxa"/>
            <w:tcBorders>
              <w:bottom w:val="single" w:sz="4" w:space="0" w:color="auto"/>
            </w:tcBorders>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Roundtable on establishment of Technology Management Offices (TMOs)</w:t>
            </w:r>
          </w:p>
          <w:p w:rsidR="00CD26D6" w:rsidRPr="00B93AF6" w:rsidRDefault="00CD26D6" w:rsidP="00CD26D6">
            <w:pPr>
              <w:autoSpaceDE w:val="0"/>
              <w:autoSpaceDN w:val="0"/>
              <w:adjustRightInd w:val="0"/>
              <w:spacing w:before="120" w:after="120"/>
              <w:rPr>
                <w:rFonts w:cs="Arial"/>
                <w:color w:val="000000"/>
                <w:sz w:val="16"/>
                <w:szCs w:val="16"/>
              </w:rPr>
            </w:pPr>
          </w:p>
        </w:tc>
        <w:tc>
          <w:tcPr>
            <w:tcW w:w="1134" w:type="dxa"/>
            <w:tcBorders>
              <w:bottom w:val="single" w:sz="4" w:space="0" w:color="auto"/>
            </w:tcBorders>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December 9 to 10, 2013</w:t>
            </w:r>
          </w:p>
        </w:tc>
        <w:tc>
          <w:tcPr>
            <w:tcW w:w="2835" w:type="dxa"/>
            <w:tcBorders>
              <w:bottom w:val="single" w:sz="4" w:space="0" w:color="auto"/>
            </w:tcBorders>
          </w:tcPr>
          <w:p w:rsidR="00CD26D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 xml:space="preserve">Pakistan </w:t>
            </w:r>
          </w:p>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30 participants</w:t>
            </w:r>
          </w:p>
        </w:tc>
        <w:tc>
          <w:tcPr>
            <w:tcW w:w="3260" w:type="dxa"/>
            <w:tcBorders>
              <w:bottom w:val="single" w:sz="4" w:space="0" w:color="auto"/>
            </w:tcBorders>
          </w:tcPr>
          <w:p w:rsidR="00CD26D6" w:rsidRPr="00B93AF6" w:rsidRDefault="00CD26D6" w:rsidP="00CD26D6">
            <w:pPr>
              <w:autoSpaceDE w:val="0"/>
              <w:autoSpaceDN w:val="0"/>
              <w:adjustRightInd w:val="0"/>
              <w:spacing w:before="120" w:after="120"/>
              <w:rPr>
                <w:rFonts w:cs="Arial"/>
                <w:color w:val="000000"/>
                <w:sz w:val="16"/>
                <w:szCs w:val="16"/>
              </w:rPr>
            </w:pPr>
            <w:r>
              <w:rPr>
                <w:rFonts w:cs="Arial"/>
                <w:color w:val="000000"/>
                <w:sz w:val="16"/>
                <w:szCs w:val="16"/>
              </w:rPr>
              <w:t>To: (i) take stock of current status of TMOs in Pakistan; (ii) exchange views on functions and structure of TMOs; (iii) identify challenges in establishing and operating effective TMOs; and (iv) identify elements of a roadmap for establishing and strengthening TMOs in Pakistan</w:t>
            </w:r>
          </w:p>
        </w:tc>
      </w:tr>
      <w:tr w:rsidR="00CD26D6" w:rsidRPr="008953F6" w:rsidTr="00CD26D6">
        <w:tc>
          <w:tcPr>
            <w:tcW w:w="9072" w:type="dxa"/>
            <w:gridSpan w:val="4"/>
            <w:tcBorders>
              <w:top w:val="single" w:sz="4" w:space="0" w:color="auto"/>
              <w:bottom w:val="single" w:sz="4" w:space="0" w:color="auto"/>
            </w:tcBorders>
            <w:shd w:val="clear" w:color="auto" w:fill="CCFFFF"/>
            <w:vAlign w:val="center"/>
          </w:tcPr>
          <w:p w:rsidR="00CD26D6" w:rsidRPr="001E5448" w:rsidRDefault="00CD26D6" w:rsidP="00CD26D6">
            <w:pPr>
              <w:keepNext/>
              <w:keepLines/>
              <w:tabs>
                <w:tab w:val="left" w:pos="1740"/>
              </w:tabs>
              <w:spacing w:before="120" w:after="120"/>
              <w:ind w:left="1740" w:hanging="1740"/>
              <w:rPr>
                <w:rFonts w:cs="Arial"/>
                <w:b/>
                <w:bCs/>
                <w:sz w:val="16"/>
                <w:szCs w:val="16"/>
              </w:rPr>
            </w:pPr>
            <w:r w:rsidRPr="001E5448">
              <w:rPr>
                <w:rFonts w:cs="Arial"/>
                <w:b/>
                <w:bCs/>
                <w:color w:val="000000"/>
                <w:sz w:val="16"/>
                <w:szCs w:val="16"/>
              </w:rPr>
              <w:t>RESULT</w:t>
            </w:r>
            <w:r w:rsidRPr="001E5448">
              <w:rPr>
                <w:rFonts w:cs="Arial"/>
                <w:b/>
                <w:bCs/>
                <w:sz w:val="16"/>
                <w:szCs w:val="16"/>
              </w:rPr>
              <w:t>:</w:t>
            </w:r>
            <w:r w:rsidRPr="001E5448">
              <w:rPr>
                <w:rFonts w:cs="Arial"/>
                <w:b/>
                <w:bCs/>
                <w:sz w:val="16"/>
                <w:szCs w:val="16"/>
              </w:rPr>
              <w:tab/>
            </w:r>
            <w:r w:rsidRPr="001E5448">
              <w:rPr>
                <w:rFonts w:cs="Arial"/>
                <w:bCs/>
                <w:color w:val="000000"/>
                <w:sz w:val="16"/>
                <w:szCs w:val="16"/>
              </w:rPr>
              <w:t>Enhanced human resources capacities able to deal with the broad range of requirements for the effective use of IP for development</w:t>
            </w:r>
          </w:p>
        </w:tc>
      </w:tr>
      <w:tr w:rsidR="00CD26D6" w:rsidRPr="008953F6" w:rsidTr="00CD26D6">
        <w:tc>
          <w:tcPr>
            <w:tcW w:w="1843" w:type="dxa"/>
            <w:tcBorders>
              <w:top w:val="single" w:sz="4" w:space="0" w:color="auto"/>
            </w:tcBorders>
            <w:vAlign w:val="center"/>
          </w:tcPr>
          <w:p w:rsidR="00CD26D6" w:rsidRPr="001E5448" w:rsidRDefault="00CD26D6" w:rsidP="00CD26D6">
            <w:pPr>
              <w:keepNext/>
              <w:keepLines/>
              <w:rPr>
                <w:rFonts w:cs="Arial"/>
                <w:b/>
                <w:bCs/>
                <w:sz w:val="16"/>
                <w:szCs w:val="16"/>
              </w:rPr>
            </w:pPr>
            <w:r w:rsidRPr="001E5448">
              <w:rPr>
                <w:rFonts w:cs="Arial"/>
                <w:b/>
                <w:bCs/>
                <w:sz w:val="16"/>
                <w:szCs w:val="16"/>
              </w:rPr>
              <w:t>Activity</w:t>
            </w:r>
          </w:p>
        </w:tc>
        <w:tc>
          <w:tcPr>
            <w:tcW w:w="1134" w:type="dxa"/>
            <w:tcBorders>
              <w:top w:val="single" w:sz="4" w:space="0" w:color="auto"/>
            </w:tcBorders>
            <w:shd w:val="clear" w:color="auto" w:fill="auto"/>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Date</w:t>
            </w:r>
          </w:p>
        </w:tc>
        <w:tc>
          <w:tcPr>
            <w:tcW w:w="2835" w:type="dxa"/>
            <w:tcBorders>
              <w:top w:val="single" w:sz="4" w:space="0" w:color="auto"/>
            </w:tcBorders>
            <w:shd w:val="clear" w:color="auto" w:fill="auto"/>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Host Country/</w:t>
            </w:r>
            <w:r w:rsidRPr="001E5448">
              <w:rPr>
                <w:rFonts w:cs="Arial"/>
                <w:b/>
                <w:bCs/>
                <w:sz w:val="16"/>
                <w:szCs w:val="16"/>
              </w:rPr>
              <w:br/>
              <w:t>Recipients</w:t>
            </w:r>
          </w:p>
        </w:tc>
        <w:tc>
          <w:tcPr>
            <w:tcW w:w="3260" w:type="dxa"/>
            <w:tcBorders>
              <w:top w:val="single" w:sz="4" w:space="0" w:color="auto"/>
            </w:tcBorders>
            <w:shd w:val="clear" w:color="auto" w:fill="FFFFFF"/>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Purpose(s)/Description(s)</w:t>
            </w:r>
          </w:p>
        </w:tc>
      </w:tr>
      <w:tr w:rsidR="00CD26D6" w:rsidRPr="008953F6" w:rsidTr="00CD26D6">
        <w:trPr>
          <w:trHeight w:val="520"/>
        </w:trPr>
        <w:tc>
          <w:tcPr>
            <w:tcW w:w="1843"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Enrollment in the WIPO-Turin University’s LLM in Intellectual Property</w:t>
            </w:r>
          </w:p>
          <w:p w:rsidR="00CD26D6" w:rsidRPr="001E5448" w:rsidRDefault="00CD26D6" w:rsidP="00CD26D6">
            <w:pPr>
              <w:autoSpaceDE w:val="0"/>
              <w:autoSpaceDN w:val="0"/>
              <w:adjustRightInd w:val="0"/>
              <w:spacing w:before="120" w:after="120"/>
              <w:rPr>
                <w:rFonts w:cs="Arial"/>
                <w:color w:val="000000"/>
                <w:sz w:val="16"/>
                <w:szCs w:val="16"/>
              </w:rPr>
            </w:pPr>
          </w:p>
        </w:tc>
        <w:tc>
          <w:tcPr>
            <w:tcW w:w="1134"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June to December 2013</w:t>
            </w:r>
            <w:r w:rsidRPr="001E5448">
              <w:rPr>
                <w:rStyle w:val="FootnoteReference"/>
                <w:rFonts w:cs="Arial"/>
                <w:color w:val="000000"/>
                <w:sz w:val="16"/>
                <w:szCs w:val="16"/>
              </w:rPr>
              <w:footnoteReference w:id="48"/>
            </w:r>
            <w:r w:rsidRPr="001E5448">
              <w:rPr>
                <w:rFonts w:cs="Arial"/>
                <w:color w:val="000000"/>
                <w:sz w:val="16"/>
                <w:szCs w:val="16"/>
              </w:rPr>
              <w:t xml:space="preserve"> </w:t>
            </w:r>
            <w:r w:rsidRPr="001E5448">
              <w:rPr>
                <w:rFonts w:cs="Arial"/>
                <w:color w:val="000000"/>
                <w:sz w:val="16"/>
                <w:szCs w:val="16"/>
              </w:rPr>
              <w:br/>
            </w:r>
          </w:p>
        </w:tc>
        <w:tc>
          <w:tcPr>
            <w:tcW w:w="2835"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1 IPO Pakistan official</w:t>
            </w:r>
          </w:p>
        </w:tc>
        <w:tc>
          <w:tcPr>
            <w:tcW w:w="3260"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(i) develop capacity in IPO Pakistan officials dealing with policy related matters from a deeper understanding of IP law; and (ii) enable the trained official to provide inputs (papers, policy briefs, comments) on specific IP law questions</w:t>
            </w:r>
          </w:p>
        </w:tc>
      </w:tr>
      <w:tr w:rsidR="00CD26D6" w:rsidRPr="008953F6" w:rsidTr="00CD26D6">
        <w:trPr>
          <w:trHeight w:val="520"/>
        </w:trPr>
        <w:tc>
          <w:tcPr>
            <w:tcW w:w="1843" w:type="dxa"/>
            <w:tcBorders>
              <w:bottom w:val="single" w:sz="4" w:space="0" w:color="auto"/>
            </w:tcBorders>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 xml:space="preserve">Procurement of IP reference material for selected IP teaching and training institutions </w:t>
            </w:r>
          </w:p>
        </w:tc>
        <w:tc>
          <w:tcPr>
            <w:tcW w:w="1134" w:type="dxa"/>
            <w:tcBorders>
              <w:bottom w:val="single" w:sz="4" w:space="0" w:color="auto"/>
            </w:tcBorders>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December 2013</w:t>
            </w:r>
          </w:p>
        </w:tc>
        <w:tc>
          <w:tcPr>
            <w:tcW w:w="2835" w:type="dxa"/>
            <w:tcBorders>
              <w:bottom w:val="single" w:sz="4" w:space="0" w:color="auto"/>
            </w:tcBorders>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IPO Pakistan and</w:t>
            </w:r>
            <w:r w:rsidRPr="001E5448">
              <w:rPr>
                <w:rFonts w:cs="Arial"/>
                <w:color w:val="000000"/>
                <w:sz w:val="16"/>
                <w:szCs w:val="16"/>
              </w:rPr>
              <w:br/>
              <w:t>Pakistan Institute of Trade and Development (PITAD)</w:t>
            </w:r>
          </w:p>
        </w:tc>
        <w:tc>
          <w:tcPr>
            <w:tcW w:w="3260" w:type="dxa"/>
            <w:tcBorders>
              <w:bottom w:val="single" w:sz="4" w:space="0" w:color="auto"/>
            </w:tcBorders>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build capacity in the field of teaching and training IP in Pakistan</w:t>
            </w:r>
          </w:p>
        </w:tc>
      </w:tr>
      <w:tr w:rsidR="00CD26D6" w:rsidRPr="008953F6" w:rsidTr="00CD26D6">
        <w:tc>
          <w:tcPr>
            <w:tcW w:w="9072" w:type="dxa"/>
            <w:gridSpan w:val="4"/>
            <w:tcBorders>
              <w:top w:val="single" w:sz="4" w:space="0" w:color="auto"/>
              <w:bottom w:val="single" w:sz="4" w:space="0" w:color="auto"/>
            </w:tcBorders>
            <w:shd w:val="clear" w:color="auto" w:fill="CCFFFF"/>
            <w:vAlign w:val="center"/>
          </w:tcPr>
          <w:p w:rsidR="00CD26D6" w:rsidRPr="001E5448" w:rsidRDefault="00CD26D6" w:rsidP="00CD26D6">
            <w:pPr>
              <w:keepNext/>
              <w:keepLines/>
              <w:tabs>
                <w:tab w:val="left" w:pos="1740"/>
              </w:tabs>
              <w:spacing w:before="120" w:after="120"/>
              <w:ind w:left="1740" w:hanging="1740"/>
              <w:rPr>
                <w:rFonts w:cs="Arial"/>
                <w:b/>
                <w:bCs/>
                <w:sz w:val="16"/>
                <w:szCs w:val="16"/>
              </w:rPr>
            </w:pPr>
            <w:r w:rsidRPr="001E5448">
              <w:rPr>
                <w:rFonts w:cs="Arial"/>
                <w:b/>
                <w:bCs/>
                <w:color w:val="000000"/>
                <w:sz w:val="16"/>
                <w:szCs w:val="16"/>
              </w:rPr>
              <w:lastRenderedPageBreak/>
              <w:t>RESULT</w:t>
            </w:r>
            <w:r w:rsidRPr="001E5448">
              <w:rPr>
                <w:rFonts w:cs="Arial"/>
                <w:b/>
                <w:bCs/>
                <w:sz w:val="16"/>
                <w:szCs w:val="16"/>
              </w:rPr>
              <w:t>:</w:t>
            </w:r>
            <w:r w:rsidRPr="001E5448">
              <w:rPr>
                <w:rFonts w:cs="Arial"/>
                <w:b/>
                <w:bCs/>
                <w:sz w:val="16"/>
                <w:szCs w:val="16"/>
              </w:rPr>
              <w:tab/>
            </w:r>
            <w:r w:rsidRPr="001E5448">
              <w:rPr>
                <w:rFonts w:cs="Arial"/>
                <w:bCs/>
                <w:color w:val="000000"/>
                <w:sz w:val="16"/>
                <w:szCs w:val="16"/>
              </w:rPr>
              <w:t>Enhanced technical and knowledge infrastructure for IP Offices and other IP institutions leading to better services (cheaper, faster, higher quality) to their stakeholders</w:t>
            </w:r>
          </w:p>
        </w:tc>
      </w:tr>
      <w:tr w:rsidR="00CD26D6" w:rsidRPr="008953F6" w:rsidTr="00CD26D6">
        <w:tc>
          <w:tcPr>
            <w:tcW w:w="1843" w:type="dxa"/>
            <w:tcBorders>
              <w:top w:val="single" w:sz="4" w:space="0" w:color="auto"/>
            </w:tcBorders>
            <w:vAlign w:val="center"/>
          </w:tcPr>
          <w:p w:rsidR="00CD26D6" w:rsidRPr="001E5448" w:rsidRDefault="00CD26D6" w:rsidP="00CD26D6">
            <w:pPr>
              <w:keepNext/>
              <w:keepLines/>
              <w:rPr>
                <w:rFonts w:cs="Arial"/>
                <w:b/>
                <w:bCs/>
                <w:sz w:val="16"/>
                <w:szCs w:val="16"/>
              </w:rPr>
            </w:pPr>
            <w:r w:rsidRPr="001E5448">
              <w:rPr>
                <w:rFonts w:cs="Arial"/>
                <w:b/>
                <w:bCs/>
                <w:sz w:val="16"/>
                <w:szCs w:val="16"/>
              </w:rPr>
              <w:t>Activity</w:t>
            </w:r>
          </w:p>
        </w:tc>
        <w:tc>
          <w:tcPr>
            <w:tcW w:w="1134" w:type="dxa"/>
            <w:tcBorders>
              <w:top w:val="single" w:sz="4" w:space="0" w:color="auto"/>
            </w:tcBorders>
            <w:shd w:val="clear" w:color="auto" w:fill="auto"/>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Date</w:t>
            </w:r>
          </w:p>
        </w:tc>
        <w:tc>
          <w:tcPr>
            <w:tcW w:w="2835" w:type="dxa"/>
            <w:tcBorders>
              <w:top w:val="single" w:sz="4" w:space="0" w:color="auto"/>
            </w:tcBorders>
            <w:shd w:val="clear" w:color="auto" w:fill="auto"/>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Host Country/</w:t>
            </w:r>
            <w:r w:rsidRPr="001E5448">
              <w:rPr>
                <w:rFonts w:cs="Arial"/>
                <w:b/>
                <w:bCs/>
                <w:sz w:val="16"/>
                <w:szCs w:val="16"/>
              </w:rPr>
              <w:br/>
              <w:t>Recipients</w:t>
            </w:r>
          </w:p>
        </w:tc>
        <w:tc>
          <w:tcPr>
            <w:tcW w:w="3260" w:type="dxa"/>
            <w:tcBorders>
              <w:top w:val="single" w:sz="4" w:space="0" w:color="auto"/>
            </w:tcBorders>
            <w:shd w:val="clear" w:color="auto" w:fill="FFFFFF"/>
            <w:tcMar>
              <w:top w:w="110" w:type="dxa"/>
            </w:tcMar>
            <w:vAlign w:val="center"/>
          </w:tcPr>
          <w:p w:rsidR="00CD26D6" w:rsidRPr="001E5448" w:rsidRDefault="00CD26D6" w:rsidP="00CD26D6">
            <w:pPr>
              <w:keepNext/>
              <w:keepLines/>
              <w:rPr>
                <w:rFonts w:cs="Arial"/>
                <w:sz w:val="16"/>
                <w:szCs w:val="16"/>
              </w:rPr>
            </w:pPr>
            <w:r w:rsidRPr="001E5448">
              <w:rPr>
                <w:rFonts w:cs="Arial"/>
                <w:b/>
                <w:bCs/>
                <w:sz w:val="16"/>
                <w:szCs w:val="16"/>
              </w:rPr>
              <w:t>Purpose(s)/Description(s)</w:t>
            </w:r>
          </w:p>
        </w:tc>
      </w:tr>
      <w:tr w:rsidR="00CD26D6" w:rsidRPr="008953F6" w:rsidTr="00CD26D6">
        <w:tc>
          <w:tcPr>
            <w:tcW w:w="1843"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Training on Java and GlassFish Application Server technologies</w:t>
            </w:r>
          </w:p>
          <w:p w:rsidR="00CD26D6" w:rsidRPr="001E5448" w:rsidRDefault="00CD26D6" w:rsidP="00CD26D6">
            <w:pPr>
              <w:autoSpaceDE w:val="0"/>
              <w:autoSpaceDN w:val="0"/>
              <w:adjustRightInd w:val="0"/>
              <w:spacing w:before="120" w:after="120"/>
              <w:rPr>
                <w:rFonts w:cs="Arial"/>
                <w:color w:val="000000"/>
                <w:sz w:val="16"/>
                <w:szCs w:val="16"/>
              </w:rPr>
            </w:pPr>
          </w:p>
        </w:tc>
        <w:tc>
          <w:tcPr>
            <w:tcW w:w="1134"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May 20 to 24, 2013</w:t>
            </w:r>
          </w:p>
          <w:p w:rsidR="00CD26D6" w:rsidRPr="001E5448" w:rsidRDefault="00CD26D6" w:rsidP="00CD26D6">
            <w:pPr>
              <w:autoSpaceDE w:val="0"/>
              <w:autoSpaceDN w:val="0"/>
              <w:adjustRightInd w:val="0"/>
              <w:spacing w:before="120" w:after="120"/>
              <w:rPr>
                <w:rFonts w:cs="Arial"/>
                <w:color w:val="000000"/>
                <w:sz w:val="16"/>
                <w:szCs w:val="16"/>
              </w:rPr>
            </w:pPr>
          </w:p>
        </w:tc>
        <w:tc>
          <w:tcPr>
            <w:tcW w:w="2835"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7 IPO Pakistan officials</w:t>
            </w:r>
          </w:p>
        </w:tc>
        <w:tc>
          <w:tcPr>
            <w:tcW w:w="3260" w:type="dxa"/>
            <w:shd w:val="clear" w:color="auto" w:fill="FFFFFF"/>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improve technical skills and expertise of IPO Pakistan IT team to support and sustain the automation systems of the Patent Office and the Trade Marks Registry</w:t>
            </w:r>
          </w:p>
        </w:tc>
      </w:tr>
      <w:tr w:rsidR="00CD26D6" w:rsidRPr="008953F6" w:rsidTr="00CD26D6">
        <w:tc>
          <w:tcPr>
            <w:tcW w:w="1843"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Two Trainings on IPAS Java and Electronic Document Management System (EDMS)</w:t>
            </w:r>
          </w:p>
        </w:tc>
        <w:tc>
          <w:tcPr>
            <w:tcW w:w="1134"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(i) May 27 to June 7, 2013;</w:t>
            </w:r>
            <w:r w:rsidRPr="001E5448">
              <w:rPr>
                <w:rFonts w:cs="Arial"/>
                <w:color w:val="000000"/>
                <w:sz w:val="16"/>
                <w:szCs w:val="16"/>
              </w:rPr>
              <w:br/>
              <w:t>(ii) Nov. 25 to 29, 2013</w:t>
            </w:r>
          </w:p>
        </w:tc>
        <w:tc>
          <w:tcPr>
            <w:tcW w:w="2835"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(i) 5 IPO Pakistan officials</w:t>
            </w:r>
            <w:r w:rsidRPr="001E5448">
              <w:rPr>
                <w:rFonts w:cs="Arial"/>
                <w:color w:val="000000"/>
                <w:sz w:val="16"/>
                <w:szCs w:val="16"/>
              </w:rPr>
              <w:br/>
              <w:t>(ii) 8 IPO Pakistan officials</w:t>
            </w:r>
          </w:p>
        </w:tc>
        <w:tc>
          <w:tcPr>
            <w:tcW w:w="3260" w:type="dxa"/>
            <w:shd w:val="clear" w:color="auto" w:fill="FFFFFF"/>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train IPO Pakistan IT team on: (i) basic installation and administration of IPAS Java; use of IPAS Designer tool for customization; and (ii) configuration of WIPOScan and EDMS applications</w:t>
            </w:r>
          </w:p>
        </w:tc>
      </w:tr>
      <w:tr w:rsidR="00CD26D6" w:rsidRPr="008953F6" w:rsidTr="00CD26D6">
        <w:tc>
          <w:tcPr>
            <w:tcW w:w="1843" w:type="dxa"/>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Digitization of IP records of IPO Pakistan</w:t>
            </w:r>
          </w:p>
        </w:tc>
        <w:tc>
          <w:tcPr>
            <w:tcW w:w="1134"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Started July 2013</w:t>
            </w:r>
            <w:r w:rsidRPr="001E5448">
              <w:rPr>
                <w:rFonts w:cs="Arial"/>
                <w:color w:val="000000"/>
                <w:sz w:val="16"/>
                <w:szCs w:val="16"/>
              </w:rPr>
              <w:br/>
            </w:r>
            <w:r w:rsidRPr="001E5448">
              <w:rPr>
                <w:rFonts w:cs="Arial"/>
                <w:i/>
                <w:color w:val="000000"/>
                <w:sz w:val="16"/>
                <w:szCs w:val="16"/>
              </w:rPr>
              <w:t>(expected completion end 2014)</w:t>
            </w:r>
          </w:p>
        </w:tc>
        <w:tc>
          <w:tcPr>
            <w:tcW w:w="2835" w:type="dxa"/>
            <w:shd w:val="clear" w:color="auto" w:fill="auto"/>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Pakistan</w:t>
            </w:r>
          </w:p>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 xml:space="preserve">Patent Office and </w:t>
            </w:r>
            <w:r w:rsidRPr="001E5448">
              <w:rPr>
                <w:rFonts w:cs="Arial"/>
                <w:color w:val="000000"/>
                <w:sz w:val="16"/>
                <w:szCs w:val="16"/>
              </w:rPr>
              <w:br/>
              <w:t xml:space="preserve">Trade Marks Registry </w:t>
            </w:r>
            <w:r w:rsidRPr="001E5448">
              <w:rPr>
                <w:rFonts w:cs="Arial"/>
                <w:color w:val="000000"/>
                <w:sz w:val="16"/>
                <w:szCs w:val="16"/>
              </w:rPr>
              <w:br/>
              <w:t>of IPO Pakistan</w:t>
            </w:r>
          </w:p>
        </w:tc>
        <w:tc>
          <w:tcPr>
            <w:tcW w:w="3260" w:type="dxa"/>
            <w:shd w:val="clear" w:color="auto" w:fill="FFFFFF"/>
            <w:tcMar>
              <w:top w:w="110" w:type="dxa"/>
            </w:tcMar>
          </w:tcPr>
          <w:p w:rsidR="00CD26D6" w:rsidRPr="001E5448" w:rsidRDefault="00CD26D6" w:rsidP="00CD26D6">
            <w:pPr>
              <w:autoSpaceDE w:val="0"/>
              <w:autoSpaceDN w:val="0"/>
              <w:adjustRightInd w:val="0"/>
              <w:spacing w:before="120" w:after="120"/>
              <w:rPr>
                <w:rFonts w:cs="Arial"/>
                <w:color w:val="000000"/>
                <w:sz w:val="16"/>
                <w:szCs w:val="16"/>
              </w:rPr>
            </w:pPr>
            <w:r w:rsidRPr="001E5448">
              <w:rPr>
                <w:rFonts w:cs="Arial"/>
                <w:color w:val="000000"/>
                <w:sz w:val="16"/>
                <w:szCs w:val="16"/>
              </w:rPr>
              <w:t>To: (i) scan more than six million pages of patent and trademark records; (ii) capture about 25,000 records missing in patent and trademark databases; and (iii) validate records in patent and trademark databases</w:t>
            </w:r>
          </w:p>
        </w:tc>
      </w:tr>
    </w:tbl>
    <w:p w:rsidR="005703CF" w:rsidRDefault="005703CF" w:rsidP="005703CF">
      <w:pPr>
        <w:tabs>
          <w:tab w:val="left" w:pos="0"/>
          <w:tab w:val="left" w:pos="9071"/>
        </w:tabs>
        <w:rPr>
          <w:rFonts w:cs="Arial"/>
          <w:b/>
          <w:szCs w:val="20"/>
        </w:rPr>
      </w:pPr>
    </w:p>
    <w:p w:rsidR="005703CF" w:rsidRDefault="005703CF" w:rsidP="005703CF">
      <w:pPr>
        <w:tabs>
          <w:tab w:val="left" w:pos="0"/>
          <w:tab w:val="left" w:pos="9071"/>
        </w:tabs>
        <w:rPr>
          <w:szCs w:val="20"/>
        </w:rPr>
      </w:pPr>
    </w:p>
    <w:p w:rsidR="005703CF" w:rsidRPr="00660313" w:rsidRDefault="005703CF" w:rsidP="005703CF">
      <w:pPr>
        <w:spacing w:before="120"/>
        <w:rPr>
          <w:rFonts w:cs="Arial"/>
          <w:b/>
          <w:szCs w:val="20"/>
        </w:rPr>
      </w:pPr>
      <w:r w:rsidRPr="00280DA3">
        <w:rPr>
          <w:rFonts w:cs="Arial"/>
          <w:b/>
          <w:sz w:val="18"/>
          <w:szCs w:val="18"/>
        </w:rPr>
        <w:t>EUROPEAN UNION (Pakistan Project) Donor Contributions and Expenditure in 20</w:t>
      </w:r>
      <w:r w:rsidRPr="008A5EA6">
        <w:rPr>
          <w:rFonts w:cs="Arial"/>
          <w:b/>
          <w:sz w:val="18"/>
          <w:szCs w:val="18"/>
        </w:rPr>
        <w:t>1</w:t>
      </w:r>
      <w:r>
        <w:rPr>
          <w:rFonts w:cs="Arial"/>
          <w:b/>
          <w:sz w:val="18"/>
          <w:szCs w:val="18"/>
        </w:rPr>
        <w:t>3</w:t>
      </w:r>
      <w:r w:rsidRPr="008A5EA6">
        <w:rPr>
          <w:rFonts w:cs="Arial Bold"/>
          <w:bCs/>
          <w:i/>
          <w:iCs/>
          <w:sz w:val="16"/>
          <w:szCs w:val="16"/>
          <w:vertAlign w:val="superscript"/>
        </w:rPr>
        <w:t>1</w:t>
      </w:r>
      <w:r w:rsidRPr="008A5EA6">
        <w:rPr>
          <w:rFonts w:cs="Arial"/>
          <w:bCs/>
          <w:i/>
          <w:iCs/>
          <w:sz w:val="16"/>
          <w:szCs w:val="16"/>
        </w:rPr>
        <w:t xml:space="preserve"> </w:t>
      </w:r>
    </w:p>
    <w:p w:rsidR="005703CF"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619,665</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284,598</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298,731</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605,533</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rPr>
          <w:szCs w:val="20"/>
        </w:rPr>
      </w:pPr>
    </w:p>
    <w:p w:rsidR="005703CF" w:rsidRPr="00120315" w:rsidRDefault="005703CF" w:rsidP="005703CF">
      <w:pPr>
        <w:rPr>
          <w:szCs w:val="20"/>
        </w:rPr>
      </w:pPr>
    </w:p>
    <w:p w:rsidR="005703CF" w:rsidRDefault="005703CF" w:rsidP="005703CF">
      <w:pPr>
        <w:spacing w:before="120"/>
        <w:rPr>
          <w:rFonts w:cs="Arial"/>
          <w:b/>
          <w:szCs w:val="20"/>
        </w:rPr>
      </w:pPr>
    </w:p>
    <w:p w:rsidR="005703CF" w:rsidRDefault="005703CF" w:rsidP="005703CF">
      <w:pPr>
        <w:spacing w:before="120"/>
        <w:rPr>
          <w:rFonts w:cs="Arial"/>
          <w:b/>
          <w:szCs w:val="20"/>
        </w:rPr>
      </w:pPr>
    </w:p>
    <w:p w:rsidR="005703CF" w:rsidRDefault="005703CF" w:rsidP="005703CF">
      <w:pPr>
        <w:spacing w:before="120"/>
        <w:rPr>
          <w:rFonts w:cs="Arial"/>
          <w:b/>
          <w:szCs w:val="20"/>
        </w:rPr>
      </w:pPr>
      <w:r>
        <w:rPr>
          <w:rFonts w:cs="Arial"/>
          <w:b/>
          <w:szCs w:val="20"/>
          <w:highlight w:val="yellow"/>
        </w:rPr>
        <w:br w:type="page"/>
      </w:r>
      <w:r w:rsidRPr="00795D13">
        <w:rPr>
          <w:rFonts w:cs="Arial"/>
          <w:b/>
          <w:szCs w:val="20"/>
        </w:rPr>
        <w:lastRenderedPageBreak/>
        <w:t>FINLAND/ COPYRIGHT III</w:t>
      </w:r>
    </w:p>
    <w:p w:rsidR="005703CF" w:rsidRDefault="005703CF" w:rsidP="005703CF">
      <w:pPr>
        <w:spacing w:before="120"/>
        <w:rPr>
          <w:rFonts w:cs="Arial"/>
          <w:b/>
          <w:szCs w:val="20"/>
        </w:rPr>
      </w:pP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1843"/>
        <w:gridCol w:w="4256"/>
      </w:tblGrid>
      <w:tr w:rsidR="005703CF" w:rsidTr="002249F8">
        <w:tc>
          <w:tcPr>
            <w:tcW w:w="9080" w:type="dxa"/>
            <w:gridSpan w:val="4"/>
            <w:tcBorders>
              <w:top w:val="single" w:sz="4" w:space="0" w:color="000000"/>
              <w:bottom w:val="single" w:sz="4" w:space="0" w:color="000000"/>
            </w:tcBorders>
            <w:shd w:val="clear" w:color="auto" w:fill="CCFFFF"/>
            <w:vAlign w:val="center"/>
          </w:tcPr>
          <w:p w:rsidR="005703CF" w:rsidRPr="00A95449" w:rsidRDefault="005703CF" w:rsidP="002249F8">
            <w:pPr>
              <w:tabs>
                <w:tab w:val="left" w:pos="890"/>
              </w:tabs>
              <w:spacing w:before="120" w:after="120"/>
              <w:ind w:left="890" w:hanging="89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Pr>
                <w:rFonts w:cs="Arial"/>
                <w:b/>
                <w:bCs/>
                <w:sz w:val="16"/>
                <w:szCs w:val="16"/>
              </w:rPr>
              <w:tab/>
            </w:r>
            <w:r>
              <w:rPr>
                <w:rFonts w:cs="Arial"/>
                <w:b/>
                <w:bCs/>
                <w:sz w:val="16"/>
                <w:szCs w:val="16"/>
              </w:rPr>
              <w:tab/>
            </w:r>
            <w:r w:rsidRPr="00A95449">
              <w:rPr>
                <w:rFonts w:eastAsia="MS Mincho" w:cs="Arial"/>
                <w:bCs/>
                <w:color w:val="000000"/>
                <w:sz w:val="16"/>
                <w:szCs w:val="16"/>
                <w:lang w:eastAsia="ja-JP" w:bidi="th-TH"/>
              </w:rPr>
              <w:t>Evidence-based decision making on copyright issues</w:t>
            </w:r>
          </w:p>
        </w:tc>
      </w:tr>
      <w:tr w:rsidR="005703CF" w:rsidTr="002249F8">
        <w:tc>
          <w:tcPr>
            <w:tcW w:w="1844" w:type="dxa"/>
            <w:tcBorders>
              <w:top w:val="single" w:sz="4" w:space="0" w:color="000000"/>
            </w:tcBorders>
            <w:vAlign w:val="center"/>
          </w:tcPr>
          <w:p w:rsidR="005703CF" w:rsidRDefault="005703CF" w:rsidP="002249F8">
            <w:pPr>
              <w:keepNext/>
              <w:keepLines/>
              <w:rPr>
                <w:rFonts w:cs="Arial"/>
                <w:b/>
                <w:bCs/>
                <w:sz w:val="16"/>
                <w:szCs w:val="16"/>
              </w:rPr>
            </w:pPr>
            <w:r>
              <w:rPr>
                <w:rFonts w:cs="Arial"/>
                <w:b/>
                <w:bCs/>
                <w:sz w:val="16"/>
                <w:szCs w:val="16"/>
              </w:rPr>
              <w:t>Activity</w:t>
            </w:r>
          </w:p>
        </w:tc>
        <w:tc>
          <w:tcPr>
            <w:tcW w:w="1137" w:type="dxa"/>
            <w:tcBorders>
              <w:top w:val="single" w:sz="4" w:space="0" w:color="000000"/>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Host Country/</w:t>
            </w:r>
            <w:r>
              <w:rPr>
                <w:rFonts w:cs="Arial"/>
                <w:b/>
                <w:bCs/>
                <w:sz w:val="16"/>
                <w:szCs w:val="16"/>
              </w:rPr>
              <w:br/>
              <w:t>Recipients</w:t>
            </w:r>
          </w:p>
        </w:tc>
        <w:tc>
          <w:tcPr>
            <w:tcW w:w="4256" w:type="dxa"/>
            <w:tcBorders>
              <w:top w:val="single" w:sz="4" w:space="0" w:color="000000"/>
            </w:tcBorders>
            <w:shd w:val="clear" w:color="auto" w:fill="FFFFFF"/>
            <w:tcMar>
              <w:top w:w="110" w:type="dxa"/>
            </w:tcMar>
            <w:vAlign w:val="center"/>
          </w:tcPr>
          <w:p w:rsidR="005703CF" w:rsidRDefault="005703CF" w:rsidP="002249F8">
            <w:pPr>
              <w:keepNext/>
              <w:keepLines/>
              <w:rPr>
                <w:rFonts w:cs="Arial"/>
                <w:sz w:val="16"/>
                <w:szCs w:val="16"/>
              </w:rPr>
            </w:pPr>
            <w:r>
              <w:rPr>
                <w:rFonts w:cs="Arial"/>
                <w:b/>
                <w:bCs/>
                <w:sz w:val="16"/>
                <w:szCs w:val="16"/>
              </w:rPr>
              <w:t>Purpose(s)/Description(s)</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cs="Arial"/>
                <w:color w:val="000000"/>
                <w:sz w:val="16"/>
                <w:szCs w:val="16"/>
              </w:rPr>
              <w:t>Preparation of a methodology on measuring economic, social and cultural impact of Copyright in the Creative Industries</w:t>
            </w:r>
          </w:p>
        </w:tc>
        <w:tc>
          <w:tcPr>
            <w:tcW w:w="1137" w:type="dxa"/>
          </w:tcPr>
          <w:p w:rsidR="005703CF" w:rsidRDefault="005703CF" w:rsidP="002249F8">
            <w:pPr>
              <w:autoSpaceDE w:val="0"/>
              <w:autoSpaceDN w:val="0"/>
              <w:adjustRightInd w:val="0"/>
              <w:spacing w:before="120" w:after="120"/>
              <w:rPr>
                <w:rFonts w:cs="Arial"/>
                <w:color w:val="000000"/>
                <w:sz w:val="16"/>
                <w:szCs w:val="16"/>
              </w:rPr>
            </w:pPr>
            <w:r w:rsidRPr="00774BA0">
              <w:rPr>
                <w:rFonts w:cs="Arial"/>
                <w:color w:val="000000"/>
                <w:sz w:val="16"/>
                <w:szCs w:val="16"/>
              </w:rPr>
              <w:t>January to December 201</w:t>
            </w:r>
            <w:r>
              <w:rPr>
                <w:rFonts w:cs="Arial"/>
                <w:color w:val="000000"/>
                <w:sz w:val="16"/>
                <w:szCs w:val="16"/>
              </w:rPr>
              <w:t>3</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cs="Arial"/>
                <w:color w:val="000000"/>
                <w:sz w:val="16"/>
                <w:szCs w:val="16"/>
              </w:rPr>
              <w:t>(On-going since 2012)</w:t>
            </w:r>
          </w:p>
        </w:tc>
        <w:tc>
          <w:tcPr>
            <w:tcW w:w="1843"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sidRPr="00774BA0">
              <w:rPr>
                <w:rFonts w:cs="Arial"/>
                <w:color w:val="000000"/>
                <w:sz w:val="16"/>
                <w:szCs w:val="16"/>
              </w:rPr>
              <w:t>All users</w:t>
            </w:r>
          </w:p>
        </w:tc>
        <w:tc>
          <w:tcPr>
            <w:tcW w:w="4256"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To provide a robust methodology for measuring Copyright impact </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Launch of a pilot project on measuring economic, social and cultural impact of copyright in the creative industries </w:t>
            </w:r>
          </w:p>
        </w:tc>
        <w:tc>
          <w:tcPr>
            <w:tcW w:w="1137"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July 2013</w:t>
            </w:r>
          </w:p>
          <w:p w:rsidR="005703CF" w:rsidRDefault="005703CF" w:rsidP="002249F8">
            <w:pPr>
              <w:autoSpaceDE w:val="0"/>
              <w:autoSpaceDN w:val="0"/>
              <w:adjustRightInd w:val="0"/>
              <w:spacing w:before="120" w:after="120"/>
              <w:rPr>
                <w:rFonts w:eastAsia="MS Mincho" w:cs="Arial"/>
                <w:color w:val="000000"/>
                <w:sz w:val="16"/>
                <w:szCs w:val="16"/>
                <w:lang w:eastAsia="ja-JP" w:bidi="th-TH"/>
              </w:rPr>
            </w:pP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p>
        </w:tc>
        <w:tc>
          <w:tcPr>
            <w:tcW w:w="1843"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Finland</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p>
        </w:tc>
        <w:tc>
          <w:tcPr>
            <w:tcW w:w="4256"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provide expert advice on the application of the methodology on measuring broader copyright impacts</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Launch of a pilot project on measuring copyright piracy</w:t>
            </w:r>
          </w:p>
        </w:tc>
        <w:tc>
          <w:tcPr>
            <w:tcW w:w="1137"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June 2012 to July 2013</w:t>
            </w:r>
          </w:p>
        </w:tc>
        <w:tc>
          <w:tcPr>
            <w:tcW w:w="1843"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Philippines</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p>
        </w:tc>
        <w:tc>
          <w:tcPr>
            <w:tcW w:w="4256"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provide expert advice on the application of methodological guidelines on measuring copyright piracy</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Revision of the WIPO guidelines on measuring the economic contribution of copyright industries</w:t>
            </w:r>
          </w:p>
        </w:tc>
        <w:tc>
          <w:tcPr>
            <w:tcW w:w="1137"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June to December 2013</w:t>
            </w:r>
          </w:p>
        </w:tc>
        <w:tc>
          <w:tcPr>
            <w:tcW w:w="1843"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All countries</w:t>
            </w:r>
          </w:p>
        </w:tc>
        <w:tc>
          <w:tcPr>
            <w:tcW w:w="4256"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To develop revised guidelines on measuring the economic contribution of copyright industries based on the experience gained through national surveys</w:t>
            </w:r>
          </w:p>
        </w:tc>
      </w:tr>
    </w:tbl>
    <w:p w:rsidR="005703CF" w:rsidRPr="001A2E86" w:rsidRDefault="005703CF" w:rsidP="005703CF">
      <w:pPr>
        <w:spacing w:before="120"/>
        <w:rPr>
          <w:rFonts w:cs="Arial"/>
          <w:b/>
          <w:sz w:val="16"/>
          <w:szCs w:val="16"/>
        </w:rPr>
      </w:pPr>
    </w:p>
    <w:p w:rsidR="005703CF" w:rsidRDefault="005703CF" w:rsidP="005703CF">
      <w:pPr>
        <w:spacing w:before="120"/>
        <w:rPr>
          <w:rFonts w:cs="Arial"/>
          <w:b/>
          <w:szCs w:val="20"/>
        </w:rPr>
      </w:pPr>
    </w:p>
    <w:p w:rsidR="005703CF" w:rsidRDefault="005703CF" w:rsidP="005703CF">
      <w:pPr>
        <w:tabs>
          <w:tab w:val="left" w:pos="0"/>
          <w:tab w:val="left" w:pos="9071"/>
        </w:tabs>
        <w:jc w:val="center"/>
        <w:rPr>
          <w:rFonts w:cs="Arial"/>
          <w:b/>
          <w:szCs w:val="20"/>
        </w:rPr>
      </w:pPr>
    </w:p>
    <w:p w:rsidR="005703CF" w:rsidRPr="00280DA3" w:rsidRDefault="00260A14" w:rsidP="005703CF">
      <w:pPr>
        <w:rPr>
          <w:rFonts w:cs="Arial"/>
          <w:b/>
          <w:sz w:val="18"/>
          <w:szCs w:val="18"/>
        </w:rPr>
      </w:pPr>
      <w:r>
        <w:rPr>
          <w:rFonts w:cs="Arial"/>
          <w:b/>
          <w:sz w:val="18"/>
          <w:szCs w:val="18"/>
        </w:rPr>
        <w:t xml:space="preserve">FINLAND/ COPYRIGHT </w:t>
      </w:r>
      <w:r w:rsidR="005703CF" w:rsidRPr="00280DA3">
        <w:rPr>
          <w:rFonts w:cs="Arial"/>
          <w:b/>
          <w:sz w:val="18"/>
          <w:szCs w:val="18"/>
        </w:rPr>
        <w:t xml:space="preserve">III </w:t>
      </w:r>
      <w:r w:rsidR="005703CF" w:rsidRPr="00280DA3">
        <w:rPr>
          <w:rFonts w:cs="Arial"/>
          <w:b/>
          <w:bCs/>
          <w:sz w:val="18"/>
          <w:szCs w:val="18"/>
        </w:rPr>
        <w:t>Donor Contributions and Expenditure in 201</w:t>
      </w:r>
      <w:r w:rsidR="005703CF">
        <w:rPr>
          <w:rFonts w:cs="Arial"/>
          <w:b/>
          <w:bCs/>
          <w:sz w:val="18"/>
          <w:szCs w:val="18"/>
        </w:rPr>
        <w:t>3</w:t>
      </w:r>
      <w:r w:rsidR="005703CF" w:rsidRPr="00496129">
        <w:rPr>
          <w:rFonts w:ascii="Arial Bold" w:hAnsi="Arial Bold" w:cs="Arial Bold"/>
          <w:b/>
          <w:bCs/>
          <w:sz w:val="18"/>
          <w:szCs w:val="18"/>
          <w:vertAlign w:val="superscript"/>
        </w:rPr>
        <w:t>1</w:t>
      </w:r>
    </w:p>
    <w:p w:rsidR="005703CF" w:rsidRDefault="005703CF" w:rsidP="005703CF">
      <w:pPr>
        <w:autoSpaceDE w:val="0"/>
        <w:autoSpaceDN w:val="0"/>
        <w:adjustRightInd w:val="0"/>
        <w:rPr>
          <w:rFonts w:eastAsia="MS Mincho" w:cs="Arial"/>
          <w:b/>
          <w:bCs/>
          <w:color w:val="000000"/>
          <w:sz w:val="18"/>
          <w:szCs w:val="18"/>
          <w:lang w:eastAsia="ja-JP" w:bidi="th-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w:t>
            </w:r>
            <w:r w:rsidR="00260A14">
              <w:rPr>
                <w:rFonts w:cs="Arial"/>
                <w:b/>
                <w:sz w:val="16"/>
                <w:szCs w:val="16"/>
              </w:rPr>
              <w:t>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w:t>
            </w:r>
            <w:r w:rsidR="00260A14">
              <w:rPr>
                <w:rFonts w:cs="Arial"/>
                <w:b/>
                <w:sz w:val="16"/>
                <w:szCs w:val="16"/>
              </w:rPr>
              <w:t>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w:t>
            </w:r>
            <w:r w:rsidR="00260A14">
              <w:rPr>
                <w:rFonts w:cs="Arial"/>
                <w:b/>
                <w:sz w:val="16"/>
                <w:szCs w:val="16"/>
              </w:rPr>
              <w:t>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w:t>
            </w:r>
            <w:r w:rsidR="00260A14">
              <w:rPr>
                <w:rFonts w:cs="Arial"/>
                <w:b/>
                <w:sz w:val="16"/>
                <w:szCs w:val="16"/>
              </w:rPr>
              <w:t>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182,635</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39,270</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51,767</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170,138</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autoSpaceDE w:val="0"/>
        <w:autoSpaceDN w:val="0"/>
        <w:adjustRightInd w:val="0"/>
        <w:rPr>
          <w:rFonts w:eastAsia="MS Mincho" w:cs="Arial"/>
          <w:b/>
          <w:bCs/>
          <w:color w:val="000000"/>
          <w:sz w:val="18"/>
          <w:szCs w:val="18"/>
          <w:lang w:eastAsia="ja-JP" w:bidi="th-TH"/>
        </w:rPr>
      </w:pPr>
    </w:p>
    <w:p w:rsidR="005703CF" w:rsidRDefault="005703CF" w:rsidP="005703CF">
      <w:pPr>
        <w:autoSpaceDE w:val="0"/>
        <w:autoSpaceDN w:val="0"/>
        <w:adjustRightInd w:val="0"/>
        <w:rPr>
          <w:rFonts w:eastAsia="MS Mincho" w:cs="Arial"/>
          <w:b/>
          <w:bCs/>
          <w:color w:val="000000"/>
          <w:sz w:val="18"/>
          <w:szCs w:val="18"/>
          <w:lang w:eastAsia="ja-JP" w:bidi="th-TH"/>
        </w:rPr>
      </w:pPr>
    </w:p>
    <w:p w:rsidR="005703CF" w:rsidRPr="00B67C98" w:rsidRDefault="005703CF" w:rsidP="005703CF">
      <w:pPr>
        <w:rPr>
          <w:rFonts w:cs="Arial"/>
          <w:b/>
          <w:sz w:val="16"/>
          <w:szCs w:val="16"/>
        </w:rPr>
      </w:pPr>
    </w:p>
    <w:p w:rsidR="005703CF" w:rsidRDefault="005703CF" w:rsidP="005703CF">
      <w:pPr>
        <w:rPr>
          <w:rFonts w:cs="Arial"/>
          <w:b/>
          <w:szCs w:val="20"/>
        </w:rPr>
      </w:pPr>
      <w:r>
        <w:rPr>
          <w:rFonts w:cs="Arial"/>
          <w:b/>
          <w:szCs w:val="20"/>
        </w:rPr>
        <w:br w:type="page"/>
      </w:r>
      <w:r w:rsidRPr="003943F0">
        <w:rPr>
          <w:rFonts w:cs="Arial"/>
          <w:b/>
          <w:szCs w:val="20"/>
        </w:rPr>
        <w:lastRenderedPageBreak/>
        <w:t>FRANCE</w:t>
      </w:r>
      <w:r w:rsidR="002249F8">
        <w:rPr>
          <w:rFonts w:cs="Arial"/>
          <w:b/>
          <w:szCs w:val="20"/>
        </w:rPr>
        <w:t>/</w:t>
      </w:r>
      <w:r>
        <w:rPr>
          <w:rFonts w:cs="Arial"/>
          <w:b/>
          <w:szCs w:val="20"/>
        </w:rPr>
        <w:t>INDUSTRIAL PROPERTY</w:t>
      </w:r>
    </w:p>
    <w:p w:rsidR="005703CF" w:rsidRDefault="005703CF" w:rsidP="005703CF">
      <w:pPr>
        <w:rPr>
          <w:rFonts w:cs="Arial"/>
          <w:b/>
          <w:sz w:val="16"/>
          <w:szCs w:val="16"/>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0"/>
        <w:gridCol w:w="1137"/>
        <w:gridCol w:w="1985"/>
        <w:gridCol w:w="4110"/>
      </w:tblGrid>
      <w:tr w:rsidR="005703CF" w:rsidRPr="00A07CC5" w:rsidTr="002249F8">
        <w:tc>
          <w:tcPr>
            <w:tcW w:w="9072" w:type="dxa"/>
            <w:gridSpan w:val="4"/>
            <w:tcBorders>
              <w:top w:val="single" w:sz="4" w:space="0" w:color="auto"/>
              <w:bottom w:val="single" w:sz="4" w:space="0" w:color="auto"/>
            </w:tcBorders>
            <w:shd w:val="clear" w:color="auto" w:fill="CCFFFF"/>
            <w:vAlign w:val="center"/>
          </w:tcPr>
          <w:p w:rsidR="005703CF" w:rsidRPr="00A07CC5" w:rsidRDefault="005703CF" w:rsidP="002249F8">
            <w:pPr>
              <w:keepNext/>
              <w:keepLines/>
              <w:tabs>
                <w:tab w:val="left" w:pos="1740"/>
              </w:tabs>
              <w:spacing w:before="120" w:after="60"/>
              <w:ind w:left="1741" w:hanging="1741"/>
              <w:rPr>
                <w:rFonts w:cs="Arial"/>
                <w:b/>
                <w:bCs/>
                <w:sz w:val="16"/>
                <w:szCs w:val="16"/>
              </w:rPr>
            </w:pPr>
            <w:r w:rsidRPr="00774D44">
              <w:rPr>
                <w:rFonts w:cs="Arial"/>
                <w:b/>
                <w:bCs/>
                <w:color w:val="000000"/>
                <w:sz w:val="16"/>
                <w:szCs w:val="16"/>
              </w:rPr>
              <w:t>RESULT</w:t>
            </w:r>
            <w:r w:rsidRPr="002B7DE5">
              <w:rPr>
                <w:rFonts w:cs="Arial"/>
                <w:b/>
                <w:bCs/>
                <w:sz w:val="16"/>
                <w:szCs w:val="16"/>
              </w:rPr>
              <w:t>:</w:t>
            </w:r>
            <w:r w:rsidRPr="00A07CC5">
              <w:rPr>
                <w:rFonts w:cs="Arial"/>
                <w:b/>
                <w:bCs/>
                <w:sz w:val="16"/>
                <w:szCs w:val="16"/>
              </w:rPr>
              <w:tab/>
            </w:r>
            <w:r w:rsidRPr="003943F0">
              <w:rPr>
                <w:rFonts w:eastAsia="MS Mincho" w:cs="Arial"/>
                <w:bCs/>
                <w:color w:val="000000"/>
                <w:sz w:val="16"/>
                <w:szCs w:val="16"/>
                <w:lang w:eastAsia="ja-JP" w:bidi="th-TH"/>
              </w:rPr>
              <w:t>Enhanced human resources capacities able to deal with the broad range of requirements for the effective use of IP for development in developing countries, LDCs and countries with economies in transition</w:t>
            </w:r>
          </w:p>
        </w:tc>
      </w:tr>
      <w:tr w:rsidR="005703CF" w:rsidTr="002249F8">
        <w:tc>
          <w:tcPr>
            <w:tcW w:w="1840" w:type="dxa"/>
            <w:tcBorders>
              <w:top w:val="single" w:sz="4" w:space="0" w:color="auto"/>
            </w:tcBorders>
            <w:vAlign w:val="center"/>
          </w:tcPr>
          <w:p w:rsidR="005703CF" w:rsidRDefault="005703CF" w:rsidP="002249F8">
            <w:pPr>
              <w:keepNext/>
              <w:keepLines/>
              <w:rPr>
                <w:rFonts w:cs="Arial"/>
                <w:b/>
                <w:bCs/>
                <w:sz w:val="16"/>
                <w:szCs w:val="16"/>
              </w:rPr>
            </w:pPr>
            <w:r>
              <w:rPr>
                <w:rFonts w:cs="Arial"/>
                <w:b/>
                <w:bCs/>
                <w:sz w:val="16"/>
                <w:szCs w:val="16"/>
              </w:rPr>
              <w:t>Activity</w:t>
            </w:r>
          </w:p>
        </w:tc>
        <w:tc>
          <w:tcPr>
            <w:tcW w:w="1137" w:type="dxa"/>
            <w:tcBorders>
              <w:top w:val="single" w:sz="4" w:space="0" w:color="auto"/>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Date</w:t>
            </w:r>
          </w:p>
        </w:tc>
        <w:tc>
          <w:tcPr>
            <w:tcW w:w="1985" w:type="dxa"/>
            <w:tcBorders>
              <w:top w:val="single" w:sz="4" w:space="0" w:color="auto"/>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Host Country/</w:t>
            </w:r>
            <w:r>
              <w:rPr>
                <w:rFonts w:cs="Arial"/>
                <w:b/>
                <w:bCs/>
                <w:sz w:val="16"/>
                <w:szCs w:val="16"/>
              </w:rPr>
              <w:br/>
              <w:t>Recipients</w:t>
            </w:r>
          </w:p>
        </w:tc>
        <w:tc>
          <w:tcPr>
            <w:tcW w:w="4110" w:type="dxa"/>
            <w:tcBorders>
              <w:top w:val="single" w:sz="4" w:space="0" w:color="auto"/>
            </w:tcBorders>
            <w:shd w:val="clear" w:color="auto" w:fill="FFFFFF"/>
            <w:tcMar>
              <w:top w:w="110" w:type="dxa"/>
            </w:tcMar>
            <w:vAlign w:val="center"/>
          </w:tcPr>
          <w:p w:rsidR="005703CF" w:rsidRDefault="005703CF" w:rsidP="002249F8">
            <w:pPr>
              <w:keepNext/>
              <w:keepLines/>
              <w:rPr>
                <w:rFonts w:cs="Arial"/>
                <w:sz w:val="16"/>
                <w:szCs w:val="16"/>
              </w:rPr>
            </w:pPr>
            <w:r>
              <w:rPr>
                <w:rFonts w:cs="Arial"/>
                <w:b/>
                <w:bCs/>
                <w:sz w:val="16"/>
                <w:szCs w:val="16"/>
              </w:rPr>
              <w:t>Purpose(s)/Description(s)</w:t>
            </w:r>
          </w:p>
        </w:tc>
      </w:tr>
      <w:tr w:rsidR="005703CF" w:rsidRPr="00CE3BC2" w:rsidTr="002249F8">
        <w:tc>
          <w:tcPr>
            <w:tcW w:w="1840"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IP Finance and V</w:t>
            </w:r>
            <w:r w:rsidRPr="005942C1">
              <w:rPr>
                <w:rFonts w:eastAsia="MS Mincho" w:cs="Arial"/>
                <w:color w:val="000000"/>
                <w:sz w:val="16"/>
                <w:szCs w:val="16"/>
                <w:lang w:eastAsia="ja-JP" w:bidi="th-TH"/>
              </w:rPr>
              <w:t>aluatio</w:t>
            </w:r>
            <w:r>
              <w:rPr>
                <w:rFonts w:eastAsia="MS Mincho" w:cs="Arial"/>
                <w:color w:val="000000"/>
                <w:sz w:val="16"/>
                <w:szCs w:val="16"/>
                <w:lang w:eastAsia="ja-JP" w:bidi="th-TH"/>
              </w:rPr>
              <w:t xml:space="preserve">n Conference organized by the </w:t>
            </w:r>
            <w:r w:rsidRPr="005942C1">
              <w:rPr>
                <w:rFonts w:eastAsia="MS Mincho" w:cs="Arial"/>
                <w:bCs/>
                <w:color w:val="000000"/>
                <w:sz w:val="16"/>
                <w:szCs w:val="16"/>
                <w:lang w:eastAsia="ja-JP" w:bidi="th-TH"/>
              </w:rPr>
              <w:t>National Institute of Industrial Property (INPI) France, and the Intellectual Prop</w:t>
            </w:r>
            <w:r>
              <w:rPr>
                <w:rFonts w:eastAsia="MS Mincho" w:cs="Arial"/>
                <w:bCs/>
                <w:color w:val="000000"/>
                <w:sz w:val="16"/>
                <w:szCs w:val="16"/>
                <w:lang w:eastAsia="ja-JP" w:bidi="th-TH"/>
              </w:rPr>
              <w:t>erty Office in Singapore (IPOS)</w:t>
            </w:r>
            <w:r w:rsidRPr="005942C1">
              <w:rPr>
                <w:rFonts w:eastAsia="MS Mincho" w:cs="Arial"/>
                <w:bCs/>
                <w:color w:val="000000"/>
                <w:sz w:val="16"/>
                <w:szCs w:val="16"/>
                <w:lang w:eastAsia="ja-JP" w:bidi="th-TH"/>
              </w:rPr>
              <w:t xml:space="preserve"> </w:t>
            </w:r>
          </w:p>
        </w:tc>
        <w:tc>
          <w:tcPr>
            <w:tcW w:w="1137" w:type="dxa"/>
          </w:tcPr>
          <w:p w:rsidR="005703CF" w:rsidRPr="001D3AD5" w:rsidRDefault="005703CF" w:rsidP="002249F8">
            <w:pPr>
              <w:autoSpaceDE w:val="0"/>
              <w:autoSpaceDN w:val="0"/>
              <w:adjustRightInd w:val="0"/>
              <w:spacing w:before="120" w:after="120"/>
              <w:rPr>
                <w:rFonts w:eastAsia="MS Mincho" w:cs="Arial"/>
                <w:color w:val="000000"/>
                <w:sz w:val="16"/>
                <w:szCs w:val="16"/>
                <w:lang w:eastAsia="ja-JP" w:bidi="th-TH"/>
              </w:rPr>
            </w:pPr>
            <w:r w:rsidRPr="00CE3BC2">
              <w:rPr>
                <w:rFonts w:eastAsia="MS Mincho" w:cs="Arial"/>
                <w:color w:val="000000"/>
                <w:sz w:val="16"/>
                <w:szCs w:val="16"/>
                <w:lang w:val="fr-CH" w:eastAsia="ja-JP" w:bidi="th-TH"/>
              </w:rPr>
              <w:t>August 29, 2013</w:t>
            </w:r>
          </w:p>
        </w:tc>
        <w:tc>
          <w:tcPr>
            <w:tcW w:w="1985" w:type="dxa"/>
          </w:tcPr>
          <w:p w:rsidR="005703CF" w:rsidRPr="001D3AD5" w:rsidRDefault="005703CF" w:rsidP="002249F8">
            <w:pPr>
              <w:autoSpaceDE w:val="0"/>
              <w:autoSpaceDN w:val="0"/>
              <w:adjustRightInd w:val="0"/>
              <w:spacing w:before="120" w:after="60"/>
              <w:rPr>
                <w:rFonts w:eastAsia="MS Mincho" w:cs="Arial"/>
                <w:color w:val="000000"/>
                <w:sz w:val="16"/>
                <w:szCs w:val="16"/>
                <w:lang w:eastAsia="ja-JP" w:bidi="th-TH"/>
              </w:rPr>
            </w:pPr>
            <w:r>
              <w:rPr>
                <w:rFonts w:eastAsia="MS Mincho" w:cs="Arial"/>
                <w:color w:val="000000"/>
                <w:sz w:val="16"/>
                <w:szCs w:val="16"/>
                <w:lang w:eastAsia="ja-JP" w:bidi="th-TH"/>
              </w:rPr>
              <w:t>Singapore</w:t>
            </w:r>
          </w:p>
        </w:tc>
        <w:tc>
          <w:tcPr>
            <w:tcW w:w="4110" w:type="dxa"/>
          </w:tcPr>
          <w:p w:rsidR="005703CF" w:rsidRPr="001D3AD5" w:rsidRDefault="005703CF" w:rsidP="002249F8">
            <w:pPr>
              <w:autoSpaceDE w:val="0"/>
              <w:autoSpaceDN w:val="0"/>
              <w:adjustRightInd w:val="0"/>
              <w:spacing w:before="120" w:after="120"/>
              <w:rPr>
                <w:rFonts w:eastAsia="MS Mincho" w:cs="Arial"/>
                <w:bCs/>
                <w:color w:val="000000"/>
                <w:sz w:val="16"/>
                <w:szCs w:val="16"/>
                <w:lang w:eastAsia="ja-JP" w:bidi="th-TH"/>
              </w:rPr>
            </w:pPr>
            <w:r>
              <w:rPr>
                <w:rFonts w:eastAsia="MS Mincho" w:cs="Arial"/>
                <w:color w:val="000000"/>
                <w:sz w:val="16"/>
                <w:szCs w:val="16"/>
                <w:lang w:eastAsia="ja-JP" w:bidi="th-TH"/>
              </w:rPr>
              <w:t>To explore the evolution of IP valuation and IP financing i</w:t>
            </w:r>
            <w:r w:rsidRPr="005942C1">
              <w:rPr>
                <w:rFonts w:eastAsia="MS Mincho" w:cs="Arial"/>
                <w:color w:val="000000"/>
                <w:sz w:val="16"/>
                <w:szCs w:val="16"/>
                <w:lang w:eastAsia="ja-JP" w:bidi="th-TH"/>
              </w:rPr>
              <w:t>n the framework of IP week @SG</w:t>
            </w:r>
            <w:r>
              <w:rPr>
                <w:rFonts w:eastAsia="MS Mincho" w:cs="Arial"/>
                <w:color w:val="000000"/>
                <w:sz w:val="16"/>
                <w:szCs w:val="16"/>
                <w:lang w:eastAsia="ja-JP" w:bidi="th-TH"/>
              </w:rPr>
              <w:t xml:space="preserve"> (</w:t>
            </w:r>
            <w:r w:rsidRPr="005942C1">
              <w:rPr>
                <w:rFonts w:eastAsia="MS Mincho" w:cs="Arial"/>
                <w:color w:val="000000"/>
                <w:sz w:val="16"/>
                <w:szCs w:val="16"/>
                <w:lang w:eastAsia="ja-JP" w:bidi="th-TH"/>
              </w:rPr>
              <w:t>August 26 to 30, 2013</w:t>
            </w:r>
            <w:r>
              <w:rPr>
                <w:rFonts w:eastAsia="MS Mincho" w:cs="Arial"/>
                <w:color w:val="000000"/>
                <w:sz w:val="16"/>
                <w:szCs w:val="16"/>
                <w:lang w:eastAsia="ja-JP" w:bidi="th-TH"/>
              </w:rPr>
              <w:t xml:space="preserve">)  </w:t>
            </w:r>
          </w:p>
        </w:tc>
      </w:tr>
      <w:tr w:rsidR="005703CF" w:rsidRPr="001D3AD5" w:rsidTr="002249F8">
        <w:tc>
          <w:tcPr>
            <w:tcW w:w="1840" w:type="dxa"/>
          </w:tcPr>
          <w:p w:rsidR="005703CF" w:rsidRPr="003C18E2" w:rsidRDefault="005703CF" w:rsidP="002249F8">
            <w:pPr>
              <w:autoSpaceDE w:val="0"/>
              <w:autoSpaceDN w:val="0"/>
              <w:adjustRightInd w:val="0"/>
              <w:spacing w:before="120" w:after="120"/>
              <w:rPr>
                <w:rFonts w:eastAsia="MS Mincho" w:cs="Arial"/>
                <w:color w:val="000000"/>
                <w:sz w:val="16"/>
                <w:szCs w:val="16"/>
                <w:lang w:eastAsia="ja-JP" w:bidi="th-TH"/>
              </w:rPr>
            </w:pPr>
            <w:r w:rsidRPr="003C18E2">
              <w:rPr>
                <w:rFonts w:eastAsia="MS Mincho" w:cs="Arial"/>
                <w:color w:val="000000"/>
                <w:sz w:val="16"/>
                <w:szCs w:val="16"/>
                <w:lang w:eastAsia="ja-JP" w:bidi="th-TH"/>
              </w:rPr>
              <w:t xml:space="preserve">Two Sub-regional seminars to promote </w:t>
            </w:r>
            <w:r>
              <w:rPr>
                <w:rFonts w:eastAsia="MS Mincho" w:cs="Arial"/>
                <w:color w:val="000000"/>
                <w:sz w:val="16"/>
                <w:szCs w:val="16"/>
                <w:lang w:eastAsia="ja-JP" w:bidi="th-TH"/>
              </w:rPr>
              <w:t xml:space="preserve">Building Respect for </w:t>
            </w:r>
            <w:r w:rsidRPr="003C18E2">
              <w:rPr>
                <w:rFonts w:eastAsia="MS Mincho" w:cs="Arial"/>
                <w:color w:val="000000"/>
                <w:sz w:val="16"/>
                <w:szCs w:val="16"/>
                <w:lang w:eastAsia="ja-JP" w:bidi="th-TH"/>
              </w:rPr>
              <w:t xml:space="preserve"> IP</w:t>
            </w:r>
            <w:r>
              <w:rPr>
                <w:rFonts w:eastAsia="MS Mincho" w:cs="Arial"/>
                <w:color w:val="000000"/>
                <w:sz w:val="16"/>
                <w:szCs w:val="16"/>
                <w:lang w:eastAsia="ja-JP" w:bidi="th-TH"/>
              </w:rPr>
              <w:t xml:space="preserve"> (BRIP) organized by INPI France, OAPI and WIPO</w:t>
            </w:r>
          </w:p>
        </w:tc>
        <w:tc>
          <w:tcPr>
            <w:tcW w:w="1137" w:type="dxa"/>
          </w:tcPr>
          <w:p w:rsidR="005703CF" w:rsidRPr="003C18E2" w:rsidRDefault="005703CF" w:rsidP="002249F8">
            <w:pPr>
              <w:autoSpaceDE w:val="0"/>
              <w:autoSpaceDN w:val="0"/>
              <w:adjustRightInd w:val="0"/>
              <w:spacing w:before="120" w:after="120"/>
              <w:rPr>
                <w:rFonts w:eastAsia="MS Mincho" w:cs="Arial"/>
                <w:color w:val="000000"/>
                <w:sz w:val="16"/>
                <w:szCs w:val="16"/>
                <w:lang w:eastAsia="ja-JP" w:bidi="th-TH"/>
              </w:rPr>
            </w:pPr>
            <w:r w:rsidRPr="003C18E2">
              <w:rPr>
                <w:rFonts w:eastAsia="MS Mincho" w:cs="Arial"/>
                <w:color w:val="000000"/>
                <w:sz w:val="16"/>
                <w:szCs w:val="16"/>
                <w:lang w:eastAsia="ja-JP" w:bidi="th-TH"/>
              </w:rPr>
              <w:t xml:space="preserve">November 25 to 27 2013 </w:t>
            </w:r>
            <w:r w:rsidRPr="003C18E2">
              <w:rPr>
                <w:rFonts w:eastAsia="MS Mincho" w:cs="Arial"/>
                <w:color w:val="000000"/>
                <w:sz w:val="16"/>
                <w:szCs w:val="16"/>
                <w:lang w:eastAsia="ja-JP" w:bidi="th-TH"/>
              </w:rPr>
              <w:br/>
            </w:r>
            <w:r w:rsidRPr="003C18E2">
              <w:rPr>
                <w:rFonts w:eastAsia="MS Mincho" w:cs="Arial"/>
                <w:color w:val="000000"/>
                <w:sz w:val="16"/>
                <w:szCs w:val="16"/>
                <w:lang w:eastAsia="ja-JP" w:bidi="th-TH"/>
              </w:rPr>
              <w:br/>
            </w:r>
          </w:p>
          <w:p w:rsidR="005703CF" w:rsidRPr="001D3AD5" w:rsidRDefault="005703CF" w:rsidP="002249F8">
            <w:pPr>
              <w:autoSpaceDE w:val="0"/>
              <w:autoSpaceDN w:val="0"/>
              <w:adjustRightInd w:val="0"/>
              <w:spacing w:before="120" w:after="120"/>
              <w:rPr>
                <w:rFonts w:eastAsia="MS Mincho" w:cs="Arial"/>
                <w:color w:val="000000"/>
                <w:sz w:val="16"/>
                <w:szCs w:val="16"/>
                <w:lang w:val="fr-CH" w:eastAsia="ja-JP" w:bidi="th-TH"/>
              </w:rPr>
            </w:pPr>
            <w:r w:rsidRPr="003C18E2">
              <w:rPr>
                <w:rFonts w:eastAsia="MS Mincho" w:cs="Arial"/>
                <w:color w:val="000000"/>
                <w:sz w:val="16"/>
                <w:szCs w:val="16"/>
                <w:lang w:eastAsia="ja-JP" w:bidi="th-TH"/>
              </w:rPr>
              <w:t>November 25 to 27 2013</w:t>
            </w:r>
          </w:p>
        </w:tc>
        <w:tc>
          <w:tcPr>
            <w:tcW w:w="1985" w:type="dxa"/>
          </w:tcPr>
          <w:p w:rsidR="005703CF" w:rsidRDefault="005703CF" w:rsidP="002249F8">
            <w:pPr>
              <w:autoSpaceDE w:val="0"/>
              <w:autoSpaceDN w:val="0"/>
              <w:adjustRightInd w:val="0"/>
              <w:spacing w:before="120" w:after="60"/>
              <w:rPr>
                <w:rFonts w:eastAsia="MS Mincho" w:cs="Arial"/>
                <w:color w:val="000000"/>
                <w:sz w:val="16"/>
                <w:szCs w:val="16"/>
                <w:lang w:eastAsia="ja-JP" w:bidi="th-TH"/>
              </w:rPr>
            </w:pPr>
            <w:r>
              <w:rPr>
                <w:rFonts w:eastAsia="MS Mincho" w:cs="Arial"/>
                <w:color w:val="000000"/>
                <w:sz w:val="16"/>
                <w:szCs w:val="16"/>
                <w:lang w:eastAsia="ja-JP" w:bidi="th-TH"/>
              </w:rPr>
              <w:t>Cameroon (Dou</w:t>
            </w:r>
            <w:r w:rsidR="00260A14">
              <w:rPr>
                <w:rFonts w:eastAsia="MS Mincho" w:cs="Arial"/>
                <w:color w:val="000000"/>
                <w:sz w:val="16"/>
                <w:szCs w:val="16"/>
                <w:lang w:eastAsia="ja-JP" w:bidi="th-TH"/>
              </w:rPr>
              <w:t>a</w:t>
            </w:r>
            <w:r>
              <w:rPr>
                <w:rFonts w:eastAsia="MS Mincho" w:cs="Arial"/>
                <w:color w:val="000000"/>
                <w:sz w:val="16"/>
                <w:szCs w:val="16"/>
                <w:lang w:eastAsia="ja-JP" w:bidi="th-TH"/>
              </w:rPr>
              <w:t xml:space="preserve">la)/ 28 officials from the Congo and Gabon </w:t>
            </w:r>
          </w:p>
          <w:p w:rsidR="005703CF" w:rsidRDefault="005703CF" w:rsidP="002249F8">
            <w:pPr>
              <w:autoSpaceDE w:val="0"/>
              <w:autoSpaceDN w:val="0"/>
              <w:adjustRightInd w:val="0"/>
              <w:spacing w:before="120" w:after="60"/>
              <w:rPr>
                <w:rFonts w:eastAsia="MS Mincho" w:cs="Arial"/>
                <w:color w:val="000000"/>
                <w:sz w:val="16"/>
                <w:szCs w:val="16"/>
                <w:lang w:eastAsia="ja-JP" w:bidi="th-TH"/>
              </w:rPr>
            </w:pPr>
          </w:p>
          <w:p w:rsidR="005703CF" w:rsidRPr="003C18E2" w:rsidRDefault="005703CF" w:rsidP="002249F8">
            <w:pPr>
              <w:autoSpaceDE w:val="0"/>
              <w:autoSpaceDN w:val="0"/>
              <w:adjustRightInd w:val="0"/>
              <w:spacing w:before="120" w:after="60"/>
              <w:rPr>
                <w:rFonts w:eastAsia="MS Mincho" w:cs="Arial"/>
                <w:color w:val="000000"/>
                <w:sz w:val="16"/>
                <w:szCs w:val="16"/>
                <w:lang w:eastAsia="ja-JP" w:bidi="th-TH"/>
              </w:rPr>
            </w:pPr>
            <w:r>
              <w:rPr>
                <w:rFonts w:eastAsia="MS Mincho" w:cs="Arial"/>
                <w:color w:val="000000"/>
                <w:sz w:val="16"/>
                <w:szCs w:val="16"/>
                <w:lang w:eastAsia="ja-JP" w:bidi="th-TH"/>
              </w:rPr>
              <w:t xml:space="preserve">Senegal (Dakar)/ 35 officials from </w:t>
            </w:r>
            <w:r>
              <w:rPr>
                <w:rFonts w:eastAsia="MS Mincho" w:cs="Arial"/>
                <w:bCs/>
                <w:color w:val="000000"/>
                <w:sz w:val="16"/>
                <w:szCs w:val="16"/>
                <w:lang w:eastAsia="ja-JP" w:bidi="th-TH"/>
              </w:rPr>
              <w:t>Côte d’Ivoire and Burkina Faso</w:t>
            </w:r>
          </w:p>
        </w:tc>
        <w:tc>
          <w:tcPr>
            <w:tcW w:w="4110" w:type="dxa"/>
          </w:tcPr>
          <w:p w:rsidR="005703CF" w:rsidRPr="001D3AD5" w:rsidRDefault="005703CF" w:rsidP="002249F8">
            <w:pPr>
              <w:autoSpaceDE w:val="0"/>
              <w:autoSpaceDN w:val="0"/>
              <w:adjustRightInd w:val="0"/>
              <w:spacing w:before="120" w:after="120"/>
              <w:rPr>
                <w:rFonts w:eastAsia="MS Mincho" w:cs="Arial"/>
                <w:bCs/>
                <w:color w:val="000000"/>
                <w:sz w:val="16"/>
                <w:szCs w:val="16"/>
                <w:lang w:eastAsia="ja-JP" w:bidi="th-TH"/>
              </w:rPr>
            </w:pPr>
            <w:r>
              <w:rPr>
                <w:rFonts w:eastAsia="MS Mincho" w:cs="Arial"/>
                <w:bCs/>
                <w:color w:val="000000"/>
                <w:sz w:val="16"/>
                <w:szCs w:val="16"/>
                <w:lang w:eastAsia="ja-JP" w:bidi="th-TH"/>
              </w:rPr>
              <w:t>The objectives of the seminars were to: (i) enhance capacity of judges and officials on matters of enforcement of Intellectual Property Rights (IPRs); and (ii) provide the opportunity for officials from OAPI countries to meet, discuss and share experiences in the field of BRIP</w:t>
            </w:r>
          </w:p>
        </w:tc>
      </w:tr>
    </w:tbl>
    <w:p w:rsidR="005703CF" w:rsidRDefault="005703CF" w:rsidP="005703CF">
      <w:pPr>
        <w:rPr>
          <w:rFonts w:cs="Arial"/>
          <w:b/>
          <w:sz w:val="16"/>
          <w:szCs w:val="16"/>
        </w:rPr>
      </w:pPr>
    </w:p>
    <w:p w:rsidR="005703CF" w:rsidRDefault="005703CF" w:rsidP="005703CF">
      <w:pPr>
        <w:rPr>
          <w:rFonts w:cs="Arial"/>
          <w:b/>
          <w:sz w:val="16"/>
          <w:szCs w:val="16"/>
        </w:rPr>
      </w:pPr>
    </w:p>
    <w:p w:rsidR="005703CF" w:rsidRDefault="005703CF" w:rsidP="005703CF">
      <w:pPr>
        <w:rPr>
          <w:rFonts w:cs="Arial"/>
          <w:b/>
          <w:sz w:val="16"/>
          <w:szCs w:val="16"/>
        </w:rPr>
      </w:pPr>
    </w:p>
    <w:p w:rsidR="005703CF" w:rsidRDefault="005703CF" w:rsidP="005703CF">
      <w:pPr>
        <w:rPr>
          <w:rFonts w:cs="Arial"/>
          <w:b/>
          <w:sz w:val="18"/>
          <w:szCs w:val="18"/>
        </w:rPr>
      </w:pPr>
    </w:p>
    <w:p w:rsidR="005703CF" w:rsidRPr="00280DA3" w:rsidRDefault="005703CF" w:rsidP="005703CF">
      <w:pPr>
        <w:rPr>
          <w:rFonts w:cs="Arial"/>
          <w:b/>
          <w:sz w:val="18"/>
          <w:szCs w:val="18"/>
        </w:rPr>
      </w:pPr>
      <w:r w:rsidRPr="00280DA3">
        <w:rPr>
          <w:rFonts w:cs="Arial"/>
          <w:b/>
          <w:sz w:val="18"/>
          <w:szCs w:val="18"/>
        </w:rPr>
        <w:t xml:space="preserve">FRANCE/ INDUSTRIAL PROPERTY Donor </w:t>
      </w:r>
      <w:r w:rsidRPr="00280DA3">
        <w:rPr>
          <w:rFonts w:cs="Arial"/>
          <w:b/>
          <w:bCs/>
          <w:sz w:val="18"/>
          <w:szCs w:val="18"/>
        </w:rPr>
        <w:t>Contributions and Expenditure in 201</w:t>
      </w:r>
      <w:r>
        <w:rPr>
          <w:rFonts w:cs="Arial"/>
          <w:b/>
          <w:bCs/>
          <w:sz w:val="18"/>
          <w:szCs w:val="18"/>
        </w:rPr>
        <w:t>3</w:t>
      </w:r>
      <w:r w:rsidRPr="00280DA3">
        <w:rPr>
          <w:rFonts w:cs="Arial"/>
          <w:b/>
          <w:bCs/>
          <w:sz w:val="18"/>
          <w:szCs w:val="18"/>
          <w:vertAlign w:val="superscript"/>
        </w:rPr>
        <w:t>1</w:t>
      </w:r>
    </w:p>
    <w:p w:rsidR="005703CF" w:rsidRPr="001A2E86"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547,288</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301,206</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96,020</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752,474</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Pr="00660313" w:rsidRDefault="005703CF" w:rsidP="005703CF">
      <w:pPr>
        <w:rPr>
          <w:szCs w:val="20"/>
        </w:rPr>
      </w:pPr>
    </w:p>
    <w:p w:rsidR="005703CF" w:rsidRDefault="005703CF" w:rsidP="005703CF">
      <w:pPr>
        <w:rPr>
          <w:rFonts w:cs="Arial"/>
          <w:b/>
          <w:sz w:val="16"/>
          <w:szCs w:val="16"/>
          <w:u w:val="single"/>
        </w:rPr>
      </w:pPr>
    </w:p>
    <w:p w:rsidR="005703CF" w:rsidRPr="001A2E86" w:rsidRDefault="005703CF" w:rsidP="005703CF">
      <w:pPr>
        <w:rPr>
          <w:rFonts w:cs="Arial"/>
          <w:b/>
          <w:sz w:val="16"/>
          <w:szCs w:val="16"/>
          <w:u w:val="single"/>
        </w:rPr>
      </w:pPr>
    </w:p>
    <w:p w:rsidR="005703CF" w:rsidRDefault="005703CF" w:rsidP="005703CF">
      <w:pPr>
        <w:rPr>
          <w:rFonts w:cs="Arial"/>
          <w:b/>
          <w:szCs w:val="20"/>
          <w:u w:val="single"/>
        </w:rPr>
      </w:pPr>
      <w:r>
        <w:rPr>
          <w:rFonts w:cs="Arial"/>
          <w:b/>
          <w:szCs w:val="20"/>
          <w:u w:val="single"/>
        </w:rPr>
        <w:br w:type="page"/>
      </w:r>
      <w:r w:rsidRPr="007F4A69">
        <w:rPr>
          <w:rFonts w:cs="Arial"/>
          <w:b/>
          <w:szCs w:val="20"/>
        </w:rPr>
        <w:lastRenderedPageBreak/>
        <w:t>IBERO–AMERICAN PROGRAM FOR INDUSTRIAL PROPERTY</w:t>
      </w:r>
      <w:r w:rsidRPr="007F4A69">
        <w:rPr>
          <w:rStyle w:val="FootnoteReference"/>
          <w:rFonts w:cs="Arial"/>
          <w:b/>
          <w:szCs w:val="20"/>
        </w:rPr>
        <w:footnoteReference w:id="49"/>
      </w:r>
    </w:p>
    <w:p w:rsidR="005703CF" w:rsidRDefault="005703CF" w:rsidP="005703CF">
      <w:pPr>
        <w:rPr>
          <w:rFonts w:cs="Arial"/>
          <w:b/>
          <w:szCs w:val="20"/>
          <w:u w:val="single"/>
        </w:rPr>
      </w:pPr>
    </w:p>
    <w:tbl>
      <w:tblPr>
        <w:tblW w:w="907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567"/>
        <w:gridCol w:w="567"/>
        <w:gridCol w:w="425"/>
        <w:gridCol w:w="1276"/>
        <w:gridCol w:w="4394"/>
      </w:tblGrid>
      <w:tr w:rsidR="005703CF" w:rsidRPr="002B7DE5" w:rsidTr="002249F8">
        <w:tc>
          <w:tcPr>
            <w:tcW w:w="9072" w:type="dxa"/>
            <w:gridSpan w:val="6"/>
            <w:tcBorders>
              <w:top w:val="single" w:sz="4" w:space="0" w:color="000000"/>
              <w:bottom w:val="single" w:sz="4" w:space="0" w:color="000000"/>
            </w:tcBorders>
            <w:shd w:val="clear" w:color="auto" w:fill="CCFFFF"/>
            <w:vAlign w:val="center"/>
          </w:tcPr>
          <w:p w:rsidR="005703CF" w:rsidRPr="002B7DE5"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CB548E">
              <w:rPr>
                <w:rFonts w:cs="Arial"/>
                <w:bCs/>
                <w:color w:val="000000"/>
                <w:sz w:val="16"/>
                <w:szCs w:val="16"/>
              </w:rPr>
              <w:t>Upgraded IP Management skills for business</w:t>
            </w:r>
          </w:p>
        </w:tc>
      </w:tr>
      <w:tr w:rsidR="005703CF" w:rsidRPr="002B7DE5" w:rsidTr="002249F8">
        <w:tc>
          <w:tcPr>
            <w:tcW w:w="2410" w:type="dxa"/>
            <w:gridSpan w:val="2"/>
            <w:tcBorders>
              <w:top w:val="single" w:sz="4" w:space="0" w:color="000000"/>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992" w:type="dxa"/>
            <w:gridSpan w:val="2"/>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1276" w:type="dxa"/>
            <w:tcBorders>
              <w:top w:val="single" w:sz="4" w:space="0" w:color="000000"/>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774D44" w:rsidTr="002249F8">
        <w:trPr>
          <w:trHeight w:val="520"/>
        </w:trPr>
        <w:tc>
          <w:tcPr>
            <w:tcW w:w="2410" w:type="dxa"/>
            <w:gridSpan w:val="2"/>
            <w:tcBorders>
              <w:bottom w:val="single" w:sz="4" w:space="0" w:color="000000"/>
            </w:tcBorders>
          </w:tcPr>
          <w:p w:rsidR="005703CF" w:rsidRPr="00B5064B" w:rsidDel="009E0498"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Implementation of a </w:t>
            </w:r>
            <w:r w:rsidRPr="001E1EF7">
              <w:rPr>
                <w:rFonts w:cs="Arial"/>
                <w:color w:val="000000"/>
                <w:sz w:val="16"/>
                <w:szCs w:val="16"/>
              </w:rPr>
              <w:t>Platform in Spanish on IP services and contents to the Ibero</w:t>
            </w:r>
            <w:r>
              <w:rPr>
                <w:rFonts w:cs="Arial"/>
                <w:color w:val="000000"/>
                <w:sz w:val="16"/>
                <w:szCs w:val="16"/>
              </w:rPr>
              <w:noBreakHyphen/>
              <w:t>A</w:t>
            </w:r>
            <w:r w:rsidRPr="001E1EF7">
              <w:rPr>
                <w:rFonts w:cs="Arial"/>
                <w:color w:val="000000"/>
                <w:sz w:val="16"/>
                <w:szCs w:val="16"/>
              </w:rPr>
              <w:t>merican entrepreneurial sector with special focus on SMEs (CIBEPYME)</w:t>
            </w:r>
          </w:p>
        </w:tc>
        <w:tc>
          <w:tcPr>
            <w:tcW w:w="992" w:type="dxa"/>
            <w:gridSpan w:val="2"/>
            <w:tcBorders>
              <w:bottom w:val="single" w:sz="4" w:space="0" w:color="000000"/>
            </w:tcBorders>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January to December 2013 </w:t>
            </w:r>
          </w:p>
        </w:tc>
        <w:tc>
          <w:tcPr>
            <w:tcW w:w="1276" w:type="dxa"/>
            <w:tcBorders>
              <w:bottom w:val="single" w:sz="4" w:space="0" w:color="000000"/>
            </w:tcBorders>
          </w:tcPr>
          <w:p w:rsidR="005703CF" w:rsidRPr="00961215" w:rsidRDefault="005703CF" w:rsidP="002249F8">
            <w:pPr>
              <w:autoSpaceDE w:val="0"/>
              <w:autoSpaceDN w:val="0"/>
              <w:adjustRightInd w:val="0"/>
              <w:spacing w:before="120" w:after="120"/>
              <w:rPr>
                <w:rFonts w:cs="Arial"/>
                <w:color w:val="000000"/>
                <w:sz w:val="16"/>
                <w:szCs w:val="16"/>
              </w:rPr>
            </w:pPr>
            <w:r w:rsidRPr="001E1EF7">
              <w:rPr>
                <w:rFonts w:cs="Arial"/>
                <w:color w:val="000000"/>
                <w:sz w:val="16"/>
                <w:szCs w:val="16"/>
              </w:rPr>
              <w:t>All Ibero</w:t>
            </w:r>
            <w:r>
              <w:rPr>
                <w:rFonts w:cs="Arial"/>
                <w:color w:val="000000"/>
                <w:sz w:val="16"/>
                <w:szCs w:val="16"/>
              </w:rPr>
              <w:t>-A</w:t>
            </w:r>
            <w:r w:rsidRPr="001E1EF7">
              <w:rPr>
                <w:rFonts w:cs="Arial"/>
                <w:color w:val="000000"/>
                <w:sz w:val="16"/>
                <w:szCs w:val="16"/>
              </w:rPr>
              <w:t>merican countries</w:t>
            </w:r>
          </w:p>
        </w:tc>
        <w:tc>
          <w:tcPr>
            <w:tcW w:w="4394" w:type="dxa"/>
            <w:tcBorders>
              <w:bottom w:val="single" w:sz="4" w:space="0" w:color="000000"/>
            </w:tcBorders>
          </w:tcPr>
          <w:p w:rsidR="005703CF" w:rsidDel="00152E3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promote the u</w:t>
            </w:r>
            <w:r w:rsidRPr="001E1EF7">
              <w:rPr>
                <w:rFonts w:cs="Arial"/>
                <w:color w:val="000000"/>
                <w:sz w:val="16"/>
                <w:szCs w:val="16"/>
              </w:rPr>
              <w:t>se of IP as an important tool for business</w:t>
            </w:r>
          </w:p>
        </w:tc>
      </w:tr>
      <w:tr w:rsidR="005703CF" w:rsidRPr="00774D44" w:rsidTr="002249F8">
        <w:trPr>
          <w:trHeight w:val="520"/>
        </w:trPr>
        <w:tc>
          <w:tcPr>
            <w:tcW w:w="9072" w:type="dxa"/>
            <w:gridSpan w:val="6"/>
            <w:tcBorders>
              <w:top w:val="single" w:sz="4" w:space="0" w:color="000000"/>
              <w:bottom w:val="single" w:sz="4" w:space="0" w:color="000000"/>
            </w:tcBorders>
            <w:shd w:val="clear" w:color="auto" w:fill="CCFFFF"/>
          </w:tcPr>
          <w:p w:rsidR="005703CF" w:rsidDel="00152E3E" w:rsidRDefault="005703CF" w:rsidP="002249F8">
            <w:pPr>
              <w:keepNext/>
              <w:keepLines/>
              <w:tabs>
                <w:tab w:val="left" w:pos="1740"/>
              </w:tabs>
              <w:spacing w:before="120" w:after="120"/>
              <w:ind w:left="1740" w:hanging="1740"/>
              <w:rPr>
                <w:rFonts w:cs="Arial"/>
                <w:color w:val="000000"/>
                <w:sz w:val="16"/>
                <w:szCs w:val="16"/>
              </w:rPr>
            </w:pPr>
            <w:r w:rsidRPr="00A911C1">
              <w:rPr>
                <w:rFonts w:cs="Arial"/>
                <w:b/>
                <w:bCs/>
                <w:color w:val="000000"/>
                <w:sz w:val="16"/>
                <w:szCs w:val="16"/>
              </w:rPr>
              <w:t>RESULT:</w:t>
            </w:r>
            <w:r>
              <w:rPr>
                <w:rFonts w:cs="Arial"/>
                <w:bCs/>
                <w:color w:val="000000"/>
                <w:sz w:val="16"/>
                <w:szCs w:val="16"/>
              </w:rPr>
              <w:tab/>
            </w:r>
            <w:r w:rsidRPr="00A911C1">
              <w:rPr>
                <w:rFonts w:cs="Arial"/>
                <w:bCs/>
                <w:color w:val="000000"/>
                <w:sz w:val="16"/>
                <w:szCs w:val="16"/>
              </w:rPr>
              <w:t>Enhanced technical and knowledge infrastructure for IP Offices and o</w:t>
            </w:r>
            <w:r>
              <w:rPr>
                <w:rFonts w:cs="Arial"/>
                <w:bCs/>
                <w:color w:val="000000"/>
                <w:sz w:val="16"/>
                <w:szCs w:val="16"/>
              </w:rPr>
              <w:t xml:space="preserve">ther IP institutions leading to </w:t>
            </w:r>
            <w:r w:rsidRPr="00A911C1">
              <w:rPr>
                <w:rFonts w:cs="Arial"/>
                <w:bCs/>
                <w:color w:val="000000"/>
                <w:sz w:val="16"/>
                <w:szCs w:val="16"/>
              </w:rPr>
              <w:t>better services (cheaper, faster, higher quality) to their stakeholders</w:t>
            </w:r>
          </w:p>
        </w:tc>
      </w:tr>
      <w:tr w:rsidR="005703CF" w:rsidRPr="00774D44" w:rsidTr="002249F8">
        <w:trPr>
          <w:trHeight w:val="520"/>
        </w:trPr>
        <w:tc>
          <w:tcPr>
            <w:tcW w:w="1843" w:type="dxa"/>
            <w:tcBorders>
              <w:top w:val="single" w:sz="4" w:space="0" w:color="000000"/>
            </w:tcBorders>
            <w:vAlign w:val="center"/>
          </w:tcPr>
          <w:p w:rsidR="005703CF" w:rsidRPr="00774D44" w:rsidRDefault="005703CF" w:rsidP="002249F8">
            <w:pPr>
              <w:autoSpaceDE w:val="0"/>
              <w:autoSpaceDN w:val="0"/>
              <w:adjustRightInd w:val="0"/>
              <w:spacing w:before="120" w:after="120"/>
              <w:rPr>
                <w:rFonts w:cs="Arial"/>
                <w:color w:val="000000"/>
                <w:sz w:val="16"/>
                <w:szCs w:val="16"/>
              </w:rPr>
            </w:pPr>
            <w:r w:rsidRPr="002B7DE5">
              <w:rPr>
                <w:rFonts w:cs="Arial"/>
                <w:b/>
                <w:bCs/>
                <w:sz w:val="16"/>
                <w:szCs w:val="16"/>
              </w:rPr>
              <w:t>Activity</w:t>
            </w:r>
          </w:p>
        </w:tc>
        <w:tc>
          <w:tcPr>
            <w:tcW w:w="1134" w:type="dxa"/>
            <w:gridSpan w:val="2"/>
            <w:tcBorders>
              <w:top w:val="single" w:sz="4" w:space="0" w:color="000000"/>
            </w:tcBorders>
            <w:vAlign w:val="center"/>
          </w:tcPr>
          <w:p w:rsidR="005703CF" w:rsidRPr="00774D44" w:rsidRDefault="005703CF" w:rsidP="002249F8">
            <w:pPr>
              <w:autoSpaceDE w:val="0"/>
              <w:autoSpaceDN w:val="0"/>
              <w:adjustRightInd w:val="0"/>
              <w:spacing w:before="120" w:after="120"/>
              <w:rPr>
                <w:rFonts w:cs="Arial"/>
                <w:color w:val="000000"/>
                <w:sz w:val="16"/>
                <w:szCs w:val="16"/>
              </w:rPr>
            </w:pPr>
            <w:r w:rsidRPr="002B7DE5">
              <w:rPr>
                <w:rFonts w:cs="Arial"/>
                <w:b/>
                <w:bCs/>
                <w:sz w:val="16"/>
                <w:szCs w:val="16"/>
              </w:rPr>
              <w:t>Date</w:t>
            </w:r>
          </w:p>
        </w:tc>
        <w:tc>
          <w:tcPr>
            <w:tcW w:w="1701" w:type="dxa"/>
            <w:gridSpan w:val="2"/>
            <w:tcBorders>
              <w:top w:val="single" w:sz="4" w:space="0" w:color="000000"/>
            </w:tcBorders>
            <w:vAlign w:val="center"/>
          </w:tcPr>
          <w:p w:rsidR="005703CF" w:rsidRPr="00774D44" w:rsidRDefault="005703CF" w:rsidP="002249F8">
            <w:pPr>
              <w:autoSpaceDE w:val="0"/>
              <w:autoSpaceDN w:val="0"/>
              <w:adjustRightInd w:val="0"/>
              <w:spacing w:before="120" w:after="120"/>
              <w:rPr>
                <w:rFonts w:cs="Arial"/>
                <w:color w:val="000000"/>
                <w:sz w:val="16"/>
                <w:szCs w:val="16"/>
              </w:rPr>
            </w:pPr>
            <w:r w:rsidRPr="002B7DE5">
              <w:rPr>
                <w:rFonts w:cs="Arial"/>
                <w:b/>
                <w:bCs/>
                <w:sz w:val="16"/>
                <w:szCs w:val="16"/>
              </w:rPr>
              <w:t>Host Country/</w:t>
            </w:r>
            <w:r w:rsidRPr="002B7DE5">
              <w:rPr>
                <w:rFonts w:cs="Arial"/>
                <w:b/>
                <w:bCs/>
                <w:sz w:val="16"/>
                <w:szCs w:val="16"/>
              </w:rPr>
              <w:br/>
              <w:t>Recipients</w:t>
            </w:r>
          </w:p>
        </w:tc>
        <w:tc>
          <w:tcPr>
            <w:tcW w:w="4394" w:type="dxa"/>
            <w:tcBorders>
              <w:top w:val="single" w:sz="4" w:space="0" w:color="000000"/>
            </w:tcBorders>
            <w:vAlign w:val="center"/>
          </w:tcPr>
          <w:p w:rsidR="005703CF" w:rsidRPr="00774D44" w:rsidRDefault="005703CF" w:rsidP="002249F8">
            <w:pPr>
              <w:autoSpaceDE w:val="0"/>
              <w:autoSpaceDN w:val="0"/>
              <w:adjustRightInd w:val="0"/>
              <w:spacing w:before="120" w:after="120"/>
              <w:rPr>
                <w:rFonts w:cs="Arial"/>
                <w:color w:val="000000"/>
                <w:sz w:val="16"/>
                <w:szCs w:val="16"/>
              </w:rPr>
            </w:pPr>
            <w:r w:rsidRPr="002B7DE5">
              <w:rPr>
                <w:rFonts w:cs="Arial"/>
                <w:b/>
                <w:bCs/>
                <w:sz w:val="16"/>
                <w:szCs w:val="16"/>
              </w:rPr>
              <w:t>Purpose(s)/Description(s)</w:t>
            </w:r>
          </w:p>
        </w:tc>
      </w:tr>
      <w:tr w:rsidR="005703CF" w:rsidRPr="00774D44" w:rsidTr="002249F8">
        <w:trPr>
          <w:trHeight w:val="31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Preparation of a situation analysis and action plan proposal by an external expert consultant</w:t>
            </w:r>
          </w:p>
        </w:tc>
        <w:tc>
          <w:tcPr>
            <w:tcW w:w="1134"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November and December, 2013</w:t>
            </w:r>
            <w:r>
              <w:rPr>
                <w:rStyle w:val="FootnoteReference"/>
                <w:rFonts w:cs="Arial"/>
                <w:color w:val="000000"/>
                <w:sz w:val="16"/>
                <w:szCs w:val="16"/>
              </w:rPr>
              <w:footnoteReference w:id="50"/>
            </w:r>
            <w:r>
              <w:rPr>
                <w:rFonts w:cs="Arial"/>
                <w:color w:val="000000"/>
                <w:sz w:val="16"/>
                <w:szCs w:val="16"/>
              </w:rPr>
              <w:t xml:space="preserve"> </w:t>
            </w:r>
          </w:p>
        </w:tc>
        <w:tc>
          <w:tcPr>
            <w:tcW w:w="1701"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All Ibero-American countries</w:t>
            </w:r>
          </w:p>
        </w:tc>
        <w:tc>
          <w:tcPr>
            <w:tcW w:w="4394" w:type="dxa"/>
          </w:tcPr>
          <w:p w:rsidR="005703CF" w:rsidRPr="00774D44" w:rsidRDefault="005703CF" w:rsidP="002249F8">
            <w:pPr>
              <w:autoSpaceDE w:val="0"/>
              <w:autoSpaceDN w:val="0"/>
              <w:adjustRightInd w:val="0"/>
              <w:spacing w:before="120" w:after="120"/>
              <w:rPr>
                <w:rFonts w:cs="Arial"/>
                <w:color w:val="000000"/>
                <w:sz w:val="16"/>
                <w:szCs w:val="16"/>
              </w:rPr>
            </w:pPr>
            <w:r w:rsidRPr="001E1EF7">
              <w:rPr>
                <w:rFonts w:cs="Arial"/>
                <w:color w:val="000000"/>
                <w:sz w:val="16"/>
                <w:szCs w:val="16"/>
              </w:rPr>
              <w:t xml:space="preserve">Horizontal cooperation among IP </w:t>
            </w:r>
            <w:r>
              <w:rPr>
                <w:rFonts w:cs="Arial"/>
                <w:color w:val="000000"/>
                <w:sz w:val="16"/>
                <w:szCs w:val="16"/>
              </w:rPr>
              <w:t>O</w:t>
            </w:r>
            <w:r w:rsidRPr="001E1EF7">
              <w:rPr>
                <w:rFonts w:cs="Arial"/>
                <w:color w:val="000000"/>
                <w:sz w:val="16"/>
                <w:szCs w:val="16"/>
              </w:rPr>
              <w:t>ffices to reduce asymmetries in relation to quality management in information technology</w:t>
            </w:r>
            <w:r>
              <w:rPr>
                <w:rFonts w:cs="Arial"/>
                <w:color w:val="000000"/>
                <w:sz w:val="16"/>
                <w:szCs w:val="16"/>
              </w:rPr>
              <w:t xml:space="preserve">.  </w:t>
            </w:r>
            <w:r w:rsidRPr="001E1EF7">
              <w:rPr>
                <w:rFonts w:cs="Arial"/>
                <w:color w:val="000000"/>
                <w:sz w:val="16"/>
                <w:szCs w:val="16"/>
              </w:rPr>
              <w:t xml:space="preserve">The </w:t>
            </w:r>
            <w:r>
              <w:rPr>
                <w:rFonts w:cs="Arial"/>
                <w:color w:val="000000"/>
                <w:sz w:val="16"/>
                <w:szCs w:val="16"/>
              </w:rPr>
              <w:t>tasks</w:t>
            </w:r>
            <w:r w:rsidRPr="001E1EF7">
              <w:rPr>
                <w:rFonts w:cs="Arial"/>
                <w:color w:val="000000"/>
                <w:sz w:val="16"/>
                <w:szCs w:val="16"/>
              </w:rPr>
              <w:t xml:space="preserve"> of the consultant </w:t>
            </w:r>
            <w:r>
              <w:rPr>
                <w:rFonts w:cs="Arial"/>
                <w:color w:val="000000"/>
                <w:sz w:val="16"/>
                <w:szCs w:val="16"/>
              </w:rPr>
              <w:t>are:  (i)</w:t>
            </w:r>
            <w:r w:rsidRPr="001E1EF7">
              <w:rPr>
                <w:rFonts w:cs="Arial"/>
                <w:color w:val="000000"/>
                <w:sz w:val="16"/>
                <w:szCs w:val="16"/>
              </w:rPr>
              <w:t xml:space="preserve"> to detect asymmetries between </w:t>
            </w:r>
            <w:r w:rsidRPr="00155F7C">
              <w:rPr>
                <w:rFonts w:cs="Arial"/>
                <w:color w:val="000000"/>
                <w:sz w:val="16"/>
                <w:szCs w:val="16"/>
              </w:rPr>
              <w:t>IP Offices</w:t>
            </w:r>
            <w:r>
              <w:rPr>
                <w:rFonts w:cs="Arial"/>
                <w:color w:val="000000"/>
                <w:sz w:val="16"/>
                <w:szCs w:val="16"/>
              </w:rPr>
              <w:t xml:space="preserve"> as regards</w:t>
            </w:r>
            <w:r w:rsidRPr="001E1EF7">
              <w:rPr>
                <w:rFonts w:cs="Arial"/>
                <w:color w:val="000000"/>
                <w:sz w:val="16"/>
                <w:szCs w:val="16"/>
              </w:rPr>
              <w:t xml:space="preserve"> quality management and information technology</w:t>
            </w:r>
            <w:r>
              <w:rPr>
                <w:rFonts w:cs="Arial"/>
                <w:color w:val="000000"/>
                <w:sz w:val="16"/>
                <w:szCs w:val="16"/>
              </w:rPr>
              <w:t>;  (ii)</w:t>
            </w:r>
            <w:r w:rsidRPr="001E1EF7">
              <w:rPr>
                <w:rFonts w:cs="Arial"/>
                <w:color w:val="000000"/>
                <w:sz w:val="16"/>
                <w:szCs w:val="16"/>
              </w:rPr>
              <w:t xml:space="preserve"> design a program of action aimed at eliminating </w:t>
            </w:r>
            <w:r w:rsidRPr="001A5431">
              <w:rPr>
                <w:rFonts w:cs="Arial"/>
                <w:color w:val="000000"/>
                <w:sz w:val="16"/>
                <w:szCs w:val="16"/>
              </w:rPr>
              <w:t>asymmetries</w:t>
            </w:r>
            <w:r w:rsidRPr="001E1EF7">
              <w:rPr>
                <w:rFonts w:cs="Arial"/>
                <w:color w:val="000000"/>
                <w:sz w:val="16"/>
                <w:szCs w:val="16"/>
              </w:rPr>
              <w:t xml:space="preserve"> through training</w:t>
            </w:r>
            <w:r>
              <w:rPr>
                <w:rFonts w:cs="Arial"/>
                <w:color w:val="000000"/>
                <w:sz w:val="16"/>
                <w:szCs w:val="16"/>
              </w:rPr>
              <w:t xml:space="preserve">; </w:t>
            </w:r>
            <w:r w:rsidRPr="001E1EF7">
              <w:rPr>
                <w:rFonts w:cs="Arial"/>
                <w:color w:val="000000"/>
                <w:sz w:val="16"/>
                <w:szCs w:val="16"/>
              </w:rPr>
              <w:t xml:space="preserve"> and </w:t>
            </w:r>
            <w:r>
              <w:rPr>
                <w:rFonts w:cs="Arial"/>
                <w:color w:val="000000"/>
                <w:sz w:val="16"/>
                <w:szCs w:val="16"/>
              </w:rPr>
              <w:t>(iii) </w:t>
            </w:r>
            <w:r w:rsidRPr="001E1EF7">
              <w:rPr>
                <w:rFonts w:cs="Arial"/>
                <w:color w:val="000000"/>
                <w:sz w:val="16"/>
                <w:szCs w:val="16"/>
              </w:rPr>
              <w:t>coordinate the implementation of this project</w:t>
            </w:r>
          </w:p>
        </w:tc>
      </w:tr>
    </w:tbl>
    <w:p w:rsidR="005703CF" w:rsidRDefault="005703CF" w:rsidP="005703CF">
      <w:pPr>
        <w:rPr>
          <w:rFonts w:cs="Arial"/>
          <w:b/>
          <w:sz w:val="18"/>
          <w:szCs w:val="18"/>
        </w:rPr>
      </w:pPr>
    </w:p>
    <w:p w:rsidR="005703CF" w:rsidRPr="00280DA3" w:rsidRDefault="005703CF" w:rsidP="005703CF">
      <w:pPr>
        <w:rPr>
          <w:rFonts w:cs="Arial"/>
          <w:b/>
          <w:sz w:val="18"/>
          <w:szCs w:val="18"/>
        </w:rPr>
      </w:pPr>
      <w:r w:rsidRPr="00F8219C">
        <w:rPr>
          <w:rFonts w:cs="Arial"/>
          <w:b/>
          <w:sz w:val="18"/>
          <w:szCs w:val="18"/>
        </w:rPr>
        <w:t>IBERO –AMERICAN PROGRAM FOR INDUSTRIAL PROPERTY</w:t>
      </w:r>
      <w:r w:rsidRPr="00280DA3">
        <w:rPr>
          <w:rFonts w:cs="Arial"/>
          <w:b/>
          <w:sz w:val="18"/>
          <w:szCs w:val="18"/>
        </w:rPr>
        <w:t xml:space="preserve"> </w:t>
      </w:r>
      <w:r w:rsidR="007F4A69">
        <w:rPr>
          <w:rFonts w:cs="Arial"/>
          <w:b/>
          <w:sz w:val="18"/>
          <w:szCs w:val="18"/>
        </w:rPr>
        <w:br/>
      </w:r>
      <w:r w:rsidRPr="00280DA3">
        <w:rPr>
          <w:rFonts w:cs="Arial"/>
          <w:b/>
          <w:sz w:val="18"/>
          <w:szCs w:val="18"/>
        </w:rPr>
        <w:t xml:space="preserve">Donor </w:t>
      </w:r>
      <w:r w:rsidRPr="00280DA3">
        <w:rPr>
          <w:rFonts w:cs="Arial"/>
          <w:b/>
          <w:bCs/>
          <w:sz w:val="18"/>
          <w:szCs w:val="18"/>
        </w:rPr>
        <w:t>Contributions and Expenditure in 201</w:t>
      </w:r>
      <w:r>
        <w:rPr>
          <w:rFonts w:cs="Arial"/>
          <w:b/>
          <w:bCs/>
          <w:sz w:val="18"/>
          <w:szCs w:val="18"/>
        </w:rPr>
        <w:t>3</w:t>
      </w:r>
      <w:r w:rsidRPr="00280DA3">
        <w:rPr>
          <w:rFonts w:cs="Arial"/>
          <w:b/>
          <w:bCs/>
          <w:sz w:val="18"/>
          <w:szCs w:val="18"/>
          <w:vertAlign w:val="superscript"/>
        </w:rPr>
        <w:t>1</w:t>
      </w:r>
    </w:p>
    <w:p w:rsidR="005703CF" w:rsidRDefault="005703CF" w:rsidP="005703CF">
      <w:pPr>
        <w:rPr>
          <w:rFonts w:cs="Arial"/>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44,600</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64,314</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86</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108,828</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Pr="002249F8" w:rsidRDefault="005703CF" w:rsidP="005703CF">
      <w:pPr>
        <w:rPr>
          <w:rFonts w:cs="Arial"/>
          <w:b/>
          <w:sz w:val="18"/>
          <w:szCs w:val="18"/>
        </w:rPr>
      </w:pPr>
    </w:p>
    <w:p w:rsidR="005703CF" w:rsidRPr="002249F8" w:rsidRDefault="005703CF" w:rsidP="005703CF">
      <w:pPr>
        <w:rPr>
          <w:rFonts w:cs="Arial"/>
          <w:b/>
          <w:sz w:val="18"/>
          <w:szCs w:val="18"/>
        </w:rPr>
      </w:pPr>
    </w:p>
    <w:p w:rsidR="005703CF" w:rsidRDefault="005703CF" w:rsidP="005703CF">
      <w:pPr>
        <w:keepNext/>
        <w:keepLines/>
        <w:rPr>
          <w:rFonts w:cs="Arial"/>
          <w:b/>
          <w:szCs w:val="20"/>
        </w:rPr>
      </w:pPr>
      <w:r>
        <w:rPr>
          <w:rFonts w:cs="Arial"/>
          <w:b/>
          <w:szCs w:val="20"/>
        </w:rPr>
        <w:t>ITALY</w:t>
      </w:r>
    </w:p>
    <w:p w:rsidR="005703CF" w:rsidRDefault="005703CF" w:rsidP="005703CF">
      <w:pPr>
        <w:keepNext/>
        <w:keepLines/>
        <w:rPr>
          <w:rFonts w:cs="Arial"/>
          <w:b/>
          <w:szCs w:val="20"/>
        </w:rPr>
      </w:pPr>
    </w:p>
    <w:tbl>
      <w:tblPr>
        <w:tblW w:w="9244"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417"/>
        <w:gridCol w:w="4678"/>
      </w:tblGrid>
      <w:tr w:rsidR="005703CF" w:rsidRPr="00CB548E" w:rsidTr="002249F8">
        <w:trPr>
          <w:cantSplit/>
        </w:trPr>
        <w:tc>
          <w:tcPr>
            <w:tcW w:w="9244" w:type="dxa"/>
            <w:gridSpan w:val="4"/>
            <w:tcBorders>
              <w:top w:val="single" w:sz="4" w:space="0" w:color="000000"/>
              <w:bottom w:val="single" w:sz="4" w:space="0" w:color="000000"/>
            </w:tcBorders>
            <w:shd w:val="clear" w:color="auto" w:fill="CCFFFF"/>
            <w:vAlign w:val="center"/>
          </w:tcPr>
          <w:p w:rsidR="005703CF" w:rsidRPr="00B5106D" w:rsidRDefault="005703CF" w:rsidP="002249F8">
            <w:pPr>
              <w:keepNext/>
              <w:keepLines/>
              <w:tabs>
                <w:tab w:val="left" w:pos="1740"/>
              </w:tabs>
              <w:spacing w:before="120" w:after="120"/>
              <w:ind w:left="1740" w:hanging="1740"/>
              <w:rPr>
                <w:rFonts w:cs="Arial"/>
                <w:b/>
                <w:bCs/>
                <w:sz w:val="16"/>
                <w:szCs w:val="16"/>
              </w:rPr>
            </w:pPr>
            <w:r w:rsidRPr="00B5106D">
              <w:rPr>
                <w:rFonts w:cs="Arial"/>
                <w:b/>
                <w:bCs/>
                <w:color w:val="000000"/>
                <w:sz w:val="16"/>
                <w:szCs w:val="16"/>
              </w:rPr>
              <w:t>RESULT</w:t>
            </w:r>
            <w:r w:rsidRPr="00B5106D">
              <w:rPr>
                <w:rFonts w:cs="Arial"/>
                <w:b/>
                <w:bCs/>
                <w:sz w:val="16"/>
                <w:szCs w:val="16"/>
              </w:rPr>
              <w:t>:</w:t>
            </w:r>
            <w:r w:rsidRPr="00B5106D">
              <w:rPr>
                <w:rFonts w:cs="Arial"/>
                <w:b/>
                <w:bCs/>
                <w:sz w:val="16"/>
                <w:szCs w:val="16"/>
              </w:rPr>
              <w:tab/>
            </w:r>
            <w:r>
              <w:rPr>
                <w:rFonts w:cs="Arial"/>
                <w:b/>
                <w:bCs/>
                <w:sz w:val="16"/>
                <w:szCs w:val="16"/>
              </w:rPr>
              <w:t>Increased awareness of the Hague System</w:t>
            </w:r>
          </w:p>
        </w:tc>
      </w:tr>
      <w:tr w:rsidR="005703CF" w:rsidRPr="00CB548E" w:rsidTr="002249F8">
        <w:trPr>
          <w:cantSplit/>
        </w:trPr>
        <w:tc>
          <w:tcPr>
            <w:tcW w:w="1873" w:type="dxa"/>
            <w:tcBorders>
              <w:top w:val="single" w:sz="4" w:space="0" w:color="000000"/>
            </w:tcBorders>
            <w:vAlign w:val="center"/>
          </w:tcPr>
          <w:p w:rsidR="005703CF" w:rsidRPr="00B5106D" w:rsidRDefault="005703CF" w:rsidP="002249F8">
            <w:pPr>
              <w:keepNext/>
              <w:keepLines/>
              <w:rPr>
                <w:rFonts w:cs="Arial"/>
                <w:b/>
                <w:bCs/>
                <w:sz w:val="16"/>
                <w:szCs w:val="16"/>
              </w:rPr>
            </w:pPr>
            <w:r w:rsidRPr="00B5106D">
              <w:rPr>
                <w:rFonts w:cs="Arial"/>
                <w:b/>
                <w:bCs/>
                <w:sz w:val="16"/>
                <w:szCs w:val="16"/>
              </w:rPr>
              <w:t>Activity</w:t>
            </w:r>
          </w:p>
        </w:tc>
        <w:tc>
          <w:tcPr>
            <w:tcW w:w="1276" w:type="dxa"/>
            <w:tcBorders>
              <w:top w:val="single" w:sz="4" w:space="0" w:color="000000"/>
            </w:tcBorders>
            <w:tcMar>
              <w:top w:w="110" w:type="dxa"/>
            </w:tcMar>
            <w:vAlign w:val="center"/>
          </w:tcPr>
          <w:p w:rsidR="005703CF" w:rsidRPr="00B5106D" w:rsidRDefault="005703CF" w:rsidP="002249F8">
            <w:pPr>
              <w:keepNext/>
              <w:keepLines/>
              <w:rPr>
                <w:rFonts w:cs="Arial"/>
                <w:sz w:val="16"/>
                <w:szCs w:val="16"/>
              </w:rPr>
            </w:pPr>
            <w:r w:rsidRPr="00B5106D">
              <w:rPr>
                <w:rFonts w:cs="Arial"/>
                <w:b/>
                <w:bCs/>
                <w:sz w:val="16"/>
                <w:szCs w:val="16"/>
              </w:rPr>
              <w:t>Date</w:t>
            </w:r>
          </w:p>
        </w:tc>
        <w:tc>
          <w:tcPr>
            <w:tcW w:w="1417" w:type="dxa"/>
            <w:tcBorders>
              <w:top w:val="single" w:sz="4" w:space="0" w:color="000000"/>
            </w:tcBorders>
            <w:tcMar>
              <w:top w:w="110" w:type="dxa"/>
            </w:tcMar>
            <w:vAlign w:val="center"/>
          </w:tcPr>
          <w:p w:rsidR="005703CF" w:rsidRPr="00B5106D" w:rsidRDefault="005703CF" w:rsidP="002249F8">
            <w:pPr>
              <w:keepNext/>
              <w:keepLines/>
              <w:rPr>
                <w:rFonts w:cs="Arial"/>
                <w:sz w:val="16"/>
                <w:szCs w:val="16"/>
              </w:rPr>
            </w:pPr>
            <w:r w:rsidRPr="00B5106D">
              <w:rPr>
                <w:rFonts w:cs="Arial"/>
                <w:b/>
                <w:bCs/>
                <w:sz w:val="16"/>
                <w:szCs w:val="16"/>
              </w:rPr>
              <w:t>Host Country/</w:t>
            </w:r>
            <w:r w:rsidRPr="00B5106D">
              <w:rPr>
                <w:rFonts w:cs="Arial"/>
                <w:b/>
                <w:bCs/>
                <w:sz w:val="16"/>
                <w:szCs w:val="16"/>
              </w:rPr>
              <w:br/>
              <w:t>Recipients</w:t>
            </w:r>
          </w:p>
        </w:tc>
        <w:tc>
          <w:tcPr>
            <w:tcW w:w="4678" w:type="dxa"/>
            <w:tcBorders>
              <w:top w:val="single" w:sz="4" w:space="0" w:color="000000"/>
            </w:tcBorders>
            <w:shd w:val="clear" w:color="auto" w:fill="FFFFFF"/>
            <w:tcMar>
              <w:top w:w="110" w:type="dxa"/>
            </w:tcMar>
            <w:vAlign w:val="center"/>
          </w:tcPr>
          <w:p w:rsidR="005703CF" w:rsidRPr="00B5106D" w:rsidRDefault="005703CF" w:rsidP="002249F8">
            <w:pPr>
              <w:keepNext/>
              <w:keepLines/>
              <w:rPr>
                <w:rFonts w:cs="Arial"/>
                <w:sz w:val="16"/>
                <w:szCs w:val="16"/>
              </w:rPr>
            </w:pPr>
            <w:r w:rsidRPr="00B5106D">
              <w:rPr>
                <w:rFonts w:cs="Arial"/>
                <w:b/>
                <w:bCs/>
                <w:sz w:val="16"/>
                <w:szCs w:val="16"/>
              </w:rPr>
              <w:t>Purpose(s)/Description(s)</w:t>
            </w:r>
          </w:p>
        </w:tc>
      </w:tr>
      <w:tr w:rsidR="005703CF" w:rsidRPr="005263A7" w:rsidTr="002249F8">
        <w:trPr>
          <w:cantSplit/>
        </w:trPr>
        <w:tc>
          <w:tcPr>
            <w:tcW w:w="1873" w:type="dxa"/>
            <w:tcBorders>
              <w:bottom w:val="single" w:sz="4" w:space="0" w:color="000000"/>
            </w:tcBorders>
          </w:tcPr>
          <w:p w:rsidR="005703CF" w:rsidRPr="00B5106D" w:rsidRDefault="004259E0"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 xml:space="preserve">Round Table and </w:t>
            </w:r>
            <w:r w:rsidR="005703CF" w:rsidRPr="003367F8">
              <w:rPr>
                <w:rFonts w:cs="Arial"/>
                <w:color w:val="000000"/>
                <w:sz w:val="16"/>
                <w:szCs w:val="16"/>
              </w:rPr>
              <w:t>Exhibition on Italian Design at WIPO</w:t>
            </w:r>
            <w:r w:rsidR="005703CF">
              <w:rPr>
                <w:rFonts w:cs="Arial"/>
                <w:color w:val="000000"/>
                <w:sz w:val="16"/>
                <w:szCs w:val="16"/>
              </w:rPr>
              <w:t xml:space="preserve"> Headquarters, Geneva</w:t>
            </w:r>
          </w:p>
        </w:tc>
        <w:tc>
          <w:tcPr>
            <w:tcW w:w="1276" w:type="dxa"/>
            <w:tcBorders>
              <w:bottom w:val="single" w:sz="4" w:space="0" w:color="000000"/>
            </w:tcBorders>
          </w:tcPr>
          <w:p w:rsidR="005703CF" w:rsidRPr="00B5106D" w:rsidRDefault="005703CF"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September to November, 2013</w:t>
            </w:r>
          </w:p>
        </w:tc>
        <w:tc>
          <w:tcPr>
            <w:tcW w:w="1417" w:type="dxa"/>
            <w:tcBorders>
              <w:bottom w:val="single" w:sz="4" w:space="0" w:color="000000"/>
            </w:tcBorders>
          </w:tcPr>
          <w:p w:rsidR="005703CF" w:rsidRPr="00B5106D" w:rsidRDefault="005703CF"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Switzerland/All</w:t>
            </w:r>
          </w:p>
        </w:tc>
        <w:tc>
          <w:tcPr>
            <w:tcW w:w="4678" w:type="dxa"/>
            <w:tcBorders>
              <w:bottom w:val="single" w:sz="4" w:space="0" w:color="000000"/>
            </w:tcBorders>
          </w:tcPr>
          <w:p w:rsidR="005703CF" w:rsidRPr="00B5106D" w:rsidRDefault="005703CF" w:rsidP="002249F8">
            <w:pPr>
              <w:keepNext/>
              <w:keepLines/>
              <w:autoSpaceDE w:val="0"/>
              <w:autoSpaceDN w:val="0"/>
              <w:adjustRightInd w:val="0"/>
              <w:spacing w:before="120" w:after="120"/>
              <w:rPr>
                <w:rFonts w:cs="Arial"/>
                <w:color w:val="000000"/>
                <w:sz w:val="16"/>
                <w:szCs w:val="16"/>
                <w:lang w:val="it-IT"/>
              </w:rPr>
            </w:pPr>
            <w:r>
              <w:rPr>
                <w:rFonts w:cs="Arial"/>
                <w:color w:val="000000"/>
                <w:sz w:val="16"/>
                <w:szCs w:val="16"/>
              </w:rPr>
              <w:t xml:space="preserve">To promote the importance of industrial design and garner support from Member States for agreement on a new Design Law Treaty. The </w:t>
            </w:r>
            <w:r>
              <w:rPr>
                <w:rFonts w:cs="Arial"/>
                <w:color w:val="000000"/>
                <w:sz w:val="16"/>
                <w:szCs w:val="16"/>
                <w:lang w:val="it-IT"/>
              </w:rPr>
              <w:t>exhibit</w:t>
            </w:r>
            <w:r w:rsidRPr="003367F8">
              <w:rPr>
                <w:rFonts w:cs="Arial"/>
                <w:color w:val="000000"/>
                <w:sz w:val="16"/>
                <w:szCs w:val="16"/>
                <w:lang w:val="it-IT"/>
              </w:rPr>
              <w:t xml:space="preserve"> featur</w:t>
            </w:r>
            <w:r>
              <w:rPr>
                <w:rFonts w:cs="Arial"/>
                <w:color w:val="000000"/>
                <w:sz w:val="16"/>
                <w:szCs w:val="16"/>
                <w:lang w:val="it-IT"/>
              </w:rPr>
              <w:t>ed</w:t>
            </w:r>
            <w:r w:rsidRPr="003367F8">
              <w:rPr>
                <w:rFonts w:cs="Arial"/>
                <w:color w:val="000000"/>
                <w:sz w:val="16"/>
                <w:szCs w:val="16"/>
                <w:lang w:val="it-IT"/>
              </w:rPr>
              <w:t xml:space="preserve"> some of the most representative objects from the latest Italian design collections</w:t>
            </w:r>
            <w:r>
              <w:rPr>
                <w:rFonts w:cs="Arial"/>
                <w:color w:val="000000"/>
                <w:sz w:val="16"/>
                <w:szCs w:val="16"/>
                <w:lang w:val="it-IT"/>
              </w:rPr>
              <w:t>.</w:t>
            </w:r>
            <w:r w:rsidRPr="003367F8">
              <w:rPr>
                <w:rFonts w:cs="Arial"/>
                <w:color w:val="000000"/>
                <w:sz w:val="16"/>
                <w:szCs w:val="16"/>
                <w:lang w:val="it-IT"/>
              </w:rPr>
              <w:t xml:space="preserve"> </w:t>
            </w:r>
          </w:p>
        </w:tc>
      </w:tr>
    </w:tbl>
    <w:p w:rsidR="005703CF" w:rsidRPr="002249F8" w:rsidRDefault="005703CF" w:rsidP="005703CF">
      <w:pPr>
        <w:rPr>
          <w:sz w:val="16"/>
          <w:szCs w:val="16"/>
        </w:rPr>
      </w:pPr>
    </w:p>
    <w:p w:rsidR="005703CF" w:rsidRPr="002249F8" w:rsidRDefault="005703CF" w:rsidP="005703CF">
      <w:pPr>
        <w:rPr>
          <w:rFonts w:cs="Arial"/>
          <w:b/>
          <w:sz w:val="16"/>
          <w:szCs w:val="16"/>
        </w:rPr>
      </w:pPr>
    </w:p>
    <w:p w:rsidR="005703CF" w:rsidRPr="00280DA3" w:rsidRDefault="005703CF" w:rsidP="005703CF">
      <w:pPr>
        <w:rPr>
          <w:rFonts w:cs="Arial"/>
          <w:b/>
          <w:sz w:val="18"/>
          <w:szCs w:val="18"/>
        </w:rPr>
      </w:pPr>
      <w:r>
        <w:rPr>
          <w:rFonts w:cs="Arial"/>
          <w:b/>
          <w:sz w:val="18"/>
          <w:szCs w:val="18"/>
        </w:rPr>
        <w:t xml:space="preserve">ITALY </w:t>
      </w:r>
      <w:r w:rsidRPr="00280DA3">
        <w:rPr>
          <w:rFonts w:cs="Arial"/>
          <w:b/>
          <w:sz w:val="18"/>
          <w:szCs w:val="18"/>
        </w:rPr>
        <w:t xml:space="preserve">Donor </w:t>
      </w:r>
      <w:r w:rsidRPr="00280DA3">
        <w:rPr>
          <w:rFonts w:cs="Arial"/>
          <w:b/>
          <w:bCs/>
          <w:sz w:val="18"/>
          <w:szCs w:val="18"/>
        </w:rPr>
        <w:t>Contributions and Expenditure in 201</w:t>
      </w:r>
      <w:r>
        <w:rPr>
          <w:rFonts w:cs="Arial"/>
          <w:b/>
          <w:bCs/>
          <w:sz w:val="18"/>
          <w:szCs w:val="18"/>
        </w:rPr>
        <w:t>3</w:t>
      </w:r>
      <w:r w:rsidRPr="00280DA3">
        <w:rPr>
          <w:rFonts w:cs="Arial"/>
          <w:b/>
          <w:bCs/>
          <w:sz w:val="18"/>
          <w:szCs w:val="18"/>
          <w:vertAlign w:val="superscript"/>
        </w:rPr>
        <w:t>1</w:t>
      </w:r>
    </w:p>
    <w:p w:rsidR="005703CF" w:rsidRDefault="005703CF" w:rsidP="005703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after="2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737,040</w:t>
            </w:r>
          </w:p>
        </w:tc>
        <w:tc>
          <w:tcPr>
            <w:tcW w:w="1701"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230</w:t>
            </w:r>
          </w:p>
        </w:tc>
        <w:tc>
          <w:tcPr>
            <w:tcW w:w="1843"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112,590</w:t>
            </w:r>
          </w:p>
        </w:tc>
        <w:tc>
          <w:tcPr>
            <w:tcW w:w="1701"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624,680</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rPr>
          <w:rFonts w:cs="Arial"/>
          <w:b/>
          <w:szCs w:val="20"/>
        </w:rPr>
      </w:pPr>
      <w:r w:rsidRPr="00C4701A">
        <w:rPr>
          <w:rFonts w:cs="Arial"/>
          <w:b/>
          <w:szCs w:val="20"/>
        </w:rPr>
        <w:lastRenderedPageBreak/>
        <w:t>JAPAN/</w:t>
      </w:r>
      <w:r>
        <w:rPr>
          <w:rFonts w:cs="Arial"/>
          <w:b/>
          <w:szCs w:val="20"/>
        </w:rPr>
        <w:t>COPYRIGHT</w:t>
      </w:r>
    </w:p>
    <w:p w:rsidR="005703CF" w:rsidRDefault="005703CF" w:rsidP="005703CF">
      <w:pPr>
        <w:rPr>
          <w:rFonts w:cs="Arial"/>
          <w:b/>
          <w:szCs w:val="20"/>
        </w:rPr>
      </w:pPr>
    </w:p>
    <w:tbl>
      <w:tblPr>
        <w:tblW w:w="0" w:type="auto"/>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1"/>
        <w:gridCol w:w="1137"/>
        <w:gridCol w:w="1984"/>
        <w:gridCol w:w="4110"/>
      </w:tblGrid>
      <w:tr w:rsidR="005703CF" w:rsidRPr="00AB4D12" w:rsidTr="002249F8">
        <w:tc>
          <w:tcPr>
            <w:tcW w:w="9072" w:type="dxa"/>
            <w:gridSpan w:val="4"/>
            <w:tcBorders>
              <w:top w:val="single" w:sz="4" w:space="0" w:color="000000"/>
              <w:bottom w:val="single" w:sz="4" w:space="0" w:color="000000"/>
            </w:tcBorders>
            <w:shd w:val="clear" w:color="auto" w:fill="CCFFFF"/>
            <w:vAlign w:val="center"/>
          </w:tcPr>
          <w:p w:rsidR="005703CF" w:rsidRDefault="005703CF" w:rsidP="002249F8">
            <w:pPr>
              <w:keepNext/>
              <w:keepLines/>
              <w:tabs>
                <w:tab w:val="left" w:pos="1740"/>
              </w:tabs>
              <w:spacing w:before="120"/>
              <w:ind w:left="1701" w:hanging="1701"/>
              <w:rPr>
                <w:rFonts w:eastAsia="MS Mincho" w:cs="Arial"/>
                <w:bCs/>
                <w:color w:val="000000"/>
                <w:sz w:val="16"/>
                <w:szCs w:val="16"/>
                <w:lang w:eastAsia="ja-JP" w:bidi="th-TH"/>
              </w:rPr>
            </w:pPr>
            <w:r w:rsidRPr="00AB4D12">
              <w:rPr>
                <w:rFonts w:eastAsia="MS Mincho" w:cs="Arial"/>
                <w:b/>
                <w:bCs/>
                <w:color w:val="000000"/>
                <w:sz w:val="16"/>
                <w:szCs w:val="16"/>
                <w:lang w:eastAsia="ja-JP" w:bidi="th-TH"/>
              </w:rPr>
              <w:t xml:space="preserve">RESULT: </w:t>
            </w:r>
            <w:r w:rsidRPr="00AB4D12">
              <w:rPr>
                <w:rFonts w:cs="Arial"/>
                <w:b/>
                <w:bCs/>
                <w:sz w:val="16"/>
                <w:szCs w:val="16"/>
              </w:rPr>
              <w:tab/>
            </w:r>
            <w:r w:rsidRPr="00AB4D12">
              <w:rPr>
                <w:rFonts w:eastAsia="MS Mincho" w:cs="Arial"/>
                <w:bCs/>
                <w:color w:val="000000"/>
                <w:sz w:val="16"/>
                <w:szCs w:val="16"/>
                <w:lang w:eastAsia="ja-JP" w:bidi="th-TH"/>
              </w:rPr>
              <w:t>Increased awareness and capacity of Member States in copyright and related rights</w:t>
            </w:r>
          </w:p>
          <w:p w:rsidR="005703CF" w:rsidRPr="003C18E2" w:rsidRDefault="005703CF" w:rsidP="002249F8">
            <w:pPr>
              <w:keepNext/>
              <w:keepLines/>
              <w:tabs>
                <w:tab w:val="left" w:pos="1740"/>
              </w:tabs>
              <w:spacing w:before="120"/>
              <w:ind w:left="1701" w:hanging="1701"/>
              <w:rPr>
                <w:rFonts w:cs="Arial"/>
                <w:bCs/>
                <w:sz w:val="16"/>
                <w:szCs w:val="16"/>
              </w:rPr>
            </w:pPr>
          </w:p>
        </w:tc>
      </w:tr>
      <w:tr w:rsidR="005703CF" w:rsidRPr="00AB4D12" w:rsidTr="002249F8">
        <w:tc>
          <w:tcPr>
            <w:tcW w:w="1841" w:type="dxa"/>
            <w:tcBorders>
              <w:top w:val="single" w:sz="4" w:space="0" w:color="000000"/>
            </w:tcBorders>
            <w:vAlign w:val="center"/>
          </w:tcPr>
          <w:p w:rsidR="005703CF" w:rsidRPr="00AB4D12" w:rsidRDefault="005703CF" w:rsidP="002249F8">
            <w:pPr>
              <w:keepNext/>
              <w:keepLines/>
              <w:rPr>
                <w:rFonts w:cs="Arial"/>
                <w:b/>
                <w:bCs/>
                <w:sz w:val="16"/>
                <w:szCs w:val="16"/>
              </w:rPr>
            </w:pPr>
            <w:r w:rsidRPr="00AB4D12">
              <w:rPr>
                <w:rFonts w:cs="Arial"/>
                <w:b/>
                <w:bCs/>
                <w:sz w:val="16"/>
                <w:szCs w:val="16"/>
              </w:rPr>
              <w:t>Activity</w:t>
            </w:r>
          </w:p>
        </w:tc>
        <w:tc>
          <w:tcPr>
            <w:tcW w:w="1137" w:type="dxa"/>
            <w:tcBorders>
              <w:top w:val="single" w:sz="4" w:space="0" w:color="000000"/>
            </w:tcBorders>
            <w:shd w:val="clear" w:color="auto" w:fill="auto"/>
            <w:tcMar>
              <w:top w:w="110" w:type="dxa"/>
            </w:tcMar>
            <w:vAlign w:val="center"/>
          </w:tcPr>
          <w:p w:rsidR="005703CF" w:rsidRPr="00AB4D12" w:rsidRDefault="005703CF" w:rsidP="002249F8">
            <w:pPr>
              <w:keepNext/>
              <w:keepLines/>
              <w:rPr>
                <w:rFonts w:cs="Arial"/>
                <w:sz w:val="16"/>
                <w:szCs w:val="16"/>
              </w:rPr>
            </w:pPr>
            <w:r w:rsidRPr="00AB4D12">
              <w:rPr>
                <w:rFonts w:cs="Arial"/>
                <w:b/>
                <w:bCs/>
                <w:sz w:val="16"/>
                <w:szCs w:val="16"/>
              </w:rPr>
              <w:t>Date</w:t>
            </w:r>
          </w:p>
        </w:tc>
        <w:tc>
          <w:tcPr>
            <w:tcW w:w="1984" w:type="dxa"/>
            <w:tcBorders>
              <w:top w:val="single" w:sz="4" w:space="0" w:color="000000"/>
            </w:tcBorders>
            <w:shd w:val="clear" w:color="auto" w:fill="auto"/>
            <w:tcMar>
              <w:top w:w="110" w:type="dxa"/>
            </w:tcMar>
            <w:vAlign w:val="center"/>
          </w:tcPr>
          <w:p w:rsidR="005703CF" w:rsidRPr="00AB4D12" w:rsidRDefault="005703CF" w:rsidP="002249F8">
            <w:pPr>
              <w:keepNext/>
              <w:keepLines/>
              <w:rPr>
                <w:rFonts w:cs="Arial"/>
                <w:sz w:val="16"/>
                <w:szCs w:val="16"/>
              </w:rPr>
            </w:pPr>
            <w:r w:rsidRPr="00AB4D12">
              <w:rPr>
                <w:rFonts w:cs="Arial"/>
                <w:b/>
                <w:bCs/>
                <w:sz w:val="16"/>
                <w:szCs w:val="16"/>
              </w:rPr>
              <w:t>Host Country/</w:t>
            </w:r>
            <w:r w:rsidRPr="00AB4D12">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5703CF" w:rsidRPr="00AB4D12" w:rsidRDefault="005703CF" w:rsidP="002249F8">
            <w:pPr>
              <w:keepNext/>
              <w:keepLines/>
              <w:rPr>
                <w:rFonts w:cs="Arial"/>
                <w:sz w:val="16"/>
                <w:szCs w:val="16"/>
              </w:rPr>
            </w:pPr>
            <w:r w:rsidRPr="00AB4D12">
              <w:rPr>
                <w:rFonts w:cs="Arial"/>
                <w:b/>
                <w:bCs/>
                <w:sz w:val="16"/>
                <w:szCs w:val="16"/>
              </w:rPr>
              <w:t>Purpose(s)/Description(s)</w:t>
            </w:r>
          </w:p>
        </w:tc>
      </w:tr>
      <w:tr w:rsidR="005703CF" w:rsidRPr="00AB4D12" w:rsidTr="002249F8">
        <w:tc>
          <w:tcPr>
            <w:tcW w:w="1841" w:type="dxa"/>
          </w:tcPr>
          <w:p w:rsidR="005703CF" w:rsidRDefault="005703CF" w:rsidP="002249F8">
            <w:pPr>
              <w:spacing w:before="120" w:after="120"/>
              <w:rPr>
                <w:rFonts w:cs="Arial"/>
                <w:sz w:val="16"/>
                <w:szCs w:val="16"/>
              </w:rPr>
            </w:pPr>
            <w:r w:rsidRPr="00B24635">
              <w:rPr>
                <w:rFonts w:cs="Arial"/>
                <w:sz w:val="16"/>
                <w:szCs w:val="16"/>
              </w:rPr>
              <w:t>National Seminar on the Role of Copyright in Cultural and Economic Development</w:t>
            </w:r>
          </w:p>
        </w:tc>
        <w:tc>
          <w:tcPr>
            <w:tcW w:w="1137" w:type="dxa"/>
          </w:tcPr>
          <w:p w:rsidR="005703CF" w:rsidRDefault="005703CF" w:rsidP="002249F8">
            <w:pPr>
              <w:spacing w:before="120" w:after="120"/>
              <w:rPr>
                <w:rFonts w:cs="Arial"/>
                <w:sz w:val="16"/>
                <w:szCs w:val="16"/>
              </w:rPr>
            </w:pPr>
            <w:r>
              <w:rPr>
                <w:rFonts w:cs="Arial"/>
                <w:sz w:val="16"/>
                <w:szCs w:val="16"/>
              </w:rPr>
              <w:t>May 28 and 29, 2013</w:t>
            </w:r>
          </w:p>
        </w:tc>
        <w:tc>
          <w:tcPr>
            <w:tcW w:w="1984" w:type="dxa"/>
          </w:tcPr>
          <w:p w:rsidR="005703CF" w:rsidRPr="007D21E5" w:rsidRDefault="005703CF" w:rsidP="002249F8">
            <w:pPr>
              <w:spacing w:before="120" w:after="120"/>
              <w:rPr>
                <w:rFonts w:cs="Arial"/>
                <w:sz w:val="16"/>
                <w:szCs w:val="16"/>
                <w:lang w:val="fr-CH"/>
              </w:rPr>
            </w:pPr>
            <w:r>
              <w:rPr>
                <w:rFonts w:cs="Arial"/>
                <w:sz w:val="16"/>
                <w:szCs w:val="16"/>
                <w:lang w:val="fr-CH"/>
              </w:rPr>
              <w:t>Bhutan/</w:t>
            </w:r>
            <w:r w:rsidRPr="007F73DF">
              <w:rPr>
                <w:rFonts w:cs="Arial"/>
                <w:sz w:val="16"/>
                <w:szCs w:val="16"/>
                <w:lang w:val="fr-CH"/>
              </w:rPr>
              <w:t>30 local participants</w:t>
            </w:r>
          </w:p>
        </w:tc>
        <w:tc>
          <w:tcPr>
            <w:tcW w:w="4110" w:type="dxa"/>
          </w:tcPr>
          <w:p w:rsidR="005703CF" w:rsidRDefault="005703CF" w:rsidP="002249F8">
            <w:pPr>
              <w:spacing w:before="120" w:after="120"/>
              <w:rPr>
                <w:rFonts w:cs="Arial"/>
                <w:sz w:val="16"/>
                <w:szCs w:val="16"/>
              </w:rPr>
            </w:pPr>
            <w:r w:rsidRPr="00B24635">
              <w:rPr>
                <w:rFonts w:cs="Arial"/>
                <w:sz w:val="16"/>
                <w:szCs w:val="16"/>
              </w:rPr>
              <w:t>To promote better understanding o</w:t>
            </w:r>
            <w:r>
              <w:rPr>
                <w:rFonts w:cs="Arial"/>
                <w:sz w:val="16"/>
                <w:szCs w:val="16"/>
              </w:rPr>
              <w:t>f</w:t>
            </w:r>
            <w:r w:rsidRPr="00B24635">
              <w:rPr>
                <w:rFonts w:cs="Arial"/>
                <w:sz w:val="16"/>
                <w:szCs w:val="16"/>
              </w:rPr>
              <w:t xml:space="preserve"> the role of copyright and related rights in cultural and economic development and assist in encouraging efficient exploitation of cultural works through</w:t>
            </w:r>
            <w:r>
              <w:rPr>
                <w:rFonts w:cs="Arial"/>
                <w:sz w:val="16"/>
                <w:szCs w:val="16"/>
              </w:rPr>
              <w:t xml:space="preserve"> copyright and related rights</w:t>
            </w:r>
          </w:p>
        </w:tc>
      </w:tr>
      <w:tr w:rsidR="005703CF" w:rsidRPr="00AB4D12" w:rsidTr="002249F8">
        <w:tc>
          <w:tcPr>
            <w:tcW w:w="1841" w:type="dxa"/>
          </w:tcPr>
          <w:p w:rsidR="005703CF" w:rsidRPr="00B24635" w:rsidRDefault="005703CF" w:rsidP="002249F8">
            <w:pPr>
              <w:spacing w:before="120" w:after="120"/>
              <w:rPr>
                <w:rFonts w:cs="Arial"/>
                <w:sz w:val="16"/>
                <w:szCs w:val="16"/>
              </w:rPr>
            </w:pPr>
            <w:r w:rsidRPr="00B24635">
              <w:rPr>
                <w:rFonts w:cs="Arial"/>
                <w:sz w:val="16"/>
                <w:szCs w:val="16"/>
              </w:rPr>
              <w:t>National Workshop on Capacity Building</w:t>
            </w:r>
          </w:p>
        </w:tc>
        <w:tc>
          <w:tcPr>
            <w:tcW w:w="1137" w:type="dxa"/>
          </w:tcPr>
          <w:p w:rsidR="005703CF" w:rsidRDefault="005703CF" w:rsidP="002249F8">
            <w:pPr>
              <w:spacing w:before="120" w:after="120"/>
              <w:rPr>
                <w:rFonts w:cs="Arial"/>
                <w:sz w:val="16"/>
                <w:szCs w:val="16"/>
              </w:rPr>
            </w:pPr>
            <w:r>
              <w:rPr>
                <w:rFonts w:cs="Arial"/>
                <w:sz w:val="16"/>
                <w:szCs w:val="16"/>
              </w:rPr>
              <w:t>July 3, 2013</w:t>
            </w:r>
          </w:p>
        </w:tc>
        <w:tc>
          <w:tcPr>
            <w:tcW w:w="1984" w:type="dxa"/>
          </w:tcPr>
          <w:p w:rsidR="005703CF" w:rsidRDefault="005703CF" w:rsidP="002249F8">
            <w:pPr>
              <w:spacing w:before="120" w:after="120"/>
              <w:rPr>
                <w:rFonts w:cs="Arial"/>
                <w:sz w:val="16"/>
                <w:szCs w:val="16"/>
                <w:lang w:val="fr-CH"/>
              </w:rPr>
            </w:pPr>
            <w:r w:rsidRPr="007F73DF">
              <w:rPr>
                <w:rFonts w:cs="Arial"/>
                <w:sz w:val="16"/>
                <w:szCs w:val="16"/>
                <w:lang w:val="fr-CH"/>
              </w:rPr>
              <w:t>Nepal/</w:t>
            </w:r>
            <w:r>
              <w:rPr>
                <w:rFonts w:cs="Arial"/>
                <w:sz w:val="16"/>
                <w:szCs w:val="16"/>
                <w:lang w:val="fr-CH"/>
              </w:rPr>
              <w:t xml:space="preserve"> </w:t>
            </w:r>
            <w:r w:rsidRPr="007F73DF">
              <w:rPr>
                <w:rFonts w:cs="Arial"/>
                <w:sz w:val="16"/>
                <w:szCs w:val="16"/>
                <w:lang w:val="fr-CH"/>
              </w:rPr>
              <w:t>40 local participants</w:t>
            </w:r>
          </w:p>
        </w:tc>
        <w:tc>
          <w:tcPr>
            <w:tcW w:w="4110" w:type="dxa"/>
          </w:tcPr>
          <w:p w:rsidR="005703CF" w:rsidRPr="00B24635" w:rsidRDefault="005703CF" w:rsidP="002249F8">
            <w:pPr>
              <w:spacing w:before="120" w:after="120"/>
              <w:rPr>
                <w:rFonts w:cs="Arial"/>
                <w:sz w:val="16"/>
                <w:szCs w:val="16"/>
              </w:rPr>
            </w:pPr>
            <w:r>
              <w:rPr>
                <w:rFonts w:cs="Arial"/>
                <w:sz w:val="16"/>
                <w:szCs w:val="16"/>
              </w:rPr>
              <w:t xml:space="preserve">To promote better awareness and improve capacity in copyright and related rights and to launch a Handbook </w:t>
            </w:r>
            <w:r w:rsidRPr="00B24635">
              <w:rPr>
                <w:rFonts w:cs="Arial"/>
                <w:sz w:val="16"/>
                <w:szCs w:val="16"/>
              </w:rPr>
              <w:t>on Copyright and Related Rights in Nepali</w:t>
            </w:r>
            <w:r>
              <w:rPr>
                <w:rFonts w:cs="Arial"/>
                <w:sz w:val="16"/>
                <w:szCs w:val="16"/>
              </w:rPr>
              <w:t>,</w:t>
            </w:r>
            <w:r w:rsidRPr="00B24635">
              <w:rPr>
                <w:rFonts w:cs="Arial"/>
                <w:sz w:val="16"/>
                <w:szCs w:val="16"/>
              </w:rPr>
              <w:t xml:space="preserve"> which has been developed under the FIT Japan 2012 Work Plan</w:t>
            </w:r>
          </w:p>
        </w:tc>
      </w:tr>
      <w:tr w:rsidR="005703CF" w:rsidRPr="00AB4D12" w:rsidTr="002249F8">
        <w:tc>
          <w:tcPr>
            <w:tcW w:w="1841" w:type="dxa"/>
          </w:tcPr>
          <w:p w:rsidR="005703CF" w:rsidRPr="00B24635" w:rsidRDefault="005703CF" w:rsidP="002249F8">
            <w:pPr>
              <w:spacing w:before="120" w:after="120"/>
              <w:rPr>
                <w:rFonts w:cs="Arial"/>
                <w:sz w:val="16"/>
                <w:szCs w:val="16"/>
              </w:rPr>
            </w:pPr>
            <w:r w:rsidRPr="00B24635">
              <w:rPr>
                <w:rFonts w:cs="Arial"/>
                <w:sz w:val="16"/>
                <w:szCs w:val="16"/>
              </w:rPr>
              <w:t>Asia-Pacific Regional</w:t>
            </w:r>
            <w:r>
              <w:rPr>
                <w:rFonts w:cs="Arial"/>
                <w:sz w:val="16"/>
                <w:szCs w:val="16"/>
              </w:rPr>
              <w:t> </w:t>
            </w:r>
            <w:r w:rsidRPr="00B24635">
              <w:rPr>
                <w:rFonts w:cs="Arial"/>
                <w:sz w:val="16"/>
                <w:szCs w:val="16"/>
              </w:rPr>
              <w:t>Workshop on the Development and Implementation of National Copyright Policies and Strategies</w:t>
            </w:r>
          </w:p>
        </w:tc>
        <w:tc>
          <w:tcPr>
            <w:tcW w:w="1137" w:type="dxa"/>
          </w:tcPr>
          <w:p w:rsidR="005703CF" w:rsidRDefault="005703CF" w:rsidP="002249F8">
            <w:pPr>
              <w:spacing w:before="120" w:after="120"/>
              <w:rPr>
                <w:rFonts w:cs="Arial"/>
                <w:sz w:val="16"/>
                <w:szCs w:val="16"/>
              </w:rPr>
            </w:pPr>
            <w:r>
              <w:rPr>
                <w:rFonts w:cs="Arial"/>
                <w:sz w:val="16"/>
                <w:szCs w:val="16"/>
              </w:rPr>
              <w:t>September 16 and 17, 2013</w:t>
            </w:r>
          </w:p>
        </w:tc>
        <w:tc>
          <w:tcPr>
            <w:tcW w:w="1984" w:type="dxa"/>
          </w:tcPr>
          <w:p w:rsidR="005703CF" w:rsidRPr="007D21E5" w:rsidRDefault="005703CF" w:rsidP="002249F8">
            <w:pPr>
              <w:spacing w:before="120" w:after="120"/>
              <w:rPr>
                <w:rFonts w:cs="Arial"/>
                <w:sz w:val="16"/>
                <w:szCs w:val="16"/>
              </w:rPr>
            </w:pPr>
            <w:r>
              <w:rPr>
                <w:rFonts w:cs="Arial"/>
                <w:sz w:val="16"/>
                <w:szCs w:val="16"/>
              </w:rPr>
              <w:t>Thailand/</w:t>
            </w:r>
            <w:r w:rsidRPr="00B24635">
              <w:rPr>
                <w:rFonts w:cs="Arial"/>
                <w:sz w:val="16"/>
                <w:szCs w:val="16"/>
              </w:rPr>
              <w:t>20 foreign participants from 20 Asia and Pacific countries</w:t>
            </w:r>
          </w:p>
        </w:tc>
        <w:tc>
          <w:tcPr>
            <w:tcW w:w="4110" w:type="dxa"/>
          </w:tcPr>
          <w:p w:rsidR="005703CF" w:rsidRDefault="005703CF" w:rsidP="002249F8">
            <w:pPr>
              <w:spacing w:before="120" w:after="120"/>
              <w:rPr>
                <w:rFonts w:cs="Arial"/>
                <w:sz w:val="16"/>
                <w:szCs w:val="16"/>
              </w:rPr>
            </w:pPr>
            <w:r w:rsidRPr="00B24635">
              <w:rPr>
                <w:rFonts w:cs="Arial"/>
                <w:sz w:val="16"/>
                <w:szCs w:val="16"/>
              </w:rPr>
              <w:t>To provide a platform for exchanging views and information among officials from copyright offices from countries in the region on the necessit</w:t>
            </w:r>
            <w:r>
              <w:rPr>
                <w:rFonts w:cs="Arial"/>
                <w:sz w:val="16"/>
                <w:szCs w:val="16"/>
              </w:rPr>
              <w:t>y</w:t>
            </w:r>
            <w:r w:rsidRPr="00B24635">
              <w:rPr>
                <w:rFonts w:cs="Arial"/>
                <w:sz w:val="16"/>
                <w:szCs w:val="16"/>
              </w:rPr>
              <w:t xml:space="preserve"> of developing national copyright policies and strategies that are of particular relevance and importance for developing countries</w:t>
            </w:r>
          </w:p>
        </w:tc>
      </w:tr>
      <w:tr w:rsidR="005703CF" w:rsidRPr="00AB4D12" w:rsidTr="002249F8">
        <w:tc>
          <w:tcPr>
            <w:tcW w:w="1841" w:type="dxa"/>
          </w:tcPr>
          <w:p w:rsidR="005703CF" w:rsidRPr="00B24635" w:rsidRDefault="005703CF" w:rsidP="002249F8">
            <w:pPr>
              <w:spacing w:before="120" w:after="120"/>
              <w:rPr>
                <w:rFonts w:cs="Arial"/>
                <w:sz w:val="16"/>
                <w:szCs w:val="16"/>
              </w:rPr>
            </w:pPr>
            <w:r w:rsidRPr="00B24635">
              <w:rPr>
                <w:rFonts w:cs="Arial"/>
                <w:sz w:val="16"/>
                <w:szCs w:val="16"/>
              </w:rPr>
              <w:t>Evaluation and Review of FIT Japan</w:t>
            </w:r>
          </w:p>
        </w:tc>
        <w:tc>
          <w:tcPr>
            <w:tcW w:w="1137" w:type="dxa"/>
          </w:tcPr>
          <w:p w:rsidR="005703CF" w:rsidRDefault="005703CF" w:rsidP="002249F8">
            <w:pPr>
              <w:spacing w:before="120" w:after="120"/>
              <w:rPr>
                <w:rFonts w:cs="Arial"/>
                <w:sz w:val="16"/>
                <w:szCs w:val="16"/>
              </w:rPr>
            </w:pPr>
            <w:r>
              <w:rPr>
                <w:rFonts w:cs="Arial"/>
                <w:sz w:val="16"/>
                <w:szCs w:val="16"/>
              </w:rPr>
              <w:t>July 4 and 5, 2013;  September 18, 2013</w:t>
            </w:r>
          </w:p>
        </w:tc>
        <w:tc>
          <w:tcPr>
            <w:tcW w:w="1984" w:type="dxa"/>
          </w:tcPr>
          <w:p w:rsidR="005703CF" w:rsidRDefault="005703CF" w:rsidP="002249F8">
            <w:pPr>
              <w:spacing w:before="120" w:after="120"/>
              <w:rPr>
                <w:rFonts w:cs="Arial"/>
                <w:sz w:val="16"/>
                <w:szCs w:val="16"/>
              </w:rPr>
            </w:pPr>
            <w:r>
              <w:rPr>
                <w:rFonts w:cs="Arial"/>
                <w:sz w:val="16"/>
                <w:szCs w:val="16"/>
              </w:rPr>
              <w:t>Nepal and Thailand</w:t>
            </w:r>
          </w:p>
        </w:tc>
        <w:tc>
          <w:tcPr>
            <w:tcW w:w="4110" w:type="dxa"/>
          </w:tcPr>
          <w:p w:rsidR="005703CF" w:rsidRPr="00B24635" w:rsidRDefault="005703CF" w:rsidP="002249F8">
            <w:pPr>
              <w:spacing w:before="120" w:after="120"/>
              <w:rPr>
                <w:rFonts w:cs="Arial"/>
                <w:sz w:val="16"/>
                <w:szCs w:val="16"/>
              </w:rPr>
            </w:pPr>
            <w:r w:rsidRPr="00B24635">
              <w:rPr>
                <w:rFonts w:cs="Arial"/>
                <w:sz w:val="16"/>
                <w:szCs w:val="16"/>
              </w:rPr>
              <w:t>To evaluate the effectiveness and impact of FIT Japan</w:t>
            </w:r>
            <w:r>
              <w:rPr>
                <w:rFonts w:cs="Arial"/>
                <w:sz w:val="16"/>
                <w:szCs w:val="16"/>
              </w:rPr>
              <w:t>-</w:t>
            </w:r>
            <w:r w:rsidRPr="00B24635">
              <w:rPr>
                <w:rFonts w:cs="Arial"/>
                <w:sz w:val="16"/>
                <w:szCs w:val="16"/>
              </w:rPr>
              <w:t xml:space="preserve"> funded activities on capacity and awareness building and improvement of their copyright systems </w:t>
            </w:r>
            <w:r>
              <w:rPr>
                <w:rFonts w:cs="Arial"/>
                <w:sz w:val="16"/>
                <w:szCs w:val="16"/>
              </w:rPr>
              <w:t>over</w:t>
            </w:r>
            <w:r w:rsidRPr="00B24635">
              <w:rPr>
                <w:rFonts w:cs="Arial"/>
                <w:sz w:val="16"/>
                <w:szCs w:val="16"/>
              </w:rPr>
              <w:t xml:space="preserve"> the past years</w:t>
            </w:r>
          </w:p>
        </w:tc>
      </w:tr>
      <w:tr w:rsidR="005703CF" w:rsidRPr="00AB4D12" w:rsidTr="002249F8">
        <w:tc>
          <w:tcPr>
            <w:tcW w:w="1841" w:type="dxa"/>
          </w:tcPr>
          <w:p w:rsidR="005703CF" w:rsidRPr="00B24635" w:rsidRDefault="005703CF" w:rsidP="002249F8">
            <w:pPr>
              <w:spacing w:before="120" w:after="120"/>
              <w:rPr>
                <w:rFonts w:cs="Arial"/>
                <w:sz w:val="16"/>
                <w:szCs w:val="16"/>
              </w:rPr>
            </w:pPr>
            <w:r w:rsidRPr="005410D1">
              <w:rPr>
                <w:rFonts w:cs="Arial"/>
                <w:sz w:val="16"/>
                <w:szCs w:val="16"/>
              </w:rPr>
              <w:t>National Seminar on Awareness Building on Copyright and Related Rights</w:t>
            </w:r>
          </w:p>
        </w:tc>
        <w:tc>
          <w:tcPr>
            <w:tcW w:w="1137" w:type="dxa"/>
          </w:tcPr>
          <w:p w:rsidR="005703CF" w:rsidRDefault="005703CF" w:rsidP="002249F8">
            <w:pPr>
              <w:spacing w:before="120" w:after="120"/>
              <w:rPr>
                <w:rFonts w:cs="Arial"/>
                <w:sz w:val="16"/>
                <w:szCs w:val="16"/>
              </w:rPr>
            </w:pPr>
            <w:r>
              <w:rPr>
                <w:rFonts w:cs="Arial"/>
                <w:sz w:val="16"/>
                <w:szCs w:val="16"/>
              </w:rPr>
              <w:t>November 6 and 7, 2013</w:t>
            </w:r>
          </w:p>
        </w:tc>
        <w:tc>
          <w:tcPr>
            <w:tcW w:w="1984" w:type="dxa"/>
          </w:tcPr>
          <w:p w:rsidR="005703CF" w:rsidRDefault="005703CF" w:rsidP="002249F8">
            <w:pPr>
              <w:spacing w:before="120" w:after="120"/>
              <w:rPr>
                <w:rFonts w:cs="Arial"/>
                <w:sz w:val="16"/>
                <w:szCs w:val="16"/>
              </w:rPr>
            </w:pPr>
            <w:r w:rsidRPr="005410D1">
              <w:rPr>
                <w:rFonts w:cs="Arial"/>
                <w:sz w:val="16"/>
                <w:szCs w:val="16"/>
              </w:rPr>
              <w:t>Brunei Darussalam</w:t>
            </w:r>
            <w:r>
              <w:rPr>
                <w:rFonts w:cs="Arial"/>
                <w:sz w:val="16"/>
                <w:szCs w:val="16"/>
              </w:rPr>
              <w:t>/ 40 local participants</w:t>
            </w:r>
          </w:p>
        </w:tc>
        <w:tc>
          <w:tcPr>
            <w:tcW w:w="4110" w:type="dxa"/>
          </w:tcPr>
          <w:p w:rsidR="005703CF" w:rsidRPr="00B24635" w:rsidRDefault="005703CF" w:rsidP="002249F8">
            <w:pPr>
              <w:spacing w:before="120" w:after="120"/>
              <w:rPr>
                <w:rFonts w:cs="Arial"/>
                <w:sz w:val="16"/>
                <w:szCs w:val="16"/>
              </w:rPr>
            </w:pPr>
            <w:r w:rsidRPr="005410D1">
              <w:rPr>
                <w:rFonts w:cs="Arial"/>
                <w:sz w:val="16"/>
                <w:szCs w:val="16"/>
              </w:rPr>
              <w:t>To improve understanding on the relevance and importance of a copyright system</w:t>
            </w:r>
            <w:r>
              <w:rPr>
                <w:rFonts w:cs="Arial"/>
                <w:sz w:val="16"/>
                <w:szCs w:val="16"/>
              </w:rPr>
              <w:t xml:space="preserve"> and to discuss </w:t>
            </w:r>
            <w:r w:rsidRPr="005410D1">
              <w:rPr>
                <w:rFonts w:cs="Arial"/>
                <w:sz w:val="16"/>
                <w:szCs w:val="16"/>
              </w:rPr>
              <w:t xml:space="preserve">methods and approaches </w:t>
            </w:r>
            <w:r>
              <w:rPr>
                <w:rFonts w:cs="Arial"/>
                <w:sz w:val="16"/>
                <w:szCs w:val="16"/>
              </w:rPr>
              <w:t>to promote</w:t>
            </w:r>
            <w:r w:rsidRPr="005410D1">
              <w:rPr>
                <w:rFonts w:cs="Arial"/>
                <w:sz w:val="16"/>
                <w:szCs w:val="16"/>
              </w:rPr>
              <w:t xml:space="preserve"> </w:t>
            </w:r>
            <w:r>
              <w:rPr>
                <w:rFonts w:cs="Arial"/>
                <w:sz w:val="16"/>
                <w:szCs w:val="16"/>
              </w:rPr>
              <w:t>better</w:t>
            </w:r>
            <w:r w:rsidRPr="005410D1">
              <w:rPr>
                <w:rFonts w:cs="Arial"/>
                <w:sz w:val="16"/>
                <w:szCs w:val="16"/>
              </w:rPr>
              <w:t xml:space="preserve"> awareness among government </w:t>
            </w:r>
            <w:r>
              <w:rPr>
                <w:rFonts w:cs="Arial"/>
                <w:sz w:val="16"/>
                <w:szCs w:val="16"/>
              </w:rPr>
              <w:t xml:space="preserve">officials </w:t>
            </w:r>
            <w:r w:rsidRPr="005410D1">
              <w:rPr>
                <w:rFonts w:cs="Arial"/>
                <w:sz w:val="16"/>
                <w:szCs w:val="16"/>
              </w:rPr>
              <w:t>and main stakeholders</w:t>
            </w:r>
          </w:p>
        </w:tc>
      </w:tr>
      <w:tr w:rsidR="005703CF" w:rsidRPr="00AB4D12" w:rsidTr="002249F8">
        <w:tc>
          <w:tcPr>
            <w:tcW w:w="1841" w:type="dxa"/>
          </w:tcPr>
          <w:p w:rsidR="005703CF" w:rsidRPr="005410D1" w:rsidRDefault="005703CF" w:rsidP="002249F8">
            <w:pPr>
              <w:spacing w:before="120" w:after="120"/>
              <w:rPr>
                <w:rFonts w:cs="Arial"/>
                <w:sz w:val="16"/>
                <w:szCs w:val="16"/>
              </w:rPr>
            </w:pPr>
            <w:r w:rsidRPr="00FF6CC2">
              <w:rPr>
                <w:rFonts w:cs="Arial"/>
                <w:sz w:val="16"/>
                <w:szCs w:val="16"/>
              </w:rPr>
              <w:t>Special Workshop on the Protection of Copyright and Related Rights</w:t>
            </w:r>
          </w:p>
        </w:tc>
        <w:tc>
          <w:tcPr>
            <w:tcW w:w="1137" w:type="dxa"/>
          </w:tcPr>
          <w:p w:rsidR="005703CF" w:rsidRDefault="005703CF" w:rsidP="002249F8">
            <w:pPr>
              <w:spacing w:before="120" w:after="120"/>
              <w:rPr>
                <w:rFonts w:cs="Arial"/>
                <w:sz w:val="16"/>
                <w:szCs w:val="16"/>
              </w:rPr>
            </w:pPr>
            <w:r>
              <w:rPr>
                <w:rFonts w:cs="Arial"/>
                <w:sz w:val="16"/>
                <w:szCs w:val="16"/>
              </w:rPr>
              <w:t>November 18 to 29, 2013</w:t>
            </w:r>
          </w:p>
        </w:tc>
        <w:tc>
          <w:tcPr>
            <w:tcW w:w="1984" w:type="dxa"/>
          </w:tcPr>
          <w:p w:rsidR="005703CF" w:rsidRPr="005410D1" w:rsidRDefault="005703CF" w:rsidP="002249F8">
            <w:pPr>
              <w:spacing w:before="120" w:after="120"/>
              <w:rPr>
                <w:rFonts w:cs="Arial"/>
                <w:sz w:val="16"/>
                <w:szCs w:val="16"/>
              </w:rPr>
            </w:pPr>
            <w:r>
              <w:rPr>
                <w:rFonts w:cs="Arial"/>
                <w:sz w:val="16"/>
                <w:szCs w:val="16"/>
              </w:rPr>
              <w:t>Japan/</w:t>
            </w:r>
            <w:r w:rsidRPr="00FF6CC2">
              <w:rPr>
                <w:rFonts w:cs="Arial"/>
                <w:sz w:val="16"/>
                <w:szCs w:val="16"/>
              </w:rPr>
              <w:t xml:space="preserve">12 participants from Cambodia, China, Lao </w:t>
            </w:r>
            <w:r w:rsidRPr="007D21E5">
              <w:rPr>
                <w:rFonts w:cs="Arial"/>
                <w:sz w:val="16"/>
                <w:szCs w:val="16"/>
              </w:rPr>
              <w:t>People’s Democratic Republic</w:t>
            </w:r>
            <w:r w:rsidRPr="00FF6CC2">
              <w:rPr>
                <w:rFonts w:cs="Arial"/>
                <w:sz w:val="16"/>
                <w:szCs w:val="16"/>
              </w:rPr>
              <w:t>,</w:t>
            </w:r>
            <w:r>
              <w:rPr>
                <w:rFonts w:cs="Arial"/>
                <w:sz w:val="16"/>
                <w:szCs w:val="16"/>
              </w:rPr>
              <w:t xml:space="preserve"> Maldives, Mongolia and Myanmar</w:t>
            </w:r>
          </w:p>
        </w:tc>
        <w:tc>
          <w:tcPr>
            <w:tcW w:w="4110" w:type="dxa"/>
          </w:tcPr>
          <w:p w:rsidR="005703CF" w:rsidRPr="005410D1" w:rsidRDefault="005703CF" w:rsidP="002249F8">
            <w:pPr>
              <w:spacing w:before="120" w:after="120"/>
              <w:rPr>
                <w:rFonts w:cs="Arial"/>
                <w:sz w:val="16"/>
                <w:szCs w:val="16"/>
              </w:rPr>
            </w:pPr>
            <w:r w:rsidRPr="00FF6CC2">
              <w:rPr>
                <w:rFonts w:cs="Arial"/>
                <w:sz w:val="16"/>
                <w:szCs w:val="16"/>
              </w:rPr>
              <w:t>To</w:t>
            </w:r>
            <w:r>
              <w:rPr>
                <w:rFonts w:cs="Arial"/>
                <w:sz w:val="16"/>
                <w:szCs w:val="16"/>
              </w:rPr>
              <w:t xml:space="preserve"> share information and experience among </w:t>
            </w:r>
            <w:r w:rsidRPr="00FF6CC2">
              <w:rPr>
                <w:rFonts w:cs="Arial"/>
                <w:sz w:val="16"/>
                <w:szCs w:val="16"/>
              </w:rPr>
              <w:t xml:space="preserve">officials from copyright </w:t>
            </w:r>
            <w:r>
              <w:rPr>
                <w:rFonts w:cs="Arial"/>
                <w:sz w:val="16"/>
                <w:szCs w:val="16"/>
              </w:rPr>
              <w:t>O</w:t>
            </w:r>
            <w:r w:rsidRPr="00FF6CC2">
              <w:rPr>
                <w:rFonts w:cs="Arial"/>
                <w:sz w:val="16"/>
                <w:szCs w:val="16"/>
              </w:rPr>
              <w:t xml:space="preserve">ffices </w:t>
            </w:r>
            <w:r>
              <w:rPr>
                <w:rFonts w:cs="Arial"/>
                <w:sz w:val="16"/>
                <w:szCs w:val="16"/>
              </w:rPr>
              <w:t>of the</w:t>
            </w:r>
            <w:r w:rsidRPr="00FF6CC2">
              <w:rPr>
                <w:rFonts w:cs="Arial"/>
                <w:sz w:val="16"/>
                <w:szCs w:val="16"/>
              </w:rPr>
              <w:t xml:space="preserve"> region </w:t>
            </w:r>
            <w:r>
              <w:rPr>
                <w:rFonts w:cs="Arial"/>
                <w:sz w:val="16"/>
                <w:szCs w:val="16"/>
              </w:rPr>
              <w:t>about</w:t>
            </w:r>
            <w:r w:rsidRPr="00FF6CC2">
              <w:rPr>
                <w:rFonts w:cs="Arial"/>
                <w:sz w:val="16"/>
                <w:szCs w:val="16"/>
              </w:rPr>
              <w:t xml:space="preserve"> the importance of </w:t>
            </w:r>
            <w:r>
              <w:rPr>
                <w:rFonts w:cs="Arial"/>
                <w:sz w:val="16"/>
                <w:szCs w:val="16"/>
              </w:rPr>
              <w:t xml:space="preserve">the </w:t>
            </w:r>
            <w:r w:rsidRPr="00FF6CC2">
              <w:rPr>
                <w:rFonts w:cs="Arial"/>
                <w:sz w:val="16"/>
                <w:szCs w:val="16"/>
              </w:rPr>
              <w:t>protection of copyright and related rights</w:t>
            </w:r>
          </w:p>
        </w:tc>
      </w:tr>
      <w:tr w:rsidR="005703CF" w:rsidRPr="00AB4D12" w:rsidTr="002249F8">
        <w:tc>
          <w:tcPr>
            <w:tcW w:w="1841" w:type="dxa"/>
          </w:tcPr>
          <w:p w:rsidR="005703CF" w:rsidRPr="00FF6CC2" w:rsidRDefault="005703CF" w:rsidP="002249F8">
            <w:pPr>
              <w:spacing w:before="120" w:after="120"/>
              <w:rPr>
                <w:rFonts w:cs="Arial"/>
                <w:sz w:val="16"/>
                <w:szCs w:val="16"/>
              </w:rPr>
            </w:pPr>
            <w:r w:rsidRPr="00796901">
              <w:rPr>
                <w:rFonts w:cs="Arial"/>
                <w:sz w:val="16"/>
                <w:szCs w:val="16"/>
              </w:rPr>
              <w:t>Study Visit to Copyright Management Organizations</w:t>
            </w:r>
          </w:p>
        </w:tc>
        <w:tc>
          <w:tcPr>
            <w:tcW w:w="1137" w:type="dxa"/>
          </w:tcPr>
          <w:p w:rsidR="005703CF" w:rsidRDefault="005703CF" w:rsidP="002249F8">
            <w:pPr>
              <w:spacing w:before="120" w:after="120"/>
              <w:rPr>
                <w:rFonts w:cs="Arial"/>
                <w:sz w:val="16"/>
                <w:szCs w:val="16"/>
              </w:rPr>
            </w:pPr>
            <w:r>
              <w:rPr>
                <w:rFonts w:cs="Arial"/>
                <w:sz w:val="16"/>
                <w:szCs w:val="16"/>
              </w:rPr>
              <w:t>November 25 to 29, 2013</w:t>
            </w:r>
          </w:p>
        </w:tc>
        <w:tc>
          <w:tcPr>
            <w:tcW w:w="1984" w:type="dxa"/>
          </w:tcPr>
          <w:p w:rsidR="005703CF" w:rsidRDefault="005703CF" w:rsidP="002249F8">
            <w:pPr>
              <w:spacing w:before="120" w:after="120"/>
              <w:rPr>
                <w:rFonts w:cs="Arial"/>
                <w:sz w:val="16"/>
                <w:szCs w:val="16"/>
              </w:rPr>
            </w:pPr>
            <w:r>
              <w:rPr>
                <w:rFonts w:cs="Arial"/>
                <w:sz w:val="16"/>
                <w:szCs w:val="16"/>
              </w:rPr>
              <w:t>Japan/</w:t>
            </w:r>
            <w:r w:rsidRPr="00796901">
              <w:rPr>
                <w:rFonts w:cs="Arial"/>
                <w:sz w:val="16"/>
                <w:szCs w:val="16"/>
              </w:rPr>
              <w:t>6 participants from I</w:t>
            </w:r>
            <w:r>
              <w:rPr>
                <w:rFonts w:cs="Arial"/>
                <w:sz w:val="16"/>
                <w:szCs w:val="16"/>
              </w:rPr>
              <w:t>ndonesia, Malaysia and Thailand</w:t>
            </w:r>
          </w:p>
        </w:tc>
        <w:tc>
          <w:tcPr>
            <w:tcW w:w="4110" w:type="dxa"/>
          </w:tcPr>
          <w:p w:rsidR="005703CF" w:rsidRPr="00FF6CC2" w:rsidRDefault="005703CF" w:rsidP="002249F8">
            <w:pPr>
              <w:spacing w:before="120" w:after="120"/>
              <w:rPr>
                <w:rFonts w:cs="Arial"/>
                <w:sz w:val="16"/>
                <w:szCs w:val="16"/>
              </w:rPr>
            </w:pPr>
            <w:r w:rsidRPr="00796901">
              <w:rPr>
                <w:rFonts w:cs="Arial"/>
                <w:sz w:val="16"/>
                <w:szCs w:val="16"/>
              </w:rPr>
              <w:t>To</w:t>
            </w:r>
            <w:r>
              <w:rPr>
                <w:rFonts w:cs="Arial"/>
                <w:sz w:val="16"/>
                <w:szCs w:val="16"/>
              </w:rPr>
              <w:t xml:space="preserve">:  (i) </w:t>
            </w:r>
            <w:r w:rsidRPr="00796901">
              <w:rPr>
                <w:rFonts w:cs="Arial"/>
                <w:sz w:val="16"/>
                <w:szCs w:val="16"/>
              </w:rPr>
              <w:t>deepen knowledge and understanding of the participants on copyright management issues</w:t>
            </w:r>
            <w:r>
              <w:rPr>
                <w:rFonts w:cs="Arial"/>
                <w:sz w:val="16"/>
                <w:szCs w:val="16"/>
              </w:rPr>
              <w:t>;  (ii) </w:t>
            </w:r>
            <w:r w:rsidRPr="00796901">
              <w:rPr>
                <w:rFonts w:cs="Arial"/>
                <w:sz w:val="16"/>
                <w:szCs w:val="16"/>
              </w:rPr>
              <w:t xml:space="preserve"> facilitate cooperation and coordination among copyright </w:t>
            </w:r>
            <w:r>
              <w:rPr>
                <w:rFonts w:cs="Arial"/>
                <w:sz w:val="16"/>
                <w:szCs w:val="16"/>
              </w:rPr>
              <w:t>O</w:t>
            </w:r>
            <w:r w:rsidRPr="00796901">
              <w:rPr>
                <w:rFonts w:cs="Arial"/>
                <w:sz w:val="16"/>
                <w:szCs w:val="16"/>
              </w:rPr>
              <w:t>ffices and copyright management organizations</w:t>
            </w:r>
            <w:r>
              <w:rPr>
                <w:rFonts w:cs="Arial"/>
                <w:sz w:val="16"/>
                <w:szCs w:val="16"/>
              </w:rPr>
              <w:t xml:space="preserve">;  and (iii) </w:t>
            </w:r>
            <w:r w:rsidRPr="00796901">
              <w:rPr>
                <w:rFonts w:cs="Arial"/>
                <w:sz w:val="16"/>
                <w:szCs w:val="16"/>
              </w:rPr>
              <w:t>learn</w:t>
            </w:r>
            <w:r>
              <w:rPr>
                <w:rFonts w:cs="Arial"/>
                <w:sz w:val="16"/>
                <w:szCs w:val="16"/>
              </w:rPr>
              <w:t xml:space="preserve"> about</w:t>
            </w:r>
            <w:r w:rsidRPr="00796901">
              <w:rPr>
                <w:rFonts w:cs="Arial"/>
                <w:sz w:val="16"/>
                <w:szCs w:val="16"/>
              </w:rPr>
              <w:t xml:space="preserve"> Japanese experience in the field of copyright and related rights</w:t>
            </w:r>
          </w:p>
        </w:tc>
      </w:tr>
      <w:tr w:rsidR="005703CF" w:rsidRPr="00AB4D12" w:rsidTr="002249F8">
        <w:tc>
          <w:tcPr>
            <w:tcW w:w="1841" w:type="dxa"/>
          </w:tcPr>
          <w:p w:rsidR="005703CF" w:rsidRPr="00796901" w:rsidRDefault="005703CF" w:rsidP="002249F8">
            <w:pPr>
              <w:spacing w:before="120" w:after="120"/>
              <w:rPr>
                <w:rFonts w:cs="Arial"/>
                <w:sz w:val="16"/>
                <w:szCs w:val="16"/>
              </w:rPr>
            </w:pPr>
            <w:r w:rsidRPr="00796901">
              <w:rPr>
                <w:rFonts w:cs="Arial"/>
                <w:sz w:val="16"/>
                <w:szCs w:val="16"/>
              </w:rPr>
              <w:t>Translation and Printing of WIPO Publications on Copyright and Related Rights into the Local Language</w:t>
            </w:r>
          </w:p>
        </w:tc>
        <w:tc>
          <w:tcPr>
            <w:tcW w:w="1137" w:type="dxa"/>
          </w:tcPr>
          <w:p w:rsidR="005703CF" w:rsidRDefault="005703CF" w:rsidP="002249F8">
            <w:pPr>
              <w:spacing w:before="120" w:after="120"/>
              <w:rPr>
                <w:rFonts w:cs="Arial"/>
                <w:sz w:val="16"/>
                <w:szCs w:val="16"/>
              </w:rPr>
            </w:pPr>
            <w:r>
              <w:rPr>
                <w:rFonts w:cs="Arial"/>
                <w:sz w:val="16"/>
                <w:szCs w:val="16"/>
              </w:rPr>
              <w:t>December 2013</w:t>
            </w:r>
            <w:r>
              <w:rPr>
                <w:rStyle w:val="FootnoteReference"/>
                <w:rFonts w:cs="Arial"/>
                <w:sz w:val="16"/>
                <w:szCs w:val="16"/>
              </w:rPr>
              <w:footnoteReference w:id="51"/>
            </w:r>
            <w:r>
              <w:rPr>
                <w:rFonts w:cs="Arial"/>
                <w:sz w:val="16"/>
                <w:szCs w:val="16"/>
              </w:rPr>
              <w:t xml:space="preserve"> </w:t>
            </w:r>
          </w:p>
        </w:tc>
        <w:tc>
          <w:tcPr>
            <w:tcW w:w="1984" w:type="dxa"/>
          </w:tcPr>
          <w:p w:rsidR="005703CF" w:rsidRDefault="005703CF" w:rsidP="002249F8">
            <w:pPr>
              <w:spacing w:before="120" w:after="120"/>
              <w:rPr>
                <w:rFonts w:cs="Arial"/>
                <w:sz w:val="16"/>
                <w:szCs w:val="16"/>
              </w:rPr>
            </w:pPr>
            <w:r>
              <w:rPr>
                <w:rFonts w:cs="Arial"/>
                <w:sz w:val="16"/>
                <w:szCs w:val="16"/>
              </w:rPr>
              <w:t>Myanmar</w:t>
            </w:r>
          </w:p>
        </w:tc>
        <w:tc>
          <w:tcPr>
            <w:tcW w:w="4110" w:type="dxa"/>
          </w:tcPr>
          <w:p w:rsidR="005703CF" w:rsidRPr="00796901" w:rsidRDefault="005703CF" w:rsidP="002249F8">
            <w:pPr>
              <w:spacing w:before="120" w:after="120"/>
              <w:rPr>
                <w:rFonts w:cs="Arial"/>
                <w:sz w:val="16"/>
                <w:szCs w:val="16"/>
              </w:rPr>
            </w:pPr>
            <w:r w:rsidRPr="00796901">
              <w:rPr>
                <w:rFonts w:cs="Arial"/>
                <w:sz w:val="16"/>
                <w:szCs w:val="16"/>
              </w:rPr>
              <w:t xml:space="preserve">To enhance greater awareness of copyright and related rights among government officials, creators and users of copyright works, as well as </w:t>
            </w:r>
            <w:r>
              <w:rPr>
                <w:rFonts w:cs="Arial"/>
                <w:sz w:val="16"/>
                <w:szCs w:val="16"/>
              </w:rPr>
              <w:t>members of the public in the country</w:t>
            </w:r>
          </w:p>
        </w:tc>
      </w:tr>
    </w:tbl>
    <w:p w:rsidR="005703CF" w:rsidRDefault="005703CF" w:rsidP="005703CF">
      <w:pPr>
        <w:rPr>
          <w:rFonts w:cs="Arial"/>
          <w:b/>
          <w:szCs w:val="20"/>
        </w:rPr>
      </w:pPr>
    </w:p>
    <w:p w:rsidR="005703CF" w:rsidRPr="00280DA3" w:rsidRDefault="005703CF" w:rsidP="005703CF">
      <w:pPr>
        <w:rPr>
          <w:rFonts w:cs="Arial"/>
          <w:b/>
          <w:sz w:val="18"/>
          <w:szCs w:val="18"/>
        </w:rPr>
      </w:pPr>
      <w:r w:rsidRPr="00280DA3">
        <w:rPr>
          <w:rFonts w:cs="Arial"/>
          <w:b/>
          <w:sz w:val="18"/>
          <w:szCs w:val="18"/>
        </w:rPr>
        <w:t>JAPAN/</w:t>
      </w:r>
      <w:r>
        <w:rPr>
          <w:rFonts w:cs="Arial"/>
          <w:b/>
          <w:sz w:val="18"/>
          <w:szCs w:val="18"/>
        </w:rPr>
        <w:t>COPYRIGHT</w:t>
      </w:r>
      <w:r w:rsidRPr="00280DA3">
        <w:rPr>
          <w:rFonts w:cs="Arial"/>
          <w:b/>
          <w:sz w:val="18"/>
          <w:szCs w:val="18"/>
        </w:rPr>
        <w:t xml:space="preserve"> Donor </w:t>
      </w:r>
      <w:r w:rsidRPr="00280DA3">
        <w:rPr>
          <w:rFonts w:cs="Arial"/>
          <w:b/>
          <w:bCs/>
          <w:sz w:val="18"/>
          <w:szCs w:val="18"/>
        </w:rPr>
        <w:t>Contributions and Expenditure in 201</w:t>
      </w:r>
      <w:r>
        <w:rPr>
          <w:rFonts w:cs="Arial"/>
          <w:b/>
          <w:bCs/>
          <w:sz w:val="18"/>
          <w:szCs w:val="18"/>
        </w:rPr>
        <w:t>3</w:t>
      </w:r>
      <w:r w:rsidRPr="00280DA3">
        <w:rPr>
          <w:rFonts w:cs="Arial"/>
          <w:b/>
          <w:bCs/>
          <w:sz w:val="18"/>
          <w:szCs w:val="18"/>
          <w:vertAlign w:val="superscript"/>
        </w:rPr>
        <w:t>1</w:t>
      </w:r>
    </w:p>
    <w:p w:rsidR="005703CF"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5703CF" w:rsidRPr="00834B2E" w:rsidTr="002249F8">
        <w:trPr>
          <w:trHeight w:val="56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17"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282,946</w:t>
            </w:r>
          </w:p>
        </w:tc>
        <w:tc>
          <w:tcPr>
            <w:tcW w:w="165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469,281</w:t>
            </w:r>
          </w:p>
        </w:tc>
        <w:tc>
          <w:tcPr>
            <w:tcW w:w="1817"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474,825</w:t>
            </w:r>
          </w:p>
        </w:tc>
        <w:tc>
          <w:tcPr>
            <w:tcW w:w="170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277,402</w:t>
            </w:r>
          </w:p>
        </w:tc>
      </w:tr>
    </w:tbl>
    <w:p w:rsidR="005703CF" w:rsidRDefault="005703CF" w:rsidP="005703CF">
      <w:pPr>
        <w:spacing w:before="120"/>
        <w:rPr>
          <w:rFonts w:cs="Arial"/>
          <w:i/>
          <w:iCs/>
          <w:sz w:val="16"/>
          <w:szCs w:val="16"/>
        </w:rPr>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keepNext/>
        <w:keepLines/>
        <w:rPr>
          <w:rFonts w:cs="Arial"/>
          <w:b/>
          <w:szCs w:val="20"/>
        </w:rPr>
      </w:pPr>
      <w:r w:rsidRPr="003943F0">
        <w:rPr>
          <w:rFonts w:cs="Arial"/>
          <w:b/>
          <w:szCs w:val="20"/>
        </w:rPr>
        <w:lastRenderedPageBreak/>
        <w:t>JAPAN</w:t>
      </w:r>
      <w:r>
        <w:rPr>
          <w:rFonts w:cs="Arial"/>
          <w:b/>
          <w:szCs w:val="20"/>
        </w:rPr>
        <w:t>/</w:t>
      </w:r>
      <w:r w:rsidRPr="00660313">
        <w:rPr>
          <w:rFonts w:cs="Arial"/>
          <w:b/>
          <w:szCs w:val="20"/>
        </w:rPr>
        <w:t>I</w:t>
      </w:r>
      <w:r>
        <w:rPr>
          <w:rFonts w:cs="Arial"/>
          <w:b/>
          <w:szCs w:val="20"/>
        </w:rPr>
        <w:t>NDUSTRIAL PROPERTY</w:t>
      </w:r>
    </w:p>
    <w:p w:rsidR="005703CF" w:rsidRDefault="005703CF" w:rsidP="005703CF">
      <w:pPr>
        <w:keepNext/>
        <w:keepLines/>
        <w:rPr>
          <w:rFonts w:cs="Arial"/>
          <w:b/>
          <w:szCs w:val="20"/>
        </w:rPr>
      </w:pPr>
    </w:p>
    <w:tbl>
      <w:tblPr>
        <w:tblW w:w="9097"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7"/>
        <w:gridCol w:w="1140"/>
        <w:gridCol w:w="1978"/>
        <w:gridCol w:w="4132"/>
      </w:tblGrid>
      <w:tr w:rsidR="005703CF" w:rsidRPr="00AA1198" w:rsidTr="00C24C7E">
        <w:tc>
          <w:tcPr>
            <w:tcW w:w="9097" w:type="dxa"/>
            <w:gridSpan w:val="4"/>
            <w:tcBorders>
              <w:top w:val="single" w:sz="4" w:space="0" w:color="auto"/>
              <w:bottom w:val="single" w:sz="4" w:space="0" w:color="auto"/>
            </w:tcBorders>
            <w:shd w:val="clear" w:color="auto" w:fill="CCFFFF"/>
            <w:vAlign w:val="center"/>
          </w:tcPr>
          <w:p w:rsidR="005703CF" w:rsidRPr="00AA1198" w:rsidRDefault="005703CF" w:rsidP="002249F8">
            <w:pPr>
              <w:keepNext/>
              <w:keepLines/>
              <w:tabs>
                <w:tab w:val="left" w:pos="1740"/>
              </w:tabs>
              <w:spacing w:before="120" w:after="120"/>
              <w:ind w:left="1740" w:hanging="1740"/>
              <w:rPr>
                <w:rFonts w:cs="Arial"/>
                <w:b/>
                <w:bCs/>
                <w:sz w:val="16"/>
                <w:szCs w:val="16"/>
              </w:rPr>
            </w:pPr>
            <w:r w:rsidRPr="00AA1198">
              <w:rPr>
                <w:rFonts w:cs="Arial"/>
                <w:b/>
                <w:bCs/>
                <w:color w:val="000000"/>
                <w:sz w:val="16"/>
                <w:szCs w:val="16"/>
              </w:rPr>
              <w:t>RESULT</w:t>
            </w:r>
            <w:r w:rsidRPr="00AA1198">
              <w:rPr>
                <w:rFonts w:cs="Arial"/>
                <w:b/>
                <w:bCs/>
                <w:sz w:val="16"/>
                <w:szCs w:val="16"/>
              </w:rPr>
              <w:t>:</w:t>
            </w:r>
            <w:r w:rsidRPr="00AA1198">
              <w:rPr>
                <w:rFonts w:cs="Arial"/>
                <w:b/>
                <w:bCs/>
                <w:sz w:val="16"/>
                <w:szCs w:val="16"/>
              </w:rPr>
              <w:tab/>
            </w:r>
            <w:r w:rsidRPr="00AA1198">
              <w:rPr>
                <w:rFonts w:cs="Arial"/>
                <w:bCs/>
                <w:color w:val="000000"/>
                <w:sz w:val="16"/>
                <w:szCs w:val="16"/>
              </w:rPr>
              <w:t>Clearly defined and coherent national innovation and IP policies, strategies and development plans consistent with national development goals and objectives</w:t>
            </w:r>
          </w:p>
        </w:tc>
      </w:tr>
      <w:tr w:rsidR="005703CF" w:rsidRPr="00AA1198" w:rsidTr="00C24C7E">
        <w:tc>
          <w:tcPr>
            <w:tcW w:w="1847" w:type="dxa"/>
            <w:tcBorders>
              <w:top w:val="single" w:sz="4" w:space="0" w:color="auto"/>
            </w:tcBorders>
            <w:vAlign w:val="center"/>
          </w:tcPr>
          <w:p w:rsidR="005703CF" w:rsidRPr="00AA1198" w:rsidRDefault="005703CF" w:rsidP="002249F8">
            <w:pPr>
              <w:keepNext/>
              <w:keepLines/>
              <w:rPr>
                <w:rFonts w:cs="Arial"/>
                <w:b/>
                <w:bCs/>
                <w:sz w:val="16"/>
                <w:szCs w:val="16"/>
              </w:rPr>
            </w:pPr>
            <w:r w:rsidRPr="00AA1198">
              <w:rPr>
                <w:rFonts w:cs="Arial"/>
                <w:b/>
                <w:bCs/>
                <w:sz w:val="16"/>
                <w:szCs w:val="16"/>
              </w:rPr>
              <w:t>Activity</w:t>
            </w:r>
          </w:p>
        </w:tc>
        <w:tc>
          <w:tcPr>
            <w:tcW w:w="1140" w:type="dxa"/>
            <w:tcBorders>
              <w:top w:val="single" w:sz="4" w:space="0" w:color="auto"/>
            </w:tcBorders>
            <w:shd w:val="clear" w:color="auto" w:fill="auto"/>
            <w:tcMar>
              <w:top w:w="110" w:type="dxa"/>
            </w:tcMar>
            <w:vAlign w:val="center"/>
          </w:tcPr>
          <w:p w:rsidR="005703CF" w:rsidRPr="00AA1198" w:rsidRDefault="005703CF" w:rsidP="002249F8">
            <w:pPr>
              <w:keepNext/>
              <w:keepLines/>
              <w:rPr>
                <w:rFonts w:cs="Arial"/>
                <w:sz w:val="16"/>
                <w:szCs w:val="16"/>
              </w:rPr>
            </w:pPr>
            <w:r w:rsidRPr="00AA1198">
              <w:rPr>
                <w:rFonts w:cs="Arial"/>
                <w:b/>
                <w:bCs/>
                <w:sz w:val="16"/>
                <w:szCs w:val="16"/>
              </w:rPr>
              <w:t>Date</w:t>
            </w:r>
          </w:p>
        </w:tc>
        <w:tc>
          <w:tcPr>
            <w:tcW w:w="1978" w:type="dxa"/>
            <w:tcBorders>
              <w:top w:val="single" w:sz="4" w:space="0" w:color="auto"/>
            </w:tcBorders>
            <w:shd w:val="clear" w:color="auto" w:fill="auto"/>
            <w:tcMar>
              <w:top w:w="110" w:type="dxa"/>
            </w:tcMar>
            <w:vAlign w:val="center"/>
          </w:tcPr>
          <w:p w:rsidR="005703CF" w:rsidRPr="00AA1198" w:rsidRDefault="005703CF" w:rsidP="002249F8">
            <w:pPr>
              <w:keepNext/>
              <w:keepLines/>
              <w:rPr>
                <w:rFonts w:cs="Arial"/>
                <w:sz w:val="16"/>
                <w:szCs w:val="16"/>
              </w:rPr>
            </w:pPr>
            <w:r w:rsidRPr="00AA1198">
              <w:rPr>
                <w:rFonts w:cs="Arial"/>
                <w:b/>
                <w:bCs/>
                <w:sz w:val="16"/>
                <w:szCs w:val="16"/>
              </w:rPr>
              <w:t>Host Country/</w:t>
            </w:r>
            <w:r w:rsidRPr="00AA1198">
              <w:rPr>
                <w:rFonts w:cs="Arial"/>
                <w:b/>
                <w:bCs/>
                <w:sz w:val="16"/>
                <w:szCs w:val="16"/>
              </w:rPr>
              <w:br/>
              <w:t>Recipients</w:t>
            </w:r>
          </w:p>
        </w:tc>
        <w:tc>
          <w:tcPr>
            <w:tcW w:w="4132" w:type="dxa"/>
            <w:tcBorders>
              <w:top w:val="single" w:sz="4" w:space="0" w:color="auto"/>
            </w:tcBorders>
            <w:shd w:val="clear" w:color="auto" w:fill="FFFFFF"/>
            <w:tcMar>
              <w:top w:w="110" w:type="dxa"/>
            </w:tcMar>
            <w:vAlign w:val="center"/>
          </w:tcPr>
          <w:p w:rsidR="005703CF" w:rsidRPr="00AA1198" w:rsidRDefault="005703CF" w:rsidP="002249F8">
            <w:pPr>
              <w:keepNext/>
              <w:keepLines/>
              <w:rPr>
                <w:rFonts w:cs="Arial"/>
                <w:sz w:val="16"/>
                <w:szCs w:val="16"/>
              </w:rPr>
            </w:pPr>
            <w:r w:rsidRPr="00AA1198">
              <w:rPr>
                <w:rFonts w:cs="Arial"/>
                <w:b/>
                <w:bCs/>
                <w:sz w:val="16"/>
                <w:szCs w:val="16"/>
              </w:rPr>
              <w:t>Purpose(s)/Description(s)</w:t>
            </w:r>
          </w:p>
        </w:tc>
      </w:tr>
      <w:tr w:rsidR="005703CF" w:rsidRPr="00660313" w:rsidTr="00C24C7E">
        <w:tc>
          <w:tcPr>
            <w:tcW w:w="1847" w:type="dxa"/>
          </w:tcPr>
          <w:p w:rsidR="005703CF" w:rsidRPr="00092362" w:rsidRDefault="005703CF" w:rsidP="00C24C7E">
            <w:pPr>
              <w:autoSpaceDE w:val="0"/>
              <w:autoSpaceDN w:val="0"/>
              <w:adjustRightInd w:val="0"/>
              <w:spacing w:before="80" w:after="80"/>
              <w:rPr>
                <w:rFonts w:cs="Arial"/>
                <w:color w:val="000000"/>
                <w:sz w:val="16"/>
                <w:szCs w:val="16"/>
                <w:lang w:eastAsia="ja-JP" w:bidi="th-TH"/>
              </w:rPr>
            </w:pPr>
            <w:r w:rsidRPr="005E29A1">
              <w:rPr>
                <w:rFonts w:cs="Arial"/>
                <w:color w:val="000000"/>
                <w:sz w:val="16"/>
                <w:szCs w:val="16"/>
                <w:lang w:eastAsia="ja-JP" w:bidi="th-TH"/>
              </w:rPr>
              <w:t>Support to Study Visit to Japan for the Establishment of National IP Strategies and</w:t>
            </w:r>
            <w:r>
              <w:rPr>
                <w:rFonts w:cs="Arial" w:hint="eastAsia"/>
                <w:color w:val="000000"/>
                <w:sz w:val="16"/>
                <w:szCs w:val="16"/>
                <w:lang w:eastAsia="ja-JP" w:bidi="th-TH"/>
              </w:rPr>
              <w:t xml:space="preserve"> </w:t>
            </w:r>
            <w:r w:rsidRPr="005E29A1">
              <w:rPr>
                <w:rFonts w:cs="Arial"/>
                <w:color w:val="000000"/>
                <w:sz w:val="16"/>
                <w:szCs w:val="16"/>
                <w:lang w:eastAsia="ja-JP" w:bidi="th-TH"/>
              </w:rPr>
              <w:t>Policies</w:t>
            </w:r>
          </w:p>
        </w:tc>
        <w:tc>
          <w:tcPr>
            <w:tcW w:w="1140" w:type="dxa"/>
          </w:tcPr>
          <w:p w:rsidR="005703CF" w:rsidRPr="00092362" w:rsidRDefault="005703CF" w:rsidP="00C24C7E">
            <w:pPr>
              <w:autoSpaceDE w:val="0"/>
              <w:autoSpaceDN w:val="0"/>
              <w:adjustRightInd w:val="0"/>
              <w:spacing w:before="80" w:after="80"/>
              <w:rPr>
                <w:rFonts w:cs="Arial"/>
                <w:color w:val="000000"/>
                <w:sz w:val="16"/>
                <w:szCs w:val="16"/>
                <w:lang w:eastAsia="ja-JP"/>
              </w:rPr>
            </w:pPr>
            <w:r>
              <w:rPr>
                <w:rFonts w:cs="Arial" w:hint="eastAsia"/>
                <w:color w:val="000000"/>
                <w:sz w:val="16"/>
                <w:szCs w:val="16"/>
                <w:lang w:eastAsia="ja-JP"/>
              </w:rPr>
              <w:t>May 27 to 30, 2013</w:t>
            </w:r>
          </w:p>
        </w:tc>
        <w:tc>
          <w:tcPr>
            <w:tcW w:w="1978" w:type="dxa"/>
          </w:tcPr>
          <w:p w:rsidR="005703CF" w:rsidRPr="00660313" w:rsidRDefault="005703CF" w:rsidP="00C24C7E">
            <w:pPr>
              <w:autoSpaceDE w:val="0"/>
              <w:autoSpaceDN w:val="0"/>
              <w:adjustRightInd w:val="0"/>
              <w:spacing w:before="80" w:after="80"/>
              <w:rPr>
                <w:rFonts w:cs="Arial"/>
                <w:color w:val="000000"/>
                <w:sz w:val="16"/>
                <w:szCs w:val="16"/>
                <w:lang w:eastAsia="ja-JP" w:bidi="th-TH"/>
              </w:rPr>
            </w:pPr>
            <w:r>
              <w:rPr>
                <w:rFonts w:cs="Arial" w:hint="eastAsia"/>
                <w:color w:val="000000"/>
                <w:sz w:val="16"/>
                <w:szCs w:val="16"/>
                <w:lang w:eastAsia="ja-JP" w:bidi="th-TH"/>
              </w:rPr>
              <w:t>Japan/Myanmar</w:t>
            </w:r>
          </w:p>
        </w:tc>
        <w:tc>
          <w:tcPr>
            <w:tcW w:w="4132" w:type="dxa"/>
          </w:tcPr>
          <w:p w:rsidR="005703CF" w:rsidRPr="00660313" w:rsidRDefault="005703CF" w:rsidP="00C24C7E">
            <w:pPr>
              <w:autoSpaceDE w:val="0"/>
              <w:autoSpaceDN w:val="0"/>
              <w:adjustRightInd w:val="0"/>
              <w:spacing w:before="80" w:after="80"/>
              <w:rPr>
                <w:rFonts w:cs="Arial"/>
                <w:color w:val="000000"/>
                <w:sz w:val="16"/>
                <w:szCs w:val="16"/>
                <w:lang w:eastAsia="ja-JP" w:bidi="th-TH"/>
              </w:rPr>
            </w:pPr>
            <w:r>
              <w:rPr>
                <w:rFonts w:cs="Arial" w:hint="eastAsia"/>
                <w:color w:val="000000"/>
                <w:sz w:val="16"/>
                <w:szCs w:val="16"/>
                <w:lang w:eastAsia="ja-JP" w:bidi="th-TH"/>
              </w:rPr>
              <w:t>T</w:t>
            </w:r>
            <w:r w:rsidRPr="00FC42D8">
              <w:rPr>
                <w:rFonts w:cs="Arial"/>
                <w:color w:val="000000"/>
                <w:sz w:val="16"/>
                <w:szCs w:val="16"/>
                <w:lang w:eastAsia="ja-JP" w:bidi="th-TH"/>
              </w:rPr>
              <w:t>o provide an opportunity to Myanmar senior officials to observe and learn from the experience of Japan in developing and using the IP system</w:t>
            </w:r>
          </w:p>
        </w:tc>
      </w:tr>
      <w:tr w:rsidR="005703CF" w:rsidRPr="00660313" w:rsidTr="00C24C7E">
        <w:tc>
          <w:tcPr>
            <w:tcW w:w="1847" w:type="dxa"/>
            <w:tcBorders>
              <w:bottom w:val="single" w:sz="4" w:space="0" w:color="auto"/>
            </w:tcBorders>
          </w:tcPr>
          <w:p w:rsidR="005703CF" w:rsidRPr="005E29A1" w:rsidRDefault="005703CF" w:rsidP="00C24C7E">
            <w:pPr>
              <w:autoSpaceDE w:val="0"/>
              <w:autoSpaceDN w:val="0"/>
              <w:adjustRightInd w:val="0"/>
              <w:spacing w:before="40" w:after="40"/>
              <w:rPr>
                <w:rFonts w:cs="Arial"/>
                <w:color w:val="000000"/>
                <w:sz w:val="16"/>
                <w:szCs w:val="16"/>
                <w:lang w:eastAsia="ja-JP" w:bidi="th-TH"/>
              </w:rPr>
            </w:pPr>
            <w:r w:rsidRPr="005E29A1">
              <w:rPr>
                <w:rFonts w:cs="Arial"/>
                <w:color w:val="000000"/>
                <w:sz w:val="16"/>
                <w:szCs w:val="16"/>
                <w:lang w:eastAsia="ja-JP" w:bidi="th-TH"/>
              </w:rPr>
              <w:t>Support to Study Visit to Japan for the Establishment of National IP Strategies and</w:t>
            </w:r>
            <w:r>
              <w:rPr>
                <w:rFonts w:cs="Arial" w:hint="eastAsia"/>
                <w:color w:val="000000"/>
                <w:sz w:val="16"/>
                <w:szCs w:val="16"/>
                <w:lang w:eastAsia="ja-JP" w:bidi="th-TH"/>
              </w:rPr>
              <w:t xml:space="preserve"> </w:t>
            </w:r>
            <w:r w:rsidRPr="005E29A1">
              <w:rPr>
                <w:rFonts w:cs="Arial"/>
                <w:color w:val="000000"/>
                <w:sz w:val="16"/>
                <w:szCs w:val="16"/>
                <w:lang w:eastAsia="ja-JP" w:bidi="th-TH"/>
              </w:rPr>
              <w:t>Policies</w:t>
            </w:r>
          </w:p>
        </w:tc>
        <w:tc>
          <w:tcPr>
            <w:tcW w:w="1140" w:type="dxa"/>
            <w:tcBorders>
              <w:bottom w:val="single" w:sz="4" w:space="0" w:color="auto"/>
            </w:tcBorders>
          </w:tcPr>
          <w:p w:rsidR="005703CF" w:rsidRDefault="005703CF" w:rsidP="00C24C7E">
            <w:pPr>
              <w:autoSpaceDE w:val="0"/>
              <w:autoSpaceDN w:val="0"/>
              <w:adjustRightInd w:val="0"/>
              <w:spacing w:before="40" w:after="40"/>
              <w:rPr>
                <w:rFonts w:cs="Arial"/>
                <w:color w:val="000000"/>
                <w:sz w:val="16"/>
                <w:szCs w:val="16"/>
                <w:lang w:eastAsia="ja-JP"/>
              </w:rPr>
            </w:pPr>
            <w:r>
              <w:rPr>
                <w:rFonts w:cs="Arial"/>
                <w:color w:val="000000"/>
                <w:sz w:val="16"/>
                <w:szCs w:val="16"/>
                <w:lang w:eastAsia="ja-JP" w:bidi="th-TH"/>
              </w:rPr>
              <w:t>October</w:t>
            </w:r>
            <w:r>
              <w:rPr>
                <w:rFonts w:cs="Arial" w:hint="eastAsia"/>
                <w:color w:val="000000"/>
                <w:sz w:val="16"/>
                <w:szCs w:val="16"/>
                <w:lang w:eastAsia="ja-JP"/>
              </w:rPr>
              <w:t xml:space="preserve"> 29 to November 1, 2013</w:t>
            </w:r>
          </w:p>
        </w:tc>
        <w:tc>
          <w:tcPr>
            <w:tcW w:w="1978" w:type="dxa"/>
            <w:tcBorders>
              <w:bottom w:val="single" w:sz="4" w:space="0" w:color="auto"/>
            </w:tcBorders>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Japan/Cambodia</w:t>
            </w:r>
          </w:p>
        </w:tc>
        <w:tc>
          <w:tcPr>
            <w:tcW w:w="4132" w:type="dxa"/>
            <w:tcBorders>
              <w:bottom w:val="single" w:sz="4" w:space="0" w:color="auto"/>
            </w:tcBorders>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FC42D8">
              <w:rPr>
                <w:rFonts w:cs="Arial"/>
                <w:color w:val="000000"/>
                <w:sz w:val="16"/>
                <w:szCs w:val="16"/>
                <w:lang w:eastAsia="ja-JP" w:bidi="th-TH"/>
              </w:rPr>
              <w:t>o provide an opportunity to Cambodian senior officials to learn from the experience of Japan in formulating and implementing its National IP Strategy, and in effectively utilizing the IP system for economic growth</w:t>
            </w:r>
          </w:p>
        </w:tc>
      </w:tr>
      <w:tr w:rsidR="005703CF" w:rsidRPr="00AA1198" w:rsidTr="00C24C7E">
        <w:tc>
          <w:tcPr>
            <w:tcW w:w="9097" w:type="dxa"/>
            <w:gridSpan w:val="4"/>
            <w:tcBorders>
              <w:top w:val="single" w:sz="4" w:space="0" w:color="auto"/>
              <w:bottom w:val="single" w:sz="4" w:space="0" w:color="auto"/>
            </w:tcBorders>
            <w:shd w:val="clear" w:color="auto" w:fill="CCFFFF"/>
            <w:vAlign w:val="center"/>
          </w:tcPr>
          <w:p w:rsidR="005703CF" w:rsidRPr="00AA1198" w:rsidRDefault="005703CF" w:rsidP="002249F8">
            <w:pPr>
              <w:keepNext/>
              <w:keepLines/>
              <w:tabs>
                <w:tab w:val="left" w:pos="1740"/>
              </w:tabs>
              <w:spacing w:before="120" w:after="120"/>
              <w:ind w:left="1740" w:hanging="1740"/>
              <w:rPr>
                <w:rFonts w:cs="Arial"/>
                <w:b/>
                <w:bCs/>
                <w:sz w:val="16"/>
                <w:szCs w:val="16"/>
              </w:rPr>
            </w:pPr>
            <w:r w:rsidRPr="00AA1198">
              <w:rPr>
                <w:rFonts w:cs="Arial"/>
                <w:b/>
                <w:bCs/>
                <w:color w:val="000000"/>
                <w:sz w:val="16"/>
                <w:szCs w:val="16"/>
              </w:rPr>
              <w:t>RESULT</w:t>
            </w:r>
            <w:r w:rsidRPr="00AA1198">
              <w:rPr>
                <w:rFonts w:cs="Arial"/>
                <w:b/>
                <w:bCs/>
                <w:sz w:val="16"/>
                <w:szCs w:val="16"/>
              </w:rPr>
              <w:t>:</w:t>
            </w:r>
            <w:r w:rsidRPr="00AA1198">
              <w:rPr>
                <w:rFonts w:cs="Arial"/>
                <w:b/>
                <w:bCs/>
                <w:sz w:val="16"/>
                <w:szCs w:val="16"/>
              </w:rPr>
              <w:tab/>
            </w:r>
            <w:r w:rsidRPr="001C27B6">
              <w:rPr>
                <w:rFonts w:cs="Arial"/>
                <w:bCs/>
                <w:sz w:val="16"/>
                <w:szCs w:val="16"/>
              </w:rPr>
              <w:t>Enhanced technical and knowledge infrastructure for IP offices and other IP institutions leading to better services</w:t>
            </w:r>
          </w:p>
        </w:tc>
      </w:tr>
      <w:tr w:rsidR="005703CF" w:rsidRPr="00AA1198" w:rsidTr="00C24C7E">
        <w:tc>
          <w:tcPr>
            <w:tcW w:w="1847" w:type="dxa"/>
            <w:tcBorders>
              <w:top w:val="single" w:sz="4" w:space="0" w:color="auto"/>
            </w:tcBorders>
            <w:vAlign w:val="center"/>
          </w:tcPr>
          <w:p w:rsidR="005703CF" w:rsidRPr="00AA1198" w:rsidRDefault="005703CF" w:rsidP="002249F8">
            <w:pPr>
              <w:keepNext/>
              <w:keepLines/>
              <w:rPr>
                <w:rFonts w:cs="Arial"/>
                <w:b/>
                <w:bCs/>
                <w:sz w:val="16"/>
                <w:szCs w:val="16"/>
              </w:rPr>
            </w:pPr>
            <w:r w:rsidRPr="00AA1198">
              <w:rPr>
                <w:rFonts w:cs="Arial"/>
                <w:b/>
                <w:bCs/>
                <w:sz w:val="16"/>
                <w:szCs w:val="16"/>
              </w:rPr>
              <w:t>Activity</w:t>
            </w:r>
          </w:p>
        </w:tc>
        <w:tc>
          <w:tcPr>
            <w:tcW w:w="1140" w:type="dxa"/>
            <w:tcBorders>
              <w:top w:val="single" w:sz="4" w:space="0" w:color="auto"/>
            </w:tcBorders>
            <w:shd w:val="clear" w:color="auto" w:fill="auto"/>
            <w:tcMar>
              <w:top w:w="110" w:type="dxa"/>
            </w:tcMar>
            <w:vAlign w:val="center"/>
          </w:tcPr>
          <w:p w:rsidR="005703CF" w:rsidRPr="00AA1198" w:rsidRDefault="005703CF" w:rsidP="002249F8">
            <w:pPr>
              <w:keepNext/>
              <w:keepLines/>
              <w:rPr>
                <w:rFonts w:cs="Arial"/>
                <w:sz w:val="16"/>
                <w:szCs w:val="16"/>
              </w:rPr>
            </w:pPr>
            <w:r w:rsidRPr="00AA1198">
              <w:rPr>
                <w:rFonts w:cs="Arial"/>
                <w:b/>
                <w:bCs/>
                <w:sz w:val="16"/>
                <w:szCs w:val="16"/>
              </w:rPr>
              <w:t>Date</w:t>
            </w:r>
          </w:p>
        </w:tc>
        <w:tc>
          <w:tcPr>
            <w:tcW w:w="1978" w:type="dxa"/>
            <w:tcBorders>
              <w:top w:val="single" w:sz="4" w:space="0" w:color="auto"/>
            </w:tcBorders>
            <w:shd w:val="clear" w:color="auto" w:fill="auto"/>
            <w:tcMar>
              <w:top w:w="110" w:type="dxa"/>
            </w:tcMar>
            <w:vAlign w:val="center"/>
          </w:tcPr>
          <w:p w:rsidR="005703CF" w:rsidRPr="00AA1198" w:rsidRDefault="005703CF" w:rsidP="002249F8">
            <w:pPr>
              <w:keepNext/>
              <w:keepLines/>
              <w:rPr>
                <w:rFonts w:cs="Arial"/>
                <w:sz w:val="16"/>
                <w:szCs w:val="16"/>
              </w:rPr>
            </w:pPr>
            <w:r w:rsidRPr="00AA1198">
              <w:rPr>
                <w:rFonts w:cs="Arial"/>
                <w:b/>
                <w:bCs/>
                <w:sz w:val="16"/>
                <w:szCs w:val="16"/>
              </w:rPr>
              <w:t>Host Country/</w:t>
            </w:r>
            <w:r w:rsidRPr="00AA1198">
              <w:rPr>
                <w:rFonts w:cs="Arial"/>
                <w:b/>
                <w:bCs/>
                <w:sz w:val="16"/>
                <w:szCs w:val="16"/>
              </w:rPr>
              <w:br/>
              <w:t>Recipients</w:t>
            </w:r>
          </w:p>
        </w:tc>
        <w:tc>
          <w:tcPr>
            <w:tcW w:w="4132" w:type="dxa"/>
            <w:tcBorders>
              <w:top w:val="single" w:sz="4" w:space="0" w:color="auto"/>
            </w:tcBorders>
            <w:shd w:val="clear" w:color="auto" w:fill="FFFFFF"/>
            <w:tcMar>
              <w:top w:w="110" w:type="dxa"/>
            </w:tcMar>
            <w:vAlign w:val="center"/>
          </w:tcPr>
          <w:p w:rsidR="005703CF" w:rsidRPr="00AA1198" w:rsidRDefault="005703CF" w:rsidP="002249F8">
            <w:pPr>
              <w:keepNext/>
              <w:keepLines/>
              <w:rPr>
                <w:rFonts w:cs="Arial"/>
                <w:sz w:val="16"/>
                <w:szCs w:val="16"/>
              </w:rPr>
            </w:pPr>
            <w:r w:rsidRPr="00AA1198">
              <w:rPr>
                <w:rFonts w:cs="Arial"/>
                <w:b/>
                <w:bCs/>
                <w:sz w:val="16"/>
                <w:szCs w:val="16"/>
              </w:rPr>
              <w:t>Purpose(s)/Description(s)</w:t>
            </w:r>
          </w:p>
        </w:tc>
      </w:tr>
      <w:tr w:rsidR="005703CF" w:rsidRPr="00660313" w:rsidTr="00C24C7E">
        <w:tc>
          <w:tcPr>
            <w:tcW w:w="1847" w:type="dxa"/>
          </w:tcPr>
          <w:p w:rsidR="005703CF" w:rsidRPr="00092362" w:rsidRDefault="005703CF" w:rsidP="00C24C7E">
            <w:pPr>
              <w:autoSpaceDE w:val="0"/>
              <w:autoSpaceDN w:val="0"/>
              <w:adjustRightInd w:val="0"/>
              <w:spacing w:before="40" w:after="40"/>
              <w:rPr>
                <w:rFonts w:cs="Arial"/>
                <w:color w:val="000000"/>
                <w:sz w:val="16"/>
                <w:szCs w:val="16"/>
                <w:lang w:eastAsia="ja-JP" w:bidi="th-TH"/>
              </w:rPr>
            </w:pPr>
            <w:r w:rsidRPr="00E00959">
              <w:rPr>
                <w:rFonts w:cs="Arial"/>
                <w:color w:val="000000"/>
                <w:sz w:val="16"/>
                <w:szCs w:val="16"/>
                <w:lang w:eastAsia="ja-JP" w:bidi="th-TH"/>
              </w:rPr>
              <w:t xml:space="preserve">Development of software platform and WIPO CASE linkage with </w:t>
            </w:r>
            <w:r>
              <w:rPr>
                <w:rFonts w:cs="Arial" w:hint="eastAsia"/>
                <w:color w:val="000000"/>
                <w:sz w:val="16"/>
                <w:szCs w:val="16"/>
                <w:lang w:eastAsia="ja-JP" w:bidi="th-TH"/>
              </w:rPr>
              <w:t>the IP5 One Portal Dossier (OPD)</w:t>
            </w:r>
          </w:p>
        </w:tc>
        <w:tc>
          <w:tcPr>
            <w:tcW w:w="1140" w:type="dxa"/>
          </w:tcPr>
          <w:p w:rsidR="005703CF" w:rsidRPr="00092362" w:rsidRDefault="005703CF" w:rsidP="00C24C7E">
            <w:pPr>
              <w:autoSpaceDE w:val="0"/>
              <w:autoSpaceDN w:val="0"/>
              <w:adjustRightInd w:val="0"/>
              <w:spacing w:before="40" w:after="40"/>
              <w:rPr>
                <w:rFonts w:cs="Arial"/>
                <w:color w:val="000000"/>
                <w:sz w:val="16"/>
                <w:szCs w:val="16"/>
                <w:lang w:eastAsia="ja-JP"/>
              </w:rPr>
            </w:pPr>
            <w:r>
              <w:rPr>
                <w:rFonts w:cs="Arial" w:hint="eastAsia"/>
                <w:color w:val="000000"/>
                <w:sz w:val="16"/>
                <w:szCs w:val="16"/>
                <w:lang w:eastAsia="ja-JP"/>
              </w:rPr>
              <w:t>April 2013</w:t>
            </w:r>
            <w:r w:rsidDel="00A60AF3">
              <w:rPr>
                <w:rFonts w:cs="Arial"/>
                <w:color w:val="000000"/>
                <w:sz w:val="16"/>
                <w:szCs w:val="16"/>
                <w:lang w:eastAsia="ja-JP"/>
              </w:rPr>
              <w:t xml:space="preserve"> </w:t>
            </w:r>
            <w:r>
              <w:rPr>
                <w:rFonts w:cs="Arial" w:hint="eastAsia"/>
                <w:color w:val="000000"/>
                <w:sz w:val="16"/>
                <w:szCs w:val="16"/>
                <w:lang w:eastAsia="ja-JP"/>
              </w:rPr>
              <w:t>(Initiated)</w:t>
            </w:r>
          </w:p>
        </w:tc>
        <w:tc>
          <w:tcPr>
            <w:tcW w:w="1978" w:type="dxa"/>
          </w:tcPr>
          <w:p w:rsidR="005703CF" w:rsidRPr="00660313" w:rsidRDefault="005703CF" w:rsidP="00C24C7E">
            <w:pPr>
              <w:autoSpaceDE w:val="0"/>
              <w:autoSpaceDN w:val="0"/>
              <w:adjustRightInd w:val="0"/>
              <w:spacing w:before="40" w:after="40"/>
              <w:rPr>
                <w:rFonts w:cs="Arial"/>
                <w:color w:val="000000"/>
                <w:sz w:val="16"/>
                <w:szCs w:val="16"/>
                <w:lang w:eastAsia="ja-JP" w:bidi="th-TH"/>
              </w:rPr>
            </w:pPr>
            <w:r w:rsidRPr="00E00959">
              <w:rPr>
                <w:rFonts w:cs="Arial"/>
                <w:color w:val="000000"/>
                <w:sz w:val="16"/>
                <w:szCs w:val="16"/>
                <w:lang w:eastAsia="ja-JP" w:bidi="th-TH"/>
              </w:rPr>
              <w:t>Brunei</w:t>
            </w:r>
            <w:r>
              <w:rPr>
                <w:rFonts w:cs="Arial"/>
                <w:color w:val="000000"/>
                <w:sz w:val="16"/>
                <w:szCs w:val="16"/>
                <w:lang w:eastAsia="ja-JP" w:bidi="th-TH"/>
              </w:rPr>
              <w:t xml:space="preserve"> Darussalam</w:t>
            </w:r>
            <w:r w:rsidRPr="00E00959">
              <w:rPr>
                <w:rFonts w:cs="Arial"/>
                <w:color w:val="000000"/>
                <w:sz w:val="16"/>
                <w:szCs w:val="16"/>
                <w:lang w:eastAsia="ja-JP" w:bidi="th-TH"/>
              </w:rPr>
              <w:t>, Cambodia, Indonesia, Lao</w:t>
            </w:r>
            <w:r>
              <w:rPr>
                <w:rFonts w:cs="Arial"/>
                <w:color w:val="000000"/>
                <w:sz w:val="16"/>
                <w:szCs w:val="16"/>
                <w:lang w:eastAsia="ja-JP" w:bidi="th-TH"/>
              </w:rPr>
              <w:t xml:space="preserve"> </w:t>
            </w:r>
            <w:r>
              <w:rPr>
                <w:rFonts w:cs="Arial"/>
                <w:color w:val="000000"/>
                <w:sz w:val="16"/>
                <w:szCs w:val="16"/>
              </w:rPr>
              <w:t>People’s Democratic Republic</w:t>
            </w:r>
            <w:r w:rsidRPr="00E00959">
              <w:rPr>
                <w:rFonts w:cs="Arial"/>
                <w:color w:val="000000"/>
                <w:sz w:val="16"/>
                <w:szCs w:val="16"/>
                <w:lang w:eastAsia="ja-JP" w:bidi="th-TH"/>
              </w:rPr>
              <w:t xml:space="preserve">, Malaysia, Myanmar, </w:t>
            </w:r>
            <w:r>
              <w:rPr>
                <w:rFonts w:cs="Arial"/>
                <w:color w:val="000000"/>
                <w:sz w:val="16"/>
                <w:szCs w:val="16"/>
                <w:lang w:eastAsia="ja-JP" w:bidi="th-TH"/>
              </w:rPr>
              <w:t>Philippines</w:t>
            </w:r>
            <w:r>
              <w:rPr>
                <w:rFonts w:cs="Arial" w:hint="eastAsia"/>
                <w:color w:val="000000"/>
                <w:sz w:val="16"/>
                <w:szCs w:val="16"/>
                <w:lang w:eastAsia="ja-JP" w:bidi="th-TH"/>
              </w:rPr>
              <w:t>,</w:t>
            </w:r>
            <w:r w:rsidRPr="00E00959">
              <w:rPr>
                <w:rFonts w:cs="Arial"/>
                <w:color w:val="000000"/>
                <w:sz w:val="16"/>
                <w:szCs w:val="16"/>
                <w:lang w:eastAsia="ja-JP" w:bidi="th-TH"/>
              </w:rPr>
              <w:t xml:space="preserve"> Singapore, Thailand and Viet Nam</w:t>
            </w:r>
          </w:p>
        </w:tc>
        <w:tc>
          <w:tcPr>
            <w:tcW w:w="4132" w:type="dxa"/>
          </w:tcPr>
          <w:p w:rsidR="005703CF" w:rsidRPr="00660313" w:rsidRDefault="005703CF" w:rsidP="005A4F0A">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To: </w:t>
            </w:r>
            <w:r>
              <w:rPr>
                <w:rFonts w:cs="Arial"/>
                <w:color w:val="000000"/>
                <w:sz w:val="16"/>
                <w:szCs w:val="16"/>
                <w:lang w:eastAsia="ja-JP" w:bidi="th-TH"/>
              </w:rPr>
              <w:t xml:space="preserve"> </w:t>
            </w:r>
            <w:r>
              <w:rPr>
                <w:rFonts w:cs="Arial" w:hint="eastAsia"/>
                <w:color w:val="000000"/>
                <w:sz w:val="16"/>
                <w:szCs w:val="16"/>
                <w:lang w:eastAsia="ja-JP" w:bidi="th-TH"/>
              </w:rPr>
              <w:t xml:space="preserve">(i) </w:t>
            </w:r>
            <w:r w:rsidRPr="00E00959">
              <w:rPr>
                <w:rFonts w:cs="Arial"/>
                <w:color w:val="000000"/>
                <w:sz w:val="16"/>
                <w:szCs w:val="16"/>
                <w:lang w:eastAsia="ja-JP" w:bidi="th-TH"/>
              </w:rPr>
              <w:t xml:space="preserve">create a system that can support a global network of IP </w:t>
            </w:r>
            <w:r>
              <w:rPr>
                <w:rFonts w:cs="Arial"/>
                <w:color w:val="000000"/>
                <w:sz w:val="16"/>
                <w:szCs w:val="16"/>
                <w:lang w:eastAsia="ja-JP" w:bidi="th-TH"/>
              </w:rPr>
              <w:t>O</w:t>
            </w:r>
            <w:r w:rsidRPr="00E00959">
              <w:rPr>
                <w:rFonts w:cs="Arial"/>
                <w:color w:val="000000"/>
                <w:sz w:val="16"/>
                <w:szCs w:val="16"/>
                <w:lang w:eastAsia="ja-JP" w:bidi="th-TH"/>
              </w:rPr>
              <w:t>ffices partici</w:t>
            </w:r>
            <w:r>
              <w:rPr>
                <w:rFonts w:cs="Arial"/>
                <w:color w:val="000000"/>
                <w:sz w:val="16"/>
                <w:szCs w:val="16"/>
                <w:lang w:eastAsia="ja-JP" w:bidi="th-TH"/>
              </w:rPr>
              <w:t>pating in work sharing programs</w:t>
            </w:r>
            <w:r>
              <w:rPr>
                <w:rFonts w:cs="Arial" w:hint="eastAsia"/>
                <w:color w:val="000000"/>
                <w:sz w:val="16"/>
                <w:szCs w:val="16"/>
                <w:lang w:eastAsia="ja-JP" w:bidi="th-TH"/>
              </w:rPr>
              <w:t xml:space="preserve"> thorough </w:t>
            </w:r>
            <w:r>
              <w:rPr>
                <w:rFonts w:cs="Arial"/>
                <w:color w:val="000000"/>
                <w:sz w:val="16"/>
                <w:szCs w:val="16"/>
                <w:lang w:eastAsia="ja-JP" w:bidi="th-TH"/>
              </w:rPr>
              <w:t xml:space="preserve">the </w:t>
            </w:r>
            <w:r>
              <w:rPr>
                <w:rFonts w:cs="Arial" w:hint="eastAsia"/>
                <w:color w:val="000000"/>
                <w:sz w:val="16"/>
                <w:szCs w:val="16"/>
                <w:lang w:eastAsia="ja-JP" w:bidi="th-TH"/>
              </w:rPr>
              <w:t xml:space="preserve">WIPO CASE platform linked with the IP5 One Portal Dossier (OPD) system as a pilot project; </w:t>
            </w:r>
            <w:r>
              <w:rPr>
                <w:rFonts w:cs="Arial"/>
                <w:color w:val="000000"/>
                <w:sz w:val="16"/>
                <w:szCs w:val="16"/>
                <w:lang w:eastAsia="ja-JP" w:bidi="th-TH"/>
              </w:rPr>
              <w:t xml:space="preserve"> </w:t>
            </w:r>
            <w:r>
              <w:rPr>
                <w:rFonts w:cs="Arial" w:hint="eastAsia"/>
                <w:color w:val="000000"/>
                <w:sz w:val="16"/>
                <w:szCs w:val="16"/>
                <w:lang w:eastAsia="ja-JP" w:bidi="th-TH"/>
              </w:rPr>
              <w:t xml:space="preserve">(ii) </w:t>
            </w:r>
            <w:r>
              <w:rPr>
                <w:rFonts w:cs="Arial"/>
                <w:color w:val="000000"/>
                <w:sz w:val="16"/>
                <w:szCs w:val="16"/>
                <w:lang w:eastAsia="ja-JP" w:bidi="th-TH"/>
              </w:rPr>
              <w:t>provide</w:t>
            </w:r>
            <w:r w:rsidRPr="00E00959">
              <w:rPr>
                <w:rFonts w:cs="Arial"/>
                <w:color w:val="000000"/>
                <w:sz w:val="16"/>
                <w:szCs w:val="16"/>
                <w:lang w:eastAsia="ja-JP" w:bidi="th-TH"/>
              </w:rPr>
              <w:t xml:space="preserve"> easier access to, and the promotion and use of the examination works, from ASEAN national IP </w:t>
            </w:r>
            <w:r>
              <w:rPr>
                <w:rFonts w:cs="Arial"/>
                <w:color w:val="000000"/>
                <w:sz w:val="16"/>
                <w:szCs w:val="16"/>
                <w:lang w:eastAsia="ja-JP" w:bidi="th-TH"/>
              </w:rPr>
              <w:t>O</w:t>
            </w:r>
            <w:r w:rsidRPr="00E00959">
              <w:rPr>
                <w:rFonts w:cs="Arial"/>
                <w:color w:val="000000"/>
                <w:sz w:val="16"/>
                <w:szCs w:val="16"/>
                <w:lang w:eastAsia="ja-JP" w:bidi="th-TH"/>
              </w:rPr>
              <w:t xml:space="preserve">ffices that may also contribute to </w:t>
            </w:r>
            <w:r w:rsidR="005A4F0A">
              <w:rPr>
                <w:rFonts w:cs="Arial"/>
                <w:color w:val="000000"/>
                <w:sz w:val="16"/>
                <w:szCs w:val="16"/>
                <w:lang w:eastAsia="ja-JP" w:bidi="th-TH"/>
              </w:rPr>
              <w:t xml:space="preserve">utilization of </w:t>
            </w:r>
            <w:r w:rsidRPr="00E00959">
              <w:rPr>
                <w:rFonts w:cs="Arial"/>
                <w:color w:val="000000"/>
                <w:sz w:val="16"/>
                <w:szCs w:val="16"/>
                <w:lang w:eastAsia="ja-JP" w:bidi="th-TH"/>
              </w:rPr>
              <w:t>scientific and technical information embedded in patent database</w:t>
            </w:r>
            <w:r>
              <w:rPr>
                <w:rFonts w:cs="Arial" w:hint="eastAsia"/>
                <w:color w:val="000000"/>
                <w:sz w:val="16"/>
                <w:szCs w:val="16"/>
                <w:lang w:eastAsia="ja-JP" w:bidi="th-TH"/>
              </w:rPr>
              <w:t xml:space="preserve">; </w:t>
            </w:r>
            <w:r>
              <w:rPr>
                <w:rFonts w:cs="Arial"/>
                <w:color w:val="000000"/>
                <w:sz w:val="16"/>
                <w:szCs w:val="16"/>
                <w:lang w:eastAsia="ja-JP" w:bidi="th-TH"/>
              </w:rPr>
              <w:t xml:space="preserve"> </w:t>
            </w:r>
            <w:r>
              <w:rPr>
                <w:rFonts w:cs="Arial" w:hint="eastAsia"/>
                <w:color w:val="000000"/>
                <w:sz w:val="16"/>
                <w:szCs w:val="16"/>
                <w:lang w:eastAsia="ja-JP" w:bidi="th-TH"/>
              </w:rPr>
              <w:t xml:space="preserve">and (iii) </w:t>
            </w:r>
            <w:r w:rsidRPr="00E00959">
              <w:rPr>
                <w:rFonts w:cs="Arial"/>
                <w:color w:val="000000"/>
                <w:sz w:val="16"/>
                <w:szCs w:val="16"/>
                <w:lang w:eastAsia="ja-JP" w:bidi="th-TH"/>
              </w:rPr>
              <w:t xml:space="preserve">provide the </w:t>
            </w:r>
            <w:r>
              <w:rPr>
                <w:rFonts w:cs="Arial"/>
                <w:color w:val="000000"/>
                <w:sz w:val="16"/>
                <w:szCs w:val="16"/>
                <w:lang w:eastAsia="ja-JP" w:bidi="th-TH"/>
              </w:rPr>
              <w:t>O</w:t>
            </w:r>
            <w:r w:rsidRPr="00E00959">
              <w:rPr>
                <w:rFonts w:cs="Arial"/>
                <w:color w:val="000000"/>
                <w:sz w:val="16"/>
                <w:szCs w:val="16"/>
                <w:lang w:eastAsia="ja-JP" w:bidi="th-TH"/>
              </w:rPr>
              <w:t>ffices with detailed information that may be used to formulate regional strategies for IT platforms to facilitate work sharing</w:t>
            </w:r>
          </w:p>
        </w:tc>
      </w:tr>
      <w:tr w:rsidR="005703CF" w:rsidRPr="00660313" w:rsidTr="00C24C7E">
        <w:trPr>
          <w:trHeight w:val="1644"/>
        </w:trPr>
        <w:tc>
          <w:tcPr>
            <w:tcW w:w="1847" w:type="dxa"/>
          </w:tcPr>
          <w:p w:rsidR="005703CF" w:rsidRPr="00E00959"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WIPO Sub-regional Workshop on </w:t>
            </w:r>
            <w:r w:rsidRPr="009E0239">
              <w:rPr>
                <w:rFonts w:cs="Arial"/>
                <w:color w:val="000000"/>
                <w:sz w:val="16"/>
                <w:szCs w:val="16"/>
                <w:lang w:eastAsia="ja-JP" w:bidi="th-TH"/>
              </w:rPr>
              <w:t xml:space="preserve">ASEAN IT Roadmap </w:t>
            </w:r>
          </w:p>
        </w:tc>
        <w:tc>
          <w:tcPr>
            <w:tcW w:w="1140" w:type="dxa"/>
          </w:tcPr>
          <w:p w:rsidR="005703CF" w:rsidRDefault="005703CF" w:rsidP="00C24C7E">
            <w:pPr>
              <w:autoSpaceDE w:val="0"/>
              <w:autoSpaceDN w:val="0"/>
              <w:adjustRightInd w:val="0"/>
              <w:spacing w:before="40" w:after="40"/>
              <w:rPr>
                <w:rFonts w:cs="Arial"/>
                <w:color w:val="000000"/>
                <w:sz w:val="16"/>
                <w:szCs w:val="16"/>
                <w:lang w:eastAsia="ja-JP"/>
              </w:rPr>
            </w:pPr>
            <w:r w:rsidRPr="009E0239">
              <w:rPr>
                <w:rFonts w:cs="Arial"/>
                <w:color w:val="000000"/>
                <w:sz w:val="16"/>
                <w:szCs w:val="16"/>
                <w:lang w:eastAsia="ja-JP"/>
              </w:rPr>
              <w:t xml:space="preserve">November 5 to 8, </w:t>
            </w:r>
            <w:r>
              <w:rPr>
                <w:rFonts w:cs="Arial" w:hint="eastAsia"/>
                <w:color w:val="000000"/>
                <w:sz w:val="16"/>
                <w:szCs w:val="16"/>
                <w:lang w:eastAsia="ja-JP"/>
              </w:rPr>
              <w:t>2013</w:t>
            </w:r>
          </w:p>
        </w:tc>
        <w:tc>
          <w:tcPr>
            <w:tcW w:w="1978" w:type="dxa"/>
          </w:tcPr>
          <w:p w:rsidR="005703CF" w:rsidRPr="00E00959"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P</w:t>
            </w:r>
            <w:r w:rsidRPr="009E0239">
              <w:rPr>
                <w:rFonts w:cs="Arial" w:hint="eastAsia"/>
                <w:color w:val="000000"/>
                <w:sz w:val="16"/>
                <w:szCs w:val="16"/>
                <w:lang w:eastAsia="ja-JP" w:bidi="th-TH"/>
              </w:rPr>
              <w:t>hilippines/</w:t>
            </w:r>
            <w:r>
              <w:rPr>
                <w:rFonts w:cs="Arial"/>
                <w:color w:val="000000"/>
                <w:sz w:val="16"/>
                <w:szCs w:val="16"/>
                <w:lang w:eastAsia="ja-JP" w:bidi="th-TH"/>
              </w:rPr>
              <w:br/>
            </w:r>
            <w:r w:rsidRPr="009E0239">
              <w:rPr>
                <w:rFonts w:cs="Arial" w:hint="eastAsia"/>
                <w:color w:val="000000"/>
                <w:sz w:val="16"/>
                <w:szCs w:val="16"/>
                <w:lang w:eastAsia="ja-JP" w:bidi="th-TH"/>
              </w:rPr>
              <w:t>Brunei</w:t>
            </w:r>
            <w:r>
              <w:rPr>
                <w:rFonts w:cs="Arial"/>
                <w:color w:val="000000"/>
                <w:sz w:val="16"/>
                <w:szCs w:val="16"/>
                <w:lang w:eastAsia="ja-JP" w:bidi="th-TH"/>
              </w:rPr>
              <w:t> Darussalam</w:t>
            </w:r>
            <w:r w:rsidRPr="009E0239">
              <w:rPr>
                <w:rFonts w:cs="Arial" w:hint="eastAsia"/>
                <w:color w:val="000000"/>
                <w:sz w:val="16"/>
                <w:szCs w:val="16"/>
                <w:lang w:eastAsia="ja-JP" w:bidi="th-TH"/>
              </w:rPr>
              <w:t>,</w:t>
            </w:r>
            <w:r>
              <w:rPr>
                <w:rFonts w:cs="Arial" w:hint="eastAsia"/>
                <w:color w:val="000000"/>
                <w:sz w:val="16"/>
                <w:szCs w:val="16"/>
                <w:lang w:eastAsia="ja-JP" w:bidi="th-TH"/>
              </w:rPr>
              <w:t xml:space="preserve"> Cambodia, </w:t>
            </w:r>
            <w:r w:rsidRPr="009E0239">
              <w:rPr>
                <w:rFonts w:cs="Arial" w:hint="eastAsia"/>
                <w:color w:val="000000"/>
                <w:sz w:val="16"/>
                <w:szCs w:val="16"/>
                <w:lang w:eastAsia="ja-JP" w:bidi="th-TH"/>
              </w:rPr>
              <w:t>Indonesia</w:t>
            </w:r>
            <w:r>
              <w:rPr>
                <w:rFonts w:cs="Arial" w:hint="eastAsia"/>
                <w:color w:val="000000"/>
                <w:sz w:val="16"/>
                <w:szCs w:val="16"/>
                <w:lang w:eastAsia="ja-JP" w:bidi="th-TH"/>
              </w:rPr>
              <w:t>, Lao</w:t>
            </w:r>
            <w:r>
              <w:rPr>
                <w:rFonts w:cs="Arial"/>
                <w:color w:val="000000"/>
                <w:sz w:val="16"/>
                <w:szCs w:val="16"/>
                <w:lang w:eastAsia="ja-JP" w:bidi="th-TH"/>
              </w:rPr>
              <w:t xml:space="preserve"> </w:t>
            </w:r>
            <w:r>
              <w:rPr>
                <w:rFonts w:cs="Arial"/>
                <w:color w:val="000000"/>
                <w:sz w:val="16"/>
                <w:szCs w:val="16"/>
              </w:rPr>
              <w:t>People’s Democratic Republic</w:t>
            </w:r>
            <w:r>
              <w:rPr>
                <w:rFonts w:cs="Arial" w:hint="eastAsia"/>
                <w:color w:val="000000"/>
                <w:sz w:val="16"/>
                <w:szCs w:val="16"/>
                <w:lang w:eastAsia="ja-JP" w:bidi="th-TH"/>
              </w:rPr>
              <w:t xml:space="preserve">, Malaysia, Myanmar, </w:t>
            </w:r>
            <w:r>
              <w:rPr>
                <w:rFonts w:cs="Arial"/>
                <w:color w:val="000000"/>
                <w:sz w:val="16"/>
                <w:szCs w:val="16"/>
                <w:lang w:eastAsia="ja-JP" w:bidi="th-TH"/>
              </w:rPr>
              <w:t>Singapore</w:t>
            </w:r>
            <w:r>
              <w:rPr>
                <w:rFonts w:cs="Arial" w:hint="eastAsia"/>
                <w:color w:val="000000"/>
                <w:sz w:val="16"/>
                <w:szCs w:val="16"/>
                <w:lang w:eastAsia="ja-JP" w:bidi="th-TH"/>
              </w:rPr>
              <w:t>, Thailand and Viet Nam</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w:t>
            </w:r>
            <w:r>
              <w:rPr>
                <w:rFonts w:cs="Arial" w:hint="eastAsia"/>
                <w:color w:val="000000"/>
                <w:sz w:val="16"/>
                <w:szCs w:val="16"/>
                <w:lang w:eastAsia="ja-JP" w:bidi="th-TH"/>
              </w:rPr>
              <w:t xml:space="preserve">o: </w:t>
            </w:r>
            <w:r>
              <w:rPr>
                <w:rFonts w:cs="Arial"/>
                <w:color w:val="000000"/>
                <w:sz w:val="16"/>
                <w:szCs w:val="16"/>
                <w:lang w:eastAsia="ja-JP" w:bidi="th-TH"/>
              </w:rPr>
              <w:t xml:space="preserve"> </w:t>
            </w:r>
            <w:r>
              <w:rPr>
                <w:rFonts w:cs="Arial" w:hint="eastAsia"/>
                <w:color w:val="000000"/>
                <w:sz w:val="16"/>
                <w:szCs w:val="16"/>
                <w:lang w:eastAsia="ja-JP" w:bidi="th-TH"/>
              </w:rPr>
              <w:t>(i) s</w:t>
            </w:r>
            <w:r w:rsidRPr="009E0239">
              <w:rPr>
                <w:rFonts w:cs="Arial"/>
                <w:color w:val="000000"/>
                <w:sz w:val="16"/>
                <w:szCs w:val="16"/>
                <w:lang w:eastAsia="ja-JP" w:bidi="th-TH"/>
              </w:rPr>
              <w:t>hare experiences and best practices between IP offices in the ASEAN region on efficient IT-driven business services</w:t>
            </w:r>
            <w:r>
              <w:rPr>
                <w:rFonts w:cs="Arial" w:hint="eastAsia"/>
                <w:color w:val="000000"/>
                <w:sz w:val="16"/>
                <w:szCs w:val="16"/>
                <w:lang w:eastAsia="ja-JP" w:bidi="th-TH"/>
              </w:rPr>
              <w:t xml:space="preserve">; </w:t>
            </w:r>
            <w:r>
              <w:rPr>
                <w:rFonts w:cs="Arial"/>
                <w:color w:val="000000"/>
                <w:sz w:val="16"/>
                <w:szCs w:val="16"/>
                <w:lang w:eastAsia="ja-JP" w:bidi="th-TH"/>
              </w:rPr>
              <w:t xml:space="preserve"> </w:t>
            </w:r>
            <w:r>
              <w:rPr>
                <w:rFonts w:cs="Arial" w:hint="eastAsia"/>
                <w:color w:val="000000"/>
                <w:sz w:val="16"/>
                <w:szCs w:val="16"/>
                <w:lang w:eastAsia="ja-JP" w:bidi="th-TH"/>
              </w:rPr>
              <w:t>(ii) f</w:t>
            </w:r>
            <w:r w:rsidRPr="009E0239">
              <w:rPr>
                <w:rFonts w:cs="Arial"/>
                <w:color w:val="000000"/>
                <w:sz w:val="16"/>
                <w:szCs w:val="16"/>
                <w:lang w:eastAsia="ja-JP" w:bidi="th-TH"/>
              </w:rPr>
              <w:t>acilitate the promotion and use of the WIPO business products and services (WIPO CASE, IPAS and WIPOScan) for the benefit of the region</w:t>
            </w:r>
            <w:r>
              <w:rPr>
                <w:rFonts w:cs="Arial" w:hint="eastAsia"/>
                <w:color w:val="000000"/>
                <w:sz w:val="16"/>
                <w:szCs w:val="16"/>
                <w:lang w:eastAsia="ja-JP" w:bidi="th-TH"/>
              </w:rPr>
              <w:t xml:space="preserve">; </w:t>
            </w:r>
            <w:r>
              <w:rPr>
                <w:rFonts w:cs="Arial"/>
                <w:color w:val="000000"/>
                <w:sz w:val="16"/>
                <w:szCs w:val="16"/>
                <w:lang w:eastAsia="ja-JP" w:bidi="th-TH"/>
              </w:rPr>
              <w:t xml:space="preserve"> </w:t>
            </w:r>
            <w:r>
              <w:rPr>
                <w:rFonts w:cs="Arial" w:hint="eastAsia"/>
                <w:color w:val="000000"/>
                <w:sz w:val="16"/>
                <w:szCs w:val="16"/>
                <w:lang w:eastAsia="ja-JP" w:bidi="th-TH"/>
              </w:rPr>
              <w:t>and (iii) e</w:t>
            </w:r>
            <w:r w:rsidRPr="009E0239">
              <w:rPr>
                <w:rFonts w:cs="Arial"/>
                <w:color w:val="000000"/>
                <w:sz w:val="16"/>
                <w:szCs w:val="16"/>
                <w:lang w:eastAsia="ja-JP" w:bidi="th-TH"/>
              </w:rPr>
              <w:t>nable national Offices and users to better access and utilize valuable information concerning innovation and business activities</w:t>
            </w:r>
          </w:p>
        </w:tc>
      </w:tr>
      <w:tr w:rsidR="005703CF" w:rsidRPr="00660313" w:rsidTr="00C24C7E">
        <w:trPr>
          <w:trHeight w:val="1010"/>
        </w:trPr>
        <w:tc>
          <w:tcPr>
            <w:tcW w:w="1847"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WIPO </w:t>
            </w:r>
            <w:r>
              <w:rPr>
                <w:rFonts w:cs="Arial"/>
                <w:color w:val="000000"/>
                <w:sz w:val="16"/>
                <w:szCs w:val="16"/>
                <w:lang w:eastAsia="ja-JP" w:bidi="th-TH"/>
              </w:rPr>
              <w:t>Essential</w:t>
            </w:r>
            <w:r>
              <w:rPr>
                <w:rFonts w:cs="Arial" w:hint="eastAsia"/>
                <w:color w:val="000000"/>
                <w:sz w:val="16"/>
                <w:szCs w:val="16"/>
                <w:lang w:eastAsia="ja-JP" w:bidi="th-TH"/>
              </w:rPr>
              <w:t xml:space="preserve"> Web Portal</w:t>
            </w:r>
          </w:p>
        </w:tc>
        <w:tc>
          <w:tcPr>
            <w:tcW w:w="1140" w:type="dxa"/>
          </w:tcPr>
          <w:p w:rsidR="005703CF" w:rsidRPr="009E0239" w:rsidRDefault="005703CF" w:rsidP="00C24C7E">
            <w:pPr>
              <w:autoSpaceDE w:val="0"/>
              <w:autoSpaceDN w:val="0"/>
              <w:adjustRightInd w:val="0"/>
              <w:spacing w:before="40" w:after="40"/>
              <w:rPr>
                <w:rFonts w:cs="Arial"/>
                <w:color w:val="000000"/>
                <w:sz w:val="16"/>
                <w:szCs w:val="16"/>
                <w:lang w:eastAsia="ja-JP"/>
              </w:rPr>
            </w:pPr>
            <w:r>
              <w:rPr>
                <w:rFonts w:cs="Arial" w:hint="eastAsia"/>
                <w:color w:val="000000"/>
                <w:sz w:val="16"/>
                <w:szCs w:val="16"/>
                <w:lang w:eastAsia="ja-JP"/>
              </w:rPr>
              <w:t>August 2012 to March 2013</w:t>
            </w:r>
          </w:p>
        </w:tc>
        <w:tc>
          <w:tcPr>
            <w:tcW w:w="1978" w:type="dxa"/>
          </w:tcPr>
          <w:p w:rsidR="005703CF" w:rsidRPr="003C18E2" w:rsidRDefault="005703CF" w:rsidP="00C24C7E">
            <w:pPr>
              <w:autoSpaceDE w:val="0"/>
              <w:autoSpaceDN w:val="0"/>
              <w:adjustRightInd w:val="0"/>
              <w:spacing w:before="40" w:after="40"/>
              <w:rPr>
                <w:rFonts w:cs="Arial"/>
                <w:color w:val="000000"/>
                <w:spacing w:val="-2"/>
                <w:sz w:val="16"/>
                <w:szCs w:val="16"/>
                <w:lang w:eastAsia="ja-JP" w:bidi="th-TH"/>
              </w:rPr>
            </w:pPr>
            <w:r w:rsidRPr="003C18E2">
              <w:rPr>
                <w:rFonts w:cs="Arial" w:hint="eastAsia"/>
                <w:color w:val="000000"/>
                <w:spacing w:val="-2"/>
                <w:sz w:val="16"/>
                <w:szCs w:val="16"/>
                <w:lang w:eastAsia="ja-JP" w:bidi="th-TH"/>
              </w:rPr>
              <w:t xml:space="preserve">All WIPO </w:t>
            </w:r>
            <w:r w:rsidRPr="003C18E2">
              <w:rPr>
                <w:rFonts w:cs="Arial"/>
                <w:color w:val="000000"/>
                <w:spacing w:val="-2"/>
                <w:sz w:val="16"/>
                <w:szCs w:val="16"/>
                <w:lang w:eastAsia="ja-JP" w:bidi="th-TH"/>
              </w:rPr>
              <w:t>M</w:t>
            </w:r>
            <w:r w:rsidRPr="003C18E2">
              <w:rPr>
                <w:rFonts w:cs="Arial" w:hint="eastAsia"/>
                <w:color w:val="000000"/>
                <w:spacing w:val="-2"/>
                <w:sz w:val="16"/>
                <w:szCs w:val="16"/>
                <w:lang w:eastAsia="ja-JP" w:bidi="th-TH"/>
              </w:rPr>
              <w:t xml:space="preserve">ember </w:t>
            </w:r>
            <w:r w:rsidRPr="003C18E2">
              <w:rPr>
                <w:rFonts w:cs="Arial"/>
                <w:color w:val="000000"/>
                <w:spacing w:val="-2"/>
                <w:sz w:val="16"/>
                <w:szCs w:val="16"/>
                <w:lang w:eastAsia="ja-JP" w:bidi="th-TH"/>
              </w:rPr>
              <w:t>S</w:t>
            </w:r>
            <w:r w:rsidRPr="003C18E2">
              <w:rPr>
                <w:rFonts w:cs="Arial" w:hint="eastAsia"/>
                <w:color w:val="000000"/>
                <w:spacing w:val="-2"/>
                <w:sz w:val="16"/>
                <w:szCs w:val="16"/>
                <w:lang w:eastAsia="ja-JP" w:bidi="th-TH"/>
              </w:rPr>
              <w:t>tates</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w:t>
            </w:r>
            <w:r>
              <w:rPr>
                <w:rFonts w:cs="Arial" w:hint="eastAsia"/>
                <w:color w:val="000000"/>
                <w:sz w:val="16"/>
                <w:szCs w:val="16"/>
                <w:lang w:eastAsia="ja-JP" w:bidi="th-TH"/>
              </w:rPr>
              <w:t xml:space="preserve">o build a systematic and pragmatic platform to efficiently provide </w:t>
            </w:r>
            <w:r>
              <w:rPr>
                <w:rFonts w:cs="Arial"/>
                <w:color w:val="000000"/>
                <w:sz w:val="16"/>
                <w:szCs w:val="16"/>
                <w:lang w:eastAsia="ja-JP" w:bidi="th-TH"/>
              </w:rPr>
              <w:t>information</w:t>
            </w:r>
            <w:r>
              <w:rPr>
                <w:rFonts w:cs="Arial" w:hint="eastAsia"/>
                <w:color w:val="000000"/>
                <w:sz w:val="16"/>
                <w:szCs w:val="16"/>
                <w:lang w:eastAsia="ja-JP" w:bidi="th-TH"/>
              </w:rPr>
              <w:t xml:space="preserve"> on health related patents</w:t>
            </w:r>
            <w:r>
              <w:rPr>
                <w:rFonts w:cs="Arial"/>
                <w:color w:val="000000"/>
                <w:sz w:val="16"/>
                <w:szCs w:val="16"/>
                <w:lang w:eastAsia="ja-JP" w:bidi="th-TH"/>
              </w:rPr>
              <w:t xml:space="preserve"> </w:t>
            </w:r>
            <w:r>
              <w:rPr>
                <w:rFonts w:cs="Arial" w:hint="eastAsia"/>
                <w:color w:val="000000"/>
                <w:sz w:val="16"/>
                <w:szCs w:val="16"/>
                <w:lang w:eastAsia="ja-JP" w:bidi="th-TH"/>
              </w:rPr>
              <w:t>so that governments, procurement agencies and others have easy access to pertinent information</w:t>
            </w:r>
          </w:p>
        </w:tc>
      </w:tr>
      <w:tr w:rsidR="005703CF" w:rsidRPr="00660313" w:rsidTr="00C24C7E">
        <w:trPr>
          <w:trHeight w:val="315"/>
        </w:trPr>
        <w:tc>
          <w:tcPr>
            <w:tcW w:w="1847"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WIPO GREEN Database</w:t>
            </w:r>
          </w:p>
        </w:tc>
        <w:tc>
          <w:tcPr>
            <w:tcW w:w="1140" w:type="dxa"/>
          </w:tcPr>
          <w:p w:rsidR="005703CF" w:rsidRDefault="005703CF" w:rsidP="00C24C7E">
            <w:pPr>
              <w:autoSpaceDE w:val="0"/>
              <w:autoSpaceDN w:val="0"/>
              <w:adjustRightInd w:val="0"/>
              <w:spacing w:before="40" w:after="40"/>
              <w:rPr>
                <w:rFonts w:cs="Arial"/>
                <w:color w:val="000000"/>
                <w:sz w:val="16"/>
                <w:szCs w:val="16"/>
                <w:lang w:eastAsia="ja-JP"/>
              </w:rPr>
            </w:pPr>
            <w:r>
              <w:rPr>
                <w:rFonts w:cs="Arial" w:hint="eastAsia"/>
                <w:color w:val="000000"/>
                <w:sz w:val="16"/>
                <w:szCs w:val="16"/>
                <w:lang w:eastAsia="ja-JP"/>
              </w:rPr>
              <w:t>July 2011 to March 2013</w:t>
            </w:r>
          </w:p>
        </w:tc>
        <w:tc>
          <w:tcPr>
            <w:tcW w:w="1978" w:type="dxa"/>
          </w:tcPr>
          <w:p w:rsidR="005703CF" w:rsidRPr="003C18E2" w:rsidRDefault="005703CF" w:rsidP="00C24C7E">
            <w:pPr>
              <w:autoSpaceDE w:val="0"/>
              <w:autoSpaceDN w:val="0"/>
              <w:adjustRightInd w:val="0"/>
              <w:spacing w:before="40" w:after="40"/>
              <w:rPr>
                <w:rFonts w:cs="Arial"/>
                <w:color w:val="000000"/>
                <w:spacing w:val="-2"/>
                <w:sz w:val="16"/>
                <w:szCs w:val="16"/>
                <w:lang w:eastAsia="ja-JP" w:bidi="th-TH"/>
              </w:rPr>
            </w:pPr>
            <w:r w:rsidRPr="003C18E2">
              <w:rPr>
                <w:rFonts w:cs="Arial" w:hint="eastAsia"/>
                <w:color w:val="000000"/>
                <w:spacing w:val="-2"/>
                <w:sz w:val="16"/>
                <w:szCs w:val="16"/>
                <w:lang w:eastAsia="ja-JP" w:bidi="th-TH"/>
              </w:rPr>
              <w:t xml:space="preserve">All WIPO </w:t>
            </w:r>
            <w:r w:rsidRPr="003C18E2">
              <w:rPr>
                <w:rFonts w:cs="Arial"/>
                <w:color w:val="000000"/>
                <w:spacing w:val="-2"/>
                <w:sz w:val="16"/>
                <w:szCs w:val="16"/>
                <w:lang w:eastAsia="ja-JP" w:bidi="th-TH"/>
              </w:rPr>
              <w:t>M</w:t>
            </w:r>
            <w:r w:rsidRPr="003C18E2">
              <w:rPr>
                <w:rFonts w:cs="Arial" w:hint="eastAsia"/>
                <w:color w:val="000000"/>
                <w:spacing w:val="-2"/>
                <w:sz w:val="16"/>
                <w:szCs w:val="16"/>
                <w:lang w:eastAsia="ja-JP" w:bidi="th-TH"/>
              </w:rPr>
              <w:t xml:space="preserve">ember </w:t>
            </w:r>
            <w:r w:rsidRPr="003C18E2">
              <w:rPr>
                <w:rFonts w:cs="Arial"/>
                <w:color w:val="000000"/>
                <w:spacing w:val="-2"/>
                <w:sz w:val="16"/>
                <w:szCs w:val="16"/>
                <w:lang w:eastAsia="ja-JP" w:bidi="th-TH"/>
              </w:rPr>
              <w:t>S</w:t>
            </w:r>
            <w:r w:rsidRPr="003C18E2">
              <w:rPr>
                <w:rFonts w:cs="Arial" w:hint="eastAsia"/>
                <w:color w:val="000000"/>
                <w:spacing w:val="-2"/>
                <w:sz w:val="16"/>
                <w:szCs w:val="16"/>
                <w:lang w:eastAsia="ja-JP" w:bidi="th-TH"/>
              </w:rPr>
              <w:t>tates</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9B0960">
              <w:rPr>
                <w:rFonts w:cs="Arial"/>
                <w:color w:val="000000"/>
                <w:sz w:val="16"/>
                <w:szCs w:val="16"/>
                <w:lang w:eastAsia="ja-JP" w:bidi="th-TH"/>
              </w:rPr>
              <w:t xml:space="preserve">o add supplementary features to the </w:t>
            </w:r>
            <w:r>
              <w:rPr>
                <w:rFonts w:cs="Arial" w:hint="eastAsia"/>
                <w:color w:val="000000"/>
                <w:sz w:val="16"/>
                <w:szCs w:val="16"/>
                <w:lang w:eastAsia="ja-JP" w:bidi="th-TH"/>
              </w:rPr>
              <w:t xml:space="preserve">WIPO </w:t>
            </w:r>
            <w:r>
              <w:rPr>
                <w:rFonts w:cs="Arial"/>
                <w:color w:val="000000"/>
                <w:sz w:val="16"/>
                <w:szCs w:val="16"/>
                <w:lang w:eastAsia="ja-JP" w:bidi="th-TH"/>
              </w:rPr>
              <w:t>GREEN</w:t>
            </w:r>
            <w:r>
              <w:rPr>
                <w:rFonts w:cs="Arial" w:hint="eastAsia"/>
                <w:color w:val="000000"/>
                <w:sz w:val="16"/>
                <w:szCs w:val="16"/>
                <w:lang w:eastAsia="ja-JP" w:bidi="th-TH"/>
              </w:rPr>
              <w:t xml:space="preserve"> </w:t>
            </w:r>
            <w:r w:rsidRPr="009B0960">
              <w:rPr>
                <w:rFonts w:cs="Arial"/>
                <w:color w:val="000000"/>
                <w:sz w:val="16"/>
                <w:szCs w:val="16"/>
                <w:lang w:eastAsia="ja-JP" w:bidi="th-TH"/>
              </w:rPr>
              <w:t xml:space="preserve">database based on </w:t>
            </w:r>
            <w:r>
              <w:rPr>
                <w:rFonts w:cs="Arial" w:hint="eastAsia"/>
                <w:color w:val="000000"/>
                <w:sz w:val="16"/>
                <w:szCs w:val="16"/>
                <w:lang w:eastAsia="ja-JP" w:bidi="th-TH"/>
              </w:rPr>
              <w:t>feedback</w:t>
            </w:r>
            <w:r w:rsidRPr="009B0960">
              <w:rPr>
                <w:rFonts w:cs="Arial"/>
                <w:color w:val="000000"/>
                <w:sz w:val="16"/>
                <w:szCs w:val="16"/>
                <w:lang w:eastAsia="ja-JP" w:bidi="th-TH"/>
              </w:rPr>
              <w:t xml:space="preserve"> from users</w:t>
            </w:r>
          </w:p>
        </w:tc>
      </w:tr>
      <w:tr w:rsidR="005703CF" w:rsidRPr="00A07CC5" w:rsidTr="00C24C7E">
        <w:tc>
          <w:tcPr>
            <w:tcW w:w="9097" w:type="dxa"/>
            <w:gridSpan w:val="4"/>
            <w:tcBorders>
              <w:top w:val="single" w:sz="4" w:space="0" w:color="auto"/>
              <w:bottom w:val="single" w:sz="4" w:space="0" w:color="auto"/>
            </w:tcBorders>
            <w:shd w:val="clear" w:color="auto" w:fill="CCFFFF"/>
            <w:vAlign w:val="center"/>
          </w:tcPr>
          <w:p w:rsidR="005703CF" w:rsidRPr="0057196B" w:rsidRDefault="005703CF" w:rsidP="002249F8">
            <w:pPr>
              <w:keepNext/>
              <w:keepLines/>
              <w:tabs>
                <w:tab w:val="left" w:pos="1740"/>
              </w:tabs>
              <w:spacing w:before="120" w:after="120"/>
              <w:ind w:left="1740" w:hanging="1740"/>
              <w:rPr>
                <w:rFonts w:cs="Arial"/>
                <w:b/>
                <w:bCs/>
                <w:color w:val="000000"/>
                <w:sz w:val="16"/>
                <w:szCs w:val="16"/>
              </w:rPr>
            </w:pPr>
            <w:r w:rsidRPr="00660313">
              <w:rPr>
                <w:rFonts w:cs="Arial"/>
                <w:b/>
                <w:bCs/>
                <w:color w:val="000000"/>
                <w:sz w:val="16"/>
                <w:szCs w:val="16"/>
              </w:rPr>
              <w:t>RESULT</w:t>
            </w:r>
            <w:r w:rsidRPr="0057196B">
              <w:rPr>
                <w:rFonts w:cs="Arial"/>
                <w:b/>
                <w:bCs/>
                <w:color w:val="000000"/>
                <w:sz w:val="16"/>
                <w:szCs w:val="16"/>
              </w:rPr>
              <w:t>:</w:t>
            </w:r>
            <w:r w:rsidRPr="0057196B">
              <w:rPr>
                <w:rFonts w:cs="Arial"/>
                <w:b/>
                <w:bCs/>
                <w:color w:val="000000"/>
                <w:sz w:val="16"/>
                <w:szCs w:val="16"/>
              </w:rPr>
              <w:tab/>
            </w:r>
            <w:r w:rsidRPr="006979D7">
              <w:rPr>
                <w:rFonts w:cs="Arial"/>
                <w:bCs/>
                <w:color w:val="000000"/>
                <w:sz w:val="16"/>
                <w:szCs w:val="16"/>
              </w:rPr>
              <w:t>Enhanced human resources capacities able to deal with the broad range of requirements for the effective use of IP for development</w:t>
            </w:r>
          </w:p>
        </w:tc>
      </w:tr>
      <w:tr w:rsidR="005703CF" w:rsidTr="00C24C7E">
        <w:tc>
          <w:tcPr>
            <w:tcW w:w="1847" w:type="dxa"/>
            <w:tcBorders>
              <w:top w:val="single" w:sz="4" w:space="0" w:color="auto"/>
            </w:tcBorders>
            <w:vAlign w:val="center"/>
          </w:tcPr>
          <w:p w:rsidR="005703CF" w:rsidRDefault="005703CF" w:rsidP="002249F8">
            <w:pPr>
              <w:keepNext/>
              <w:keepLines/>
              <w:rPr>
                <w:rFonts w:cs="Arial"/>
                <w:b/>
                <w:bCs/>
                <w:sz w:val="16"/>
                <w:szCs w:val="16"/>
              </w:rPr>
            </w:pPr>
            <w:r>
              <w:rPr>
                <w:rFonts w:cs="Arial"/>
                <w:b/>
                <w:bCs/>
                <w:sz w:val="16"/>
                <w:szCs w:val="16"/>
              </w:rPr>
              <w:t>Activity</w:t>
            </w:r>
          </w:p>
        </w:tc>
        <w:tc>
          <w:tcPr>
            <w:tcW w:w="1140" w:type="dxa"/>
            <w:tcBorders>
              <w:top w:val="single" w:sz="4" w:space="0" w:color="auto"/>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Date</w:t>
            </w:r>
          </w:p>
        </w:tc>
        <w:tc>
          <w:tcPr>
            <w:tcW w:w="1978" w:type="dxa"/>
            <w:tcBorders>
              <w:top w:val="single" w:sz="4" w:space="0" w:color="auto"/>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Host Country/</w:t>
            </w:r>
            <w:r>
              <w:rPr>
                <w:rFonts w:cs="Arial"/>
                <w:b/>
                <w:bCs/>
                <w:sz w:val="16"/>
                <w:szCs w:val="16"/>
              </w:rPr>
              <w:br/>
              <w:t>Recipients</w:t>
            </w:r>
          </w:p>
        </w:tc>
        <w:tc>
          <w:tcPr>
            <w:tcW w:w="4132" w:type="dxa"/>
            <w:tcBorders>
              <w:top w:val="single" w:sz="4" w:space="0" w:color="auto"/>
            </w:tcBorders>
            <w:shd w:val="clear" w:color="auto" w:fill="FFFFFF"/>
            <w:tcMar>
              <w:top w:w="110" w:type="dxa"/>
            </w:tcMar>
            <w:vAlign w:val="center"/>
          </w:tcPr>
          <w:p w:rsidR="005703CF" w:rsidRDefault="005703CF" w:rsidP="002249F8">
            <w:pPr>
              <w:keepNext/>
              <w:keepLines/>
              <w:rPr>
                <w:rFonts w:cs="Arial"/>
                <w:sz w:val="16"/>
                <w:szCs w:val="16"/>
              </w:rPr>
            </w:pPr>
            <w:r>
              <w:rPr>
                <w:rFonts w:cs="Arial"/>
                <w:b/>
                <w:bCs/>
                <w:sz w:val="16"/>
                <w:szCs w:val="16"/>
              </w:rPr>
              <w:t>Purpose(s)/Description(s)</w:t>
            </w:r>
          </w:p>
        </w:tc>
      </w:tr>
      <w:tr w:rsidR="005703CF" w:rsidRPr="00660313" w:rsidTr="00C24C7E">
        <w:tc>
          <w:tcPr>
            <w:tcW w:w="1847"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sidRPr="006979D7">
              <w:rPr>
                <w:rFonts w:cs="Arial"/>
                <w:color w:val="000000"/>
                <w:sz w:val="16"/>
                <w:szCs w:val="16"/>
                <w:lang w:eastAsia="ja-JP" w:bidi="th-TH"/>
              </w:rPr>
              <w:t>WIPO Regional Workshop on Building Respect for Intellectual Property</w:t>
            </w:r>
          </w:p>
        </w:tc>
        <w:tc>
          <w:tcPr>
            <w:tcW w:w="1140"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sidRPr="006979D7">
              <w:rPr>
                <w:rFonts w:cs="Arial"/>
                <w:color w:val="000000"/>
                <w:sz w:val="16"/>
                <w:szCs w:val="16"/>
                <w:lang w:eastAsia="ja-JP" w:bidi="th-TH"/>
              </w:rPr>
              <w:t>February 13 and 14</w:t>
            </w:r>
            <w:r>
              <w:rPr>
                <w:rFonts w:cs="Arial" w:hint="eastAsia"/>
                <w:color w:val="000000"/>
                <w:sz w:val="16"/>
                <w:szCs w:val="16"/>
                <w:lang w:eastAsia="ja-JP" w:bidi="th-TH"/>
              </w:rPr>
              <w:t>,</w:t>
            </w:r>
            <w:r w:rsidRPr="006979D7">
              <w:rPr>
                <w:rFonts w:cs="Arial"/>
                <w:color w:val="000000"/>
                <w:sz w:val="16"/>
                <w:szCs w:val="16"/>
                <w:lang w:eastAsia="ja-JP" w:bidi="th-TH"/>
              </w:rPr>
              <w:t xml:space="preserve"> 2013</w:t>
            </w:r>
          </w:p>
        </w:tc>
        <w:tc>
          <w:tcPr>
            <w:tcW w:w="1978" w:type="dxa"/>
          </w:tcPr>
          <w:p w:rsidR="005703CF" w:rsidRPr="009E0239" w:rsidRDefault="005703CF" w:rsidP="00C24C7E">
            <w:pPr>
              <w:autoSpaceDE w:val="0"/>
              <w:autoSpaceDN w:val="0"/>
              <w:adjustRightInd w:val="0"/>
              <w:spacing w:before="40" w:after="40"/>
              <w:rPr>
                <w:rFonts w:cs="Arial"/>
                <w:color w:val="000000"/>
                <w:sz w:val="16"/>
                <w:szCs w:val="16"/>
                <w:lang w:eastAsia="ja-JP" w:bidi="th-TH"/>
              </w:rPr>
            </w:pPr>
            <w:r w:rsidRPr="009E0239">
              <w:rPr>
                <w:rFonts w:cs="Arial"/>
                <w:color w:val="000000"/>
                <w:sz w:val="16"/>
                <w:szCs w:val="16"/>
                <w:lang w:eastAsia="ja-JP" w:bidi="th-TH"/>
              </w:rPr>
              <w:t>Maldives</w:t>
            </w:r>
            <w:r w:rsidRPr="009E0239">
              <w:rPr>
                <w:rFonts w:cs="Arial" w:hint="eastAsia"/>
                <w:color w:val="000000"/>
                <w:sz w:val="16"/>
                <w:szCs w:val="16"/>
                <w:lang w:eastAsia="ja-JP" w:bidi="th-TH"/>
              </w:rPr>
              <w:t>/</w:t>
            </w:r>
            <w:r w:rsidRPr="000D65D2">
              <w:rPr>
                <w:rFonts w:cs="Arial"/>
                <w:color w:val="000000"/>
                <w:sz w:val="16"/>
                <w:szCs w:val="16"/>
                <w:lang w:eastAsia="ja-JP" w:bidi="th-TH"/>
              </w:rPr>
              <w:t>Bangladesh, Bhutan, Malaysia, Pakistan</w:t>
            </w:r>
            <w:r>
              <w:rPr>
                <w:rFonts w:cs="Arial"/>
                <w:color w:val="000000"/>
                <w:sz w:val="16"/>
                <w:szCs w:val="16"/>
                <w:lang w:eastAsia="ja-JP" w:bidi="th-TH"/>
              </w:rPr>
              <w:t xml:space="preserve"> and</w:t>
            </w:r>
            <w:r w:rsidRPr="000D65D2">
              <w:rPr>
                <w:rFonts w:cs="Arial"/>
                <w:color w:val="000000"/>
                <w:sz w:val="16"/>
                <w:szCs w:val="16"/>
                <w:lang w:eastAsia="ja-JP" w:bidi="th-TH"/>
              </w:rPr>
              <w:t xml:space="preserve"> Sri</w:t>
            </w:r>
            <w:r>
              <w:rPr>
                <w:rFonts w:cs="Arial"/>
                <w:color w:val="000000"/>
                <w:sz w:val="16"/>
                <w:szCs w:val="16"/>
                <w:lang w:eastAsia="ja-JP" w:bidi="th-TH"/>
              </w:rPr>
              <w:t> </w:t>
            </w:r>
            <w:r w:rsidRPr="000D65D2">
              <w:rPr>
                <w:rFonts w:cs="Arial"/>
                <w:color w:val="000000"/>
                <w:sz w:val="16"/>
                <w:szCs w:val="16"/>
                <w:lang w:eastAsia="ja-JP" w:bidi="th-TH"/>
              </w:rPr>
              <w:t>Lanka</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To</w:t>
            </w:r>
            <w:r w:rsidRPr="006979D7">
              <w:rPr>
                <w:rFonts w:cs="Arial"/>
                <w:color w:val="000000"/>
                <w:sz w:val="16"/>
                <w:szCs w:val="16"/>
                <w:lang w:eastAsia="ja-JP" w:bidi="th-TH"/>
              </w:rPr>
              <w:t xml:space="preserve">: </w:t>
            </w:r>
            <w:r>
              <w:rPr>
                <w:rFonts w:cs="Arial"/>
                <w:color w:val="000000"/>
                <w:sz w:val="16"/>
                <w:szCs w:val="16"/>
                <w:lang w:eastAsia="ja-JP" w:bidi="th-TH"/>
              </w:rPr>
              <w:t xml:space="preserve"> </w:t>
            </w:r>
            <w:r w:rsidRPr="006979D7">
              <w:rPr>
                <w:rFonts w:cs="Arial"/>
                <w:color w:val="000000"/>
                <w:sz w:val="16"/>
                <w:szCs w:val="16"/>
                <w:lang w:eastAsia="ja-JP" w:bidi="th-TH"/>
              </w:rPr>
              <w:t>(i) enhance the understanding of the role of IP in socio</w:t>
            </w:r>
            <w:r>
              <w:rPr>
                <w:rFonts w:cs="Arial"/>
                <w:color w:val="000000"/>
                <w:sz w:val="16"/>
                <w:szCs w:val="16"/>
                <w:lang w:eastAsia="ja-JP" w:bidi="th-TH"/>
              </w:rPr>
              <w:t>-</w:t>
            </w:r>
            <w:r w:rsidRPr="006979D7">
              <w:rPr>
                <w:rFonts w:cs="Arial"/>
                <w:color w:val="000000"/>
                <w:sz w:val="16"/>
                <w:szCs w:val="16"/>
                <w:lang w:eastAsia="ja-JP" w:bidi="th-TH"/>
              </w:rPr>
              <w:t>economic development</w:t>
            </w:r>
            <w:r>
              <w:rPr>
                <w:rFonts w:cs="Arial"/>
                <w:color w:val="000000"/>
                <w:sz w:val="16"/>
                <w:szCs w:val="16"/>
                <w:lang w:eastAsia="ja-JP" w:bidi="th-TH"/>
              </w:rPr>
              <w:t xml:space="preserve">, </w:t>
            </w:r>
            <w:r w:rsidRPr="006979D7">
              <w:rPr>
                <w:rFonts w:cs="Arial"/>
                <w:color w:val="000000"/>
                <w:sz w:val="16"/>
                <w:szCs w:val="16"/>
                <w:lang w:eastAsia="ja-JP" w:bidi="th-TH"/>
              </w:rPr>
              <w:t>the consumer’s attitudes and motivations</w:t>
            </w:r>
            <w:r>
              <w:rPr>
                <w:rFonts w:cs="Arial"/>
                <w:color w:val="000000"/>
                <w:sz w:val="16"/>
                <w:szCs w:val="16"/>
                <w:lang w:eastAsia="ja-JP" w:bidi="th-TH"/>
              </w:rPr>
              <w:t>,</w:t>
            </w:r>
            <w:r w:rsidRPr="006979D7">
              <w:rPr>
                <w:rFonts w:cs="Arial"/>
                <w:color w:val="000000"/>
                <w:sz w:val="16"/>
                <w:szCs w:val="16"/>
                <w:lang w:eastAsia="ja-JP" w:bidi="th-TH"/>
              </w:rPr>
              <w:t xml:space="preserve"> as well as the role of businesses in balancing IP rights and interests; </w:t>
            </w:r>
            <w:r>
              <w:rPr>
                <w:rFonts w:cs="Arial"/>
                <w:color w:val="000000"/>
                <w:sz w:val="16"/>
                <w:szCs w:val="16"/>
                <w:lang w:eastAsia="ja-JP" w:bidi="th-TH"/>
              </w:rPr>
              <w:t xml:space="preserve"> </w:t>
            </w:r>
            <w:r w:rsidRPr="006979D7">
              <w:rPr>
                <w:rFonts w:cs="Arial"/>
                <w:color w:val="000000"/>
                <w:sz w:val="16"/>
                <w:szCs w:val="16"/>
                <w:lang w:eastAsia="ja-JP" w:bidi="th-TH"/>
              </w:rPr>
              <w:t xml:space="preserve">(ii) provide stakeholders with the necessary information on how to develop and implement national awareness raising strategies with a view to curbing the demand for counterfeit goods; </w:t>
            </w:r>
            <w:r>
              <w:rPr>
                <w:rFonts w:cs="Arial"/>
                <w:color w:val="000000"/>
                <w:sz w:val="16"/>
                <w:szCs w:val="16"/>
                <w:lang w:eastAsia="ja-JP" w:bidi="th-TH"/>
              </w:rPr>
              <w:t xml:space="preserve"> </w:t>
            </w:r>
            <w:r w:rsidRPr="006979D7">
              <w:rPr>
                <w:rFonts w:cs="Arial"/>
                <w:color w:val="000000"/>
                <w:sz w:val="16"/>
                <w:szCs w:val="16"/>
                <w:lang w:eastAsia="ja-JP" w:bidi="th-TH"/>
              </w:rPr>
              <w:t>and (iii) foster strategic cooperation between stakeholders from both the public and private sectors</w:t>
            </w:r>
          </w:p>
        </w:tc>
      </w:tr>
      <w:tr w:rsidR="005703CF" w:rsidRPr="00660313" w:rsidTr="00C24C7E">
        <w:tc>
          <w:tcPr>
            <w:tcW w:w="1847"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WIPO Regional Workshop on </w:t>
            </w:r>
            <w:r w:rsidRPr="00DF596C">
              <w:rPr>
                <w:rFonts w:cs="Arial"/>
                <w:color w:val="000000"/>
                <w:sz w:val="16"/>
                <w:szCs w:val="16"/>
                <w:lang w:eastAsia="ja-JP" w:bidi="th-TH"/>
              </w:rPr>
              <w:t xml:space="preserve">Effective Utilization of Search Results and </w:t>
            </w:r>
            <w:r w:rsidRPr="00DF596C">
              <w:rPr>
                <w:rFonts w:cs="Arial"/>
                <w:color w:val="000000"/>
                <w:sz w:val="16"/>
                <w:szCs w:val="16"/>
                <w:lang w:eastAsia="ja-JP" w:bidi="th-TH"/>
              </w:rPr>
              <w:lastRenderedPageBreak/>
              <w:t>Communications Derived from the Patent Cooperation Treaty (PCT) System in National/Regional Phase</w:t>
            </w:r>
          </w:p>
        </w:tc>
        <w:tc>
          <w:tcPr>
            <w:tcW w:w="1140"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lastRenderedPageBreak/>
              <w:t>February</w:t>
            </w:r>
            <w:r>
              <w:rPr>
                <w:rFonts w:cs="Arial" w:hint="eastAsia"/>
                <w:color w:val="000000"/>
                <w:sz w:val="16"/>
                <w:szCs w:val="16"/>
                <w:lang w:eastAsia="ja-JP" w:bidi="th-TH"/>
              </w:rPr>
              <w:t xml:space="preserve"> 27</w:t>
            </w:r>
            <w:r>
              <w:rPr>
                <w:rFonts w:cs="Arial"/>
                <w:color w:val="000000"/>
                <w:sz w:val="16"/>
                <w:szCs w:val="16"/>
                <w:lang w:eastAsia="ja-JP" w:bidi="th-TH"/>
              </w:rPr>
              <w:t xml:space="preserve"> </w:t>
            </w:r>
            <w:r>
              <w:rPr>
                <w:rFonts w:cs="Arial" w:hint="eastAsia"/>
                <w:color w:val="000000"/>
                <w:sz w:val="16"/>
                <w:szCs w:val="16"/>
                <w:lang w:eastAsia="ja-JP" w:bidi="th-TH"/>
              </w:rPr>
              <w:t>to March 1,</w:t>
            </w:r>
            <w:r w:rsidRPr="006979D7">
              <w:rPr>
                <w:rFonts w:cs="Arial"/>
                <w:color w:val="000000"/>
                <w:sz w:val="16"/>
                <w:szCs w:val="16"/>
                <w:lang w:eastAsia="ja-JP" w:bidi="th-TH"/>
              </w:rPr>
              <w:t xml:space="preserve"> 2013</w:t>
            </w:r>
          </w:p>
        </w:tc>
        <w:tc>
          <w:tcPr>
            <w:tcW w:w="1978" w:type="dxa"/>
          </w:tcPr>
          <w:p w:rsidR="005703CF" w:rsidRPr="009E0239" w:rsidRDefault="005703CF" w:rsidP="00C24C7E">
            <w:pPr>
              <w:autoSpaceDE w:val="0"/>
              <w:autoSpaceDN w:val="0"/>
              <w:adjustRightInd w:val="0"/>
              <w:spacing w:before="40" w:after="40"/>
              <w:rPr>
                <w:rFonts w:cs="Arial"/>
                <w:color w:val="000000"/>
                <w:sz w:val="16"/>
                <w:szCs w:val="16"/>
                <w:lang w:eastAsia="ja-JP" w:bidi="th-TH"/>
              </w:rPr>
            </w:pPr>
            <w:r w:rsidRPr="009E0239">
              <w:rPr>
                <w:rFonts w:cs="Arial" w:hint="eastAsia"/>
                <w:color w:val="000000"/>
                <w:sz w:val="16"/>
                <w:szCs w:val="16"/>
                <w:lang w:eastAsia="ja-JP" w:bidi="th-TH"/>
              </w:rPr>
              <w:t>Japan/</w:t>
            </w:r>
            <w:r w:rsidRPr="000D65D2">
              <w:rPr>
                <w:rFonts w:cs="Arial"/>
                <w:color w:val="000000"/>
                <w:sz w:val="16"/>
                <w:szCs w:val="16"/>
                <w:lang w:eastAsia="ja-JP" w:bidi="th-TH"/>
              </w:rPr>
              <w:t>Burundi, Egypt, Indonesia, Lao</w:t>
            </w:r>
            <w:r>
              <w:rPr>
                <w:rFonts w:cs="Arial"/>
                <w:color w:val="000000"/>
                <w:sz w:val="16"/>
                <w:szCs w:val="16"/>
                <w:lang w:eastAsia="ja-JP" w:bidi="th-TH"/>
              </w:rPr>
              <w:t xml:space="preserve"> </w:t>
            </w:r>
            <w:r>
              <w:rPr>
                <w:rFonts w:cs="Arial"/>
                <w:color w:val="000000"/>
                <w:sz w:val="16"/>
                <w:szCs w:val="16"/>
              </w:rPr>
              <w:t>People’s Democratic Republic</w:t>
            </w:r>
            <w:r w:rsidRPr="000D65D2">
              <w:rPr>
                <w:rFonts w:cs="Arial"/>
                <w:color w:val="000000"/>
                <w:sz w:val="16"/>
                <w:szCs w:val="16"/>
                <w:lang w:eastAsia="ja-JP" w:bidi="th-TH"/>
              </w:rPr>
              <w:t xml:space="preserve">, Madagascar, Malaysia, </w:t>
            </w:r>
            <w:r w:rsidRPr="000D65D2">
              <w:rPr>
                <w:rFonts w:cs="Arial"/>
                <w:color w:val="000000"/>
                <w:sz w:val="16"/>
                <w:szCs w:val="16"/>
                <w:lang w:eastAsia="ja-JP" w:bidi="th-TH"/>
              </w:rPr>
              <w:lastRenderedPageBreak/>
              <w:t>Mongolia, Philippines, Singapore, Sri Lanka, Thailand</w:t>
            </w:r>
            <w:r>
              <w:rPr>
                <w:rFonts w:cs="Arial"/>
                <w:color w:val="000000"/>
                <w:sz w:val="16"/>
                <w:szCs w:val="16"/>
                <w:lang w:eastAsia="ja-JP" w:bidi="th-TH"/>
              </w:rPr>
              <w:t xml:space="preserve"> and</w:t>
            </w:r>
            <w:r w:rsidRPr="000D65D2">
              <w:rPr>
                <w:rFonts w:cs="Arial"/>
                <w:color w:val="000000"/>
                <w:sz w:val="16"/>
                <w:szCs w:val="16"/>
                <w:lang w:eastAsia="ja-JP" w:bidi="th-TH"/>
              </w:rPr>
              <w:t xml:space="preserve"> Viet Nam</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lastRenderedPageBreak/>
              <w:t>T</w:t>
            </w:r>
            <w:r w:rsidRPr="005E29A1">
              <w:rPr>
                <w:rFonts w:cs="Arial"/>
                <w:color w:val="000000"/>
                <w:sz w:val="16"/>
                <w:szCs w:val="16"/>
                <w:lang w:eastAsia="ja-JP" w:bidi="th-TH"/>
              </w:rPr>
              <w:t xml:space="preserve">o:  (i) share challenges and best practices of effective use of information on patent examinations conducted by other </w:t>
            </w:r>
            <w:r>
              <w:rPr>
                <w:rFonts w:cs="Arial"/>
                <w:color w:val="000000"/>
                <w:sz w:val="16"/>
                <w:szCs w:val="16"/>
                <w:lang w:eastAsia="ja-JP" w:bidi="th-TH"/>
              </w:rPr>
              <w:t>IP</w:t>
            </w:r>
            <w:r w:rsidRPr="005E29A1">
              <w:rPr>
                <w:rFonts w:cs="Arial"/>
                <w:color w:val="000000"/>
                <w:sz w:val="16"/>
                <w:szCs w:val="16"/>
                <w:lang w:eastAsia="ja-JP" w:bidi="th-TH"/>
              </w:rPr>
              <w:t xml:space="preserve"> Offices; </w:t>
            </w:r>
            <w:r>
              <w:rPr>
                <w:rFonts w:cs="Arial"/>
                <w:color w:val="000000"/>
                <w:sz w:val="16"/>
                <w:szCs w:val="16"/>
                <w:lang w:eastAsia="ja-JP" w:bidi="th-TH"/>
              </w:rPr>
              <w:t xml:space="preserve"> </w:t>
            </w:r>
            <w:r w:rsidRPr="005E29A1">
              <w:rPr>
                <w:rFonts w:cs="Arial"/>
                <w:color w:val="000000"/>
                <w:sz w:val="16"/>
                <w:szCs w:val="16"/>
                <w:lang w:eastAsia="ja-JP" w:bidi="th-TH"/>
              </w:rPr>
              <w:t>(ii)</w:t>
            </w:r>
            <w:r>
              <w:rPr>
                <w:rFonts w:cs="Arial"/>
                <w:color w:val="000000"/>
                <w:sz w:val="16"/>
                <w:szCs w:val="16"/>
                <w:lang w:eastAsia="ja-JP" w:bidi="th-TH"/>
              </w:rPr>
              <w:t> </w:t>
            </w:r>
            <w:r w:rsidRPr="005E29A1">
              <w:rPr>
                <w:rFonts w:cs="Arial"/>
                <w:color w:val="000000"/>
                <w:sz w:val="16"/>
                <w:szCs w:val="16"/>
                <w:lang w:eastAsia="ja-JP" w:bidi="th-TH"/>
              </w:rPr>
              <w:t xml:space="preserve">examine ways to establish a platform to facilitate access to such information; </w:t>
            </w:r>
            <w:r>
              <w:rPr>
                <w:rFonts w:cs="Arial"/>
                <w:color w:val="000000"/>
                <w:sz w:val="16"/>
                <w:szCs w:val="16"/>
                <w:lang w:eastAsia="ja-JP" w:bidi="th-TH"/>
              </w:rPr>
              <w:t xml:space="preserve"> </w:t>
            </w:r>
            <w:r w:rsidRPr="005E29A1">
              <w:rPr>
                <w:rFonts w:cs="Arial"/>
                <w:color w:val="000000"/>
                <w:sz w:val="16"/>
                <w:szCs w:val="16"/>
                <w:lang w:eastAsia="ja-JP" w:bidi="th-TH"/>
              </w:rPr>
              <w:t xml:space="preserve">and </w:t>
            </w:r>
            <w:r w:rsidRPr="005E29A1">
              <w:rPr>
                <w:rFonts w:cs="Arial"/>
                <w:color w:val="000000"/>
                <w:sz w:val="16"/>
                <w:szCs w:val="16"/>
                <w:lang w:eastAsia="ja-JP" w:bidi="th-TH"/>
              </w:rPr>
              <w:lastRenderedPageBreak/>
              <w:t xml:space="preserve">(iii) deepen </w:t>
            </w:r>
            <w:r>
              <w:rPr>
                <w:rFonts w:cs="Arial" w:hint="eastAsia"/>
                <w:color w:val="000000"/>
                <w:sz w:val="16"/>
                <w:szCs w:val="16"/>
                <w:lang w:eastAsia="ja-JP" w:bidi="th-TH"/>
              </w:rPr>
              <w:t xml:space="preserve">the </w:t>
            </w:r>
            <w:r w:rsidRPr="005E29A1">
              <w:rPr>
                <w:rFonts w:cs="Arial"/>
                <w:color w:val="000000"/>
                <w:sz w:val="16"/>
                <w:szCs w:val="16"/>
                <w:lang w:eastAsia="ja-JP" w:bidi="th-TH"/>
              </w:rPr>
              <w:t>understanding of the utility of IT to develop platform</w:t>
            </w:r>
            <w:r>
              <w:rPr>
                <w:rFonts w:cs="Arial" w:hint="eastAsia"/>
                <w:color w:val="000000"/>
                <w:sz w:val="16"/>
                <w:szCs w:val="16"/>
                <w:lang w:eastAsia="ja-JP" w:bidi="th-TH"/>
              </w:rPr>
              <w:t>s</w:t>
            </w:r>
            <w:r w:rsidRPr="005E29A1">
              <w:rPr>
                <w:rFonts w:cs="Arial"/>
                <w:color w:val="000000"/>
                <w:sz w:val="16"/>
                <w:szCs w:val="16"/>
                <w:lang w:eastAsia="ja-JP" w:bidi="th-TH"/>
              </w:rPr>
              <w:t xml:space="preserve"> for regional and international cooperation in patent examination</w:t>
            </w:r>
          </w:p>
        </w:tc>
      </w:tr>
      <w:tr w:rsidR="005703CF" w:rsidRPr="00660313" w:rsidTr="00C24C7E">
        <w:tc>
          <w:tcPr>
            <w:tcW w:w="1847"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lastRenderedPageBreak/>
              <w:t>WIPO Regional Seminar on Effective Utilization of the Patent Cooperation Treaty (PCT) and International Work Sharing Initiatives</w:t>
            </w:r>
          </w:p>
        </w:tc>
        <w:tc>
          <w:tcPr>
            <w:tcW w:w="1140"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t>November 26 to 28</w:t>
            </w:r>
            <w:r>
              <w:rPr>
                <w:rFonts w:cs="Arial" w:hint="eastAsia"/>
                <w:color w:val="000000"/>
                <w:sz w:val="16"/>
                <w:szCs w:val="16"/>
                <w:lang w:eastAsia="ja-JP" w:bidi="th-TH"/>
              </w:rPr>
              <w:t>,</w:t>
            </w:r>
            <w:r w:rsidRPr="00DF5AAB">
              <w:rPr>
                <w:rFonts w:cs="Arial"/>
                <w:color w:val="000000"/>
                <w:sz w:val="16"/>
                <w:szCs w:val="16"/>
                <w:lang w:eastAsia="ja-JP" w:bidi="th-TH"/>
              </w:rPr>
              <w:t xml:space="preserve"> 2013</w:t>
            </w:r>
          </w:p>
        </w:tc>
        <w:tc>
          <w:tcPr>
            <w:tcW w:w="1978" w:type="dxa"/>
          </w:tcPr>
          <w:p w:rsidR="005703CF" w:rsidRPr="009E0239"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Japan/</w:t>
            </w:r>
            <w:r>
              <w:rPr>
                <w:rFonts w:cs="Arial"/>
                <w:color w:val="000000"/>
                <w:sz w:val="16"/>
                <w:szCs w:val="16"/>
                <w:lang w:eastAsia="ja-JP" w:bidi="th-TH"/>
              </w:rPr>
              <w:br/>
            </w:r>
            <w:r w:rsidRPr="00587732">
              <w:rPr>
                <w:rFonts w:cs="Arial"/>
                <w:color w:val="000000"/>
                <w:sz w:val="16"/>
                <w:szCs w:val="16"/>
                <w:lang w:eastAsia="ja-JP" w:bidi="th-TH"/>
              </w:rPr>
              <w:t>Brunei</w:t>
            </w:r>
            <w:r>
              <w:rPr>
                <w:rFonts w:cs="Arial"/>
                <w:color w:val="000000"/>
                <w:sz w:val="16"/>
                <w:szCs w:val="16"/>
                <w:lang w:eastAsia="ja-JP" w:bidi="th-TH"/>
              </w:rPr>
              <w:t xml:space="preserve"> Darussalam</w:t>
            </w:r>
            <w:r w:rsidRPr="00587732">
              <w:rPr>
                <w:rFonts w:cs="Arial"/>
                <w:color w:val="000000"/>
                <w:sz w:val="16"/>
                <w:szCs w:val="16"/>
                <w:lang w:eastAsia="ja-JP" w:bidi="th-TH"/>
              </w:rPr>
              <w:t xml:space="preserve">, Cambodia, </w:t>
            </w:r>
            <w:r>
              <w:rPr>
                <w:rFonts w:cs="Arial" w:hint="eastAsia"/>
                <w:color w:val="000000"/>
                <w:sz w:val="16"/>
                <w:szCs w:val="16"/>
                <w:lang w:eastAsia="ja-JP" w:bidi="th-TH"/>
              </w:rPr>
              <w:t xml:space="preserve">Egypt, </w:t>
            </w:r>
            <w:r w:rsidRPr="00587732">
              <w:rPr>
                <w:rFonts w:cs="Arial"/>
                <w:color w:val="000000"/>
                <w:sz w:val="16"/>
                <w:szCs w:val="16"/>
                <w:lang w:eastAsia="ja-JP" w:bidi="th-TH"/>
              </w:rPr>
              <w:t xml:space="preserve">Indonesia, Laos, </w:t>
            </w:r>
            <w:r>
              <w:rPr>
                <w:rFonts w:cs="Arial" w:hint="eastAsia"/>
                <w:color w:val="000000"/>
                <w:sz w:val="16"/>
                <w:szCs w:val="16"/>
                <w:lang w:eastAsia="ja-JP" w:bidi="th-TH"/>
              </w:rPr>
              <w:t xml:space="preserve">Kenya, </w:t>
            </w:r>
            <w:r w:rsidRPr="00587732">
              <w:rPr>
                <w:rFonts w:cs="Arial"/>
                <w:color w:val="000000"/>
                <w:sz w:val="16"/>
                <w:szCs w:val="16"/>
                <w:lang w:eastAsia="ja-JP" w:bidi="th-TH"/>
              </w:rPr>
              <w:t xml:space="preserve">Malaysia, Myanmar, </w:t>
            </w:r>
            <w:r>
              <w:rPr>
                <w:rFonts w:cs="Arial" w:hint="eastAsia"/>
                <w:color w:val="000000"/>
                <w:sz w:val="16"/>
                <w:szCs w:val="16"/>
                <w:lang w:eastAsia="ja-JP" w:bidi="th-TH"/>
              </w:rPr>
              <w:t xml:space="preserve">Philippines, </w:t>
            </w:r>
            <w:r w:rsidRPr="00587732">
              <w:rPr>
                <w:rFonts w:cs="Arial"/>
                <w:color w:val="000000"/>
                <w:sz w:val="16"/>
                <w:szCs w:val="16"/>
                <w:lang w:eastAsia="ja-JP" w:bidi="th-TH"/>
              </w:rPr>
              <w:t>Singapore, Thailand and Viet Nam</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DF5AAB">
              <w:rPr>
                <w:rFonts w:cs="Arial"/>
                <w:color w:val="000000"/>
                <w:sz w:val="16"/>
                <w:szCs w:val="16"/>
                <w:lang w:eastAsia="ja-JP" w:bidi="th-TH"/>
              </w:rPr>
              <w:t xml:space="preserve">o deepen understanding on: </w:t>
            </w:r>
            <w:r>
              <w:rPr>
                <w:rFonts w:cs="Arial"/>
                <w:color w:val="000000"/>
                <w:sz w:val="16"/>
                <w:szCs w:val="16"/>
                <w:lang w:eastAsia="ja-JP" w:bidi="th-TH"/>
              </w:rPr>
              <w:t xml:space="preserve"> </w:t>
            </w:r>
            <w:r w:rsidRPr="00DF5AAB">
              <w:rPr>
                <w:rFonts w:cs="Arial"/>
                <w:color w:val="000000"/>
                <w:sz w:val="16"/>
                <w:szCs w:val="16"/>
                <w:lang w:eastAsia="ja-JP" w:bidi="th-TH"/>
              </w:rPr>
              <w:t>(</w:t>
            </w:r>
            <w:r>
              <w:rPr>
                <w:rFonts w:cs="Arial"/>
                <w:color w:val="000000"/>
                <w:sz w:val="16"/>
                <w:szCs w:val="16"/>
                <w:lang w:eastAsia="ja-JP" w:bidi="th-TH"/>
              </w:rPr>
              <w:t>i</w:t>
            </w:r>
            <w:r w:rsidRPr="00DF5AAB">
              <w:rPr>
                <w:rFonts w:cs="Arial"/>
                <w:color w:val="000000"/>
                <w:sz w:val="16"/>
                <w:szCs w:val="16"/>
                <w:lang w:eastAsia="ja-JP" w:bidi="th-TH"/>
              </w:rPr>
              <w:t xml:space="preserve">) PCT functions and advantages; </w:t>
            </w:r>
            <w:r>
              <w:rPr>
                <w:rFonts w:cs="Arial"/>
                <w:color w:val="000000"/>
                <w:sz w:val="16"/>
                <w:szCs w:val="16"/>
                <w:lang w:eastAsia="ja-JP" w:bidi="th-TH"/>
              </w:rPr>
              <w:t xml:space="preserve"> </w:t>
            </w:r>
            <w:r w:rsidRPr="00DF5AAB">
              <w:rPr>
                <w:rFonts w:cs="Arial"/>
                <w:color w:val="000000"/>
                <w:sz w:val="16"/>
                <w:szCs w:val="16"/>
                <w:lang w:eastAsia="ja-JP" w:bidi="th-TH"/>
              </w:rPr>
              <w:t>(</w:t>
            </w:r>
            <w:r>
              <w:rPr>
                <w:rFonts w:cs="Arial"/>
                <w:color w:val="000000"/>
                <w:sz w:val="16"/>
                <w:szCs w:val="16"/>
                <w:lang w:eastAsia="ja-JP" w:bidi="th-TH"/>
              </w:rPr>
              <w:t>ii</w:t>
            </w:r>
            <w:r w:rsidRPr="00DF5AAB">
              <w:rPr>
                <w:rFonts w:cs="Arial"/>
                <w:color w:val="000000"/>
                <w:sz w:val="16"/>
                <w:szCs w:val="16"/>
                <w:lang w:eastAsia="ja-JP" w:bidi="th-TH"/>
              </w:rPr>
              <w:t xml:space="preserve">) how to get positive reports from International Search Authority (ISA)/Internal Preliminary Examination Authority (IPEA); </w:t>
            </w:r>
            <w:r>
              <w:rPr>
                <w:rFonts w:cs="Arial"/>
                <w:color w:val="000000"/>
                <w:sz w:val="16"/>
                <w:szCs w:val="16"/>
                <w:lang w:eastAsia="ja-JP" w:bidi="th-TH"/>
              </w:rPr>
              <w:t xml:space="preserve"> </w:t>
            </w:r>
            <w:r w:rsidRPr="00DF5AAB">
              <w:rPr>
                <w:rFonts w:cs="Arial"/>
                <w:color w:val="000000"/>
                <w:sz w:val="16"/>
                <w:szCs w:val="16"/>
                <w:lang w:eastAsia="ja-JP" w:bidi="th-TH"/>
              </w:rPr>
              <w:t>and (</w:t>
            </w:r>
            <w:r>
              <w:rPr>
                <w:rFonts w:cs="Arial"/>
                <w:color w:val="000000"/>
                <w:sz w:val="16"/>
                <w:szCs w:val="16"/>
                <w:lang w:eastAsia="ja-JP" w:bidi="th-TH"/>
              </w:rPr>
              <w:t>iii</w:t>
            </w:r>
            <w:r w:rsidRPr="00DF5AAB">
              <w:rPr>
                <w:rFonts w:cs="Arial"/>
                <w:color w:val="000000"/>
                <w:sz w:val="16"/>
                <w:szCs w:val="16"/>
                <w:lang w:eastAsia="ja-JP" w:bidi="th-TH"/>
              </w:rPr>
              <w:t>) how national offices can effectively utilize these reports</w:t>
            </w:r>
          </w:p>
        </w:tc>
      </w:tr>
      <w:tr w:rsidR="005703CF" w:rsidRPr="00660313" w:rsidTr="00C24C7E">
        <w:tc>
          <w:tcPr>
            <w:tcW w:w="1847"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t>WIPO Regional Seminar on Effective Utilization of Patent Classification Systems</w:t>
            </w:r>
          </w:p>
        </w:tc>
        <w:tc>
          <w:tcPr>
            <w:tcW w:w="1140"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December 11 to 12</w:t>
            </w:r>
            <w:r>
              <w:rPr>
                <w:rFonts w:cs="Arial" w:hint="eastAsia"/>
                <w:color w:val="000000"/>
                <w:sz w:val="16"/>
                <w:szCs w:val="16"/>
                <w:lang w:eastAsia="ja-JP" w:bidi="th-TH"/>
              </w:rPr>
              <w:t>,</w:t>
            </w:r>
            <w:r w:rsidRPr="00DF5AAB">
              <w:rPr>
                <w:rFonts w:cs="Arial"/>
                <w:color w:val="000000"/>
                <w:sz w:val="16"/>
                <w:szCs w:val="16"/>
                <w:lang w:eastAsia="ja-JP" w:bidi="th-TH"/>
              </w:rPr>
              <w:t xml:space="preserve"> 2013</w:t>
            </w:r>
          </w:p>
        </w:tc>
        <w:tc>
          <w:tcPr>
            <w:tcW w:w="1978" w:type="dxa"/>
          </w:tcPr>
          <w:p w:rsidR="005703CF" w:rsidRPr="009E0239" w:rsidRDefault="005703CF" w:rsidP="00C24C7E">
            <w:pPr>
              <w:autoSpaceDE w:val="0"/>
              <w:autoSpaceDN w:val="0"/>
              <w:adjustRightInd w:val="0"/>
              <w:spacing w:before="40" w:after="40"/>
              <w:rPr>
                <w:rFonts w:cs="Arial"/>
                <w:color w:val="000000"/>
                <w:sz w:val="16"/>
                <w:szCs w:val="16"/>
                <w:lang w:eastAsia="ja-JP" w:bidi="th-TH"/>
              </w:rPr>
            </w:pPr>
            <w:r w:rsidRPr="009E0239">
              <w:rPr>
                <w:rFonts w:cs="Arial" w:hint="eastAsia"/>
                <w:color w:val="000000"/>
                <w:sz w:val="16"/>
                <w:szCs w:val="16"/>
                <w:lang w:eastAsia="ja-JP" w:bidi="th-TH"/>
              </w:rPr>
              <w:t>Japan/</w:t>
            </w:r>
            <w:r>
              <w:rPr>
                <w:rFonts w:cs="Arial"/>
                <w:color w:val="000000"/>
                <w:sz w:val="16"/>
                <w:szCs w:val="16"/>
                <w:lang w:eastAsia="ja-JP" w:bidi="th-TH"/>
              </w:rPr>
              <w:br/>
            </w:r>
            <w:r w:rsidRPr="009E0239">
              <w:rPr>
                <w:rFonts w:cs="Arial" w:hint="eastAsia"/>
                <w:color w:val="000000"/>
                <w:sz w:val="16"/>
                <w:szCs w:val="16"/>
                <w:lang w:eastAsia="ja-JP" w:bidi="th-TH"/>
              </w:rPr>
              <w:t>Brunei</w:t>
            </w:r>
            <w:r>
              <w:rPr>
                <w:rFonts w:cs="Arial"/>
                <w:color w:val="000000"/>
                <w:sz w:val="16"/>
                <w:szCs w:val="16"/>
                <w:lang w:eastAsia="ja-JP" w:bidi="th-TH"/>
              </w:rPr>
              <w:t xml:space="preserve"> Darussalam</w:t>
            </w:r>
            <w:r w:rsidRPr="009E0239">
              <w:rPr>
                <w:rFonts w:cs="Arial" w:hint="eastAsia"/>
                <w:color w:val="000000"/>
                <w:sz w:val="16"/>
                <w:szCs w:val="16"/>
                <w:lang w:eastAsia="ja-JP" w:bidi="th-TH"/>
              </w:rPr>
              <w:t xml:space="preserve">, Cambodia, </w:t>
            </w:r>
            <w:r>
              <w:rPr>
                <w:rFonts w:cs="Arial" w:hint="eastAsia"/>
                <w:color w:val="000000"/>
                <w:sz w:val="16"/>
                <w:szCs w:val="16"/>
                <w:lang w:eastAsia="ja-JP" w:bidi="th-TH"/>
              </w:rPr>
              <w:t xml:space="preserve">India, </w:t>
            </w:r>
            <w:r w:rsidRPr="009E0239">
              <w:rPr>
                <w:rFonts w:cs="Arial" w:hint="eastAsia"/>
                <w:color w:val="000000"/>
                <w:sz w:val="16"/>
                <w:szCs w:val="16"/>
                <w:lang w:eastAsia="ja-JP" w:bidi="th-TH"/>
              </w:rPr>
              <w:t>Indonesia</w:t>
            </w:r>
            <w:r>
              <w:rPr>
                <w:rFonts w:cs="Arial" w:hint="eastAsia"/>
                <w:color w:val="000000"/>
                <w:sz w:val="16"/>
                <w:szCs w:val="16"/>
                <w:lang w:eastAsia="ja-JP" w:bidi="th-TH"/>
              </w:rPr>
              <w:t>, Lao</w:t>
            </w:r>
            <w:r>
              <w:rPr>
                <w:rFonts w:cs="Arial"/>
                <w:color w:val="000000"/>
                <w:sz w:val="16"/>
                <w:szCs w:val="16"/>
                <w:lang w:eastAsia="ja-JP" w:bidi="th-TH"/>
              </w:rPr>
              <w:t xml:space="preserve"> </w:t>
            </w:r>
            <w:r>
              <w:rPr>
                <w:rFonts w:cs="Arial"/>
                <w:color w:val="000000"/>
                <w:sz w:val="16"/>
                <w:szCs w:val="16"/>
              </w:rPr>
              <w:t>People’s Democratic Republic</w:t>
            </w:r>
            <w:r>
              <w:rPr>
                <w:rFonts w:cs="Arial" w:hint="eastAsia"/>
                <w:color w:val="000000"/>
                <w:sz w:val="16"/>
                <w:szCs w:val="16"/>
                <w:lang w:eastAsia="ja-JP" w:bidi="th-TH"/>
              </w:rPr>
              <w:t xml:space="preserve">, Malaysia, Mongolia, Myanmar, Pakistan, </w:t>
            </w:r>
            <w:r>
              <w:rPr>
                <w:rFonts w:cs="Arial"/>
                <w:color w:val="000000"/>
                <w:sz w:val="16"/>
                <w:szCs w:val="16"/>
                <w:lang w:eastAsia="ja-JP" w:bidi="th-TH"/>
              </w:rPr>
              <w:t>Singapore</w:t>
            </w:r>
            <w:r>
              <w:rPr>
                <w:rFonts w:cs="Arial" w:hint="eastAsia"/>
                <w:color w:val="000000"/>
                <w:sz w:val="16"/>
                <w:szCs w:val="16"/>
                <w:lang w:eastAsia="ja-JP" w:bidi="th-TH"/>
              </w:rPr>
              <w:t>, Thailand and Viet Nam</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DF5AAB">
              <w:rPr>
                <w:rFonts w:cs="Arial"/>
                <w:color w:val="000000"/>
                <w:sz w:val="16"/>
                <w:szCs w:val="16"/>
                <w:lang w:eastAsia="ja-JP" w:bidi="th-TH"/>
              </w:rPr>
              <w:t>o provide the participants with an opportunity to learn about patent classification systems, including the IPC system and other useful classification systems</w:t>
            </w:r>
          </w:p>
        </w:tc>
      </w:tr>
      <w:tr w:rsidR="005703CF" w:rsidRPr="00660313" w:rsidTr="00C24C7E">
        <w:tc>
          <w:tcPr>
            <w:tcW w:w="1847"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t>WIPO Regional Seminar on Effective Utilization of Statistical Data in the field of Intellectual Property</w:t>
            </w:r>
          </w:p>
        </w:tc>
        <w:tc>
          <w:tcPr>
            <w:tcW w:w="1140"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sidRPr="00DF5AAB">
              <w:rPr>
                <w:rFonts w:cs="Arial"/>
                <w:color w:val="000000"/>
                <w:sz w:val="16"/>
                <w:szCs w:val="16"/>
                <w:lang w:eastAsia="ja-JP" w:bidi="th-TH"/>
              </w:rPr>
              <w:t>December 17 to 19</w:t>
            </w:r>
            <w:r>
              <w:rPr>
                <w:rFonts w:cs="Arial" w:hint="eastAsia"/>
                <w:color w:val="000000"/>
                <w:sz w:val="16"/>
                <w:szCs w:val="16"/>
                <w:lang w:eastAsia="ja-JP" w:bidi="th-TH"/>
              </w:rPr>
              <w:t>,</w:t>
            </w:r>
            <w:r w:rsidRPr="00DF5AAB">
              <w:rPr>
                <w:rFonts w:cs="Arial"/>
                <w:color w:val="000000"/>
                <w:sz w:val="16"/>
                <w:szCs w:val="16"/>
                <w:lang w:eastAsia="ja-JP" w:bidi="th-TH"/>
              </w:rPr>
              <w:t xml:space="preserve"> 2013</w:t>
            </w:r>
          </w:p>
        </w:tc>
        <w:tc>
          <w:tcPr>
            <w:tcW w:w="1978" w:type="dxa"/>
          </w:tcPr>
          <w:p w:rsidR="005703CF" w:rsidRPr="009E0239" w:rsidRDefault="005703CF" w:rsidP="00C24C7E">
            <w:pPr>
              <w:autoSpaceDE w:val="0"/>
              <w:autoSpaceDN w:val="0"/>
              <w:adjustRightInd w:val="0"/>
              <w:spacing w:before="40" w:after="40"/>
              <w:rPr>
                <w:rFonts w:cs="Arial"/>
                <w:color w:val="000000"/>
                <w:sz w:val="16"/>
                <w:szCs w:val="16"/>
                <w:lang w:eastAsia="ja-JP" w:bidi="th-TH"/>
              </w:rPr>
            </w:pPr>
            <w:r w:rsidRPr="0006304C">
              <w:rPr>
                <w:rFonts w:cs="Arial" w:hint="eastAsia"/>
                <w:color w:val="000000"/>
                <w:sz w:val="16"/>
                <w:szCs w:val="16"/>
                <w:lang w:eastAsia="ja-JP" w:bidi="th-TH"/>
              </w:rPr>
              <w:t>Philippines/</w:t>
            </w:r>
            <w:r>
              <w:br/>
            </w:r>
            <w:r w:rsidRPr="0006304C">
              <w:rPr>
                <w:rFonts w:cs="Arial"/>
                <w:color w:val="000000"/>
                <w:sz w:val="16"/>
                <w:szCs w:val="16"/>
                <w:lang w:eastAsia="ja-JP" w:bidi="th-TH"/>
              </w:rPr>
              <w:t>Brunei</w:t>
            </w:r>
            <w:r>
              <w:rPr>
                <w:rFonts w:cs="Arial"/>
                <w:color w:val="000000"/>
                <w:sz w:val="16"/>
                <w:szCs w:val="16"/>
                <w:lang w:eastAsia="ja-JP" w:bidi="th-TH"/>
              </w:rPr>
              <w:t xml:space="preserve"> Darussalam</w:t>
            </w:r>
            <w:r w:rsidRPr="0006304C">
              <w:rPr>
                <w:rFonts w:cs="Arial"/>
                <w:color w:val="000000"/>
                <w:sz w:val="16"/>
                <w:szCs w:val="16"/>
                <w:lang w:eastAsia="ja-JP" w:bidi="th-TH"/>
              </w:rPr>
              <w:t>, Cambodia, India, Indonesia, Lao</w:t>
            </w:r>
            <w:r>
              <w:rPr>
                <w:rFonts w:cs="Arial"/>
                <w:color w:val="000000"/>
                <w:sz w:val="16"/>
                <w:szCs w:val="16"/>
                <w:lang w:eastAsia="ja-JP" w:bidi="th-TH"/>
              </w:rPr>
              <w:t xml:space="preserve"> </w:t>
            </w:r>
            <w:r>
              <w:rPr>
                <w:rFonts w:cs="Arial"/>
                <w:color w:val="000000"/>
                <w:sz w:val="16"/>
                <w:szCs w:val="16"/>
              </w:rPr>
              <w:t>People’s Democratic Republic</w:t>
            </w:r>
            <w:r w:rsidRPr="0006304C">
              <w:rPr>
                <w:rFonts w:cs="Arial"/>
                <w:color w:val="000000"/>
                <w:sz w:val="16"/>
                <w:szCs w:val="16"/>
                <w:lang w:eastAsia="ja-JP" w:bidi="th-TH"/>
              </w:rPr>
              <w:t>, Malaysia, Mongolia, Myanmar, Pakistan, Singapore, Thailand and Viet Nam</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DF5AAB">
              <w:rPr>
                <w:rFonts w:cs="Arial"/>
                <w:color w:val="000000"/>
                <w:sz w:val="16"/>
                <w:szCs w:val="16"/>
                <w:lang w:eastAsia="ja-JP" w:bidi="th-TH"/>
              </w:rPr>
              <w:t xml:space="preserve">o: </w:t>
            </w:r>
            <w:r>
              <w:rPr>
                <w:rFonts w:cs="Arial"/>
                <w:color w:val="000000"/>
                <w:sz w:val="16"/>
                <w:szCs w:val="16"/>
                <w:lang w:eastAsia="ja-JP" w:bidi="th-TH"/>
              </w:rPr>
              <w:t xml:space="preserve"> </w:t>
            </w:r>
            <w:r w:rsidRPr="00DF5AAB">
              <w:rPr>
                <w:rFonts w:cs="Arial"/>
                <w:color w:val="000000"/>
                <w:sz w:val="16"/>
                <w:szCs w:val="16"/>
                <w:lang w:eastAsia="ja-JP" w:bidi="th-TH"/>
              </w:rPr>
              <w:t>(i) deepen the understanding about the importance of IP</w:t>
            </w:r>
            <w:r>
              <w:rPr>
                <w:rFonts w:cs="Arial" w:hint="eastAsia"/>
                <w:color w:val="000000"/>
                <w:sz w:val="16"/>
                <w:szCs w:val="16"/>
                <w:lang w:eastAsia="ja-JP" w:bidi="th-TH"/>
              </w:rPr>
              <w:t xml:space="preserve"> </w:t>
            </w:r>
            <w:r w:rsidRPr="00DF5AAB">
              <w:rPr>
                <w:rFonts w:cs="Arial"/>
                <w:color w:val="000000"/>
                <w:sz w:val="16"/>
                <w:szCs w:val="16"/>
                <w:lang w:eastAsia="ja-JP" w:bidi="th-TH"/>
              </w:rPr>
              <w:t xml:space="preserve">statistics; </w:t>
            </w:r>
            <w:r>
              <w:rPr>
                <w:rFonts w:cs="Arial"/>
                <w:color w:val="000000"/>
                <w:sz w:val="16"/>
                <w:szCs w:val="16"/>
                <w:lang w:eastAsia="ja-JP" w:bidi="th-TH"/>
              </w:rPr>
              <w:t xml:space="preserve"> </w:t>
            </w:r>
            <w:r w:rsidRPr="00DF5AAB">
              <w:rPr>
                <w:rFonts w:cs="Arial"/>
                <w:color w:val="000000"/>
                <w:sz w:val="16"/>
                <w:szCs w:val="16"/>
                <w:lang w:eastAsia="ja-JP" w:bidi="th-TH"/>
              </w:rPr>
              <w:t>(ii) exchange views on the</w:t>
            </w:r>
            <w:r>
              <w:rPr>
                <w:rFonts w:cs="Arial" w:hint="eastAsia"/>
                <w:color w:val="000000"/>
                <w:sz w:val="16"/>
                <w:szCs w:val="16"/>
                <w:lang w:eastAsia="ja-JP" w:bidi="th-TH"/>
              </w:rPr>
              <w:t xml:space="preserve"> </w:t>
            </w:r>
            <w:r w:rsidRPr="00DF5AAB">
              <w:rPr>
                <w:rFonts w:cs="Arial"/>
                <w:color w:val="000000"/>
                <w:sz w:val="16"/>
                <w:szCs w:val="16"/>
                <w:lang w:eastAsia="ja-JP" w:bidi="th-TH"/>
              </w:rPr>
              <w:t>differences of statistical data at each IP Office and the utilization of such statistical data;</w:t>
            </w:r>
            <w:r>
              <w:rPr>
                <w:rFonts w:cs="Arial" w:hint="eastAsia"/>
                <w:color w:val="000000"/>
                <w:sz w:val="16"/>
                <w:szCs w:val="16"/>
                <w:lang w:eastAsia="ja-JP" w:bidi="th-TH"/>
              </w:rPr>
              <w:t xml:space="preserve"> </w:t>
            </w:r>
            <w:r>
              <w:rPr>
                <w:rFonts w:cs="Arial"/>
                <w:color w:val="000000"/>
                <w:sz w:val="16"/>
                <w:szCs w:val="16"/>
                <w:lang w:eastAsia="ja-JP" w:bidi="th-TH"/>
              </w:rPr>
              <w:t xml:space="preserve"> </w:t>
            </w:r>
            <w:r w:rsidRPr="00DF5AAB">
              <w:rPr>
                <w:rFonts w:cs="Arial"/>
                <w:color w:val="000000"/>
                <w:sz w:val="16"/>
                <w:szCs w:val="16"/>
                <w:lang w:eastAsia="ja-JP" w:bidi="th-TH"/>
              </w:rPr>
              <w:t>and (iii) discuss possible measures for the development of statistics and sharing of statistics</w:t>
            </w:r>
            <w:r>
              <w:rPr>
                <w:rFonts w:cs="Arial" w:hint="eastAsia"/>
                <w:color w:val="000000"/>
                <w:sz w:val="16"/>
                <w:szCs w:val="16"/>
                <w:lang w:eastAsia="ja-JP" w:bidi="th-TH"/>
              </w:rPr>
              <w:t xml:space="preserve"> </w:t>
            </w:r>
            <w:r w:rsidRPr="00DF5AAB">
              <w:rPr>
                <w:rFonts w:cs="Arial"/>
                <w:color w:val="000000"/>
                <w:sz w:val="16"/>
                <w:szCs w:val="16"/>
                <w:lang w:eastAsia="ja-JP" w:bidi="th-TH"/>
              </w:rPr>
              <w:t>and data among IP Offices</w:t>
            </w:r>
          </w:p>
        </w:tc>
      </w:tr>
      <w:tr w:rsidR="005703CF" w:rsidRPr="00660313" w:rsidTr="00C24C7E">
        <w:tc>
          <w:tcPr>
            <w:tcW w:w="1847"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Expert Mission for Training on </w:t>
            </w:r>
            <w:r w:rsidRPr="00DF5AAB">
              <w:rPr>
                <w:rFonts w:cs="Arial"/>
                <w:color w:val="000000"/>
                <w:sz w:val="16"/>
                <w:szCs w:val="16"/>
                <w:lang w:eastAsia="ja-JP" w:bidi="th-TH"/>
              </w:rPr>
              <w:t>Nice, Vienna and Locarno Classifications</w:t>
            </w:r>
          </w:p>
        </w:tc>
        <w:tc>
          <w:tcPr>
            <w:tcW w:w="1140"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May 27 to 31</w:t>
            </w:r>
            <w:r>
              <w:rPr>
                <w:rFonts w:cs="Arial" w:hint="eastAsia"/>
                <w:color w:val="000000"/>
                <w:sz w:val="16"/>
                <w:szCs w:val="16"/>
                <w:lang w:eastAsia="ja-JP" w:bidi="th-TH"/>
              </w:rPr>
              <w:t xml:space="preserve">, </w:t>
            </w:r>
            <w:r w:rsidRPr="00DF5AAB">
              <w:rPr>
                <w:rFonts w:cs="Arial"/>
                <w:color w:val="000000"/>
                <w:sz w:val="16"/>
                <w:szCs w:val="16"/>
                <w:lang w:eastAsia="ja-JP" w:bidi="th-TH"/>
              </w:rPr>
              <w:t>2013</w:t>
            </w:r>
          </w:p>
        </w:tc>
        <w:tc>
          <w:tcPr>
            <w:tcW w:w="1978" w:type="dxa"/>
          </w:tcPr>
          <w:p w:rsidR="005703CF" w:rsidRPr="002C4083" w:rsidRDefault="005703CF" w:rsidP="00C24C7E">
            <w:pPr>
              <w:autoSpaceDE w:val="0"/>
              <w:autoSpaceDN w:val="0"/>
              <w:adjustRightInd w:val="0"/>
              <w:spacing w:before="40" w:after="40"/>
              <w:rPr>
                <w:rFonts w:cs="Arial"/>
                <w:color w:val="000000"/>
                <w:sz w:val="16"/>
                <w:szCs w:val="16"/>
                <w:lang w:val="pt-BR" w:eastAsia="ja-JP" w:bidi="th-TH"/>
              </w:rPr>
            </w:pPr>
            <w:r w:rsidRPr="002C4083">
              <w:rPr>
                <w:rFonts w:cs="Arial" w:hint="eastAsia"/>
                <w:color w:val="000000"/>
                <w:sz w:val="16"/>
                <w:szCs w:val="16"/>
                <w:lang w:val="pt-BR" w:eastAsia="ja-JP" w:bidi="th-TH"/>
              </w:rPr>
              <w:t>Indonesia/</w:t>
            </w:r>
            <w:r w:rsidRPr="002C4083">
              <w:rPr>
                <w:rFonts w:cs="Arial"/>
                <w:color w:val="000000"/>
                <w:sz w:val="16"/>
                <w:szCs w:val="16"/>
                <w:lang w:val="pt-BR" w:eastAsia="ja-JP" w:bidi="th-TH"/>
              </w:rPr>
              <w:br/>
            </w:r>
            <w:r w:rsidRPr="002C4083">
              <w:rPr>
                <w:rFonts w:cs="Arial" w:hint="eastAsia"/>
                <w:color w:val="000000"/>
                <w:sz w:val="16"/>
                <w:szCs w:val="16"/>
                <w:lang w:val="pt-BR" w:eastAsia="ja-JP" w:bidi="th-TH"/>
              </w:rPr>
              <w:t xml:space="preserve">Brunei </w:t>
            </w:r>
            <w:r w:rsidRPr="002C4083">
              <w:rPr>
                <w:rFonts w:cs="Arial"/>
                <w:color w:val="000000"/>
                <w:sz w:val="16"/>
                <w:szCs w:val="16"/>
                <w:lang w:val="pt-BR" w:eastAsia="ja-JP" w:bidi="th-TH"/>
              </w:rPr>
              <w:t xml:space="preserve">Darussalam </w:t>
            </w:r>
            <w:r w:rsidRPr="002C4083">
              <w:rPr>
                <w:rFonts w:cs="Arial" w:hint="eastAsia"/>
                <w:color w:val="000000"/>
                <w:sz w:val="16"/>
                <w:szCs w:val="16"/>
                <w:lang w:val="pt-BR" w:eastAsia="ja-JP" w:bidi="th-TH"/>
              </w:rPr>
              <w:t>and Malaysia</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To </w:t>
            </w:r>
            <w:r>
              <w:rPr>
                <w:rFonts w:cs="Arial"/>
                <w:color w:val="000000"/>
                <w:sz w:val="16"/>
                <w:szCs w:val="16"/>
                <w:lang w:eastAsia="ja-JP" w:bidi="th-TH"/>
              </w:rPr>
              <w:t>train</w:t>
            </w:r>
            <w:r w:rsidRPr="00DF5AAB">
              <w:rPr>
                <w:rFonts w:cs="Arial"/>
                <w:color w:val="000000"/>
                <w:sz w:val="16"/>
                <w:szCs w:val="16"/>
                <w:lang w:eastAsia="ja-JP" w:bidi="th-TH"/>
              </w:rPr>
              <w:t xml:space="preserve"> trademark examiners on the Nice and Vienna Classifications and design examiners on the Locarno Classification</w:t>
            </w:r>
          </w:p>
        </w:tc>
      </w:tr>
      <w:tr w:rsidR="005703CF" w:rsidRPr="00660313" w:rsidTr="00C24C7E">
        <w:tc>
          <w:tcPr>
            <w:tcW w:w="1847"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sidRPr="008D4D7D">
              <w:rPr>
                <w:rFonts w:cs="Arial"/>
                <w:color w:val="000000"/>
                <w:sz w:val="16"/>
                <w:szCs w:val="16"/>
                <w:lang w:eastAsia="ja-JP" w:bidi="th-TH"/>
              </w:rPr>
              <w:t>Training Course on the Examination Practices of Industrial Property Basic Program</w:t>
            </w:r>
          </w:p>
        </w:tc>
        <w:tc>
          <w:tcPr>
            <w:tcW w:w="1140" w:type="dxa"/>
          </w:tcPr>
          <w:p w:rsidR="005703CF" w:rsidRPr="006979D7"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January 21 to</w:t>
            </w:r>
            <w:r>
              <w:rPr>
                <w:rFonts w:cs="Arial"/>
                <w:color w:val="000000"/>
                <w:sz w:val="16"/>
                <w:szCs w:val="16"/>
                <w:lang w:eastAsia="ja-JP" w:bidi="th-TH"/>
              </w:rPr>
              <w:t xml:space="preserve"> </w:t>
            </w:r>
            <w:r>
              <w:rPr>
                <w:rFonts w:cs="Arial" w:hint="eastAsia"/>
                <w:color w:val="000000"/>
                <w:sz w:val="16"/>
                <w:szCs w:val="16"/>
                <w:lang w:eastAsia="ja-JP" w:bidi="th-TH"/>
              </w:rPr>
              <w:t>February 1, 2013</w:t>
            </w:r>
          </w:p>
        </w:tc>
        <w:tc>
          <w:tcPr>
            <w:tcW w:w="1978" w:type="dxa"/>
          </w:tcPr>
          <w:p w:rsidR="005703CF" w:rsidRPr="009E0239" w:rsidRDefault="005703CF" w:rsidP="00C24C7E">
            <w:pPr>
              <w:autoSpaceDE w:val="0"/>
              <w:autoSpaceDN w:val="0"/>
              <w:adjustRightInd w:val="0"/>
              <w:spacing w:before="40" w:after="40"/>
              <w:rPr>
                <w:rFonts w:cs="Arial"/>
                <w:color w:val="000000"/>
                <w:sz w:val="16"/>
                <w:szCs w:val="16"/>
                <w:lang w:eastAsia="ja-JP" w:bidi="th-TH"/>
              </w:rPr>
            </w:pPr>
            <w:r w:rsidRPr="0006304C">
              <w:rPr>
                <w:rFonts w:cs="Arial" w:hint="eastAsia"/>
                <w:color w:val="000000"/>
                <w:sz w:val="16"/>
                <w:szCs w:val="16"/>
                <w:lang w:eastAsia="ja-JP" w:bidi="th-TH"/>
              </w:rPr>
              <w:t>Japan</w:t>
            </w:r>
            <w:r>
              <w:rPr>
                <w:rFonts w:cs="Arial" w:hint="eastAsia"/>
                <w:color w:val="000000"/>
                <w:sz w:val="16"/>
                <w:szCs w:val="16"/>
                <w:lang w:eastAsia="ja-JP" w:bidi="th-TH"/>
              </w:rPr>
              <w:t>/</w:t>
            </w:r>
            <w:r w:rsidRPr="000D65D2">
              <w:rPr>
                <w:rFonts w:cs="Arial"/>
                <w:color w:val="000000"/>
                <w:sz w:val="16"/>
                <w:szCs w:val="16"/>
                <w:lang w:eastAsia="ja-JP" w:bidi="th-TH"/>
              </w:rPr>
              <w:t xml:space="preserve">Bhutan, </w:t>
            </w:r>
            <w:r>
              <w:rPr>
                <w:rFonts w:cs="Arial"/>
                <w:color w:val="000000"/>
                <w:sz w:val="16"/>
                <w:szCs w:val="16"/>
                <w:lang w:eastAsia="ja-JP" w:bidi="th-TH"/>
              </w:rPr>
              <w:br/>
            </w:r>
            <w:r w:rsidRPr="000D65D2">
              <w:rPr>
                <w:rFonts w:cs="Arial"/>
                <w:color w:val="000000"/>
                <w:sz w:val="16"/>
                <w:szCs w:val="16"/>
                <w:lang w:eastAsia="ja-JP" w:bidi="th-TH"/>
              </w:rPr>
              <w:t xml:space="preserve">Brunei Darussalam, Cambodia, China, </w:t>
            </w:r>
            <w:r>
              <w:rPr>
                <w:rFonts w:cs="Arial"/>
                <w:color w:val="000000"/>
                <w:sz w:val="16"/>
                <w:szCs w:val="16"/>
                <w:lang w:eastAsia="ja-JP" w:bidi="th-TH"/>
              </w:rPr>
              <w:t xml:space="preserve">Ethiopia, </w:t>
            </w:r>
            <w:r w:rsidRPr="000D65D2">
              <w:rPr>
                <w:rFonts w:cs="Arial"/>
                <w:color w:val="000000"/>
                <w:sz w:val="16"/>
                <w:szCs w:val="16"/>
                <w:lang w:eastAsia="ja-JP" w:bidi="th-TH"/>
              </w:rPr>
              <w:t xml:space="preserve">Indonesia, Lao People’s Democratic Republic, Malaysia, Mongolia, </w:t>
            </w:r>
            <w:r>
              <w:rPr>
                <w:rFonts w:cs="Arial"/>
                <w:color w:val="000000"/>
                <w:sz w:val="16"/>
                <w:szCs w:val="16"/>
                <w:lang w:eastAsia="ja-JP" w:bidi="th-TH"/>
              </w:rPr>
              <w:t>Morocco,</w:t>
            </w:r>
            <w:r w:rsidRPr="000D65D2">
              <w:rPr>
                <w:rFonts w:cs="Arial"/>
                <w:color w:val="000000"/>
                <w:sz w:val="16"/>
                <w:szCs w:val="16"/>
                <w:lang w:eastAsia="ja-JP" w:bidi="th-TH"/>
              </w:rPr>
              <w:t xml:space="preserve"> Nigeria</w:t>
            </w:r>
            <w:r>
              <w:rPr>
                <w:rFonts w:cs="Arial"/>
                <w:color w:val="000000"/>
                <w:sz w:val="16"/>
                <w:szCs w:val="16"/>
                <w:lang w:eastAsia="ja-JP" w:bidi="th-TH"/>
              </w:rPr>
              <w:t>,</w:t>
            </w:r>
            <w:r w:rsidRPr="000D65D2">
              <w:rPr>
                <w:rFonts w:cs="Arial"/>
                <w:color w:val="000000"/>
                <w:sz w:val="16"/>
                <w:szCs w:val="16"/>
                <w:lang w:eastAsia="ja-JP" w:bidi="th-TH"/>
              </w:rPr>
              <w:t xml:space="preserve"> Pakistan, Papua New Guinea, Peru, Sri</w:t>
            </w:r>
            <w:r>
              <w:rPr>
                <w:rFonts w:cs="Arial"/>
                <w:color w:val="000000"/>
                <w:sz w:val="16"/>
                <w:szCs w:val="16"/>
                <w:lang w:eastAsia="ja-JP" w:bidi="th-TH"/>
              </w:rPr>
              <w:t> </w:t>
            </w:r>
            <w:r w:rsidRPr="000D65D2">
              <w:rPr>
                <w:rFonts w:cs="Arial"/>
                <w:color w:val="000000"/>
                <w:sz w:val="16"/>
                <w:szCs w:val="16"/>
                <w:lang w:eastAsia="ja-JP" w:bidi="th-TH"/>
              </w:rPr>
              <w:t>Lan</w:t>
            </w:r>
            <w:r>
              <w:rPr>
                <w:rFonts w:cs="Arial"/>
                <w:color w:val="000000"/>
                <w:sz w:val="16"/>
                <w:szCs w:val="16"/>
                <w:lang w:eastAsia="ja-JP" w:bidi="th-TH"/>
              </w:rPr>
              <w:t>ka and Viet Nam</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To enhance </w:t>
            </w:r>
            <w:r>
              <w:rPr>
                <w:rFonts w:cs="Arial"/>
                <w:color w:val="000000"/>
                <w:sz w:val="16"/>
                <w:szCs w:val="16"/>
                <w:lang w:eastAsia="ja-JP" w:bidi="th-TH"/>
              </w:rPr>
              <w:t xml:space="preserve">important </w:t>
            </w:r>
            <w:r>
              <w:rPr>
                <w:rFonts w:cs="Arial" w:hint="eastAsia"/>
                <w:color w:val="000000"/>
                <w:sz w:val="16"/>
                <w:szCs w:val="16"/>
                <w:lang w:eastAsia="ja-JP" w:bidi="th-TH"/>
              </w:rPr>
              <w:t>basic knowledge of the laws and substantive examination procedures in the field of examination of industrial property rights</w:t>
            </w:r>
          </w:p>
        </w:tc>
      </w:tr>
      <w:tr w:rsidR="005703CF" w:rsidRPr="00660313" w:rsidTr="00C24C7E">
        <w:tc>
          <w:tcPr>
            <w:tcW w:w="1847"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Training Course on Industrial Property Administration and Management of IP Offices</w:t>
            </w:r>
          </w:p>
        </w:tc>
        <w:tc>
          <w:tcPr>
            <w:tcW w:w="1140"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February 4 to 8, 2013</w:t>
            </w:r>
          </w:p>
        </w:tc>
        <w:tc>
          <w:tcPr>
            <w:tcW w:w="1978" w:type="dxa"/>
          </w:tcPr>
          <w:p w:rsidR="005703CF" w:rsidRPr="00ED61F7" w:rsidRDefault="005703CF" w:rsidP="00C24C7E">
            <w:pPr>
              <w:autoSpaceDE w:val="0"/>
              <w:autoSpaceDN w:val="0"/>
              <w:adjustRightInd w:val="0"/>
              <w:spacing w:before="40" w:after="40"/>
              <w:rPr>
                <w:rFonts w:cs="Arial"/>
                <w:color w:val="000000"/>
                <w:sz w:val="16"/>
                <w:szCs w:val="16"/>
                <w:lang w:eastAsia="ja-JP" w:bidi="th-TH"/>
              </w:rPr>
            </w:pPr>
            <w:r w:rsidRPr="00ED61F7">
              <w:rPr>
                <w:rFonts w:cs="Arial"/>
                <w:color w:val="000000"/>
                <w:sz w:val="16"/>
                <w:szCs w:val="16"/>
                <w:lang w:eastAsia="ja-JP" w:bidi="th-TH"/>
              </w:rPr>
              <w:t>Japan</w:t>
            </w:r>
            <w:r>
              <w:rPr>
                <w:rFonts w:cs="Arial" w:hint="eastAsia"/>
                <w:color w:val="000000"/>
                <w:sz w:val="16"/>
                <w:szCs w:val="16"/>
                <w:lang w:eastAsia="ja-JP" w:bidi="th-TH"/>
              </w:rPr>
              <w:t>/</w:t>
            </w:r>
            <w:r w:rsidRPr="00587732">
              <w:rPr>
                <w:rFonts w:cs="Arial"/>
                <w:color w:val="000000"/>
                <w:sz w:val="16"/>
                <w:szCs w:val="16"/>
                <w:lang w:eastAsia="ja-JP" w:bidi="th-TH"/>
              </w:rPr>
              <w:t>Bangladesh, China, India, Indonesia, Malaysia, Pakistan, Philippines</w:t>
            </w:r>
            <w:r>
              <w:rPr>
                <w:rFonts w:cs="Arial"/>
                <w:color w:val="000000"/>
                <w:sz w:val="16"/>
                <w:szCs w:val="16"/>
                <w:lang w:eastAsia="ja-JP" w:bidi="th-TH"/>
              </w:rPr>
              <w:t xml:space="preserve">, Sri Lanka, Thailand, </w:t>
            </w:r>
            <w:r w:rsidRPr="00587732">
              <w:rPr>
                <w:rFonts w:cs="Arial"/>
                <w:color w:val="000000"/>
                <w:sz w:val="16"/>
                <w:szCs w:val="16"/>
                <w:lang w:eastAsia="ja-JP" w:bidi="th-TH"/>
              </w:rPr>
              <w:t>Tunisia</w:t>
            </w:r>
            <w:r>
              <w:rPr>
                <w:rFonts w:cs="Arial"/>
                <w:color w:val="000000"/>
                <w:sz w:val="16"/>
                <w:szCs w:val="16"/>
                <w:lang w:eastAsia="ja-JP" w:bidi="th-TH"/>
              </w:rPr>
              <w:t xml:space="preserve"> and Viet Nam</w:t>
            </w:r>
          </w:p>
        </w:tc>
        <w:tc>
          <w:tcPr>
            <w:tcW w:w="4132"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To: </w:t>
            </w:r>
            <w:r>
              <w:rPr>
                <w:rFonts w:cs="Arial"/>
                <w:color w:val="000000"/>
                <w:sz w:val="16"/>
                <w:szCs w:val="16"/>
                <w:lang w:eastAsia="ja-JP" w:bidi="th-TH"/>
              </w:rPr>
              <w:t xml:space="preserve"> </w:t>
            </w:r>
            <w:r w:rsidRPr="001C27B6">
              <w:rPr>
                <w:rFonts w:cs="Arial"/>
                <w:color w:val="000000"/>
                <w:sz w:val="16"/>
                <w:szCs w:val="16"/>
                <w:lang w:eastAsia="ja-JP" w:bidi="th-TH"/>
              </w:rPr>
              <w:t xml:space="preserve">(i) enhance the knowledge of senior managers of IP Offices on modern practices and tools for administrating IP Offices; </w:t>
            </w:r>
            <w:r>
              <w:rPr>
                <w:rFonts w:cs="Arial"/>
                <w:color w:val="000000"/>
                <w:sz w:val="16"/>
                <w:szCs w:val="16"/>
                <w:lang w:eastAsia="ja-JP" w:bidi="th-TH"/>
              </w:rPr>
              <w:t xml:space="preserve"> </w:t>
            </w:r>
            <w:r w:rsidRPr="001C27B6">
              <w:rPr>
                <w:rFonts w:cs="Arial"/>
                <w:color w:val="000000"/>
                <w:sz w:val="16"/>
                <w:szCs w:val="16"/>
                <w:lang w:eastAsia="ja-JP" w:bidi="th-TH"/>
              </w:rPr>
              <w:t xml:space="preserve">(ii) increase the capacity of the participants to effectively administer the IP system in accordance with modern management practices; </w:t>
            </w:r>
            <w:r>
              <w:rPr>
                <w:rFonts w:cs="Arial"/>
                <w:color w:val="000000"/>
                <w:sz w:val="16"/>
                <w:szCs w:val="16"/>
                <w:lang w:eastAsia="ja-JP" w:bidi="th-TH"/>
              </w:rPr>
              <w:t xml:space="preserve"> </w:t>
            </w:r>
            <w:r w:rsidRPr="001C27B6">
              <w:rPr>
                <w:rFonts w:cs="Arial"/>
                <w:color w:val="000000"/>
                <w:sz w:val="16"/>
                <w:szCs w:val="16"/>
                <w:lang w:eastAsia="ja-JP" w:bidi="th-TH"/>
              </w:rPr>
              <w:t>and (iii) expose the participants to management approaches that would enable IP Offices to contribute to overall national development policies and goals</w:t>
            </w:r>
          </w:p>
        </w:tc>
      </w:tr>
      <w:tr w:rsidR="005703CF" w:rsidRPr="00660313" w:rsidTr="00C24C7E">
        <w:tc>
          <w:tcPr>
            <w:tcW w:w="1847"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Training Course for Patent Examiners on Specified Technologies (Computer Program)</w:t>
            </w:r>
          </w:p>
        </w:tc>
        <w:tc>
          <w:tcPr>
            <w:tcW w:w="1140"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February 13 to 20, 2013</w:t>
            </w:r>
          </w:p>
        </w:tc>
        <w:tc>
          <w:tcPr>
            <w:tcW w:w="1978" w:type="dxa"/>
          </w:tcPr>
          <w:p w:rsidR="005703CF" w:rsidRPr="00ED61F7"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w:t>
            </w:r>
            <w:r w:rsidRPr="000D65D2">
              <w:rPr>
                <w:rFonts w:cs="Arial"/>
                <w:color w:val="000000"/>
                <w:sz w:val="16"/>
                <w:szCs w:val="16"/>
                <w:lang w:eastAsia="ja-JP" w:bidi="th-TH"/>
              </w:rPr>
              <w:t>apan</w:t>
            </w:r>
            <w:r>
              <w:rPr>
                <w:rFonts w:cs="Arial" w:hint="eastAsia"/>
                <w:color w:val="000000"/>
                <w:sz w:val="16"/>
                <w:szCs w:val="16"/>
                <w:lang w:eastAsia="ja-JP" w:bidi="th-TH"/>
              </w:rPr>
              <w:t>/</w:t>
            </w:r>
            <w:r w:rsidRPr="00587732">
              <w:rPr>
                <w:rFonts w:cs="Arial"/>
                <w:color w:val="000000"/>
                <w:sz w:val="16"/>
                <w:szCs w:val="16"/>
                <w:lang w:eastAsia="ja-JP" w:bidi="th-TH"/>
              </w:rPr>
              <w:t xml:space="preserve">China, Indonesia, </w:t>
            </w:r>
            <w:r>
              <w:rPr>
                <w:rFonts w:cs="Arial"/>
                <w:color w:val="000000"/>
                <w:sz w:val="16"/>
                <w:szCs w:val="16"/>
                <w:lang w:eastAsia="ja-JP" w:bidi="th-TH"/>
              </w:rPr>
              <w:t>Kenya,</w:t>
            </w:r>
            <w:r w:rsidRPr="00587732">
              <w:rPr>
                <w:rFonts w:cs="Arial"/>
                <w:color w:val="000000"/>
                <w:sz w:val="16"/>
                <w:szCs w:val="16"/>
                <w:lang w:eastAsia="ja-JP" w:bidi="th-TH"/>
              </w:rPr>
              <w:t xml:space="preserve"> Malaysia, Morocco</w:t>
            </w:r>
            <w:r>
              <w:rPr>
                <w:rFonts w:cs="Arial"/>
                <w:color w:val="000000"/>
                <w:sz w:val="16"/>
                <w:szCs w:val="16"/>
                <w:lang w:eastAsia="ja-JP" w:bidi="th-TH"/>
              </w:rPr>
              <w:t>,</w:t>
            </w:r>
            <w:r w:rsidRPr="00587732">
              <w:rPr>
                <w:rFonts w:cs="Arial"/>
                <w:color w:val="000000"/>
                <w:sz w:val="16"/>
                <w:szCs w:val="16"/>
                <w:lang w:eastAsia="ja-JP" w:bidi="th-TH"/>
              </w:rPr>
              <w:t xml:space="preserve"> Philippines, Singa</w:t>
            </w:r>
            <w:r>
              <w:rPr>
                <w:rFonts w:cs="Arial"/>
                <w:color w:val="000000"/>
                <w:sz w:val="16"/>
                <w:szCs w:val="16"/>
                <w:lang w:eastAsia="ja-JP" w:bidi="th-TH"/>
              </w:rPr>
              <w:t>pore, Turkey and Viet Nam</w:t>
            </w:r>
          </w:p>
        </w:tc>
        <w:tc>
          <w:tcPr>
            <w:tcW w:w="4132"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To: </w:t>
            </w:r>
            <w:r>
              <w:rPr>
                <w:rFonts w:cs="Arial"/>
                <w:color w:val="000000"/>
                <w:sz w:val="16"/>
                <w:szCs w:val="16"/>
                <w:lang w:eastAsia="ja-JP" w:bidi="th-TH"/>
              </w:rPr>
              <w:t xml:space="preserve"> </w:t>
            </w:r>
            <w:r w:rsidRPr="001C27B6">
              <w:rPr>
                <w:rFonts w:cs="Arial"/>
                <w:color w:val="000000"/>
                <w:sz w:val="16"/>
                <w:szCs w:val="16"/>
                <w:lang w:eastAsia="ja-JP" w:bidi="th-TH"/>
              </w:rPr>
              <w:t xml:space="preserve">(i) acquaint the participants with current trends and modern practices in the examination of patents regarding optical apparatus; </w:t>
            </w:r>
            <w:r>
              <w:rPr>
                <w:rFonts w:cs="Arial"/>
                <w:color w:val="000000"/>
                <w:sz w:val="16"/>
                <w:szCs w:val="16"/>
                <w:lang w:eastAsia="ja-JP" w:bidi="th-TH"/>
              </w:rPr>
              <w:t xml:space="preserve"> </w:t>
            </w:r>
            <w:r w:rsidRPr="001C27B6">
              <w:rPr>
                <w:rFonts w:cs="Arial"/>
                <w:color w:val="000000"/>
                <w:sz w:val="16"/>
                <w:szCs w:val="16"/>
                <w:lang w:eastAsia="ja-JP" w:bidi="th-TH"/>
              </w:rPr>
              <w:t xml:space="preserve">(ii) impart practical knowledge and insights on examination methodologies; </w:t>
            </w:r>
            <w:r>
              <w:rPr>
                <w:rFonts w:cs="Arial"/>
                <w:color w:val="000000"/>
                <w:sz w:val="16"/>
                <w:szCs w:val="16"/>
                <w:lang w:eastAsia="ja-JP" w:bidi="th-TH"/>
              </w:rPr>
              <w:t xml:space="preserve"> </w:t>
            </w:r>
            <w:r w:rsidRPr="001C27B6">
              <w:rPr>
                <w:rFonts w:cs="Arial"/>
                <w:color w:val="000000"/>
                <w:sz w:val="16"/>
                <w:szCs w:val="16"/>
                <w:lang w:eastAsia="ja-JP" w:bidi="th-TH"/>
              </w:rPr>
              <w:t xml:space="preserve">(iii) share experiences and views among participants on patent examination issues; </w:t>
            </w:r>
            <w:r>
              <w:rPr>
                <w:rFonts w:cs="Arial"/>
                <w:color w:val="000000"/>
                <w:sz w:val="16"/>
                <w:szCs w:val="16"/>
                <w:lang w:eastAsia="ja-JP" w:bidi="th-TH"/>
              </w:rPr>
              <w:t xml:space="preserve"> </w:t>
            </w:r>
            <w:r w:rsidRPr="001C27B6">
              <w:rPr>
                <w:rFonts w:cs="Arial"/>
                <w:color w:val="000000"/>
                <w:sz w:val="16"/>
                <w:szCs w:val="16"/>
                <w:lang w:eastAsia="ja-JP" w:bidi="th-TH"/>
              </w:rPr>
              <w:t xml:space="preserve">and (iv) enhance participants’ professional capabilities for examination in the field of </w:t>
            </w:r>
            <w:r>
              <w:rPr>
                <w:rFonts w:cs="Arial" w:hint="eastAsia"/>
                <w:color w:val="000000"/>
                <w:sz w:val="16"/>
                <w:szCs w:val="16"/>
                <w:lang w:eastAsia="ja-JP" w:bidi="th-TH"/>
              </w:rPr>
              <w:t>computer program</w:t>
            </w:r>
          </w:p>
        </w:tc>
      </w:tr>
      <w:tr w:rsidR="005703CF" w:rsidRPr="00660313" w:rsidTr="00C24C7E">
        <w:tc>
          <w:tcPr>
            <w:tcW w:w="1847"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Training Course for Patent Examiners on Specified Technologies (Lighting)</w:t>
            </w:r>
          </w:p>
        </w:tc>
        <w:tc>
          <w:tcPr>
            <w:tcW w:w="1140"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February 21 to 28, 2013</w:t>
            </w:r>
          </w:p>
        </w:tc>
        <w:tc>
          <w:tcPr>
            <w:tcW w:w="1978" w:type="dxa"/>
          </w:tcPr>
          <w:p w:rsidR="005703CF" w:rsidRPr="00ED61F7" w:rsidRDefault="005703CF" w:rsidP="00C24C7E">
            <w:pPr>
              <w:autoSpaceDE w:val="0"/>
              <w:autoSpaceDN w:val="0"/>
              <w:adjustRightInd w:val="0"/>
              <w:spacing w:before="40" w:after="40"/>
              <w:rPr>
                <w:rFonts w:cs="Arial"/>
                <w:color w:val="000000"/>
                <w:sz w:val="16"/>
                <w:szCs w:val="16"/>
                <w:lang w:eastAsia="ja-JP" w:bidi="th-TH"/>
              </w:rPr>
            </w:pPr>
            <w:r w:rsidRPr="00587732">
              <w:rPr>
                <w:rFonts w:cs="Arial"/>
                <w:color w:val="000000"/>
                <w:sz w:val="16"/>
                <w:szCs w:val="16"/>
                <w:lang w:eastAsia="ja-JP" w:bidi="th-TH"/>
              </w:rPr>
              <w:t>Japan</w:t>
            </w:r>
            <w:r w:rsidRPr="00587732">
              <w:rPr>
                <w:rFonts w:cs="Arial" w:hint="eastAsia"/>
                <w:color w:val="000000"/>
                <w:sz w:val="16"/>
                <w:szCs w:val="16"/>
                <w:lang w:eastAsia="ja-JP" w:bidi="th-TH"/>
              </w:rPr>
              <w:t>/</w:t>
            </w:r>
            <w:r w:rsidRPr="00587732">
              <w:rPr>
                <w:rFonts w:cs="Arial"/>
                <w:color w:val="000000"/>
                <w:sz w:val="16"/>
                <w:szCs w:val="16"/>
                <w:lang w:eastAsia="ja-JP" w:bidi="th-TH"/>
              </w:rPr>
              <w:t xml:space="preserve">China, </w:t>
            </w:r>
            <w:r>
              <w:rPr>
                <w:rFonts w:cs="Arial"/>
                <w:color w:val="000000"/>
                <w:sz w:val="16"/>
                <w:szCs w:val="16"/>
                <w:lang w:eastAsia="ja-JP" w:bidi="th-TH"/>
              </w:rPr>
              <w:t>Egypt,</w:t>
            </w:r>
            <w:r w:rsidRPr="00587732">
              <w:rPr>
                <w:rFonts w:cs="Arial"/>
                <w:color w:val="000000"/>
                <w:sz w:val="16"/>
                <w:szCs w:val="16"/>
                <w:lang w:eastAsia="ja-JP" w:bidi="th-TH"/>
              </w:rPr>
              <w:t xml:space="preserve"> Indonesia, Malaysia, Mexico, </w:t>
            </w:r>
            <w:r>
              <w:rPr>
                <w:rFonts w:cs="Arial"/>
                <w:color w:val="000000"/>
                <w:sz w:val="16"/>
                <w:szCs w:val="16"/>
                <w:lang w:eastAsia="ja-JP" w:bidi="th-TH"/>
              </w:rPr>
              <w:t>Morocco,</w:t>
            </w:r>
            <w:r w:rsidRPr="00587732">
              <w:rPr>
                <w:rFonts w:cs="Arial"/>
                <w:color w:val="000000"/>
                <w:sz w:val="16"/>
                <w:szCs w:val="16"/>
                <w:lang w:eastAsia="ja-JP" w:bidi="th-TH"/>
              </w:rPr>
              <w:t xml:space="preserve"> Pakistan, Philippines, Thai</w:t>
            </w:r>
            <w:r>
              <w:rPr>
                <w:rFonts w:cs="Arial"/>
                <w:color w:val="000000"/>
                <w:sz w:val="16"/>
                <w:szCs w:val="16"/>
                <w:lang w:eastAsia="ja-JP" w:bidi="th-TH"/>
              </w:rPr>
              <w:t xml:space="preserve">land, Viet Nam </w:t>
            </w:r>
            <w:r>
              <w:rPr>
                <w:rFonts w:cs="Arial" w:hint="eastAsia"/>
                <w:color w:val="000000"/>
                <w:sz w:val="16"/>
                <w:szCs w:val="16"/>
                <w:lang w:eastAsia="ja-JP" w:bidi="th-TH"/>
              </w:rPr>
              <w:t xml:space="preserve">and </w:t>
            </w:r>
            <w:r w:rsidRPr="00587732">
              <w:rPr>
                <w:rFonts w:cs="Arial"/>
                <w:color w:val="000000"/>
                <w:sz w:val="16"/>
                <w:szCs w:val="16"/>
                <w:lang w:eastAsia="ja-JP" w:bidi="th-TH"/>
              </w:rPr>
              <w:t>OAPI</w:t>
            </w:r>
          </w:p>
        </w:tc>
        <w:tc>
          <w:tcPr>
            <w:tcW w:w="4132"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To: </w:t>
            </w:r>
            <w:r>
              <w:rPr>
                <w:rFonts w:cs="Arial"/>
                <w:color w:val="000000"/>
                <w:sz w:val="16"/>
                <w:szCs w:val="16"/>
                <w:lang w:eastAsia="ja-JP" w:bidi="th-TH"/>
              </w:rPr>
              <w:t xml:space="preserve"> </w:t>
            </w:r>
            <w:r w:rsidRPr="001C27B6">
              <w:rPr>
                <w:rFonts w:cs="Arial"/>
                <w:color w:val="000000"/>
                <w:sz w:val="16"/>
                <w:szCs w:val="16"/>
                <w:lang w:eastAsia="ja-JP" w:bidi="th-TH"/>
              </w:rPr>
              <w:t xml:space="preserve">(i) acquaint the participants with current trends and modern practices in the examination of patents regarding pharmaceuticals; </w:t>
            </w:r>
            <w:r>
              <w:rPr>
                <w:rFonts w:cs="Arial"/>
                <w:color w:val="000000"/>
                <w:sz w:val="16"/>
                <w:szCs w:val="16"/>
                <w:lang w:eastAsia="ja-JP" w:bidi="th-TH"/>
              </w:rPr>
              <w:t xml:space="preserve"> </w:t>
            </w:r>
            <w:r w:rsidRPr="001C27B6">
              <w:rPr>
                <w:rFonts w:cs="Arial"/>
                <w:color w:val="000000"/>
                <w:sz w:val="16"/>
                <w:szCs w:val="16"/>
                <w:lang w:eastAsia="ja-JP" w:bidi="th-TH"/>
              </w:rPr>
              <w:t xml:space="preserve">(ii) impart practical knowledge and insights on examination methodologies; </w:t>
            </w:r>
            <w:r>
              <w:rPr>
                <w:rFonts w:cs="Arial"/>
                <w:color w:val="000000"/>
                <w:sz w:val="16"/>
                <w:szCs w:val="16"/>
                <w:lang w:eastAsia="ja-JP" w:bidi="th-TH"/>
              </w:rPr>
              <w:t xml:space="preserve"> </w:t>
            </w:r>
            <w:r w:rsidRPr="001C27B6">
              <w:rPr>
                <w:rFonts w:cs="Arial"/>
                <w:color w:val="000000"/>
                <w:sz w:val="16"/>
                <w:szCs w:val="16"/>
                <w:lang w:eastAsia="ja-JP" w:bidi="th-TH"/>
              </w:rPr>
              <w:t xml:space="preserve">(iii) share experiences and views among participants on patent examination issues; </w:t>
            </w:r>
            <w:r>
              <w:rPr>
                <w:rFonts w:cs="Arial"/>
                <w:color w:val="000000"/>
                <w:sz w:val="16"/>
                <w:szCs w:val="16"/>
                <w:lang w:eastAsia="ja-JP" w:bidi="th-TH"/>
              </w:rPr>
              <w:t xml:space="preserve"> </w:t>
            </w:r>
            <w:r w:rsidRPr="001C27B6">
              <w:rPr>
                <w:rFonts w:cs="Arial"/>
                <w:color w:val="000000"/>
                <w:sz w:val="16"/>
                <w:szCs w:val="16"/>
                <w:lang w:eastAsia="ja-JP" w:bidi="th-TH"/>
              </w:rPr>
              <w:t xml:space="preserve">and (iv) enhance participants’ professional capabilities for examination in the field of </w:t>
            </w:r>
            <w:r>
              <w:rPr>
                <w:rFonts w:cs="Arial" w:hint="eastAsia"/>
                <w:color w:val="000000"/>
                <w:sz w:val="16"/>
                <w:szCs w:val="16"/>
                <w:lang w:eastAsia="ja-JP" w:bidi="th-TH"/>
              </w:rPr>
              <w:t>lighting</w:t>
            </w:r>
          </w:p>
        </w:tc>
      </w:tr>
      <w:tr w:rsidR="005703CF" w:rsidRPr="00660313" w:rsidTr="00C24C7E">
        <w:tc>
          <w:tcPr>
            <w:tcW w:w="1847"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 xml:space="preserve">Training Course on the Use of Information Technology in </w:t>
            </w:r>
            <w:r w:rsidRPr="001C27B6">
              <w:rPr>
                <w:rFonts w:cs="Arial"/>
                <w:color w:val="000000"/>
                <w:sz w:val="16"/>
                <w:szCs w:val="16"/>
                <w:lang w:eastAsia="ja-JP" w:bidi="th-TH"/>
              </w:rPr>
              <w:lastRenderedPageBreak/>
              <w:t>Industrial Property Administration</w:t>
            </w:r>
          </w:p>
        </w:tc>
        <w:tc>
          <w:tcPr>
            <w:tcW w:w="1140"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lastRenderedPageBreak/>
              <w:t xml:space="preserve">October 28 to November </w:t>
            </w:r>
            <w:r w:rsidRPr="001C27B6">
              <w:rPr>
                <w:rFonts w:cs="Arial"/>
                <w:color w:val="000000"/>
                <w:sz w:val="16"/>
                <w:szCs w:val="16"/>
                <w:lang w:eastAsia="ja-JP" w:bidi="th-TH"/>
              </w:rPr>
              <w:lastRenderedPageBreak/>
              <w:t>8, 2013</w:t>
            </w:r>
          </w:p>
        </w:tc>
        <w:tc>
          <w:tcPr>
            <w:tcW w:w="1978" w:type="dxa"/>
          </w:tcPr>
          <w:p w:rsidR="005703CF" w:rsidRPr="00ED61F7" w:rsidRDefault="005703CF" w:rsidP="00C24C7E">
            <w:pPr>
              <w:autoSpaceDE w:val="0"/>
              <w:autoSpaceDN w:val="0"/>
              <w:adjustRightInd w:val="0"/>
              <w:spacing w:before="40" w:after="40"/>
              <w:rPr>
                <w:rFonts w:cs="Arial"/>
                <w:color w:val="000000"/>
                <w:sz w:val="16"/>
                <w:szCs w:val="16"/>
                <w:lang w:eastAsia="ja-JP" w:bidi="th-TH"/>
              </w:rPr>
            </w:pPr>
            <w:r w:rsidRPr="00587732">
              <w:rPr>
                <w:rFonts w:cs="Arial"/>
                <w:color w:val="000000"/>
                <w:sz w:val="16"/>
                <w:szCs w:val="16"/>
                <w:lang w:eastAsia="ja-JP" w:bidi="th-TH"/>
              </w:rPr>
              <w:lastRenderedPageBreak/>
              <w:t>Japan</w:t>
            </w:r>
            <w:r w:rsidRPr="00587732">
              <w:rPr>
                <w:rFonts w:cs="Arial" w:hint="eastAsia"/>
                <w:color w:val="000000"/>
                <w:sz w:val="16"/>
                <w:szCs w:val="16"/>
                <w:lang w:eastAsia="ja-JP" w:bidi="th-TH"/>
              </w:rPr>
              <w:t xml:space="preserve">/Brazil, China, India, Indonesia, Malaysia, Philippines, </w:t>
            </w:r>
            <w:r w:rsidRPr="00587732">
              <w:rPr>
                <w:rFonts w:cs="Arial" w:hint="eastAsia"/>
                <w:color w:val="000000"/>
                <w:sz w:val="16"/>
                <w:szCs w:val="16"/>
                <w:lang w:eastAsia="ja-JP" w:bidi="th-TH"/>
              </w:rPr>
              <w:lastRenderedPageBreak/>
              <w:t>Thailand, Turk</w:t>
            </w:r>
            <w:r>
              <w:rPr>
                <w:rFonts w:cs="Arial" w:hint="eastAsia"/>
                <w:color w:val="000000"/>
                <w:sz w:val="16"/>
                <w:szCs w:val="16"/>
                <w:lang w:eastAsia="ja-JP" w:bidi="th-TH"/>
              </w:rPr>
              <w:t>e</w:t>
            </w:r>
            <w:r w:rsidRPr="00587732">
              <w:rPr>
                <w:rFonts w:cs="Arial" w:hint="eastAsia"/>
                <w:color w:val="000000"/>
                <w:sz w:val="16"/>
                <w:szCs w:val="16"/>
                <w:lang w:eastAsia="ja-JP" w:bidi="th-TH"/>
              </w:rPr>
              <w:t>y</w:t>
            </w:r>
            <w:r>
              <w:rPr>
                <w:rFonts w:cs="Arial" w:hint="eastAsia"/>
                <w:color w:val="000000"/>
                <w:sz w:val="16"/>
                <w:szCs w:val="16"/>
                <w:lang w:eastAsia="ja-JP" w:bidi="th-TH"/>
              </w:rPr>
              <w:t xml:space="preserve"> and Viet Nam</w:t>
            </w:r>
          </w:p>
        </w:tc>
        <w:tc>
          <w:tcPr>
            <w:tcW w:w="4132"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lastRenderedPageBreak/>
              <w:t xml:space="preserve">To: </w:t>
            </w:r>
            <w:r>
              <w:rPr>
                <w:rFonts w:cs="Arial"/>
                <w:color w:val="000000"/>
                <w:sz w:val="16"/>
                <w:szCs w:val="16"/>
                <w:lang w:eastAsia="ja-JP" w:bidi="th-TH"/>
              </w:rPr>
              <w:t xml:space="preserve"> </w:t>
            </w:r>
            <w:r>
              <w:rPr>
                <w:rFonts w:cs="Arial" w:hint="eastAsia"/>
                <w:color w:val="000000"/>
                <w:sz w:val="16"/>
                <w:szCs w:val="16"/>
                <w:lang w:eastAsia="ja-JP" w:bidi="th-TH"/>
              </w:rPr>
              <w:t xml:space="preserve">(i) </w:t>
            </w:r>
            <w:r w:rsidRPr="001C27B6">
              <w:rPr>
                <w:rFonts w:cs="Arial"/>
                <w:color w:val="000000"/>
                <w:sz w:val="16"/>
                <w:szCs w:val="16"/>
                <w:lang w:eastAsia="ja-JP" w:bidi="th-TH"/>
              </w:rPr>
              <w:t xml:space="preserve">familiarize the participants with the implications of recent developments in information technology in relation to industrial property administration; </w:t>
            </w:r>
            <w:r>
              <w:rPr>
                <w:rFonts w:cs="Arial"/>
                <w:color w:val="000000"/>
                <w:sz w:val="16"/>
                <w:szCs w:val="16"/>
                <w:lang w:eastAsia="ja-JP" w:bidi="th-TH"/>
              </w:rPr>
              <w:t xml:space="preserve"> </w:t>
            </w:r>
            <w:r>
              <w:rPr>
                <w:rFonts w:cs="Arial" w:hint="eastAsia"/>
                <w:color w:val="000000"/>
                <w:sz w:val="16"/>
                <w:szCs w:val="16"/>
                <w:lang w:eastAsia="ja-JP" w:bidi="th-TH"/>
              </w:rPr>
              <w:t xml:space="preserve">(ii) </w:t>
            </w:r>
            <w:r w:rsidRPr="001C27B6">
              <w:rPr>
                <w:rFonts w:cs="Arial"/>
                <w:color w:val="000000"/>
                <w:sz w:val="16"/>
                <w:szCs w:val="16"/>
                <w:lang w:eastAsia="ja-JP" w:bidi="th-TH"/>
              </w:rPr>
              <w:t xml:space="preserve">impart </w:t>
            </w:r>
            <w:r w:rsidRPr="001C27B6">
              <w:rPr>
                <w:rFonts w:cs="Arial"/>
                <w:color w:val="000000"/>
                <w:sz w:val="16"/>
                <w:szCs w:val="16"/>
                <w:lang w:eastAsia="ja-JP" w:bidi="th-TH"/>
              </w:rPr>
              <w:lastRenderedPageBreak/>
              <w:t xml:space="preserve">practical knowledge of the use of information technology through interactive sessions; </w:t>
            </w:r>
            <w:r>
              <w:rPr>
                <w:rFonts w:cs="Arial"/>
                <w:color w:val="000000"/>
                <w:sz w:val="16"/>
                <w:szCs w:val="16"/>
                <w:lang w:eastAsia="ja-JP" w:bidi="th-TH"/>
              </w:rPr>
              <w:t xml:space="preserve"> and </w:t>
            </w:r>
            <w:r>
              <w:rPr>
                <w:rFonts w:cs="Arial" w:hint="eastAsia"/>
                <w:color w:val="000000"/>
                <w:sz w:val="16"/>
                <w:szCs w:val="16"/>
                <w:lang w:eastAsia="ja-JP" w:bidi="th-TH"/>
              </w:rPr>
              <w:t>(iii)</w:t>
            </w:r>
            <w:r>
              <w:rPr>
                <w:rFonts w:cs="Arial"/>
                <w:color w:val="000000"/>
                <w:sz w:val="16"/>
                <w:szCs w:val="16"/>
                <w:lang w:eastAsia="ja-JP" w:bidi="th-TH"/>
              </w:rPr>
              <w:t> </w:t>
            </w:r>
            <w:r w:rsidRPr="001C27B6">
              <w:rPr>
                <w:rFonts w:cs="Arial"/>
                <w:color w:val="000000"/>
                <w:sz w:val="16"/>
                <w:szCs w:val="16"/>
                <w:lang w:eastAsia="ja-JP" w:bidi="th-TH"/>
              </w:rPr>
              <w:t>exchange views on topical related issues, and thereby enhance the participants’ professional capacities in planning and managing the use of information technology in industrial property administration</w:t>
            </w:r>
          </w:p>
        </w:tc>
      </w:tr>
      <w:tr w:rsidR="005703CF" w:rsidRPr="00660313" w:rsidTr="00C24C7E">
        <w:tc>
          <w:tcPr>
            <w:tcW w:w="1847"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lastRenderedPageBreak/>
              <w:t xml:space="preserve">Training Course on the Examination Practices of Industrial Property Intermediate/  Advanced program </w:t>
            </w:r>
          </w:p>
        </w:tc>
        <w:tc>
          <w:tcPr>
            <w:tcW w:w="1140"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November 11 to 22, 2013</w:t>
            </w:r>
          </w:p>
        </w:tc>
        <w:tc>
          <w:tcPr>
            <w:tcW w:w="1978" w:type="dxa"/>
          </w:tcPr>
          <w:p w:rsidR="005703CF" w:rsidRPr="00ED61F7" w:rsidRDefault="005703CF" w:rsidP="00C24C7E">
            <w:pPr>
              <w:autoSpaceDE w:val="0"/>
              <w:autoSpaceDN w:val="0"/>
              <w:adjustRightInd w:val="0"/>
              <w:spacing w:before="40" w:after="40"/>
              <w:rPr>
                <w:rFonts w:cs="Arial"/>
                <w:color w:val="000000"/>
                <w:sz w:val="16"/>
                <w:szCs w:val="16"/>
                <w:lang w:eastAsia="ja-JP" w:bidi="th-TH"/>
              </w:rPr>
            </w:pPr>
            <w:r w:rsidRPr="00587732">
              <w:rPr>
                <w:rFonts w:cs="Arial"/>
                <w:color w:val="000000"/>
                <w:sz w:val="16"/>
                <w:szCs w:val="16"/>
                <w:lang w:eastAsia="ja-JP" w:bidi="th-TH"/>
              </w:rPr>
              <w:t>Japan/</w:t>
            </w:r>
            <w:r>
              <w:rPr>
                <w:rFonts w:cs="Arial" w:hint="eastAsia"/>
                <w:color w:val="000000"/>
                <w:sz w:val="16"/>
                <w:szCs w:val="16"/>
                <w:lang w:eastAsia="ja-JP" w:bidi="th-TH"/>
              </w:rPr>
              <w:t>Cambodia,</w:t>
            </w:r>
            <w:r>
              <w:rPr>
                <w:rFonts w:cs="Arial"/>
                <w:color w:val="000000"/>
                <w:sz w:val="16"/>
                <w:szCs w:val="16"/>
                <w:lang w:eastAsia="ja-JP" w:bidi="th-TH"/>
              </w:rPr>
              <w:t xml:space="preserve"> </w:t>
            </w:r>
            <w:r>
              <w:rPr>
                <w:rFonts w:cs="Arial" w:hint="eastAsia"/>
                <w:color w:val="000000"/>
                <w:sz w:val="16"/>
                <w:szCs w:val="16"/>
                <w:lang w:eastAsia="ja-JP" w:bidi="th-TH"/>
              </w:rPr>
              <w:t>China, Egypt, Indonesia, Lao</w:t>
            </w:r>
            <w:r>
              <w:rPr>
                <w:rFonts w:cs="Arial"/>
                <w:color w:val="000000"/>
                <w:sz w:val="16"/>
                <w:szCs w:val="16"/>
                <w:lang w:eastAsia="ja-JP" w:bidi="th-TH"/>
              </w:rPr>
              <w:t xml:space="preserve"> </w:t>
            </w:r>
            <w:r w:rsidRPr="000D65D2">
              <w:rPr>
                <w:rFonts w:cs="Arial"/>
                <w:color w:val="000000"/>
                <w:sz w:val="16"/>
                <w:szCs w:val="16"/>
                <w:lang w:eastAsia="ja-JP" w:bidi="th-TH"/>
              </w:rPr>
              <w:t>People’s Democratic Republic</w:t>
            </w:r>
            <w:r>
              <w:rPr>
                <w:rFonts w:cs="Arial" w:hint="eastAsia"/>
                <w:color w:val="000000"/>
                <w:sz w:val="16"/>
                <w:szCs w:val="16"/>
                <w:lang w:eastAsia="ja-JP" w:bidi="th-TH"/>
              </w:rPr>
              <w:t xml:space="preserve">, </w:t>
            </w:r>
            <w:r>
              <w:rPr>
                <w:rFonts w:cs="Arial"/>
                <w:color w:val="000000"/>
                <w:sz w:val="16"/>
                <w:szCs w:val="16"/>
                <w:lang w:eastAsia="ja-JP" w:bidi="th-TH"/>
              </w:rPr>
              <w:t>Morocco</w:t>
            </w:r>
            <w:r>
              <w:rPr>
                <w:rFonts w:cs="Arial" w:hint="eastAsia"/>
                <w:color w:val="000000"/>
                <w:sz w:val="16"/>
                <w:szCs w:val="16"/>
                <w:lang w:eastAsia="ja-JP" w:bidi="th-TH"/>
              </w:rPr>
              <w:t>, Philippines, South</w:t>
            </w:r>
            <w:r>
              <w:rPr>
                <w:rFonts w:cs="Arial"/>
                <w:color w:val="000000"/>
                <w:sz w:val="16"/>
                <w:szCs w:val="16"/>
                <w:lang w:eastAsia="ja-JP" w:bidi="th-TH"/>
              </w:rPr>
              <w:t> </w:t>
            </w:r>
            <w:r>
              <w:rPr>
                <w:rFonts w:cs="Arial" w:hint="eastAsia"/>
                <w:color w:val="000000"/>
                <w:sz w:val="16"/>
                <w:szCs w:val="16"/>
                <w:lang w:eastAsia="ja-JP" w:bidi="th-TH"/>
              </w:rPr>
              <w:t>Africa, Thailand and Viet</w:t>
            </w:r>
            <w:r>
              <w:rPr>
                <w:rFonts w:cs="Arial"/>
                <w:color w:val="000000"/>
                <w:sz w:val="16"/>
                <w:szCs w:val="16"/>
                <w:lang w:eastAsia="ja-JP" w:bidi="th-TH"/>
              </w:rPr>
              <w:t> </w:t>
            </w:r>
            <w:r>
              <w:rPr>
                <w:rFonts w:cs="Arial" w:hint="eastAsia"/>
                <w:color w:val="000000"/>
                <w:sz w:val="16"/>
                <w:szCs w:val="16"/>
                <w:lang w:eastAsia="ja-JP" w:bidi="th-TH"/>
              </w:rPr>
              <w:t>Nam</w:t>
            </w:r>
          </w:p>
        </w:tc>
        <w:tc>
          <w:tcPr>
            <w:tcW w:w="4132"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To</w:t>
            </w:r>
            <w:r w:rsidRPr="001C27B6">
              <w:rPr>
                <w:rFonts w:cs="Arial"/>
                <w:color w:val="000000"/>
                <w:sz w:val="16"/>
                <w:szCs w:val="16"/>
                <w:lang w:eastAsia="ja-JP" w:bidi="th-TH"/>
              </w:rPr>
              <w:t xml:space="preserve"> </w:t>
            </w:r>
            <w:r>
              <w:rPr>
                <w:rFonts w:cs="Arial" w:hint="eastAsia"/>
                <w:color w:val="000000"/>
                <w:sz w:val="16"/>
                <w:szCs w:val="16"/>
                <w:lang w:eastAsia="ja-JP" w:bidi="th-TH"/>
              </w:rPr>
              <w:t xml:space="preserve">impart </w:t>
            </w:r>
            <w:r w:rsidRPr="001C27B6">
              <w:rPr>
                <w:rFonts w:cs="Arial"/>
                <w:color w:val="000000"/>
                <w:sz w:val="16"/>
                <w:szCs w:val="16"/>
                <w:lang w:eastAsia="ja-JP" w:bidi="th-TH"/>
              </w:rPr>
              <w:t>knowledge of the laws and subst</w:t>
            </w:r>
            <w:r>
              <w:rPr>
                <w:rFonts w:cs="Arial"/>
                <w:color w:val="000000"/>
                <w:sz w:val="16"/>
                <w:szCs w:val="16"/>
                <w:lang w:eastAsia="ja-JP" w:bidi="th-TH"/>
              </w:rPr>
              <w:t>antive examination procedures</w:t>
            </w:r>
            <w:r w:rsidRPr="001C27B6">
              <w:rPr>
                <w:rFonts w:cs="Arial"/>
                <w:color w:val="000000"/>
                <w:sz w:val="16"/>
                <w:szCs w:val="16"/>
                <w:lang w:eastAsia="ja-JP" w:bidi="th-TH"/>
              </w:rPr>
              <w:t xml:space="preserve"> of examination of industrial property</w:t>
            </w:r>
          </w:p>
        </w:tc>
      </w:tr>
      <w:tr w:rsidR="005703CF" w:rsidRPr="00660313" w:rsidTr="00C24C7E">
        <w:trPr>
          <w:trHeight w:val="1655"/>
        </w:trPr>
        <w:tc>
          <w:tcPr>
            <w:tcW w:w="1847"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Training Course on Enforcement of Intellectual Property Rights (IPRs)</w:t>
            </w:r>
          </w:p>
        </w:tc>
        <w:tc>
          <w:tcPr>
            <w:tcW w:w="1140"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sidRPr="001C27B6">
              <w:rPr>
                <w:rFonts w:cs="Arial"/>
                <w:color w:val="000000"/>
                <w:sz w:val="16"/>
                <w:szCs w:val="16"/>
                <w:lang w:eastAsia="ja-JP" w:bidi="th-TH"/>
              </w:rPr>
              <w:t>December 2 to 13, 2013</w:t>
            </w:r>
          </w:p>
        </w:tc>
        <w:tc>
          <w:tcPr>
            <w:tcW w:w="1978" w:type="dxa"/>
          </w:tcPr>
          <w:p w:rsidR="005703CF" w:rsidRPr="00ED61F7" w:rsidRDefault="005703CF" w:rsidP="00C24C7E">
            <w:pPr>
              <w:autoSpaceDE w:val="0"/>
              <w:autoSpaceDN w:val="0"/>
              <w:adjustRightInd w:val="0"/>
              <w:spacing w:before="40" w:after="40"/>
              <w:rPr>
                <w:rFonts w:cs="Arial"/>
                <w:color w:val="000000"/>
                <w:sz w:val="16"/>
                <w:szCs w:val="16"/>
                <w:lang w:eastAsia="ja-JP" w:bidi="th-TH"/>
              </w:rPr>
            </w:pPr>
            <w:r w:rsidRPr="00587732">
              <w:rPr>
                <w:rFonts w:cs="Arial" w:hint="eastAsia"/>
                <w:color w:val="000000"/>
                <w:sz w:val="16"/>
                <w:szCs w:val="16"/>
                <w:lang w:eastAsia="ja-JP" w:bidi="th-TH"/>
              </w:rPr>
              <w:t>Japan/</w:t>
            </w:r>
            <w:r>
              <w:rPr>
                <w:rFonts w:cs="Arial" w:hint="eastAsia"/>
                <w:color w:val="000000"/>
                <w:sz w:val="16"/>
                <w:szCs w:val="16"/>
                <w:lang w:eastAsia="ja-JP" w:bidi="th-TH"/>
              </w:rPr>
              <w:t>Bangladesh, Brazil, Egypt, India, Indonesia, Lao</w:t>
            </w:r>
            <w:r>
              <w:rPr>
                <w:rFonts w:cs="Arial"/>
                <w:color w:val="000000"/>
                <w:sz w:val="16"/>
                <w:szCs w:val="16"/>
                <w:lang w:eastAsia="ja-JP" w:bidi="th-TH"/>
              </w:rPr>
              <w:t xml:space="preserve"> </w:t>
            </w:r>
            <w:r w:rsidRPr="000D65D2">
              <w:rPr>
                <w:rFonts w:cs="Arial"/>
                <w:color w:val="000000"/>
                <w:sz w:val="16"/>
                <w:szCs w:val="16"/>
                <w:lang w:eastAsia="ja-JP" w:bidi="th-TH"/>
              </w:rPr>
              <w:t>People’s Democratic Republic</w:t>
            </w:r>
            <w:r>
              <w:rPr>
                <w:rFonts w:cs="Arial" w:hint="eastAsia"/>
                <w:color w:val="000000"/>
                <w:sz w:val="16"/>
                <w:szCs w:val="16"/>
                <w:lang w:eastAsia="ja-JP" w:bidi="th-TH"/>
              </w:rPr>
              <w:t>, Malaysia, Mongolia, Pakistan, Philippines, Sri</w:t>
            </w:r>
            <w:r>
              <w:rPr>
                <w:rFonts w:cs="Arial"/>
                <w:color w:val="000000"/>
                <w:sz w:val="16"/>
                <w:szCs w:val="16"/>
                <w:lang w:eastAsia="ja-JP" w:bidi="th-TH"/>
              </w:rPr>
              <w:t> </w:t>
            </w:r>
            <w:r>
              <w:rPr>
                <w:rFonts w:cs="Arial" w:hint="eastAsia"/>
                <w:color w:val="000000"/>
                <w:sz w:val="16"/>
                <w:szCs w:val="16"/>
                <w:lang w:eastAsia="ja-JP" w:bidi="th-TH"/>
              </w:rPr>
              <w:t>Lanka, Thailand, Viet</w:t>
            </w:r>
            <w:r>
              <w:rPr>
                <w:rFonts w:cs="Arial"/>
                <w:color w:val="000000"/>
                <w:sz w:val="16"/>
                <w:szCs w:val="16"/>
                <w:lang w:eastAsia="ja-JP" w:bidi="th-TH"/>
              </w:rPr>
              <w:t> </w:t>
            </w:r>
            <w:r>
              <w:rPr>
                <w:rFonts w:cs="Arial" w:hint="eastAsia"/>
                <w:color w:val="000000"/>
                <w:sz w:val="16"/>
                <w:szCs w:val="16"/>
                <w:lang w:eastAsia="ja-JP" w:bidi="th-TH"/>
              </w:rPr>
              <w:t>Nam, EAPO, ARIPO and OAPI</w:t>
            </w:r>
          </w:p>
        </w:tc>
        <w:tc>
          <w:tcPr>
            <w:tcW w:w="4132"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To</w:t>
            </w:r>
            <w:r w:rsidRPr="001C27B6">
              <w:rPr>
                <w:rFonts w:cs="Arial"/>
                <w:color w:val="000000"/>
                <w:sz w:val="16"/>
                <w:szCs w:val="16"/>
                <w:lang w:eastAsia="ja-JP" w:bidi="th-TH"/>
              </w:rPr>
              <w:t xml:space="preserve">: </w:t>
            </w:r>
            <w:r>
              <w:rPr>
                <w:rFonts w:cs="Arial"/>
                <w:color w:val="000000"/>
                <w:sz w:val="16"/>
                <w:szCs w:val="16"/>
                <w:lang w:eastAsia="ja-JP" w:bidi="th-TH"/>
              </w:rPr>
              <w:t xml:space="preserve"> </w:t>
            </w:r>
            <w:r w:rsidRPr="001C27B6">
              <w:rPr>
                <w:rFonts w:cs="Arial"/>
                <w:color w:val="000000"/>
                <w:sz w:val="16"/>
                <w:szCs w:val="16"/>
                <w:lang w:eastAsia="ja-JP" w:bidi="th-TH"/>
              </w:rPr>
              <w:t xml:space="preserve">(i) review current trends and practices in the area of IPR enforcement; </w:t>
            </w:r>
            <w:r>
              <w:rPr>
                <w:rFonts w:cs="Arial"/>
                <w:color w:val="000000"/>
                <w:sz w:val="16"/>
                <w:szCs w:val="16"/>
                <w:lang w:eastAsia="ja-JP" w:bidi="th-TH"/>
              </w:rPr>
              <w:t xml:space="preserve"> </w:t>
            </w:r>
            <w:r w:rsidRPr="001C27B6">
              <w:rPr>
                <w:rFonts w:cs="Arial"/>
                <w:color w:val="000000"/>
                <w:sz w:val="16"/>
                <w:szCs w:val="16"/>
                <w:lang w:eastAsia="ja-JP" w:bidi="th-TH"/>
              </w:rPr>
              <w:t>(ii) examine the justification, elements, investigation, prosecution of, and liabilities for, IP c</w:t>
            </w:r>
            <w:r>
              <w:rPr>
                <w:rFonts w:cs="Arial"/>
                <w:color w:val="000000"/>
                <w:sz w:val="16"/>
                <w:szCs w:val="16"/>
                <w:lang w:eastAsia="ja-JP" w:bidi="th-TH"/>
              </w:rPr>
              <w:t>rimes and infringements;  and (i</w:t>
            </w:r>
            <w:r>
              <w:rPr>
                <w:rFonts w:cs="Arial" w:hint="eastAsia"/>
                <w:color w:val="000000"/>
                <w:sz w:val="16"/>
                <w:szCs w:val="16"/>
                <w:lang w:eastAsia="ja-JP" w:bidi="th-TH"/>
              </w:rPr>
              <w:t>i</w:t>
            </w:r>
            <w:r>
              <w:rPr>
                <w:rFonts w:cs="Arial"/>
                <w:color w:val="000000"/>
                <w:sz w:val="16"/>
                <w:szCs w:val="16"/>
                <w:lang w:eastAsia="ja-JP" w:bidi="th-TH"/>
              </w:rPr>
              <w:t>i</w:t>
            </w:r>
            <w:r w:rsidRPr="001C27B6">
              <w:rPr>
                <w:rFonts w:cs="Arial"/>
                <w:color w:val="000000"/>
                <w:sz w:val="16"/>
                <w:szCs w:val="16"/>
                <w:lang w:eastAsia="ja-JP" w:bidi="th-TH"/>
              </w:rPr>
              <w:t>) discuss various topical policy issues relating to IP enforcement</w:t>
            </w:r>
          </w:p>
        </w:tc>
      </w:tr>
      <w:tr w:rsidR="005703CF" w:rsidRPr="00660313" w:rsidTr="00C24C7E">
        <w:trPr>
          <w:trHeight w:val="1161"/>
        </w:trPr>
        <w:tc>
          <w:tcPr>
            <w:tcW w:w="1847"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Research</w:t>
            </w:r>
            <w:r>
              <w:rPr>
                <w:rFonts w:cs="Arial" w:hint="eastAsia"/>
                <w:color w:val="000000"/>
                <w:sz w:val="16"/>
                <w:szCs w:val="16"/>
                <w:lang w:eastAsia="ja-JP" w:bidi="th-TH"/>
              </w:rPr>
              <w:t xml:space="preserve"> by WIPO Japan Office on Successful Cases linking Business and IP </w:t>
            </w:r>
          </w:p>
        </w:tc>
        <w:tc>
          <w:tcPr>
            <w:tcW w:w="1140" w:type="dxa"/>
          </w:tcPr>
          <w:p w:rsidR="005703CF" w:rsidRPr="001C27B6"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January to December 2013</w:t>
            </w:r>
          </w:p>
        </w:tc>
        <w:tc>
          <w:tcPr>
            <w:tcW w:w="1978" w:type="dxa"/>
          </w:tcPr>
          <w:p w:rsidR="005703CF" w:rsidRPr="003C18E2" w:rsidRDefault="005703CF" w:rsidP="00C24C7E">
            <w:pPr>
              <w:autoSpaceDE w:val="0"/>
              <w:autoSpaceDN w:val="0"/>
              <w:adjustRightInd w:val="0"/>
              <w:spacing w:before="40" w:after="40"/>
              <w:rPr>
                <w:rFonts w:cs="Arial"/>
                <w:color w:val="000000"/>
                <w:spacing w:val="-2"/>
                <w:sz w:val="16"/>
                <w:szCs w:val="16"/>
                <w:lang w:eastAsia="ja-JP" w:bidi="th-TH"/>
              </w:rPr>
            </w:pPr>
            <w:r w:rsidRPr="003C18E2">
              <w:rPr>
                <w:rFonts w:cs="Arial" w:hint="eastAsia"/>
                <w:color w:val="000000"/>
                <w:spacing w:val="-2"/>
                <w:sz w:val="16"/>
                <w:szCs w:val="16"/>
                <w:lang w:eastAsia="ja-JP" w:bidi="th-TH"/>
              </w:rPr>
              <w:t xml:space="preserve">All WIPO </w:t>
            </w:r>
            <w:r w:rsidRPr="003C18E2">
              <w:rPr>
                <w:rFonts w:cs="Arial"/>
                <w:color w:val="000000"/>
                <w:spacing w:val="-2"/>
                <w:sz w:val="16"/>
                <w:szCs w:val="16"/>
                <w:lang w:eastAsia="ja-JP" w:bidi="th-TH"/>
              </w:rPr>
              <w:t>M</w:t>
            </w:r>
            <w:r w:rsidRPr="003C18E2">
              <w:rPr>
                <w:rFonts w:cs="Arial" w:hint="eastAsia"/>
                <w:color w:val="000000"/>
                <w:spacing w:val="-2"/>
                <w:sz w:val="16"/>
                <w:szCs w:val="16"/>
                <w:lang w:eastAsia="ja-JP" w:bidi="th-TH"/>
              </w:rPr>
              <w:t xml:space="preserve">ember </w:t>
            </w:r>
            <w:r w:rsidRPr="003C18E2">
              <w:rPr>
                <w:rFonts w:cs="Arial"/>
                <w:color w:val="000000"/>
                <w:spacing w:val="-2"/>
                <w:sz w:val="16"/>
                <w:szCs w:val="16"/>
                <w:lang w:eastAsia="ja-JP" w:bidi="th-TH"/>
              </w:rPr>
              <w:t>S</w:t>
            </w:r>
            <w:r w:rsidRPr="003C18E2">
              <w:rPr>
                <w:rFonts w:cs="Arial" w:hint="eastAsia"/>
                <w:color w:val="000000"/>
                <w:spacing w:val="-2"/>
                <w:sz w:val="16"/>
                <w:szCs w:val="16"/>
                <w:lang w:eastAsia="ja-JP" w:bidi="th-TH"/>
              </w:rPr>
              <w:t>tates</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w:t>
            </w:r>
            <w:r w:rsidRPr="00463E3E">
              <w:rPr>
                <w:rFonts w:cs="Arial"/>
                <w:color w:val="000000"/>
                <w:sz w:val="16"/>
                <w:szCs w:val="16"/>
                <w:lang w:eastAsia="ja-JP" w:bidi="th-TH"/>
              </w:rPr>
              <w:t>o undertake research and collection of successful cases</w:t>
            </w:r>
            <w:r>
              <w:rPr>
                <w:rFonts w:cs="Arial" w:hint="eastAsia"/>
                <w:color w:val="000000"/>
                <w:sz w:val="16"/>
                <w:szCs w:val="16"/>
                <w:lang w:eastAsia="ja-JP" w:bidi="th-TH"/>
              </w:rPr>
              <w:t xml:space="preserve"> </w:t>
            </w:r>
            <w:r w:rsidRPr="00463E3E">
              <w:rPr>
                <w:rFonts w:cs="Arial"/>
                <w:color w:val="000000"/>
                <w:sz w:val="16"/>
                <w:szCs w:val="16"/>
                <w:lang w:eastAsia="ja-JP" w:bidi="th-TH"/>
              </w:rPr>
              <w:t>linking business and IP, by the WIPO Japan Office, with particular e</w:t>
            </w:r>
            <w:r>
              <w:rPr>
                <w:rFonts w:cs="Arial"/>
                <w:color w:val="000000"/>
                <w:sz w:val="16"/>
                <w:szCs w:val="16"/>
                <w:lang w:eastAsia="ja-JP" w:bidi="th-TH"/>
              </w:rPr>
              <w:t>mphasis on cases associated wit</w:t>
            </w:r>
            <w:r>
              <w:rPr>
                <w:rFonts w:cs="Arial" w:hint="eastAsia"/>
                <w:color w:val="000000"/>
                <w:sz w:val="16"/>
                <w:szCs w:val="16"/>
                <w:lang w:eastAsia="ja-JP" w:bidi="th-TH"/>
              </w:rPr>
              <w:t xml:space="preserve">h </w:t>
            </w:r>
            <w:r w:rsidRPr="00463E3E">
              <w:rPr>
                <w:rFonts w:cs="Arial"/>
                <w:color w:val="000000"/>
                <w:sz w:val="16"/>
                <w:szCs w:val="16"/>
                <w:lang w:eastAsia="ja-JP" w:bidi="th-TH"/>
              </w:rPr>
              <w:t xml:space="preserve">developing countries. </w:t>
            </w:r>
            <w:r>
              <w:rPr>
                <w:rFonts w:cs="Arial"/>
                <w:color w:val="000000"/>
                <w:sz w:val="16"/>
                <w:szCs w:val="16"/>
                <w:lang w:eastAsia="ja-JP" w:bidi="th-TH"/>
              </w:rPr>
              <w:t xml:space="preserve"> </w:t>
            </w:r>
            <w:r w:rsidRPr="00463E3E">
              <w:rPr>
                <w:rFonts w:cs="Arial"/>
                <w:color w:val="000000"/>
                <w:sz w:val="16"/>
                <w:szCs w:val="16"/>
                <w:lang w:eastAsia="ja-JP" w:bidi="th-TH"/>
              </w:rPr>
              <w:t>This would also enrich the IP Advantage Database</w:t>
            </w:r>
          </w:p>
        </w:tc>
      </w:tr>
      <w:tr w:rsidR="005703CF" w:rsidRPr="00660313" w:rsidTr="00C24C7E">
        <w:trPr>
          <w:trHeight w:val="806"/>
        </w:trPr>
        <w:tc>
          <w:tcPr>
            <w:tcW w:w="1847"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Translation of WIPO </w:t>
            </w:r>
            <w:r>
              <w:rPr>
                <w:rFonts w:cs="Arial"/>
                <w:color w:val="000000"/>
                <w:sz w:val="16"/>
                <w:szCs w:val="16"/>
                <w:lang w:eastAsia="ja-JP" w:bidi="th-TH"/>
              </w:rPr>
              <w:t>Publication</w:t>
            </w:r>
          </w:p>
        </w:tc>
        <w:tc>
          <w:tcPr>
            <w:tcW w:w="1140"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January to December 2013</w:t>
            </w:r>
          </w:p>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 xml:space="preserve"> (Initiated </w:t>
            </w:r>
            <w:r>
              <w:rPr>
                <w:rFonts w:cs="Arial" w:hint="eastAsia"/>
                <w:color w:val="000000"/>
                <w:sz w:val="16"/>
                <w:szCs w:val="16"/>
                <w:lang w:eastAsia="ja-JP" w:bidi="th-TH"/>
              </w:rPr>
              <w:t>November 2011)</w:t>
            </w:r>
          </w:p>
        </w:tc>
        <w:tc>
          <w:tcPr>
            <w:tcW w:w="1978"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Viet Nam</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On-going translation into Vietnamese of t</w:t>
            </w:r>
            <w:r>
              <w:rPr>
                <w:rFonts w:cs="Arial" w:hint="eastAsia"/>
                <w:color w:val="000000"/>
                <w:sz w:val="16"/>
                <w:szCs w:val="16"/>
                <w:lang w:eastAsia="ja-JP" w:bidi="th-TH"/>
              </w:rPr>
              <w:t xml:space="preserve">he WIPO publication: </w:t>
            </w:r>
            <w:r>
              <w:rPr>
                <w:rFonts w:cs="Arial"/>
                <w:color w:val="000000"/>
                <w:sz w:val="16"/>
                <w:szCs w:val="16"/>
                <w:lang w:eastAsia="ja-JP" w:bidi="th-TH"/>
              </w:rPr>
              <w:t xml:space="preserve"> </w:t>
            </w:r>
            <w:r>
              <w:rPr>
                <w:rFonts w:cs="Arial" w:hint="eastAsia"/>
                <w:color w:val="000000"/>
                <w:sz w:val="16"/>
                <w:szCs w:val="16"/>
                <w:lang w:eastAsia="ja-JP" w:bidi="th-TH"/>
              </w:rPr>
              <w:t>Making IP Work for Business (WIPO</w:t>
            </w:r>
            <w:r>
              <w:rPr>
                <w:rFonts w:cs="Arial"/>
                <w:color w:val="000000"/>
                <w:sz w:val="16"/>
                <w:szCs w:val="16"/>
                <w:lang w:eastAsia="ja-JP" w:bidi="th-TH"/>
              </w:rPr>
              <w:t> </w:t>
            </w:r>
            <w:r>
              <w:rPr>
                <w:rFonts w:cs="Arial" w:hint="eastAsia"/>
                <w:color w:val="000000"/>
                <w:sz w:val="16"/>
                <w:szCs w:val="16"/>
                <w:lang w:eastAsia="ja-JP" w:bidi="th-TH"/>
              </w:rPr>
              <w:t>Publication No. 956)</w:t>
            </w:r>
          </w:p>
        </w:tc>
      </w:tr>
      <w:tr w:rsidR="005703CF" w:rsidRPr="00660313" w:rsidTr="00C24C7E">
        <w:trPr>
          <w:trHeight w:val="816"/>
        </w:trPr>
        <w:tc>
          <w:tcPr>
            <w:tcW w:w="1847"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Translation of WIPO </w:t>
            </w:r>
            <w:r>
              <w:rPr>
                <w:rFonts w:cs="Arial"/>
                <w:color w:val="000000"/>
                <w:sz w:val="16"/>
                <w:szCs w:val="16"/>
                <w:lang w:eastAsia="ja-JP" w:bidi="th-TH"/>
              </w:rPr>
              <w:t>Publication</w:t>
            </w:r>
          </w:p>
        </w:tc>
        <w:tc>
          <w:tcPr>
            <w:tcW w:w="1140"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January to December 2013</w:t>
            </w:r>
          </w:p>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 xml:space="preserve">(Initiated </w:t>
            </w:r>
            <w:r>
              <w:rPr>
                <w:rFonts w:cs="Arial" w:hint="eastAsia"/>
                <w:color w:val="000000"/>
                <w:sz w:val="16"/>
                <w:szCs w:val="16"/>
                <w:lang w:eastAsia="ja-JP" w:bidi="th-TH"/>
              </w:rPr>
              <w:t>December 2012)</w:t>
            </w:r>
          </w:p>
        </w:tc>
        <w:tc>
          <w:tcPr>
            <w:tcW w:w="1978"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Cambodia</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On-going translation into Khmer of t</w:t>
            </w:r>
            <w:r>
              <w:rPr>
                <w:rFonts w:cs="Arial" w:hint="eastAsia"/>
                <w:color w:val="000000"/>
                <w:sz w:val="16"/>
                <w:szCs w:val="16"/>
                <w:lang w:eastAsia="ja-JP" w:bidi="th-TH"/>
              </w:rPr>
              <w:t xml:space="preserve">he WIPO publication: </w:t>
            </w:r>
            <w:r>
              <w:rPr>
                <w:rFonts w:cs="Arial"/>
                <w:color w:val="000000"/>
                <w:sz w:val="16"/>
                <w:szCs w:val="16"/>
                <w:lang w:eastAsia="ja-JP" w:bidi="th-TH"/>
              </w:rPr>
              <w:t xml:space="preserve"> </w:t>
            </w:r>
            <w:r>
              <w:rPr>
                <w:rFonts w:cs="Arial" w:hint="eastAsia"/>
                <w:color w:val="000000"/>
                <w:sz w:val="16"/>
                <w:szCs w:val="16"/>
                <w:lang w:eastAsia="ja-JP" w:bidi="th-TH"/>
              </w:rPr>
              <w:t>Guide to the International Registration of Marks (WIPO Publication No. 455)</w:t>
            </w:r>
          </w:p>
        </w:tc>
      </w:tr>
      <w:tr w:rsidR="005703CF" w:rsidRPr="00660313" w:rsidTr="00C24C7E">
        <w:trPr>
          <w:trHeight w:val="881"/>
        </w:trPr>
        <w:tc>
          <w:tcPr>
            <w:tcW w:w="1847"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Translation </w:t>
            </w:r>
            <w:r w:rsidRPr="006530C3">
              <w:rPr>
                <w:rFonts w:cs="Arial"/>
                <w:color w:val="000000"/>
                <w:sz w:val="16"/>
                <w:szCs w:val="16"/>
                <w:lang w:eastAsia="ja-JP" w:bidi="th-TH"/>
              </w:rPr>
              <w:t>of WIPO Publication</w:t>
            </w:r>
          </w:p>
        </w:tc>
        <w:tc>
          <w:tcPr>
            <w:tcW w:w="1140"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 xml:space="preserve">January to December 2013 </w:t>
            </w:r>
          </w:p>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 xml:space="preserve">(Initiated </w:t>
            </w:r>
            <w:r>
              <w:rPr>
                <w:rFonts w:cs="Arial" w:hint="eastAsia"/>
                <w:color w:val="000000"/>
                <w:sz w:val="16"/>
                <w:szCs w:val="16"/>
                <w:lang w:eastAsia="ja-JP" w:bidi="th-TH"/>
              </w:rPr>
              <w:t>October 2012</w:t>
            </w:r>
            <w:r>
              <w:rPr>
                <w:rFonts w:cs="Arial"/>
                <w:color w:val="000000"/>
                <w:sz w:val="16"/>
                <w:szCs w:val="16"/>
                <w:lang w:eastAsia="ja-JP" w:bidi="th-TH"/>
              </w:rPr>
              <w:t>)</w:t>
            </w:r>
          </w:p>
        </w:tc>
        <w:tc>
          <w:tcPr>
            <w:tcW w:w="1978"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All ASEAN </w:t>
            </w:r>
            <w:r>
              <w:rPr>
                <w:rFonts w:cs="Arial"/>
                <w:color w:val="000000"/>
                <w:sz w:val="16"/>
                <w:szCs w:val="16"/>
                <w:lang w:eastAsia="ja-JP" w:bidi="th-TH"/>
              </w:rPr>
              <w:t>M</w:t>
            </w:r>
            <w:r>
              <w:rPr>
                <w:rFonts w:cs="Arial" w:hint="eastAsia"/>
                <w:color w:val="000000"/>
                <w:sz w:val="16"/>
                <w:szCs w:val="16"/>
                <w:lang w:eastAsia="ja-JP" w:bidi="th-TH"/>
              </w:rPr>
              <w:t xml:space="preserve">ember </w:t>
            </w:r>
            <w:r>
              <w:rPr>
                <w:rFonts w:cs="Arial"/>
                <w:color w:val="000000"/>
                <w:sz w:val="16"/>
                <w:szCs w:val="16"/>
                <w:lang w:eastAsia="ja-JP" w:bidi="th-TH"/>
              </w:rPr>
              <w:t>S</w:t>
            </w:r>
            <w:r>
              <w:rPr>
                <w:rFonts w:cs="Arial" w:hint="eastAsia"/>
                <w:color w:val="000000"/>
                <w:sz w:val="16"/>
                <w:szCs w:val="16"/>
                <w:lang w:eastAsia="ja-JP" w:bidi="th-TH"/>
              </w:rPr>
              <w:t>tates</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Translation and printing of </w:t>
            </w:r>
            <w:r>
              <w:rPr>
                <w:rFonts w:cs="Arial"/>
                <w:color w:val="000000"/>
                <w:sz w:val="16"/>
                <w:szCs w:val="16"/>
                <w:lang w:eastAsia="ja-JP" w:bidi="th-TH"/>
              </w:rPr>
              <w:t>“</w:t>
            </w:r>
            <w:r>
              <w:rPr>
                <w:rFonts w:cs="Arial" w:hint="eastAsia"/>
                <w:color w:val="000000"/>
                <w:sz w:val="16"/>
                <w:szCs w:val="16"/>
                <w:lang w:eastAsia="ja-JP" w:bidi="th-TH"/>
              </w:rPr>
              <w:t>HONMONO</w:t>
            </w:r>
            <w:r>
              <w:rPr>
                <w:rFonts w:cs="Arial"/>
                <w:color w:val="000000"/>
                <w:sz w:val="16"/>
                <w:szCs w:val="16"/>
                <w:lang w:eastAsia="ja-JP" w:bidi="th-TH"/>
              </w:rPr>
              <w:t>”</w:t>
            </w:r>
            <w:r>
              <w:rPr>
                <w:rFonts w:cs="Arial" w:hint="eastAsia"/>
                <w:color w:val="000000"/>
                <w:sz w:val="16"/>
                <w:szCs w:val="16"/>
                <w:lang w:eastAsia="ja-JP" w:bidi="th-TH"/>
              </w:rPr>
              <w:t xml:space="preserve"> into languages of ASEAN countries is in progress</w:t>
            </w:r>
            <w:r>
              <w:rPr>
                <w:rFonts w:cs="Arial"/>
                <w:color w:val="000000"/>
                <w:sz w:val="16"/>
                <w:szCs w:val="16"/>
                <w:lang w:eastAsia="ja-JP" w:bidi="th-TH"/>
              </w:rPr>
              <w:t xml:space="preserve"> </w:t>
            </w:r>
            <w:r>
              <w:rPr>
                <w:rFonts w:cs="Arial" w:hint="eastAsia"/>
                <w:color w:val="000000"/>
                <w:sz w:val="16"/>
                <w:szCs w:val="16"/>
                <w:lang w:eastAsia="ja-JP" w:bidi="th-TH"/>
              </w:rPr>
              <w:t xml:space="preserve"> (WIPO Publication No. 1028)</w:t>
            </w:r>
          </w:p>
        </w:tc>
      </w:tr>
      <w:tr w:rsidR="005703CF" w:rsidRPr="00660313" w:rsidTr="00C24C7E">
        <w:trPr>
          <w:trHeight w:val="634"/>
        </w:trPr>
        <w:tc>
          <w:tcPr>
            <w:tcW w:w="1847"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Translation of Laws</w:t>
            </w:r>
          </w:p>
        </w:tc>
        <w:tc>
          <w:tcPr>
            <w:tcW w:w="1140"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July 2013  (Initiated)</w:t>
            </w:r>
          </w:p>
        </w:tc>
        <w:tc>
          <w:tcPr>
            <w:tcW w:w="1978"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Maldives</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T</w:t>
            </w:r>
            <w:r>
              <w:rPr>
                <w:rFonts w:cs="Arial" w:hint="eastAsia"/>
                <w:color w:val="000000"/>
                <w:sz w:val="16"/>
                <w:szCs w:val="16"/>
                <w:lang w:eastAsia="ja-JP" w:bidi="th-TH"/>
              </w:rPr>
              <w:t>he national draft laws on trademarks and geographical indications are being translated into the local language</w:t>
            </w:r>
          </w:p>
        </w:tc>
      </w:tr>
      <w:tr w:rsidR="005703CF" w:rsidRPr="00660313" w:rsidTr="00C24C7E">
        <w:trPr>
          <w:trHeight w:val="387"/>
        </w:trPr>
        <w:tc>
          <w:tcPr>
            <w:tcW w:w="1847"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Provision of IP Reference Material </w:t>
            </w:r>
          </w:p>
        </w:tc>
        <w:tc>
          <w:tcPr>
            <w:tcW w:w="1140"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November 2013 (Initiated)</w:t>
            </w:r>
          </w:p>
        </w:tc>
        <w:tc>
          <w:tcPr>
            <w:tcW w:w="1978"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hint="eastAsia"/>
                <w:color w:val="000000"/>
                <w:sz w:val="16"/>
                <w:szCs w:val="16"/>
                <w:lang w:eastAsia="ja-JP" w:bidi="th-TH"/>
              </w:rPr>
              <w:t xml:space="preserve">Cambodia </w:t>
            </w:r>
            <w:r>
              <w:rPr>
                <w:rFonts w:cs="Arial"/>
                <w:color w:val="000000"/>
                <w:sz w:val="16"/>
                <w:szCs w:val="16"/>
                <w:lang w:eastAsia="ja-JP" w:bidi="th-TH"/>
              </w:rPr>
              <w:t xml:space="preserve">and </w:t>
            </w:r>
            <w:r>
              <w:rPr>
                <w:rFonts w:cs="Arial" w:hint="eastAsia"/>
                <w:color w:val="000000"/>
                <w:sz w:val="16"/>
                <w:szCs w:val="16"/>
                <w:lang w:eastAsia="ja-JP" w:bidi="th-TH"/>
              </w:rPr>
              <w:t>Myanmar</w:t>
            </w:r>
          </w:p>
        </w:tc>
        <w:tc>
          <w:tcPr>
            <w:tcW w:w="4132" w:type="dxa"/>
          </w:tcPr>
          <w:p w:rsidR="005703CF" w:rsidRDefault="005703CF" w:rsidP="00C24C7E">
            <w:pPr>
              <w:autoSpaceDE w:val="0"/>
              <w:autoSpaceDN w:val="0"/>
              <w:adjustRightInd w:val="0"/>
              <w:spacing w:before="40" w:after="40"/>
              <w:rPr>
                <w:rFonts w:cs="Arial"/>
                <w:color w:val="000000"/>
                <w:sz w:val="16"/>
                <w:szCs w:val="16"/>
                <w:lang w:eastAsia="ja-JP" w:bidi="th-TH"/>
              </w:rPr>
            </w:pPr>
            <w:r>
              <w:rPr>
                <w:rFonts w:cs="Arial"/>
                <w:color w:val="000000"/>
                <w:sz w:val="16"/>
                <w:szCs w:val="16"/>
                <w:lang w:eastAsia="ja-JP" w:bidi="th-TH"/>
              </w:rPr>
              <w:t>O</w:t>
            </w:r>
            <w:r>
              <w:rPr>
                <w:rFonts w:cs="Arial" w:hint="eastAsia"/>
                <w:color w:val="000000"/>
                <w:sz w:val="16"/>
                <w:szCs w:val="16"/>
                <w:lang w:eastAsia="ja-JP" w:bidi="th-TH"/>
              </w:rPr>
              <w:t>ne set of IP reference materials was provided to the Ministry of Science and Technology of Myanmar, and another set is being provided to Ministry of Commerce of Cambodia</w:t>
            </w:r>
          </w:p>
        </w:tc>
      </w:tr>
    </w:tbl>
    <w:p w:rsidR="005703CF" w:rsidRDefault="005703CF" w:rsidP="005703CF">
      <w:pPr>
        <w:keepNext/>
        <w:keepLines/>
        <w:rPr>
          <w:rFonts w:cs="Arial"/>
          <w:b/>
          <w:szCs w:val="20"/>
        </w:rPr>
      </w:pPr>
    </w:p>
    <w:p w:rsidR="005703CF" w:rsidRDefault="005703CF" w:rsidP="005703CF">
      <w:pPr>
        <w:keepNext/>
        <w:keepLines/>
        <w:rPr>
          <w:rFonts w:cs="Arial"/>
          <w:b/>
          <w:szCs w:val="20"/>
        </w:rPr>
      </w:pPr>
    </w:p>
    <w:p w:rsidR="005703CF" w:rsidRDefault="005703CF" w:rsidP="005703CF">
      <w:pPr>
        <w:rPr>
          <w:rFonts w:cs="Arial"/>
          <w:sz w:val="18"/>
          <w:szCs w:val="18"/>
        </w:rPr>
      </w:pPr>
    </w:p>
    <w:p w:rsidR="005703CF" w:rsidRPr="00280DA3" w:rsidRDefault="005703CF" w:rsidP="005703CF">
      <w:pPr>
        <w:rPr>
          <w:rFonts w:cs="Arial"/>
          <w:b/>
          <w:sz w:val="18"/>
          <w:szCs w:val="18"/>
        </w:rPr>
      </w:pPr>
      <w:r w:rsidRPr="00280DA3">
        <w:rPr>
          <w:rFonts w:cs="Arial"/>
          <w:b/>
          <w:sz w:val="18"/>
          <w:szCs w:val="18"/>
        </w:rPr>
        <w:t xml:space="preserve">JAPAN/ </w:t>
      </w:r>
      <w:r w:rsidRPr="00695965">
        <w:rPr>
          <w:rFonts w:cs="Arial"/>
          <w:b/>
          <w:sz w:val="18"/>
          <w:szCs w:val="18"/>
        </w:rPr>
        <w:t>INDUSTRIAL PROPERTY</w:t>
      </w:r>
      <w:r w:rsidRPr="00280DA3">
        <w:rPr>
          <w:rFonts w:cs="Arial"/>
          <w:b/>
          <w:sz w:val="18"/>
          <w:szCs w:val="18"/>
        </w:rPr>
        <w:t xml:space="preserve">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516"/>
        <w:gridCol w:w="1781"/>
        <w:gridCol w:w="1685"/>
        <w:gridCol w:w="2278"/>
      </w:tblGrid>
      <w:tr w:rsidR="005703CF" w:rsidRPr="00834B2E" w:rsidTr="002249F8">
        <w:trPr>
          <w:trHeight w:val="56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516"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78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685"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2278"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1,914,176</w:t>
            </w:r>
          </w:p>
        </w:tc>
        <w:tc>
          <w:tcPr>
            <w:tcW w:w="1516"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4,332,131</w:t>
            </w:r>
          </w:p>
        </w:tc>
        <w:tc>
          <w:tcPr>
            <w:tcW w:w="178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1,958,836</w:t>
            </w:r>
          </w:p>
        </w:tc>
        <w:tc>
          <w:tcPr>
            <w:tcW w:w="1685"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2278"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4,287,471</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rPr>
          <w:rFonts w:cs="Arial"/>
          <w:b/>
          <w:szCs w:val="20"/>
        </w:rPr>
      </w:pPr>
    </w:p>
    <w:p w:rsidR="005703CF" w:rsidRDefault="005703CF" w:rsidP="005703CF">
      <w:pPr>
        <w:keepNext/>
        <w:keepLines/>
        <w:rPr>
          <w:rFonts w:cs="Arial"/>
          <w:b/>
          <w:szCs w:val="20"/>
        </w:rPr>
      </w:pPr>
      <w:r>
        <w:rPr>
          <w:rFonts w:cs="Arial"/>
          <w:b/>
          <w:szCs w:val="20"/>
        </w:rPr>
        <w:br w:type="page"/>
      </w:r>
      <w:r w:rsidRPr="00660313">
        <w:rPr>
          <w:rFonts w:cs="Arial"/>
          <w:b/>
          <w:szCs w:val="20"/>
        </w:rPr>
        <w:lastRenderedPageBreak/>
        <w:t>JAPAN</w:t>
      </w:r>
      <w:r>
        <w:rPr>
          <w:rFonts w:cs="Arial"/>
          <w:b/>
          <w:szCs w:val="20"/>
        </w:rPr>
        <w:t>/IP/AFRICA-LDCs</w:t>
      </w:r>
    </w:p>
    <w:p w:rsidR="005703CF" w:rsidRDefault="005703CF" w:rsidP="005703CF">
      <w:pPr>
        <w:keepNext/>
        <w:keepLines/>
        <w:rPr>
          <w:rFonts w:cs="Arial"/>
          <w:b/>
          <w:szCs w:val="20"/>
        </w:rPr>
      </w:pPr>
    </w:p>
    <w:tbl>
      <w:tblPr>
        <w:tblW w:w="9075" w:type="dxa"/>
        <w:tblInd w:w="10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7"/>
        <w:gridCol w:w="1843"/>
        <w:gridCol w:w="142"/>
        <w:gridCol w:w="4110"/>
      </w:tblGrid>
      <w:tr w:rsidR="005703CF" w:rsidRPr="00AA1198" w:rsidTr="002249F8">
        <w:tc>
          <w:tcPr>
            <w:tcW w:w="9075" w:type="dxa"/>
            <w:gridSpan w:val="5"/>
            <w:tcBorders>
              <w:top w:val="single" w:sz="4" w:space="0" w:color="auto"/>
              <w:bottom w:val="single" w:sz="4" w:space="0" w:color="auto"/>
            </w:tcBorders>
            <w:shd w:val="clear" w:color="auto" w:fill="CCFFFF"/>
            <w:vAlign w:val="center"/>
          </w:tcPr>
          <w:p w:rsidR="005703CF" w:rsidRPr="00AA1198" w:rsidRDefault="005703CF" w:rsidP="002249F8">
            <w:pPr>
              <w:tabs>
                <w:tab w:val="left" w:pos="1740"/>
              </w:tabs>
              <w:spacing w:before="120" w:after="120"/>
              <w:ind w:left="1740" w:hanging="1740"/>
              <w:rPr>
                <w:rFonts w:cs="Arial"/>
                <w:bCs/>
                <w:sz w:val="16"/>
                <w:szCs w:val="16"/>
              </w:rPr>
            </w:pPr>
            <w:r w:rsidRPr="00AA1198">
              <w:rPr>
                <w:rFonts w:cs="Arial"/>
                <w:b/>
                <w:bCs/>
                <w:color w:val="000000"/>
                <w:sz w:val="16"/>
                <w:szCs w:val="16"/>
              </w:rPr>
              <w:t>RESULT</w:t>
            </w:r>
            <w:r w:rsidRPr="00AA1198">
              <w:rPr>
                <w:rFonts w:cs="Arial"/>
                <w:bCs/>
                <w:sz w:val="16"/>
                <w:szCs w:val="16"/>
              </w:rPr>
              <w:t>:</w:t>
            </w:r>
            <w:r w:rsidRPr="00AA1198">
              <w:rPr>
                <w:rFonts w:cs="Arial"/>
                <w:bCs/>
                <w:sz w:val="16"/>
                <w:szCs w:val="16"/>
              </w:rPr>
              <w:tab/>
            </w:r>
            <w:r w:rsidRPr="00AA1198">
              <w:rPr>
                <w:rFonts w:cs="Arial"/>
                <w:bCs/>
                <w:color w:val="000000"/>
                <w:sz w:val="16"/>
                <w:szCs w:val="16"/>
              </w:rPr>
              <w:t>Enhanced technical and knowledge infrastructure for IP offices and other IP institutions leading to better services</w:t>
            </w:r>
          </w:p>
        </w:tc>
      </w:tr>
      <w:tr w:rsidR="005703CF" w:rsidRPr="00AA1198" w:rsidTr="002249F8">
        <w:tc>
          <w:tcPr>
            <w:tcW w:w="1843" w:type="dxa"/>
            <w:tcBorders>
              <w:top w:val="single" w:sz="4" w:space="0" w:color="auto"/>
            </w:tcBorders>
            <w:vAlign w:val="center"/>
          </w:tcPr>
          <w:p w:rsidR="005703CF" w:rsidRPr="00AA1198" w:rsidRDefault="005703CF" w:rsidP="002249F8">
            <w:pPr>
              <w:rPr>
                <w:rFonts w:cs="Arial"/>
                <w:b/>
                <w:bCs/>
                <w:sz w:val="16"/>
                <w:szCs w:val="16"/>
              </w:rPr>
            </w:pPr>
            <w:r w:rsidRPr="00AA1198">
              <w:rPr>
                <w:rFonts w:cs="Arial"/>
                <w:b/>
                <w:bCs/>
                <w:sz w:val="16"/>
                <w:szCs w:val="16"/>
              </w:rPr>
              <w:t>Activity</w:t>
            </w:r>
          </w:p>
        </w:tc>
        <w:tc>
          <w:tcPr>
            <w:tcW w:w="1137" w:type="dxa"/>
            <w:tcBorders>
              <w:top w:val="single" w:sz="4" w:space="0" w:color="auto"/>
            </w:tcBorders>
            <w:shd w:val="clear" w:color="auto" w:fill="auto"/>
            <w:tcMar>
              <w:top w:w="110" w:type="dxa"/>
            </w:tcMar>
            <w:vAlign w:val="center"/>
          </w:tcPr>
          <w:p w:rsidR="005703CF" w:rsidRPr="00AA1198" w:rsidRDefault="005703CF" w:rsidP="002249F8">
            <w:pPr>
              <w:rPr>
                <w:rFonts w:cs="Arial"/>
                <w:sz w:val="16"/>
                <w:szCs w:val="16"/>
              </w:rPr>
            </w:pPr>
            <w:r w:rsidRPr="00AA1198">
              <w:rPr>
                <w:rFonts w:cs="Arial"/>
                <w:b/>
                <w:bCs/>
                <w:sz w:val="16"/>
                <w:szCs w:val="16"/>
              </w:rPr>
              <w:t>Date</w:t>
            </w:r>
          </w:p>
        </w:tc>
        <w:tc>
          <w:tcPr>
            <w:tcW w:w="1985" w:type="dxa"/>
            <w:gridSpan w:val="2"/>
            <w:tcBorders>
              <w:top w:val="single" w:sz="4" w:space="0" w:color="auto"/>
            </w:tcBorders>
            <w:shd w:val="clear" w:color="auto" w:fill="auto"/>
            <w:tcMar>
              <w:top w:w="110" w:type="dxa"/>
            </w:tcMar>
            <w:vAlign w:val="center"/>
          </w:tcPr>
          <w:p w:rsidR="005703CF" w:rsidRPr="00AA1198" w:rsidRDefault="005703CF" w:rsidP="002249F8">
            <w:pPr>
              <w:rPr>
                <w:rFonts w:cs="Arial"/>
                <w:sz w:val="16"/>
                <w:szCs w:val="16"/>
              </w:rPr>
            </w:pPr>
            <w:r w:rsidRPr="00AA1198">
              <w:rPr>
                <w:rFonts w:cs="Arial"/>
                <w:b/>
                <w:bCs/>
                <w:sz w:val="16"/>
                <w:szCs w:val="16"/>
              </w:rPr>
              <w:t>Host Country/</w:t>
            </w:r>
            <w:r w:rsidRPr="00AA1198">
              <w:rPr>
                <w:rFonts w:cs="Arial"/>
                <w:b/>
                <w:bCs/>
                <w:sz w:val="16"/>
                <w:szCs w:val="16"/>
              </w:rPr>
              <w:br/>
              <w:t>Recipients</w:t>
            </w:r>
          </w:p>
        </w:tc>
        <w:tc>
          <w:tcPr>
            <w:tcW w:w="4110" w:type="dxa"/>
            <w:tcBorders>
              <w:top w:val="single" w:sz="4" w:space="0" w:color="auto"/>
            </w:tcBorders>
            <w:shd w:val="clear" w:color="auto" w:fill="FFFFFF"/>
            <w:tcMar>
              <w:top w:w="110" w:type="dxa"/>
            </w:tcMar>
            <w:vAlign w:val="center"/>
          </w:tcPr>
          <w:p w:rsidR="005703CF" w:rsidRPr="00AA1198" w:rsidRDefault="005703CF" w:rsidP="002249F8">
            <w:pPr>
              <w:rPr>
                <w:rFonts w:cs="Arial"/>
                <w:sz w:val="16"/>
                <w:szCs w:val="16"/>
              </w:rPr>
            </w:pPr>
            <w:r w:rsidRPr="00AA1198">
              <w:rPr>
                <w:rFonts w:cs="Arial"/>
                <w:b/>
                <w:bCs/>
                <w:sz w:val="16"/>
                <w:szCs w:val="16"/>
              </w:rPr>
              <w:t>Purpose(s)/Description(s)</w:t>
            </w:r>
          </w:p>
        </w:tc>
      </w:tr>
      <w:tr w:rsidR="005703CF" w:rsidRPr="00660313" w:rsidTr="002249F8">
        <w:tc>
          <w:tcPr>
            <w:tcW w:w="1843" w:type="dxa"/>
          </w:tcPr>
          <w:p w:rsidR="005703CF" w:rsidRPr="008B418F" w:rsidRDefault="005703CF" w:rsidP="002249F8">
            <w:pPr>
              <w:autoSpaceDE w:val="0"/>
              <w:autoSpaceDN w:val="0"/>
              <w:adjustRightInd w:val="0"/>
              <w:spacing w:before="120" w:after="120"/>
              <w:rPr>
                <w:rFonts w:cs="Arial"/>
                <w:color w:val="000000"/>
                <w:sz w:val="16"/>
                <w:szCs w:val="16"/>
                <w:lang w:eastAsia="ja-JP" w:bidi="th-TH"/>
              </w:rPr>
            </w:pPr>
            <w:r w:rsidRPr="00455E1D">
              <w:rPr>
                <w:rFonts w:cs="Arial"/>
                <w:color w:val="000000"/>
                <w:sz w:val="16"/>
                <w:szCs w:val="16"/>
                <w:lang w:eastAsia="ja-JP" w:bidi="th-TH"/>
              </w:rPr>
              <w:t>Regional workshop for patent examiners for French Speaking countries on utilization of ex</w:t>
            </w:r>
            <w:r>
              <w:rPr>
                <w:rFonts w:cs="Arial"/>
                <w:color w:val="000000"/>
                <w:sz w:val="16"/>
                <w:szCs w:val="16"/>
                <w:lang w:eastAsia="ja-JP" w:bidi="th-TH"/>
              </w:rPr>
              <w:t>amination results of other IP Offices</w:t>
            </w:r>
            <w:r w:rsidRPr="00455E1D">
              <w:rPr>
                <w:rFonts w:cs="Arial"/>
                <w:color w:val="000000"/>
                <w:sz w:val="16"/>
                <w:szCs w:val="16"/>
                <w:lang w:eastAsia="ja-JP" w:bidi="th-TH"/>
              </w:rPr>
              <w:t xml:space="preserve"> </w:t>
            </w:r>
            <w:r>
              <w:rPr>
                <w:rFonts w:cs="Arial"/>
                <w:color w:val="000000"/>
                <w:sz w:val="16"/>
                <w:szCs w:val="16"/>
                <w:lang w:eastAsia="ja-JP" w:bidi="th-TH"/>
              </w:rPr>
              <w:t>(IPOs)</w:t>
            </w:r>
          </w:p>
        </w:tc>
        <w:tc>
          <w:tcPr>
            <w:tcW w:w="1137" w:type="dxa"/>
          </w:tcPr>
          <w:p w:rsidR="005703CF" w:rsidRPr="00660313" w:rsidRDefault="005703CF" w:rsidP="002249F8">
            <w:pPr>
              <w:autoSpaceDE w:val="0"/>
              <w:autoSpaceDN w:val="0"/>
              <w:adjustRightInd w:val="0"/>
              <w:spacing w:before="120" w:after="120"/>
              <w:rPr>
                <w:rFonts w:cs="Arial"/>
                <w:color w:val="000000"/>
                <w:sz w:val="16"/>
                <w:szCs w:val="16"/>
                <w:lang w:eastAsia="ja-JP" w:bidi="th-TH"/>
              </w:rPr>
            </w:pPr>
            <w:r w:rsidRPr="00455E1D">
              <w:rPr>
                <w:rFonts w:cs="Arial"/>
                <w:color w:val="000000"/>
                <w:sz w:val="16"/>
                <w:szCs w:val="16"/>
                <w:lang w:eastAsia="ja-JP" w:bidi="th-TH"/>
              </w:rPr>
              <w:t>January 30 to February 1, 2013</w:t>
            </w:r>
          </w:p>
        </w:tc>
        <w:tc>
          <w:tcPr>
            <w:tcW w:w="1985" w:type="dxa"/>
            <w:gridSpan w:val="2"/>
          </w:tcPr>
          <w:p w:rsidR="005703CF" w:rsidRPr="00660313" w:rsidRDefault="005703CF" w:rsidP="002249F8">
            <w:pPr>
              <w:autoSpaceDE w:val="0"/>
              <w:autoSpaceDN w:val="0"/>
              <w:adjustRightInd w:val="0"/>
              <w:spacing w:before="120" w:after="120"/>
              <w:rPr>
                <w:rFonts w:cs="Arial"/>
                <w:color w:val="000000"/>
                <w:sz w:val="16"/>
                <w:szCs w:val="16"/>
                <w:lang w:eastAsia="ja-JP" w:bidi="th-TH"/>
              </w:rPr>
            </w:pPr>
            <w:r w:rsidRPr="00455E1D">
              <w:rPr>
                <w:rFonts w:cs="Arial"/>
                <w:color w:val="000000"/>
                <w:sz w:val="16"/>
                <w:szCs w:val="16"/>
                <w:lang w:eastAsia="ja-JP" w:bidi="th-TH"/>
              </w:rPr>
              <w:t>Cameroon</w:t>
            </w:r>
            <w:r>
              <w:rPr>
                <w:rFonts w:cs="Arial"/>
                <w:color w:val="000000"/>
                <w:sz w:val="16"/>
                <w:szCs w:val="16"/>
                <w:lang w:eastAsia="ja-JP" w:bidi="th-TH"/>
              </w:rPr>
              <w:t>/</w:t>
            </w:r>
            <w:r>
              <w:rPr>
                <w:rFonts w:cs="Arial"/>
                <w:sz w:val="16"/>
                <w:szCs w:val="16"/>
              </w:rPr>
              <w:t>17 participants from 17 African countries</w:t>
            </w:r>
          </w:p>
        </w:tc>
        <w:tc>
          <w:tcPr>
            <w:tcW w:w="4110" w:type="dxa"/>
          </w:tcPr>
          <w:p w:rsidR="005703CF" w:rsidRPr="00660313"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w:t>
            </w:r>
            <w:r w:rsidRPr="00455E1D">
              <w:rPr>
                <w:rFonts w:cs="Arial"/>
                <w:color w:val="000000"/>
                <w:sz w:val="16"/>
                <w:szCs w:val="16"/>
                <w:lang w:eastAsia="ja-JP" w:bidi="th-TH"/>
              </w:rPr>
              <w:t xml:space="preserve">o: </w:t>
            </w:r>
            <w:r>
              <w:rPr>
                <w:rFonts w:cs="Arial"/>
                <w:color w:val="000000"/>
                <w:sz w:val="16"/>
                <w:szCs w:val="16"/>
                <w:lang w:eastAsia="ja-JP" w:bidi="th-TH"/>
              </w:rPr>
              <w:t xml:space="preserve"> </w:t>
            </w:r>
            <w:r w:rsidRPr="00455E1D">
              <w:rPr>
                <w:rFonts w:cs="Arial"/>
                <w:color w:val="000000"/>
                <w:sz w:val="16"/>
                <w:szCs w:val="16"/>
                <w:lang w:eastAsia="ja-JP" w:bidi="th-TH"/>
              </w:rPr>
              <w:t>(i)</w:t>
            </w:r>
            <w:r w:rsidRPr="00455E1D" w:rsidDel="00F106BE">
              <w:rPr>
                <w:rFonts w:cs="Arial"/>
                <w:color w:val="000000"/>
                <w:sz w:val="16"/>
                <w:szCs w:val="16"/>
                <w:lang w:eastAsia="ja-JP" w:bidi="th-TH"/>
              </w:rPr>
              <w:t xml:space="preserve"> </w:t>
            </w:r>
            <w:r w:rsidRPr="00455E1D">
              <w:rPr>
                <w:rFonts w:cs="Arial"/>
                <w:color w:val="000000"/>
                <w:sz w:val="16"/>
                <w:szCs w:val="16"/>
                <w:lang w:eastAsia="ja-JP" w:bidi="th-TH"/>
              </w:rPr>
              <w:t>provide participants with an opportunity to understand the effectiveness of utilizing preliminary examination results (search and/or examination reports) prepared by other IPOs, e.g. in the PCT national phases or final examination results (granted claims or rejections) in reducing workloads in IPOs and streamlining patent granting procedures;</w:t>
            </w:r>
            <w:r>
              <w:rPr>
                <w:rFonts w:cs="Arial"/>
                <w:color w:val="000000"/>
                <w:sz w:val="16"/>
                <w:szCs w:val="16"/>
                <w:lang w:eastAsia="ja-JP" w:bidi="th-TH"/>
              </w:rPr>
              <w:t>  </w:t>
            </w:r>
            <w:r w:rsidRPr="00455E1D">
              <w:rPr>
                <w:rFonts w:cs="Arial"/>
                <w:color w:val="000000"/>
                <w:sz w:val="16"/>
                <w:szCs w:val="16"/>
                <w:lang w:eastAsia="ja-JP" w:bidi="th-TH"/>
              </w:rPr>
              <w:t>(ii)</w:t>
            </w:r>
            <w:r>
              <w:rPr>
                <w:rFonts w:cs="Arial"/>
                <w:color w:val="000000"/>
                <w:sz w:val="16"/>
                <w:szCs w:val="16"/>
                <w:lang w:eastAsia="ja-JP" w:bidi="th-TH"/>
              </w:rPr>
              <w:t xml:space="preserve"> </w:t>
            </w:r>
            <w:r w:rsidRPr="00455E1D">
              <w:rPr>
                <w:rFonts w:cs="Arial"/>
                <w:color w:val="000000"/>
                <w:sz w:val="16"/>
                <w:szCs w:val="16"/>
                <w:lang w:eastAsia="ja-JP" w:bidi="th-TH"/>
              </w:rPr>
              <w:t>develop skills to utilize services such as the International cooperation on Examination (ICE) by WIPO and the Advanced Industrial Property Network (AIPN) by the Japan Patent Office (JPO);</w:t>
            </w:r>
            <w:r>
              <w:rPr>
                <w:rFonts w:cs="Arial"/>
                <w:color w:val="000000"/>
                <w:sz w:val="16"/>
                <w:szCs w:val="16"/>
                <w:lang w:eastAsia="ja-JP" w:bidi="th-TH"/>
              </w:rPr>
              <w:t xml:space="preserve">  </w:t>
            </w:r>
            <w:r w:rsidRPr="00455E1D">
              <w:rPr>
                <w:rFonts w:cs="Arial"/>
                <w:color w:val="000000"/>
                <w:sz w:val="16"/>
                <w:szCs w:val="16"/>
                <w:lang w:eastAsia="ja-JP" w:bidi="th-TH"/>
              </w:rPr>
              <w:t>(iii)</w:t>
            </w:r>
            <w:r w:rsidRPr="00455E1D" w:rsidDel="00F106BE">
              <w:rPr>
                <w:rFonts w:cs="Arial"/>
                <w:color w:val="000000"/>
                <w:sz w:val="16"/>
                <w:szCs w:val="16"/>
                <w:lang w:eastAsia="ja-JP" w:bidi="th-TH"/>
              </w:rPr>
              <w:t xml:space="preserve"> </w:t>
            </w:r>
            <w:r w:rsidRPr="00455E1D">
              <w:rPr>
                <w:rFonts w:cs="Arial"/>
                <w:color w:val="000000"/>
                <w:sz w:val="16"/>
                <w:szCs w:val="16"/>
                <w:lang w:eastAsia="ja-JP" w:bidi="th-TH"/>
              </w:rPr>
              <w:t>exchange best practices of analyzing claims and drafting amended claims in certain fields of technology; and (iv)</w:t>
            </w:r>
            <w:r w:rsidRPr="00455E1D" w:rsidDel="00F106BE">
              <w:rPr>
                <w:rFonts w:cs="Arial"/>
                <w:color w:val="000000"/>
                <w:sz w:val="16"/>
                <w:szCs w:val="16"/>
                <w:lang w:eastAsia="ja-JP" w:bidi="th-TH"/>
              </w:rPr>
              <w:t xml:space="preserve"> </w:t>
            </w:r>
            <w:r w:rsidRPr="00455E1D">
              <w:rPr>
                <w:rFonts w:cs="Arial"/>
                <w:color w:val="000000"/>
                <w:sz w:val="16"/>
                <w:szCs w:val="16"/>
                <w:lang w:eastAsia="ja-JP" w:bidi="th-TH"/>
              </w:rPr>
              <w:t>share</w:t>
            </w:r>
            <w:r>
              <w:rPr>
                <w:rFonts w:cs="Arial"/>
                <w:color w:val="000000"/>
                <w:sz w:val="16"/>
                <w:szCs w:val="16"/>
                <w:lang w:eastAsia="ja-JP" w:bidi="th-TH"/>
              </w:rPr>
              <w:t xml:space="preserve"> </w:t>
            </w:r>
            <w:r w:rsidRPr="00455E1D">
              <w:rPr>
                <w:rFonts w:cs="Arial"/>
                <w:color w:val="000000"/>
                <w:sz w:val="16"/>
                <w:szCs w:val="16"/>
                <w:lang w:eastAsia="ja-JP" w:bidi="th-TH"/>
              </w:rPr>
              <w:t>experiences of various IPOs and examiners on the challenges encountered in accelerating examination processes and increasing quality of patents</w:t>
            </w:r>
          </w:p>
        </w:tc>
      </w:tr>
      <w:tr w:rsidR="005703CF" w:rsidRPr="00660313" w:rsidTr="002249F8">
        <w:tc>
          <w:tcPr>
            <w:tcW w:w="1843" w:type="dxa"/>
          </w:tcPr>
          <w:p w:rsidR="005703CF" w:rsidRPr="006C159B" w:rsidRDefault="005703CF" w:rsidP="002249F8">
            <w:pPr>
              <w:autoSpaceDE w:val="0"/>
              <w:autoSpaceDN w:val="0"/>
              <w:adjustRightInd w:val="0"/>
              <w:spacing w:before="120" w:after="120"/>
              <w:rPr>
                <w:rFonts w:cs="Arial"/>
                <w:color w:val="000000"/>
                <w:sz w:val="16"/>
                <w:szCs w:val="16"/>
                <w:lang w:eastAsia="ja-JP" w:bidi="th-TH"/>
              </w:rPr>
            </w:pPr>
            <w:r w:rsidRPr="006C159B">
              <w:rPr>
                <w:rFonts w:cs="Arial"/>
                <w:color w:val="000000"/>
                <w:sz w:val="16"/>
                <w:szCs w:val="16"/>
                <w:lang w:eastAsia="ja-JP" w:bidi="th-TH"/>
              </w:rPr>
              <w:t>Deployment of Data Capture Projects</w:t>
            </w:r>
          </w:p>
        </w:tc>
        <w:tc>
          <w:tcPr>
            <w:tcW w:w="1137" w:type="dxa"/>
          </w:tcPr>
          <w:p w:rsidR="005703CF" w:rsidRPr="006C159B"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 xml:space="preserve">January to December </w:t>
            </w:r>
            <w:r w:rsidRPr="006C159B">
              <w:rPr>
                <w:rFonts w:cs="Arial"/>
                <w:color w:val="000000"/>
                <w:sz w:val="16"/>
                <w:szCs w:val="16"/>
                <w:lang w:eastAsia="ja-JP" w:bidi="th-TH"/>
              </w:rPr>
              <w:t>2013</w:t>
            </w:r>
          </w:p>
        </w:tc>
        <w:tc>
          <w:tcPr>
            <w:tcW w:w="1985" w:type="dxa"/>
            <w:gridSpan w:val="2"/>
          </w:tcPr>
          <w:p w:rsidR="005703CF" w:rsidRPr="006C159B" w:rsidRDefault="005703CF" w:rsidP="002249F8">
            <w:pPr>
              <w:autoSpaceDE w:val="0"/>
              <w:autoSpaceDN w:val="0"/>
              <w:adjustRightInd w:val="0"/>
              <w:spacing w:before="120" w:after="120"/>
              <w:rPr>
                <w:rFonts w:cs="Arial"/>
                <w:color w:val="000000"/>
                <w:sz w:val="16"/>
                <w:szCs w:val="16"/>
                <w:lang w:eastAsia="ja-JP" w:bidi="th-TH"/>
              </w:rPr>
            </w:pPr>
            <w:r w:rsidRPr="006C159B">
              <w:rPr>
                <w:rFonts w:cs="Arial"/>
                <w:color w:val="000000"/>
                <w:sz w:val="16"/>
                <w:szCs w:val="16"/>
                <w:lang w:eastAsia="ja-JP" w:bidi="th-TH"/>
              </w:rPr>
              <w:t>Mauritius</w:t>
            </w:r>
            <w:r>
              <w:rPr>
                <w:rFonts w:cs="Arial"/>
                <w:color w:val="000000"/>
                <w:sz w:val="16"/>
                <w:szCs w:val="16"/>
                <w:lang w:eastAsia="ja-JP" w:bidi="th-TH"/>
              </w:rPr>
              <w:t xml:space="preserve"> and </w:t>
            </w:r>
            <w:r w:rsidRPr="006C159B">
              <w:rPr>
                <w:rFonts w:cs="Arial"/>
                <w:color w:val="000000"/>
                <w:sz w:val="16"/>
                <w:szCs w:val="16"/>
                <w:lang w:eastAsia="ja-JP" w:bidi="th-TH"/>
              </w:rPr>
              <w:t>Zimbabwe</w:t>
            </w:r>
          </w:p>
        </w:tc>
        <w:tc>
          <w:tcPr>
            <w:tcW w:w="4110" w:type="dxa"/>
          </w:tcPr>
          <w:p w:rsidR="005703CF" w:rsidRPr="00B433B1" w:rsidRDefault="005703CF" w:rsidP="002249F8">
            <w:pPr>
              <w:autoSpaceDE w:val="0"/>
              <w:autoSpaceDN w:val="0"/>
              <w:adjustRightInd w:val="0"/>
              <w:spacing w:before="120" w:after="120"/>
              <w:rPr>
                <w:rFonts w:cs="Arial"/>
                <w:color w:val="000000"/>
                <w:sz w:val="16"/>
                <w:szCs w:val="16"/>
                <w:highlight w:val="yellow"/>
                <w:lang w:eastAsia="ja-JP" w:bidi="th-TH"/>
              </w:rPr>
            </w:pPr>
            <w:r>
              <w:rPr>
                <w:rFonts w:cs="Arial"/>
                <w:color w:val="000000"/>
                <w:sz w:val="16"/>
                <w:szCs w:val="16"/>
                <w:lang w:eastAsia="ja-JP" w:bidi="th-TH"/>
              </w:rPr>
              <w:t>To</w:t>
            </w:r>
            <w:r w:rsidRPr="00694E41">
              <w:rPr>
                <w:rFonts w:cs="Arial"/>
                <w:color w:val="000000"/>
                <w:sz w:val="16"/>
                <w:szCs w:val="16"/>
                <w:lang w:eastAsia="ja-JP" w:bidi="th-TH"/>
              </w:rPr>
              <w:t xml:space="preserve"> assist the electronic capture of backlog trademark files maintained in paper form into digital form in preparation for the deployment of the Industrial Property Automation System (IPAS) through the outsourcing of a local specialized contractor. </w:t>
            </w:r>
            <w:r>
              <w:rPr>
                <w:rFonts w:cs="Arial"/>
                <w:color w:val="000000"/>
                <w:sz w:val="16"/>
                <w:szCs w:val="16"/>
                <w:lang w:eastAsia="ja-JP" w:bidi="th-TH"/>
              </w:rPr>
              <w:t xml:space="preserve"> </w:t>
            </w:r>
            <w:r w:rsidRPr="00694E41">
              <w:rPr>
                <w:rFonts w:cs="Arial"/>
                <w:color w:val="000000"/>
                <w:sz w:val="16"/>
                <w:szCs w:val="16"/>
                <w:lang w:eastAsia="ja-JP" w:bidi="th-TH"/>
              </w:rPr>
              <w:t xml:space="preserve">The objective is to build and populate an existing database containing textual bibliographic information, selected digitized images and workflow information for the </w:t>
            </w:r>
            <w:r>
              <w:rPr>
                <w:rFonts w:cs="Arial"/>
                <w:color w:val="000000"/>
                <w:sz w:val="16"/>
                <w:szCs w:val="16"/>
                <w:lang w:eastAsia="ja-JP" w:bidi="th-TH"/>
              </w:rPr>
              <w:t>i</w:t>
            </w:r>
            <w:r w:rsidRPr="00694E41">
              <w:rPr>
                <w:rFonts w:cs="Arial"/>
                <w:color w:val="000000"/>
                <w:sz w:val="16"/>
                <w:szCs w:val="16"/>
                <w:lang w:eastAsia="ja-JP" w:bidi="th-TH"/>
              </w:rPr>
              <w:t xml:space="preserve">ndustrial </w:t>
            </w:r>
            <w:r>
              <w:rPr>
                <w:rFonts w:cs="Arial"/>
                <w:color w:val="000000"/>
                <w:sz w:val="16"/>
                <w:szCs w:val="16"/>
                <w:lang w:eastAsia="ja-JP" w:bidi="th-TH"/>
              </w:rPr>
              <w:t>p</w:t>
            </w:r>
            <w:r w:rsidRPr="00694E41">
              <w:rPr>
                <w:rFonts w:cs="Arial"/>
                <w:color w:val="000000"/>
                <w:sz w:val="16"/>
                <w:szCs w:val="16"/>
                <w:lang w:eastAsia="ja-JP" w:bidi="th-TH"/>
              </w:rPr>
              <w:t>roperty files kept by Mauritius IPO’s Trademarks registry</w:t>
            </w:r>
          </w:p>
        </w:tc>
      </w:tr>
      <w:tr w:rsidR="005703CF" w:rsidRPr="00660313" w:rsidTr="002249F8">
        <w:tc>
          <w:tcPr>
            <w:tcW w:w="1843" w:type="dxa"/>
          </w:tcPr>
          <w:p w:rsidR="005703CF" w:rsidRPr="008B418F" w:rsidRDefault="005703CF" w:rsidP="002249F8">
            <w:pPr>
              <w:autoSpaceDE w:val="0"/>
              <w:autoSpaceDN w:val="0"/>
              <w:adjustRightInd w:val="0"/>
              <w:spacing w:before="120" w:after="60"/>
              <w:rPr>
                <w:rFonts w:cs="Arial"/>
                <w:color w:val="000000"/>
                <w:sz w:val="16"/>
                <w:szCs w:val="16"/>
                <w:lang w:eastAsia="ja-JP" w:bidi="th-TH"/>
              </w:rPr>
            </w:pPr>
            <w:r w:rsidRPr="008B418F">
              <w:rPr>
                <w:rFonts w:cs="Arial"/>
                <w:color w:val="000000"/>
                <w:sz w:val="16"/>
                <w:szCs w:val="16"/>
                <w:lang w:eastAsia="ja-JP" w:bidi="th-TH"/>
              </w:rPr>
              <w:t>Technology and Innovation Support Center (TISC) Second Workshop on Developing the TISC Project and Searching Patents and Scientific &amp; Technical Journals, and the TISC Launch</w:t>
            </w:r>
          </w:p>
        </w:tc>
        <w:tc>
          <w:tcPr>
            <w:tcW w:w="1137" w:type="dxa"/>
          </w:tcPr>
          <w:p w:rsidR="005703CF" w:rsidRPr="00660313" w:rsidRDefault="005703CF" w:rsidP="002249F8">
            <w:pPr>
              <w:autoSpaceDE w:val="0"/>
              <w:autoSpaceDN w:val="0"/>
              <w:adjustRightInd w:val="0"/>
              <w:spacing w:before="120" w:after="120"/>
              <w:rPr>
                <w:rFonts w:cs="Arial"/>
                <w:color w:val="000000"/>
                <w:sz w:val="16"/>
                <w:szCs w:val="16"/>
                <w:lang w:eastAsia="ja-JP" w:bidi="th-TH"/>
              </w:rPr>
            </w:pPr>
            <w:r w:rsidRPr="008B418F">
              <w:rPr>
                <w:rFonts w:cs="Arial"/>
                <w:color w:val="000000"/>
                <w:sz w:val="16"/>
                <w:szCs w:val="16"/>
                <w:lang w:eastAsia="ja-JP" w:bidi="th-TH"/>
              </w:rPr>
              <w:t>March 25 to 27, 2013</w:t>
            </w:r>
          </w:p>
        </w:tc>
        <w:tc>
          <w:tcPr>
            <w:tcW w:w="1985" w:type="dxa"/>
            <w:gridSpan w:val="2"/>
          </w:tcPr>
          <w:p w:rsidR="005703CF" w:rsidRPr="00660313"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Rwanda/50 local participants</w:t>
            </w:r>
          </w:p>
        </w:tc>
        <w:tc>
          <w:tcPr>
            <w:tcW w:w="4110" w:type="dxa"/>
          </w:tcPr>
          <w:p w:rsidR="005703CF" w:rsidRPr="00660313"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  (i)</w:t>
            </w:r>
            <w:r w:rsidRPr="008B418F">
              <w:rPr>
                <w:rFonts w:cs="Arial"/>
                <w:color w:val="000000"/>
                <w:sz w:val="16"/>
                <w:szCs w:val="16"/>
                <w:lang w:eastAsia="ja-JP" w:bidi="th-TH"/>
              </w:rPr>
              <w:t xml:space="preserve"> discuss with the national authorities TISC </w:t>
            </w:r>
            <w:r>
              <w:rPr>
                <w:rFonts w:cs="Arial"/>
                <w:color w:val="000000"/>
                <w:sz w:val="16"/>
                <w:szCs w:val="16"/>
                <w:lang w:eastAsia="ja-JP" w:bidi="th-TH"/>
              </w:rPr>
              <w:t>p</w:t>
            </w:r>
            <w:r w:rsidRPr="008B418F">
              <w:rPr>
                <w:rFonts w:cs="Arial"/>
                <w:color w:val="000000"/>
                <w:sz w:val="16"/>
                <w:szCs w:val="16"/>
                <w:lang w:eastAsia="ja-JP" w:bidi="th-TH"/>
              </w:rPr>
              <w:t xml:space="preserve">roject </w:t>
            </w:r>
            <w:r>
              <w:rPr>
                <w:rFonts w:cs="Arial"/>
                <w:color w:val="000000"/>
                <w:sz w:val="16"/>
                <w:szCs w:val="16"/>
                <w:lang w:eastAsia="ja-JP" w:bidi="th-TH"/>
              </w:rPr>
              <w:t>p</w:t>
            </w:r>
            <w:r w:rsidRPr="008B418F">
              <w:rPr>
                <w:rFonts w:cs="Arial"/>
                <w:color w:val="000000"/>
                <w:sz w:val="16"/>
                <w:szCs w:val="16"/>
                <w:lang w:eastAsia="ja-JP" w:bidi="th-TH"/>
              </w:rPr>
              <w:t>lanning</w:t>
            </w:r>
            <w:r>
              <w:rPr>
                <w:rFonts w:cs="Arial"/>
                <w:color w:val="000000"/>
                <w:sz w:val="16"/>
                <w:szCs w:val="16"/>
                <w:lang w:eastAsia="ja-JP" w:bidi="th-TH"/>
              </w:rPr>
              <w:t xml:space="preserve">;  (ii) </w:t>
            </w:r>
            <w:r w:rsidRPr="008B418F">
              <w:rPr>
                <w:rFonts w:cs="Arial"/>
                <w:color w:val="000000"/>
                <w:sz w:val="16"/>
                <w:szCs w:val="16"/>
                <w:lang w:eastAsia="ja-JP" w:bidi="th-TH"/>
              </w:rPr>
              <w:t>raise awareness and train researchers, professors and students on searching and retrieving patent information and non-patent literature</w:t>
            </w:r>
            <w:r>
              <w:rPr>
                <w:rFonts w:cs="Arial"/>
                <w:color w:val="000000"/>
                <w:sz w:val="16"/>
                <w:szCs w:val="16"/>
                <w:lang w:eastAsia="ja-JP" w:bidi="th-TH"/>
              </w:rPr>
              <w:t>;  and (iii)</w:t>
            </w:r>
            <w:r w:rsidRPr="008B418F">
              <w:rPr>
                <w:rFonts w:cs="Arial"/>
                <w:color w:val="000000"/>
                <w:sz w:val="16"/>
                <w:szCs w:val="16"/>
                <w:lang w:eastAsia="ja-JP" w:bidi="th-TH"/>
              </w:rPr>
              <w:t xml:space="preserve"> train the trainers to give TISC presentations and launch the network of TISCs in the country</w:t>
            </w:r>
          </w:p>
        </w:tc>
      </w:tr>
      <w:tr w:rsidR="005703CF" w:rsidRPr="00660313" w:rsidTr="002249F8">
        <w:tc>
          <w:tcPr>
            <w:tcW w:w="1843" w:type="dxa"/>
          </w:tcPr>
          <w:p w:rsidR="005703CF" w:rsidRPr="008B418F" w:rsidRDefault="005703CF" w:rsidP="002249F8">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WIPO Regional Training Workshop on IPAS</w:t>
            </w:r>
            <w:r>
              <w:rPr>
                <w:rFonts w:cs="Arial"/>
                <w:color w:val="000000"/>
                <w:sz w:val="16"/>
                <w:szCs w:val="16"/>
                <w:lang w:eastAsia="ja-JP" w:bidi="th-TH"/>
              </w:rPr>
              <w:t xml:space="preserve"> for the African Member States</w:t>
            </w:r>
          </w:p>
        </w:tc>
        <w:tc>
          <w:tcPr>
            <w:tcW w:w="1137" w:type="dxa"/>
          </w:tcPr>
          <w:p w:rsidR="005703CF" w:rsidRPr="00660313" w:rsidRDefault="005703CF" w:rsidP="002249F8">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October 14 to 18, 2013</w:t>
            </w:r>
          </w:p>
        </w:tc>
        <w:tc>
          <w:tcPr>
            <w:tcW w:w="1985" w:type="dxa"/>
            <w:gridSpan w:val="2"/>
          </w:tcPr>
          <w:p w:rsidR="005703CF" w:rsidRPr="00660313" w:rsidRDefault="005703CF" w:rsidP="002249F8">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Zimbabwe</w:t>
            </w:r>
            <w:r>
              <w:rPr>
                <w:rFonts w:cs="Arial"/>
                <w:color w:val="000000"/>
                <w:sz w:val="16"/>
                <w:szCs w:val="16"/>
                <w:lang w:eastAsia="ja-JP" w:bidi="th-TH"/>
              </w:rPr>
              <w:t>/</w:t>
            </w:r>
            <w:r w:rsidRPr="00B33EB8">
              <w:rPr>
                <w:rFonts w:cs="Arial"/>
                <w:color w:val="000000"/>
                <w:sz w:val="16"/>
                <w:szCs w:val="16"/>
                <w:lang w:eastAsia="ja-JP" w:bidi="th-TH"/>
              </w:rPr>
              <w:t xml:space="preserve">21 </w:t>
            </w:r>
            <w:r>
              <w:rPr>
                <w:rFonts w:cs="Arial"/>
                <w:color w:val="000000"/>
                <w:sz w:val="16"/>
                <w:szCs w:val="16"/>
                <w:lang w:eastAsia="ja-JP" w:bidi="th-TH"/>
              </w:rPr>
              <w:t xml:space="preserve">African </w:t>
            </w:r>
            <w:r w:rsidRPr="00B33EB8">
              <w:rPr>
                <w:rFonts w:cs="Arial"/>
                <w:color w:val="000000"/>
                <w:sz w:val="16"/>
                <w:szCs w:val="16"/>
                <w:lang w:eastAsia="ja-JP" w:bidi="th-TH"/>
              </w:rPr>
              <w:t>participants</w:t>
            </w:r>
          </w:p>
        </w:tc>
        <w:tc>
          <w:tcPr>
            <w:tcW w:w="4110" w:type="dxa"/>
          </w:tcPr>
          <w:p w:rsidR="005703CF" w:rsidRPr="00660313" w:rsidRDefault="005703CF" w:rsidP="002249F8">
            <w:pPr>
              <w:autoSpaceDE w:val="0"/>
              <w:autoSpaceDN w:val="0"/>
              <w:adjustRightInd w:val="0"/>
              <w:spacing w:before="120" w:after="60"/>
              <w:rPr>
                <w:rFonts w:cs="Arial"/>
                <w:color w:val="000000"/>
                <w:sz w:val="16"/>
                <w:szCs w:val="16"/>
                <w:lang w:eastAsia="ja-JP" w:bidi="th-TH"/>
              </w:rPr>
            </w:pPr>
            <w:r>
              <w:rPr>
                <w:rFonts w:cs="Arial"/>
                <w:color w:val="000000"/>
                <w:sz w:val="16"/>
                <w:szCs w:val="16"/>
                <w:lang w:eastAsia="ja-JP" w:bidi="th-TH"/>
              </w:rPr>
              <w:t xml:space="preserve">To:  </w:t>
            </w:r>
            <w:r w:rsidRPr="00B33EB8">
              <w:rPr>
                <w:rFonts w:cs="Arial"/>
                <w:color w:val="000000"/>
                <w:sz w:val="16"/>
                <w:szCs w:val="16"/>
                <w:lang w:eastAsia="ja-JP" w:bidi="th-TH"/>
              </w:rPr>
              <w:t>(i)</w:t>
            </w:r>
            <w:r>
              <w:rPr>
                <w:rFonts w:cs="Arial"/>
                <w:color w:val="000000"/>
                <w:sz w:val="16"/>
                <w:szCs w:val="16"/>
                <w:lang w:eastAsia="ja-JP" w:bidi="th-TH"/>
              </w:rPr>
              <w:t> </w:t>
            </w:r>
            <w:r w:rsidRPr="00B33EB8">
              <w:rPr>
                <w:rFonts w:cs="Arial"/>
                <w:color w:val="000000"/>
                <w:sz w:val="16"/>
                <w:szCs w:val="16"/>
                <w:lang w:eastAsia="ja-JP" w:bidi="th-TH"/>
              </w:rPr>
              <w:t>build capacity and technical skills of IPAS focal points on both business and technical sides</w:t>
            </w:r>
            <w:r>
              <w:rPr>
                <w:rFonts w:cs="Arial"/>
                <w:color w:val="000000"/>
                <w:sz w:val="16"/>
                <w:szCs w:val="16"/>
                <w:lang w:eastAsia="ja-JP" w:bidi="th-TH"/>
              </w:rPr>
              <w:t xml:space="preserve">; </w:t>
            </w:r>
            <w:r w:rsidRPr="00B33EB8">
              <w:rPr>
                <w:rFonts w:cs="Arial"/>
                <w:color w:val="000000"/>
                <w:sz w:val="16"/>
                <w:szCs w:val="16"/>
                <w:lang w:eastAsia="ja-JP" w:bidi="th-TH"/>
              </w:rPr>
              <w:t xml:space="preserve"> (ii)</w:t>
            </w:r>
            <w:r>
              <w:rPr>
                <w:rFonts w:cs="Arial"/>
                <w:color w:val="000000"/>
                <w:sz w:val="16"/>
                <w:szCs w:val="16"/>
                <w:lang w:eastAsia="ja-JP" w:bidi="th-TH"/>
              </w:rPr>
              <w:t> </w:t>
            </w:r>
            <w:r w:rsidRPr="00B33EB8">
              <w:rPr>
                <w:rFonts w:cs="Arial"/>
                <w:color w:val="000000"/>
                <w:sz w:val="16"/>
                <w:szCs w:val="16"/>
                <w:lang w:eastAsia="ja-JP" w:bidi="th-TH"/>
              </w:rPr>
              <w:t>deepen the understanding of the system architecture of both systems and build a regional support network for the system</w:t>
            </w:r>
            <w:r>
              <w:rPr>
                <w:rFonts w:cs="Arial"/>
                <w:color w:val="000000"/>
                <w:sz w:val="16"/>
                <w:szCs w:val="16"/>
                <w:lang w:eastAsia="ja-JP" w:bidi="th-TH"/>
              </w:rPr>
              <w:t>;  and</w:t>
            </w:r>
            <w:r w:rsidRPr="00B33EB8">
              <w:rPr>
                <w:rFonts w:cs="Arial"/>
                <w:color w:val="000000"/>
                <w:sz w:val="16"/>
                <w:szCs w:val="16"/>
                <w:lang w:eastAsia="ja-JP" w:bidi="th-TH"/>
              </w:rPr>
              <w:t xml:space="preserve"> (iii) share knowledge and experiences on IPAS support and troubleshooting in the region</w:t>
            </w:r>
          </w:p>
        </w:tc>
      </w:tr>
      <w:tr w:rsidR="005703CF" w:rsidRPr="00660313" w:rsidTr="002249F8">
        <w:tc>
          <w:tcPr>
            <w:tcW w:w="1843" w:type="dxa"/>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 xml:space="preserve">Establishment of TISCs in the United Republic of Tanzania, Dar es Salaam, </w:t>
            </w:r>
          </w:p>
        </w:tc>
        <w:tc>
          <w:tcPr>
            <w:tcW w:w="1137" w:type="dxa"/>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sidRPr="00B33EB8">
              <w:rPr>
                <w:rFonts w:cs="Arial"/>
                <w:color w:val="000000"/>
                <w:sz w:val="16"/>
                <w:szCs w:val="16"/>
                <w:lang w:eastAsia="ja-JP" w:bidi="th-TH"/>
              </w:rPr>
              <w:t>July 30 to August 1, 2013</w:t>
            </w:r>
          </w:p>
        </w:tc>
        <w:tc>
          <w:tcPr>
            <w:tcW w:w="1985" w:type="dxa"/>
            <w:gridSpan w:val="2"/>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United Republic of Tanzania/</w:t>
            </w:r>
            <w:r w:rsidRPr="00AB4531">
              <w:rPr>
                <w:rFonts w:cs="Arial"/>
                <w:color w:val="000000"/>
                <w:sz w:val="16"/>
                <w:szCs w:val="16"/>
                <w:lang w:eastAsia="ja-JP" w:bidi="th-TH"/>
              </w:rPr>
              <w:t xml:space="preserve">50 </w:t>
            </w:r>
            <w:r>
              <w:rPr>
                <w:rFonts w:cs="Arial"/>
                <w:color w:val="000000"/>
                <w:sz w:val="16"/>
                <w:szCs w:val="16"/>
                <w:lang w:eastAsia="ja-JP" w:bidi="th-TH"/>
              </w:rPr>
              <w:t xml:space="preserve">local </w:t>
            </w:r>
            <w:r w:rsidRPr="00AB4531">
              <w:rPr>
                <w:rFonts w:cs="Arial"/>
                <w:color w:val="000000"/>
                <w:sz w:val="16"/>
                <w:szCs w:val="16"/>
                <w:lang w:eastAsia="ja-JP" w:bidi="th-TH"/>
              </w:rPr>
              <w:t>participants</w:t>
            </w:r>
            <w:r>
              <w:rPr>
                <w:rFonts w:cs="Arial"/>
                <w:color w:val="000000"/>
                <w:sz w:val="16"/>
                <w:szCs w:val="16"/>
                <w:lang w:eastAsia="ja-JP" w:bidi="th-TH"/>
              </w:rPr>
              <w:t xml:space="preserve"> </w:t>
            </w:r>
          </w:p>
        </w:tc>
        <w:tc>
          <w:tcPr>
            <w:tcW w:w="4110" w:type="dxa"/>
          </w:tcPr>
          <w:p w:rsidR="005703CF" w:rsidRPr="00B33EB8" w:rsidRDefault="005703CF" w:rsidP="004259E0">
            <w:pPr>
              <w:autoSpaceDE w:val="0"/>
              <w:autoSpaceDN w:val="0"/>
              <w:adjustRightInd w:val="0"/>
              <w:spacing w:before="120" w:after="60"/>
              <w:rPr>
                <w:rFonts w:cs="Arial"/>
                <w:color w:val="000000"/>
                <w:sz w:val="16"/>
                <w:szCs w:val="16"/>
                <w:lang w:eastAsia="ja-JP" w:bidi="th-TH"/>
              </w:rPr>
            </w:pPr>
            <w:r>
              <w:rPr>
                <w:rFonts w:cs="Arial"/>
                <w:color w:val="000000"/>
                <w:sz w:val="16"/>
                <w:szCs w:val="16"/>
                <w:lang w:eastAsia="ja-JP" w:bidi="th-TH"/>
              </w:rPr>
              <w:t>To</w:t>
            </w:r>
            <w:r w:rsidRPr="00AB4531">
              <w:rPr>
                <w:rFonts w:cs="Arial"/>
                <w:color w:val="000000"/>
                <w:sz w:val="16"/>
                <w:szCs w:val="16"/>
                <w:lang w:eastAsia="ja-JP" w:bidi="th-TH"/>
              </w:rPr>
              <w:t xml:space="preserve"> provide basic infrastructure capable of accessing the internet and to train staff in </w:t>
            </w:r>
            <w:r w:rsidR="004259E0">
              <w:rPr>
                <w:rFonts w:cs="Arial"/>
                <w:color w:val="000000"/>
                <w:sz w:val="16"/>
                <w:szCs w:val="16"/>
                <w:lang w:eastAsia="ja-JP" w:bidi="th-TH"/>
              </w:rPr>
              <w:t>TISCs</w:t>
            </w:r>
            <w:r w:rsidRPr="00AB4531">
              <w:rPr>
                <w:rFonts w:cs="Arial"/>
                <w:color w:val="000000"/>
                <w:sz w:val="16"/>
                <w:szCs w:val="16"/>
                <w:lang w:eastAsia="ja-JP" w:bidi="th-TH"/>
              </w:rPr>
              <w:t xml:space="preserve"> so as to assist local users in developing countries to effectively use and exploit technologies found in internet databases</w:t>
            </w:r>
          </w:p>
        </w:tc>
      </w:tr>
      <w:tr w:rsidR="005703CF" w:rsidRPr="00660313" w:rsidTr="002249F8">
        <w:tc>
          <w:tcPr>
            <w:tcW w:w="1843" w:type="dxa"/>
            <w:tcBorders>
              <w:bottom w:val="single" w:sz="4" w:space="0" w:color="auto"/>
            </w:tcBorders>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 xml:space="preserve">Technology and Innovation Support Center (TISC) Meeting on Developing the TISC Project and Searching Patent and Scientific and Technical Journal databases </w:t>
            </w:r>
          </w:p>
        </w:tc>
        <w:tc>
          <w:tcPr>
            <w:tcW w:w="1137" w:type="dxa"/>
            <w:tcBorders>
              <w:bottom w:val="single" w:sz="4" w:space="0" w:color="auto"/>
            </w:tcBorders>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July 16 to 18, 2013</w:t>
            </w:r>
          </w:p>
        </w:tc>
        <w:tc>
          <w:tcPr>
            <w:tcW w:w="1985" w:type="dxa"/>
            <w:gridSpan w:val="2"/>
            <w:tcBorders>
              <w:bottom w:val="single" w:sz="4" w:space="0" w:color="auto"/>
            </w:tcBorders>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Zambia</w:t>
            </w:r>
            <w:r>
              <w:rPr>
                <w:rFonts w:cs="Arial"/>
                <w:color w:val="000000"/>
                <w:sz w:val="16"/>
                <w:szCs w:val="16"/>
                <w:lang w:eastAsia="ja-JP" w:bidi="th-TH"/>
              </w:rPr>
              <w:t>/</w:t>
            </w:r>
            <w:r w:rsidRPr="003C4193">
              <w:rPr>
                <w:rFonts w:cs="Arial"/>
                <w:color w:val="000000"/>
                <w:sz w:val="16"/>
                <w:szCs w:val="16"/>
                <w:lang w:eastAsia="ja-JP" w:bidi="th-TH"/>
              </w:rPr>
              <w:t xml:space="preserve">35 </w:t>
            </w:r>
            <w:r>
              <w:rPr>
                <w:rFonts w:cs="Arial"/>
                <w:color w:val="000000"/>
                <w:sz w:val="16"/>
                <w:szCs w:val="16"/>
                <w:lang w:eastAsia="ja-JP" w:bidi="th-TH"/>
              </w:rPr>
              <w:t xml:space="preserve">local </w:t>
            </w:r>
            <w:r w:rsidRPr="003C4193">
              <w:rPr>
                <w:rFonts w:cs="Arial"/>
                <w:color w:val="000000"/>
                <w:sz w:val="16"/>
                <w:szCs w:val="16"/>
                <w:lang w:eastAsia="ja-JP" w:bidi="th-TH"/>
              </w:rPr>
              <w:t>participants</w:t>
            </w:r>
          </w:p>
        </w:tc>
        <w:tc>
          <w:tcPr>
            <w:tcW w:w="4110" w:type="dxa"/>
            <w:tcBorders>
              <w:bottom w:val="single" w:sz="4" w:space="0" w:color="auto"/>
            </w:tcBorders>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w:t>
            </w:r>
            <w:r w:rsidRPr="00CE002E">
              <w:rPr>
                <w:rFonts w:cs="Arial"/>
                <w:color w:val="000000"/>
                <w:sz w:val="16"/>
                <w:szCs w:val="16"/>
                <w:lang w:eastAsia="ja-JP" w:bidi="th-TH"/>
              </w:rPr>
              <w:t xml:space="preserve"> </w:t>
            </w:r>
            <w:r>
              <w:rPr>
                <w:rFonts w:cs="Arial"/>
                <w:color w:val="000000"/>
                <w:sz w:val="16"/>
                <w:szCs w:val="16"/>
                <w:lang w:eastAsia="ja-JP" w:bidi="th-TH"/>
              </w:rPr>
              <w:t xml:space="preserve"> </w:t>
            </w:r>
            <w:r w:rsidRPr="00CE002E">
              <w:rPr>
                <w:rFonts w:cs="Arial"/>
                <w:color w:val="000000"/>
                <w:sz w:val="16"/>
                <w:szCs w:val="16"/>
                <w:lang w:eastAsia="ja-JP" w:bidi="th-TH"/>
              </w:rPr>
              <w:t>(i) meet with the TISCs stakeholders to review the TISC project document and discuss the planning and implementations details on the national level in Zambia</w:t>
            </w:r>
            <w:r>
              <w:rPr>
                <w:rFonts w:cs="Arial"/>
                <w:color w:val="000000"/>
                <w:sz w:val="16"/>
                <w:szCs w:val="16"/>
                <w:lang w:eastAsia="ja-JP" w:bidi="th-TH"/>
              </w:rPr>
              <w:t xml:space="preserve">; </w:t>
            </w:r>
            <w:r w:rsidRPr="00CE002E">
              <w:rPr>
                <w:rFonts w:cs="Arial"/>
                <w:color w:val="000000"/>
                <w:sz w:val="16"/>
                <w:szCs w:val="16"/>
                <w:lang w:eastAsia="ja-JP" w:bidi="th-TH"/>
              </w:rPr>
              <w:t xml:space="preserve"> (ii) carry out a one day second TISC training seminar on the patent information search, in particular, the types of search in patent databases as well as the search in scientific and technical journal databases</w:t>
            </w:r>
            <w:r>
              <w:rPr>
                <w:rFonts w:cs="Arial"/>
                <w:color w:val="000000"/>
                <w:sz w:val="16"/>
                <w:szCs w:val="16"/>
                <w:lang w:eastAsia="ja-JP" w:bidi="th-TH"/>
              </w:rPr>
              <w:t>;  and</w:t>
            </w:r>
            <w:r w:rsidRPr="00CE002E">
              <w:rPr>
                <w:rFonts w:cs="Arial"/>
                <w:color w:val="000000"/>
                <w:sz w:val="16"/>
                <w:szCs w:val="16"/>
                <w:lang w:eastAsia="ja-JP" w:bidi="th-TH"/>
              </w:rPr>
              <w:t xml:space="preserve"> (iii) conduct one day training of trainers workshop to provide an in-depth training to the TISC staff and the representatives from various stakeholders</w:t>
            </w:r>
          </w:p>
        </w:tc>
      </w:tr>
      <w:tr w:rsidR="005703CF" w:rsidRPr="00AA1198" w:rsidTr="002249F8">
        <w:tc>
          <w:tcPr>
            <w:tcW w:w="9075" w:type="dxa"/>
            <w:gridSpan w:val="5"/>
            <w:tcBorders>
              <w:top w:val="single" w:sz="4" w:space="0" w:color="auto"/>
              <w:bottom w:val="single" w:sz="4" w:space="0" w:color="auto"/>
            </w:tcBorders>
            <w:shd w:val="clear" w:color="auto" w:fill="CCFFFF"/>
            <w:vAlign w:val="center"/>
          </w:tcPr>
          <w:p w:rsidR="005703CF" w:rsidRPr="00AA1198" w:rsidRDefault="005703CF" w:rsidP="00C24C7E">
            <w:pPr>
              <w:keepNext/>
              <w:keepLines/>
              <w:tabs>
                <w:tab w:val="left" w:pos="1740"/>
              </w:tabs>
              <w:spacing w:before="120" w:after="120"/>
              <w:ind w:left="1741" w:hanging="1741"/>
              <w:rPr>
                <w:rFonts w:cs="Arial"/>
                <w:bCs/>
                <w:sz w:val="16"/>
                <w:szCs w:val="16"/>
              </w:rPr>
            </w:pPr>
            <w:r w:rsidRPr="00AA1198">
              <w:rPr>
                <w:rFonts w:cs="Arial"/>
                <w:b/>
                <w:bCs/>
                <w:color w:val="000000"/>
                <w:sz w:val="16"/>
                <w:szCs w:val="16"/>
              </w:rPr>
              <w:lastRenderedPageBreak/>
              <w:t>RESULT</w:t>
            </w:r>
            <w:r w:rsidRPr="00AA1198">
              <w:rPr>
                <w:rFonts w:cs="Arial"/>
                <w:bCs/>
                <w:sz w:val="16"/>
                <w:szCs w:val="16"/>
              </w:rPr>
              <w:t>:</w:t>
            </w:r>
            <w:r w:rsidRPr="00AA1198">
              <w:rPr>
                <w:rFonts w:cs="Arial"/>
                <w:bCs/>
                <w:sz w:val="16"/>
                <w:szCs w:val="16"/>
              </w:rPr>
              <w:tab/>
            </w:r>
            <w:r w:rsidRPr="00AA1198">
              <w:rPr>
                <w:rFonts w:cs="Arial"/>
                <w:bCs/>
                <w:color w:val="000000"/>
                <w:sz w:val="16"/>
                <w:szCs w:val="16"/>
              </w:rPr>
              <w:t>Enhanced human resources capacities able to deal with the broad range of requirements for the effective use of IP for development</w:t>
            </w:r>
          </w:p>
        </w:tc>
      </w:tr>
      <w:tr w:rsidR="005703CF" w:rsidRPr="00AA1198" w:rsidTr="00C24C7E">
        <w:tc>
          <w:tcPr>
            <w:tcW w:w="1843" w:type="dxa"/>
            <w:tcBorders>
              <w:top w:val="single" w:sz="4" w:space="0" w:color="auto"/>
            </w:tcBorders>
            <w:vAlign w:val="center"/>
          </w:tcPr>
          <w:p w:rsidR="005703CF" w:rsidRPr="00AA1198" w:rsidRDefault="005703CF" w:rsidP="002249F8">
            <w:pPr>
              <w:rPr>
                <w:rFonts w:cs="Arial"/>
                <w:b/>
                <w:bCs/>
                <w:sz w:val="16"/>
                <w:szCs w:val="16"/>
              </w:rPr>
            </w:pPr>
            <w:r w:rsidRPr="00AA1198">
              <w:rPr>
                <w:rFonts w:cs="Arial"/>
                <w:b/>
                <w:bCs/>
                <w:sz w:val="16"/>
                <w:szCs w:val="16"/>
              </w:rPr>
              <w:t>Activity</w:t>
            </w:r>
          </w:p>
        </w:tc>
        <w:tc>
          <w:tcPr>
            <w:tcW w:w="1137" w:type="dxa"/>
            <w:tcBorders>
              <w:top w:val="single" w:sz="4" w:space="0" w:color="auto"/>
            </w:tcBorders>
            <w:shd w:val="clear" w:color="auto" w:fill="auto"/>
            <w:tcMar>
              <w:top w:w="110" w:type="dxa"/>
            </w:tcMar>
            <w:vAlign w:val="center"/>
          </w:tcPr>
          <w:p w:rsidR="005703CF" w:rsidRPr="00AA1198" w:rsidRDefault="005703CF" w:rsidP="002249F8">
            <w:pPr>
              <w:rPr>
                <w:rFonts w:cs="Arial"/>
                <w:sz w:val="16"/>
                <w:szCs w:val="16"/>
              </w:rPr>
            </w:pPr>
            <w:r w:rsidRPr="00AA1198">
              <w:rPr>
                <w:rFonts w:cs="Arial"/>
                <w:b/>
                <w:bCs/>
                <w:sz w:val="16"/>
                <w:szCs w:val="16"/>
              </w:rPr>
              <w:t>Date</w:t>
            </w:r>
          </w:p>
        </w:tc>
        <w:tc>
          <w:tcPr>
            <w:tcW w:w="1843" w:type="dxa"/>
            <w:tcBorders>
              <w:top w:val="single" w:sz="4" w:space="0" w:color="auto"/>
            </w:tcBorders>
            <w:shd w:val="clear" w:color="auto" w:fill="auto"/>
            <w:tcMar>
              <w:top w:w="110" w:type="dxa"/>
            </w:tcMar>
            <w:vAlign w:val="center"/>
          </w:tcPr>
          <w:p w:rsidR="005703CF" w:rsidRPr="00AA1198" w:rsidRDefault="005703CF" w:rsidP="002249F8">
            <w:pPr>
              <w:rPr>
                <w:rFonts w:cs="Arial"/>
                <w:sz w:val="16"/>
                <w:szCs w:val="16"/>
              </w:rPr>
            </w:pPr>
            <w:r w:rsidRPr="00AA1198">
              <w:rPr>
                <w:rFonts w:cs="Arial"/>
                <w:b/>
                <w:bCs/>
                <w:sz w:val="16"/>
                <w:szCs w:val="16"/>
              </w:rPr>
              <w:t>Host Country/</w:t>
            </w:r>
            <w:r w:rsidRPr="00AA1198">
              <w:rPr>
                <w:rFonts w:cs="Arial"/>
                <w:b/>
                <w:bCs/>
                <w:sz w:val="16"/>
                <w:szCs w:val="16"/>
              </w:rPr>
              <w:br/>
              <w:t>Recipients</w:t>
            </w:r>
          </w:p>
        </w:tc>
        <w:tc>
          <w:tcPr>
            <w:tcW w:w="4252" w:type="dxa"/>
            <w:gridSpan w:val="2"/>
            <w:tcBorders>
              <w:top w:val="single" w:sz="4" w:space="0" w:color="auto"/>
            </w:tcBorders>
            <w:shd w:val="clear" w:color="auto" w:fill="FFFFFF"/>
            <w:tcMar>
              <w:top w:w="110" w:type="dxa"/>
            </w:tcMar>
            <w:vAlign w:val="center"/>
          </w:tcPr>
          <w:p w:rsidR="005703CF" w:rsidRPr="00AA1198" w:rsidRDefault="005703CF" w:rsidP="002249F8">
            <w:pPr>
              <w:rPr>
                <w:rFonts w:cs="Arial"/>
                <w:sz w:val="16"/>
                <w:szCs w:val="16"/>
              </w:rPr>
            </w:pPr>
            <w:r w:rsidRPr="00AA1198">
              <w:rPr>
                <w:rFonts w:cs="Arial"/>
                <w:b/>
                <w:bCs/>
                <w:sz w:val="16"/>
                <w:szCs w:val="16"/>
              </w:rPr>
              <w:t>Purpose(s)/Description(s)</w:t>
            </w:r>
          </w:p>
        </w:tc>
      </w:tr>
      <w:tr w:rsidR="005703CF" w:rsidRPr="00712264" w:rsidTr="00C24C7E">
        <w:tc>
          <w:tcPr>
            <w:tcW w:w="1843" w:type="dxa"/>
          </w:tcPr>
          <w:p w:rsidR="005703CF" w:rsidRPr="00863795" w:rsidRDefault="005703CF" w:rsidP="002249F8">
            <w:pPr>
              <w:autoSpaceDE w:val="0"/>
              <w:autoSpaceDN w:val="0"/>
              <w:adjustRightInd w:val="0"/>
              <w:spacing w:before="120" w:after="120"/>
              <w:rPr>
                <w:rFonts w:cs="Arial"/>
                <w:color w:val="000000"/>
                <w:sz w:val="16"/>
                <w:szCs w:val="16"/>
              </w:rPr>
            </w:pPr>
            <w:r w:rsidRPr="00C73D8D">
              <w:rPr>
                <w:rFonts w:cs="Arial"/>
                <w:color w:val="000000"/>
                <w:sz w:val="16"/>
                <w:szCs w:val="16"/>
              </w:rPr>
              <w:t>Examination Practice of Industrial Property (Basic Program)</w:t>
            </w:r>
          </w:p>
        </w:tc>
        <w:tc>
          <w:tcPr>
            <w:tcW w:w="1137" w:type="dxa"/>
          </w:tcPr>
          <w:p w:rsidR="005703CF" w:rsidRPr="00712264" w:rsidRDefault="005703CF" w:rsidP="002249F8">
            <w:pPr>
              <w:autoSpaceDE w:val="0"/>
              <w:autoSpaceDN w:val="0"/>
              <w:adjustRightInd w:val="0"/>
              <w:spacing w:before="120" w:after="120"/>
              <w:rPr>
                <w:rFonts w:cs="Arial"/>
                <w:color w:val="000000"/>
                <w:sz w:val="16"/>
                <w:szCs w:val="16"/>
              </w:rPr>
            </w:pPr>
            <w:r w:rsidRPr="00414CFE">
              <w:rPr>
                <w:rFonts w:cs="Arial"/>
                <w:color w:val="000000"/>
                <w:sz w:val="16"/>
                <w:szCs w:val="16"/>
              </w:rPr>
              <w:t xml:space="preserve">January 21 </w:t>
            </w:r>
            <w:r>
              <w:rPr>
                <w:rFonts w:cs="Arial"/>
                <w:color w:val="000000"/>
                <w:sz w:val="16"/>
                <w:szCs w:val="16"/>
              </w:rPr>
              <w:t xml:space="preserve">to </w:t>
            </w:r>
            <w:r w:rsidRPr="00414CFE">
              <w:rPr>
                <w:rFonts w:cs="Arial"/>
                <w:color w:val="000000"/>
                <w:sz w:val="16"/>
                <w:szCs w:val="16"/>
              </w:rPr>
              <w:t>February 1, 2013</w:t>
            </w:r>
          </w:p>
        </w:tc>
        <w:tc>
          <w:tcPr>
            <w:tcW w:w="1843" w:type="dxa"/>
          </w:tcPr>
          <w:p w:rsidR="005703CF" w:rsidRPr="00D36B6A" w:rsidRDefault="005703CF" w:rsidP="002249F8">
            <w:pPr>
              <w:autoSpaceDE w:val="0"/>
              <w:autoSpaceDN w:val="0"/>
              <w:adjustRightInd w:val="0"/>
              <w:spacing w:before="120" w:after="120"/>
              <w:rPr>
                <w:rFonts w:cs="Arial"/>
                <w:color w:val="000000"/>
                <w:sz w:val="16"/>
                <w:szCs w:val="16"/>
                <w:highlight w:val="yellow"/>
              </w:rPr>
            </w:pPr>
            <w:r>
              <w:rPr>
                <w:rFonts w:cs="Arial"/>
                <w:color w:val="000000"/>
                <w:sz w:val="16"/>
                <w:szCs w:val="16"/>
              </w:rPr>
              <w:t>Japan/3 African Participants</w:t>
            </w:r>
          </w:p>
        </w:tc>
        <w:tc>
          <w:tcPr>
            <w:tcW w:w="4252" w:type="dxa"/>
            <w:gridSpan w:val="2"/>
          </w:tcPr>
          <w:p w:rsidR="005703CF" w:rsidRPr="00712264" w:rsidRDefault="005703CF" w:rsidP="00606EF6">
            <w:pPr>
              <w:autoSpaceDE w:val="0"/>
              <w:autoSpaceDN w:val="0"/>
              <w:adjustRightInd w:val="0"/>
              <w:spacing w:before="120" w:after="80"/>
              <w:rPr>
                <w:rFonts w:cs="Arial"/>
                <w:color w:val="000000"/>
                <w:sz w:val="16"/>
                <w:szCs w:val="16"/>
                <w:lang w:eastAsia="ja-JP" w:bidi="th-TH"/>
              </w:rPr>
            </w:pPr>
            <w:r>
              <w:rPr>
                <w:rFonts w:cs="Arial"/>
                <w:color w:val="000000"/>
                <w:sz w:val="16"/>
                <w:szCs w:val="16"/>
                <w:lang w:eastAsia="ja-JP" w:bidi="th-TH"/>
              </w:rPr>
              <w:t>To</w:t>
            </w:r>
            <w:r w:rsidRPr="00C73D8D">
              <w:rPr>
                <w:rFonts w:cs="Arial"/>
                <w:color w:val="000000"/>
                <w:sz w:val="16"/>
                <w:szCs w:val="16"/>
                <w:lang w:eastAsia="ja-JP" w:bidi="th-TH"/>
              </w:rPr>
              <w:t xml:space="preserve"> assist the participants to acquire a basic knowledge of the laws and substantive examination procedures in the field of examination of industrial property rights through lectures, practical exercises, and case studies</w:t>
            </w:r>
          </w:p>
        </w:tc>
      </w:tr>
      <w:tr w:rsidR="005703CF" w:rsidRPr="00712264" w:rsidTr="00C24C7E">
        <w:tc>
          <w:tcPr>
            <w:tcW w:w="1843" w:type="dxa"/>
          </w:tcPr>
          <w:p w:rsidR="005703CF" w:rsidRPr="009743A2" w:rsidRDefault="005703CF" w:rsidP="002249F8">
            <w:pPr>
              <w:keepNext/>
              <w:autoSpaceDE w:val="0"/>
              <w:autoSpaceDN w:val="0"/>
              <w:adjustRightInd w:val="0"/>
              <w:spacing w:before="120" w:after="120"/>
              <w:rPr>
                <w:rFonts w:cs="Arial"/>
                <w:color w:val="000000"/>
                <w:sz w:val="16"/>
                <w:szCs w:val="16"/>
              </w:rPr>
            </w:pPr>
            <w:r w:rsidRPr="00414CFE">
              <w:rPr>
                <w:rFonts w:cs="Arial"/>
                <w:color w:val="000000"/>
                <w:sz w:val="16"/>
                <w:szCs w:val="16"/>
              </w:rPr>
              <w:t>Industrial property administration</w:t>
            </w:r>
          </w:p>
        </w:tc>
        <w:tc>
          <w:tcPr>
            <w:tcW w:w="1137" w:type="dxa"/>
          </w:tcPr>
          <w:p w:rsidR="005703CF" w:rsidRPr="00414CFE" w:rsidRDefault="005703CF" w:rsidP="002249F8">
            <w:pPr>
              <w:keepNext/>
              <w:autoSpaceDE w:val="0"/>
              <w:autoSpaceDN w:val="0"/>
              <w:adjustRightInd w:val="0"/>
              <w:spacing w:before="120" w:after="120"/>
              <w:rPr>
                <w:rFonts w:cs="Arial"/>
                <w:color w:val="000000"/>
                <w:sz w:val="16"/>
                <w:szCs w:val="16"/>
              </w:rPr>
            </w:pPr>
            <w:r>
              <w:rPr>
                <w:rFonts w:cs="Arial"/>
                <w:color w:val="000000"/>
                <w:sz w:val="16"/>
                <w:szCs w:val="16"/>
              </w:rPr>
              <w:t xml:space="preserve">February 4 to </w:t>
            </w:r>
            <w:r w:rsidRPr="00414CFE">
              <w:rPr>
                <w:rFonts w:cs="Arial"/>
                <w:color w:val="000000"/>
                <w:sz w:val="16"/>
                <w:szCs w:val="16"/>
              </w:rPr>
              <w:t>8, 2013</w:t>
            </w:r>
          </w:p>
        </w:tc>
        <w:tc>
          <w:tcPr>
            <w:tcW w:w="1843" w:type="dxa"/>
          </w:tcPr>
          <w:p w:rsidR="005703CF" w:rsidRDefault="005703CF" w:rsidP="002249F8">
            <w:pPr>
              <w:keepNext/>
              <w:autoSpaceDE w:val="0"/>
              <w:autoSpaceDN w:val="0"/>
              <w:adjustRightInd w:val="0"/>
              <w:spacing w:before="120" w:after="120"/>
              <w:rPr>
                <w:rFonts w:cs="Arial"/>
                <w:color w:val="000000"/>
                <w:sz w:val="16"/>
                <w:szCs w:val="16"/>
              </w:rPr>
            </w:pPr>
            <w:r w:rsidRPr="00414CFE">
              <w:rPr>
                <w:rFonts w:cs="Arial"/>
                <w:color w:val="000000"/>
                <w:sz w:val="16"/>
                <w:szCs w:val="16"/>
              </w:rPr>
              <w:t>Japan</w:t>
            </w:r>
            <w:r>
              <w:rPr>
                <w:rFonts w:cs="Arial"/>
                <w:color w:val="000000"/>
                <w:sz w:val="16"/>
                <w:szCs w:val="16"/>
              </w:rPr>
              <w:t xml:space="preserve">/participant from </w:t>
            </w:r>
            <w:r w:rsidRPr="00414CFE">
              <w:rPr>
                <w:rFonts w:cs="Arial"/>
                <w:color w:val="000000"/>
                <w:sz w:val="16"/>
                <w:szCs w:val="16"/>
              </w:rPr>
              <w:t>Tunisia</w:t>
            </w:r>
          </w:p>
        </w:tc>
        <w:tc>
          <w:tcPr>
            <w:tcW w:w="4252" w:type="dxa"/>
            <w:gridSpan w:val="2"/>
          </w:tcPr>
          <w:p w:rsidR="005703CF" w:rsidRPr="00712264" w:rsidRDefault="005703CF" w:rsidP="00606EF6">
            <w:pPr>
              <w:keepNext/>
              <w:autoSpaceDE w:val="0"/>
              <w:autoSpaceDN w:val="0"/>
              <w:adjustRightInd w:val="0"/>
              <w:spacing w:before="120" w:after="80"/>
              <w:rPr>
                <w:rFonts w:cs="Arial"/>
                <w:color w:val="000000"/>
                <w:sz w:val="16"/>
                <w:szCs w:val="16"/>
                <w:lang w:eastAsia="ja-JP" w:bidi="th-TH"/>
              </w:rPr>
            </w:pPr>
            <w:r>
              <w:rPr>
                <w:rFonts w:cs="Arial"/>
                <w:color w:val="000000"/>
                <w:sz w:val="16"/>
                <w:szCs w:val="16"/>
                <w:lang w:eastAsia="ja-JP" w:bidi="th-TH"/>
              </w:rPr>
              <w:t>T</w:t>
            </w:r>
            <w:r w:rsidRPr="00E60E25">
              <w:rPr>
                <w:rFonts w:cs="Arial"/>
                <w:color w:val="000000"/>
                <w:sz w:val="16"/>
                <w:szCs w:val="16"/>
                <w:lang w:eastAsia="ja-JP" w:bidi="th-TH"/>
              </w:rPr>
              <w:t>o</w:t>
            </w:r>
            <w:r>
              <w:rPr>
                <w:rFonts w:cs="Arial"/>
                <w:color w:val="000000"/>
                <w:sz w:val="16"/>
                <w:szCs w:val="16"/>
                <w:lang w:eastAsia="ja-JP" w:bidi="th-TH"/>
              </w:rPr>
              <w:t xml:space="preserve">: </w:t>
            </w:r>
            <w:r w:rsidRPr="00E60E25">
              <w:rPr>
                <w:rFonts w:cs="Arial"/>
                <w:color w:val="000000"/>
                <w:sz w:val="16"/>
                <w:szCs w:val="16"/>
                <w:lang w:eastAsia="ja-JP" w:bidi="th-TH"/>
              </w:rPr>
              <w:t xml:space="preserve"> (i)</w:t>
            </w:r>
            <w:r>
              <w:rPr>
                <w:rFonts w:cs="Arial"/>
                <w:color w:val="000000"/>
                <w:sz w:val="16"/>
                <w:szCs w:val="16"/>
                <w:lang w:eastAsia="ja-JP" w:bidi="th-TH"/>
              </w:rPr>
              <w:t> </w:t>
            </w:r>
            <w:r w:rsidRPr="00E60E25">
              <w:rPr>
                <w:rFonts w:cs="Arial"/>
                <w:color w:val="000000"/>
                <w:sz w:val="16"/>
                <w:szCs w:val="16"/>
                <w:lang w:eastAsia="ja-JP" w:bidi="th-TH"/>
              </w:rPr>
              <w:t>increase the knowledge of participants of modern IP management practices;  and (ii) enhance the capacity of participants to formulate, implement and evaluate IP Office plans that are time-bound, result-oriented, and have a measurable impact</w:t>
            </w:r>
          </w:p>
        </w:tc>
      </w:tr>
      <w:tr w:rsidR="005703CF" w:rsidRPr="00712264" w:rsidTr="00C24C7E">
        <w:tc>
          <w:tcPr>
            <w:tcW w:w="1843" w:type="dxa"/>
          </w:tcPr>
          <w:p w:rsidR="005703CF" w:rsidRPr="00414CFE" w:rsidRDefault="005703CF" w:rsidP="002249F8">
            <w:pPr>
              <w:autoSpaceDE w:val="0"/>
              <w:autoSpaceDN w:val="0"/>
              <w:adjustRightInd w:val="0"/>
              <w:spacing w:before="120" w:after="120"/>
              <w:rPr>
                <w:rFonts w:cs="Arial"/>
                <w:color w:val="000000"/>
                <w:sz w:val="16"/>
                <w:szCs w:val="16"/>
              </w:rPr>
            </w:pPr>
            <w:r w:rsidRPr="006C159B">
              <w:rPr>
                <w:rFonts w:cs="Arial"/>
                <w:color w:val="000000"/>
                <w:sz w:val="16"/>
                <w:szCs w:val="16"/>
              </w:rPr>
              <w:t>Training Courses for Patent Exami</w:t>
            </w:r>
            <w:r>
              <w:rPr>
                <w:rFonts w:cs="Arial"/>
                <w:color w:val="000000"/>
                <w:sz w:val="16"/>
                <w:szCs w:val="16"/>
              </w:rPr>
              <w:t xml:space="preserve">ners on Specified Technologies </w:t>
            </w:r>
            <w:r w:rsidRPr="00C73D8D">
              <w:rPr>
                <w:rFonts w:cs="Arial"/>
                <w:color w:val="000000"/>
                <w:sz w:val="16"/>
                <w:szCs w:val="16"/>
              </w:rPr>
              <w:t>(Computer Program)</w:t>
            </w:r>
          </w:p>
        </w:tc>
        <w:tc>
          <w:tcPr>
            <w:tcW w:w="1137" w:type="dxa"/>
          </w:tcPr>
          <w:p w:rsidR="005703CF" w:rsidRPr="00414CF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February 13 to 20, 2013</w:t>
            </w:r>
          </w:p>
        </w:tc>
        <w:tc>
          <w:tcPr>
            <w:tcW w:w="1843" w:type="dxa"/>
          </w:tcPr>
          <w:p w:rsidR="005703CF" w:rsidRPr="00414CFE" w:rsidRDefault="005703CF" w:rsidP="002249F8">
            <w:pPr>
              <w:autoSpaceDE w:val="0"/>
              <w:autoSpaceDN w:val="0"/>
              <w:adjustRightInd w:val="0"/>
              <w:spacing w:before="120" w:after="120"/>
              <w:rPr>
                <w:rFonts w:cs="Arial"/>
                <w:color w:val="000000"/>
                <w:sz w:val="16"/>
                <w:szCs w:val="16"/>
              </w:rPr>
            </w:pPr>
            <w:r w:rsidRPr="006C159B">
              <w:rPr>
                <w:rFonts w:cs="Arial"/>
                <w:color w:val="000000"/>
                <w:sz w:val="16"/>
                <w:szCs w:val="16"/>
              </w:rPr>
              <w:t>Japan</w:t>
            </w:r>
            <w:r>
              <w:rPr>
                <w:rFonts w:cs="Arial"/>
                <w:color w:val="000000"/>
                <w:sz w:val="16"/>
                <w:szCs w:val="16"/>
              </w:rPr>
              <w:t xml:space="preserve">/2 African participants </w:t>
            </w:r>
          </w:p>
        </w:tc>
        <w:tc>
          <w:tcPr>
            <w:tcW w:w="4252" w:type="dxa"/>
            <w:gridSpan w:val="2"/>
          </w:tcPr>
          <w:p w:rsidR="005703CF" w:rsidRPr="00414CFE"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w:t>
            </w:r>
            <w:r w:rsidRPr="00C73D8D">
              <w:rPr>
                <w:rFonts w:cs="Arial"/>
                <w:color w:val="000000"/>
                <w:sz w:val="16"/>
                <w:szCs w:val="16"/>
                <w:lang w:eastAsia="ja-JP" w:bidi="th-TH"/>
              </w:rPr>
              <w:t>o:  (i)</w:t>
            </w:r>
            <w:r>
              <w:rPr>
                <w:rFonts w:cs="Arial"/>
                <w:color w:val="000000"/>
                <w:sz w:val="16"/>
                <w:szCs w:val="16"/>
                <w:lang w:eastAsia="ja-JP" w:bidi="th-TH"/>
              </w:rPr>
              <w:t> </w:t>
            </w:r>
            <w:r w:rsidRPr="00C73D8D">
              <w:rPr>
                <w:rFonts w:cs="Arial"/>
                <w:color w:val="000000"/>
                <w:sz w:val="16"/>
                <w:szCs w:val="16"/>
                <w:lang w:eastAsia="ja-JP" w:bidi="th-TH"/>
              </w:rPr>
              <w:t>acquaint the participants with current trends and modern practices in the examination of patents related to Computer Program;  (ii) impart practical knowledge and insights on patent examination methodologies;  (iii) offer an opportunity to share experiences and views among participants on patent examination issues;  and (iv) enhance participants’ professional capabilities for examination of Computer Program patents</w:t>
            </w:r>
          </w:p>
        </w:tc>
      </w:tr>
      <w:tr w:rsidR="005703CF" w:rsidRPr="00712264" w:rsidTr="00C24C7E">
        <w:tc>
          <w:tcPr>
            <w:tcW w:w="1843" w:type="dxa"/>
          </w:tcPr>
          <w:p w:rsidR="005703CF" w:rsidRPr="00414CFE" w:rsidRDefault="005703CF" w:rsidP="002249F8">
            <w:pPr>
              <w:autoSpaceDE w:val="0"/>
              <w:autoSpaceDN w:val="0"/>
              <w:adjustRightInd w:val="0"/>
              <w:spacing w:before="120" w:after="120"/>
              <w:rPr>
                <w:rFonts w:cs="Arial"/>
                <w:color w:val="000000"/>
                <w:sz w:val="16"/>
                <w:szCs w:val="16"/>
              </w:rPr>
            </w:pPr>
            <w:r w:rsidRPr="006C159B">
              <w:rPr>
                <w:rFonts w:cs="Arial"/>
                <w:color w:val="000000"/>
                <w:sz w:val="16"/>
                <w:szCs w:val="16"/>
              </w:rPr>
              <w:t>Training Courses for Patent Examiners on Specified Technologies</w:t>
            </w:r>
            <w:r>
              <w:rPr>
                <w:rFonts w:cs="Arial"/>
                <w:color w:val="000000"/>
                <w:sz w:val="16"/>
                <w:szCs w:val="16"/>
              </w:rPr>
              <w:t xml:space="preserve"> </w:t>
            </w:r>
            <w:r w:rsidRPr="001D1D24">
              <w:rPr>
                <w:rFonts w:cs="Arial"/>
                <w:color w:val="000000"/>
                <w:sz w:val="16"/>
                <w:szCs w:val="16"/>
              </w:rPr>
              <w:t>(Lighting)</w:t>
            </w:r>
          </w:p>
        </w:tc>
        <w:tc>
          <w:tcPr>
            <w:tcW w:w="1137" w:type="dxa"/>
          </w:tcPr>
          <w:p w:rsidR="005703CF" w:rsidRPr="00414CFE" w:rsidRDefault="005703CF" w:rsidP="002249F8">
            <w:pPr>
              <w:autoSpaceDE w:val="0"/>
              <w:autoSpaceDN w:val="0"/>
              <w:adjustRightInd w:val="0"/>
              <w:spacing w:before="120" w:after="120"/>
              <w:rPr>
                <w:rFonts w:cs="Arial"/>
                <w:color w:val="000000"/>
                <w:sz w:val="16"/>
                <w:szCs w:val="16"/>
              </w:rPr>
            </w:pPr>
            <w:r w:rsidRPr="006C159B">
              <w:rPr>
                <w:rFonts w:cs="Arial"/>
                <w:color w:val="000000"/>
                <w:sz w:val="16"/>
                <w:szCs w:val="16"/>
              </w:rPr>
              <w:t>February 21</w:t>
            </w:r>
            <w:r>
              <w:rPr>
                <w:rFonts w:cs="Arial"/>
                <w:color w:val="000000"/>
                <w:sz w:val="16"/>
                <w:szCs w:val="16"/>
              </w:rPr>
              <w:t xml:space="preserve"> to </w:t>
            </w:r>
            <w:r w:rsidRPr="006C159B">
              <w:rPr>
                <w:rFonts w:cs="Arial"/>
                <w:color w:val="000000"/>
                <w:sz w:val="16"/>
                <w:szCs w:val="16"/>
              </w:rPr>
              <w:t>28,</w:t>
            </w:r>
            <w:r>
              <w:rPr>
                <w:rFonts w:cs="Arial"/>
                <w:color w:val="000000"/>
                <w:sz w:val="16"/>
                <w:szCs w:val="16"/>
              </w:rPr>
              <w:t xml:space="preserve"> </w:t>
            </w:r>
            <w:r w:rsidRPr="006C159B">
              <w:rPr>
                <w:rFonts w:cs="Arial"/>
                <w:color w:val="000000"/>
                <w:sz w:val="16"/>
                <w:szCs w:val="16"/>
              </w:rPr>
              <w:t>2013</w:t>
            </w:r>
          </w:p>
        </w:tc>
        <w:tc>
          <w:tcPr>
            <w:tcW w:w="1843" w:type="dxa"/>
          </w:tcPr>
          <w:p w:rsidR="005703CF" w:rsidRPr="00414CF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Japan/3 African participants</w:t>
            </w:r>
          </w:p>
        </w:tc>
        <w:tc>
          <w:tcPr>
            <w:tcW w:w="4252" w:type="dxa"/>
            <w:gridSpan w:val="2"/>
          </w:tcPr>
          <w:p w:rsidR="005703CF" w:rsidRPr="00414CFE" w:rsidRDefault="005703CF" w:rsidP="002249F8">
            <w:pPr>
              <w:rPr>
                <w:rFonts w:cs="Arial"/>
                <w:color w:val="000000"/>
                <w:sz w:val="16"/>
                <w:szCs w:val="16"/>
                <w:lang w:eastAsia="ja-JP" w:bidi="th-TH"/>
              </w:rPr>
            </w:pPr>
            <w:r>
              <w:rPr>
                <w:rFonts w:cs="Arial"/>
                <w:color w:val="000000"/>
                <w:sz w:val="16"/>
                <w:szCs w:val="16"/>
                <w:lang w:eastAsia="ja-JP" w:bidi="th-TH"/>
              </w:rPr>
              <w:t>T</w:t>
            </w:r>
            <w:r w:rsidRPr="001D1D24">
              <w:rPr>
                <w:rFonts w:cs="Arial"/>
                <w:color w:val="000000"/>
                <w:sz w:val="16"/>
                <w:szCs w:val="16"/>
                <w:lang w:eastAsia="ja-JP" w:bidi="th-TH"/>
              </w:rPr>
              <w:t>o:  (i)</w:t>
            </w:r>
            <w:r>
              <w:rPr>
                <w:rFonts w:cs="Arial"/>
                <w:color w:val="000000"/>
                <w:sz w:val="16"/>
                <w:szCs w:val="16"/>
                <w:lang w:eastAsia="ja-JP" w:bidi="th-TH"/>
              </w:rPr>
              <w:t> </w:t>
            </w:r>
            <w:r w:rsidRPr="001D1D24">
              <w:rPr>
                <w:rFonts w:cs="Arial"/>
                <w:color w:val="000000"/>
                <w:sz w:val="16"/>
                <w:szCs w:val="16"/>
                <w:lang w:eastAsia="ja-JP" w:bidi="th-TH"/>
              </w:rPr>
              <w:t>acquaint the participants with current trends and modern practices in the examination of patents related to Lighting;  (ii) impart practical knowledge and insights on patent examination methodologies;  (iii) offer an opportunity to share experiences and views among participants on patent examination issues;  and (iv)</w:t>
            </w:r>
            <w:r>
              <w:rPr>
                <w:rFonts w:cs="Arial"/>
                <w:color w:val="000000"/>
                <w:sz w:val="16"/>
                <w:szCs w:val="16"/>
                <w:lang w:eastAsia="ja-JP" w:bidi="th-TH"/>
              </w:rPr>
              <w:t> </w:t>
            </w:r>
            <w:r w:rsidRPr="001D1D24">
              <w:rPr>
                <w:rFonts w:cs="Arial"/>
                <w:color w:val="000000"/>
                <w:sz w:val="16"/>
                <w:szCs w:val="16"/>
                <w:lang w:eastAsia="ja-JP" w:bidi="th-TH"/>
              </w:rPr>
              <w:t>enhance participants’ professional capabilities for examination of Lighting patents</w:t>
            </w:r>
          </w:p>
        </w:tc>
      </w:tr>
      <w:tr w:rsidR="005703CF" w:rsidRPr="00712264" w:rsidTr="00C24C7E">
        <w:tc>
          <w:tcPr>
            <w:tcW w:w="1843" w:type="dxa"/>
          </w:tcPr>
          <w:p w:rsidR="005703CF" w:rsidRPr="00414CFE" w:rsidRDefault="005703CF" w:rsidP="002249F8">
            <w:pPr>
              <w:autoSpaceDE w:val="0"/>
              <w:autoSpaceDN w:val="0"/>
              <w:adjustRightInd w:val="0"/>
              <w:spacing w:before="120" w:after="120"/>
              <w:rPr>
                <w:rFonts w:cs="Arial"/>
                <w:color w:val="000000"/>
                <w:sz w:val="16"/>
                <w:szCs w:val="16"/>
              </w:rPr>
            </w:pPr>
            <w:r w:rsidRPr="00414CFE">
              <w:rPr>
                <w:rFonts w:cs="Arial"/>
                <w:color w:val="000000"/>
                <w:sz w:val="16"/>
                <w:szCs w:val="16"/>
              </w:rPr>
              <w:t>WIPO Workshop on Effective Utilization of Search Results and Communications Derived from the Patent Cooperation Treaty (PCT) System in the National Stage</w:t>
            </w:r>
          </w:p>
        </w:tc>
        <w:tc>
          <w:tcPr>
            <w:tcW w:w="1137" w:type="dxa"/>
          </w:tcPr>
          <w:p w:rsidR="005703CF" w:rsidRDefault="005703CF" w:rsidP="002249F8">
            <w:pPr>
              <w:autoSpaceDE w:val="0"/>
              <w:autoSpaceDN w:val="0"/>
              <w:adjustRightInd w:val="0"/>
              <w:spacing w:before="120" w:after="120"/>
              <w:rPr>
                <w:rFonts w:cs="Arial"/>
                <w:color w:val="000000"/>
                <w:sz w:val="16"/>
                <w:szCs w:val="16"/>
              </w:rPr>
            </w:pPr>
            <w:r w:rsidRPr="00414CFE">
              <w:rPr>
                <w:rFonts w:cs="Arial"/>
                <w:color w:val="000000"/>
                <w:sz w:val="16"/>
                <w:szCs w:val="16"/>
              </w:rPr>
              <w:t>February 26 to March 1, 2013</w:t>
            </w:r>
          </w:p>
        </w:tc>
        <w:tc>
          <w:tcPr>
            <w:tcW w:w="1843" w:type="dxa"/>
          </w:tcPr>
          <w:p w:rsidR="005703CF" w:rsidRPr="00414CFE" w:rsidRDefault="005703CF" w:rsidP="002249F8">
            <w:pPr>
              <w:autoSpaceDE w:val="0"/>
              <w:autoSpaceDN w:val="0"/>
              <w:adjustRightInd w:val="0"/>
              <w:spacing w:before="120" w:after="120"/>
              <w:rPr>
                <w:rFonts w:cs="Arial"/>
                <w:color w:val="000000"/>
                <w:sz w:val="16"/>
                <w:szCs w:val="16"/>
              </w:rPr>
            </w:pPr>
            <w:r w:rsidRPr="00414CFE">
              <w:rPr>
                <w:rFonts w:cs="Arial"/>
                <w:color w:val="000000"/>
                <w:sz w:val="16"/>
                <w:szCs w:val="16"/>
              </w:rPr>
              <w:t>Japan</w:t>
            </w:r>
            <w:r>
              <w:rPr>
                <w:rFonts w:cs="Arial"/>
                <w:color w:val="000000"/>
                <w:sz w:val="16"/>
                <w:szCs w:val="16"/>
              </w:rPr>
              <w:t>/3 African participants from</w:t>
            </w:r>
            <w:r w:rsidRPr="009A23F3">
              <w:rPr>
                <w:rFonts w:cs="Arial"/>
                <w:color w:val="000000"/>
                <w:sz w:val="16"/>
                <w:szCs w:val="16"/>
              </w:rPr>
              <w:t xml:space="preserve"> Egypt, Burundi and Madagascar</w:t>
            </w:r>
          </w:p>
        </w:tc>
        <w:tc>
          <w:tcPr>
            <w:tcW w:w="4252" w:type="dxa"/>
            <w:gridSpan w:val="2"/>
          </w:tcPr>
          <w:p w:rsidR="005703CF" w:rsidRPr="00712264" w:rsidRDefault="005703CF" w:rsidP="00606EF6">
            <w:pPr>
              <w:autoSpaceDE w:val="0"/>
              <w:autoSpaceDN w:val="0"/>
              <w:adjustRightInd w:val="0"/>
              <w:spacing w:before="120" w:after="80"/>
              <w:rPr>
                <w:rFonts w:cs="Arial"/>
                <w:color w:val="000000"/>
                <w:sz w:val="16"/>
                <w:szCs w:val="16"/>
                <w:lang w:eastAsia="ja-JP" w:bidi="th-TH"/>
              </w:rPr>
            </w:pPr>
            <w:r>
              <w:rPr>
                <w:rFonts w:cs="Arial"/>
                <w:color w:val="000000"/>
                <w:sz w:val="16"/>
                <w:szCs w:val="16"/>
                <w:lang w:eastAsia="ja-JP" w:bidi="th-TH"/>
              </w:rPr>
              <w:t xml:space="preserve">To: </w:t>
            </w:r>
            <w:r w:rsidRPr="001D1D24">
              <w:rPr>
                <w:rFonts w:cs="Arial"/>
                <w:color w:val="000000"/>
                <w:sz w:val="16"/>
                <w:szCs w:val="16"/>
                <w:lang w:eastAsia="ja-JP" w:bidi="th-TH"/>
              </w:rPr>
              <w:t xml:space="preserve"> </w:t>
            </w:r>
            <w:r>
              <w:rPr>
                <w:rFonts w:cs="Arial"/>
                <w:color w:val="000000"/>
                <w:sz w:val="16"/>
                <w:szCs w:val="16"/>
                <w:lang w:eastAsia="ja-JP" w:bidi="th-TH"/>
              </w:rPr>
              <w:t>(i) P</w:t>
            </w:r>
            <w:r w:rsidRPr="00414CFE">
              <w:rPr>
                <w:rFonts w:cs="Arial"/>
                <w:color w:val="000000"/>
                <w:sz w:val="16"/>
                <w:szCs w:val="16"/>
                <w:lang w:eastAsia="ja-JP" w:bidi="th-TH"/>
              </w:rPr>
              <w:t xml:space="preserve">rovide an opportunity to share challenges and best practices of the effective use of information on patent examination conducted by other </w:t>
            </w:r>
            <w:r>
              <w:rPr>
                <w:rFonts w:cs="Arial"/>
                <w:color w:val="000000"/>
                <w:sz w:val="16"/>
                <w:szCs w:val="16"/>
                <w:lang w:eastAsia="ja-JP" w:bidi="th-TH"/>
              </w:rPr>
              <w:t>IP</w:t>
            </w:r>
            <w:r w:rsidRPr="00414CFE">
              <w:rPr>
                <w:rFonts w:cs="Arial"/>
                <w:color w:val="000000"/>
                <w:sz w:val="16"/>
                <w:szCs w:val="16"/>
                <w:lang w:eastAsia="ja-JP" w:bidi="th-TH"/>
              </w:rPr>
              <w:t xml:space="preserve"> Offices; </w:t>
            </w:r>
            <w:r>
              <w:rPr>
                <w:rFonts w:cs="Arial"/>
                <w:color w:val="000000"/>
                <w:sz w:val="16"/>
                <w:szCs w:val="16"/>
                <w:lang w:eastAsia="ja-JP" w:bidi="th-TH"/>
              </w:rPr>
              <w:t xml:space="preserve"> </w:t>
            </w:r>
            <w:r w:rsidRPr="00414CFE">
              <w:rPr>
                <w:rFonts w:cs="Arial"/>
                <w:color w:val="000000"/>
                <w:sz w:val="16"/>
                <w:szCs w:val="16"/>
                <w:lang w:eastAsia="ja-JP" w:bidi="th-TH"/>
              </w:rPr>
              <w:t>(ii)</w:t>
            </w:r>
            <w:r>
              <w:rPr>
                <w:rFonts w:cs="Arial"/>
                <w:color w:val="000000"/>
                <w:sz w:val="16"/>
                <w:szCs w:val="16"/>
                <w:lang w:eastAsia="ja-JP" w:bidi="th-TH"/>
              </w:rPr>
              <w:t> </w:t>
            </w:r>
            <w:r w:rsidRPr="00414CFE">
              <w:rPr>
                <w:rFonts w:cs="Arial"/>
                <w:color w:val="000000"/>
                <w:sz w:val="16"/>
                <w:szCs w:val="16"/>
                <w:lang w:eastAsia="ja-JP" w:bidi="th-TH"/>
              </w:rPr>
              <w:t xml:space="preserve">study and examine ways to establish a platform to facilitate access to such information, with particular reference to on-going international projects; </w:t>
            </w:r>
            <w:r>
              <w:rPr>
                <w:rFonts w:cs="Arial"/>
                <w:color w:val="000000"/>
                <w:sz w:val="16"/>
                <w:szCs w:val="16"/>
                <w:lang w:eastAsia="ja-JP" w:bidi="th-TH"/>
              </w:rPr>
              <w:t xml:space="preserve"> </w:t>
            </w:r>
            <w:r w:rsidRPr="00414CFE">
              <w:rPr>
                <w:rFonts w:cs="Arial"/>
                <w:color w:val="000000"/>
                <w:sz w:val="16"/>
                <w:szCs w:val="16"/>
                <w:lang w:eastAsia="ja-JP" w:bidi="th-TH"/>
              </w:rPr>
              <w:t>and (iii) deepen the understanding of the utility of IT to develop the platform for regional and international cooperation in patent examination</w:t>
            </w:r>
          </w:p>
        </w:tc>
      </w:tr>
      <w:tr w:rsidR="005703CF" w:rsidRPr="006C159B" w:rsidTr="00C24C7E">
        <w:tc>
          <w:tcPr>
            <w:tcW w:w="1843" w:type="dxa"/>
          </w:tcPr>
          <w:p w:rsidR="005703CF" w:rsidRPr="006C159B" w:rsidRDefault="005703CF" w:rsidP="00606EF6">
            <w:pPr>
              <w:autoSpaceDE w:val="0"/>
              <w:autoSpaceDN w:val="0"/>
              <w:adjustRightInd w:val="0"/>
              <w:spacing w:before="120" w:after="80"/>
              <w:rPr>
                <w:rFonts w:cs="Arial"/>
                <w:color w:val="000000"/>
                <w:sz w:val="16"/>
                <w:szCs w:val="16"/>
              </w:rPr>
            </w:pPr>
            <w:r w:rsidRPr="008B418F">
              <w:rPr>
                <w:rFonts w:cs="Arial"/>
                <w:color w:val="000000"/>
                <w:sz w:val="16"/>
                <w:szCs w:val="16"/>
                <w:lang w:eastAsia="ja-JP" w:bidi="th-TH"/>
              </w:rPr>
              <w:t>African Conference on the Strategic Importance of Intellectual Property (IP) Policies to Foster Innovation, Valu</w:t>
            </w:r>
            <w:r>
              <w:rPr>
                <w:rFonts w:cs="Arial"/>
                <w:color w:val="000000"/>
                <w:sz w:val="16"/>
                <w:szCs w:val="16"/>
                <w:lang w:eastAsia="ja-JP" w:bidi="th-TH"/>
              </w:rPr>
              <w:t xml:space="preserve">e Creation and Competitiveness, and </w:t>
            </w:r>
            <w:r w:rsidRPr="008B418F">
              <w:rPr>
                <w:rFonts w:cs="Arial"/>
                <w:color w:val="000000"/>
                <w:sz w:val="16"/>
                <w:szCs w:val="16"/>
                <w:lang w:eastAsia="ja-JP" w:bidi="th-TH"/>
              </w:rPr>
              <w:t>the ECOSOC Regional Preparatory Meeting for Africa</w:t>
            </w:r>
          </w:p>
        </w:tc>
        <w:tc>
          <w:tcPr>
            <w:tcW w:w="1137"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lang w:eastAsia="ja-JP" w:bidi="th-TH"/>
              </w:rPr>
              <w:t>M</w:t>
            </w:r>
            <w:r w:rsidRPr="008B418F">
              <w:rPr>
                <w:rFonts w:cs="Arial"/>
                <w:color w:val="000000"/>
                <w:sz w:val="16"/>
                <w:szCs w:val="16"/>
                <w:lang w:eastAsia="ja-JP" w:bidi="th-TH"/>
              </w:rPr>
              <w:t>arch 12 to 14, 2013</w:t>
            </w:r>
          </w:p>
        </w:tc>
        <w:tc>
          <w:tcPr>
            <w:tcW w:w="1843" w:type="dxa"/>
          </w:tcPr>
          <w:p w:rsidR="005703CF" w:rsidRPr="006C159B" w:rsidRDefault="005703CF" w:rsidP="002249F8">
            <w:pPr>
              <w:autoSpaceDE w:val="0"/>
              <w:autoSpaceDN w:val="0"/>
              <w:adjustRightInd w:val="0"/>
              <w:spacing w:before="120" w:after="120"/>
              <w:rPr>
                <w:rFonts w:cs="Arial"/>
                <w:color w:val="000000"/>
                <w:sz w:val="16"/>
                <w:szCs w:val="16"/>
              </w:rPr>
            </w:pPr>
            <w:r>
              <w:rPr>
                <w:rFonts w:cs="Arial"/>
                <w:color w:val="000000"/>
                <w:sz w:val="16"/>
                <w:szCs w:val="16"/>
                <w:lang w:eastAsia="ja-JP" w:bidi="th-TH"/>
              </w:rPr>
              <w:t>United Republic of Tanzania/Over 200 African participants</w:t>
            </w:r>
          </w:p>
        </w:tc>
        <w:tc>
          <w:tcPr>
            <w:tcW w:w="4252" w:type="dxa"/>
            <w:gridSpan w:val="2"/>
          </w:tcPr>
          <w:p w:rsidR="005703CF" w:rsidRPr="006C159B" w:rsidDel="002E1F77" w:rsidRDefault="005703CF" w:rsidP="002249F8">
            <w:pPr>
              <w:autoSpaceDE w:val="0"/>
              <w:autoSpaceDN w:val="0"/>
              <w:adjustRightInd w:val="0"/>
              <w:spacing w:before="120" w:after="120"/>
              <w:rPr>
                <w:rFonts w:cs="Arial"/>
                <w:color w:val="000000"/>
                <w:sz w:val="16"/>
                <w:szCs w:val="16"/>
                <w:lang w:eastAsia="ja-JP" w:bidi="th-TH"/>
              </w:rPr>
            </w:pPr>
            <w:r w:rsidRPr="008B418F">
              <w:rPr>
                <w:rFonts w:cs="Arial"/>
                <w:color w:val="000000"/>
                <w:sz w:val="16"/>
                <w:szCs w:val="16"/>
                <w:lang w:eastAsia="ja-JP" w:bidi="th-TH"/>
              </w:rPr>
              <w:t>The meeting addressed</w:t>
            </w:r>
            <w:r>
              <w:rPr>
                <w:rFonts w:cs="Arial"/>
                <w:color w:val="000000"/>
                <w:sz w:val="16"/>
                <w:szCs w:val="16"/>
                <w:lang w:eastAsia="ja-JP" w:bidi="th-TH"/>
              </w:rPr>
              <w:t xml:space="preserve">: </w:t>
            </w:r>
            <w:r w:rsidRPr="008B418F">
              <w:rPr>
                <w:rFonts w:cs="Arial"/>
                <w:color w:val="000000"/>
                <w:sz w:val="16"/>
                <w:szCs w:val="16"/>
                <w:lang w:eastAsia="ja-JP" w:bidi="th-TH"/>
              </w:rPr>
              <w:t xml:space="preserve"> (i) the current state and the importance of </w:t>
            </w:r>
            <w:r>
              <w:rPr>
                <w:rFonts w:cs="Arial"/>
                <w:color w:val="000000"/>
                <w:sz w:val="16"/>
                <w:szCs w:val="16"/>
                <w:lang w:eastAsia="ja-JP" w:bidi="th-TH"/>
              </w:rPr>
              <w:t>i</w:t>
            </w:r>
            <w:r w:rsidRPr="008B418F">
              <w:rPr>
                <w:rFonts w:cs="Arial"/>
                <w:color w:val="000000"/>
                <w:sz w:val="16"/>
                <w:szCs w:val="16"/>
                <w:lang w:eastAsia="ja-JP" w:bidi="th-TH"/>
              </w:rPr>
              <w:t>nnovation for finding solutions to face development challenges</w:t>
            </w:r>
            <w:r>
              <w:rPr>
                <w:rFonts w:cs="Arial"/>
                <w:color w:val="000000"/>
                <w:sz w:val="16"/>
                <w:szCs w:val="16"/>
                <w:lang w:eastAsia="ja-JP" w:bidi="th-TH"/>
              </w:rPr>
              <w:t xml:space="preserve">; </w:t>
            </w:r>
            <w:r w:rsidRPr="008B418F">
              <w:rPr>
                <w:rFonts w:cs="Arial"/>
                <w:color w:val="000000"/>
                <w:sz w:val="16"/>
                <w:szCs w:val="16"/>
                <w:lang w:eastAsia="ja-JP" w:bidi="th-TH"/>
              </w:rPr>
              <w:t xml:space="preserve"> (ii) how </w:t>
            </w:r>
            <w:r>
              <w:rPr>
                <w:rFonts w:cs="Arial"/>
                <w:color w:val="000000"/>
                <w:sz w:val="16"/>
                <w:szCs w:val="16"/>
                <w:lang w:eastAsia="ja-JP" w:bidi="th-TH"/>
              </w:rPr>
              <w:t>to create, promote and sustain an</w:t>
            </w:r>
            <w:r w:rsidRPr="008B418F">
              <w:rPr>
                <w:rFonts w:cs="Arial"/>
                <w:color w:val="000000"/>
                <w:sz w:val="16"/>
                <w:szCs w:val="16"/>
                <w:lang w:eastAsia="ja-JP" w:bidi="th-TH"/>
              </w:rPr>
              <w:t xml:space="preserve"> </w:t>
            </w:r>
            <w:r>
              <w:rPr>
                <w:rFonts w:cs="Arial"/>
                <w:color w:val="000000"/>
                <w:sz w:val="16"/>
                <w:szCs w:val="16"/>
                <w:lang w:eastAsia="ja-JP" w:bidi="th-TH"/>
              </w:rPr>
              <w:t>i</w:t>
            </w:r>
            <w:r w:rsidRPr="008B418F">
              <w:rPr>
                <w:rFonts w:cs="Arial"/>
                <w:color w:val="000000"/>
                <w:sz w:val="16"/>
                <w:szCs w:val="16"/>
                <w:lang w:eastAsia="ja-JP" w:bidi="th-TH"/>
              </w:rPr>
              <w:t>nnovative environment</w:t>
            </w:r>
            <w:r>
              <w:rPr>
                <w:rFonts w:cs="Arial"/>
                <w:color w:val="000000"/>
                <w:sz w:val="16"/>
                <w:szCs w:val="16"/>
                <w:lang w:eastAsia="ja-JP" w:bidi="th-TH"/>
              </w:rPr>
              <w:t xml:space="preserve">; </w:t>
            </w:r>
            <w:r w:rsidRPr="008B418F">
              <w:rPr>
                <w:rFonts w:cs="Arial"/>
                <w:color w:val="000000"/>
                <w:sz w:val="16"/>
                <w:szCs w:val="16"/>
                <w:lang w:eastAsia="ja-JP" w:bidi="th-TH"/>
              </w:rPr>
              <w:t xml:space="preserve"> and (iii) how </w:t>
            </w:r>
            <w:r>
              <w:rPr>
                <w:rFonts w:cs="Arial"/>
                <w:color w:val="000000"/>
                <w:sz w:val="16"/>
                <w:szCs w:val="16"/>
                <w:lang w:eastAsia="ja-JP" w:bidi="th-TH"/>
              </w:rPr>
              <w:t xml:space="preserve">to convert </w:t>
            </w:r>
            <w:r w:rsidRPr="008B418F">
              <w:rPr>
                <w:rFonts w:cs="Arial"/>
                <w:color w:val="000000"/>
                <w:sz w:val="16"/>
                <w:szCs w:val="16"/>
                <w:lang w:eastAsia="ja-JP" w:bidi="th-TH"/>
              </w:rPr>
              <w:t>innovation solutions into marketable products</w:t>
            </w:r>
          </w:p>
        </w:tc>
      </w:tr>
      <w:tr w:rsidR="005703CF" w:rsidRPr="006C159B" w:rsidTr="00C24C7E">
        <w:tc>
          <w:tcPr>
            <w:tcW w:w="1843" w:type="dxa"/>
          </w:tcPr>
          <w:p w:rsidR="005703CF" w:rsidRPr="006C159B" w:rsidRDefault="005703CF" w:rsidP="002249F8">
            <w:pPr>
              <w:autoSpaceDE w:val="0"/>
              <w:autoSpaceDN w:val="0"/>
              <w:adjustRightInd w:val="0"/>
              <w:spacing w:before="120" w:after="120"/>
              <w:rPr>
                <w:rFonts w:cs="Arial"/>
                <w:color w:val="000000"/>
                <w:sz w:val="16"/>
                <w:szCs w:val="16"/>
              </w:rPr>
            </w:pPr>
            <w:r w:rsidRPr="006C159B">
              <w:rPr>
                <w:rFonts w:cs="Arial"/>
                <w:color w:val="000000"/>
                <w:sz w:val="16"/>
                <w:szCs w:val="16"/>
              </w:rPr>
              <w:t>WIPO GREEN -  Climate Change and Innovation in Africa: Climate for Sustainable Development</w:t>
            </w:r>
          </w:p>
        </w:tc>
        <w:tc>
          <w:tcPr>
            <w:tcW w:w="1137" w:type="dxa"/>
          </w:tcPr>
          <w:p w:rsidR="005703CF" w:rsidRPr="006C159B"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June </w:t>
            </w:r>
            <w:r w:rsidRPr="006C159B">
              <w:rPr>
                <w:rFonts w:cs="Arial"/>
                <w:color w:val="000000"/>
                <w:sz w:val="16"/>
                <w:szCs w:val="16"/>
              </w:rPr>
              <w:t>24 to 26</w:t>
            </w:r>
            <w:r>
              <w:rPr>
                <w:rFonts w:cs="Arial"/>
                <w:color w:val="000000"/>
                <w:sz w:val="16"/>
                <w:szCs w:val="16"/>
              </w:rPr>
              <w:t>,</w:t>
            </w:r>
            <w:r w:rsidRPr="006C159B">
              <w:rPr>
                <w:rFonts w:cs="Arial"/>
                <w:color w:val="000000"/>
                <w:sz w:val="16"/>
                <w:szCs w:val="16"/>
              </w:rPr>
              <w:t xml:space="preserve"> 2013</w:t>
            </w:r>
          </w:p>
        </w:tc>
        <w:tc>
          <w:tcPr>
            <w:tcW w:w="1843" w:type="dxa"/>
          </w:tcPr>
          <w:p w:rsidR="005703CF" w:rsidRPr="006C159B" w:rsidRDefault="005703CF" w:rsidP="002249F8">
            <w:pPr>
              <w:autoSpaceDE w:val="0"/>
              <w:autoSpaceDN w:val="0"/>
              <w:adjustRightInd w:val="0"/>
              <w:spacing w:before="120" w:after="120"/>
              <w:rPr>
                <w:rFonts w:cs="Arial"/>
                <w:color w:val="000000"/>
                <w:sz w:val="16"/>
                <w:szCs w:val="16"/>
              </w:rPr>
            </w:pPr>
            <w:r w:rsidRPr="006C159B">
              <w:rPr>
                <w:rFonts w:cs="Arial"/>
                <w:color w:val="000000"/>
                <w:sz w:val="16"/>
                <w:szCs w:val="16"/>
              </w:rPr>
              <w:t xml:space="preserve">Kenya/200 </w:t>
            </w:r>
            <w:r>
              <w:rPr>
                <w:rFonts w:cs="Arial"/>
                <w:color w:val="000000"/>
                <w:sz w:val="16"/>
                <w:szCs w:val="16"/>
              </w:rPr>
              <w:t xml:space="preserve">participants </w:t>
            </w:r>
            <w:r w:rsidRPr="006C159B">
              <w:rPr>
                <w:rFonts w:cs="Arial"/>
                <w:color w:val="000000"/>
                <w:sz w:val="16"/>
                <w:szCs w:val="16"/>
              </w:rPr>
              <w:t>representing 13 countries in Africa</w:t>
            </w:r>
          </w:p>
        </w:tc>
        <w:tc>
          <w:tcPr>
            <w:tcW w:w="4252" w:type="dxa"/>
            <w:gridSpan w:val="2"/>
          </w:tcPr>
          <w:p w:rsidR="005703CF" w:rsidRPr="006C159B" w:rsidRDefault="005703CF" w:rsidP="00606EF6">
            <w:pPr>
              <w:autoSpaceDE w:val="0"/>
              <w:autoSpaceDN w:val="0"/>
              <w:adjustRightInd w:val="0"/>
              <w:spacing w:before="120" w:after="80"/>
              <w:rPr>
                <w:rFonts w:cs="Arial"/>
                <w:color w:val="000000"/>
                <w:sz w:val="16"/>
                <w:szCs w:val="16"/>
                <w:lang w:eastAsia="ja-JP" w:bidi="th-TH"/>
              </w:rPr>
            </w:pPr>
            <w:r>
              <w:rPr>
                <w:rFonts w:cs="Arial"/>
                <w:color w:val="000000"/>
                <w:sz w:val="16"/>
                <w:szCs w:val="16"/>
                <w:lang w:eastAsia="ja-JP" w:bidi="th-TH"/>
              </w:rPr>
              <w:t>T</w:t>
            </w:r>
            <w:r w:rsidRPr="006C159B">
              <w:rPr>
                <w:rFonts w:cs="Arial"/>
                <w:color w:val="000000"/>
                <w:sz w:val="16"/>
                <w:szCs w:val="16"/>
                <w:lang w:eastAsia="ja-JP" w:bidi="th-TH"/>
              </w:rPr>
              <w:t>o provide a forum for dialogue with various stakeholders involved in climate change, innovation and development in Africa</w:t>
            </w:r>
            <w:r>
              <w:rPr>
                <w:rFonts w:cs="Arial"/>
                <w:color w:val="000000"/>
                <w:sz w:val="16"/>
                <w:szCs w:val="16"/>
                <w:lang w:eastAsia="ja-JP" w:bidi="th-TH"/>
              </w:rPr>
              <w:t xml:space="preserve"> to: </w:t>
            </w:r>
            <w:r w:rsidRPr="006C159B">
              <w:rPr>
                <w:rFonts w:cs="Arial"/>
                <w:color w:val="000000"/>
                <w:sz w:val="16"/>
                <w:szCs w:val="16"/>
                <w:lang w:eastAsia="ja-JP" w:bidi="th-TH"/>
              </w:rPr>
              <w:t xml:space="preserve"> (i) </w:t>
            </w:r>
            <w:r>
              <w:rPr>
                <w:rFonts w:cs="Arial"/>
                <w:color w:val="000000"/>
                <w:sz w:val="16"/>
                <w:szCs w:val="16"/>
                <w:lang w:eastAsia="ja-JP" w:bidi="th-TH"/>
              </w:rPr>
              <w:t>share</w:t>
            </w:r>
            <w:r w:rsidRPr="006C159B">
              <w:rPr>
                <w:rFonts w:cs="Arial"/>
                <w:color w:val="000000"/>
                <w:sz w:val="16"/>
                <w:szCs w:val="16"/>
                <w:lang w:eastAsia="ja-JP" w:bidi="th-TH"/>
              </w:rPr>
              <w:t xml:space="preserve"> knowledge, network and facilitat</w:t>
            </w:r>
            <w:r>
              <w:rPr>
                <w:rFonts w:cs="Arial"/>
                <w:color w:val="000000"/>
                <w:sz w:val="16"/>
                <w:szCs w:val="16"/>
                <w:lang w:eastAsia="ja-JP" w:bidi="th-TH"/>
              </w:rPr>
              <w:t>e</w:t>
            </w:r>
            <w:r w:rsidRPr="006C159B">
              <w:rPr>
                <w:rFonts w:cs="Arial"/>
                <w:color w:val="000000"/>
                <w:sz w:val="16"/>
                <w:szCs w:val="16"/>
                <w:lang w:eastAsia="ja-JP" w:bidi="th-TH"/>
              </w:rPr>
              <w:t xml:space="preserve"> transfer of green technologies</w:t>
            </w:r>
            <w:r>
              <w:rPr>
                <w:rFonts w:cs="Arial"/>
                <w:color w:val="000000"/>
                <w:sz w:val="16"/>
                <w:szCs w:val="16"/>
                <w:lang w:eastAsia="ja-JP" w:bidi="th-TH"/>
              </w:rPr>
              <w:t xml:space="preserve">; </w:t>
            </w:r>
            <w:r w:rsidRPr="006C159B">
              <w:rPr>
                <w:rFonts w:cs="Arial"/>
                <w:color w:val="000000"/>
                <w:sz w:val="16"/>
                <w:szCs w:val="16"/>
                <w:lang w:eastAsia="ja-JP" w:bidi="th-TH"/>
              </w:rPr>
              <w:t xml:space="preserve"> (ii) encourage innovative initiatives and collaboration in addressing climate change in Africa</w:t>
            </w:r>
            <w:r>
              <w:rPr>
                <w:rFonts w:cs="Arial"/>
                <w:color w:val="000000"/>
                <w:sz w:val="16"/>
                <w:szCs w:val="16"/>
                <w:lang w:eastAsia="ja-JP" w:bidi="th-TH"/>
              </w:rPr>
              <w:t xml:space="preserve">; </w:t>
            </w:r>
            <w:r w:rsidRPr="006C159B">
              <w:rPr>
                <w:rFonts w:cs="Arial"/>
                <w:color w:val="000000"/>
                <w:sz w:val="16"/>
                <w:szCs w:val="16"/>
                <w:lang w:eastAsia="ja-JP" w:bidi="th-TH"/>
              </w:rPr>
              <w:t xml:space="preserve"> (iii) raise awareness on how IP can be effectively used to support innovation and transfer of technology</w:t>
            </w:r>
            <w:r>
              <w:rPr>
                <w:rFonts w:cs="Arial"/>
                <w:color w:val="000000"/>
                <w:sz w:val="16"/>
                <w:szCs w:val="16"/>
                <w:lang w:eastAsia="ja-JP" w:bidi="th-TH"/>
              </w:rPr>
              <w:t>;  and</w:t>
            </w:r>
            <w:r w:rsidRPr="006C159B">
              <w:rPr>
                <w:rFonts w:cs="Arial"/>
                <w:color w:val="000000"/>
                <w:sz w:val="16"/>
                <w:szCs w:val="16"/>
                <w:lang w:eastAsia="ja-JP" w:bidi="th-TH"/>
              </w:rPr>
              <w:t xml:space="preserve"> (iv)</w:t>
            </w:r>
            <w:r>
              <w:rPr>
                <w:rFonts w:cs="Arial"/>
                <w:color w:val="000000"/>
                <w:sz w:val="16"/>
                <w:szCs w:val="16"/>
                <w:lang w:eastAsia="ja-JP" w:bidi="th-TH"/>
              </w:rPr>
              <w:t> </w:t>
            </w:r>
            <w:r w:rsidRPr="006C159B">
              <w:rPr>
                <w:rFonts w:cs="Arial"/>
                <w:color w:val="000000"/>
                <w:sz w:val="16"/>
                <w:szCs w:val="16"/>
                <w:lang w:eastAsia="ja-JP" w:bidi="th-TH"/>
              </w:rPr>
              <w:t>advocate the urgency and the need to pursue climate resilient and climate proof development in Africa and specifically in East Africa through better informed policies, practices and innovations</w:t>
            </w:r>
          </w:p>
        </w:tc>
      </w:tr>
      <w:tr w:rsidR="005703CF" w:rsidRPr="00B33EB8" w:rsidTr="00C24C7E">
        <w:tc>
          <w:tcPr>
            <w:tcW w:w="1843" w:type="dxa"/>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 xml:space="preserve">PCT </w:t>
            </w:r>
            <w:r>
              <w:rPr>
                <w:rFonts w:cs="Arial"/>
                <w:color w:val="000000"/>
                <w:sz w:val="16"/>
                <w:szCs w:val="16"/>
                <w:lang w:eastAsia="ja-JP" w:bidi="th-TH"/>
              </w:rPr>
              <w:t>R</w:t>
            </w:r>
            <w:r w:rsidRPr="00CE002E">
              <w:rPr>
                <w:rFonts w:cs="Arial"/>
                <w:color w:val="000000"/>
                <w:sz w:val="16"/>
                <w:szCs w:val="16"/>
                <w:lang w:eastAsia="ja-JP" w:bidi="th-TH"/>
              </w:rPr>
              <w:t xml:space="preserve">egional </w:t>
            </w:r>
            <w:r>
              <w:rPr>
                <w:rFonts w:cs="Arial"/>
                <w:color w:val="000000"/>
                <w:sz w:val="16"/>
                <w:szCs w:val="16"/>
                <w:lang w:eastAsia="ja-JP" w:bidi="th-TH"/>
              </w:rPr>
              <w:t>S</w:t>
            </w:r>
            <w:r w:rsidRPr="00CE002E">
              <w:rPr>
                <w:rFonts w:cs="Arial"/>
                <w:color w:val="000000"/>
                <w:sz w:val="16"/>
                <w:szCs w:val="16"/>
                <w:lang w:eastAsia="ja-JP" w:bidi="th-TH"/>
              </w:rPr>
              <w:t xml:space="preserve">eminar for ARIPO </w:t>
            </w:r>
            <w:r>
              <w:rPr>
                <w:rFonts w:cs="Arial"/>
                <w:color w:val="000000"/>
                <w:sz w:val="16"/>
                <w:szCs w:val="16"/>
                <w:lang w:eastAsia="ja-JP" w:bidi="th-TH"/>
              </w:rPr>
              <w:t>M</w:t>
            </w:r>
            <w:r w:rsidRPr="00CE002E">
              <w:rPr>
                <w:rFonts w:cs="Arial"/>
                <w:color w:val="000000"/>
                <w:sz w:val="16"/>
                <w:szCs w:val="16"/>
                <w:lang w:eastAsia="ja-JP" w:bidi="th-TH"/>
              </w:rPr>
              <w:t xml:space="preserve">ember </w:t>
            </w:r>
            <w:r>
              <w:rPr>
                <w:rFonts w:cs="Arial"/>
                <w:color w:val="000000"/>
                <w:sz w:val="16"/>
                <w:szCs w:val="16"/>
                <w:lang w:eastAsia="ja-JP" w:bidi="th-TH"/>
              </w:rPr>
              <w:t>S</w:t>
            </w:r>
            <w:r w:rsidRPr="00CE002E">
              <w:rPr>
                <w:rFonts w:cs="Arial"/>
                <w:color w:val="000000"/>
                <w:sz w:val="16"/>
                <w:szCs w:val="16"/>
                <w:lang w:eastAsia="ja-JP" w:bidi="th-TH"/>
              </w:rPr>
              <w:t>tates</w:t>
            </w:r>
          </w:p>
        </w:tc>
        <w:tc>
          <w:tcPr>
            <w:tcW w:w="1137" w:type="dxa"/>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June 25 to 27, 2013</w:t>
            </w:r>
          </w:p>
        </w:tc>
        <w:tc>
          <w:tcPr>
            <w:tcW w:w="1843" w:type="dxa"/>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sidRPr="00CE002E">
              <w:rPr>
                <w:rFonts w:cs="Arial"/>
                <w:color w:val="000000"/>
                <w:sz w:val="16"/>
                <w:szCs w:val="16"/>
                <w:lang w:eastAsia="ja-JP" w:bidi="th-TH"/>
              </w:rPr>
              <w:t>Namibia</w:t>
            </w:r>
            <w:r>
              <w:rPr>
                <w:rFonts w:cs="Arial"/>
                <w:color w:val="000000"/>
                <w:sz w:val="16"/>
                <w:szCs w:val="16"/>
                <w:lang w:eastAsia="ja-JP" w:bidi="th-TH"/>
              </w:rPr>
              <w:t>/</w:t>
            </w:r>
            <w:r w:rsidRPr="00CE002E">
              <w:rPr>
                <w:rFonts w:cs="Arial"/>
                <w:color w:val="000000"/>
                <w:sz w:val="16"/>
                <w:szCs w:val="16"/>
                <w:lang w:eastAsia="ja-JP" w:bidi="th-TH"/>
              </w:rPr>
              <w:t xml:space="preserve">30 </w:t>
            </w:r>
            <w:r>
              <w:rPr>
                <w:rFonts w:cs="Arial"/>
                <w:color w:val="000000"/>
                <w:sz w:val="16"/>
                <w:szCs w:val="16"/>
                <w:lang w:eastAsia="ja-JP" w:bidi="th-TH"/>
              </w:rPr>
              <w:t xml:space="preserve">African </w:t>
            </w:r>
            <w:r w:rsidRPr="00CE002E">
              <w:rPr>
                <w:rFonts w:cs="Arial"/>
                <w:color w:val="000000"/>
                <w:sz w:val="16"/>
                <w:szCs w:val="16"/>
                <w:lang w:eastAsia="ja-JP" w:bidi="th-TH"/>
              </w:rPr>
              <w:t>participants</w:t>
            </w:r>
          </w:p>
        </w:tc>
        <w:tc>
          <w:tcPr>
            <w:tcW w:w="4252" w:type="dxa"/>
            <w:gridSpan w:val="2"/>
          </w:tcPr>
          <w:p w:rsidR="005703CF" w:rsidRPr="00B33EB8"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w:t>
            </w:r>
            <w:r w:rsidRPr="00CE002E">
              <w:rPr>
                <w:rFonts w:cs="Arial"/>
                <w:color w:val="000000"/>
                <w:sz w:val="16"/>
                <w:szCs w:val="16"/>
                <w:lang w:eastAsia="ja-JP" w:bidi="th-TH"/>
              </w:rPr>
              <w:t xml:space="preserve"> favor the interchange of experiences amongst PCT </w:t>
            </w:r>
            <w:r>
              <w:rPr>
                <w:rFonts w:cs="Arial"/>
                <w:color w:val="000000"/>
                <w:sz w:val="16"/>
                <w:szCs w:val="16"/>
                <w:lang w:eastAsia="ja-JP" w:bidi="th-TH"/>
              </w:rPr>
              <w:t>M</w:t>
            </w:r>
            <w:r w:rsidRPr="00CE002E">
              <w:rPr>
                <w:rFonts w:cs="Arial"/>
                <w:color w:val="000000"/>
                <w:sz w:val="16"/>
                <w:szCs w:val="16"/>
                <w:lang w:eastAsia="ja-JP" w:bidi="th-TH"/>
              </w:rPr>
              <w:t xml:space="preserve">ember </w:t>
            </w:r>
            <w:r>
              <w:rPr>
                <w:rFonts w:cs="Arial"/>
                <w:color w:val="000000"/>
                <w:sz w:val="16"/>
                <w:szCs w:val="16"/>
                <w:lang w:eastAsia="ja-JP" w:bidi="th-TH"/>
              </w:rPr>
              <w:t>S</w:t>
            </w:r>
            <w:r w:rsidRPr="00CE002E">
              <w:rPr>
                <w:rFonts w:cs="Arial"/>
                <w:color w:val="000000"/>
                <w:sz w:val="16"/>
                <w:szCs w:val="16"/>
                <w:lang w:eastAsia="ja-JP" w:bidi="th-TH"/>
              </w:rPr>
              <w:t>tates and those who are considering accession to the PCT</w:t>
            </w:r>
            <w:r>
              <w:rPr>
                <w:rFonts w:cs="Arial"/>
                <w:color w:val="000000"/>
                <w:sz w:val="16"/>
                <w:szCs w:val="16"/>
                <w:lang w:eastAsia="ja-JP" w:bidi="th-TH"/>
              </w:rPr>
              <w:t>,</w:t>
            </w:r>
            <w:r w:rsidRPr="00CE002E">
              <w:rPr>
                <w:rFonts w:cs="Arial"/>
                <w:color w:val="000000"/>
                <w:sz w:val="16"/>
                <w:szCs w:val="16"/>
                <w:lang w:eastAsia="ja-JP" w:bidi="th-TH"/>
              </w:rPr>
              <w:t xml:space="preserve"> and offer an update on the latest developments on PCT in the framework of ARIPO as a regional patent organization</w:t>
            </w:r>
          </w:p>
        </w:tc>
      </w:tr>
      <w:tr w:rsidR="005703CF" w:rsidRPr="0024173D" w:rsidTr="00C24C7E">
        <w:tc>
          <w:tcPr>
            <w:tcW w:w="1843" w:type="dxa"/>
          </w:tcPr>
          <w:p w:rsidR="005703CF" w:rsidRPr="0024173D" w:rsidRDefault="005703CF" w:rsidP="002249F8">
            <w:pPr>
              <w:autoSpaceDE w:val="0"/>
              <w:autoSpaceDN w:val="0"/>
              <w:adjustRightInd w:val="0"/>
              <w:spacing w:before="120" w:after="120"/>
              <w:rPr>
                <w:rFonts w:cs="Arial"/>
                <w:color w:val="000000"/>
                <w:sz w:val="16"/>
                <w:szCs w:val="16"/>
              </w:rPr>
            </w:pPr>
            <w:r w:rsidRPr="00863795">
              <w:rPr>
                <w:rFonts w:cs="Arial"/>
                <w:color w:val="000000"/>
                <w:sz w:val="16"/>
                <w:szCs w:val="16"/>
              </w:rPr>
              <w:lastRenderedPageBreak/>
              <w:t>Partnership between WIPO/OAPI (Denis Ekani Training center) and the University of Yaoundé II</w:t>
            </w:r>
          </w:p>
        </w:tc>
        <w:tc>
          <w:tcPr>
            <w:tcW w:w="1137" w:type="dxa"/>
          </w:tcPr>
          <w:p w:rsidR="005703CF" w:rsidRPr="00863795" w:rsidRDefault="005703CF" w:rsidP="002249F8">
            <w:pPr>
              <w:autoSpaceDE w:val="0"/>
              <w:autoSpaceDN w:val="0"/>
              <w:adjustRightInd w:val="0"/>
              <w:spacing w:before="120" w:after="120"/>
              <w:rPr>
                <w:rFonts w:cs="Arial"/>
                <w:color w:val="000000"/>
                <w:sz w:val="16"/>
                <w:szCs w:val="16"/>
              </w:rPr>
            </w:pPr>
            <w:r w:rsidRPr="00863795">
              <w:rPr>
                <w:rFonts w:cs="Arial"/>
                <w:color w:val="000000"/>
                <w:sz w:val="16"/>
                <w:szCs w:val="16"/>
              </w:rPr>
              <w:t>October 3, 2012</w:t>
            </w:r>
            <w:r w:rsidRPr="00863795">
              <w:rPr>
                <w:rFonts w:cs="Arial"/>
                <w:sz w:val="16"/>
                <w:szCs w:val="16"/>
              </w:rPr>
              <w:t xml:space="preserve"> to </w:t>
            </w:r>
            <w:r w:rsidRPr="00863795">
              <w:rPr>
                <w:rFonts w:cs="Arial"/>
                <w:color w:val="000000"/>
                <w:sz w:val="16"/>
                <w:szCs w:val="16"/>
              </w:rPr>
              <w:t>June 30, 2013</w:t>
            </w:r>
          </w:p>
        </w:tc>
        <w:tc>
          <w:tcPr>
            <w:tcW w:w="1843" w:type="dxa"/>
          </w:tcPr>
          <w:p w:rsidR="005703CF" w:rsidRPr="00863795"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Cameroon/</w:t>
            </w:r>
            <w:r w:rsidRPr="00863795">
              <w:rPr>
                <w:rFonts w:cs="Arial"/>
                <w:color w:val="000000"/>
                <w:sz w:val="16"/>
                <w:szCs w:val="16"/>
              </w:rPr>
              <w:t>10 scholarships</w:t>
            </w:r>
            <w:r>
              <w:rPr>
                <w:rFonts w:cs="Arial"/>
                <w:color w:val="000000"/>
                <w:sz w:val="16"/>
                <w:szCs w:val="16"/>
              </w:rPr>
              <w:t xml:space="preserve"> to African students</w:t>
            </w:r>
          </w:p>
        </w:tc>
        <w:tc>
          <w:tcPr>
            <w:tcW w:w="4252" w:type="dxa"/>
            <w:gridSpan w:val="2"/>
          </w:tcPr>
          <w:p w:rsidR="005703CF" w:rsidRPr="0024173D" w:rsidRDefault="005703CF" w:rsidP="002249F8">
            <w:pPr>
              <w:autoSpaceDE w:val="0"/>
              <w:autoSpaceDN w:val="0"/>
              <w:adjustRightInd w:val="0"/>
              <w:spacing w:before="120" w:after="120"/>
              <w:rPr>
                <w:rFonts w:cs="Arial"/>
                <w:color w:val="000000"/>
                <w:sz w:val="16"/>
                <w:szCs w:val="16"/>
                <w:lang w:eastAsia="ja-JP" w:bidi="th-TH"/>
              </w:rPr>
            </w:pPr>
            <w:r w:rsidRPr="00863795">
              <w:rPr>
                <w:rFonts w:cs="Arial"/>
                <w:color w:val="000000"/>
                <w:sz w:val="16"/>
                <w:szCs w:val="16"/>
                <w:lang w:eastAsia="ja-JP" w:bidi="th-TH"/>
              </w:rPr>
              <w:t>To provide opportunities for human resource development and capacity building through IP training and teaching for persons engaged in teaching and research on IP at universities and other institutions</w:t>
            </w:r>
          </w:p>
        </w:tc>
      </w:tr>
      <w:tr w:rsidR="005703CF" w:rsidRPr="00863795" w:rsidTr="00C24C7E">
        <w:tc>
          <w:tcPr>
            <w:tcW w:w="1843" w:type="dxa"/>
          </w:tcPr>
          <w:p w:rsidR="005703CF" w:rsidRPr="00863795" w:rsidRDefault="005703CF" w:rsidP="002249F8">
            <w:pPr>
              <w:autoSpaceDE w:val="0"/>
              <w:autoSpaceDN w:val="0"/>
              <w:adjustRightInd w:val="0"/>
              <w:spacing w:before="120" w:after="120"/>
              <w:rPr>
                <w:rFonts w:cs="Arial"/>
                <w:color w:val="000000"/>
                <w:sz w:val="16"/>
                <w:szCs w:val="16"/>
              </w:rPr>
            </w:pPr>
            <w:r w:rsidRPr="00863795">
              <w:rPr>
                <w:rFonts w:cs="Arial"/>
                <w:color w:val="000000"/>
                <w:sz w:val="16"/>
                <w:szCs w:val="16"/>
              </w:rPr>
              <w:t>Partnership between WIPO/ARIPO and Africa University in Mutare, Zimbabwe</w:t>
            </w:r>
          </w:p>
        </w:tc>
        <w:tc>
          <w:tcPr>
            <w:tcW w:w="1137" w:type="dxa"/>
          </w:tcPr>
          <w:p w:rsidR="005703CF" w:rsidRPr="00863795" w:rsidRDefault="005703CF" w:rsidP="002249F8">
            <w:pPr>
              <w:autoSpaceDE w:val="0"/>
              <w:autoSpaceDN w:val="0"/>
              <w:adjustRightInd w:val="0"/>
              <w:spacing w:before="120" w:after="120"/>
              <w:rPr>
                <w:rFonts w:cs="Arial"/>
                <w:color w:val="000000"/>
                <w:sz w:val="16"/>
                <w:szCs w:val="16"/>
              </w:rPr>
            </w:pPr>
            <w:r w:rsidRPr="00712264">
              <w:rPr>
                <w:rFonts w:cs="Arial"/>
                <w:color w:val="000000"/>
                <w:sz w:val="16"/>
                <w:szCs w:val="16"/>
              </w:rPr>
              <w:t>April 30 to July 27, 2013</w:t>
            </w:r>
          </w:p>
        </w:tc>
        <w:tc>
          <w:tcPr>
            <w:tcW w:w="1843" w:type="dxa"/>
          </w:tcPr>
          <w:p w:rsidR="005703CF" w:rsidRDefault="005703CF" w:rsidP="002249F8">
            <w:pPr>
              <w:autoSpaceDE w:val="0"/>
              <w:autoSpaceDN w:val="0"/>
              <w:adjustRightInd w:val="0"/>
              <w:spacing w:before="120" w:after="120"/>
              <w:rPr>
                <w:rFonts w:cs="Arial"/>
                <w:color w:val="000000"/>
                <w:sz w:val="16"/>
                <w:szCs w:val="16"/>
              </w:rPr>
            </w:pPr>
            <w:r w:rsidRPr="006C159B">
              <w:rPr>
                <w:rFonts w:cs="Arial"/>
                <w:color w:val="000000"/>
                <w:sz w:val="16"/>
                <w:szCs w:val="16"/>
              </w:rPr>
              <w:t>Zimbabwe</w:t>
            </w:r>
            <w:r>
              <w:rPr>
                <w:rFonts w:cs="Arial"/>
                <w:color w:val="000000"/>
                <w:sz w:val="16"/>
                <w:szCs w:val="16"/>
              </w:rPr>
              <w:t>/8 scholarships to African students</w:t>
            </w:r>
          </w:p>
        </w:tc>
        <w:tc>
          <w:tcPr>
            <w:tcW w:w="4252" w:type="dxa"/>
            <w:gridSpan w:val="2"/>
          </w:tcPr>
          <w:p w:rsidR="005703CF" w:rsidRPr="00863795" w:rsidRDefault="005703CF" w:rsidP="002249F8">
            <w:pPr>
              <w:autoSpaceDE w:val="0"/>
              <w:autoSpaceDN w:val="0"/>
              <w:adjustRightInd w:val="0"/>
              <w:spacing w:before="120" w:after="120"/>
              <w:rPr>
                <w:rFonts w:cs="Arial"/>
                <w:color w:val="000000"/>
                <w:sz w:val="16"/>
                <w:szCs w:val="16"/>
                <w:lang w:eastAsia="ja-JP" w:bidi="th-TH"/>
              </w:rPr>
            </w:pPr>
            <w:r w:rsidRPr="00712264">
              <w:rPr>
                <w:rFonts w:cs="Arial"/>
                <w:color w:val="000000"/>
                <w:sz w:val="16"/>
                <w:szCs w:val="16"/>
                <w:lang w:eastAsia="ja-JP" w:bidi="th-TH"/>
              </w:rPr>
              <w:t>To provide opportunities for human resource development and capacity building through IP training and teaching for persons engaged in teaching and research on IP at universities and other institutions</w:t>
            </w:r>
          </w:p>
        </w:tc>
      </w:tr>
      <w:tr w:rsidR="005703CF" w:rsidRPr="00A05BB3" w:rsidTr="00C24C7E">
        <w:tc>
          <w:tcPr>
            <w:tcW w:w="1843" w:type="dxa"/>
          </w:tcPr>
          <w:p w:rsidR="005703CF" w:rsidRPr="00CE002E" w:rsidRDefault="005703CF" w:rsidP="002249F8">
            <w:pPr>
              <w:keepNext/>
              <w:autoSpaceDE w:val="0"/>
              <w:autoSpaceDN w:val="0"/>
              <w:adjustRightInd w:val="0"/>
              <w:spacing w:before="120" w:after="120"/>
              <w:rPr>
                <w:rFonts w:cs="Arial"/>
                <w:color w:val="000000"/>
                <w:sz w:val="16"/>
                <w:szCs w:val="16"/>
              </w:rPr>
            </w:pPr>
            <w:r w:rsidRPr="0024173D">
              <w:rPr>
                <w:rFonts w:cs="Arial"/>
                <w:color w:val="000000"/>
                <w:sz w:val="16"/>
                <w:szCs w:val="16"/>
              </w:rPr>
              <w:t>Sub-Regional Training course on IP Management and Formulation and Implementation of Results-Based IP Office Plans</w:t>
            </w:r>
          </w:p>
        </w:tc>
        <w:tc>
          <w:tcPr>
            <w:tcW w:w="1137" w:type="dxa"/>
          </w:tcPr>
          <w:p w:rsidR="005703CF" w:rsidRPr="00CE002E" w:rsidRDefault="005703CF" w:rsidP="002249F8">
            <w:pPr>
              <w:keepNext/>
              <w:autoSpaceDE w:val="0"/>
              <w:autoSpaceDN w:val="0"/>
              <w:adjustRightInd w:val="0"/>
              <w:spacing w:before="120" w:after="120"/>
              <w:rPr>
                <w:rFonts w:cs="Arial"/>
                <w:color w:val="000000"/>
                <w:sz w:val="16"/>
                <w:szCs w:val="16"/>
              </w:rPr>
            </w:pPr>
            <w:r w:rsidRPr="0024173D">
              <w:rPr>
                <w:rFonts w:cs="Arial"/>
                <w:color w:val="000000"/>
                <w:sz w:val="16"/>
                <w:szCs w:val="16"/>
              </w:rPr>
              <w:t>August 26 to 30, 2013</w:t>
            </w:r>
          </w:p>
        </w:tc>
        <w:tc>
          <w:tcPr>
            <w:tcW w:w="1843" w:type="dxa"/>
          </w:tcPr>
          <w:p w:rsidR="005703CF" w:rsidRPr="00CE002E" w:rsidRDefault="005703CF" w:rsidP="002249F8">
            <w:pPr>
              <w:keepNext/>
              <w:autoSpaceDE w:val="0"/>
              <w:autoSpaceDN w:val="0"/>
              <w:adjustRightInd w:val="0"/>
              <w:spacing w:before="120" w:after="120"/>
              <w:rPr>
                <w:rFonts w:cs="Arial"/>
                <w:color w:val="000000"/>
                <w:sz w:val="16"/>
                <w:szCs w:val="16"/>
              </w:rPr>
            </w:pPr>
            <w:r>
              <w:rPr>
                <w:rFonts w:cs="Arial"/>
                <w:color w:val="000000"/>
                <w:sz w:val="16"/>
                <w:szCs w:val="16"/>
              </w:rPr>
              <w:t>Cameroon/</w:t>
            </w:r>
            <w:r w:rsidRPr="0024173D">
              <w:rPr>
                <w:rFonts w:cs="Arial"/>
                <w:color w:val="000000"/>
                <w:sz w:val="16"/>
                <w:szCs w:val="16"/>
              </w:rPr>
              <w:t>14 heads of OAPI National Liaison Offices</w:t>
            </w:r>
          </w:p>
        </w:tc>
        <w:tc>
          <w:tcPr>
            <w:tcW w:w="4252" w:type="dxa"/>
            <w:gridSpan w:val="2"/>
          </w:tcPr>
          <w:p w:rsidR="005703CF" w:rsidRPr="00A05BB3" w:rsidRDefault="005703CF" w:rsidP="002249F8">
            <w:pPr>
              <w:keepNext/>
              <w:keepLines/>
              <w:autoSpaceDE w:val="0"/>
              <w:autoSpaceDN w:val="0"/>
              <w:adjustRightInd w:val="0"/>
              <w:spacing w:before="120" w:after="120"/>
              <w:rPr>
                <w:rFonts w:cs="Arial"/>
                <w:color w:val="000000"/>
                <w:sz w:val="16"/>
                <w:szCs w:val="16"/>
              </w:rPr>
            </w:pPr>
            <w:r w:rsidRPr="0024173D">
              <w:rPr>
                <w:rFonts w:cs="Arial"/>
                <w:color w:val="000000"/>
                <w:sz w:val="16"/>
                <w:szCs w:val="16"/>
              </w:rPr>
              <w:t>The course addressed key challenges faced by IP Offices, including</w:t>
            </w:r>
            <w:r>
              <w:rPr>
                <w:rFonts w:cs="Arial"/>
                <w:color w:val="000000"/>
                <w:sz w:val="16"/>
                <w:szCs w:val="16"/>
              </w:rPr>
              <w:t xml:space="preserve">:  </w:t>
            </w:r>
            <w:r w:rsidRPr="0024173D">
              <w:rPr>
                <w:rFonts w:cs="Arial"/>
                <w:color w:val="000000"/>
                <w:sz w:val="16"/>
                <w:szCs w:val="16"/>
              </w:rPr>
              <w:t>providing effective and efficient IP services</w:t>
            </w:r>
            <w:r>
              <w:rPr>
                <w:rFonts w:cs="Arial"/>
                <w:color w:val="000000"/>
                <w:sz w:val="16"/>
                <w:szCs w:val="16"/>
              </w:rPr>
              <w:t xml:space="preserve">; </w:t>
            </w:r>
            <w:r w:rsidRPr="0024173D">
              <w:rPr>
                <w:rFonts w:cs="Arial"/>
                <w:color w:val="000000"/>
                <w:sz w:val="16"/>
                <w:szCs w:val="16"/>
              </w:rPr>
              <w:t xml:space="preserve"> the contribution to the development and implementation of national IP and innovation strategies</w:t>
            </w:r>
            <w:r>
              <w:rPr>
                <w:rFonts w:cs="Arial"/>
                <w:color w:val="000000"/>
                <w:sz w:val="16"/>
                <w:szCs w:val="16"/>
              </w:rPr>
              <w:t xml:space="preserve">; </w:t>
            </w:r>
            <w:r w:rsidRPr="0024173D">
              <w:rPr>
                <w:rFonts w:cs="Arial"/>
                <w:color w:val="000000"/>
                <w:sz w:val="16"/>
                <w:szCs w:val="16"/>
              </w:rPr>
              <w:t xml:space="preserve"> the promotion of IP among SMEs and research institutions</w:t>
            </w:r>
            <w:r>
              <w:rPr>
                <w:rFonts w:cs="Arial"/>
                <w:color w:val="000000"/>
                <w:sz w:val="16"/>
                <w:szCs w:val="16"/>
              </w:rPr>
              <w:t xml:space="preserve">; </w:t>
            </w:r>
            <w:r w:rsidRPr="0024173D">
              <w:rPr>
                <w:rFonts w:cs="Arial"/>
                <w:color w:val="000000"/>
                <w:sz w:val="16"/>
                <w:szCs w:val="16"/>
              </w:rPr>
              <w:t xml:space="preserve"> the promotion of the utilization of IP to enhance the competitiveness of SMEs</w:t>
            </w:r>
            <w:r>
              <w:rPr>
                <w:rFonts w:cs="Arial"/>
                <w:color w:val="000000"/>
                <w:sz w:val="16"/>
                <w:szCs w:val="16"/>
              </w:rPr>
              <w:t xml:space="preserve">; </w:t>
            </w:r>
            <w:r w:rsidRPr="0024173D">
              <w:rPr>
                <w:rFonts w:cs="Arial"/>
                <w:color w:val="000000"/>
                <w:sz w:val="16"/>
                <w:szCs w:val="16"/>
              </w:rPr>
              <w:t xml:space="preserve"> promotion of innovation</w:t>
            </w:r>
            <w:r>
              <w:rPr>
                <w:rFonts w:cs="Arial"/>
                <w:color w:val="000000"/>
                <w:sz w:val="16"/>
                <w:szCs w:val="16"/>
              </w:rPr>
              <w:t xml:space="preserve">; </w:t>
            </w:r>
            <w:r w:rsidRPr="0024173D">
              <w:rPr>
                <w:rFonts w:cs="Arial"/>
                <w:color w:val="000000"/>
                <w:sz w:val="16"/>
                <w:szCs w:val="16"/>
              </w:rPr>
              <w:t xml:space="preserve"> promotion of the utilization of IP in the agricultural industry through branding (presentations by the ITC)</w:t>
            </w:r>
            <w:r>
              <w:rPr>
                <w:rFonts w:cs="Arial"/>
                <w:color w:val="000000"/>
                <w:sz w:val="16"/>
                <w:szCs w:val="16"/>
              </w:rPr>
              <w:t xml:space="preserve">; </w:t>
            </w:r>
            <w:r w:rsidRPr="0024173D">
              <w:rPr>
                <w:rFonts w:cs="Arial"/>
                <w:color w:val="000000"/>
                <w:sz w:val="16"/>
                <w:szCs w:val="16"/>
              </w:rPr>
              <w:t xml:space="preserve"> and results-based management practices focused on the formulation, monitoring and evaluation of IP Office plans, within the overall context of national IP strategies</w:t>
            </w:r>
          </w:p>
        </w:tc>
      </w:tr>
      <w:tr w:rsidR="005703CF" w:rsidRPr="00A05BB3" w:rsidTr="002249F8">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nil"/>
            </w:tcBorders>
          </w:tcPr>
          <w:p w:rsidR="005703CF" w:rsidRPr="00CE002E" w:rsidRDefault="005703CF" w:rsidP="002249F8">
            <w:pPr>
              <w:autoSpaceDE w:val="0"/>
              <w:autoSpaceDN w:val="0"/>
              <w:adjustRightInd w:val="0"/>
              <w:spacing w:before="120" w:after="120"/>
              <w:rPr>
                <w:rFonts w:cs="Arial"/>
                <w:color w:val="000000"/>
                <w:sz w:val="16"/>
                <w:szCs w:val="16"/>
              </w:rPr>
            </w:pPr>
            <w:r w:rsidRPr="0024173D">
              <w:rPr>
                <w:rFonts w:cs="Arial"/>
                <w:color w:val="000000"/>
                <w:sz w:val="16"/>
                <w:szCs w:val="16"/>
              </w:rPr>
              <w:t>Regional Workshop on Building Respect for IP for the Judiciary and Law Enforcement Officials for the Member States of Southern African Development Community (SADC) and African Regional Intellectual Property Organization (ARIPO)</w:t>
            </w:r>
          </w:p>
        </w:tc>
        <w:tc>
          <w:tcPr>
            <w:tcW w:w="1137" w:type="dxa"/>
            <w:tcBorders>
              <w:top w:val="nil"/>
              <w:bottom w:val="nil"/>
            </w:tcBorders>
          </w:tcPr>
          <w:p w:rsidR="005703CF" w:rsidRPr="00CE002E" w:rsidRDefault="005703CF" w:rsidP="002249F8">
            <w:pPr>
              <w:autoSpaceDE w:val="0"/>
              <w:autoSpaceDN w:val="0"/>
              <w:adjustRightInd w:val="0"/>
              <w:spacing w:before="120" w:after="120"/>
              <w:rPr>
                <w:rFonts w:cs="Arial"/>
                <w:color w:val="000000"/>
                <w:sz w:val="16"/>
                <w:szCs w:val="16"/>
              </w:rPr>
            </w:pPr>
            <w:r w:rsidRPr="0024173D">
              <w:rPr>
                <w:rFonts w:cs="Arial"/>
                <w:color w:val="000000"/>
                <w:sz w:val="16"/>
                <w:szCs w:val="16"/>
              </w:rPr>
              <w:t>October 30 and 31, 2013</w:t>
            </w:r>
          </w:p>
        </w:tc>
        <w:tc>
          <w:tcPr>
            <w:tcW w:w="1843" w:type="dxa"/>
            <w:tcBorders>
              <w:top w:val="nil"/>
              <w:bottom w:val="nil"/>
            </w:tcBorders>
          </w:tcPr>
          <w:p w:rsidR="005703CF" w:rsidRPr="00CE002E" w:rsidRDefault="005703CF" w:rsidP="002249F8">
            <w:pPr>
              <w:autoSpaceDE w:val="0"/>
              <w:autoSpaceDN w:val="0"/>
              <w:adjustRightInd w:val="0"/>
              <w:spacing w:before="120" w:after="120"/>
              <w:rPr>
                <w:rFonts w:cs="Arial"/>
                <w:color w:val="000000"/>
                <w:sz w:val="16"/>
                <w:szCs w:val="16"/>
              </w:rPr>
            </w:pPr>
            <w:r w:rsidRPr="0024173D">
              <w:rPr>
                <w:rFonts w:cs="Arial"/>
                <w:color w:val="000000"/>
                <w:sz w:val="16"/>
                <w:szCs w:val="16"/>
              </w:rPr>
              <w:t>Namibia</w:t>
            </w:r>
            <w:r>
              <w:rPr>
                <w:rFonts w:cs="Arial"/>
                <w:color w:val="000000"/>
                <w:sz w:val="16"/>
                <w:szCs w:val="16"/>
              </w:rPr>
              <w:t>/</w:t>
            </w:r>
            <w:r w:rsidRPr="0024173D">
              <w:rPr>
                <w:rFonts w:cs="Arial"/>
                <w:color w:val="000000"/>
                <w:sz w:val="16"/>
                <w:szCs w:val="16"/>
              </w:rPr>
              <w:t xml:space="preserve">48 </w:t>
            </w:r>
            <w:r>
              <w:rPr>
                <w:rFonts w:cs="Arial"/>
                <w:color w:val="000000"/>
                <w:sz w:val="16"/>
                <w:szCs w:val="16"/>
              </w:rPr>
              <w:t xml:space="preserve">African </w:t>
            </w:r>
            <w:r w:rsidRPr="0024173D">
              <w:rPr>
                <w:rFonts w:cs="Arial"/>
                <w:color w:val="000000"/>
                <w:sz w:val="16"/>
                <w:szCs w:val="16"/>
              </w:rPr>
              <w:t>participants</w:t>
            </w:r>
          </w:p>
        </w:tc>
        <w:tc>
          <w:tcPr>
            <w:tcW w:w="4252" w:type="dxa"/>
            <w:gridSpan w:val="2"/>
            <w:tcBorders>
              <w:top w:val="nil"/>
              <w:bottom w:val="nil"/>
              <w:right w:val="single" w:sz="4" w:space="0" w:color="auto"/>
            </w:tcBorders>
          </w:tcPr>
          <w:p w:rsidR="005703CF" w:rsidRPr="00A05BB3" w:rsidRDefault="005703CF" w:rsidP="002249F8">
            <w:pPr>
              <w:keepNext/>
              <w:keepLines/>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W</w:t>
            </w:r>
            <w:r w:rsidRPr="0024173D">
              <w:rPr>
                <w:rFonts w:cs="Arial"/>
                <w:color w:val="000000"/>
                <w:sz w:val="16"/>
                <w:szCs w:val="16"/>
                <w:lang w:eastAsia="ja-JP" w:bidi="th-TH"/>
              </w:rPr>
              <w:t xml:space="preserve">ithin the framework of WIPO Strategic Goal VI </w:t>
            </w:r>
            <w:r>
              <w:rPr>
                <w:rFonts w:cs="Arial"/>
                <w:color w:val="000000"/>
                <w:sz w:val="16"/>
                <w:szCs w:val="16"/>
                <w:lang w:eastAsia="ja-JP" w:bidi="th-TH"/>
              </w:rPr>
              <w:t>to:  (i) </w:t>
            </w:r>
            <w:r w:rsidRPr="0024173D">
              <w:rPr>
                <w:rFonts w:cs="Arial"/>
                <w:color w:val="000000"/>
                <w:sz w:val="16"/>
                <w:szCs w:val="16"/>
                <w:lang w:eastAsia="ja-JP" w:bidi="th-TH"/>
              </w:rPr>
              <w:t xml:space="preserve">consider the impact of IP protection and enforcement to the social and economic development of the participating countries; </w:t>
            </w:r>
            <w:r>
              <w:rPr>
                <w:rFonts w:cs="Arial"/>
                <w:color w:val="000000"/>
                <w:sz w:val="16"/>
                <w:szCs w:val="16"/>
                <w:lang w:eastAsia="ja-JP" w:bidi="th-TH"/>
              </w:rPr>
              <w:t xml:space="preserve"> (ii) </w:t>
            </w:r>
            <w:r w:rsidRPr="0024173D">
              <w:rPr>
                <w:rFonts w:cs="Arial"/>
                <w:color w:val="000000"/>
                <w:sz w:val="16"/>
                <w:szCs w:val="16"/>
                <w:lang w:eastAsia="ja-JP" w:bidi="th-TH"/>
              </w:rPr>
              <w:t>examine the minimum standards and flexibilities contained in Part</w:t>
            </w:r>
            <w:r>
              <w:rPr>
                <w:rFonts w:cs="Arial"/>
                <w:color w:val="000000"/>
                <w:sz w:val="16"/>
                <w:szCs w:val="16"/>
                <w:lang w:eastAsia="ja-JP" w:bidi="th-TH"/>
              </w:rPr>
              <w:t> </w:t>
            </w:r>
            <w:r w:rsidRPr="0024173D">
              <w:rPr>
                <w:rFonts w:cs="Arial"/>
                <w:color w:val="000000"/>
                <w:sz w:val="16"/>
                <w:szCs w:val="16"/>
                <w:lang w:eastAsia="ja-JP" w:bidi="th-TH"/>
              </w:rPr>
              <w:t xml:space="preserve">III of the TRIPS Agreement; </w:t>
            </w:r>
            <w:r>
              <w:rPr>
                <w:rFonts w:cs="Arial"/>
                <w:color w:val="000000"/>
                <w:sz w:val="16"/>
                <w:szCs w:val="16"/>
                <w:lang w:eastAsia="ja-JP" w:bidi="th-TH"/>
              </w:rPr>
              <w:t xml:space="preserve"> (iii) </w:t>
            </w:r>
            <w:r w:rsidRPr="0024173D">
              <w:rPr>
                <w:rFonts w:cs="Arial"/>
                <w:color w:val="000000"/>
                <w:sz w:val="16"/>
                <w:szCs w:val="16"/>
                <w:lang w:eastAsia="ja-JP" w:bidi="th-TH"/>
              </w:rPr>
              <w:t xml:space="preserve">review topical issues, including consumer awareness-raising as a preventative measure and the equitable disposal of infringing goods;  and </w:t>
            </w:r>
            <w:r>
              <w:rPr>
                <w:rFonts w:cs="Arial"/>
                <w:color w:val="000000"/>
                <w:sz w:val="16"/>
                <w:szCs w:val="16"/>
                <w:lang w:eastAsia="ja-JP" w:bidi="th-TH"/>
              </w:rPr>
              <w:t>(iv)</w:t>
            </w:r>
            <w:r w:rsidRPr="0024173D">
              <w:rPr>
                <w:rFonts w:cs="Arial"/>
                <w:color w:val="000000"/>
                <w:sz w:val="16"/>
                <w:szCs w:val="16"/>
                <w:lang w:eastAsia="ja-JP" w:bidi="th-TH"/>
              </w:rPr>
              <w:t xml:space="preserve"> envisage national and regional strategies for effective cooperation, including public/private partnership</w:t>
            </w:r>
          </w:p>
        </w:tc>
      </w:tr>
      <w:tr w:rsidR="005703CF" w:rsidRPr="00660313" w:rsidTr="00C24C7E">
        <w:tc>
          <w:tcPr>
            <w:tcW w:w="1843" w:type="dxa"/>
          </w:tcPr>
          <w:p w:rsidR="005703CF" w:rsidRPr="00A05BB3" w:rsidRDefault="005703CF" w:rsidP="002249F8">
            <w:pPr>
              <w:autoSpaceDE w:val="0"/>
              <w:autoSpaceDN w:val="0"/>
              <w:adjustRightInd w:val="0"/>
              <w:spacing w:before="120" w:after="120"/>
              <w:rPr>
                <w:rFonts w:cs="Arial"/>
                <w:color w:val="000000"/>
                <w:sz w:val="16"/>
                <w:szCs w:val="16"/>
              </w:rPr>
            </w:pPr>
            <w:r w:rsidRPr="00CE002E">
              <w:rPr>
                <w:rFonts w:cs="Arial"/>
                <w:color w:val="000000"/>
                <w:sz w:val="16"/>
                <w:szCs w:val="16"/>
              </w:rPr>
              <w:t>Training Course on the Use of Information Technology in Ind</w:t>
            </w:r>
            <w:r>
              <w:rPr>
                <w:rFonts w:cs="Arial"/>
                <w:color w:val="000000"/>
                <w:sz w:val="16"/>
                <w:szCs w:val="16"/>
              </w:rPr>
              <w:t>ustrial Property Administration</w:t>
            </w:r>
          </w:p>
        </w:tc>
        <w:tc>
          <w:tcPr>
            <w:tcW w:w="1137" w:type="dxa"/>
          </w:tcPr>
          <w:p w:rsidR="005703CF" w:rsidRPr="00A05BB3" w:rsidRDefault="005703CF" w:rsidP="002249F8">
            <w:pPr>
              <w:autoSpaceDE w:val="0"/>
              <w:autoSpaceDN w:val="0"/>
              <w:adjustRightInd w:val="0"/>
              <w:spacing w:before="120" w:after="120"/>
              <w:rPr>
                <w:rFonts w:cs="Arial"/>
                <w:color w:val="000000"/>
                <w:sz w:val="16"/>
                <w:szCs w:val="16"/>
              </w:rPr>
            </w:pPr>
            <w:r w:rsidRPr="00CE002E">
              <w:rPr>
                <w:rFonts w:cs="Arial"/>
                <w:color w:val="000000"/>
                <w:sz w:val="16"/>
                <w:szCs w:val="16"/>
              </w:rPr>
              <w:t>October 28 to November 8, 2013</w:t>
            </w:r>
          </w:p>
        </w:tc>
        <w:tc>
          <w:tcPr>
            <w:tcW w:w="1843" w:type="dxa"/>
          </w:tcPr>
          <w:p w:rsidR="005703CF" w:rsidRPr="00A05BB3" w:rsidRDefault="005703CF" w:rsidP="002249F8">
            <w:pPr>
              <w:autoSpaceDE w:val="0"/>
              <w:autoSpaceDN w:val="0"/>
              <w:adjustRightInd w:val="0"/>
              <w:spacing w:before="120" w:after="120"/>
              <w:rPr>
                <w:rFonts w:cs="Arial"/>
                <w:color w:val="000000"/>
                <w:sz w:val="16"/>
                <w:szCs w:val="16"/>
              </w:rPr>
            </w:pPr>
            <w:r w:rsidRPr="00CE002E">
              <w:rPr>
                <w:rFonts w:cs="Arial"/>
                <w:color w:val="000000"/>
                <w:sz w:val="16"/>
                <w:szCs w:val="16"/>
              </w:rPr>
              <w:t>Japan</w:t>
            </w:r>
            <w:r>
              <w:rPr>
                <w:rFonts w:cs="Arial"/>
                <w:color w:val="000000"/>
                <w:sz w:val="16"/>
                <w:szCs w:val="16"/>
              </w:rPr>
              <w:t>/Participants from</w:t>
            </w:r>
            <w:r>
              <w:t xml:space="preserve"> </w:t>
            </w:r>
            <w:r w:rsidRPr="00CE002E">
              <w:rPr>
                <w:rFonts w:cs="Arial"/>
                <w:color w:val="000000"/>
                <w:sz w:val="16"/>
                <w:szCs w:val="16"/>
              </w:rPr>
              <w:t>Morocco and Tunisia</w:t>
            </w:r>
            <w:r>
              <w:rPr>
                <w:rFonts w:cs="Arial"/>
                <w:color w:val="000000"/>
                <w:sz w:val="16"/>
                <w:szCs w:val="16"/>
              </w:rPr>
              <w:t xml:space="preserve"> </w:t>
            </w:r>
          </w:p>
        </w:tc>
        <w:tc>
          <w:tcPr>
            <w:tcW w:w="4252" w:type="dxa"/>
            <w:gridSpan w:val="2"/>
          </w:tcPr>
          <w:p w:rsidR="005703CF" w:rsidRPr="00A05BB3"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w:t>
            </w:r>
            <w:r w:rsidRPr="00CE002E">
              <w:rPr>
                <w:rFonts w:cs="Arial"/>
                <w:color w:val="000000"/>
                <w:sz w:val="16"/>
                <w:szCs w:val="16"/>
                <w:lang w:eastAsia="ja-JP" w:bidi="th-TH"/>
              </w:rPr>
              <w:t xml:space="preserve"> familiarize the participants with recent developments in information technology in relation to</w:t>
            </w:r>
            <w:r>
              <w:rPr>
                <w:rFonts w:cs="Arial"/>
                <w:color w:val="000000"/>
                <w:sz w:val="16"/>
                <w:szCs w:val="16"/>
                <w:lang w:eastAsia="ja-JP" w:bidi="th-TH"/>
              </w:rPr>
              <w:t>:  (i)</w:t>
            </w:r>
            <w:r w:rsidRPr="00CE002E">
              <w:rPr>
                <w:rFonts w:cs="Arial"/>
                <w:color w:val="000000"/>
                <w:sz w:val="16"/>
                <w:szCs w:val="16"/>
                <w:lang w:eastAsia="ja-JP" w:bidi="th-TH"/>
              </w:rPr>
              <w:t xml:space="preserve"> industrial property administration, dissemination of industrial property information, and provision of on-line services;  </w:t>
            </w:r>
            <w:r>
              <w:rPr>
                <w:rFonts w:cs="Arial"/>
                <w:color w:val="000000"/>
                <w:sz w:val="16"/>
                <w:szCs w:val="16"/>
                <w:lang w:eastAsia="ja-JP" w:bidi="th-TH"/>
              </w:rPr>
              <w:t xml:space="preserve">(ii) </w:t>
            </w:r>
            <w:r w:rsidRPr="00CE002E">
              <w:rPr>
                <w:rFonts w:cs="Arial"/>
                <w:color w:val="000000"/>
                <w:sz w:val="16"/>
                <w:szCs w:val="16"/>
                <w:lang w:eastAsia="ja-JP" w:bidi="th-TH"/>
              </w:rPr>
              <w:t xml:space="preserve">impart practical knowledge of latest tools and technologies via interactive sessions, as well as through visits to relevant private entities;  and </w:t>
            </w:r>
            <w:r>
              <w:rPr>
                <w:rFonts w:cs="Arial"/>
                <w:color w:val="000000"/>
                <w:sz w:val="16"/>
                <w:szCs w:val="16"/>
                <w:lang w:eastAsia="ja-JP" w:bidi="th-TH"/>
              </w:rPr>
              <w:t xml:space="preserve">(iii) </w:t>
            </w:r>
            <w:r w:rsidRPr="00CE002E">
              <w:rPr>
                <w:rFonts w:cs="Arial"/>
                <w:color w:val="000000"/>
                <w:sz w:val="16"/>
                <w:szCs w:val="16"/>
                <w:lang w:eastAsia="ja-JP" w:bidi="th-TH"/>
              </w:rPr>
              <w:t>provide an opportunity to exchange views and concerns among participants on topical related issues, and thereby enhance the participants’ professional capacities in planning and managing the use of information technology in industrial property administration</w:t>
            </w:r>
          </w:p>
        </w:tc>
      </w:tr>
      <w:tr w:rsidR="005703CF" w:rsidRPr="00A05BB3" w:rsidTr="00C24C7E">
        <w:tc>
          <w:tcPr>
            <w:tcW w:w="1843" w:type="dxa"/>
          </w:tcPr>
          <w:p w:rsidR="005703CF" w:rsidRPr="009A23F3" w:rsidRDefault="005703CF" w:rsidP="002249F8">
            <w:pPr>
              <w:autoSpaceDE w:val="0"/>
              <w:autoSpaceDN w:val="0"/>
              <w:adjustRightInd w:val="0"/>
              <w:spacing w:before="120" w:after="120"/>
              <w:rPr>
                <w:rFonts w:cs="Arial"/>
                <w:color w:val="000000"/>
                <w:sz w:val="16"/>
                <w:szCs w:val="16"/>
              </w:rPr>
            </w:pPr>
            <w:r w:rsidRPr="009A23F3">
              <w:rPr>
                <w:rFonts w:cs="Arial"/>
                <w:color w:val="000000"/>
                <w:sz w:val="16"/>
                <w:szCs w:val="16"/>
              </w:rPr>
              <w:t>Sub-regional workshop and training Course on IP Management and the Formulation and Implementation of Result-Based IP Office Plans (For ARIPO member states and English Speaking countries in Africa)</w:t>
            </w:r>
          </w:p>
        </w:tc>
        <w:tc>
          <w:tcPr>
            <w:tcW w:w="1137" w:type="dxa"/>
          </w:tcPr>
          <w:p w:rsidR="005703CF" w:rsidRPr="009A23F3" w:rsidRDefault="005703CF" w:rsidP="002249F8">
            <w:pPr>
              <w:autoSpaceDE w:val="0"/>
              <w:autoSpaceDN w:val="0"/>
              <w:adjustRightInd w:val="0"/>
              <w:spacing w:before="120" w:after="120"/>
              <w:rPr>
                <w:rFonts w:cs="Arial"/>
                <w:color w:val="000000"/>
                <w:sz w:val="16"/>
                <w:szCs w:val="16"/>
              </w:rPr>
            </w:pPr>
            <w:r w:rsidRPr="009A23F3">
              <w:rPr>
                <w:rFonts w:cs="Arial"/>
                <w:color w:val="000000"/>
                <w:sz w:val="16"/>
                <w:szCs w:val="16"/>
              </w:rPr>
              <w:t>November 19 to 22, 2013</w:t>
            </w:r>
          </w:p>
        </w:tc>
        <w:tc>
          <w:tcPr>
            <w:tcW w:w="1843" w:type="dxa"/>
          </w:tcPr>
          <w:p w:rsidR="005703CF" w:rsidRPr="009A23F3" w:rsidRDefault="005703CF" w:rsidP="002249F8">
            <w:pPr>
              <w:autoSpaceDE w:val="0"/>
              <w:autoSpaceDN w:val="0"/>
              <w:adjustRightInd w:val="0"/>
              <w:spacing w:before="120" w:after="120"/>
              <w:rPr>
                <w:rFonts w:cs="Arial"/>
                <w:color w:val="000000"/>
                <w:sz w:val="16"/>
                <w:szCs w:val="16"/>
              </w:rPr>
            </w:pPr>
            <w:r w:rsidRPr="009A23F3">
              <w:rPr>
                <w:rFonts w:cs="Arial"/>
                <w:color w:val="000000"/>
                <w:sz w:val="16"/>
                <w:szCs w:val="16"/>
              </w:rPr>
              <w:t>Uganda/20 African participants</w:t>
            </w:r>
          </w:p>
        </w:tc>
        <w:tc>
          <w:tcPr>
            <w:tcW w:w="4252" w:type="dxa"/>
            <w:gridSpan w:val="2"/>
          </w:tcPr>
          <w:p w:rsidR="005703CF" w:rsidRPr="009A23F3"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w:t>
            </w:r>
            <w:r w:rsidRPr="009A23F3">
              <w:rPr>
                <w:rFonts w:cs="Arial"/>
                <w:color w:val="000000"/>
                <w:sz w:val="16"/>
                <w:szCs w:val="16"/>
                <w:lang w:eastAsia="ja-JP" w:bidi="th-TH"/>
              </w:rPr>
              <w:t>o:</w:t>
            </w:r>
            <w:r>
              <w:rPr>
                <w:rFonts w:cs="Arial"/>
                <w:color w:val="000000"/>
                <w:sz w:val="16"/>
                <w:szCs w:val="16"/>
                <w:lang w:eastAsia="ja-JP" w:bidi="th-TH"/>
              </w:rPr>
              <w:t xml:space="preserve"> (i) </w:t>
            </w:r>
            <w:r w:rsidRPr="009A23F3">
              <w:rPr>
                <w:rFonts w:cs="Arial"/>
                <w:color w:val="000000"/>
                <w:sz w:val="16"/>
                <w:szCs w:val="16"/>
                <w:lang w:eastAsia="ja-JP" w:bidi="th-TH"/>
              </w:rPr>
              <w:t>Increase the knowledge of participants on modern IP management practices;  and</w:t>
            </w:r>
            <w:r>
              <w:rPr>
                <w:rFonts w:cs="Arial"/>
                <w:color w:val="000000"/>
                <w:sz w:val="16"/>
                <w:szCs w:val="16"/>
                <w:lang w:eastAsia="ja-JP" w:bidi="th-TH"/>
              </w:rPr>
              <w:t xml:space="preserve"> (ii) e</w:t>
            </w:r>
            <w:r w:rsidRPr="009A23F3">
              <w:rPr>
                <w:rFonts w:cs="Arial"/>
                <w:color w:val="000000"/>
                <w:sz w:val="16"/>
                <w:szCs w:val="16"/>
                <w:lang w:eastAsia="ja-JP" w:bidi="th-TH"/>
              </w:rPr>
              <w:t>nhance the capacity of participants to formulate, implement and evaluate IP office plans that are time-bound, result-oriented and have a measurable impact</w:t>
            </w:r>
          </w:p>
        </w:tc>
      </w:tr>
      <w:tr w:rsidR="005703CF" w:rsidRPr="00A05BB3" w:rsidTr="00C24C7E">
        <w:tc>
          <w:tcPr>
            <w:tcW w:w="1843" w:type="dxa"/>
          </w:tcPr>
          <w:p w:rsidR="005703CF" w:rsidRPr="00CE002E" w:rsidRDefault="005703CF" w:rsidP="002249F8">
            <w:pPr>
              <w:autoSpaceDE w:val="0"/>
              <w:autoSpaceDN w:val="0"/>
              <w:adjustRightInd w:val="0"/>
              <w:spacing w:before="120" w:after="120"/>
              <w:rPr>
                <w:rFonts w:cs="Arial"/>
                <w:color w:val="000000"/>
                <w:sz w:val="16"/>
                <w:szCs w:val="16"/>
              </w:rPr>
            </w:pPr>
            <w:r w:rsidRPr="0024173D">
              <w:rPr>
                <w:rFonts w:cs="Arial"/>
                <w:color w:val="000000"/>
                <w:sz w:val="16"/>
                <w:szCs w:val="16"/>
              </w:rPr>
              <w:t>WIPO Regional Seminar on Effective Utilization of the Patent Cooperation Treaty (PCT) and Interna</w:t>
            </w:r>
            <w:r>
              <w:rPr>
                <w:rFonts w:cs="Arial"/>
                <w:color w:val="000000"/>
                <w:sz w:val="16"/>
                <w:szCs w:val="16"/>
              </w:rPr>
              <w:t>tional Work Sharing Initiatives</w:t>
            </w:r>
            <w:r w:rsidRPr="0024173D">
              <w:rPr>
                <w:rFonts w:cs="Arial"/>
                <w:color w:val="000000"/>
                <w:sz w:val="16"/>
                <w:szCs w:val="16"/>
              </w:rPr>
              <w:t xml:space="preserve"> </w:t>
            </w:r>
          </w:p>
        </w:tc>
        <w:tc>
          <w:tcPr>
            <w:tcW w:w="1137" w:type="dxa"/>
          </w:tcPr>
          <w:p w:rsidR="005703CF" w:rsidRPr="00CE002E" w:rsidRDefault="005703CF" w:rsidP="002249F8">
            <w:pPr>
              <w:autoSpaceDE w:val="0"/>
              <w:autoSpaceDN w:val="0"/>
              <w:adjustRightInd w:val="0"/>
              <w:spacing w:before="120" w:after="120"/>
              <w:rPr>
                <w:rFonts w:cs="Arial"/>
                <w:color w:val="000000"/>
                <w:sz w:val="16"/>
                <w:szCs w:val="16"/>
              </w:rPr>
            </w:pPr>
            <w:r w:rsidRPr="0024173D">
              <w:rPr>
                <w:rFonts w:cs="Arial"/>
                <w:color w:val="000000"/>
                <w:sz w:val="16"/>
                <w:szCs w:val="16"/>
              </w:rPr>
              <w:t>November 26 to 28, 2013</w:t>
            </w:r>
          </w:p>
        </w:tc>
        <w:tc>
          <w:tcPr>
            <w:tcW w:w="1843" w:type="dxa"/>
          </w:tcPr>
          <w:p w:rsidR="005703CF" w:rsidRPr="00CE002E" w:rsidRDefault="005703CF" w:rsidP="002249F8">
            <w:pPr>
              <w:autoSpaceDE w:val="0"/>
              <w:autoSpaceDN w:val="0"/>
              <w:adjustRightInd w:val="0"/>
              <w:spacing w:before="120" w:after="120"/>
              <w:rPr>
                <w:rFonts w:cs="Arial"/>
                <w:color w:val="000000"/>
                <w:sz w:val="16"/>
                <w:szCs w:val="16"/>
              </w:rPr>
            </w:pPr>
            <w:r w:rsidRPr="0024173D">
              <w:rPr>
                <w:rFonts w:cs="Arial"/>
                <w:color w:val="000000"/>
                <w:sz w:val="16"/>
                <w:szCs w:val="16"/>
              </w:rPr>
              <w:t>Japan</w:t>
            </w:r>
            <w:r>
              <w:rPr>
                <w:rFonts w:cs="Arial"/>
                <w:color w:val="000000"/>
                <w:sz w:val="16"/>
                <w:szCs w:val="16"/>
              </w:rPr>
              <w:t>/4 African participants</w:t>
            </w:r>
          </w:p>
        </w:tc>
        <w:tc>
          <w:tcPr>
            <w:tcW w:w="4252" w:type="dxa"/>
            <w:gridSpan w:val="2"/>
          </w:tcPr>
          <w:p w:rsidR="005703CF" w:rsidRPr="00A05BB3" w:rsidRDefault="005703CF" w:rsidP="002249F8">
            <w:pPr>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w:t>
            </w:r>
            <w:r w:rsidRPr="0024173D">
              <w:rPr>
                <w:rFonts w:cs="Arial"/>
                <w:color w:val="000000"/>
                <w:sz w:val="16"/>
                <w:szCs w:val="16"/>
                <w:lang w:eastAsia="ja-JP" w:bidi="th-TH"/>
              </w:rPr>
              <w:t xml:space="preserve"> deepen understanding on:  (</w:t>
            </w:r>
            <w:r>
              <w:rPr>
                <w:rFonts w:cs="Arial"/>
                <w:color w:val="000000"/>
                <w:sz w:val="16"/>
                <w:szCs w:val="16"/>
                <w:lang w:eastAsia="ja-JP" w:bidi="th-TH"/>
              </w:rPr>
              <w:t>i</w:t>
            </w:r>
            <w:r w:rsidRPr="0024173D">
              <w:rPr>
                <w:rFonts w:cs="Arial"/>
                <w:color w:val="000000"/>
                <w:sz w:val="16"/>
                <w:szCs w:val="16"/>
                <w:lang w:eastAsia="ja-JP" w:bidi="th-TH"/>
              </w:rPr>
              <w:t>)</w:t>
            </w:r>
            <w:r>
              <w:rPr>
                <w:rFonts w:cs="Arial"/>
                <w:color w:val="000000"/>
                <w:sz w:val="16"/>
                <w:szCs w:val="16"/>
                <w:lang w:eastAsia="ja-JP" w:bidi="th-TH"/>
              </w:rPr>
              <w:t> </w:t>
            </w:r>
            <w:r w:rsidRPr="0024173D">
              <w:rPr>
                <w:rFonts w:cs="Arial"/>
                <w:color w:val="000000"/>
                <w:sz w:val="16"/>
                <w:szCs w:val="16"/>
                <w:lang w:eastAsia="ja-JP" w:bidi="th-TH"/>
              </w:rPr>
              <w:t xml:space="preserve">PCT functions and advantages; </w:t>
            </w:r>
            <w:r>
              <w:rPr>
                <w:rFonts w:cs="Arial"/>
                <w:color w:val="000000"/>
                <w:sz w:val="16"/>
                <w:szCs w:val="16"/>
                <w:lang w:eastAsia="ja-JP" w:bidi="th-TH"/>
              </w:rPr>
              <w:t xml:space="preserve"> </w:t>
            </w:r>
            <w:r w:rsidRPr="0024173D">
              <w:rPr>
                <w:rFonts w:cs="Arial"/>
                <w:color w:val="000000"/>
                <w:sz w:val="16"/>
                <w:szCs w:val="16"/>
                <w:lang w:eastAsia="ja-JP" w:bidi="th-TH"/>
              </w:rPr>
              <w:t>(</w:t>
            </w:r>
            <w:r>
              <w:rPr>
                <w:rFonts w:cs="Arial"/>
                <w:color w:val="000000"/>
                <w:sz w:val="16"/>
                <w:szCs w:val="16"/>
                <w:lang w:eastAsia="ja-JP" w:bidi="th-TH"/>
              </w:rPr>
              <w:t>ii</w:t>
            </w:r>
            <w:r w:rsidRPr="0024173D">
              <w:rPr>
                <w:rFonts w:cs="Arial"/>
                <w:color w:val="000000"/>
                <w:sz w:val="16"/>
                <w:szCs w:val="16"/>
                <w:lang w:eastAsia="ja-JP" w:bidi="th-TH"/>
              </w:rPr>
              <w:t xml:space="preserve">) how to get positive reports from International Search Authority (ISA)/Internal Preliminary Examination Authority (IPEA); </w:t>
            </w:r>
            <w:r>
              <w:rPr>
                <w:rFonts w:cs="Arial"/>
                <w:color w:val="000000"/>
                <w:sz w:val="16"/>
                <w:szCs w:val="16"/>
                <w:lang w:eastAsia="ja-JP" w:bidi="th-TH"/>
              </w:rPr>
              <w:t xml:space="preserve"> </w:t>
            </w:r>
            <w:r w:rsidRPr="0024173D">
              <w:rPr>
                <w:rFonts w:cs="Arial"/>
                <w:color w:val="000000"/>
                <w:sz w:val="16"/>
                <w:szCs w:val="16"/>
                <w:lang w:eastAsia="ja-JP" w:bidi="th-TH"/>
              </w:rPr>
              <w:t>and (</w:t>
            </w:r>
            <w:r>
              <w:rPr>
                <w:rFonts w:cs="Arial"/>
                <w:color w:val="000000"/>
                <w:sz w:val="16"/>
                <w:szCs w:val="16"/>
                <w:lang w:eastAsia="ja-JP" w:bidi="th-TH"/>
              </w:rPr>
              <w:t>iii</w:t>
            </w:r>
            <w:r w:rsidRPr="0024173D">
              <w:rPr>
                <w:rFonts w:cs="Arial"/>
                <w:color w:val="000000"/>
                <w:sz w:val="16"/>
                <w:szCs w:val="16"/>
                <w:lang w:eastAsia="ja-JP" w:bidi="th-TH"/>
              </w:rPr>
              <w:t>)</w:t>
            </w:r>
            <w:r>
              <w:rPr>
                <w:rFonts w:cs="Arial"/>
                <w:color w:val="000000"/>
                <w:sz w:val="16"/>
                <w:szCs w:val="16"/>
                <w:lang w:eastAsia="ja-JP" w:bidi="th-TH"/>
              </w:rPr>
              <w:t> </w:t>
            </w:r>
            <w:r w:rsidRPr="0024173D">
              <w:rPr>
                <w:rFonts w:cs="Arial"/>
                <w:color w:val="000000"/>
                <w:sz w:val="16"/>
                <w:szCs w:val="16"/>
                <w:lang w:eastAsia="ja-JP" w:bidi="th-TH"/>
              </w:rPr>
              <w:t xml:space="preserve">how national offices can effectively utilize these reports. </w:t>
            </w:r>
            <w:r>
              <w:rPr>
                <w:rFonts w:cs="Arial"/>
                <w:color w:val="000000"/>
                <w:sz w:val="16"/>
                <w:szCs w:val="16"/>
                <w:lang w:eastAsia="ja-JP" w:bidi="th-TH"/>
              </w:rPr>
              <w:t xml:space="preserve"> </w:t>
            </w:r>
            <w:r w:rsidRPr="0024173D">
              <w:rPr>
                <w:rFonts w:cs="Arial"/>
                <w:color w:val="000000"/>
                <w:sz w:val="16"/>
                <w:szCs w:val="16"/>
                <w:lang w:eastAsia="ja-JP" w:bidi="th-TH"/>
              </w:rPr>
              <w:t>In addition, the event provide</w:t>
            </w:r>
            <w:r>
              <w:rPr>
                <w:rFonts w:cs="Arial"/>
                <w:color w:val="000000"/>
                <w:sz w:val="16"/>
                <w:szCs w:val="16"/>
                <w:lang w:eastAsia="ja-JP" w:bidi="th-TH"/>
              </w:rPr>
              <w:t>d</w:t>
            </w:r>
            <w:r w:rsidRPr="0024173D">
              <w:rPr>
                <w:rFonts w:cs="Arial"/>
                <w:color w:val="000000"/>
                <w:sz w:val="16"/>
                <w:szCs w:val="16"/>
                <w:lang w:eastAsia="ja-JP" w:bidi="th-TH"/>
              </w:rPr>
              <w:t xml:space="preserve"> an opportunity for sharing views and experiences on the utilization of international work sharing frameworks, including the PCT and Patent Prosecution Highway (PPH)</w:t>
            </w:r>
          </w:p>
        </w:tc>
      </w:tr>
      <w:tr w:rsidR="005703CF" w:rsidRPr="00A05BB3" w:rsidTr="00C24C7E">
        <w:tc>
          <w:tcPr>
            <w:tcW w:w="1843" w:type="dxa"/>
            <w:tcBorders>
              <w:bottom w:val="nil"/>
            </w:tcBorders>
          </w:tcPr>
          <w:p w:rsidR="005703CF" w:rsidRPr="00CE002E" w:rsidRDefault="005703CF" w:rsidP="002249F8">
            <w:pPr>
              <w:keepNext/>
              <w:autoSpaceDE w:val="0"/>
              <w:autoSpaceDN w:val="0"/>
              <w:adjustRightInd w:val="0"/>
              <w:spacing w:before="120" w:after="120"/>
              <w:rPr>
                <w:rFonts w:cs="Arial"/>
                <w:color w:val="000000"/>
                <w:sz w:val="16"/>
                <w:szCs w:val="16"/>
              </w:rPr>
            </w:pPr>
            <w:r w:rsidRPr="0024173D">
              <w:rPr>
                <w:rFonts w:cs="Arial"/>
                <w:color w:val="000000"/>
                <w:sz w:val="16"/>
                <w:szCs w:val="16"/>
              </w:rPr>
              <w:lastRenderedPageBreak/>
              <w:t xml:space="preserve">WIPO-South Africa Advanced Summer School on Intellectual Property (IP) and Transfer of Technology (TOT), </w:t>
            </w:r>
          </w:p>
        </w:tc>
        <w:tc>
          <w:tcPr>
            <w:tcW w:w="1137" w:type="dxa"/>
            <w:tcBorders>
              <w:bottom w:val="nil"/>
            </w:tcBorders>
          </w:tcPr>
          <w:p w:rsidR="005703CF" w:rsidRPr="00CE002E" w:rsidRDefault="005703CF" w:rsidP="002249F8">
            <w:pPr>
              <w:keepNext/>
              <w:autoSpaceDE w:val="0"/>
              <w:autoSpaceDN w:val="0"/>
              <w:adjustRightInd w:val="0"/>
              <w:spacing w:before="120" w:after="120"/>
              <w:rPr>
                <w:rFonts w:cs="Arial"/>
                <w:color w:val="000000"/>
                <w:sz w:val="16"/>
                <w:szCs w:val="16"/>
              </w:rPr>
            </w:pPr>
            <w:r w:rsidRPr="0024173D">
              <w:rPr>
                <w:rFonts w:cs="Arial"/>
                <w:color w:val="000000"/>
                <w:sz w:val="16"/>
                <w:szCs w:val="16"/>
              </w:rPr>
              <w:t>November 25 to December 6, 2013</w:t>
            </w:r>
          </w:p>
        </w:tc>
        <w:tc>
          <w:tcPr>
            <w:tcW w:w="1843" w:type="dxa"/>
            <w:tcBorders>
              <w:bottom w:val="nil"/>
            </w:tcBorders>
          </w:tcPr>
          <w:p w:rsidR="005703CF" w:rsidRPr="00CE002E" w:rsidRDefault="005703CF" w:rsidP="002249F8">
            <w:pPr>
              <w:keepNext/>
              <w:autoSpaceDE w:val="0"/>
              <w:autoSpaceDN w:val="0"/>
              <w:adjustRightInd w:val="0"/>
              <w:spacing w:before="120" w:after="120"/>
              <w:rPr>
                <w:rFonts w:cs="Arial"/>
                <w:color w:val="000000"/>
                <w:sz w:val="16"/>
                <w:szCs w:val="16"/>
              </w:rPr>
            </w:pPr>
            <w:r w:rsidRPr="0024173D">
              <w:rPr>
                <w:rFonts w:cs="Arial"/>
                <w:color w:val="000000"/>
                <w:sz w:val="16"/>
                <w:szCs w:val="16"/>
              </w:rPr>
              <w:t>South Africa</w:t>
            </w:r>
            <w:r>
              <w:rPr>
                <w:rFonts w:cs="Arial"/>
                <w:color w:val="000000"/>
                <w:sz w:val="16"/>
                <w:szCs w:val="16"/>
              </w:rPr>
              <w:t>/10 African participants</w:t>
            </w:r>
          </w:p>
        </w:tc>
        <w:tc>
          <w:tcPr>
            <w:tcW w:w="4252" w:type="dxa"/>
            <w:gridSpan w:val="2"/>
            <w:tcBorders>
              <w:bottom w:val="nil"/>
            </w:tcBorders>
          </w:tcPr>
          <w:p w:rsidR="005703CF" w:rsidRPr="00A05BB3" w:rsidRDefault="005703CF" w:rsidP="002249F8">
            <w:pPr>
              <w:keepNext/>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To:  (i) provide an opportunity for students (graduates and post-graduate students) and young professionals to acquire deeper knowledge on intellectual property and transfer of technology;  (ii) discuss current issues pertaining to the management and commercialization of intellectual property;  and (iii) teach students about the role WIPO plays in the global administration of intellectual property in enhancing transfer of technology</w:t>
            </w:r>
          </w:p>
        </w:tc>
      </w:tr>
      <w:tr w:rsidR="005703CF" w:rsidRPr="00660313" w:rsidTr="002249F8">
        <w:tblPrEx>
          <w:tblBorders>
            <w:top w:val="single" w:sz="4" w:space="0" w:color="000000"/>
            <w:left w:val="single" w:sz="4" w:space="0" w:color="000000"/>
            <w:bottom w:val="single" w:sz="4" w:space="0" w:color="000000"/>
            <w:right w:val="single" w:sz="4" w:space="0" w:color="000000"/>
          </w:tblBorders>
        </w:tblPrEx>
        <w:trPr>
          <w:cantSplit/>
          <w:trHeight w:val="1043"/>
        </w:trPr>
        <w:tc>
          <w:tcPr>
            <w:tcW w:w="1843" w:type="dxa"/>
            <w:tcBorders>
              <w:top w:val="nil"/>
              <w:left w:val="single" w:sz="4" w:space="0" w:color="auto"/>
              <w:bottom w:val="single" w:sz="4" w:space="0" w:color="auto"/>
            </w:tcBorders>
          </w:tcPr>
          <w:p w:rsidR="005703CF" w:rsidRPr="00A05BB3" w:rsidRDefault="005703CF" w:rsidP="002249F8">
            <w:pPr>
              <w:autoSpaceDE w:val="0"/>
              <w:autoSpaceDN w:val="0"/>
              <w:adjustRightInd w:val="0"/>
              <w:spacing w:before="120" w:after="120"/>
              <w:rPr>
                <w:rFonts w:cs="Arial"/>
                <w:color w:val="000000"/>
                <w:sz w:val="16"/>
                <w:szCs w:val="16"/>
              </w:rPr>
            </w:pPr>
            <w:r w:rsidRPr="00CE002E">
              <w:rPr>
                <w:rFonts w:cs="Arial"/>
                <w:color w:val="000000"/>
                <w:sz w:val="16"/>
                <w:szCs w:val="16"/>
              </w:rPr>
              <w:t>Enforcement of Intellectual Propert</w:t>
            </w:r>
            <w:r>
              <w:rPr>
                <w:rFonts w:cs="Arial"/>
                <w:color w:val="000000"/>
                <w:sz w:val="16"/>
                <w:szCs w:val="16"/>
              </w:rPr>
              <w:t>y Rights</w:t>
            </w:r>
          </w:p>
        </w:tc>
        <w:tc>
          <w:tcPr>
            <w:tcW w:w="1137" w:type="dxa"/>
            <w:tcBorders>
              <w:top w:val="nil"/>
              <w:bottom w:val="single" w:sz="4" w:space="0" w:color="auto"/>
            </w:tcBorders>
          </w:tcPr>
          <w:p w:rsidR="005703CF" w:rsidRPr="00A05BB3" w:rsidRDefault="005703CF" w:rsidP="002249F8">
            <w:pPr>
              <w:autoSpaceDE w:val="0"/>
              <w:autoSpaceDN w:val="0"/>
              <w:adjustRightInd w:val="0"/>
              <w:spacing w:before="120" w:after="120"/>
              <w:rPr>
                <w:rFonts w:cs="Arial"/>
                <w:color w:val="000000"/>
                <w:sz w:val="16"/>
                <w:szCs w:val="16"/>
              </w:rPr>
            </w:pPr>
            <w:r w:rsidRPr="00CE002E">
              <w:rPr>
                <w:rFonts w:cs="Arial"/>
                <w:color w:val="000000"/>
                <w:sz w:val="16"/>
                <w:szCs w:val="16"/>
              </w:rPr>
              <w:t>December 2 to 13, 2013,</w:t>
            </w:r>
          </w:p>
        </w:tc>
        <w:tc>
          <w:tcPr>
            <w:tcW w:w="1843" w:type="dxa"/>
            <w:tcBorders>
              <w:top w:val="nil"/>
              <w:bottom w:val="single" w:sz="4" w:space="0" w:color="auto"/>
            </w:tcBorders>
          </w:tcPr>
          <w:p w:rsidR="005703CF" w:rsidRPr="00A05BB3" w:rsidRDefault="005703CF" w:rsidP="002249F8">
            <w:pPr>
              <w:autoSpaceDE w:val="0"/>
              <w:autoSpaceDN w:val="0"/>
              <w:adjustRightInd w:val="0"/>
              <w:spacing w:before="120" w:after="120"/>
              <w:rPr>
                <w:rFonts w:cs="Arial"/>
                <w:color w:val="000000"/>
                <w:sz w:val="16"/>
                <w:szCs w:val="16"/>
              </w:rPr>
            </w:pPr>
            <w:r w:rsidRPr="00CE002E">
              <w:rPr>
                <w:rFonts w:cs="Arial"/>
                <w:color w:val="000000"/>
                <w:sz w:val="16"/>
                <w:szCs w:val="16"/>
              </w:rPr>
              <w:t>Japan</w:t>
            </w:r>
            <w:r>
              <w:rPr>
                <w:rFonts w:cs="Arial"/>
                <w:color w:val="000000"/>
                <w:sz w:val="16"/>
                <w:szCs w:val="16"/>
              </w:rPr>
              <w:t>/2 African participants</w:t>
            </w:r>
          </w:p>
        </w:tc>
        <w:tc>
          <w:tcPr>
            <w:tcW w:w="4252" w:type="dxa"/>
            <w:gridSpan w:val="2"/>
            <w:tcBorders>
              <w:top w:val="nil"/>
              <w:bottom w:val="single" w:sz="4" w:space="0" w:color="auto"/>
              <w:right w:val="single" w:sz="4" w:space="0" w:color="auto"/>
            </w:tcBorders>
          </w:tcPr>
          <w:p w:rsidR="005703CF" w:rsidRPr="00A05BB3" w:rsidRDefault="005703CF" w:rsidP="002249F8">
            <w:pPr>
              <w:keepNext/>
              <w:keepLines/>
              <w:autoSpaceDE w:val="0"/>
              <w:autoSpaceDN w:val="0"/>
              <w:adjustRightInd w:val="0"/>
              <w:spacing w:before="120" w:after="120"/>
              <w:rPr>
                <w:rFonts w:cs="Arial"/>
                <w:color w:val="000000"/>
                <w:sz w:val="16"/>
                <w:szCs w:val="16"/>
                <w:lang w:eastAsia="ja-JP" w:bidi="th-TH"/>
              </w:rPr>
            </w:pPr>
            <w:r>
              <w:rPr>
                <w:rFonts w:cs="Arial"/>
                <w:color w:val="000000"/>
                <w:sz w:val="16"/>
                <w:szCs w:val="16"/>
                <w:lang w:eastAsia="ja-JP" w:bidi="th-TH"/>
              </w:rPr>
              <w:t xml:space="preserve">To:  </w:t>
            </w:r>
            <w:r w:rsidRPr="00CE002E">
              <w:rPr>
                <w:rFonts w:cs="Arial"/>
                <w:color w:val="000000"/>
                <w:sz w:val="16"/>
                <w:szCs w:val="16"/>
                <w:lang w:eastAsia="ja-JP" w:bidi="th-TH"/>
              </w:rPr>
              <w:t>consider the minimum standards and options contained in Part III of the Trade-Related Aspects of Intellectual Property Rights (TRIPS) Agreement;  (ii)</w:t>
            </w:r>
            <w:r>
              <w:rPr>
                <w:rFonts w:cs="Arial"/>
                <w:color w:val="000000"/>
                <w:sz w:val="16"/>
                <w:szCs w:val="16"/>
                <w:lang w:eastAsia="ja-JP" w:bidi="th-TH"/>
              </w:rPr>
              <w:t> </w:t>
            </w:r>
            <w:r w:rsidRPr="00CE002E">
              <w:rPr>
                <w:rFonts w:cs="Arial"/>
                <w:color w:val="000000"/>
                <w:sz w:val="16"/>
                <w:szCs w:val="16"/>
                <w:lang w:eastAsia="ja-JP" w:bidi="th-TH"/>
              </w:rPr>
              <w:t>discuss various issues relating to building respect for intellectual property (IP) and IP enforcement, such as alternate models to address counterfeiting and piracy, the disposal and destruction of infringing goods, the consumer attitudes towards counterfeiting and piracy, and the various recent developments in the integration case-law;  (iii) examine the motivation, elements, investigation and prosecution of IP crimes and infringement, including sentencing and proportionality;  and (iv) analyze the role of the various stakeholders in the interest of strategic and effective cooperation</w:t>
            </w:r>
          </w:p>
        </w:tc>
      </w:tr>
    </w:tbl>
    <w:p w:rsidR="005703CF" w:rsidRPr="009E3EC9" w:rsidRDefault="005703CF" w:rsidP="005703CF">
      <w:pPr>
        <w:rPr>
          <w:rFonts w:cs="Arial"/>
          <w:b/>
          <w:sz w:val="16"/>
          <w:szCs w:val="16"/>
        </w:rPr>
      </w:pPr>
    </w:p>
    <w:p w:rsidR="005703CF" w:rsidRDefault="005703CF" w:rsidP="005703CF">
      <w:pPr>
        <w:keepNext/>
        <w:keepLines/>
        <w:rPr>
          <w:rFonts w:cs="Arial"/>
          <w:b/>
          <w:szCs w:val="20"/>
        </w:rPr>
      </w:pPr>
    </w:p>
    <w:p w:rsidR="005703CF" w:rsidRDefault="005703CF" w:rsidP="005703CF">
      <w:pPr>
        <w:keepNext/>
        <w:keepLines/>
        <w:rPr>
          <w:rFonts w:cs="Arial"/>
          <w:b/>
          <w:szCs w:val="20"/>
        </w:rPr>
      </w:pPr>
    </w:p>
    <w:p w:rsidR="005703CF" w:rsidRPr="00280DA3" w:rsidRDefault="005703CF" w:rsidP="005703CF">
      <w:pPr>
        <w:rPr>
          <w:rFonts w:cs="Arial"/>
          <w:b/>
          <w:sz w:val="18"/>
          <w:szCs w:val="18"/>
        </w:rPr>
      </w:pPr>
      <w:r w:rsidRPr="00280DA3">
        <w:rPr>
          <w:rFonts w:cs="Arial"/>
          <w:b/>
          <w:sz w:val="18"/>
          <w:szCs w:val="18"/>
        </w:rPr>
        <w:t xml:space="preserve">JAPAN/ </w:t>
      </w:r>
      <w:r>
        <w:rPr>
          <w:rFonts w:cs="Arial"/>
          <w:b/>
          <w:szCs w:val="20"/>
        </w:rPr>
        <w:t>IP</w:t>
      </w:r>
      <w:r w:rsidRPr="00C4701A">
        <w:rPr>
          <w:rFonts w:cs="Arial"/>
          <w:b/>
          <w:szCs w:val="20"/>
        </w:rPr>
        <w:t>/</w:t>
      </w:r>
      <w:r>
        <w:rPr>
          <w:rFonts w:cs="Arial"/>
          <w:b/>
          <w:szCs w:val="20"/>
        </w:rPr>
        <w:t xml:space="preserve"> </w:t>
      </w:r>
      <w:r w:rsidRPr="00C4701A">
        <w:rPr>
          <w:rFonts w:cs="Arial"/>
          <w:b/>
          <w:szCs w:val="20"/>
        </w:rPr>
        <w:t>AFRICA</w:t>
      </w:r>
      <w:r>
        <w:rPr>
          <w:rFonts w:cs="Arial"/>
          <w:b/>
          <w:szCs w:val="20"/>
        </w:rPr>
        <w:t xml:space="preserve">- LDCs </w:t>
      </w:r>
      <w:r w:rsidRPr="00280DA3">
        <w:rPr>
          <w:rFonts w:cs="Arial"/>
          <w:b/>
          <w:sz w:val="18"/>
          <w:szCs w:val="18"/>
        </w:rPr>
        <w:t xml:space="preserve">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5703CF" w:rsidRPr="00834B2E" w:rsidTr="002249F8">
        <w:trPr>
          <w:trHeight w:val="56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1,507,801</w:t>
            </w:r>
          </w:p>
        </w:tc>
        <w:tc>
          <w:tcPr>
            <w:tcW w:w="165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1,100,656</w:t>
            </w:r>
          </w:p>
        </w:tc>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1,216,674</w:t>
            </w:r>
          </w:p>
        </w:tc>
        <w:tc>
          <w:tcPr>
            <w:tcW w:w="165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1,391,783</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keepNext/>
        <w:keepLines/>
        <w:rPr>
          <w:rFonts w:cs="Arial"/>
          <w:b/>
          <w:szCs w:val="20"/>
          <w:highlight w:val="yellow"/>
        </w:rPr>
      </w:pPr>
    </w:p>
    <w:p w:rsidR="005703CF" w:rsidRPr="00280DA3" w:rsidRDefault="005703CF" w:rsidP="005703CF">
      <w:pPr>
        <w:keepNext/>
        <w:keepLines/>
        <w:rPr>
          <w:rFonts w:cs="Arial"/>
          <w:b/>
          <w:sz w:val="18"/>
          <w:szCs w:val="18"/>
        </w:rPr>
      </w:pPr>
    </w:p>
    <w:p w:rsidR="005703CF" w:rsidRPr="009E3EC9" w:rsidRDefault="005703CF" w:rsidP="005703CF">
      <w:pPr>
        <w:rPr>
          <w:sz w:val="16"/>
          <w:szCs w:val="16"/>
        </w:rPr>
      </w:pPr>
    </w:p>
    <w:p w:rsidR="00C24C7E" w:rsidRDefault="00C24C7E">
      <w:pPr>
        <w:rPr>
          <w:rFonts w:cs="Arial"/>
          <w:b/>
          <w:szCs w:val="20"/>
        </w:rPr>
      </w:pPr>
      <w:r>
        <w:rPr>
          <w:rFonts w:cs="Arial"/>
          <w:b/>
          <w:szCs w:val="20"/>
        </w:rPr>
        <w:br w:type="page"/>
      </w:r>
    </w:p>
    <w:p w:rsidR="005703CF" w:rsidRDefault="005703CF" w:rsidP="005703CF">
      <w:pPr>
        <w:keepNext/>
        <w:keepLines/>
        <w:rPr>
          <w:rFonts w:cs="Arial"/>
          <w:b/>
          <w:szCs w:val="20"/>
        </w:rPr>
      </w:pPr>
      <w:r w:rsidRPr="00BF236C">
        <w:rPr>
          <w:rFonts w:cs="Arial"/>
          <w:b/>
          <w:szCs w:val="20"/>
        </w:rPr>
        <w:lastRenderedPageBreak/>
        <w:t>REPUBLIC OF KOREA</w:t>
      </w:r>
      <w:r>
        <w:rPr>
          <w:rFonts w:cs="Arial"/>
          <w:b/>
          <w:szCs w:val="20"/>
        </w:rPr>
        <w:t>/</w:t>
      </w:r>
      <w:r w:rsidRPr="00BF236C">
        <w:rPr>
          <w:rFonts w:cs="Arial"/>
          <w:b/>
          <w:szCs w:val="20"/>
        </w:rPr>
        <w:t>COPYRIGHT</w:t>
      </w:r>
    </w:p>
    <w:p w:rsidR="005703CF" w:rsidRPr="001D5785" w:rsidRDefault="005703CF" w:rsidP="005703CF">
      <w:pPr>
        <w:keepNext/>
        <w:keepLines/>
        <w:rPr>
          <w:rFonts w:cs="Arial"/>
          <w:b/>
          <w:sz w:val="16"/>
          <w:szCs w:val="16"/>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252"/>
      </w:tblGrid>
      <w:tr w:rsidR="005703CF" w:rsidRPr="00D31A75" w:rsidTr="002249F8">
        <w:tc>
          <w:tcPr>
            <w:tcW w:w="9102" w:type="dxa"/>
            <w:gridSpan w:val="4"/>
            <w:tcBorders>
              <w:top w:val="single" w:sz="4" w:space="0" w:color="000000"/>
              <w:bottom w:val="single" w:sz="4" w:space="0" w:color="000000"/>
            </w:tcBorders>
            <w:shd w:val="clear" w:color="auto" w:fill="CCFFFF"/>
            <w:vAlign w:val="center"/>
          </w:tcPr>
          <w:p w:rsidR="005703CF" w:rsidRDefault="005703CF" w:rsidP="002249F8">
            <w:pPr>
              <w:keepNext/>
              <w:keepLines/>
              <w:spacing w:before="120" w:after="60"/>
              <w:ind w:left="1701" w:hanging="1701"/>
              <w:rPr>
                <w:rFonts w:cs="Arial"/>
                <w:bCs/>
                <w:color w:val="000000"/>
                <w:sz w:val="16"/>
                <w:szCs w:val="16"/>
              </w:rPr>
            </w:pPr>
            <w:r w:rsidRPr="00D31A75">
              <w:rPr>
                <w:rFonts w:cs="Arial"/>
                <w:b/>
                <w:bCs/>
                <w:color w:val="000000"/>
                <w:sz w:val="16"/>
                <w:szCs w:val="16"/>
              </w:rPr>
              <w:t>RESULT</w:t>
            </w:r>
            <w:r w:rsidRPr="00D31A75">
              <w:rPr>
                <w:rFonts w:cs="Arial"/>
                <w:b/>
                <w:bCs/>
                <w:sz w:val="16"/>
                <w:szCs w:val="16"/>
              </w:rPr>
              <w:t>:</w:t>
            </w:r>
            <w:r w:rsidRPr="00D31A75">
              <w:rPr>
                <w:rFonts w:cs="Arial"/>
                <w:b/>
                <w:bCs/>
                <w:sz w:val="16"/>
                <w:szCs w:val="16"/>
              </w:rPr>
              <w:tab/>
            </w:r>
            <w:r w:rsidRPr="00D31A75">
              <w:rPr>
                <w:rFonts w:cs="Arial"/>
                <w:bCs/>
                <w:color w:val="000000"/>
                <w:sz w:val="16"/>
                <w:szCs w:val="16"/>
              </w:rPr>
              <w:t>Increased awareness and capacity of Member States in copyright and related rights</w:t>
            </w:r>
          </w:p>
          <w:p w:rsidR="005703CF" w:rsidRPr="003C18E2" w:rsidRDefault="005703CF" w:rsidP="002249F8">
            <w:pPr>
              <w:keepNext/>
              <w:keepLines/>
              <w:spacing w:before="120" w:after="120"/>
              <w:ind w:left="1701"/>
              <w:rPr>
                <w:rFonts w:cs="Arial"/>
                <w:bCs/>
                <w:sz w:val="16"/>
                <w:szCs w:val="16"/>
              </w:rPr>
            </w:pPr>
            <w:r w:rsidRPr="003C18E2">
              <w:rPr>
                <w:rFonts w:cs="Arial"/>
                <w:bCs/>
                <w:sz w:val="16"/>
                <w:szCs w:val="16"/>
              </w:rPr>
              <w:t>Enhanced human resource capacities able to deal with the broad range of requirements for the effective use of IP for development in developing countries, LDCs and countries with economies in transition</w:t>
            </w:r>
          </w:p>
        </w:tc>
      </w:tr>
      <w:tr w:rsidR="005703CF" w:rsidRPr="00D31A75" w:rsidTr="002249F8">
        <w:tc>
          <w:tcPr>
            <w:tcW w:w="1873" w:type="dxa"/>
            <w:tcBorders>
              <w:top w:val="single" w:sz="4" w:space="0" w:color="000000"/>
            </w:tcBorders>
            <w:vAlign w:val="center"/>
          </w:tcPr>
          <w:p w:rsidR="005703CF" w:rsidRPr="00D31A75" w:rsidRDefault="005703CF" w:rsidP="002249F8">
            <w:pPr>
              <w:keepNext/>
              <w:keepLines/>
              <w:rPr>
                <w:rFonts w:cs="Arial"/>
                <w:b/>
                <w:bCs/>
                <w:sz w:val="16"/>
                <w:szCs w:val="16"/>
              </w:rPr>
            </w:pPr>
            <w:r w:rsidRPr="00D31A7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AF0610" w:rsidRDefault="005703CF" w:rsidP="002249F8">
            <w:pPr>
              <w:keepNext/>
              <w:keepLines/>
              <w:rPr>
                <w:rFonts w:cs="Arial"/>
                <w:b/>
                <w:bCs/>
                <w:sz w:val="16"/>
                <w:szCs w:val="16"/>
              </w:rPr>
            </w:pPr>
            <w:r w:rsidRPr="00D31A75">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Host Country/</w:t>
            </w:r>
            <w:r w:rsidRPr="00D31A75">
              <w:rPr>
                <w:rFonts w:cs="Arial"/>
                <w:b/>
                <w:bCs/>
                <w:sz w:val="16"/>
                <w:szCs w:val="16"/>
              </w:rPr>
              <w:br/>
              <w:t>Recipients</w:t>
            </w:r>
          </w:p>
        </w:tc>
        <w:tc>
          <w:tcPr>
            <w:tcW w:w="4252" w:type="dxa"/>
            <w:tcBorders>
              <w:top w:val="single" w:sz="4" w:space="0" w:color="000000"/>
            </w:tcBorders>
            <w:shd w:val="clear" w:color="auto" w:fill="FFFFFF"/>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Purpose(s)/Description(s)</w:t>
            </w:r>
          </w:p>
        </w:tc>
      </w:tr>
      <w:tr w:rsidR="005703CF" w:rsidRPr="00D31A75" w:rsidTr="002249F8">
        <w:tc>
          <w:tcPr>
            <w:tcW w:w="1873" w:type="dxa"/>
          </w:tcPr>
          <w:p w:rsidR="005703CF" w:rsidRPr="00E34DC6" w:rsidRDefault="005703CF" w:rsidP="002249F8">
            <w:pPr>
              <w:rPr>
                <w:rFonts w:eastAsia="Batang" w:cs="Arial"/>
                <w:color w:val="000000"/>
                <w:sz w:val="16"/>
                <w:szCs w:val="16"/>
                <w:lang w:eastAsia="ko-KR"/>
              </w:rPr>
            </w:pPr>
            <w:r w:rsidRPr="00F54F00">
              <w:rPr>
                <w:rFonts w:eastAsia="Batang" w:cs="Arial"/>
                <w:color w:val="000000"/>
                <w:sz w:val="16"/>
                <w:szCs w:val="16"/>
                <w:lang w:eastAsia="ko-KR"/>
              </w:rPr>
              <w:t>Inter-Regional Workshop for Local Experts on Capacity Building in Copyrigh</w:t>
            </w:r>
            <w:r>
              <w:rPr>
                <w:rFonts w:eastAsia="Batang" w:cs="Arial"/>
                <w:color w:val="000000"/>
                <w:sz w:val="16"/>
                <w:szCs w:val="16"/>
                <w:lang w:eastAsia="ko-KR"/>
              </w:rPr>
              <w:t>t</w:t>
            </w:r>
          </w:p>
        </w:tc>
        <w:tc>
          <w:tcPr>
            <w:tcW w:w="1134" w:type="dxa"/>
            <w:shd w:val="clear" w:color="auto" w:fill="auto"/>
            <w:tcMar>
              <w:top w:w="110" w:type="dxa"/>
            </w:tcMar>
          </w:tcPr>
          <w:p w:rsidR="005703CF" w:rsidRPr="00D31A75" w:rsidRDefault="005703CF" w:rsidP="002249F8">
            <w:pPr>
              <w:keepNext/>
              <w:keepLines/>
              <w:rPr>
                <w:rFonts w:cs="Arial"/>
                <w:b/>
                <w:bCs/>
                <w:sz w:val="16"/>
                <w:szCs w:val="16"/>
              </w:rPr>
            </w:pPr>
            <w:r w:rsidRPr="00F54F00">
              <w:rPr>
                <w:rFonts w:cs="Arial"/>
                <w:color w:val="000000"/>
                <w:sz w:val="16"/>
                <w:szCs w:val="16"/>
              </w:rPr>
              <w:t>April</w:t>
            </w:r>
            <w:r>
              <w:rPr>
                <w:rFonts w:cs="Arial"/>
                <w:color w:val="000000"/>
                <w:sz w:val="16"/>
                <w:szCs w:val="16"/>
              </w:rPr>
              <w:t xml:space="preserve"> 22 to 25, 2013</w:t>
            </w:r>
          </w:p>
        </w:tc>
        <w:tc>
          <w:tcPr>
            <w:tcW w:w="1843" w:type="dxa"/>
            <w:shd w:val="clear" w:color="auto" w:fill="auto"/>
            <w:tcMar>
              <w:top w:w="110" w:type="dxa"/>
            </w:tcMar>
          </w:tcPr>
          <w:p w:rsidR="005703CF" w:rsidRPr="00E34DC6" w:rsidRDefault="005703CF" w:rsidP="002249F8">
            <w:pPr>
              <w:rPr>
                <w:rFonts w:cs="Arial"/>
                <w:bCs/>
                <w:kern w:val="36"/>
                <w:sz w:val="16"/>
                <w:szCs w:val="16"/>
                <w:lang w:val="de-DE" w:eastAsia="ko-KR"/>
              </w:rPr>
            </w:pPr>
            <w:r w:rsidRPr="00E34DC6">
              <w:rPr>
                <w:rFonts w:cs="Arial"/>
                <w:sz w:val="16"/>
                <w:szCs w:val="16"/>
              </w:rPr>
              <w:t>Republic of Korea/12</w:t>
            </w:r>
            <w:r w:rsidRPr="003C18E2">
              <w:rPr>
                <w:rFonts w:cs="Arial"/>
                <w:sz w:val="16"/>
                <w:szCs w:val="16"/>
              </w:rPr>
              <w:t> </w:t>
            </w:r>
            <w:r w:rsidRPr="00E34DC6">
              <w:rPr>
                <w:rFonts w:cs="Arial"/>
                <w:sz w:val="16"/>
                <w:szCs w:val="16"/>
              </w:rPr>
              <w:t>foreign participants from Brazil, China, Egypt, India, Jordan, Kenya, Mozambique, Senegal, Thailand</w:t>
            </w:r>
            <w:r>
              <w:rPr>
                <w:rFonts w:cs="Arial"/>
                <w:sz w:val="16"/>
                <w:szCs w:val="16"/>
              </w:rPr>
              <w:t xml:space="preserve"> and</w:t>
            </w:r>
            <w:r w:rsidRPr="00E34DC6">
              <w:rPr>
                <w:rFonts w:cs="Arial"/>
                <w:sz w:val="16"/>
                <w:szCs w:val="16"/>
              </w:rPr>
              <w:t xml:space="preserve"> OAPI</w:t>
            </w:r>
          </w:p>
        </w:tc>
        <w:tc>
          <w:tcPr>
            <w:tcW w:w="4252" w:type="dxa"/>
            <w:shd w:val="clear" w:color="auto" w:fill="FFFFFF"/>
            <w:tcMar>
              <w:top w:w="110" w:type="dxa"/>
            </w:tcMar>
          </w:tcPr>
          <w:p w:rsidR="005703CF" w:rsidRPr="00E34DC6" w:rsidRDefault="005703CF" w:rsidP="002249F8">
            <w:pPr>
              <w:rPr>
                <w:rFonts w:cs="Arial"/>
                <w:sz w:val="16"/>
                <w:szCs w:val="16"/>
                <w:lang w:eastAsia="ko-KR"/>
              </w:rPr>
            </w:pPr>
            <w:r>
              <w:rPr>
                <w:rFonts w:cs="Arial"/>
                <w:sz w:val="16"/>
                <w:szCs w:val="16"/>
                <w:lang w:eastAsia="ko-KR"/>
              </w:rPr>
              <w:t>T</w:t>
            </w:r>
            <w:r w:rsidRPr="00A41C70">
              <w:rPr>
                <w:rFonts w:cs="Arial"/>
                <w:sz w:val="16"/>
                <w:szCs w:val="16"/>
                <w:lang w:eastAsia="ko-KR"/>
              </w:rPr>
              <w:t>o provide local experts on the capacity building in copyright to update their knowledge, share their experience in capacity building, exchange views on and methodologies of various capacity building programs, and discuss how to enhance copyright capacity building programs at national, regional and international levels</w:t>
            </w:r>
          </w:p>
        </w:tc>
      </w:tr>
      <w:tr w:rsidR="005703CF" w:rsidRPr="00D31A75" w:rsidTr="002249F8">
        <w:tc>
          <w:tcPr>
            <w:tcW w:w="1873" w:type="dxa"/>
          </w:tcPr>
          <w:p w:rsidR="005703CF" w:rsidRPr="00F54F00" w:rsidRDefault="005703CF" w:rsidP="002249F8">
            <w:pPr>
              <w:rPr>
                <w:rFonts w:eastAsia="Batang" w:cs="Arial"/>
                <w:color w:val="000000"/>
                <w:sz w:val="16"/>
                <w:szCs w:val="16"/>
                <w:lang w:eastAsia="ko-KR"/>
              </w:rPr>
            </w:pPr>
            <w:r w:rsidRPr="00F54F00">
              <w:rPr>
                <w:rFonts w:eastAsia="Batang" w:cs="Arial"/>
                <w:color w:val="000000"/>
                <w:sz w:val="16"/>
                <w:szCs w:val="16"/>
                <w:lang w:eastAsia="ko-KR"/>
              </w:rPr>
              <w:t>National Seminar on Copyright and Related Rights</w:t>
            </w:r>
          </w:p>
        </w:tc>
        <w:tc>
          <w:tcPr>
            <w:tcW w:w="1134" w:type="dxa"/>
            <w:shd w:val="clear" w:color="auto" w:fill="auto"/>
            <w:tcMar>
              <w:top w:w="110" w:type="dxa"/>
            </w:tcMar>
          </w:tcPr>
          <w:p w:rsidR="005703CF" w:rsidRPr="00F54F00" w:rsidRDefault="005703CF" w:rsidP="002249F8">
            <w:pPr>
              <w:rPr>
                <w:rFonts w:cs="Arial"/>
                <w:color w:val="000000"/>
                <w:sz w:val="16"/>
                <w:szCs w:val="16"/>
              </w:rPr>
            </w:pPr>
            <w:r w:rsidRPr="00CD3356">
              <w:rPr>
                <w:rFonts w:cs="Arial"/>
                <w:color w:val="000000"/>
                <w:sz w:val="16"/>
                <w:szCs w:val="16"/>
              </w:rPr>
              <w:t>May</w:t>
            </w:r>
            <w:r>
              <w:rPr>
                <w:rFonts w:cs="Arial"/>
                <w:color w:val="000000"/>
                <w:sz w:val="16"/>
                <w:szCs w:val="16"/>
              </w:rPr>
              <w:t xml:space="preserve"> 23 and 24, 2013</w:t>
            </w:r>
          </w:p>
        </w:tc>
        <w:tc>
          <w:tcPr>
            <w:tcW w:w="1843" w:type="dxa"/>
            <w:shd w:val="clear" w:color="auto" w:fill="auto"/>
            <w:tcMar>
              <w:top w:w="110" w:type="dxa"/>
            </w:tcMar>
          </w:tcPr>
          <w:p w:rsidR="005703CF" w:rsidRPr="00E34DC6" w:rsidRDefault="005703CF" w:rsidP="002249F8">
            <w:pPr>
              <w:rPr>
                <w:rFonts w:cs="Arial"/>
                <w:bCs/>
                <w:kern w:val="36"/>
                <w:sz w:val="16"/>
                <w:szCs w:val="16"/>
                <w:lang w:val="de-DE" w:eastAsia="ko-KR"/>
              </w:rPr>
            </w:pPr>
            <w:r w:rsidRPr="00CD3356">
              <w:rPr>
                <w:rFonts w:cs="Arial"/>
                <w:sz w:val="16"/>
                <w:szCs w:val="16"/>
              </w:rPr>
              <w:t>Mongolia</w:t>
            </w:r>
            <w:r>
              <w:rPr>
                <w:rFonts w:cs="Arial"/>
                <w:sz w:val="16"/>
                <w:szCs w:val="16"/>
              </w:rPr>
              <w:t>/75 local participants</w:t>
            </w:r>
          </w:p>
        </w:tc>
        <w:tc>
          <w:tcPr>
            <w:tcW w:w="4252" w:type="dxa"/>
            <w:shd w:val="clear" w:color="auto" w:fill="FFFFFF"/>
            <w:tcMar>
              <w:top w:w="110" w:type="dxa"/>
            </w:tcMar>
          </w:tcPr>
          <w:p w:rsidR="005703CF" w:rsidRDefault="005703CF" w:rsidP="002249F8">
            <w:pPr>
              <w:rPr>
                <w:rFonts w:cs="Arial"/>
                <w:sz w:val="16"/>
                <w:szCs w:val="16"/>
                <w:lang w:eastAsia="ko-KR"/>
              </w:rPr>
            </w:pPr>
            <w:r w:rsidRPr="004F2151">
              <w:rPr>
                <w:rFonts w:cs="Arial"/>
                <w:sz w:val="16"/>
                <w:szCs w:val="16"/>
                <w:lang w:eastAsia="ko-KR"/>
              </w:rPr>
              <w:t>T</w:t>
            </w:r>
            <w:r w:rsidRPr="004F2151">
              <w:rPr>
                <w:rFonts w:eastAsia="MS Gothic" w:cs="Arial"/>
                <w:kern w:val="2"/>
                <w:sz w:val="16"/>
                <w:szCs w:val="16"/>
              </w:rPr>
              <w:t xml:space="preserve">o </w:t>
            </w:r>
            <w:r w:rsidRPr="004F2151">
              <w:rPr>
                <w:rFonts w:cs="Arial"/>
                <w:kern w:val="2"/>
                <w:sz w:val="16"/>
                <w:szCs w:val="16"/>
                <w:lang w:eastAsia="ko-KR"/>
              </w:rPr>
              <w:t xml:space="preserve">enhance understanding </w:t>
            </w:r>
            <w:r w:rsidRPr="004F2151">
              <w:rPr>
                <w:rFonts w:eastAsia="MS Gothic" w:cs="Arial"/>
                <w:kern w:val="2"/>
                <w:sz w:val="16"/>
                <w:szCs w:val="16"/>
              </w:rPr>
              <w:t xml:space="preserve">among </w:t>
            </w:r>
            <w:r w:rsidRPr="004F2151">
              <w:rPr>
                <w:rFonts w:cs="Arial"/>
                <w:kern w:val="2"/>
                <w:sz w:val="16"/>
                <w:szCs w:val="16"/>
                <w:lang w:eastAsia="ko-KR"/>
              </w:rPr>
              <w:t xml:space="preserve">government officials, legal experts as well as right holders </w:t>
            </w:r>
            <w:r w:rsidRPr="004F2151">
              <w:rPr>
                <w:rFonts w:eastAsia="MS Gothic" w:cs="Arial"/>
                <w:kern w:val="2"/>
                <w:sz w:val="16"/>
                <w:szCs w:val="16"/>
              </w:rPr>
              <w:t xml:space="preserve">on the importance of </w:t>
            </w:r>
            <w:r w:rsidRPr="004F2151">
              <w:rPr>
                <w:rFonts w:cs="Arial"/>
                <w:kern w:val="2"/>
                <w:sz w:val="16"/>
                <w:szCs w:val="16"/>
                <w:lang w:eastAsia="ko-KR"/>
              </w:rPr>
              <w:t xml:space="preserve">copyright, and </w:t>
            </w:r>
            <w:r w:rsidRPr="004F2151">
              <w:rPr>
                <w:rFonts w:eastAsia="MS Gothic" w:cs="Arial"/>
                <w:kern w:val="2"/>
                <w:sz w:val="16"/>
                <w:szCs w:val="16"/>
              </w:rPr>
              <w:t>th</w:t>
            </w:r>
            <w:r w:rsidRPr="004F2151">
              <w:rPr>
                <w:rFonts w:cs="Arial"/>
                <w:kern w:val="2"/>
                <w:sz w:val="16"/>
                <w:szCs w:val="16"/>
                <w:lang w:eastAsia="ko-KR"/>
              </w:rPr>
              <w:t>e methods and approaches of promoting copyright awareness amongst different target groups</w:t>
            </w:r>
          </w:p>
        </w:tc>
      </w:tr>
      <w:tr w:rsidR="005703CF" w:rsidRPr="00D31A75" w:rsidTr="002249F8">
        <w:tc>
          <w:tcPr>
            <w:tcW w:w="1873" w:type="dxa"/>
          </w:tcPr>
          <w:p w:rsidR="005703CF" w:rsidRPr="00F54F00" w:rsidRDefault="005703CF" w:rsidP="002249F8">
            <w:pPr>
              <w:rPr>
                <w:rFonts w:eastAsia="Batang" w:cs="Arial"/>
                <w:color w:val="000000"/>
                <w:sz w:val="16"/>
                <w:szCs w:val="16"/>
                <w:lang w:eastAsia="ko-KR"/>
              </w:rPr>
            </w:pPr>
            <w:r w:rsidRPr="00F54F00">
              <w:rPr>
                <w:rFonts w:eastAsia="Batang" w:cs="Arial"/>
                <w:color w:val="000000"/>
                <w:sz w:val="16"/>
                <w:szCs w:val="16"/>
                <w:lang w:eastAsia="ko-KR"/>
              </w:rPr>
              <w:t>National Seminar on Copyright and Related Rights</w:t>
            </w:r>
          </w:p>
        </w:tc>
        <w:tc>
          <w:tcPr>
            <w:tcW w:w="1134" w:type="dxa"/>
            <w:shd w:val="clear" w:color="auto" w:fill="auto"/>
            <w:tcMar>
              <w:top w:w="110" w:type="dxa"/>
            </w:tcMar>
          </w:tcPr>
          <w:p w:rsidR="005703CF" w:rsidRPr="00CD3356" w:rsidRDefault="005703CF" w:rsidP="002249F8">
            <w:pPr>
              <w:rPr>
                <w:rFonts w:cs="Arial"/>
                <w:color w:val="000000"/>
                <w:sz w:val="16"/>
                <w:szCs w:val="16"/>
              </w:rPr>
            </w:pPr>
            <w:r>
              <w:rPr>
                <w:rFonts w:eastAsia="Batang" w:cs="Arial"/>
                <w:color w:val="000000"/>
                <w:sz w:val="16"/>
                <w:szCs w:val="16"/>
                <w:lang w:eastAsia="ko-KR"/>
              </w:rPr>
              <w:t xml:space="preserve">June </w:t>
            </w:r>
            <w:r w:rsidRPr="00F54F00">
              <w:rPr>
                <w:rFonts w:eastAsia="Batang" w:cs="Arial"/>
                <w:color w:val="000000"/>
                <w:sz w:val="16"/>
                <w:szCs w:val="16"/>
                <w:lang w:eastAsia="ko-KR"/>
              </w:rPr>
              <w:t xml:space="preserve">6 </w:t>
            </w:r>
            <w:r>
              <w:rPr>
                <w:rFonts w:eastAsia="Batang" w:cs="Arial"/>
                <w:color w:val="000000"/>
                <w:sz w:val="16"/>
                <w:szCs w:val="16"/>
                <w:lang w:eastAsia="ko-KR"/>
              </w:rPr>
              <w:t xml:space="preserve">and </w:t>
            </w:r>
            <w:r w:rsidRPr="00F54F00">
              <w:rPr>
                <w:rFonts w:eastAsia="Batang" w:cs="Arial"/>
                <w:color w:val="000000"/>
                <w:sz w:val="16"/>
                <w:szCs w:val="16"/>
                <w:lang w:eastAsia="ko-KR"/>
              </w:rPr>
              <w:t>7</w:t>
            </w:r>
            <w:r>
              <w:rPr>
                <w:rFonts w:eastAsia="Batang" w:cs="Arial"/>
                <w:color w:val="000000"/>
                <w:sz w:val="16"/>
                <w:szCs w:val="16"/>
                <w:lang w:eastAsia="ko-KR"/>
              </w:rPr>
              <w:t>, 2013</w:t>
            </w:r>
          </w:p>
        </w:tc>
        <w:tc>
          <w:tcPr>
            <w:tcW w:w="1843" w:type="dxa"/>
            <w:shd w:val="clear" w:color="auto" w:fill="auto"/>
            <w:tcMar>
              <w:top w:w="110" w:type="dxa"/>
            </w:tcMar>
          </w:tcPr>
          <w:p w:rsidR="005703CF" w:rsidRPr="00E34DC6" w:rsidRDefault="005703CF" w:rsidP="002249F8">
            <w:pPr>
              <w:rPr>
                <w:rFonts w:cs="Arial"/>
                <w:bCs/>
                <w:kern w:val="36"/>
                <w:sz w:val="16"/>
                <w:szCs w:val="16"/>
                <w:lang w:val="de-DE" w:eastAsia="ko-KR"/>
              </w:rPr>
            </w:pPr>
            <w:r w:rsidRPr="001E7AA9">
              <w:rPr>
                <w:rFonts w:cs="Arial"/>
                <w:sz w:val="16"/>
                <w:szCs w:val="16"/>
              </w:rPr>
              <w:t>Cambodia</w:t>
            </w:r>
            <w:r>
              <w:rPr>
                <w:rFonts w:cs="Arial"/>
                <w:sz w:val="16"/>
                <w:szCs w:val="16"/>
              </w:rPr>
              <w:t>/85 local participants</w:t>
            </w:r>
          </w:p>
        </w:tc>
        <w:tc>
          <w:tcPr>
            <w:tcW w:w="4252" w:type="dxa"/>
            <w:shd w:val="clear" w:color="auto" w:fill="FFFFFF"/>
            <w:tcMar>
              <w:top w:w="110" w:type="dxa"/>
            </w:tcMar>
          </w:tcPr>
          <w:p w:rsidR="005703CF" w:rsidRPr="004F2151" w:rsidRDefault="005703CF" w:rsidP="002249F8">
            <w:pPr>
              <w:rPr>
                <w:rFonts w:cs="Arial"/>
                <w:sz w:val="16"/>
                <w:szCs w:val="16"/>
                <w:lang w:eastAsia="ko-KR"/>
              </w:rPr>
            </w:pPr>
            <w:r w:rsidRPr="00915132">
              <w:rPr>
                <w:rFonts w:cs="Arial"/>
                <w:sz w:val="16"/>
                <w:szCs w:val="16"/>
                <w:lang w:eastAsia="ko-KR"/>
              </w:rPr>
              <w:t>T</w:t>
            </w:r>
            <w:r w:rsidRPr="00915132">
              <w:rPr>
                <w:rFonts w:cs="Arial"/>
                <w:sz w:val="16"/>
                <w:szCs w:val="16"/>
              </w:rPr>
              <w:t>o assist</w:t>
            </w:r>
            <w:r w:rsidRPr="00915132">
              <w:rPr>
                <w:rFonts w:cs="Arial"/>
                <w:sz w:val="16"/>
                <w:szCs w:val="16"/>
                <w:lang w:eastAsia="ko-KR"/>
              </w:rPr>
              <w:t xml:space="preserve"> the country</w:t>
            </w:r>
            <w:r w:rsidRPr="00915132">
              <w:rPr>
                <w:rFonts w:cs="Arial"/>
                <w:sz w:val="16"/>
                <w:szCs w:val="16"/>
              </w:rPr>
              <w:t xml:space="preserve"> in strengthening </w:t>
            </w:r>
            <w:r w:rsidRPr="00915132">
              <w:rPr>
                <w:rFonts w:cs="Arial"/>
                <w:sz w:val="16"/>
                <w:szCs w:val="16"/>
                <w:lang w:eastAsia="ko-KR"/>
              </w:rPr>
              <w:t xml:space="preserve">its copyright office and to provide information about content and benefits of international </w:t>
            </w:r>
            <w:r>
              <w:rPr>
                <w:rFonts w:cs="Arial"/>
                <w:sz w:val="16"/>
                <w:szCs w:val="16"/>
                <w:lang w:eastAsia="ko-KR"/>
              </w:rPr>
              <w:t>treaties</w:t>
            </w:r>
            <w:r w:rsidRPr="00915132">
              <w:rPr>
                <w:rFonts w:cs="Arial"/>
                <w:sz w:val="16"/>
                <w:szCs w:val="16"/>
                <w:lang w:eastAsia="ko-KR"/>
              </w:rPr>
              <w:t xml:space="preserve"> in the area of copyright and related rights</w:t>
            </w:r>
          </w:p>
        </w:tc>
      </w:tr>
      <w:tr w:rsidR="005703CF" w:rsidRPr="00D31A75" w:rsidTr="002249F8">
        <w:tc>
          <w:tcPr>
            <w:tcW w:w="1873" w:type="dxa"/>
          </w:tcPr>
          <w:p w:rsidR="005703CF" w:rsidRPr="00F54F00" w:rsidRDefault="005703CF" w:rsidP="002249F8">
            <w:pPr>
              <w:rPr>
                <w:rFonts w:eastAsia="Batang" w:cs="Arial"/>
                <w:color w:val="000000"/>
                <w:sz w:val="16"/>
                <w:szCs w:val="16"/>
                <w:lang w:eastAsia="ko-KR"/>
              </w:rPr>
            </w:pPr>
            <w:r w:rsidRPr="00CD3356">
              <w:rPr>
                <w:rFonts w:eastAsia="Batang" w:cs="Arial"/>
                <w:color w:val="000000"/>
                <w:sz w:val="16"/>
                <w:szCs w:val="16"/>
                <w:lang w:eastAsia="ko-KR"/>
              </w:rPr>
              <w:t>National Workshop on Copyright and Creative Industries</w:t>
            </w:r>
          </w:p>
        </w:tc>
        <w:tc>
          <w:tcPr>
            <w:tcW w:w="1134" w:type="dxa"/>
            <w:shd w:val="clear" w:color="auto" w:fill="auto"/>
            <w:tcMar>
              <w:top w:w="110" w:type="dxa"/>
            </w:tcMar>
          </w:tcPr>
          <w:p w:rsidR="005703CF" w:rsidRPr="00CD3356" w:rsidRDefault="005703CF" w:rsidP="002249F8">
            <w:pPr>
              <w:rPr>
                <w:rFonts w:cs="Arial"/>
                <w:color w:val="000000"/>
                <w:sz w:val="16"/>
                <w:szCs w:val="16"/>
              </w:rPr>
            </w:pPr>
            <w:r>
              <w:rPr>
                <w:rFonts w:eastAsia="Batang" w:cs="Arial"/>
                <w:color w:val="000000"/>
                <w:sz w:val="16"/>
                <w:szCs w:val="16"/>
                <w:lang w:eastAsia="ko-KR"/>
              </w:rPr>
              <w:t>July 23 and</w:t>
            </w:r>
            <w:r w:rsidRPr="00CD3356">
              <w:rPr>
                <w:rFonts w:eastAsia="Batang" w:cs="Arial"/>
                <w:color w:val="000000"/>
                <w:sz w:val="16"/>
                <w:szCs w:val="16"/>
                <w:lang w:eastAsia="ko-KR"/>
              </w:rPr>
              <w:t xml:space="preserve"> 24</w:t>
            </w:r>
            <w:r>
              <w:rPr>
                <w:rFonts w:eastAsia="Batang" w:cs="Arial"/>
                <w:color w:val="000000"/>
                <w:sz w:val="16"/>
                <w:szCs w:val="16"/>
                <w:lang w:eastAsia="ko-KR"/>
              </w:rPr>
              <w:t>, 2013</w:t>
            </w:r>
          </w:p>
        </w:tc>
        <w:tc>
          <w:tcPr>
            <w:tcW w:w="1843" w:type="dxa"/>
            <w:shd w:val="clear" w:color="auto" w:fill="auto"/>
            <w:tcMar>
              <w:top w:w="110" w:type="dxa"/>
            </w:tcMar>
          </w:tcPr>
          <w:p w:rsidR="005703CF" w:rsidRPr="001E7AA9" w:rsidRDefault="005703CF" w:rsidP="002249F8">
            <w:pPr>
              <w:rPr>
                <w:rFonts w:cs="Arial"/>
                <w:sz w:val="16"/>
                <w:szCs w:val="16"/>
              </w:rPr>
            </w:pPr>
            <w:r w:rsidRPr="001E7AA9">
              <w:rPr>
                <w:rFonts w:cs="Arial"/>
                <w:sz w:val="16"/>
                <w:szCs w:val="16"/>
              </w:rPr>
              <w:t>Philippines</w:t>
            </w:r>
            <w:r>
              <w:rPr>
                <w:rFonts w:cs="Arial"/>
                <w:sz w:val="16"/>
                <w:szCs w:val="16"/>
              </w:rPr>
              <w:t>/100 local participants</w:t>
            </w:r>
          </w:p>
        </w:tc>
        <w:tc>
          <w:tcPr>
            <w:tcW w:w="4252" w:type="dxa"/>
            <w:shd w:val="clear" w:color="auto" w:fill="FFFFFF"/>
            <w:tcMar>
              <w:top w:w="110" w:type="dxa"/>
            </w:tcMar>
          </w:tcPr>
          <w:p w:rsidR="005703CF" w:rsidRPr="00915132" w:rsidRDefault="005703CF" w:rsidP="002249F8">
            <w:pPr>
              <w:rPr>
                <w:rFonts w:cs="Arial"/>
                <w:sz w:val="16"/>
                <w:szCs w:val="16"/>
                <w:lang w:eastAsia="ko-KR"/>
              </w:rPr>
            </w:pPr>
            <w:r>
              <w:rPr>
                <w:rFonts w:eastAsia="Batang"/>
                <w:sz w:val="16"/>
                <w:szCs w:val="16"/>
                <w:lang w:eastAsia="ko-KR"/>
              </w:rPr>
              <w:t>T</w:t>
            </w:r>
            <w:r w:rsidRPr="00C46682">
              <w:rPr>
                <w:rFonts w:eastAsia="Batang"/>
                <w:kern w:val="2"/>
                <w:sz w:val="16"/>
                <w:szCs w:val="16"/>
              </w:rPr>
              <w:t xml:space="preserve">o raise awareness among policy makers and key stakeholders in the creative industries on the importance of copyright </w:t>
            </w:r>
            <w:r w:rsidRPr="00C46682">
              <w:rPr>
                <w:rFonts w:eastAsia="Batang" w:hint="eastAsia"/>
                <w:kern w:val="2"/>
                <w:sz w:val="16"/>
                <w:szCs w:val="16"/>
                <w:lang w:eastAsia="ko-KR"/>
              </w:rPr>
              <w:t>in</w:t>
            </w:r>
            <w:r w:rsidRPr="00C46682">
              <w:rPr>
                <w:rFonts w:eastAsia="Batang"/>
                <w:kern w:val="2"/>
                <w:sz w:val="16"/>
                <w:szCs w:val="16"/>
              </w:rPr>
              <w:t xml:space="preserve"> ensur</w:t>
            </w:r>
            <w:r w:rsidRPr="00C46682">
              <w:rPr>
                <w:rFonts w:eastAsia="Batang" w:hint="eastAsia"/>
                <w:kern w:val="2"/>
                <w:sz w:val="16"/>
                <w:szCs w:val="16"/>
                <w:lang w:eastAsia="ko-KR"/>
              </w:rPr>
              <w:t>ing</w:t>
            </w:r>
            <w:r w:rsidRPr="00C46682">
              <w:rPr>
                <w:rFonts w:eastAsia="Batang"/>
                <w:kern w:val="2"/>
                <w:sz w:val="16"/>
                <w:szCs w:val="16"/>
              </w:rPr>
              <w:t xml:space="preserve"> the </w:t>
            </w:r>
            <w:r w:rsidRPr="00C46682">
              <w:rPr>
                <w:rFonts w:eastAsia="Batang"/>
                <w:kern w:val="2"/>
                <w:sz w:val="16"/>
                <w:szCs w:val="16"/>
                <w:lang w:eastAsia="ko-KR"/>
              </w:rPr>
              <w:t>sustainable</w:t>
            </w:r>
            <w:r w:rsidRPr="00C46682">
              <w:rPr>
                <w:rFonts w:eastAsia="Batang" w:hint="eastAsia"/>
                <w:kern w:val="2"/>
                <w:sz w:val="16"/>
                <w:szCs w:val="16"/>
                <w:lang w:eastAsia="ko-KR"/>
              </w:rPr>
              <w:t xml:space="preserve"> </w:t>
            </w:r>
            <w:r w:rsidRPr="00C46682">
              <w:rPr>
                <w:rFonts w:eastAsia="Batang"/>
                <w:kern w:val="2"/>
                <w:sz w:val="16"/>
                <w:szCs w:val="16"/>
              </w:rPr>
              <w:t>growth of creative industries and cultural prosperity</w:t>
            </w:r>
            <w:r w:rsidRPr="00C46682">
              <w:rPr>
                <w:rFonts w:eastAsia="Batang" w:hint="eastAsia"/>
                <w:kern w:val="2"/>
                <w:sz w:val="16"/>
                <w:szCs w:val="16"/>
                <w:lang w:eastAsia="ko-KR"/>
              </w:rPr>
              <w:t>, and</w:t>
            </w:r>
            <w:r w:rsidRPr="00C46682">
              <w:rPr>
                <w:rFonts w:eastAsia="Batang"/>
                <w:kern w:val="2"/>
                <w:sz w:val="16"/>
                <w:szCs w:val="16"/>
              </w:rPr>
              <w:t xml:space="preserve"> to provide them with practical </w:t>
            </w:r>
            <w:r w:rsidRPr="00C46682">
              <w:rPr>
                <w:rFonts w:eastAsia="Batang" w:hint="eastAsia"/>
                <w:kern w:val="2"/>
                <w:sz w:val="16"/>
                <w:szCs w:val="16"/>
                <w:lang w:eastAsia="ko-KR"/>
              </w:rPr>
              <w:t>knowledge to assist them to develop and maintain adequate copyright policies and strategies</w:t>
            </w:r>
          </w:p>
        </w:tc>
      </w:tr>
      <w:tr w:rsidR="005703CF" w:rsidRPr="00D31A75" w:rsidTr="002249F8">
        <w:tc>
          <w:tcPr>
            <w:tcW w:w="1873" w:type="dxa"/>
            <w:tcBorders>
              <w:bottom w:val="single" w:sz="4" w:space="0" w:color="000000"/>
            </w:tcBorders>
          </w:tcPr>
          <w:p w:rsidR="005703CF" w:rsidRPr="00CD3356" w:rsidRDefault="005703CF" w:rsidP="002249F8">
            <w:pPr>
              <w:rPr>
                <w:rFonts w:eastAsia="Batang" w:cs="Arial"/>
                <w:color w:val="000000"/>
                <w:sz w:val="16"/>
                <w:szCs w:val="16"/>
                <w:lang w:eastAsia="ko-KR"/>
              </w:rPr>
            </w:pPr>
            <w:r w:rsidRPr="00CF5457">
              <w:rPr>
                <w:rFonts w:eastAsia="Batang" w:cs="Arial"/>
                <w:color w:val="000000"/>
                <w:sz w:val="16"/>
                <w:szCs w:val="16"/>
                <w:lang w:eastAsia="ko-KR"/>
              </w:rPr>
              <w:t>Sub-Regional Workshop on Cooperation in Copyright and Related Rights</w:t>
            </w:r>
          </w:p>
        </w:tc>
        <w:tc>
          <w:tcPr>
            <w:tcW w:w="1134" w:type="dxa"/>
            <w:tcBorders>
              <w:bottom w:val="single" w:sz="4" w:space="0" w:color="000000"/>
            </w:tcBorders>
            <w:shd w:val="clear" w:color="auto" w:fill="auto"/>
            <w:tcMar>
              <w:top w:w="110" w:type="dxa"/>
            </w:tcMar>
          </w:tcPr>
          <w:p w:rsidR="005703CF" w:rsidRPr="00E34DC6" w:rsidRDefault="005703CF" w:rsidP="002249F8">
            <w:pPr>
              <w:rPr>
                <w:rFonts w:cs="Arial"/>
                <w:color w:val="000000"/>
                <w:sz w:val="16"/>
                <w:szCs w:val="16"/>
              </w:rPr>
            </w:pPr>
            <w:r w:rsidRPr="008B6784">
              <w:rPr>
                <w:rFonts w:cs="Arial"/>
                <w:color w:val="000000"/>
                <w:sz w:val="16"/>
                <w:szCs w:val="16"/>
              </w:rPr>
              <w:t>August</w:t>
            </w:r>
            <w:r>
              <w:rPr>
                <w:rFonts w:cs="Arial"/>
                <w:color w:val="000000"/>
                <w:sz w:val="16"/>
                <w:szCs w:val="16"/>
              </w:rPr>
              <w:t xml:space="preserve"> 28, 2013</w:t>
            </w:r>
          </w:p>
        </w:tc>
        <w:tc>
          <w:tcPr>
            <w:tcW w:w="1843" w:type="dxa"/>
            <w:tcBorders>
              <w:bottom w:val="single" w:sz="4" w:space="0" w:color="000000"/>
            </w:tcBorders>
            <w:shd w:val="clear" w:color="auto" w:fill="auto"/>
            <w:tcMar>
              <w:top w:w="110" w:type="dxa"/>
            </w:tcMar>
          </w:tcPr>
          <w:p w:rsidR="005703CF" w:rsidRDefault="005703CF" w:rsidP="002249F8">
            <w:pPr>
              <w:rPr>
                <w:rFonts w:cs="Arial"/>
                <w:sz w:val="16"/>
                <w:szCs w:val="16"/>
              </w:rPr>
            </w:pPr>
            <w:r w:rsidRPr="008B6784">
              <w:rPr>
                <w:rFonts w:cs="Arial"/>
                <w:sz w:val="16"/>
                <w:szCs w:val="16"/>
              </w:rPr>
              <w:t>China</w:t>
            </w:r>
            <w:r>
              <w:rPr>
                <w:rFonts w:cs="Arial"/>
                <w:sz w:val="16"/>
                <w:szCs w:val="16"/>
              </w:rPr>
              <w:t>/9 participants from Mongolia, the Republic of Korea and the Russian Federation, and 12 local participants</w:t>
            </w:r>
          </w:p>
          <w:p w:rsidR="005703CF" w:rsidRPr="001E7AA9" w:rsidRDefault="005703CF" w:rsidP="002249F8">
            <w:pPr>
              <w:rPr>
                <w:rFonts w:cs="Arial"/>
                <w:sz w:val="16"/>
                <w:szCs w:val="16"/>
              </w:rPr>
            </w:pPr>
          </w:p>
        </w:tc>
        <w:tc>
          <w:tcPr>
            <w:tcW w:w="4252" w:type="dxa"/>
            <w:tcBorders>
              <w:bottom w:val="single" w:sz="4" w:space="0" w:color="000000"/>
            </w:tcBorders>
            <w:shd w:val="clear" w:color="auto" w:fill="FFFFFF"/>
            <w:tcMar>
              <w:top w:w="110" w:type="dxa"/>
            </w:tcMar>
          </w:tcPr>
          <w:p w:rsidR="005703CF" w:rsidRPr="00E34DC6" w:rsidRDefault="005703CF" w:rsidP="002249F8">
            <w:pPr>
              <w:rPr>
                <w:rFonts w:cs="Arial"/>
                <w:sz w:val="16"/>
                <w:szCs w:val="16"/>
                <w:lang w:eastAsia="ko-KR"/>
              </w:rPr>
            </w:pPr>
            <w:r w:rsidRPr="00F218D1">
              <w:rPr>
                <w:rFonts w:cs="Arial"/>
                <w:sz w:val="16"/>
                <w:szCs w:val="16"/>
                <w:lang w:eastAsia="ja-JP"/>
              </w:rPr>
              <w:t xml:space="preserve">To provide an opportunity to </w:t>
            </w:r>
            <w:r w:rsidRPr="00F218D1">
              <w:rPr>
                <w:rFonts w:cs="Arial"/>
                <w:sz w:val="16"/>
                <w:szCs w:val="16"/>
                <w:lang w:eastAsia="ko-KR"/>
              </w:rPr>
              <w:t>share information and experience among neighboring countries regarding the issues and development of copyright system and to seek further cooperation in the area of copyright and related rights</w:t>
            </w:r>
          </w:p>
        </w:tc>
      </w:tr>
      <w:tr w:rsidR="005703CF" w:rsidRPr="00D31A75" w:rsidTr="002249F8">
        <w:tc>
          <w:tcPr>
            <w:tcW w:w="9102" w:type="dxa"/>
            <w:gridSpan w:val="4"/>
            <w:tcBorders>
              <w:top w:val="single" w:sz="4" w:space="0" w:color="000000"/>
              <w:bottom w:val="single" w:sz="4" w:space="0" w:color="000000"/>
            </w:tcBorders>
            <w:shd w:val="clear" w:color="auto" w:fill="CCFFFF"/>
            <w:vAlign w:val="center"/>
          </w:tcPr>
          <w:p w:rsidR="005703CF" w:rsidRDefault="005703CF" w:rsidP="002249F8">
            <w:pPr>
              <w:keepNext/>
              <w:keepLines/>
              <w:tabs>
                <w:tab w:val="left" w:pos="1740"/>
              </w:tabs>
              <w:spacing w:before="120" w:after="120"/>
              <w:ind w:left="1701" w:hanging="1701"/>
              <w:rPr>
                <w:rFonts w:cs="Arial"/>
                <w:bCs/>
                <w:color w:val="000000"/>
                <w:sz w:val="16"/>
                <w:szCs w:val="16"/>
              </w:rPr>
            </w:pPr>
            <w:r w:rsidRPr="00D31A75">
              <w:rPr>
                <w:rFonts w:cs="Arial"/>
                <w:b/>
                <w:bCs/>
                <w:color w:val="000000"/>
                <w:sz w:val="16"/>
                <w:szCs w:val="16"/>
              </w:rPr>
              <w:t>RESULT</w:t>
            </w:r>
            <w:r w:rsidRPr="00D31A75">
              <w:rPr>
                <w:rFonts w:cs="Arial"/>
                <w:b/>
                <w:bCs/>
                <w:sz w:val="16"/>
                <w:szCs w:val="16"/>
              </w:rPr>
              <w:t>:</w:t>
            </w:r>
            <w:r w:rsidRPr="00D31A75">
              <w:rPr>
                <w:rFonts w:cs="Arial"/>
                <w:b/>
                <w:bCs/>
                <w:sz w:val="16"/>
                <w:szCs w:val="16"/>
              </w:rPr>
              <w:tab/>
            </w:r>
            <w:r w:rsidRPr="00D31A75">
              <w:rPr>
                <w:rFonts w:cs="Arial"/>
                <w:bCs/>
                <w:color w:val="000000"/>
                <w:sz w:val="16"/>
                <w:szCs w:val="16"/>
              </w:rPr>
              <w:t>Increased awareness and capacity of Member States in copyright and related rights</w:t>
            </w:r>
          </w:p>
          <w:p w:rsidR="005703CF" w:rsidRDefault="005703CF" w:rsidP="002249F8">
            <w:pPr>
              <w:keepNext/>
              <w:keepLines/>
              <w:ind w:left="1701"/>
              <w:rPr>
                <w:rFonts w:cs="Arial"/>
                <w:bCs/>
                <w:sz w:val="16"/>
                <w:szCs w:val="16"/>
              </w:rPr>
            </w:pPr>
            <w:r w:rsidRPr="003C18E2">
              <w:rPr>
                <w:rFonts w:cs="Arial"/>
                <w:bCs/>
                <w:sz w:val="16"/>
                <w:szCs w:val="16"/>
              </w:rPr>
              <w:t>Enhanced technical and knowledge infrastructure for IP Offices and other IP institutions leading to better services (cheaper, faster, higher quality) to their stakeholders</w:t>
            </w:r>
          </w:p>
          <w:p w:rsidR="005703CF" w:rsidRPr="003C18E2" w:rsidRDefault="005703CF" w:rsidP="002249F8">
            <w:pPr>
              <w:keepNext/>
              <w:keepLines/>
              <w:ind w:left="1701"/>
              <w:rPr>
                <w:rFonts w:cs="Arial"/>
                <w:bCs/>
                <w:sz w:val="16"/>
                <w:szCs w:val="16"/>
              </w:rPr>
            </w:pPr>
          </w:p>
        </w:tc>
      </w:tr>
      <w:tr w:rsidR="005703CF" w:rsidRPr="00D31A75" w:rsidTr="002249F8">
        <w:tc>
          <w:tcPr>
            <w:tcW w:w="1873" w:type="dxa"/>
            <w:tcBorders>
              <w:top w:val="single" w:sz="4" w:space="0" w:color="000000"/>
            </w:tcBorders>
            <w:vAlign w:val="center"/>
          </w:tcPr>
          <w:p w:rsidR="005703CF" w:rsidRPr="00D31A75" w:rsidRDefault="005703CF" w:rsidP="002249F8">
            <w:pPr>
              <w:keepNext/>
              <w:keepLines/>
              <w:rPr>
                <w:rFonts w:cs="Arial"/>
                <w:b/>
                <w:bCs/>
                <w:sz w:val="16"/>
                <w:szCs w:val="16"/>
              </w:rPr>
            </w:pPr>
            <w:r w:rsidRPr="00D31A75">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Date</w:t>
            </w:r>
          </w:p>
        </w:tc>
        <w:tc>
          <w:tcPr>
            <w:tcW w:w="1843" w:type="dxa"/>
            <w:tcBorders>
              <w:top w:val="single" w:sz="4" w:space="0" w:color="000000"/>
            </w:tcBorders>
            <w:shd w:val="clear" w:color="auto" w:fill="auto"/>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Host Country/</w:t>
            </w:r>
            <w:r w:rsidRPr="00D31A75">
              <w:rPr>
                <w:rFonts w:cs="Arial"/>
                <w:b/>
                <w:bCs/>
                <w:sz w:val="16"/>
                <w:szCs w:val="16"/>
              </w:rPr>
              <w:br/>
              <w:t>Recipients</w:t>
            </w:r>
          </w:p>
        </w:tc>
        <w:tc>
          <w:tcPr>
            <w:tcW w:w="4252" w:type="dxa"/>
            <w:tcBorders>
              <w:top w:val="single" w:sz="4" w:space="0" w:color="000000"/>
            </w:tcBorders>
            <w:shd w:val="clear" w:color="auto" w:fill="FFFFFF"/>
            <w:tcMar>
              <w:top w:w="110" w:type="dxa"/>
            </w:tcMar>
            <w:vAlign w:val="center"/>
          </w:tcPr>
          <w:p w:rsidR="005703CF" w:rsidRPr="00D31A75" w:rsidRDefault="005703CF" w:rsidP="002249F8">
            <w:pPr>
              <w:keepNext/>
              <w:keepLines/>
              <w:rPr>
                <w:rFonts w:cs="Arial"/>
                <w:sz w:val="16"/>
                <w:szCs w:val="16"/>
              </w:rPr>
            </w:pPr>
            <w:r w:rsidRPr="00D31A75">
              <w:rPr>
                <w:rFonts w:cs="Arial"/>
                <w:b/>
                <w:bCs/>
                <w:sz w:val="16"/>
                <w:szCs w:val="16"/>
              </w:rPr>
              <w:t>Purpose(s)/Description(s)</w:t>
            </w:r>
          </w:p>
        </w:tc>
      </w:tr>
      <w:tr w:rsidR="005703CF" w:rsidRPr="00D31A75" w:rsidTr="002249F8">
        <w:tc>
          <w:tcPr>
            <w:tcW w:w="1873" w:type="dxa"/>
          </w:tcPr>
          <w:p w:rsidR="005703CF" w:rsidRPr="00E34DC6" w:rsidRDefault="005703CF" w:rsidP="002249F8">
            <w:pPr>
              <w:rPr>
                <w:rFonts w:eastAsia="Batang" w:cs="Arial"/>
                <w:color w:val="000000"/>
                <w:sz w:val="16"/>
                <w:szCs w:val="16"/>
                <w:lang w:eastAsia="ko-KR"/>
              </w:rPr>
            </w:pPr>
            <w:r w:rsidRPr="00C7737E">
              <w:rPr>
                <w:rFonts w:eastAsia="Batang" w:cs="Arial"/>
                <w:color w:val="000000"/>
                <w:sz w:val="16"/>
                <w:szCs w:val="16"/>
                <w:lang w:eastAsia="ko-KR"/>
              </w:rPr>
              <w:t>Translation into Bengali and Printing of the WIPO Publications entitled “From Artist to Audience” and “Learn from the Past, Create the Future: The Arts and Copyright”</w:t>
            </w:r>
          </w:p>
        </w:tc>
        <w:tc>
          <w:tcPr>
            <w:tcW w:w="1134" w:type="dxa"/>
            <w:shd w:val="clear" w:color="auto" w:fill="auto"/>
            <w:tcMar>
              <w:top w:w="110" w:type="dxa"/>
            </w:tcMar>
          </w:tcPr>
          <w:p w:rsidR="005703CF" w:rsidRPr="00E34DC6" w:rsidRDefault="005703CF" w:rsidP="002249F8">
            <w:pPr>
              <w:rPr>
                <w:rFonts w:cs="Arial"/>
                <w:color w:val="000000"/>
                <w:sz w:val="16"/>
                <w:szCs w:val="16"/>
              </w:rPr>
            </w:pPr>
            <w:r>
              <w:rPr>
                <w:rFonts w:cs="Arial"/>
                <w:color w:val="000000"/>
                <w:sz w:val="16"/>
                <w:szCs w:val="16"/>
              </w:rPr>
              <w:t>July 2012 to July 2013</w:t>
            </w:r>
          </w:p>
        </w:tc>
        <w:tc>
          <w:tcPr>
            <w:tcW w:w="1843" w:type="dxa"/>
            <w:shd w:val="clear" w:color="auto" w:fill="auto"/>
            <w:tcMar>
              <w:top w:w="110" w:type="dxa"/>
            </w:tcMar>
          </w:tcPr>
          <w:p w:rsidR="005703CF" w:rsidRPr="00E34DC6" w:rsidRDefault="005703CF" w:rsidP="002249F8">
            <w:pPr>
              <w:rPr>
                <w:rFonts w:cs="Arial"/>
                <w:sz w:val="16"/>
                <w:szCs w:val="16"/>
              </w:rPr>
            </w:pPr>
            <w:r>
              <w:rPr>
                <w:rFonts w:cs="Arial"/>
                <w:sz w:val="16"/>
                <w:szCs w:val="16"/>
              </w:rPr>
              <w:t>Ban</w:t>
            </w:r>
            <w:r w:rsidRPr="008B6784">
              <w:rPr>
                <w:rFonts w:cs="Arial"/>
                <w:sz w:val="16"/>
                <w:szCs w:val="16"/>
              </w:rPr>
              <w:t>gladesh</w:t>
            </w:r>
          </w:p>
        </w:tc>
        <w:tc>
          <w:tcPr>
            <w:tcW w:w="4252" w:type="dxa"/>
            <w:shd w:val="clear" w:color="auto" w:fill="FFFFFF"/>
            <w:tcMar>
              <w:top w:w="110" w:type="dxa"/>
            </w:tcMar>
          </w:tcPr>
          <w:p w:rsidR="005703CF" w:rsidRPr="00E34DC6" w:rsidRDefault="005703CF" w:rsidP="002249F8">
            <w:pPr>
              <w:rPr>
                <w:rFonts w:cs="Arial"/>
                <w:kern w:val="2"/>
                <w:sz w:val="16"/>
                <w:szCs w:val="16"/>
                <w:lang w:eastAsia="ko-KR"/>
              </w:rPr>
            </w:pPr>
            <w:r w:rsidRPr="005C58E7">
              <w:rPr>
                <w:rFonts w:cs="Arial"/>
                <w:sz w:val="16"/>
                <w:szCs w:val="16"/>
                <w:lang w:eastAsia="ko-KR"/>
              </w:rPr>
              <w:t>T</w:t>
            </w:r>
            <w:r w:rsidRPr="005C58E7">
              <w:rPr>
                <w:rFonts w:cs="Arial"/>
                <w:kern w:val="2"/>
                <w:sz w:val="16"/>
                <w:szCs w:val="16"/>
              </w:rPr>
              <w:t>o</w:t>
            </w:r>
            <w:r w:rsidRPr="005C58E7">
              <w:rPr>
                <w:rFonts w:cs="Arial"/>
                <w:kern w:val="2"/>
                <w:sz w:val="16"/>
                <w:szCs w:val="16"/>
                <w:lang w:eastAsia="ko-KR"/>
              </w:rPr>
              <w:t xml:space="preserve"> enhance awareness of copyright and related rights among government officials and legal experts as well as rights holders and users, by providing translation of WIPO publications on copyright and related rights into local language</w:t>
            </w:r>
            <w:r>
              <w:rPr>
                <w:rFonts w:cs="Arial"/>
                <w:kern w:val="2"/>
                <w:sz w:val="16"/>
                <w:szCs w:val="16"/>
                <w:lang w:eastAsia="ko-KR"/>
              </w:rPr>
              <w:t>s</w:t>
            </w:r>
          </w:p>
        </w:tc>
      </w:tr>
      <w:tr w:rsidR="005703CF" w:rsidRPr="00D31A75" w:rsidTr="002249F8">
        <w:tc>
          <w:tcPr>
            <w:tcW w:w="1873" w:type="dxa"/>
          </w:tcPr>
          <w:p w:rsidR="005703CF" w:rsidRPr="00C7737E" w:rsidRDefault="005703CF" w:rsidP="002249F8">
            <w:pPr>
              <w:rPr>
                <w:rFonts w:eastAsia="Batang" w:cs="Arial"/>
                <w:color w:val="000000"/>
                <w:sz w:val="16"/>
                <w:szCs w:val="16"/>
                <w:lang w:eastAsia="ko-KR"/>
              </w:rPr>
            </w:pPr>
            <w:r w:rsidRPr="00054853">
              <w:rPr>
                <w:rFonts w:cs="Arial"/>
                <w:color w:val="000000"/>
                <w:sz w:val="16"/>
                <w:szCs w:val="16"/>
              </w:rPr>
              <w:t xml:space="preserve">Translation and Printing of </w:t>
            </w:r>
            <w:r>
              <w:rPr>
                <w:rFonts w:cs="Arial"/>
                <w:color w:val="000000"/>
                <w:sz w:val="16"/>
                <w:szCs w:val="16"/>
              </w:rPr>
              <w:t xml:space="preserve">the </w:t>
            </w:r>
            <w:r w:rsidRPr="00054853">
              <w:rPr>
                <w:rFonts w:cs="Arial"/>
                <w:color w:val="000000"/>
                <w:sz w:val="16"/>
                <w:szCs w:val="16"/>
              </w:rPr>
              <w:t>WIPO Copyright Treaty and WIPO Performances and Phonograms Treaty into the Local Language of Cambodia</w:t>
            </w:r>
          </w:p>
        </w:tc>
        <w:tc>
          <w:tcPr>
            <w:tcW w:w="1134" w:type="dxa"/>
            <w:shd w:val="clear" w:color="auto" w:fill="auto"/>
            <w:tcMar>
              <w:top w:w="110" w:type="dxa"/>
            </w:tcMar>
          </w:tcPr>
          <w:p w:rsidR="005703CF" w:rsidRDefault="005703CF" w:rsidP="002249F8">
            <w:pPr>
              <w:rPr>
                <w:rFonts w:cs="Arial"/>
                <w:color w:val="000000"/>
                <w:sz w:val="16"/>
                <w:szCs w:val="16"/>
              </w:rPr>
            </w:pPr>
            <w:r w:rsidRPr="00054853">
              <w:rPr>
                <w:rFonts w:cs="Arial"/>
                <w:color w:val="000000"/>
                <w:sz w:val="16"/>
                <w:szCs w:val="16"/>
              </w:rPr>
              <w:t xml:space="preserve">March 2013 </w:t>
            </w:r>
            <w:r>
              <w:rPr>
                <w:rFonts w:cs="Arial"/>
                <w:color w:val="000000"/>
                <w:sz w:val="16"/>
                <w:szCs w:val="16"/>
              </w:rPr>
              <w:t xml:space="preserve">to </w:t>
            </w:r>
            <w:r w:rsidRPr="00054853">
              <w:rPr>
                <w:rFonts w:cs="Arial"/>
                <w:color w:val="000000"/>
                <w:sz w:val="16"/>
                <w:szCs w:val="16"/>
              </w:rPr>
              <w:t>June 2013</w:t>
            </w:r>
          </w:p>
        </w:tc>
        <w:tc>
          <w:tcPr>
            <w:tcW w:w="1843" w:type="dxa"/>
            <w:shd w:val="clear" w:color="auto" w:fill="auto"/>
            <w:tcMar>
              <w:top w:w="110" w:type="dxa"/>
            </w:tcMar>
          </w:tcPr>
          <w:p w:rsidR="005703CF" w:rsidRDefault="005703CF" w:rsidP="002249F8">
            <w:pPr>
              <w:rPr>
                <w:rFonts w:cs="Arial"/>
                <w:sz w:val="16"/>
                <w:szCs w:val="16"/>
              </w:rPr>
            </w:pPr>
            <w:r w:rsidRPr="00054853">
              <w:rPr>
                <w:rFonts w:cs="Arial"/>
                <w:sz w:val="16"/>
                <w:szCs w:val="16"/>
              </w:rPr>
              <w:t>Cambodia</w:t>
            </w:r>
          </w:p>
        </w:tc>
        <w:tc>
          <w:tcPr>
            <w:tcW w:w="4252" w:type="dxa"/>
            <w:shd w:val="clear" w:color="auto" w:fill="FFFFFF"/>
            <w:tcMar>
              <w:top w:w="110" w:type="dxa"/>
            </w:tcMar>
          </w:tcPr>
          <w:p w:rsidR="005703CF" w:rsidRPr="00E34DC6" w:rsidRDefault="005703CF" w:rsidP="002249F8">
            <w:pPr>
              <w:rPr>
                <w:rFonts w:cs="Arial"/>
                <w:kern w:val="2"/>
                <w:sz w:val="16"/>
                <w:szCs w:val="16"/>
                <w:lang w:eastAsia="ko-KR"/>
              </w:rPr>
            </w:pPr>
            <w:r w:rsidRPr="005C58E7">
              <w:rPr>
                <w:rFonts w:cs="Arial"/>
                <w:sz w:val="16"/>
                <w:szCs w:val="16"/>
                <w:lang w:eastAsia="ko-KR"/>
              </w:rPr>
              <w:t>T</w:t>
            </w:r>
            <w:r w:rsidRPr="005C58E7">
              <w:rPr>
                <w:rFonts w:cs="Arial"/>
                <w:kern w:val="2"/>
                <w:sz w:val="16"/>
                <w:szCs w:val="16"/>
              </w:rPr>
              <w:t>o</w:t>
            </w:r>
            <w:r w:rsidRPr="005C58E7">
              <w:rPr>
                <w:rFonts w:cs="Arial"/>
                <w:kern w:val="2"/>
                <w:sz w:val="16"/>
                <w:szCs w:val="16"/>
                <w:lang w:eastAsia="ko-KR"/>
              </w:rPr>
              <w:t xml:space="preserve"> enhance awareness of copyright and related rights among government officials and legal experts as well as rights holders and users, by providing translation of WIPO </w:t>
            </w:r>
            <w:r>
              <w:rPr>
                <w:rFonts w:cs="Arial"/>
                <w:kern w:val="2"/>
                <w:sz w:val="16"/>
                <w:szCs w:val="16"/>
                <w:lang w:eastAsia="ko-KR"/>
              </w:rPr>
              <w:t xml:space="preserve">treaties </w:t>
            </w:r>
            <w:r w:rsidRPr="005C58E7">
              <w:rPr>
                <w:rFonts w:cs="Arial"/>
                <w:kern w:val="2"/>
                <w:sz w:val="16"/>
                <w:szCs w:val="16"/>
                <w:lang w:eastAsia="ko-KR"/>
              </w:rPr>
              <w:t>on copyright and related rights into local language</w:t>
            </w:r>
            <w:r>
              <w:rPr>
                <w:rFonts w:cs="Arial"/>
                <w:kern w:val="2"/>
                <w:sz w:val="16"/>
                <w:szCs w:val="16"/>
                <w:lang w:eastAsia="ko-KR"/>
              </w:rPr>
              <w:t>s</w:t>
            </w:r>
          </w:p>
        </w:tc>
      </w:tr>
      <w:tr w:rsidR="00CD26D6" w:rsidRPr="00D31A75" w:rsidTr="002249F8">
        <w:tc>
          <w:tcPr>
            <w:tcW w:w="1873" w:type="dxa"/>
          </w:tcPr>
          <w:p w:rsidR="00CD26D6" w:rsidRPr="008B6784" w:rsidRDefault="00CD26D6" w:rsidP="002249F8">
            <w:pPr>
              <w:rPr>
                <w:rFonts w:cs="Arial"/>
                <w:color w:val="000000"/>
                <w:sz w:val="16"/>
                <w:szCs w:val="16"/>
              </w:rPr>
            </w:pPr>
            <w:r w:rsidRPr="008B6784">
              <w:rPr>
                <w:rFonts w:cs="Arial"/>
                <w:color w:val="000000"/>
                <w:sz w:val="16"/>
                <w:szCs w:val="16"/>
              </w:rPr>
              <w:t>Study Visit to the Korea Copyright Commission (KCC)</w:t>
            </w:r>
          </w:p>
        </w:tc>
        <w:tc>
          <w:tcPr>
            <w:tcW w:w="1134" w:type="dxa"/>
            <w:shd w:val="clear" w:color="auto" w:fill="auto"/>
            <w:tcMar>
              <w:top w:w="110" w:type="dxa"/>
            </w:tcMar>
          </w:tcPr>
          <w:p w:rsidR="00CD26D6" w:rsidRDefault="00CD26D6" w:rsidP="002249F8">
            <w:pPr>
              <w:rPr>
                <w:rFonts w:cs="Arial"/>
                <w:color w:val="000000"/>
                <w:sz w:val="16"/>
                <w:szCs w:val="16"/>
              </w:rPr>
            </w:pPr>
            <w:r w:rsidRPr="008B6784">
              <w:rPr>
                <w:rFonts w:cs="Arial"/>
                <w:color w:val="000000"/>
                <w:sz w:val="16"/>
                <w:szCs w:val="16"/>
              </w:rPr>
              <w:t>October</w:t>
            </w:r>
            <w:r>
              <w:rPr>
                <w:rFonts w:cs="Arial"/>
                <w:color w:val="000000"/>
                <w:sz w:val="16"/>
                <w:szCs w:val="16"/>
              </w:rPr>
              <w:t xml:space="preserve"> 22 to 25, 2013</w:t>
            </w:r>
          </w:p>
        </w:tc>
        <w:tc>
          <w:tcPr>
            <w:tcW w:w="1843" w:type="dxa"/>
            <w:shd w:val="clear" w:color="auto" w:fill="auto"/>
            <w:tcMar>
              <w:top w:w="110" w:type="dxa"/>
            </w:tcMar>
          </w:tcPr>
          <w:p w:rsidR="00CD26D6" w:rsidRDefault="00CD26D6" w:rsidP="00CD26D6">
            <w:pPr>
              <w:rPr>
                <w:rFonts w:cs="Arial"/>
                <w:sz w:val="16"/>
                <w:szCs w:val="16"/>
              </w:rPr>
            </w:pPr>
            <w:r w:rsidRPr="008B6784">
              <w:rPr>
                <w:rFonts w:cs="Arial"/>
                <w:sz w:val="16"/>
                <w:szCs w:val="16"/>
              </w:rPr>
              <w:t>Republic of Korea</w:t>
            </w:r>
            <w:r>
              <w:rPr>
                <w:rFonts w:cs="Arial"/>
                <w:sz w:val="16"/>
                <w:szCs w:val="16"/>
              </w:rPr>
              <w:t xml:space="preserve">/ </w:t>
            </w:r>
          </w:p>
          <w:p w:rsidR="00CD26D6" w:rsidRPr="008B6784" w:rsidRDefault="00CD26D6" w:rsidP="002249F8">
            <w:pPr>
              <w:rPr>
                <w:rFonts w:cs="Arial"/>
                <w:sz w:val="16"/>
                <w:szCs w:val="16"/>
              </w:rPr>
            </w:pPr>
            <w:r>
              <w:rPr>
                <w:rFonts w:cs="Arial"/>
                <w:sz w:val="16"/>
                <w:szCs w:val="16"/>
              </w:rPr>
              <w:t xml:space="preserve">12 foreign participants from Bahrain, Brazil, Chile, Ecuador, Ghana, India, Indonesia, Malaysia, </w:t>
            </w:r>
            <w:r>
              <w:rPr>
                <w:rFonts w:cs="Arial"/>
                <w:sz w:val="16"/>
                <w:szCs w:val="16"/>
              </w:rPr>
              <w:lastRenderedPageBreak/>
              <w:t>Philippines, Sudan, Thailand and Yemen</w:t>
            </w:r>
          </w:p>
        </w:tc>
        <w:tc>
          <w:tcPr>
            <w:tcW w:w="4252" w:type="dxa"/>
            <w:shd w:val="clear" w:color="auto" w:fill="FFFFFF"/>
            <w:tcMar>
              <w:top w:w="110" w:type="dxa"/>
            </w:tcMar>
          </w:tcPr>
          <w:p w:rsidR="00CD26D6" w:rsidRPr="005C58E7" w:rsidRDefault="00CD26D6" w:rsidP="002249F8">
            <w:pPr>
              <w:rPr>
                <w:rFonts w:cs="Arial"/>
                <w:sz w:val="16"/>
                <w:szCs w:val="16"/>
                <w:lang w:eastAsia="ko-KR"/>
              </w:rPr>
            </w:pPr>
            <w:r w:rsidRPr="009A582D">
              <w:rPr>
                <w:rFonts w:cs="Arial"/>
                <w:sz w:val="16"/>
                <w:szCs w:val="16"/>
                <w:lang w:eastAsia="ko-KR"/>
              </w:rPr>
              <w:lastRenderedPageBreak/>
              <w:t>To provide an opportunity for participants to share the Korean experience in the administration of copyright and related rights which would enable them to strengthen their capacity to formulate copyright policies, modernize legislative and administrative frameworks a</w:t>
            </w:r>
            <w:r>
              <w:rPr>
                <w:rFonts w:cs="Arial"/>
                <w:sz w:val="16"/>
                <w:szCs w:val="16"/>
                <w:lang w:eastAsia="ko-KR"/>
              </w:rPr>
              <w:t xml:space="preserve">s well as to </w:t>
            </w:r>
            <w:r w:rsidRPr="009A582D">
              <w:rPr>
                <w:rFonts w:cs="Arial"/>
                <w:sz w:val="16"/>
                <w:szCs w:val="16"/>
                <w:lang w:eastAsia="ko-KR"/>
              </w:rPr>
              <w:t xml:space="preserve"> improve the functioning of the co</w:t>
            </w:r>
            <w:r>
              <w:rPr>
                <w:rFonts w:cs="Arial"/>
                <w:sz w:val="16"/>
                <w:szCs w:val="16"/>
                <w:lang w:eastAsia="ko-KR"/>
              </w:rPr>
              <w:t>pyright</w:t>
            </w:r>
            <w:r w:rsidRPr="009A582D">
              <w:rPr>
                <w:rFonts w:cs="Arial"/>
                <w:sz w:val="16"/>
                <w:szCs w:val="16"/>
                <w:lang w:eastAsia="ko-KR"/>
              </w:rPr>
              <w:t xml:space="preserve"> management </w:t>
            </w:r>
            <w:r w:rsidRPr="009A582D">
              <w:rPr>
                <w:rFonts w:cs="Arial"/>
                <w:sz w:val="16"/>
                <w:szCs w:val="16"/>
                <w:lang w:eastAsia="ko-KR"/>
              </w:rPr>
              <w:lastRenderedPageBreak/>
              <w:t>organizations in their respective countries</w:t>
            </w:r>
          </w:p>
        </w:tc>
      </w:tr>
      <w:tr w:rsidR="00CD26D6" w:rsidRPr="00D31A75" w:rsidTr="002249F8">
        <w:tc>
          <w:tcPr>
            <w:tcW w:w="1873" w:type="dxa"/>
          </w:tcPr>
          <w:p w:rsidR="00CD26D6" w:rsidRPr="00E34DC6" w:rsidRDefault="00CD26D6" w:rsidP="002249F8">
            <w:pPr>
              <w:rPr>
                <w:rFonts w:eastAsia="Batang" w:cs="Arial"/>
                <w:color w:val="000000"/>
                <w:sz w:val="16"/>
                <w:szCs w:val="16"/>
                <w:lang w:eastAsia="ko-KR"/>
              </w:rPr>
            </w:pPr>
            <w:r w:rsidRPr="008B6784">
              <w:rPr>
                <w:rFonts w:cs="Arial"/>
                <w:color w:val="000000"/>
                <w:sz w:val="16"/>
                <w:szCs w:val="16"/>
              </w:rPr>
              <w:lastRenderedPageBreak/>
              <w:t>Translation and Printing of WIPO Publications into the Local Language of Ethiopia</w:t>
            </w:r>
          </w:p>
        </w:tc>
        <w:tc>
          <w:tcPr>
            <w:tcW w:w="1134" w:type="dxa"/>
            <w:shd w:val="clear" w:color="auto" w:fill="auto"/>
            <w:tcMar>
              <w:top w:w="110" w:type="dxa"/>
            </w:tcMar>
          </w:tcPr>
          <w:p w:rsidR="00CD26D6" w:rsidRDefault="00CD26D6" w:rsidP="002249F8">
            <w:pPr>
              <w:rPr>
                <w:rFonts w:cs="Arial"/>
                <w:color w:val="000000"/>
                <w:sz w:val="16"/>
                <w:szCs w:val="16"/>
              </w:rPr>
            </w:pPr>
            <w:r>
              <w:rPr>
                <w:rFonts w:cs="Arial"/>
                <w:color w:val="000000"/>
                <w:sz w:val="16"/>
                <w:szCs w:val="16"/>
              </w:rPr>
              <w:t xml:space="preserve">November 2013 to </w:t>
            </w:r>
          </w:p>
          <w:p w:rsidR="00CD26D6" w:rsidRPr="00054853" w:rsidRDefault="00CD26D6" w:rsidP="002249F8">
            <w:pPr>
              <w:rPr>
                <w:rFonts w:cs="Arial"/>
                <w:color w:val="000000"/>
                <w:sz w:val="16"/>
                <w:szCs w:val="16"/>
              </w:rPr>
            </w:pPr>
            <w:r>
              <w:rPr>
                <w:rFonts w:cs="Arial"/>
                <w:color w:val="000000"/>
                <w:sz w:val="16"/>
                <w:szCs w:val="16"/>
              </w:rPr>
              <w:t>April 2014</w:t>
            </w:r>
          </w:p>
        </w:tc>
        <w:tc>
          <w:tcPr>
            <w:tcW w:w="1843" w:type="dxa"/>
            <w:shd w:val="clear" w:color="auto" w:fill="auto"/>
            <w:tcMar>
              <w:top w:w="110" w:type="dxa"/>
            </w:tcMar>
          </w:tcPr>
          <w:p w:rsidR="00CD26D6" w:rsidRPr="00054853" w:rsidRDefault="00CD26D6" w:rsidP="002249F8">
            <w:pPr>
              <w:rPr>
                <w:rFonts w:cs="Arial"/>
                <w:sz w:val="16"/>
                <w:szCs w:val="16"/>
              </w:rPr>
            </w:pPr>
            <w:r w:rsidRPr="008B6784">
              <w:rPr>
                <w:rFonts w:cs="Arial"/>
                <w:sz w:val="16"/>
                <w:szCs w:val="16"/>
              </w:rPr>
              <w:t>Ethiopia</w:t>
            </w:r>
          </w:p>
        </w:tc>
        <w:tc>
          <w:tcPr>
            <w:tcW w:w="4252" w:type="dxa"/>
            <w:shd w:val="clear" w:color="auto" w:fill="FFFFFF"/>
            <w:tcMar>
              <w:top w:w="110" w:type="dxa"/>
            </w:tcMar>
          </w:tcPr>
          <w:p w:rsidR="00CD26D6" w:rsidRDefault="00CD26D6" w:rsidP="002249F8">
            <w:pPr>
              <w:rPr>
                <w:rFonts w:cs="Arial"/>
                <w:kern w:val="2"/>
                <w:sz w:val="16"/>
                <w:szCs w:val="16"/>
                <w:lang w:eastAsia="ko-KR"/>
              </w:rPr>
            </w:pPr>
            <w:r w:rsidRPr="005C58E7">
              <w:rPr>
                <w:rFonts w:cs="Arial"/>
                <w:sz w:val="16"/>
                <w:szCs w:val="16"/>
                <w:lang w:eastAsia="ko-KR"/>
              </w:rPr>
              <w:t>T</w:t>
            </w:r>
            <w:r w:rsidRPr="005C58E7">
              <w:rPr>
                <w:rFonts w:cs="Arial"/>
                <w:kern w:val="2"/>
                <w:sz w:val="16"/>
                <w:szCs w:val="16"/>
              </w:rPr>
              <w:t>o</w:t>
            </w:r>
            <w:r w:rsidRPr="005C58E7">
              <w:rPr>
                <w:rFonts w:cs="Arial"/>
                <w:kern w:val="2"/>
                <w:sz w:val="16"/>
                <w:szCs w:val="16"/>
                <w:lang w:eastAsia="ko-KR"/>
              </w:rPr>
              <w:t xml:space="preserve"> enhance awareness of copyright and related rights among government officials and legal experts as well as rights holders and users, by providing translation of WIPO publications on copyright and related rights into local language</w:t>
            </w:r>
            <w:r>
              <w:rPr>
                <w:rFonts w:cs="Arial"/>
                <w:kern w:val="2"/>
                <w:sz w:val="16"/>
                <w:szCs w:val="16"/>
                <w:lang w:eastAsia="ko-KR"/>
              </w:rPr>
              <w:t>s</w:t>
            </w:r>
          </w:p>
          <w:p w:rsidR="00CD26D6" w:rsidRPr="00E34DC6" w:rsidRDefault="00CD26D6" w:rsidP="002249F8">
            <w:pPr>
              <w:rPr>
                <w:rFonts w:cs="Arial"/>
                <w:kern w:val="2"/>
                <w:sz w:val="16"/>
                <w:szCs w:val="16"/>
                <w:lang w:eastAsia="ko-KR"/>
              </w:rPr>
            </w:pPr>
          </w:p>
        </w:tc>
      </w:tr>
      <w:tr w:rsidR="00CD26D6" w:rsidRPr="00D31A75" w:rsidTr="002249F8">
        <w:tc>
          <w:tcPr>
            <w:tcW w:w="1873" w:type="dxa"/>
          </w:tcPr>
          <w:p w:rsidR="00CD26D6" w:rsidRPr="008B6784" w:rsidRDefault="00CD26D6" w:rsidP="002249F8">
            <w:pPr>
              <w:rPr>
                <w:rFonts w:cs="Arial"/>
                <w:color w:val="000000"/>
                <w:sz w:val="16"/>
                <w:szCs w:val="16"/>
              </w:rPr>
            </w:pPr>
            <w:r w:rsidRPr="008B6784">
              <w:rPr>
                <w:rFonts w:cs="Arial"/>
                <w:color w:val="000000"/>
                <w:sz w:val="16"/>
                <w:szCs w:val="16"/>
              </w:rPr>
              <w:t>Country Project for Enhancing Awareness of Copyright and Related Rights in Bhutan</w:t>
            </w:r>
          </w:p>
        </w:tc>
        <w:tc>
          <w:tcPr>
            <w:tcW w:w="1134" w:type="dxa"/>
            <w:shd w:val="clear" w:color="auto" w:fill="auto"/>
            <w:tcMar>
              <w:top w:w="110" w:type="dxa"/>
            </w:tcMar>
          </w:tcPr>
          <w:p w:rsidR="00CD26D6" w:rsidRDefault="00CD26D6" w:rsidP="002249F8">
            <w:pPr>
              <w:rPr>
                <w:rFonts w:cs="Arial"/>
                <w:color w:val="000000"/>
                <w:sz w:val="16"/>
                <w:szCs w:val="16"/>
              </w:rPr>
            </w:pPr>
            <w:r>
              <w:rPr>
                <w:rFonts w:cs="Arial"/>
                <w:color w:val="000000"/>
                <w:sz w:val="16"/>
                <w:szCs w:val="16"/>
              </w:rPr>
              <w:t>November to</w:t>
            </w:r>
          </w:p>
          <w:p w:rsidR="00CD26D6" w:rsidRDefault="00CD26D6" w:rsidP="002249F8">
            <w:pPr>
              <w:rPr>
                <w:rFonts w:cs="Arial"/>
                <w:color w:val="000000"/>
                <w:sz w:val="16"/>
                <w:szCs w:val="16"/>
              </w:rPr>
            </w:pPr>
            <w:r>
              <w:rPr>
                <w:rFonts w:cs="Arial"/>
                <w:color w:val="000000"/>
                <w:sz w:val="16"/>
                <w:szCs w:val="16"/>
              </w:rPr>
              <w:t>December 2013</w:t>
            </w:r>
            <w:r>
              <w:rPr>
                <w:rStyle w:val="FootnoteReference"/>
                <w:rFonts w:cs="Arial"/>
                <w:color w:val="000000"/>
                <w:sz w:val="16"/>
                <w:szCs w:val="16"/>
              </w:rPr>
              <w:footnoteReference w:id="52"/>
            </w:r>
          </w:p>
        </w:tc>
        <w:tc>
          <w:tcPr>
            <w:tcW w:w="1843" w:type="dxa"/>
            <w:shd w:val="clear" w:color="auto" w:fill="auto"/>
            <w:tcMar>
              <w:top w:w="110" w:type="dxa"/>
            </w:tcMar>
          </w:tcPr>
          <w:p w:rsidR="00CD26D6" w:rsidRPr="008B6784" w:rsidRDefault="00CD26D6" w:rsidP="002249F8">
            <w:pPr>
              <w:rPr>
                <w:rFonts w:cs="Arial"/>
                <w:sz w:val="16"/>
                <w:szCs w:val="16"/>
              </w:rPr>
            </w:pPr>
            <w:r w:rsidRPr="008B6784">
              <w:rPr>
                <w:rFonts w:cs="Arial"/>
                <w:sz w:val="16"/>
                <w:szCs w:val="16"/>
              </w:rPr>
              <w:t>Bhutan</w:t>
            </w:r>
          </w:p>
        </w:tc>
        <w:tc>
          <w:tcPr>
            <w:tcW w:w="4252" w:type="dxa"/>
            <w:shd w:val="clear" w:color="auto" w:fill="FFFFFF"/>
            <w:tcMar>
              <w:top w:w="110" w:type="dxa"/>
            </w:tcMar>
          </w:tcPr>
          <w:p w:rsidR="00CD26D6" w:rsidRPr="005C58E7" w:rsidRDefault="00CD26D6" w:rsidP="002249F8">
            <w:pPr>
              <w:rPr>
                <w:rFonts w:cs="Arial"/>
                <w:sz w:val="16"/>
                <w:szCs w:val="16"/>
                <w:lang w:eastAsia="ko-KR"/>
              </w:rPr>
            </w:pPr>
            <w:r w:rsidRPr="003B561F">
              <w:rPr>
                <w:rFonts w:cs="Arial"/>
                <w:sz w:val="16"/>
                <w:szCs w:val="16"/>
                <w:lang w:eastAsia="ko-KR"/>
              </w:rPr>
              <w:t>T</w:t>
            </w:r>
            <w:r w:rsidRPr="003B561F">
              <w:rPr>
                <w:rFonts w:cs="Arial"/>
                <w:kern w:val="2"/>
                <w:sz w:val="16"/>
                <w:szCs w:val="16"/>
              </w:rPr>
              <w:t>o</w:t>
            </w:r>
            <w:r w:rsidRPr="003B561F">
              <w:rPr>
                <w:rFonts w:cs="Arial"/>
                <w:kern w:val="2"/>
                <w:sz w:val="16"/>
                <w:szCs w:val="16"/>
                <w:lang w:eastAsia="ko-KR"/>
              </w:rPr>
              <w:t xml:space="preserve"> enhance a country’s capacity to undertake systematic </w:t>
            </w:r>
            <w:r>
              <w:rPr>
                <w:rFonts w:cs="Arial"/>
                <w:kern w:val="2"/>
                <w:sz w:val="16"/>
                <w:szCs w:val="16"/>
                <w:lang w:eastAsia="ko-KR"/>
              </w:rPr>
              <w:t xml:space="preserve">awareness and capacity building </w:t>
            </w:r>
            <w:r w:rsidRPr="003B561F">
              <w:rPr>
                <w:rFonts w:cs="Arial"/>
                <w:kern w:val="2"/>
                <w:sz w:val="16"/>
                <w:szCs w:val="16"/>
                <w:lang w:eastAsia="ko-KR"/>
              </w:rPr>
              <w:t>programs, thereby establishing an environment that is conducive for the effective use and protection of copyright and related rights</w:t>
            </w:r>
          </w:p>
        </w:tc>
      </w:tr>
      <w:tr w:rsidR="00CD26D6" w:rsidRPr="00D31A75" w:rsidTr="002249F8">
        <w:tc>
          <w:tcPr>
            <w:tcW w:w="1873" w:type="dxa"/>
          </w:tcPr>
          <w:p w:rsidR="00CD26D6" w:rsidRDefault="00CD26D6" w:rsidP="002249F8">
            <w:pPr>
              <w:rPr>
                <w:rFonts w:eastAsia="Batang" w:cs="Arial"/>
                <w:color w:val="000000"/>
                <w:sz w:val="16"/>
                <w:szCs w:val="16"/>
                <w:lang w:eastAsia="ko-KR"/>
              </w:rPr>
            </w:pPr>
            <w:r w:rsidRPr="00756EBF">
              <w:rPr>
                <w:rFonts w:cs="Arial"/>
                <w:color w:val="000000"/>
                <w:sz w:val="16"/>
                <w:szCs w:val="16"/>
              </w:rPr>
              <w:t>Compilation of Cases of Copyright and Related Rights in the Field of Music in the Asia-Pacific Region</w:t>
            </w:r>
          </w:p>
          <w:p w:rsidR="00CD26D6" w:rsidRPr="008B6784" w:rsidRDefault="00CD26D6" w:rsidP="002249F8">
            <w:pPr>
              <w:rPr>
                <w:rFonts w:cs="Arial"/>
                <w:color w:val="000000"/>
                <w:sz w:val="16"/>
                <w:szCs w:val="16"/>
              </w:rPr>
            </w:pPr>
          </w:p>
        </w:tc>
        <w:tc>
          <w:tcPr>
            <w:tcW w:w="1134" w:type="dxa"/>
            <w:shd w:val="clear" w:color="auto" w:fill="auto"/>
            <w:tcMar>
              <w:top w:w="110" w:type="dxa"/>
            </w:tcMar>
          </w:tcPr>
          <w:p w:rsidR="00CD26D6" w:rsidRDefault="00CD26D6" w:rsidP="002249F8">
            <w:pPr>
              <w:rPr>
                <w:rFonts w:cs="Arial"/>
                <w:color w:val="000000"/>
                <w:sz w:val="16"/>
                <w:szCs w:val="16"/>
              </w:rPr>
            </w:pPr>
            <w:r w:rsidRPr="00756EBF">
              <w:rPr>
                <w:rFonts w:cs="Arial"/>
                <w:color w:val="000000"/>
                <w:sz w:val="16"/>
                <w:szCs w:val="16"/>
              </w:rPr>
              <w:t>October</w:t>
            </w:r>
            <w:r>
              <w:rPr>
                <w:rFonts w:cs="Arial"/>
                <w:color w:val="000000"/>
                <w:sz w:val="16"/>
                <w:szCs w:val="16"/>
              </w:rPr>
              <w:t xml:space="preserve"> to</w:t>
            </w:r>
          </w:p>
          <w:p w:rsidR="00CD26D6" w:rsidRPr="008B6784" w:rsidRDefault="00CD26D6" w:rsidP="002249F8">
            <w:pPr>
              <w:rPr>
                <w:rFonts w:cs="Arial"/>
                <w:color w:val="000000"/>
                <w:sz w:val="16"/>
                <w:szCs w:val="16"/>
              </w:rPr>
            </w:pPr>
            <w:r>
              <w:rPr>
                <w:rFonts w:cs="Arial"/>
                <w:color w:val="000000"/>
                <w:sz w:val="16"/>
                <w:szCs w:val="16"/>
              </w:rPr>
              <w:t>December 2013</w:t>
            </w:r>
            <w:r>
              <w:rPr>
                <w:rStyle w:val="FootnoteReference"/>
                <w:rFonts w:cs="Arial"/>
                <w:color w:val="000000"/>
                <w:sz w:val="16"/>
                <w:szCs w:val="16"/>
              </w:rPr>
              <w:footnoteReference w:id="53"/>
            </w:r>
          </w:p>
        </w:tc>
        <w:tc>
          <w:tcPr>
            <w:tcW w:w="1843" w:type="dxa"/>
            <w:shd w:val="clear" w:color="auto" w:fill="auto"/>
            <w:tcMar>
              <w:top w:w="110" w:type="dxa"/>
            </w:tcMar>
          </w:tcPr>
          <w:p w:rsidR="00CD26D6" w:rsidRPr="008B6784" w:rsidRDefault="00CD26D6" w:rsidP="002249F8">
            <w:pPr>
              <w:rPr>
                <w:rFonts w:cs="Arial"/>
                <w:sz w:val="16"/>
                <w:szCs w:val="16"/>
              </w:rPr>
            </w:pPr>
            <w:r>
              <w:rPr>
                <w:rFonts w:cs="Arial"/>
                <w:sz w:val="16"/>
                <w:szCs w:val="16"/>
              </w:rPr>
              <w:t>Asian and Pacific countries</w:t>
            </w:r>
          </w:p>
        </w:tc>
        <w:tc>
          <w:tcPr>
            <w:tcW w:w="4252" w:type="dxa"/>
            <w:shd w:val="clear" w:color="auto" w:fill="FFFFFF"/>
            <w:tcMar>
              <w:top w:w="110" w:type="dxa"/>
            </w:tcMar>
          </w:tcPr>
          <w:p w:rsidR="00CD26D6" w:rsidRPr="009A582D" w:rsidRDefault="00CD26D6" w:rsidP="002249F8">
            <w:pPr>
              <w:rPr>
                <w:rFonts w:cs="Arial"/>
                <w:sz w:val="16"/>
                <w:szCs w:val="16"/>
                <w:lang w:eastAsia="ko-KR"/>
              </w:rPr>
            </w:pPr>
            <w:r w:rsidRPr="009A582D">
              <w:rPr>
                <w:rFonts w:eastAsia="Batang"/>
                <w:sz w:val="16"/>
                <w:szCs w:val="16"/>
                <w:lang w:eastAsia="ko-KR"/>
              </w:rPr>
              <w:t>T</w:t>
            </w:r>
            <w:r w:rsidRPr="009A582D">
              <w:rPr>
                <w:rFonts w:eastAsia="Batang" w:hint="eastAsia"/>
                <w:sz w:val="16"/>
                <w:szCs w:val="16"/>
                <w:lang w:eastAsia="ko-KR"/>
              </w:rPr>
              <w:t xml:space="preserve">o </w:t>
            </w:r>
            <w:r w:rsidRPr="009A582D">
              <w:rPr>
                <w:rFonts w:eastAsia="Batang"/>
                <w:sz w:val="16"/>
                <w:szCs w:val="16"/>
                <w:lang w:eastAsia="ko-KR"/>
              </w:rPr>
              <w:t>provide updated information to developing countries in the Asia-Pacific region on the latest cases regarding copyright and relat</w:t>
            </w:r>
            <w:r>
              <w:rPr>
                <w:rFonts w:eastAsia="Batang"/>
                <w:sz w:val="16"/>
                <w:szCs w:val="16"/>
                <w:lang w:eastAsia="ko-KR"/>
              </w:rPr>
              <w:t>ed rights in the music industry</w:t>
            </w:r>
          </w:p>
        </w:tc>
      </w:tr>
    </w:tbl>
    <w:p w:rsidR="005703CF" w:rsidRPr="00BF236C" w:rsidRDefault="005703CF" w:rsidP="005703CF">
      <w:pPr>
        <w:keepNext/>
        <w:keepLines/>
        <w:rPr>
          <w:rFonts w:cs="Arial"/>
          <w:b/>
          <w:szCs w:val="20"/>
        </w:rPr>
      </w:pPr>
    </w:p>
    <w:p w:rsidR="005703CF" w:rsidRPr="00825EF0" w:rsidRDefault="005703CF" w:rsidP="005703CF">
      <w:pPr>
        <w:rPr>
          <w:szCs w:val="20"/>
        </w:rPr>
      </w:pPr>
    </w:p>
    <w:p w:rsidR="005703CF" w:rsidRDefault="005703CF" w:rsidP="005703CF">
      <w:pPr>
        <w:keepNext/>
        <w:keepLines/>
        <w:rPr>
          <w:rFonts w:cs="Arial"/>
          <w:b/>
          <w:bCs/>
          <w:sz w:val="18"/>
          <w:szCs w:val="18"/>
        </w:rPr>
      </w:pPr>
      <w:r w:rsidRPr="00280DA3">
        <w:rPr>
          <w:rFonts w:cs="Arial"/>
          <w:b/>
          <w:sz w:val="18"/>
          <w:szCs w:val="18"/>
        </w:rPr>
        <w:t xml:space="preserve">REPUBLIC OF KOREA/COPYRIGHT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pPr>
        <w:keepNext/>
        <w:keepLines/>
        <w:rPr>
          <w:rFonts w:cs="Arial"/>
          <w:b/>
          <w:bCs/>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5703CF" w:rsidRPr="00834B2E" w:rsidTr="002249F8">
        <w:trPr>
          <w:trHeight w:val="56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532,905</w:t>
            </w:r>
          </w:p>
        </w:tc>
        <w:tc>
          <w:tcPr>
            <w:tcW w:w="165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339,245</w:t>
            </w:r>
          </w:p>
        </w:tc>
        <w:tc>
          <w:tcPr>
            <w:tcW w:w="187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306,326</w:t>
            </w:r>
          </w:p>
        </w:tc>
        <w:tc>
          <w:tcPr>
            <w:tcW w:w="165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565,824</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keepNext/>
        <w:keepLines/>
        <w:rPr>
          <w:rFonts w:cs="Arial"/>
          <w:b/>
          <w:bCs/>
          <w:sz w:val="18"/>
          <w:szCs w:val="18"/>
        </w:rPr>
      </w:pPr>
    </w:p>
    <w:p w:rsidR="005703CF" w:rsidRDefault="005703CF" w:rsidP="005703CF">
      <w:pPr>
        <w:keepNext/>
        <w:keepLines/>
        <w:rPr>
          <w:rFonts w:cs="Arial"/>
          <w:b/>
          <w:bCs/>
          <w:sz w:val="18"/>
          <w:szCs w:val="18"/>
        </w:rPr>
      </w:pPr>
    </w:p>
    <w:p w:rsidR="005703CF" w:rsidRDefault="005703CF" w:rsidP="005703CF">
      <w:pPr>
        <w:rPr>
          <w:rFonts w:cs="Arial"/>
          <w:b/>
          <w:szCs w:val="20"/>
        </w:rPr>
      </w:pPr>
      <w:r w:rsidRPr="006E77A3">
        <w:rPr>
          <w:rFonts w:cs="Arial"/>
          <w:b/>
          <w:szCs w:val="20"/>
        </w:rPr>
        <w:t>REPUBLIC OF KOREA (EDUCATION) - Scholarships on IP (Academy)</w:t>
      </w:r>
    </w:p>
    <w:p w:rsidR="005703CF" w:rsidRDefault="005703CF" w:rsidP="005703CF">
      <w:pPr>
        <w:rPr>
          <w:rFonts w:cs="Arial"/>
          <w:b/>
          <w:szCs w:val="20"/>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43"/>
        <w:gridCol w:w="1134"/>
        <w:gridCol w:w="2243"/>
        <w:gridCol w:w="25"/>
        <w:gridCol w:w="3827"/>
      </w:tblGrid>
      <w:tr w:rsidR="005703CF" w:rsidRPr="002B7DE5" w:rsidTr="00606EF6">
        <w:tc>
          <w:tcPr>
            <w:tcW w:w="9072" w:type="dxa"/>
            <w:gridSpan w:val="5"/>
            <w:tcBorders>
              <w:top w:val="single" w:sz="4" w:space="0" w:color="auto"/>
              <w:bottom w:val="single" w:sz="4" w:space="0" w:color="auto"/>
            </w:tcBorders>
            <w:shd w:val="clear" w:color="auto" w:fill="CCFFFF"/>
            <w:vAlign w:val="center"/>
          </w:tcPr>
          <w:p w:rsidR="005703CF" w:rsidRPr="002B7DE5"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2B7DE5">
              <w:rPr>
                <w:rFonts w:cs="Arial"/>
                <w:b/>
                <w:bCs/>
                <w:sz w:val="16"/>
                <w:szCs w:val="16"/>
              </w:rPr>
              <w:tab/>
            </w:r>
            <w:r w:rsidRPr="00EA0B5B">
              <w:rPr>
                <w:rFonts w:cs="Arial"/>
                <w:b/>
                <w:bCs/>
                <w:sz w:val="16"/>
                <w:szCs w:val="16"/>
              </w:rPr>
              <w:t>Enhanced human resources capacities able to deal with the broad range of requirements for the effective use of IP for development in developing countries, LDCs and countries with economies in transition</w:t>
            </w:r>
          </w:p>
        </w:tc>
      </w:tr>
      <w:tr w:rsidR="005703CF" w:rsidRPr="002B7DE5" w:rsidTr="00606EF6">
        <w:tc>
          <w:tcPr>
            <w:tcW w:w="1843" w:type="dxa"/>
            <w:tcBorders>
              <w:top w:val="single" w:sz="4" w:space="0" w:color="auto"/>
            </w:tcBorders>
            <w:vAlign w:val="center"/>
          </w:tcPr>
          <w:p w:rsidR="005703CF" w:rsidRPr="002B7DE5" w:rsidRDefault="005703CF" w:rsidP="002249F8">
            <w:pPr>
              <w:keepNext/>
              <w:keepLines/>
              <w:rPr>
                <w:rFonts w:cs="Arial"/>
                <w:b/>
                <w:bCs/>
                <w:sz w:val="16"/>
                <w:szCs w:val="16"/>
              </w:rPr>
            </w:pPr>
            <w:r w:rsidRPr="002B7DE5">
              <w:rPr>
                <w:rFonts w:cs="Arial"/>
                <w:b/>
                <w:bCs/>
                <w:sz w:val="16"/>
                <w:szCs w:val="16"/>
              </w:rPr>
              <w:t>Activity</w:t>
            </w:r>
          </w:p>
        </w:tc>
        <w:tc>
          <w:tcPr>
            <w:tcW w:w="1134" w:type="dxa"/>
            <w:tcBorders>
              <w:top w:val="single" w:sz="4" w:space="0" w:color="auto"/>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Date</w:t>
            </w:r>
          </w:p>
        </w:tc>
        <w:tc>
          <w:tcPr>
            <w:tcW w:w="2268" w:type="dxa"/>
            <w:gridSpan w:val="2"/>
            <w:tcBorders>
              <w:top w:val="single" w:sz="4" w:space="0" w:color="auto"/>
            </w:tcBorders>
            <w:shd w:val="clear" w:color="auto" w:fill="auto"/>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Host Country/</w:t>
            </w:r>
            <w:r w:rsidRPr="002B7DE5">
              <w:rPr>
                <w:rFonts w:cs="Arial"/>
                <w:b/>
                <w:bCs/>
                <w:sz w:val="16"/>
                <w:szCs w:val="16"/>
              </w:rPr>
              <w:br/>
              <w:t>Recipients</w:t>
            </w:r>
          </w:p>
        </w:tc>
        <w:tc>
          <w:tcPr>
            <w:tcW w:w="3827" w:type="dxa"/>
            <w:tcBorders>
              <w:top w:val="single" w:sz="4" w:space="0" w:color="auto"/>
            </w:tcBorders>
            <w:shd w:val="clear" w:color="auto" w:fill="FFFFFF"/>
            <w:tcMar>
              <w:top w:w="110" w:type="dxa"/>
            </w:tcMar>
            <w:vAlign w:val="center"/>
          </w:tcPr>
          <w:p w:rsidR="005703CF" w:rsidRPr="002B7DE5" w:rsidRDefault="005703CF" w:rsidP="002249F8">
            <w:pPr>
              <w:keepNext/>
              <w:keepLines/>
              <w:rPr>
                <w:rFonts w:cs="Arial"/>
                <w:sz w:val="16"/>
                <w:szCs w:val="16"/>
              </w:rPr>
            </w:pPr>
            <w:r w:rsidRPr="002B7DE5">
              <w:rPr>
                <w:rFonts w:cs="Arial"/>
                <w:b/>
                <w:bCs/>
                <w:sz w:val="16"/>
                <w:szCs w:val="16"/>
              </w:rPr>
              <w:t>Purpose(s)/Description(s)</w:t>
            </w:r>
          </w:p>
        </w:tc>
      </w:tr>
      <w:tr w:rsidR="005703CF" w:rsidRPr="00774D44" w:rsidTr="00606EF6">
        <w:trPr>
          <w:trHeight w:val="495"/>
        </w:trPr>
        <w:tc>
          <w:tcPr>
            <w:tcW w:w="18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Scholarships for the WIPO-QUT MIP Program</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February 25 to October 28, 2013</w:t>
            </w:r>
          </w:p>
        </w:tc>
        <w:tc>
          <w:tcPr>
            <w:tcW w:w="2268" w:type="dxa"/>
            <w:gridSpan w:val="2"/>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Australia/Republic of Korea (5), Malaysia (1) and Thailand (1)</w:t>
            </w:r>
          </w:p>
        </w:tc>
        <w:tc>
          <w:tcPr>
            <w:tcW w:w="3827" w:type="dxa"/>
          </w:tcPr>
          <w:p w:rsidR="005703CF" w:rsidRPr="00774D44" w:rsidRDefault="005703CF" w:rsidP="002249F8">
            <w:pPr>
              <w:autoSpaceDE w:val="0"/>
              <w:autoSpaceDN w:val="0"/>
              <w:adjustRightInd w:val="0"/>
              <w:spacing w:before="120" w:after="120"/>
              <w:jc w:val="both"/>
              <w:rPr>
                <w:rFonts w:cs="Arial"/>
                <w:color w:val="000000"/>
                <w:sz w:val="16"/>
                <w:szCs w:val="16"/>
              </w:rPr>
            </w:pPr>
            <w:r>
              <w:rPr>
                <w:rFonts w:cs="Arial"/>
                <w:color w:val="000000"/>
                <w:sz w:val="16"/>
                <w:szCs w:val="16"/>
              </w:rPr>
              <w:t>The FIT provided scholarships for five government officials from KIPO of Republic of Korea and two students from developing countries in Asia to participate in the WIPO-QUT MIP Program.</w:t>
            </w:r>
          </w:p>
        </w:tc>
      </w:tr>
      <w:tr w:rsidR="005703CF" w:rsidRPr="00774D44" w:rsidTr="00606EF6">
        <w:trPr>
          <w:trHeight w:val="520"/>
        </w:trPr>
        <w:tc>
          <w:tcPr>
            <w:tcW w:w="1843" w:type="dxa"/>
          </w:tcPr>
          <w:p w:rsidR="005703CF" w:rsidRPr="00774D44" w:rsidRDefault="005703CF" w:rsidP="002249F8">
            <w:pPr>
              <w:autoSpaceDE w:val="0"/>
              <w:autoSpaceDN w:val="0"/>
              <w:adjustRightInd w:val="0"/>
              <w:spacing w:before="120" w:after="120"/>
              <w:jc w:val="both"/>
              <w:rPr>
                <w:rFonts w:cs="Arial"/>
                <w:color w:val="000000"/>
                <w:sz w:val="16"/>
                <w:szCs w:val="16"/>
              </w:rPr>
            </w:pPr>
            <w:r>
              <w:rPr>
                <w:rFonts w:cs="Arial"/>
                <w:color w:val="000000"/>
                <w:sz w:val="16"/>
                <w:szCs w:val="16"/>
              </w:rPr>
              <w:t>Scholarships for the WIPO-SNU MIP Program</w:t>
            </w:r>
          </w:p>
        </w:tc>
        <w:tc>
          <w:tcPr>
            <w:tcW w:w="1134"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to December 2013</w:t>
            </w:r>
          </w:p>
        </w:tc>
        <w:tc>
          <w:tcPr>
            <w:tcW w:w="2243" w:type="dxa"/>
          </w:tcPr>
          <w:p w:rsidR="005703CF" w:rsidRPr="00774D44"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Republic of Korea/China, Malaysia, Mongolia, Philippines and Uzbekistan(2)</w:t>
            </w:r>
          </w:p>
        </w:tc>
        <w:tc>
          <w:tcPr>
            <w:tcW w:w="3852" w:type="dxa"/>
            <w:gridSpan w:val="2"/>
          </w:tcPr>
          <w:p w:rsidR="005703CF" w:rsidRPr="00774D44" w:rsidRDefault="005703CF" w:rsidP="002249F8">
            <w:pPr>
              <w:autoSpaceDE w:val="0"/>
              <w:autoSpaceDN w:val="0"/>
              <w:adjustRightInd w:val="0"/>
              <w:spacing w:before="120" w:after="120"/>
              <w:jc w:val="both"/>
              <w:rPr>
                <w:rFonts w:cs="Arial"/>
                <w:color w:val="000000"/>
                <w:sz w:val="16"/>
                <w:szCs w:val="16"/>
              </w:rPr>
            </w:pPr>
            <w:r>
              <w:rPr>
                <w:rFonts w:cs="Arial"/>
                <w:color w:val="000000"/>
                <w:sz w:val="16"/>
                <w:szCs w:val="16"/>
              </w:rPr>
              <w:t>During 2013, the FIT</w:t>
            </w:r>
            <w:r>
              <w:rPr>
                <w:rFonts w:cs="Arial"/>
                <w:sz w:val="16"/>
                <w:szCs w:val="16"/>
              </w:rPr>
              <w:t xml:space="preserve"> continued to</w:t>
            </w:r>
            <w:r>
              <w:rPr>
                <w:rFonts w:cs="Arial"/>
                <w:color w:val="000000"/>
                <w:sz w:val="16"/>
                <w:szCs w:val="16"/>
              </w:rPr>
              <w:t xml:space="preserve"> provide scholarships for six students from the Asia and the Pacific region to participate in the WIPO-SNU program in Seoul, Republic of Korea, which is a two year program (September 2012 to June 2014).</w:t>
            </w:r>
          </w:p>
        </w:tc>
      </w:tr>
    </w:tbl>
    <w:p w:rsidR="005703CF" w:rsidRDefault="005703CF" w:rsidP="005703CF"/>
    <w:p w:rsidR="005703CF" w:rsidRDefault="005703CF" w:rsidP="005703CF"/>
    <w:p w:rsidR="005703CF" w:rsidRDefault="005703CF" w:rsidP="005703CF">
      <w:pPr>
        <w:keepNext/>
        <w:keepLines/>
        <w:rPr>
          <w:rFonts w:cs="Arial"/>
          <w:b/>
          <w:bCs/>
          <w:sz w:val="18"/>
          <w:szCs w:val="18"/>
        </w:rPr>
      </w:pPr>
      <w:r w:rsidRPr="00EA6271">
        <w:rPr>
          <w:rFonts w:cs="Arial"/>
          <w:b/>
          <w:sz w:val="18"/>
          <w:szCs w:val="18"/>
        </w:rPr>
        <w:t>REPUBLIC OF KOREA</w:t>
      </w:r>
      <w:r>
        <w:rPr>
          <w:rFonts w:cs="Arial"/>
          <w:b/>
          <w:sz w:val="18"/>
          <w:szCs w:val="18"/>
        </w:rPr>
        <w:t xml:space="preserve"> </w:t>
      </w:r>
      <w:r w:rsidRPr="00EA6271">
        <w:rPr>
          <w:rFonts w:cs="Arial"/>
          <w:b/>
          <w:sz w:val="18"/>
          <w:szCs w:val="18"/>
        </w:rPr>
        <w:t>(EDUCATION) - Scholarships on IP (Academy</w:t>
      </w:r>
      <w:r w:rsidRPr="007707DC">
        <w:rPr>
          <w:rFonts w:cs="Arial"/>
          <w:b/>
          <w:szCs w:val="20"/>
        </w:rPr>
        <w:t>)</w:t>
      </w:r>
      <w:r w:rsidRPr="00280DA3">
        <w:rPr>
          <w:rFonts w:cs="Arial"/>
          <w:b/>
          <w:sz w:val="18"/>
          <w:szCs w:val="18"/>
        </w:rPr>
        <w:t xml:space="preserve">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17"/>
        <w:gridCol w:w="1703"/>
        <w:gridCol w:w="1980"/>
      </w:tblGrid>
      <w:tr w:rsidR="005703CF" w:rsidRPr="00834B2E" w:rsidTr="002249F8">
        <w:trPr>
          <w:trHeight w:val="56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17"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229,820</w:t>
            </w:r>
          </w:p>
        </w:tc>
        <w:tc>
          <w:tcPr>
            <w:tcW w:w="165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172,622</w:t>
            </w:r>
          </w:p>
        </w:tc>
        <w:tc>
          <w:tcPr>
            <w:tcW w:w="1817"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154,953</w:t>
            </w:r>
          </w:p>
        </w:tc>
        <w:tc>
          <w:tcPr>
            <w:tcW w:w="1703"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5703CF" w:rsidRPr="00834B2E" w:rsidRDefault="005703CF" w:rsidP="002249F8">
            <w:pPr>
              <w:autoSpaceDE w:val="0"/>
              <w:autoSpaceDN w:val="0"/>
              <w:adjustRightInd w:val="0"/>
              <w:spacing w:after="220"/>
              <w:jc w:val="center"/>
              <w:rPr>
                <w:rFonts w:eastAsia="MS Mincho" w:cs="Arial"/>
                <w:color w:val="000000"/>
                <w:sz w:val="16"/>
                <w:szCs w:val="16"/>
                <w:lang w:eastAsia="ja-JP" w:bidi="th-TH"/>
              </w:rPr>
            </w:pPr>
            <w:r>
              <w:rPr>
                <w:rFonts w:cs="Arial"/>
                <w:color w:val="000000"/>
                <w:sz w:val="16"/>
                <w:szCs w:val="16"/>
              </w:rPr>
              <w:t>247,489</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keepNext/>
        <w:keepLines/>
        <w:rPr>
          <w:rFonts w:cs="Arial"/>
          <w:b/>
          <w:szCs w:val="20"/>
        </w:rPr>
      </w:pPr>
      <w:r w:rsidRPr="00BF236C">
        <w:rPr>
          <w:rFonts w:cs="Arial"/>
          <w:b/>
          <w:szCs w:val="20"/>
        </w:rPr>
        <w:lastRenderedPageBreak/>
        <w:t>REPUBLIC OF KOREA</w:t>
      </w:r>
      <w:r>
        <w:rPr>
          <w:rFonts w:cs="Arial"/>
          <w:b/>
          <w:szCs w:val="20"/>
        </w:rPr>
        <w:t>/ INTELLECTUAL PROPERTY</w:t>
      </w:r>
    </w:p>
    <w:p w:rsidR="005703CF" w:rsidRDefault="005703CF" w:rsidP="005703CF">
      <w:pPr>
        <w:keepNext/>
        <w:keepLines/>
        <w:rPr>
          <w:rFonts w:cs="Arial"/>
          <w:b/>
          <w:szCs w:val="20"/>
        </w:rPr>
      </w:pPr>
    </w:p>
    <w:tbl>
      <w:tblPr>
        <w:tblW w:w="910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110"/>
      </w:tblGrid>
      <w:tr w:rsidR="005703CF" w:rsidRPr="004A7041" w:rsidTr="002249F8">
        <w:tc>
          <w:tcPr>
            <w:tcW w:w="9102" w:type="dxa"/>
            <w:gridSpan w:val="4"/>
            <w:tcBorders>
              <w:top w:val="single" w:sz="4" w:space="0" w:color="000000"/>
              <w:bottom w:val="single" w:sz="4" w:space="0" w:color="000000"/>
            </w:tcBorders>
            <w:shd w:val="clear" w:color="auto" w:fill="CCFFFF"/>
            <w:vAlign w:val="center"/>
          </w:tcPr>
          <w:p w:rsidR="005703CF" w:rsidRPr="004A7041" w:rsidRDefault="005703CF" w:rsidP="002249F8">
            <w:pPr>
              <w:keepNext/>
              <w:keepLines/>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4A7041">
              <w:rPr>
                <w:rFonts w:cs="Arial"/>
                <w:bCs/>
                <w:color w:val="000000"/>
                <w:sz w:val="16"/>
                <w:szCs w:val="16"/>
              </w:rPr>
              <w:t>Enhanced access to, and use of, IP information and knowledge by IP institutions and the public to promote innovation and socio-economic development</w:t>
            </w:r>
          </w:p>
        </w:tc>
      </w:tr>
      <w:tr w:rsidR="005703CF" w:rsidRPr="004A7041" w:rsidTr="002249F8">
        <w:tc>
          <w:tcPr>
            <w:tcW w:w="1873" w:type="dxa"/>
            <w:tcBorders>
              <w:top w:val="single" w:sz="4" w:space="0" w:color="000000"/>
            </w:tcBorders>
            <w:vAlign w:val="center"/>
          </w:tcPr>
          <w:p w:rsidR="005703CF" w:rsidRPr="004A7041" w:rsidRDefault="005703CF" w:rsidP="002249F8">
            <w:pPr>
              <w:keepNext/>
              <w:keepLines/>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Purpose(s)/Description(s)</w:t>
            </w:r>
          </w:p>
        </w:tc>
      </w:tr>
      <w:tr w:rsidR="005703CF" w:rsidRPr="004A7041" w:rsidTr="002249F8">
        <w:tc>
          <w:tcPr>
            <w:tcW w:w="1873" w:type="dxa"/>
          </w:tcPr>
          <w:p w:rsidR="005703CF" w:rsidRPr="004A7041" w:rsidRDefault="005703CF" w:rsidP="002249F8">
            <w:pPr>
              <w:autoSpaceDE w:val="0"/>
              <w:autoSpaceDN w:val="0"/>
              <w:adjustRightInd w:val="0"/>
              <w:spacing w:before="120" w:after="120"/>
              <w:rPr>
                <w:rFonts w:cs="Arial"/>
                <w:color w:val="000000"/>
                <w:sz w:val="16"/>
                <w:szCs w:val="16"/>
              </w:rPr>
            </w:pPr>
            <w:r w:rsidRPr="004A7041">
              <w:rPr>
                <w:rFonts w:cs="Arial"/>
                <w:color w:val="000000"/>
                <w:sz w:val="16"/>
                <w:szCs w:val="16"/>
              </w:rPr>
              <w:t>Appropriate Technology  Competition</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color w:val="000000"/>
                <w:sz w:val="16"/>
                <w:szCs w:val="16"/>
                <w:lang w:eastAsia="ko-KR"/>
              </w:rPr>
              <w:t>August</w:t>
            </w:r>
            <w:r w:rsidRPr="004A7041">
              <w:rPr>
                <w:rFonts w:cs="Arial"/>
                <w:color w:val="000000"/>
                <w:sz w:val="16"/>
                <w:szCs w:val="16"/>
              </w:rPr>
              <w:t xml:space="preserve"> to</w:t>
            </w:r>
            <w:r w:rsidRPr="004A7041">
              <w:rPr>
                <w:rFonts w:cs="Arial" w:hint="eastAsia"/>
                <w:color w:val="000000"/>
                <w:sz w:val="16"/>
                <w:szCs w:val="16"/>
                <w:lang w:eastAsia="ko-KR"/>
              </w:rPr>
              <w:t xml:space="preserve"> </w:t>
            </w:r>
            <w:r>
              <w:rPr>
                <w:rFonts w:cs="Arial"/>
                <w:color w:val="000000"/>
                <w:sz w:val="16"/>
                <w:szCs w:val="16"/>
                <w:lang w:eastAsia="ko-KR"/>
              </w:rPr>
              <w:t>November</w:t>
            </w:r>
            <w:r w:rsidRPr="004A7041">
              <w:rPr>
                <w:rFonts w:cs="Arial"/>
                <w:color w:val="000000"/>
                <w:sz w:val="16"/>
                <w:szCs w:val="16"/>
              </w:rPr>
              <w:t xml:space="preserve"> </w:t>
            </w:r>
            <w:r>
              <w:rPr>
                <w:rFonts w:cs="Arial"/>
                <w:color w:val="000000"/>
                <w:sz w:val="16"/>
                <w:szCs w:val="16"/>
              </w:rPr>
              <w:t>2013</w:t>
            </w:r>
          </w:p>
        </w:tc>
        <w:tc>
          <w:tcPr>
            <w:tcW w:w="1985" w:type="dxa"/>
          </w:tcPr>
          <w:p w:rsidR="005703CF" w:rsidRPr="004A7041" w:rsidRDefault="005703CF" w:rsidP="002249F8">
            <w:pPr>
              <w:autoSpaceDE w:val="0"/>
              <w:autoSpaceDN w:val="0"/>
              <w:adjustRightInd w:val="0"/>
              <w:spacing w:before="120" w:after="120"/>
              <w:rPr>
                <w:rFonts w:cs="Arial"/>
                <w:color w:val="000000"/>
                <w:sz w:val="16"/>
                <w:szCs w:val="16"/>
              </w:rPr>
            </w:pPr>
            <w:r>
              <w:rPr>
                <w:rFonts w:cs="Arial" w:hint="eastAsia"/>
                <w:color w:val="000000"/>
                <w:sz w:val="16"/>
                <w:szCs w:val="16"/>
                <w:lang w:eastAsia="ko-KR"/>
              </w:rPr>
              <w:t>Viet Nam</w:t>
            </w:r>
            <w:r>
              <w:rPr>
                <w:rFonts w:cs="Arial"/>
                <w:color w:val="000000"/>
                <w:sz w:val="16"/>
                <w:szCs w:val="16"/>
                <w:lang w:eastAsia="ko-KR"/>
              </w:rPr>
              <w:t>/</w:t>
            </w:r>
            <w:r>
              <w:rPr>
                <w:rFonts w:cs="Arial" w:hint="eastAsia"/>
                <w:color w:val="000000"/>
                <w:sz w:val="16"/>
                <w:szCs w:val="16"/>
                <w:lang w:eastAsia="ko-KR"/>
              </w:rPr>
              <w:t>300</w:t>
            </w:r>
            <w:r w:rsidRPr="004A7041">
              <w:rPr>
                <w:rFonts w:cs="Arial"/>
                <w:color w:val="000000"/>
                <w:sz w:val="16"/>
                <w:szCs w:val="16"/>
              </w:rPr>
              <w:t xml:space="preserve"> participants</w:t>
            </w:r>
          </w:p>
        </w:tc>
        <w:tc>
          <w:tcPr>
            <w:tcW w:w="4110" w:type="dxa"/>
          </w:tcPr>
          <w:p w:rsidR="005703CF" w:rsidRPr="004A7041" w:rsidRDefault="005703CF" w:rsidP="00606EF6">
            <w:pPr>
              <w:autoSpaceDE w:val="0"/>
              <w:autoSpaceDN w:val="0"/>
              <w:adjustRightInd w:val="0"/>
              <w:spacing w:before="120" w:after="120"/>
              <w:rPr>
                <w:rFonts w:cs="Arial"/>
                <w:color w:val="000000"/>
                <w:sz w:val="16"/>
                <w:szCs w:val="16"/>
                <w:lang w:eastAsia="ko-KR"/>
              </w:rPr>
            </w:pPr>
            <w:r w:rsidRPr="004A7041">
              <w:rPr>
                <w:rFonts w:cs="Arial"/>
                <w:color w:val="000000"/>
                <w:sz w:val="16"/>
                <w:szCs w:val="16"/>
              </w:rPr>
              <w:t xml:space="preserve">To encourage and reward excellence in innovative solutions to frequently </w:t>
            </w:r>
            <w:r>
              <w:rPr>
                <w:rFonts w:cs="Arial"/>
                <w:color w:val="000000"/>
                <w:sz w:val="16"/>
                <w:szCs w:val="16"/>
                <w:lang w:eastAsia="ko-KR"/>
              </w:rPr>
              <w:t>o</w:t>
            </w:r>
            <w:r w:rsidRPr="004A7041">
              <w:rPr>
                <w:rFonts w:cs="Arial"/>
                <w:color w:val="000000"/>
                <w:sz w:val="16"/>
                <w:szCs w:val="16"/>
              </w:rPr>
              <w:t>ccurring problems, especially solutions that utilize technologies appropriate to local conditions. The utilization of patent information for devising solutions was a key element of the competition</w:t>
            </w:r>
            <w:r>
              <w:rPr>
                <w:rFonts w:cs="Arial"/>
                <w:color w:val="000000"/>
                <w:sz w:val="16"/>
                <w:szCs w:val="16"/>
              </w:rPr>
              <w:br/>
            </w:r>
            <w:r w:rsidR="006D1A73">
              <w:rPr>
                <w:rFonts w:cs="Arial"/>
                <w:color w:val="000000"/>
                <w:sz w:val="16"/>
                <w:szCs w:val="16"/>
              </w:rPr>
              <w:br/>
            </w:r>
            <w:r w:rsidRPr="004A7041">
              <w:rPr>
                <w:rFonts w:cs="Arial"/>
                <w:color w:val="000000"/>
                <w:sz w:val="16"/>
                <w:szCs w:val="16"/>
              </w:rPr>
              <w:t>The competition comprised an orientation workshop (</w:t>
            </w:r>
            <w:r w:rsidRPr="00F40F25">
              <w:rPr>
                <w:rFonts w:cs="Arial"/>
                <w:color w:val="000000"/>
                <w:sz w:val="16"/>
                <w:szCs w:val="16"/>
                <w:lang w:eastAsia="ko-KR"/>
              </w:rPr>
              <w:t>September 16 and 17, 2013</w:t>
            </w:r>
            <w:r w:rsidRPr="004A7041">
              <w:rPr>
                <w:rFonts w:cs="Arial"/>
                <w:color w:val="000000"/>
                <w:sz w:val="16"/>
                <w:szCs w:val="16"/>
              </w:rPr>
              <w:t>), evaluation and short-listing of submitted entries (</w:t>
            </w:r>
            <w:r>
              <w:rPr>
                <w:rFonts w:cs="Arial" w:hint="eastAsia"/>
                <w:color w:val="000000"/>
                <w:sz w:val="16"/>
                <w:szCs w:val="16"/>
                <w:lang w:eastAsia="ko-KR"/>
              </w:rPr>
              <w:t>146 submissions</w:t>
            </w:r>
            <w:r w:rsidRPr="004A7041">
              <w:rPr>
                <w:rFonts w:cs="Arial"/>
                <w:color w:val="000000"/>
                <w:sz w:val="16"/>
                <w:szCs w:val="16"/>
              </w:rPr>
              <w:t>), presentations by shortlisted candidates and a</w:t>
            </w:r>
            <w:r>
              <w:rPr>
                <w:rFonts w:cs="Arial" w:hint="eastAsia"/>
                <w:color w:val="000000"/>
                <w:sz w:val="16"/>
                <w:szCs w:val="16"/>
                <w:lang w:eastAsia="ko-KR"/>
              </w:rPr>
              <w:t>n</w:t>
            </w:r>
            <w:r w:rsidRPr="004A7041">
              <w:rPr>
                <w:rFonts w:cs="Arial"/>
                <w:color w:val="000000"/>
                <w:sz w:val="16"/>
                <w:szCs w:val="16"/>
              </w:rPr>
              <w:t xml:space="preserve"> </w:t>
            </w:r>
            <w:r>
              <w:rPr>
                <w:rFonts w:cs="Arial" w:hint="eastAsia"/>
                <w:color w:val="000000"/>
                <w:sz w:val="16"/>
                <w:szCs w:val="16"/>
                <w:lang w:eastAsia="ko-KR"/>
              </w:rPr>
              <w:t>award ceremony</w:t>
            </w:r>
            <w:r w:rsidRPr="004A7041">
              <w:rPr>
                <w:rFonts w:cs="Arial"/>
                <w:color w:val="000000"/>
                <w:sz w:val="16"/>
                <w:szCs w:val="16"/>
              </w:rPr>
              <w:t xml:space="preserve"> (</w:t>
            </w:r>
            <w:r w:rsidRPr="00F40F25">
              <w:rPr>
                <w:rFonts w:cs="Arial"/>
                <w:color w:val="000000"/>
                <w:sz w:val="16"/>
                <w:szCs w:val="16"/>
                <w:lang w:eastAsia="ko-KR"/>
              </w:rPr>
              <w:t>November 7</w:t>
            </w:r>
            <w:r>
              <w:rPr>
                <w:rFonts w:cs="Arial" w:hint="eastAsia"/>
                <w:color w:val="000000"/>
                <w:sz w:val="16"/>
                <w:szCs w:val="16"/>
                <w:lang w:eastAsia="ko-KR"/>
              </w:rPr>
              <w:t xml:space="preserve"> to 9</w:t>
            </w:r>
            <w:r w:rsidRPr="00F40F25">
              <w:rPr>
                <w:rFonts w:cs="Arial"/>
                <w:color w:val="000000"/>
                <w:sz w:val="16"/>
                <w:szCs w:val="16"/>
                <w:lang w:eastAsia="ko-KR"/>
              </w:rPr>
              <w:t>, 2013</w:t>
            </w:r>
            <w:r w:rsidRPr="004A7041">
              <w:rPr>
                <w:rFonts w:cs="Arial"/>
                <w:color w:val="000000"/>
                <w:sz w:val="16"/>
                <w:szCs w:val="16"/>
              </w:rPr>
              <w:t>)</w:t>
            </w:r>
          </w:p>
        </w:tc>
      </w:tr>
      <w:tr w:rsidR="005703CF" w:rsidRPr="004A7041" w:rsidTr="002249F8">
        <w:tc>
          <w:tcPr>
            <w:tcW w:w="1873" w:type="dxa"/>
          </w:tcPr>
          <w:p w:rsidR="005703CF" w:rsidRPr="004A7041" w:rsidRDefault="005703CF" w:rsidP="002249F8">
            <w:pPr>
              <w:autoSpaceDE w:val="0"/>
              <w:autoSpaceDN w:val="0"/>
              <w:adjustRightInd w:val="0"/>
              <w:spacing w:before="120" w:after="120"/>
              <w:rPr>
                <w:rFonts w:cs="Arial"/>
                <w:color w:val="000000"/>
                <w:sz w:val="16"/>
                <w:szCs w:val="16"/>
              </w:rPr>
            </w:pPr>
            <w:r w:rsidRPr="004A7041">
              <w:rPr>
                <w:rFonts w:cs="Arial"/>
                <w:color w:val="000000"/>
                <w:sz w:val="16"/>
                <w:szCs w:val="16"/>
              </w:rPr>
              <w:t>Appropriate Technology  Competition</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 xml:space="preserve">May </w:t>
            </w:r>
            <w:r w:rsidRPr="004A7041">
              <w:rPr>
                <w:rFonts w:cs="Arial"/>
                <w:color w:val="000000"/>
                <w:sz w:val="16"/>
                <w:szCs w:val="16"/>
              </w:rPr>
              <w:t>to</w:t>
            </w:r>
            <w:r w:rsidRPr="004A7041">
              <w:rPr>
                <w:rFonts w:cs="Arial" w:hint="eastAsia"/>
                <w:color w:val="000000"/>
                <w:sz w:val="16"/>
                <w:szCs w:val="16"/>
                <w:lang w:eastAsia="ko-KR"/>
              </w:rPr>
              <w:t xml:space="preserve"> </w:t>
            </w:r>
            <w:r>
              <w:rPr>
                <w:rFonts w:cs="Arial"/>
                <w:color w:val="000000"/>
                <w:sz w:val="16"/>
                <w:szCs w:val="16"/>
                <w:lang w:eastAsia="ko-KR"/>
              </w:rPr>
              <w:t>December</w:t>
            </w:r>
            <w:r>
              <w:rPr>
                <w:rFonts w:cs="Arial" w:hint="eastAsia"/>
                <w:color w:val="000000"/>
                <w:sz w:val="16"/>
                <w:szCs w:val="16"/>
                <w:lang w:eastAsia="ko-KR"/>
              </w:rPr>
              <w:t xml:space="preserve"> </w:t>
            </w:r>
            <w:r>
              <w:rPr>
                <w:rFonts w:cs="Arial"/>
                <w:color w:val="000000"/>
                <w:sz w:val="16"/>
                <w:szCs w:val="16"/>
              </w:rPr>
              <w:t>2013</w:t>
            </w:r>
          </w:p>
        </w:tc>
        <w:tc>
          <w:tcPr>
            <w:tcW w:w="1985" w:type="dxa"/>
          </w:tcPr>
          <w:p w:rsidR="005703CF" w:rsidRPr="004A7041" w:rsidRDefault="005703CF" w:rsidP="002249F8">
            <w:pPr>
              <w:autoSpaceDE w:val="0"/>
              <w:autoSpaceDN w:val="0"/>
              <w:adjustRightInd w:val="0"/>
              <w:spacing w:before="120" w:after="120"/>
              <w:rPr>
                <w:rFonts w:cs="Arial"/>
                <w:color w:val="000000"/>
                <w:sz w:val="16"/>
                <w:szCs w:val="16"/>
              </w:rPr>
            </w:pPr>
            <w:r>
              <w:rPr>
                <w:rFonts w:cs="Arial" w:hint="eastAsia"/>
                <w:color w:val="000000"/>
                <w:sz w:val="16"/>
                <w:szCs w:val="16"/>
                <w:lang w:eastAsia="ko-KR"/>
              </w:rPr>
              <w:t>Zambia</w:t>
            </w:r>
            <w:r>
              <w:rPr>
                <w:rFonts w:cs="Arial"/>
                <w:color w:val="000000"/>
                <w:sz w:val="16"/>
                <w:szCs w:val="16"/>
                <w:lang w:eastAsia="ko-KR"/>
              </w:rPr>
              <w:t>/</w:t>
            </w:r>
            <w:r w:rsidRPr="004A7041">
              <w:rPr>
                <w:rFonts w:cs="Arial" w:hint="eastAsia"/>
                <w:color w:val="000000"/>
                <w:sz w:val="16"/>
                <w:szCs w:val="16"/>
                <w:lang w:eastAsia="ko-KR"/>
              </w:rPr>
              <w:t>60</w:t>
            </w:r>
            <w:r w:rsidRPr="004A7041">
              <w:rPr>
                <w:rFonts w:cs="Arial"/>
                <w:color w:val="000000"/>
                <w:sz w:val="16"/>
                <w:szCs w:val="16"/>
              </w:rPr>
              <w:t xml:space="preserve"> participants</w:t>
            </w:r>
          </w:p>
        </w:tc>
        <w:tc>
          <w:tcPr>
            <w:tcW w:w="4110" w:type="dxa"/>
          </w:tcPr>
          <w:p w:rsidR="005703CF" w:rsidRPr="004E51A7" w:rsidRDefault="005703CF" w:rsidP="00606EF6">
            <w:pPr>
              <w:autoSpaceDE w:val="0"/>
              <w:autoSpaceDN w:val="0"/>
              <w:adjustRightInd w:val="0"/>
              <w:spacing w:before="120" w:after="120"/>
              <w:rPr>
                <w:rFonts w:cs="Arial"/>
                <w:color w:val="000000"/>
                <w:sz w:val="16"/>
                <w:szCs w:val="16"/>
                <w:lang w:eastAsia="ko-KR"/>
              </w:rPr>
            </w:pPr>
            <w:r w:rsidRPr="004A7041">
              <w:rPr>
                <w:rFonts w:cs="Arial"/>
                <w:color w:val="000000"/>
                <w:sz w:val="16"/>
                <w:szCs w:val="16"/>
              </w:rPr>
              <w:t>The competition comprised an orientation workshop (</w:t>
            </w:r>
            <w:r w:rsidRPr="009C3503">
              <w:rPr>
                <w:rFonts w:cs="Arial"/>
                <w:color w:val="000000"/>
                <w:sz w:val="16"/>
                <w:szCs w:val="16"/>
                <w:lang w:eastAsia="ko-KR"/>
              </w:rPr>
              <w:t>May 23, 2013</w:t>
            </w:r>
            <w:r w:rsidRPr="004A7041">
              <w:rPr>
                <w:rFonts w:cs="Arial"/>
                <w:color w:val="000000"/>
                <w:sz w:val="16"/>
                <w:szCs w:val="16"/>
              </w:rPr>
              <w:t>), evaluation and short-listing of submitted entries (</w:t>
            </w:r>
            <w:r>
              <w:rPr>
                <w:rFonts w:cs="Arial" w:hint="eastAsia"/>
                <w:color w:val="000000"/>
                <w:sz w:val="16"/>
                <w:szCs w:val="16"/>
                <w:lang w:eastAsia="ko-KR"/>
              </w:rPr>
              <w:t>23 submissions</w:t>
            </w:r>
            <w:r w:rsidRPr="004A7041">
              <w:rPr>
                <w:rFonts w:cs="Arial"/>
                <w:color w:val="000000"/>
                <w:sz w:val="16"/>
                <w:szCs w:val="16"/>
              </w:rPr>
              <w:t>)</w:t>
            </w:r>
            <w:r>
              <w:rPr>
                <w:rFonts w:cs="Arial"/>
                <w:color w:val="000000"/>
                <w:sz w:val="16"/>
                <w:szCs w:val="16"/>
              </w:rPr>
              <w:t>. P</w:t>
            </w:r>
            <w:r w:rsidRPr="004A7041">
              <w:rPr>
                <w:rFonts w:cs="Arial"/>
                <w:color w:val="000000"/>
                <w:sz w:val="16"/>
                <w:szCs w:val="16"/>
              </w:rPr>
              <w:t>resenta</w:t>
            </w:r>
            <w:r>
              <w:rPr>
                <w:rFonts w:cs="Arial"/>
                <w:color w:val="000000"/>
                <w:sz w:val="16"/>
                <w:szCs w:val="16"/>
              </w:rPr>
              <w:t>tions by shortlisted candidates</w:t>
            </w:r>
            <w:r>
              <w:rPr>
                <w:rFonts w:cs="Arial" w:hint="eastAsia"/>
                <w:color w:val="000000"/>
                <w:sz w:val="16"/>
                <w:szCs w:val="16"/>
                <w:lang w:eastAsia="ko-KR"/>
              </w:rPr>
              <w:t xml:space="preserve">, an award ceremony </w:t>
            </w:r>
            <w:r w:rsidRPr="004A7041">
              <w:rPr>
                <w:rFonts w:cs="Arial"/>
                <w:color w:val="000000"/>
                <w:sz w:val="16"/>
                <w:szCs w:val="16"/>
              </w:rPr>
              <w:t xml:space="preserve">and a workshop on commercialization </w:t>
            </w:r>
            <w:r>
              <w:rPr>
                <w:rFonts w:cs="Arial"/>
                <w:color w:val="000000"/>
                <w:sz w:val="16"/>
                <w:szCs w:val="16"/>
              </w:rPr>
              <w:t xml:space="preserve">will be held from </w:t>
            </w:r>
            <w:r>
              <w:rPr>
                <w:rFonts w:cs="Arial"/>
                <w:color w:val="000000"/>
                <w:sz w:val="16"/>
                <w:szCs w:val="16"/>
                <w:lang w:eastAsia="ko-KR"/>
              </w:rPr>
              <w:t>February</w:t>
            </w:r>
            <w:r>
              <w:rPr>
                <w:rFonts w:cs="Arial" w:hint="eastAsia"/>
                <w:color w:val="000000"/>
                <w:sz w:val="16"/>
                <w:szCs w:val="16"/>
                <w:lang w:eastAsia="ko-KR"/>
              </w:rPr>
              <w:t xml:space="preserve"> 4</w:t>
            </w:r>
            <w:r w:rsidRPr="004A7041">
              <w:rPr>
                <w:rFonts w:cs="Arial"/>
                <w:color w:val="000000"/>
                <w:sz w:val="16"/>
                <w:szCs w:val="16"/>
              </w:rPr>
              <w:t xml:space="preserve"> </w:t>
            </w:r>
            <w:r>
              <w:rPr>
                <w:rFonts w:cs="Arial" w:hint="eastAsia"/>
                <w:color w:val="000000"/>
                <w:sz w:val="16"/>
                <w:szCs w:val="16"/>
                <w:lang w:eastAsia="ko-KR"/>
              </w:rPr>
              <w:t>to</w:t>
            </w:r>
            <w:r w:rsidRPr="004A7041">
              <w:rPr>
                <w:rFonts w:cs="Arial"/>
                <w:color w:val="000000"/>
                <w:sz w:val="16"/>
                <w:szCs w:val="16"/>
              </w:rPr>
              <w:t xml:space="preserve"> </w:t>
            </w:r>
            <w:r>
              <w:rPr>
                <w:rFonts w:cs="Arial" w:hint="eastAsia"/>
                <w:color w:val="000000"/>
                <w:sz w:val="16"/>
                <w:szCs w:val="16"/>
                <w:lang w:eastAsia="ko-KR"/>
              </w:rPr>
              <w:t>6</w:t>
            </w:r>
            <w:r w:rsidRPr="004A7041">
              <w:rPr>
                <w:rFonts w:cs="Arial"/>
                <w:color w:val="000000"/>
                <w:sz w:val="16"/>
                <w:szCs w:val="16"/>
              </w:rPr>
              <w:t xml:space="preserve">, </w:t>
            </w:r>
            <w:r>
              <w:rPr>
                <w:rFonts w:cs="Arial"/>
                <w:color w:val="000000"/>
                <w:sz w:val="16"/>
                <w:szCs w:val="16"/>
              </w:rPr>
              <w:t>201</w:t>
            </w:r>
            <w:r>
              <w:rPr>
                <w:rFonts w:cs="Arial" w:hint="eastAsia"/>
                <w:color w:val="000000"/>
                <w:sz w:val="16"/>
                <w:szCs w:val="16"/>
                <w:lang w:eastAsia="ko-KR"/>
              </w:rPr>
              <w:t>4</w:t>
            </w:r>
          </w:p>
        </w:tc>
      </w:tr>
      <w:tr w:rsidR="005703CF" w:rsidRPr="004A7041" w:rsidTr="002249F8">
        <w:tc>
          <w:tcPr>
            <w:tcW w:w="1873"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Sub-</w:t>
            </w:r>
            <w:r w:rsidRPr="008905AD">
              <w:rPr>
                <w:rFonts w:cs="Arial"/>
                <w:color w:val="000000"/>
                <w:sz w:val="16"/>
                <w:szCs w:val="16"/>
              </w:rPr>
              <w:t>Regional Seminar</w:t>
            </w:r>
            <w:r>
              <w:rPr>
                <w:rFonts w:cs="Arial" w:hint="eastAsia"/>
                <w:color w:val="000000"/>
                <w:sz w:val="16"/>
                <w:szCs w:val="16"/>
                <w:lang w:eastAsia="ko-KR"/>
              </w:rPr>
              <w:t xml:space="preserve"> </w:t>
            </w:r>
            <w:r w:rsidRPr="005E6905">
              <w:rPr>
                <w:rFonts w:cs="Arial"/>
                <w:color w:val="000000"/>
                <w:sz w:val="16"/>
                <w:szCs w:val="16"/>
                <w:lang w:eastAsia="ko-KR"/>
              </w:rPr>
              <w:t>on Public-Private Partnership in the Development and Commercialization of Appropriate Technologies</w:t>
            </w:r>
          </w:p>
        </w:tc>
        <w:tc>
          <w:tcPr>
            <w:tcW w:w="1134" w:type="dxa"/>
            <w:tcBorders>
              <w:bottom w:val="single" w:sz="4" w:space="0" w:color="000000"/>
            </w:tcBorders>
          </w:tcPr>
          <w:p w:rsidR="005703CF"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October</w:t>
            </w:r>
            <w:r w:rsidRPr="008905AD">
              <w:rPr>
                <w:rFonts w:cs="Arial"/>
                <w:color w:val="000000"/>
                <w:sz w:val="16"/>
                <w:szCs w:val="16"/>
                <w:lang w:eastAsia="ko-KR"/>
              </w:rPr>
              <w:t xml:space="preserve"> </w:t>
            </w:r>
            <w:r>
              <w:rPr>
                <w:rFonts w:cs="Arial" w:hint="eastAsia"/>
                <w:color w:val="000000"/>
                <w:sz w:val="16"/>
                <w:szCs w:val="16"/>
                <w:lang w:eastAsia="ko-KR"/>
              </w:rPr>
              <w:t>2</w:t>
            </w:r>
            <w:r w:rsidRPr="008905AD">
              <w:rPr>
                <w:rFonts w:cs="Arial"/>
                <w:color w:val="000000"/>
                <w:sz w:val="16"/>
                <w:szCs w:val="16"/>
                <w:lang w:eastAsia="ko-KR"/>
              </w:rPr>
              <w:t xml:space="preserve">1 and </w:t>
            </w:r>
            <w:r>
              <w:rPr>
                <w:rFonts w:cs="Arial" w:hint="eastAsia"/>
                <w:color w:val="000000"/>
                <w:sz w:val="16"/>
                <w:szCs w:val="16"/>
                <w:lang w:eastAsia="ko-KR"/>
              </w:rPr>
              <w:t>22</w:t>
            </w:r>
            <w:r w:rsidRPr="008905AD">
              <w:rPr>
                <w:rFonts w:cs="Arial"/>
                <w:color w:val="000000"/>
                <w:sz w:val="16"/>
                <w:szCs w:val="16"/>
                <w:lang w:eastAsia="ko-KR"/>
              </w:rPr>
              <w:t>, 2013</w:t>
            </w:r>
          </w:p>
        </w:tc>
        <w:tc>
          <w:tcPr>
            <w:tcW w:w="1985" w:type="dxa"/>
            <w:tcBorders>
              <w:bottom w:val="single" w:sz="4" w:space="0" w:color="000000"/>
            </w:tcBorders>
          </w:tcPr>
          <w:p w:rsidR="005703CF" w:rsidRDefault="005703CF" w:rsidP="002249F8">
            <w:pPr>
              <w:autoSpaceDE w:val="0"/>
              <w:autoSpaceDN w:val="0"/>
              <w:adjustRightInd w:val="0"/>
              <w:spacing w:before="120" w:after="120"/>
              <w:rPr>
                <w:rFonts w:cs="Arial"/>
                <w:color w:val="000000"/>
                <w:sz w:val="16"/>
                <w:szCs w:val="16"/>
                <w:lang w:eastAsia="ko-KR"/>
              </w:rPr>
            </w:pPr>
            <w:r w:rsidRPr="008905AD">
              <w:rPr>
                <w:rFonts w:cs="Arial"/>
                <w:color w:val="000000"/>
                <w:sz w:val="16"/>
                <w:szCs w:val="16"/>
                <w:lang w:eastAsia="ko-KR"/>
              </w:rPr>
              <w:t>Ethiopia</w:t>
            </w:r>
            <w:r>
              <w:rPr>
                <w:rFonts w:cs="Arial" w:hint="eastAsia"/>
                <w:color w:val="000000"/>
                <w:sz w:val="16"/>
                <w:szCs w:val="16"/>
                <w:lang w:eastAsia="ko-KR"/>
              </w:rPr>
              <w:t>/</w:t>
            </w:r>
            <w:r w:rsidRPr="00EC3837">
              <w:rPr>
                <w:rFonts w:cs="Arial"/>
                <w:color w:val="000000"/>
                <w:sz w:val="16"/>
                <w:szCs w:val="16"/>
                <w:lang w:eastAsia="ko-KR"/>
              </w:rPr>
              <w:t>50 participants</w:t>
            </w:r>
            <w:r w:rsidRPr="00EC3837">
              <w:rPr>
                <w:rFonts w:cs="Arial" w:hint="eastAsia"/>
                <w:color w:val="000000"/>
                <w:sz w:val="16"/>
                <w:szCs w:val="16"/>
                <w:lang w:eastAsia="ko-KR"/>
              </w:rPr>
              <w:t xml:space="preserve"> </w:t>
            </w:r>
            <w:r>
              <w:rPr>
                <w:rFonts w:cs="Arial" w:hint="eastAsia"/>
                <w:color w:val="000000"/>
                <w:sz w:val="16"/>
                <w:szCs w:val="16"/>
                <w:lang w:eastAsia="ko-KR"/>
              </w:rPr>
              <w:t>from Ethiopia, Ghana</w:t>
            </w:r>
            <w:r>
              <w:rPr>
                <w:rFonts w:cs="Arial"/>
                <w:color w:val="000000"/>
                <w:sz w:val="16"/>
                <w:szCs w:val="16"/>
                <w:lang w:eastAsia="ko-KR"/>
              </w:rPr>
              <w:t xml:space="preserve"> and</w:t>
            </w:r>
            <w:r>
              <w:rPr>
                <w:rFonts w:cs="Arial" w:hint="eastAsia"/>
                <w:color w:val="000000"/>
                <w:sz w:val="16"/>
                <w:szCs w:val="16"/>
                <w:lang w:eastAsia="ko-KR"/>
              </w:rPr>
              <w:t xml:space="preserve"> Zambia</w:t>
            </w:r>
          </w:p>
        </w:tc>
        <w:tc>
          <w:tcPr>
            <w:tcW w:w="4110" w:type="dxa"/>
            <w:tcBorders>
              <w:bottom w:val="single" w:sz="4" w:space="0" w:color="000000"/>
            </w:tcBorders>
          </w:tcPr>
          <w:p w:rsidR="005703CF" w:rsidRPr="004A7041" w:rsidRDefault="005703CF" w:rsidP="00606EF6">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 xml:space="preserve">The Seminar participants </w:t>
            </w:r>
            <w:r w:rsidRPr="008905AD">
              <w:rPr>
                <w:rFonts w:cs="Arial"/>
                <w:color w:val="000000"/>
                <w:sz w:val="16"/>
                <w:szCs w:val="16"/>
                <w:lang w:eastAsia="ko-KR"/>
              </w:rPr>
              <w:t>(i) exchange</w:t>
            </w:r>
            <w:r>
              <w:rPr>
                <w:rFonts w:cs="Arial" w:hint="eastAsia"/>
                <w:color w:val="000000"/>
                <w:sz w:val="16"/>
                <w:szCs w:val="16"/>
                <w:lang w:eastAsia="ko-KR"/>
              </w:rPr>
              <w:t>d</w:t>
            </w:r>
            <w:r w:rsidRPr="008905AD">
              <w:rPr>
                <w:rFonts w:cs="Arial"/>
                <w:color w:val="000000"/>
                <w:sz w:val="16"/>
                <w:szCs w:val="16"/>
                <w:lang w:eastAsia="ko-KR"/>
              </w:rPr>
              <w:t xml:space="preserve"> views on issues related to development of ATs; and (ii) identif</w:t>
            </w:r>
            <w:r>
              <w:rPr>
                <w:rFonts w:cs="Arial" w:hint="eastAsia"/>
                <w:color w:val="000000"/>
                <w:sz w:val="16"/>
                <w:szCs w:val="16"/>
                <w:lang w:eastAsia="ko-KR"/>
              </w:rPr>
              <w:t>ied</w:t>
            </w:r>
            <w:r w:rsidRPr="008905AD">
              <w:rPr>
                <w:rFonts w:cs="Arial"/>
                <w:color w:val="000000"/>
                <w:sz w:val="16"/>
                <w:szCs w:val="16"/>
                <w:lang w:eastAsia="ko-KR"/>
              </w:rPr>
              <w:t xml:space="preserve"> ways to overcome challenges in commercialization of ATs</w:t>
            </w:r>
            <w:r>
              <w:rPr>
                <w:rFonts w:cs="Arial" w:hint="eastAsia"/>
                <w:color w:val="000000"/>
                <w:sz w:val="16"/>
                <w:szCs w:val="16"/>
                <w:lang w:eastAsia="ko-KR"/>
              </w:rPr>
              <w:t>. The Seminar</w:t>
            </w:r>
            <w:r w:rsidRPr="008905AD">
              <w:rPr>
                <w:rFonts w:cs="Arial"/>
                <w:color w:val="000000"/>
                <w:sz w:val="16"/>
                <w:szCs w:val="16"/>
                <w:lang w:eastAsia="ko-KR"/>
              </w:rPr>
              <w:t xml:space="preserve"> brought together Government; private sector representatives; inventors; and IP Attorneys and other officials</w:t>
            </w:r>
            <w:r>
              <w:rPr>
                <w:rFonts w:cs="Arial"/>
                <w:color w:val="000000"/>
                <w:sz w:val="16"/>
                <w:szCs w:val="16"/>
                <w:lang w:eastAsia="ko-KR"/>
              </w:rPr>
              <w:t>.</w:t>
            </w:r>
          </w:p>
        </w:tc>
      </w:tr>
      <w:tr w:rsidR="005703CF" w:rsidRPr="004A7041" w:rsidTr="002249F8">
        <w:tc>
          <w:tcPr>
            <w:tcW w:w="9102" w:type="dxa"/>
            <w:gridSpan w:val="4"/>
            <w:tcBorders>
              <w:top w:val="single" w:sz="4" w:space="0" w:color="000000"/>
              <w:bottom w:val="single" w:sz="4" w:space="0" w:color="000000"/>
            </w:tcBorders>
            <w:shd w:val="clear" w:color="auto" w:fill="CCFFFF"/>
            <w:vAlign w:val="center"/>
          </w:tcPr>
          <w:p w:rsidR="005703CF" w:rsidRPr="004A7041" w:rsidRDefault="005703CF" w:rsidP="002249F8">
            <w:pPr>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4A7041">
              <w:rPr>
                <w:rFonts w:cs="Arial"/>
                <w:bCs/>
                <w:color w:val="000000"/>
                <w:sz w:val="16"/>
                <w:szCs w:val="16"/>
              </w:rPr>
              <w:t>Tailored and balanced IP legislative, regulatory and policy frameworks</w:t>
            </w:r>
          </w:p>
        </w:tc>
      </w:tr>
      <w:tr w:rsidR="005703CF" w:rsidRPr="004A7041" w:rsidTr="002249F8">
        <w:tc>
          <w:tcPr>
            <w:tcW w:w="1873" w:type="dxa"/>
            <w:tcBorders>
              <w:top w:val="single" w:sz="4" w:space="0" w:color="000000"/>
            </w:tcBorders>
            <w:vAlign w:val="center"/>
          </w:tcPr>
          <w:p w:rsidR="005703CF" w:rsidRPr="004A7041" w:rsidRDefault="005703CF" w:rsidP="002249F8">
            <w:pPr>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4A7041" w:rsidRDefault="005703CF" w:rsidP="002249F8">
            <w:pPr>
              <w:rPr>
                <w:rFonts w:cs="Arial"/>
                <w:sz w:val="16"/>
                <w:szCs w:val="16"/>
              </w:rPr>
            </w:pPr>
            <w:r w:rsidRPr="004A704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4A7041" w:rsidRDefault="005703CF" w:rsidP="002249F8">
            <w:pPr>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5703CF" w:rsidRPr="004A7041" w:rsidRDefault="005703CF" w:rsidP="002249F8">
            <w:pPr>
              <w:rPr>
                <w:rFonts w:cs="Arial"/>
                <w:sz w:val="16"/>
                <w:szCs w:val="16"/>
              </w:rPr>
            </w:pPr>
            <w:r w:rsidRPr="004A7041">
              <w:rPr>
                <w:rFonts w:cs="Arial"/>
                <w:b/>
                <w:bCs/>
                <w:sz w:val="16"/>
                <w:szCs w:val="16"/>
              </w:rPr>
              <w:t>Purpose(s)/Description(s)</w:t>
            </w:r>
          </w:p>
        </w:tc>
      </w:tr>
      <w:tr w:rsidR="005703CF" w:rsidRPr="004A7041" w:rsidTr="002249F8">
        <w:tc>
          <w:tcPr>
            <w:tcW w:w="1873" w:type="dxa"/>
          </w:tcPr>
          <w:p w:rsidR="005703CF" w:rsidRDefault="005703CF" w:rsidP="002249F8">
            <w:pPr>
              <w:spacing w:before="120" w:after="120"/>
              <w:rPr>
                <w:rFonts w:cs="Arial"/>
                <w:color w:val="000000"/>
                <w:sz w:val="16"/>
                <w:szCs w:val="16"/>
                <w:lang w:eastAsia="ko-KR"/>
              </w:rPr>
            </w:pPr>
            <w:r w:rsidRPr="008905AD">
              <w:rPr>
                <w:rFonts w:cs="Arial"/>
                <w:color w:val="000000"/>
                <w:sz w:val="16"/>
                <w:szCs w:val="16"/>
                <w:lang w:eastAsia="ko-KR"/>
              </w:rPr>
              <w:t>Expert Mission</w:t>
            </w:r>
          </w:p>
        </w:tc>
        <w:tc>
          <w:tcPr>
            <w:tcW w:w="1134" w:type="dxa"/>
            <w:shd w:val="clear" w:color="auto" w:fill="auto"/>
            <w:tcMar>
              <w:top w:w="110" w:type="dxa"/>
            </w:tcMar>
          </w:tcPr>
          <w:p w:rsidR="005703CF" w:rsidRPr="00CA614D" w:rsidRDefault="005703CF" w:rsidP="002249F8">
            <w:pPr>
              <w:spacing w:before="120" w:after="120"/>
              <w:rPr>
                <w:rFonts w:cs="Arial"/>
                <w:color w:val="000000"/>
                <w:sz w:val="16"/>
                <w:szCs w:val="16"/>
              </w:rPr>
            </w:pPr>
            <w:r>
              <w:rPr>
                <w:rFonts w:cs="Arial" w:hint="eastAsia"/>
                <w:color w:val="000000"/>
                <w:sz w:val="16"/>
                <w:szCs w:val="16"/>
                <w:lang w:eastAsia="ko-KR"/>
              </w:rPr>
              <w:t xml:space="preserve">October </w:t>
            </w:r>
            <w:r w:rsidRPr="004A7041">
              <w:rPr>
                <w:rFonts w:cs="Arial" w:hint="eastAsia"/>
                <w:color w:val="000000"/>
                <w:sz w:val="16"/>
                <w:szCs w:val="16"/>
                <w:lang w:eastAsia="ko-KR"/>
              </w:rPr>
              <w:t>1</w:t>
            </w:r>
            <w:r>
              <w:rPr>
                <w:rFonts w:cs="Arial" w:hint="eastAsia"/>
                <w:color w:val="000000"/>
                <w:sz w:val="16"/>
                <w:szCs w:val="16"/>
                <w:lang w:eastAsia="ko-KR"/>
              </w:rPr>
              <w:t xml:space="preserve"> to 3</w:t>
            </w:r>
            <w:r w:rsidRPr="004A7041">
              <w:rPr>
                <w:rFonts w:cs="Arial"/>
                <w:color w:val="000000"/>
                <w:sz w:val="16"/>
                <w:szCs w:val="16"/>
              </w:rPr>
              <w:t xml:space="preserve">, </w:t>
            </w:r>
            <w:r>
              <w:rPr>
                <w:rFonts w:cs="Arial"/>
                <w:color w:val="000000"/>
                <w:sz w:val="16"/>
                <w:szCs w:val="16"/>
              </w:rPr>
              <w:t>2013</w:t>
            </w:r>
          </w:p>
        </w:tc>
        <w:tc>
          <w:tcPr>
            <w:tcW w:w="1985" w:type="dxa"/>
            <w:shd w:val="clear" w:color="auto" w:fill="auto"/>
            <w:tcMar>
              <w:top w:w="110" w:type="dxa"/>
            </w:tcMar>
          </w:tcPr>
          <w:p w:rsidR="005703CF" w:rsidRPr="00CA614D" w:rsidRDefault="005703CF" w:rsidP="002249F8">
            <w:pPr>
              <w:autoSpaceDE w:val="0"/>
              <w:autoSpaceDN w:val="0"/>
              <w:adjustRightInd w:val="0"/>
              <w:spacing w:before="120" w:after="120"/>
              <w:rPr>
                <w:rFonts w:cs="Arial"/>
                <w:b/>
                <w:bCs/>
                <w:sz w:val="16"/>
                <w:szCs w:val="16"/>
              </w:rPr>
            </w:pPr>
            <w:r>
              <w:rPr>
                <w:rFonts w:cs="Arial" w:hint="eastAsia"/>
                <w:color w:val="000000"/>
                <w:sz w:val="16"/>
                <w:szCs w:val="16"/>
                <w:lang w:eastAsia="ko-KR"/>
              </w:rPr>
              <w:t>Myanmar</w:t>
            </w:r>
          </w:p>
        </w:tc>
        <w:tc>
          <w:tcPr>
            <w:tcW w:w="4110" w:type="dxa"/>
            <w:shd w:val="clear" w:color="auto" w:fill="FFFFFF"/>
            <w:tcMar>
              <w:top w:w="110" w:type="dxa"/>
            </w:tcMar>
          </w:tcPr>
          <w:p w:rsidR="005703CF" w:rsidRPr="00CA614D" w:rsidRDefault="005703CF" w:rsidP="002249F8">
            <w:pPr>
              <w:spacing w:before="120" w:after="120"/>
              <w:rPr>
                <w:rFonts w:cs="Arial"/>
                <w:color w:val="000000"/>
                <w:sz w:val="16"/>
                <w:szCs w:val="16"/>
              </w:rPr>
            </w:pPr>
            <w:r>
              <w:rPr>
                <w:rFonts w:cs="Arial" w:hint="eastAsia"/>
                <w:color w:val="000000"/>
                <w:sz w:val="16"/>
                <w:szCs w:val="16"/>
                <w:lang w:eastAsia="ko-KR"/>
              </w:rPr>
              <w:t xml:space="preserve">To consult on </w:t>
            </w:r>
            <w:r w:rsidRPr="009E2306">
              <w:rPr>
                <w:rFonts w:cs="Arial"/>
                <w:color w:val="000000"/>
                <w:sz w:val="16"/>
                <w:szCs w:val="16"/>
                <w:lang w:eastAsia="ko-KR"/>
              </w:rPr>
              <w:t>the enforcement-related provisions of the draft Patent, Trademark, Industrial Design and Copyright Laws</w:t>
            </w:r>
          </w:p>
        </w:tc>
      </w:tr>
      <w:tr w:rsidR="005703CF" w:rsidRPr="004A7041" w:rsidTr="002249F8">
        <w:tc>
          <w:tcPr>
            <w:tcW w:w="1873" w:type="dxa"/>
            <w:tcBorders>
              <w:bottom w:val="single" w:sz="4" w:space="0" w:color="000000"/>
            </w:tcBorders>
          </w:tcPr>
          <w:p w:rsidR="005703CF" w:rsidRPr="00CA614D" w:rsidRDefault="005703CF" w:rsidP="002249F8">
            <w:pPr>
              <w:spacing w:before="120" w:after="120"/>
              <w:rPr>
                <w:rFonts w:cs="Arial"/>
                <w:b/>
                <w:bCs/>
                <w:sz w:val="16"/>
                <w:szCs w:val="16"/>
                <w:lang w:eastAsia="ko-KR"/>
              </w:rPr>
            </w:pPr>
            <w:r>
              <w:rPr>
                <w:rFonts w:cs="Arial" w:hint="eastAsia"/>
                <w:color w:val="000000"/>
                <w:sz w:val="16"/>
                <w:szCs w:val="16"/>
                <w:lang w:eastAsia="ko-KR"/>
              </w:rPr>
              <w:t xml:space="preserve">Publication of a </w:t>
            </w:r>
            <w:r w:rsidRPr="00CA614D">
              <w:rPr>
                <w:rFonts w:cs="Arial"/>
                <w:color w:val="000000"/>
                <w:sz w:val="16"/>
                <w:szCs w:val="16"/>
              </w:rPr>
              <w:t xml:space="preserve">Study on the accession to the Madrid </w:t>
            </w:r>
            <w:r>
              <w:rPr>
                <w:rFonts w:cs="Arial" w:hint="eastAsia"/>
                <w:color w:val="000000"/>
                <w:sz w:val="16"/>
                <w:szCs w:val="16"/>
                <w:lang w:eastAsia="ko-KR"/>
              </w:rPr>
              <w:t>S</w:t>
            </w:r>
            <w:r w:rsidRPr="00CA614D">
              <w:rPr>
                <w:rFonts w:cs="Arial"/>
                <w:color w:val="000000"/>
                <w:sz w:val="16"/>
                <w:szCs w:val="16"/>
              </w:rPr>
              <w:t xml:space="preserve">ystem and its use in </w:t>
            </w:r>
            <w:r>
              <w:rPr>
                <w:rFonts w:cs="Arial" w:hint="eastAsia"/>
                <w:color w:val="000000"/>
                <w:sz w:val="16"/>
                <w:szCs w:val="16"/>
                <w:lang w:eastAsia="ko-KR"/>
              </w:rPr>
              <w:t>selected</w:t>
            </w:r>
            <w:r w:rsidRPr="00CA614D">
              <w:rPr>
                <w:rFonts w:cs="Arial"/>
                <w:color w:val="000000"/>
                <w:sz w:val="16"/>
                <w:szCs w:val="16"/>
              </w:rPr>
              <w:t xml:space="preserve"> countries</w:t>
            </w:r>
          </w:p>
        </w:tc>
        <w:tc>
          <w:tcPr>
            <w:tcW w:w="1134" w:type="dxa"/>
            <w:tcBorders>
              <w:bottom w:val="single" w:sz="4" w:space="0" w:color="000000"/>
            </w:tcBorders>
            <w:shd w:val="clear" w:color="auto" w:fill="auto"/>
            <w:tcMar>
              <w:top w:w="110" w:type="dxa"/>
            </w:tcMar>
          </w:tcPr>
          <w:p w:rsidR="005703CF" w:rsidRPr="00CA614D" w:rsidRDefault="005703CF" w:rsidP="002249F8">
            <w:pPr>
              <w:spacing w:before="120" w:after="120"/>
              <w:rPr>
                <w:rFonts w:cs="Arial"/>
                <w:b/>
                <w:bCs/>
                <w:sz w:val="16"/>
                <w:szCs w:val="16"/>
              </w:rPr>
            </w:pPr>
            <w:r w:rsidRPr="00CA614D">
              <w:rPr>
                <w:rFonts w:cs="Arial"/>
                <w:color w:val="000000"/>
                <w:sz w:val="16"/>
                <w:szCs w:val="16"/>
              </w:rPr>
              <w:t xml:space="preserve">April </w:t>
            </w:r>
            <w:r>
              <w:rPr>
                <w:rFonts w:cs="Arial"/>
                <w:color w:val="000000"/>
                <w:sz w:val="16"/>
                <w:szCs w:val="16"/>
              </w:rPr>
              <w:t>2013</w:t>
            </w:r>
          </w:p>
        </w:tc>
        <w:tc>
          <w:tcPr>
            <w:tcW w:w="1985" w:type="dxa"/>
            <w:tcBorders>
              <w:bottom w:val="single" w:sz="4" w:space="0" w:color="000000"/>
            </w:tcBorders>
            <w:shd w:val="clear" w:color="auto" w:fill="auto"/>
            <w:tcMar>
              <w:top w:w="110" w:type="dxa"/>
            </w:tcMar>
          </w:tcPr>
          <w:p w:rsidR="005703CF" w:rsidRPr="003C18E2" w:rsidRDefault="005703CF" w:rsidP="002249F8">
            <w:pPr>
              <w:spacing w:before="120" w:after="120"/>
              <w:rPr>
                <w:rFonts w:cs="Arial"/>
                <w:bCs/>
                <w:spacing w:val="-4"/>
                <w:sz w:val="16"/>
                <w:szCs w:val="16"/>
                <w:lang w:eastAsia="ko-KR"/>
              </w:rPr>
            </w:pPr>
            <w:r w:rsidRPr="003C18E2">
              <w:rPr>
                <w:rFonts w:cs="Arial" w:hint="eastAsia"/>
                <w:bCs/>
                <w:spacing w:val="-4"/>
                <w:sz w:val="16"/>
                <w:szCs w:val="16"/>
                <w:lang w:eastAsia="ko-KR"/>
              </w:rPr>
              <w:t>All WIPO Member States</w:t>
            </w:r>
          </w:p>
        </w:tc>
        <w:tc>
          <w:tcPr>
            <w:tcW w:w="4110" w:type="dxa"/>
            <w:tcBorders>
              <w:bottom w:val="single" w:sz="4" w:space="0" w:color="000000"/>
            </w:tcBorders>
            <w:shd w:val="clear" w:color="auto" w:fill="FFFFFF"/>
            <w:tcMar>
              <w:top w:w="110" w:type="dxa"/>
            </w:tcMar>
          </w:tcPr>
          <w:p w:rsidR="005703CF" w:rsidRPr="00CA614D" w:rsidRDefault="005703CF" w:rsidP="002249F8">
            <w:pPr>
              <w:spacing w:before="120" w:after="120"/>
              <w:rPr>
                <w:rFonts w:cs="Arial"/>
                <w:b/>
                <w:bCs/>
                <w:sz w:val="16"/>
                <w:szCs w:val="16"/>
                <w:lang w:eastAsia="ko-KR"/>
              </w:rPr>
            </w:pPr>
            <w:r w:rsidRPr="00CA614D">
              <w:rPr>
                <w:rFonts w:cs="Arial"/>
                <w:color w:val="000000"/>
                <w:sz w:val="16"/>
                <w:szCs w:val="16"/>
              </w:rPr>
              <w:t xml:space="preserve">The study addresses </w:t>
            </w:r>
            <w:r>
              <w:rPr>
                <w:rFonts w:cs="Arial" w:hint="eastAsia"/>
                <w:color w:val="000000"/>
                <w:sz w:val="16"/>
                <w:szCs w:val="16"/>
                <w:lang w:eastAsia="ko-KR"/>
              </w:rPr>
              <w:t>issues</w:t>
            </w:r>
            <w:r w:rsidRPr="00CA614D">
              <w:rPr>
                <w:rFonts w:cs="Arial"/>
                <w:color w:val="000000"/>
                <w:sz w:val="16"/>
                <w:szCs w:val="16"/>
              </w:rPr>
              <w:t xml:space="preserve"> involved in the accession to the Madrid </w:t>
            </w:r>
            <w:r>
              <w:rPr>
                <w:rFonts w:cs="Arial" w:hint="eastAsia"/>
                <w:color w:val="000000"/>
                <w:sz w:val="16"/>
                <w:szCs w:val="16"/>
                <w:lang w:eastAsia="ko-KR"/>
              </w:rPr>
              <w:t>S</w:t>
            </w:r>
            <w:r w:rsidRPr="00CA614D">
              <w:rPr>
                <w:rFonts w:cs="Arial"/>
                <w:color w:val="000000"/>
                <w:sz w:val="16"/>
                <w:szCs w:val="16"/>
              </w:rPr>
              <w:t>ystem</w:t>
            </w:r>
            <w:r>
              <w:rPr>
                <w:rFonts w:cs="Arial"/>
                <w:color w:val="000000"/>
                <w:sz w:val="16"/>
                <w:szCs w:val="16"/>
              </w:rPr>
              <w:t>,</w:t>
            </w:r>
            <w:r w:rsidRPr="00CA614D">
              <w:rPr>
                <w:rFonts w:cs="Arial"/>
                <w:color w:val="000000"/>
                <w:sz w:val="16"/>
                <w:szCs w:val="16"/>
              </w:rPr>
              <w:t xml:space="preserve"> and its use in five countries (Mongolia</w:t>
            </w:r>
            <w:r>
              <w:rPr>
                <w:rFonts w:cs="Arial"/>
                <w:color w:val="000000"/>
                <w:sz w:val="16"/>
                <w:szCs w:val="16"/>
              </w:rPr>
              <w:t>,</w:t>
            </w:r>
            <w:r w:rsidRPr="00CA614D">
              <w:rPr>
                <w:rFonts w:cs="Arial"/>
                <w:color w:val="000000"/>
                <w:sz w:val="16"/>
                <w:szCs w:val="16"/>
              </w:rPr>
              <w:t xml:space="preserve"> Republic of Korea, Singapore, Turkey</w:t>
            </w:r>
            <w:r>
              <w:rPr>
                <w:rFonts w:cs="Arial"/>
                <w:color w:val="000000"/>
                <w:sz w:val="16"/>
                <w:szCs w:val="16"/>
              </w:rPr>
              <w:t>,</w:t>
            </w:r>
            <w:r w:rsidRPr="00CA614D">
              <w:rPr>
                <w:rFonts w:cs="Arial"/>
                <w:color w:val="000000"/>
                <w:sz w:val="16"/>
                <w:szCs w:val="16"/>
              </w:rPr>
              <w:t xml:space="preserve"> </w:t>
            </w:r>
            <w:r>
              <w:rPr>
                <w:rFonts w:cs="Arial"/>
                <w:color w:val="000000"/>
                <w:sz w:val="16"/>
                <w:szCs w:val="16"/>
              </w:rPr>
              <w:t xml:space="preserve">and </w:t>
            </w:r>
            <w:r w:rsidRPr="00CA614D">
              <w:rPr>
                <w:rFonts w:cs="Arial"/>
                <w:color w:val="000000"/>
                <w:sz w:val="16"/>
                <w:szCs w:val="16"/>
              </w:rPr>
              <w:t xml:space="preserve">Viet Nam). </w:t>
            </w:r>
          </w:p>
        </w:tc>
      </w:tr>
      <w:tr w:rsidR="005703CF" w:rsidRPr="004A7041" w:rsidTr="002249F8">
        <w:tc>
          <w:tcPr>
            <w:tcW w:w="9102" w:type="dxa"/>
            <w:gridSpan w:val="4"/>
            <w:tcBorders>
              <w:top w:val="single" w:sz="4" w:space="0" w:color="000000"/>
              <w:bottom w:val="single" w:sz="4" w:space="0" w:color="000000"/>
            </w:tcBorders>
            <w:shd w:val="clear" w:color="auto" w:fill="CCFFFF"/>
            <w:vAlign w:val="center"/>
          </w:tcPr>
          <w:p w:rsidR="005703CF" w:rsidRPr="004A7041" w:rsidRDefault="005703CF" w:rsidP="002249F8">
            <w:pPr>
              <w:keepNext/>
              <w:tabs>
                <w:tab w:val="left" w:pos="1740"/>
              </w:tabs>
              <w:spacing w:before="120" w:after="120"/>
              <w:ind w:left="1740" w:hanging="1740"/>
              <w:rPr>
                <w:rFonts w:cs="Arial"/>
                <w:b/>
                <w:bCs/>
                <w:sz w:val="16"/>
                <w:szCs w:val="16"/>
              </w:rPr>
            </w:pPr>
            <w:r w:rsidRPr="004A7041">
              <w:rPr>
                <w:rFonts w:cs="Arial"/>
                <w:b/>
                <w:bCs/>
                <w:color w:val="000000"/>
                <w:sz w:val="16"/>
                <w:szCs w:val="16"/>
              </w:rPr>
              <w:t>RESULT</w:t>
            </w:r>
            <w:r w:rsidRPr="004A7041">
              <w:rPr>
                <w:rFonts w:cs="Arial"/>
                <w:b/>
                <w:bCs/>
                <w:sz w:val="16"/>
                <w:szCs w:val="16"/>
              </w:rPr>
              <w:t>:</w:t>
            </w:r>
            <w:r w:rsidRPr="004A7041">
              <w:rPr>
                <w:rFonts w:cs="Arial"/>
                <w:b/>
                <w:bCs/>
                <w:sz w:val="16"/>
                <w:szCs w:val="16"/>
              </w:rPr>
              <w:tab/>
            </w:r>
            <w:r w:rsidRPr="004A7041">
              <w:rPr>
                <w:rFonts w:cs="Arial"/>
                <w:bCs/>
                <w:color w:val="000000"/>
                <w:sz w:val="16"/>
                <w:szCs w:val="16"/>
              </w:rPr>
              <w:t>Clearly defined and coherent national innovation and intellectual property (IP) policies, strategies and development plans consistent with national development goals and objectives</w:t>
            </w:r>
          </w:p>
        </w:tc>
      </w:tr>
      <w:tr w:rsidR="005703CF" w:rsidRPr="004A7041" w:rsidTr="002249F8">
        <w:tc>
          <w:tcPr>
            <w:tcW w:w="1873" w:type="dxa"/>
            <w:tcBorders>
              <w:top w:val="single" w:sz="4" w:space="0" w:color="000000"/>
            </w:tcBorders>
            <w:vAlign w:val="center"/>
          </w:tcPr>
          <w:p w:rsidR="005703CF" w:rsidRPr="004A7041" w:rsidRDefault="005703CF" w:rsidP="002249F8">
            <w:pPr>
              <w:keepNext/>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4A7041" w:rsidRDefault="005703CF" w:rsidP="002249F8">
            <w:pPr>
              <w:keepNext/>
              <w:rPr>
                <w:rFonts w:cs="Arial"/>
                <w:sz w:val="16"/>
                <w:szCs w:val="16"/>
              </w:rPr>
            </w:pPr>
            <w:r w:rsidRPr="004A704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4A7041" w:rsidRDefault="005703CF" w:rsidP="002249F8">
            <w:pPr>
              <w:keepNext/>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5703CF" w:rsidRPr="004A7041" w:rsidRDefault="005703CF" w:rsidP="002249F8">
            <w:pPr>
              <w:keepNext/>
              <w:rPr>
                <w:rFonts w:cs="Arial"/>
                <w:sz w:val="16"/>
                <w:szCs w:val="16"/>
              </w:rPr>
            </w:pPr>
            <w:r w:rsidRPr="004A7041">
              <w:rPr>
                <w:rFonts w:cs="Arial"/>
                <w:b/>
                <w:bCs/>
                <w:sz w:val="16"/>
                <w:szCs w:val="16"/>
              </w:rPr>
              <w:t>Purpose(s)/Description(s)</w:t>
            </w:r>
          </w:p>
        </w:tc>
      </w:tr>
      <w:tr w:rsidR="005703CF" w:rsidRPr="004A7041" w:rsidTr="002249F8">
        <w:tc>
          <w:tcPr>
            <w:tcW w:w="1873"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Study Visit</w:t>
            </w:r>
          </w:p>
        </w:tc>
        <w:tc>
          <w:tcPr>
            <w:tcW w:w="1134"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rPr>
            </w:pPr>
            <w:r w:rsidRPr="005B7EA3">
              <w:rPr>
                <w:rFonts w:cs="Arial"/>
                <w:color w:val="000000"/>
                <w:sz w:val="16"/>
                <w:szCs w:val="16"/>
                <w:lang w:eastAsia="ko-KR"/>
              </w:rPr>
              <w:t>August 26 to 29, 2013</w:t>
            </w:r>
          </w:p>
        </w:tc>
        <w:tc>
          <w:tcPr>
            <w:tcW w:w="1985"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lang w:eastAsia="ko-KR"/>
              </w:rPr>
            </w:pPr>
            <w:r w:rsidRPr="005B7EA3">
              <w:rPr>
                <w:rFonts w:cs="Arial"/>
                <w:color w:val="000000"/>
                <w:sz w:val="16"/>
                <w:szCs w:val="16"/>
                <w:lang w:eastAsia="ko-KR"/>
              </w:rPr>
              <w:t>Republic of Korea</w:t>
            </w:r>
            <w:r>
              <w:rPr>
                <w:rFonts w:cs="Arial" w:hint="eastAsia"/>
                <w:color w:val="000000"/>
                <w:sz w:val="16"/>
                <w:szCs w:val="16"/>
                <w:lang w:eastAsia="ko-KR"/>
              </w:rPr>
              <w:t>/ Myanmar</w:t>
            </w:r>
          </w:p>
        </w:tc>
        <w:tc>
          <w:tcPr>
            <w:tcW w:w="4110" w:type="dxa"/>
            <w:tcBorders>
              <w:bottom w:val="single" w:sz="4" w:space="0" w:color="000000"/>
            </w:tcBorders>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T</w:t>
            </w:r>
            <w:r w:rsidRPr="005B7EA3">
              <w:rPr>
                <w:rFonts w:cs="Arial"/>
                <w:color w:val="000000"/>
                <w:sz w:val="16"/>
                <w:szCs w:val="16"/>
                <w:lang w:eastAsia="ko-KR"/>
              </w:rPr>
              <w:t>o learn from the experience of Korea in providing Intellectual Property (IP) advisory and information services</w:t>
            </w:r>
            <w:r>
              <w:rPr>
                <w:rFonts w:cs="Arial" w:hint="eastAsia"/>
                <w:color w:val="000000"/>
                <w:sz w:val="16"/>
                <w:szCs w:val="16"/>
                <w:lang w:eastAsia="ko-KR"/>
              </w:rPr>
              <w:t>,</w:t>
            </w:r>
            <w:r w:rsidRPr="005B7EA3">
              <w:rPr>
                <w:rFonts w:cs="Arial"/>
                <w:color w:val="000000"/>
                <w:sz w:val="16"/>
                <w:szCs w:val="16"/>
                <w:lang w:eastAsia="ko-KR"/>
              </w:rPr>
              <w:t xml:space="preserve"> and in promoting effective use of IP by the business community</w:t>
            </w:r>
            <w:r>
              <w:rPr>
                <w:rFonts w:cs="Arial"/>
                <w:color w:val="000000"/>
                <w:sz w:val="16"/>
                <w:szCs w:val="16"/>
                <w:lang w:eastAsia="ko-KR"/>
              </w:rPr>
              <w:t xml:space="preserve">.  </w:t>
            </w:r>
            <w:r w:rsidRPr="005B7EA3">
              <w:rPr>
                <w:rFonts w:cs="Arial"/>
                <w:color w:val="000000"/>
                <w:sz w:val="16"/>
                <w:szCs w:val="16"/>
                <w:lang w:eastAsia="ko-KR"/>
              </w:rPr>
              <w:t xml:space="preserve">Myanmar </w:t>
            </w:r>
            <w:r>
              <w:rPr>
                <w:rFonts w:cs="Arial" w:hint="eastAsia"/>
                <w:color w:val="000000"/>
                <w:sz w:val="16"/>
                <w:szCs w:val="16"/>
                <w:lang w:eastAsia="ko-KR"/>
              </w:rPr>
              <w:t>d</w:t>
            </w:r>
            <w:r w:rsidRPr="005B7EA3">
              <w:rPr>
                <w:rFonts w:cs="Arial"/>
                <w:color w:val="000000"/>
                <w:sz w:val="16"/>
                <w:szCs w:val="16"/>
                <w:lang w:eastAsia="ko-KR"/>
              </w:rPr>
              <w:t>elegation</w:t>
            </w:r>
            <w:r>
              <w:rPr>
                <w:rFonts w:cs="Arial" w:hint="eastAsia"/>
                <w:color w:val="000000"/>
                <w:sz w:val="16"/>
                <w:szCs w:val="16"/>
                <w:lang w:eastAsia="ko-KR"/>
              </w:rPr>
              <w:t>,</w:t>
            </w:r>
            <w:r w:rsidRPr="005B7EA3">
              <w:rPr>
                <w:rFonts w:cs="Arial"/>
                <w:color w:val="000000"/>
                <w:sz w:val="16"/>
                <w:szCs w:val="16"/>
                <w:lang w:eastAsia="ko-KR"/>
              </w:rPr>
              <w:t xml:space="preserve"> compris</w:t>
            </w:r>
            <w:r>
              <w:rPr>
                <w:rFonts w:cs="Arial" w:hint="eastAsia"/>
                <w:color w:val="000000"/>
                <w:sz w:val="16"/>
                <w:szCs w:val="16"/>
                <w:lang w:eastAsia="ko-KR"/>
              </w:rPr>
              <w:t>ing</w:t>
            </w:r>
            <w:r w:rsidRPr="005B7EA3">
              <w:rPr>
                <w:rFonts w:cs="Arial"/>
                <w:color w:val="000000"/>
                <w:sz w:val="16"/>
                <w:szCs w:val="16"/>
                <w:lang w:eastAsia="ko-KR"/>
              </w:rPr>
              <w:t xml:space="preserve"> UMFCCI and Ministry of Science and Technology</w:t>
            </w:r>
            <w:r>
              <w:rPr>
                <w:rFonts w:cs="Arial" w:hint="eastAsia"/>
                <w:color w:val="000000"/>
                <w:sz w:val="16"/>
                <w:szCs w:val="16"/>
                <w:lang w:eastAsia="ko-KR"/>
              </w:rPr>
              <w:t xml:space="preserve"> officials,</w:t>
            </w:r>
            <w:r w:rsidRPr="005B7EA3">
              <w:rPr>
                <w:rFonts w:cs="Arial"/>
                <w:color w:val="000000"/>
                <w:sz w:val="16"/>
                <w:szCs w:val="16"/>
                <w:lang w:eastAsia="ko-KR"/>
              </w:rPr>
              <w:t xml:space="preserve"> visited Daejeon and Seoul, Republic of Korea</w:t>
            </w:r>
          </w:p>
        </w:tc>
      </w:tr>
      <w:tr w:rsidR="005703CF" w:rsidRPr="004A7041" w:rsidTr="002249F8">
        <w:tc>
          <w:tcPr>
            <w:tcW w:w="9102" w:type="dxa"/>
            <w:gridSpan w:val="4"/>
            <w:tcBorders>
              <w:top w:val="single" w:sz="4" w:space="0" w:color="000000"/>
              <w:bottom w:val="single" w:sz="4" w:space="0" w:color="000000"/>
            </w:tcBorders>
            <w:shd w:val="clear" w:color="auto" w:fill="CCFFFF"/>
            <w:vAlign w:val="center"/>
          </w:tcPr>
          <w:p w:rsidR="005703CF" w:rsidRPr="004A7041" w:rsidRDefault="005703CF" w:rsidP="002249F8">
            <w:pPr>
              <w:keepNext/>
              <w:keepLines/>
              <w:tabs>
                <w:tab w:val="left" w:pos="1740"/>
              </w:tabs>
              <w:spacing w:before="120" w:after="120"/>
              <w:ind w:left="1740" w:hanging="1740"/>
              <w:rPr>
                <w:rFonts w:cs="Arial"/>
                <w:b/>
                <w:bCs/>
                <w:sz w:val="16"/>
                <w:szCs w:val="16"/>
              </w:rPr>
            </w:pPr>
            <w:r w:rsidRPr="004A7041">
              <w:rPr>
                <w:rFonts w:cs="Arial"/>
                <w:b/>
                <w:bCs/>
                <w:color w:val="000000"/>
                <w:sz w:val="16"/>
                <w:szCs w:val="16"/>
              </w:rPr>
              <w:lastRenderedPageBreak/>
              <w:t>RESULT</w:t>
            </w:r>
            <w:r w:rsidRPr="004A7041">
              <w:rPr>
                <w:rFonts w:cs="Arial"/>
                <w:b/>
                <w:bCs/>
                <w:sz w:val="16"/>
                <w:szCs w:val="16"/>
              </w:rPr>
              <w:t>:</w:t>
            </w:r>
            <w:r w:rsidRPr="004A7041">
              <w:rPr>
                <w:rFonts w:cs="Arial"/>
                <w:b/>
                <w:bCs/>
                <w:sz w:val="16"/>
                <w:szCs w:val="16"/>
              </w:rPr>
              <w:tab/>
            </w:r>
            <w:r w:rsidRPr="004A7041">
              <w:rPr>
                <w:rFonts w:cs="Arial"/>
                <w:bCs/>
                <w:color w:val="000000"/>
                <w:sz w:val="16"/>
                <w:szCs w:val="16"/>
              </w:rPr>
              <w:t>Enhanced human resources capacities able to deal with the broad range of requirements for the effective use of IP for development</w:t>
            </w:r>
          </w:p>
        </w:tc>
      </w:tr>
      <w:tr w:rsidR="005703CF" w:rsidRPr="004A7041" w:rsidTr="002249F8">
        <w:tc>
          <w:tcPr>
            <w:tcW w:w="1873" w:type="dxa"/>
            <w:tcBorders>
              <w:top w:val="single" w:sz="4" w:space="0" w:color="000000"/>
            </w:tcBorders>
            <w:vAlign w:val="center"/>
          </w:tcPr>
          <w:p w:rsidR="005703CF" w:rsidRPr="004A7041" w:rsidRDefault="005703CF" w:rsidP="002249F8">
            <w:pPr>
              <w:keepNext/>
              <w:keepLines/>
              <w:rPr>
                <w:rFonts w:cs="Arial"/>
                <w:b/>
                <w:bCs/>
                <w:sz w:val="16"/>
                <w:szCs w:val="16"/>
              </w:rPr>
            </w:pPr>
            <w:r w:rsidRPr="004A7041">
              <w:rPr>
                <w:rFonts w:cs="Arial"/>
                <w:b/>
                <w:bCs/>
                <w:sz w:val="16"/>
                <w:szCs w:val="16"/>
              </w:rPr>
              <w:t>Activity</w:t>
            </w:r>
          </w:p>
        </w:tc>
        <w:tc>
          <w:tcPr>
            <w:tcW w:w="1134" w:type="dxa"/>
            <w:tcBorders>
              <w:top w:val="single" w:sz="4" w:space="0" w:color="000000"/>
            </w:tcBorders>
            <w:shd w:val="clear" w:color="auto" w:fill="auto"/>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Date</w:t>
            </w:r>
          </w:p>
        </w:tc>
        <w:tc>
          <w:tcPr>
            <w:tcW w:w="1985" w:type="dxa"/>
            <w:tcBorders>
              <w:top w:val="single" w:sz="4" w:space="0" w:color="000000"/>
            </w:tcBorders>
            <w:shd w:val="clear" w:color="auto" w:fill="auto"/>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Host Country/</w:t>
            </w:r>
            <w:r w:rsidRPr="004A7041">
              <w:rPr>
                <w:rFonts w:cs="Arial"/>
                <w:b/>
                <w:bCs/>
                <w:sz w:val="16"/>
                <w:szCs w:val="16"/>
              </w:rPr>
              <w:br/>
              <w:t>Recipients</w:t>
            </w:r>
          </w:p>
        </w:tc>
        <w:tc>
          <w:tcPr>
            <w:tcW w:w="4110" w:type="dxa"/>
            <w:tcBorders>
              <w:top w:val="single" w:sz="4" w:space="0" w:color="000000"/>
            </w:tcBorders>
            <w:shd w:val="clear" w:color="auto" w:fill="FFFFFF"/>
            <w:tcMar>
              <w:top w:w="110" w:type="dxa"/>
            </w:tcMar>
            <w:vAlign w:val="center"/>
          </w:tcPr>
          <w:p w:rsidR="005703CF" w:rsidRPr="004A7041" w:rsidRDefault="005703CF" w:rsidP="002249F8">
            <w:pPr>
              <w:keepNext/>
              <w:keepLines/>
              <w:rPr>
                <w:rFonts w:cs="Arial"/>
                <w:sz w:val="16"/>
                <w:szCs w:val="16"/>
              </w:rPr>
            </w:pPr>
            <w:r w:rsidRPr="004A7041">
              <w:rPr>
                <w:rFonts w:cs="Arial"/>
                <w:b/>
                <w:bCs/>
                <w:sz w:val="16"/>
                <w:szCs w:val="16"/>
              </w:rPr>
              <w:t>Purpose(s)/Description(s)</w:t>
            </w:r>
          </w:p>
        </w:tc>
      </w:tr>
      <w:tr w:rsidR="005703CF" w:rsidRPr="004A7041" w:rsidTr="002249F8">
        <w:tc>
          <w:tcPr>
            <w:tcW w:w="1873"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Workshop</w:t>
            </w:r>
            <w:r>
              <w:rPr>
                <w:rFonts w:cs="Arial" w:hint="eastAsia"/>
                <w:color w:val="000000"/>
                <w:sz w:val="16"/>
                <w:szCs w:val="16"/>
                <w:lang w:eastAsia="ko-KR"/>
              </w:rPr>
              <w:t xml:space="preserve"> </w:t>
            </w:r>
            <w:r w:rsidRPr="004A7041">
              <w:rPr>
                <w:rFonts w:cs="Arial"/>
                <w:color w:val="000000"/>
                <w:sz w:val="16"/>
                <w:szCs w:val="16"/>
              </w:rPr>
              <w:t xml:space="preserve">on Patent Law and Examination </w:t>
            </w:r>
          </w:p>
        </w:tc>
        <w:tc>
          <w:tcPr>
            <w:tcW w:w="1134" w:type="dxa"/>
          </w:tcPr>
          <w:p w:rsidR="005703CF" w:rsidRPr="004A7041" w:rsidRDefault="005703CF" w:rsidP="002249F8">
            <w:pPr>
              <w:keepNext/>
              <w:keepLines/>
              <w:autoSpaceDE w:val="0"/>
              <w:autoSpaceDN w:val="0"/>
              <w:adjustRightInd w:val="0"/>
              <w:spacing w:before="120" w:after="120"/>
              <w:rPr>
                <w:rFonts w:cs="Arial"/>
                <w:color w:val="000000"/>
                <w:sz w:val="16"/>
                <w:szCs w:val="16"/>
                <w:lang w:eastAsia="ko-KR"/>
              </w:rPr>
            </w:pPr>
            <w:r w:rsidRPr="008775ED">
              <w:rPr>
                <w:rFonts w:cs="Arial"/>
                <w:color w:val="000000"/>
                <w:sz w:val="16"/>
                <w:szCs w:val="16"/>
                <w:lang w:eastAsia="ko-KR"/>
              </w:rPr>
              <w:t>March 5 to 14, 2013</w:t>
            </w:r>
          </w:p>
        </w:tc>
        <w:tc>
          <w:tcPr>
            <w:tcW w:w="1985"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sidRPr="004A7041">
              <w:rPr>
                <w:rFonts w:cs="Arial"/>
                <w:color w:val="000000"/>
                <w:sz w:val="16"/>
                <w:szCs w:val="16"/>
              </w:rPr>
              <w:t>Republic of Korea</w:t>
            </w:r>
            <w:r>
              <w:rPr>
                <w:rFonts w:cs="Arial"/>
                <w:color w:val="000000"/>
                <w:sz w:val="16"/>
                <w:szCs w:val="16"/>
              </w:rPr>
              <w:t>/</w:t>
            </w:r>
            <w:r w:rsidRPr="004A7041">
              <w:rPr>
                <w:rFonts w:cs="Arial"/>
                <w:color w:val="000000"/>
                <w:sz w:val="16"/>
                <w:szCs w:val="16"/>
              </w:rPr>
              <w:t>1</w:t>
            </w:r>
            <w:r>
              <w:rPr>
                <w:rFonts w:cs="Arial" w:hint="eastAsia"/>
                <w:color w:val="000000"/>
                <w:sz w:val="16"/>
                <w:szCs w:val="16"/>
                <w:lang w:eastAsia="ko-KR"/>
              </w:rPr>
              <w:t>5</w:t>
            </w:r>
            <w:r w:rsidRPr="004A7041">
              <w:rPr>
                <w:rFonts w:cs="Arial"/>
                <w:color w:val="000000"/>
                <w:sz w:val="16"/>
                <w:szCs w:val="16"/>
              </w:rPr>
              <w:t xml:space="preserve"> patent examiners from </w:t>
            </w:r>
            <w:r w:rsidRPr="004A7041">
              <w:rPr>
                <w:rFonts w:cs="Arial" w:hint="eastAsia"/>
                <w:color w:val="000000"/>
                <w:sz w:val="16"/>
                <w:szCs w:val="16"/>
                <w:lang w:eastAsia="ko-KR"/>
              </w:rPr>
              <w:t>1</w:t>
            </w:r>
            <w:r>
              <w:rPr>
                <w:rFonts w:cs="Arial" w:hint="eastAsia"/>
                <w:color w:val="000000"/>
                <w:sz w:val="16"/>
                <w:szCs w:val="16"/>
                <w:lang w:eastAsia="ko-KR"/>
              </w:rPr>
              <w:t>1</w:t>
            </w:r>
            <w:r w:rsidRPr="004A7041">
              <w:rPr>
                <w:rFonts w:cs="Arial"/>
                <w:color w:val="000000"/>
                <w:sz w:val="16"/>
                <w:szCs w:val="16"/>
              </w:rPr>
              <w:t xml:space="preserve"> countries</w:t>
            </w:r>
          </w:p>
        </w:tc>
        <w:tc>
          <w:tcPr>
            <w:tcW w:w="4110" w:type="dxa"/>
          </w:tcPr>
          <w:p w:rsidR="005703CF" w:rsidRPr="004A7041" w:rsidRDefault="005703CF" w:rsidP="002249F8">
            <w:pPr>
              <w:keepNext/>
              <w:keepLines/>
              <w:autoSpaceDE w:val="0"/>
              <w:autoSpaceDN w:val="0"/>
              <w:adjustRightInd w:val="0"/>
              <w:spacing w:before="120" w:after="120"/>
              <w:rPr>
                <w:rFonts w:cs="Arial"/>
                <w:color w:val="000000"/>
                <w:sz w:val="16"/>
                <w:szCs w:val="16"/>
                <w:lang w:eastAsia="ko-KR"/>
              </w:rPr>
            </w:pPr>
            <w:r w:rsidRPr="004A7041">
              <w:rPr>
                <w:rFonts w:cs="Arial"/>
                <w:color w:val="000000"/>
                <w:sz w:val="16"/>
                <w:szCs w:val="16"/>
              </w:rPr>
              <w:t>To provide an overview and expl</w:t>
            </w:r>
            <w:r>
              <w:rPr>
                <w:rFonts w:cs="Arial"/>
                <w:color w:val="000000"/>
                <w:sz w:val="16"/>
                <w:szCs w:val="16"/>
              </w:rPr>
              <w:t>anation of global patent system</w:t>
            </w:r>
            <w:r w:rsidRPr="004A7041">
              <w:rPr>
                <w:rFonts w:cs="Arial"/>
                <w:color w:val="000000"/>
                <w:sz w:val="16"/>
                <w:szCs w:val="16"/>
              </w:rPr>
              <w:t>, principles of patent law and examination procedures</w:t>
            </w:r>
          </w:p>
        </w:tc>
      </w:tr>
      <w:tr w:rsidR="005703CF" w:rsidRPr="004A7041" w:rsidTr="002249F8">
        <w:tc>
          <w:tcPr>
            <w:tcW w:w="1873"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Pr>
                <w:rFonts w:cs="Arial"/>
                <w:color w:val="000000"/>
                <w:sz w:val="16"/>
                <w:szCs w:val="16"/>
              </w:rPr>
              <w:t>Workshop</w:t>
            </w:r>
            <w:r>
              <w:rPr>
                <w:rFonts w:cs="Arial" w:hint="eastAsia"/>
                <w:color w:val="000000"/>
                <w:sz w:val="16"/>
                <w:szCs w:val="16"/>
                <w:lang w:eastAsia="ko-KR"/>
              </w:rPr>
              <w:t xml:space="preserve"> </w:t>
            </w:r>
            <w:r w:rsidRPr="004A7041">
              <w:rPr>
                <w:rFonts w:cs="Arial"/>
                <w:color w:val="000000"/>
                <w:sz w:val="16"/>
                <w:szCs w:val="16"/>
              </w:rPr>
              <w:t xml:space="preserve">on </w:t>
            </w:r>
            <w:r w:rsidRPr="004A7041">
              <w:rPr>
                <w:rFonts w:cs="Arial" w:hint="eastAsia"/>
                <w:color w:val="000000"/>
                <w:sz w:val="16"/>
                <w:szCs w:val="16"/>
                <w:lang w:eastAsia="ko-KR"/>
              </w:rPr>
              <w:t>Trademark</w:t>
            </w:r>
            <w:r w:rsidRPr="004A7041">
              <w:rPr>
                <w:rFonts w:cs="Arial"/>
                <w:color w:val="000000"/>
                <w:sz w:val="16"/>
                <w:szCs w:val="16"/>
              </w:rPr>
              <w:t xml:space="preserve"> Law and Examination</w:t>
            </w:r>
          </w:p>
        </w:tc>
        <w:tc>
          <w:tcPr>
            <w:tcW w:w="1134" w:type="dxa"/>
          </w:tcPr>
          <w:p w:rsidR="005703CF" w:rsidRPr="004A7041" w:rsidRDefault="005703CF" w:rsidP="002249F8">
            <w:pPr>
              <w:keepNext/>
              <w:keepLines/>
              <w:autoSpaceDE w:val="0"/>
              <w:autoSpaceDN w:val="0"/>
              <w:adjustRightInd w:val="0"/>
              <w:spacing w:before="120" w:after="120"/>
              <w:rPr>
                <w:rFonts w:cs="Arial"/>
                <w:color w:val="000000"/>
                <w:sz w:val="16"/>
                <w:szCs w:val="16"/>
                <w:lang w:eastAsia="ko-KR"/>
              </w:rPr>
            </w:pPr>
            <w:r w:rsidRPr="002A61F9">
              <w:rPr>
                <w:rFonts w:cs="Arial"/>
                <w:color w:val="000000"/>
                <w:sz w:val="16"/>
                <w:szCs w:val="16"/>
                <w:lang w:eastAsia="ko-KR"/>
              </w:rPr>
              <w:t>April 17 to 26, 2013</w:t>
            </w:r>
          </w:p>
        </w:tc>
        <w:tc>
          <w:tcPr>
            <w:tcW w:w="1985"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sidRPr="004A7041">
              <w:rPr>
                <w:rFonts w:cs="Arial"/>
                <w:color w:val="000000"/>
                <w:sz w:val="16"/>
                <w:szCs w:val="16"/>
              </w:rPr>
              <w:t>Republic of Korea</w:t>
            </w:r>
            <w:r>
              <w:rPr>
                <w:rFonts w:cs="Arial"/>
                <w:color w:val="000000"/>
                <w:sz w:val="16"/>
                <w:szCs w:val="16"/>
                <w:lang w:eastAsia="ko-KR"/>
              </w:rPr>
              <w:t>/</w:t>
            </w:r>
            <w:r>
              <w:rPr>
                <w:rFonts w:cs="Arial" w:hint="eastAsia"/>
                <w:color w:val="000000"/>
                <w:sz w:val="16"/>
                <w:szCs w:val="16"/>
                <w:lang w:eastAsia="ko-KR"/>
              </w:rPr>
              <w:t>18</w:t>
            </w:r>
            <w:r w:rsidRPr="004A7041">
              <w:rPr>
                <w:rFonts w:cs="Arial"/>
                <w:color w:val="000000"/>
                <w:sz w:val="16"/>
                <w:szCs w:val="16"/>
              </w:rPr>
              <w:t xml:space="preserve"> </w:t>
            </w:r>
            <w:r w:rsidRPr="004A7041">
              <w:rPr>
                <w:rFonts w:cs="Arial" w:hint="eastAsia"/>
                <w:color w:val="000000"/>
                <w:sz w:val="16"/>
                <w:szCs w:val="16"/>
                <w:lang w:eastAsia="ko-KR"/>
              </w:rPr>
              <w:t>trademark</w:t>
            </w:r>
            <w:r w:rsidRPr="004A7041">
              <w:rPr>
                <w:rFonts w:cs="Arial"/>
                <w:color w:val="000000"/>
                <w:sz w:val="16"/>
                <w:szCs w:val="16"/>
              </w:rPr>
              <w:t xml:space="preserve"> examiners from </w:t>
            </w:r>
            <w:r w:rsidRPr="004A7041">
              <w:rPr>
                <w:rFonts w:cs="Arial" w:hint="eastAsia"/>
                <w:color w:val="000000"/>
                <w:sz w:val="16"/>
                <w:szCs w:val="16"/>
                <w:lang w:eastAsia="ko-KR"/>
              </w:rPr>
              <w:t>12</w:t>
            </w:r>
            <w:r w:rsidRPr="004A7041">
              <w:rPr>
                <w:rFonts w:cs="Arial"/>
                <w:color w:val="000000"/>
                <w:sz w:val="16"/>
                <w:szCs w:val="16"/>
              </w:rPr>
              <w:t xml:space="preserve"> countries</w:t>
            </w:r>
          </w:p>
        </w:tc>
        <w:tc>
          <w:tcPr>
            <w:tcW w:w="4110"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sidRPr="004A7041">
              <w:rPr>
                <w:rFonts w:cs="Arial"/>
                <w:color w:val="000000"/>
                <w:sz w:val="16"/>
                <w:szCs w:val="16"/>
              </w:rPr>
              <w:t xml:space="preserve">To provide an overview and explanation of principles of </w:t>
            </w:r>
            <w:r w:rsidRPr="004A7041">
              <w:rPr>
                <w:rFonts w:cs="Arial" w:hint="eastAsia"/>
                <w:color w:val="000000"/>
                <w:sz w:val="16"/>
                <w:szCs w:val="16"/>
                <w:lang w:eastAsia="ko-KR"/>
              </w:rPr>
              <w:t>trademark</w:t>
            </w:r>
            <w:r w:rsidRPr="004A7041">
              <w:rPr>
                <w:rFonts w:cs="Arial"/>
                <w:color w:val="000000"/>
                <w:sz w:val="16"/>
                <w:szCs w:val="16"/>
              </w:rPr>
              <w:t xml:space="preserve"> law and examination procedures</w:t>
            </w:r>
            <w:r w:rsidRPr="004A7041">
              <w:rPr>
                <w:rFonts w:cs="Arial" w:hint="eastAsia"/>
                <w:color w:val="000000"/>
                <w:sz w:val="16"/>
                <w:szCs w:val="16"/>
                <w:lang w:eastAsia="ko-KR"/>
              </w:rPr>
              <w:t xml:space="preserve">, </w:t>
            </w:r>
            <w:r>
              <w:rPr>
                <w:rFonts w:cs="Arial" w:hint="eastAsia"/>
                <w:color w:val="000000"/>
                <w:sz w:val="16"/>
                <w:szCs w:val="16"/>
                <w:lang w:eastAsia="ko-KR"/>
              </w:rPr>
              <w:t xml:space="preserve">as well as </w:t>
            </w:r>
            <w:r w:rsidRPr="004A7041">
              <w:rPr>
                <w:rFonts w:cs="Arial"/>
                <w:color w:val="000000"/>
                <w:sz w:val="16"/>
                <w:szCs w:val="16"/>
                <w:lang w:eastAsia="ko-KR"/>
              </w:rPr>
              <w:t>the Madrid System</w:t>
            </w:r>
          </w:p>
        </w:tc>
      </w:tr>
      <w:tr w:rsidR="005703CF" w:rsidRPr="004A7041" w:rsidTr="002249F8">
        <w:tc>
          <w:tcPr>
            <w:tcW w:w="1873" w:type="dxa"/>
          </w:tcPr>
          <w:p w:rsidR="005703CF" w:rsidRPr="004A7041"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Workshop</w:t>
            </w:r>
            <w:r>
              <w:rPr>
                <w:rFonts w:cs="Arial" w:hint="eastAsia"/>
                <w:color w:val="000000"/>
                <w:sz w:val="16"/>
                <w:szCs w:val="16"/>
                <w:lang w:eastAsia="ko-KR"/>
              </w:rPr>
              <w:t xml:space="preserve"> </w:t>
            </w:r>
            <w:r w:rsidRPr="004A7041">
              <w:rPr>
                <w:rFonts w:cs="Arial"/>
                <w:color w:val="000000"/>
                <w:sz w:val="16"/>
                <w:szCs w:val="16"/>
              </w:rPr>
              <w:t xml:space="preserve">on </w:t>
            </w:r>
            <w:r>
              <w:rPr>
                <w:rFonts w:cs="Arial" w:hint="eastAsia"/>
                <w:color w:val="000000"/>
                <w:sz w:val="16"/>
                <w:szCs w:val="16"/>
                <w:lang w:eastAsia="ko-KR"/>
              </w:rPr>
              <w:t>Industrial Design</w:t>
            </w:r>
            <w:r w:rsidRPr="004A7041">
              <w:rPr>
                <w:rFonts w:cs="Arial"/>
                <w:color w:val="000000"/>
                <w:sz w:val="16"/>
                <w:szCs w:val="16"/>
              </w:rPr>
              <w:t xml:space="preserve"> Law and Examination </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rPr>
            </w:pPr>
            <w:r w:rsidRPr="00DC1DC4">
              <w:rPr>
                <w:rFonts w:cs="Arial"/>
                <w:color w:val="000000"/>
                <w:sz w:val="16"/>
                <w:szCs w:val="16"/>
              </w:rPr>
              <w:t>June 11 to 14, 2013</w:t>
            </w:r>
          </w:p>
        </w:tc>
        <w:tc>
          <w:tcPr>
            <w:tcW w:w="1985" w:type="dxa"/>
          </w:tcPr>
          <w:p w:rsidR="005703CF" w:rsidRPr="004A7041" w:rsidRDefault="005703CF" w:rsidP="002249F8">
            <w:pPr>
              <w:keepNext/>
              <w:keepLines/>
              <w:autoSpaceDE w:val="0"/>
              <w:autoSpaceDN w:val="0"/>
              <w:adjustRightInd w:val="0"/>
              <w:spacing w:before="120" w:after="120"/>
              <w:rPr>
                <w:rFonts w:cs="Arial"/>
                <w:color w:val="000000"/>
                <w:sz w:val="16"/>
                <w:szCs w:val="16"/>
              </w:rPr>
            </w:pPr>
            <w:r w:rsidRPr="004A7041">
              <w:rPr>
                <w:rFonts w:cs="Arial"/>
                <w:color w:val="000000"/>
                <w:sz w:val="16"/>
                <w:szCs w:val="16"/>
              </w:rPr>
              <w:t>Republic of Korea</w:t>
            </w:r>
            <w:r>
              <w:rPr>
                <w:rFonts w:cs="Arial"/>
                <w:color w:val="000000"/>
                <w:sz w:val="16"/>
                <w:szCs w:val="16"/>
                <w:lang w:eastAsia="ko-KR"/>
              </w:rPr>
              <w:t>/</w:t>
            </w:r>
            <w:r>
              <w:rPr>
                <w:rFonts w:cs="Arial" w:hint="eastAsia"/>
                <w:color w:val="000000"/>
                <w:sz w:val="16"/>
                <w:szCs w:val="16"/>
                <w:lang w:eastAsia="ko-KR"/>
              </w:rPr>
              <w:t>14</w:t>
            </w:r>
            <w:r w:rsidRPr="004A7041">
              <w:rPr>
                <w:rFonts w:cs="Arial"/>
                <w:color w:val="000000"/>
                <w:sz w:val="16"/>
                <w:szCs w:val="16"/>
              </w:rPr>
              <w:t xml:space="preserve"> </w:t>
            </w:r>
            <w:r w:rsidRPr="004A7041">
              <w:rPr>
                <w:rFonts w:cs="Arial" w:hint="eastAsia"/>
                <w:color w:val="000000"/>
                <w:sz w:val="16"/>
                <w:szCs w:val="16"/>
                <w:lang w:eastAsia="ko-KR"/>
              </w:rPr>
              <w:t>trademark</w:t>
            </w:r>
            <w:r w:rsidRPr="004A7041">
              <w:rPr>
                <w:rFonts w:cs="Arial"/>
                <w:color w:val="000000"/>
                <w:sz w:val="16"/>
                <w:szCs w:val="16"/>
              </w:rPr>
              <w:t xml:space="preserve"> examiners from </w:t>
            </w:r>
            <w:r w:rsidRPr="004A7041">
              <w:rPr>
                <w:rFonts w:cs="Arial" w:hint="eastAsia"/>
                <w:color w:val="000000"/>
                <w:sz w:val="16"/>
                <w:szCs w:val="16"/>
                <w:lang w:eastAsia="ko-KR"/>
              </w:rPr>
              <w:t>1</w:t>
            </w:r>
            <w:r>
              <w:rPr>
                <w:rFonts w:cs="Arial" w:hint="eastAsia"/>
                <w:color w:val="000000"/>
                <w:sz w:val="16"/>
                <w:szCs w:val="16"/>
                <w:lang w:eastAsia="ko-KR"/>
              </w:rPr>
              <w:t>4</w:t>
            </w:r>
            <w:r w:rsidRPr="004A7041">
              <w:rPr>
                <w:rFonts w:cs="Arial"/>
                <w:color w:val="000000"/>
                <w:sz w:val="16"/>
                <w:szCs w:val="16"/>
              </w:rPr>
              <w:t xml:space="preserve"> countries</w:t>
            </w:r>
          </w:p>
        </w:tc>
        <w:tc>
          <w:tcPr>
            <w:tcW w:w="4110" w:type="dxa"/>
          </w:tcPr>
          <w:p w:rsidR="005703CF" w:rsidRPr="004A7041" w:rsidRDefault="005703CF" w:rsidP="002249F8">
            <w:pPr>
              <w:autoSpaceDE w:val="0"/>
              <w:autoSpaceDN w:val="0"/>
              <w:adjustRightInd w:val="0"/>
              <w:spacing w:before="120" w:after="120"/>
              <w:rPr>
                <w:rFonts w:cs="Arial"/>
                <w:color w:val="000000"/>
                <w:sz w:val="16"/>
                <w:szCs w:val="16"/>
              </w:rPr>
            </w:pPr>
            <w:r w:rsidRPr="004A7041">
              <w:rPr>
                <w:rFonts w:cs="Arial"/>
                <w:color w:val="000000"/>
                <w:sz w:val="16"/>
                <w:szCs w:val="16"/>
              </w:rPr>
              <w:t>To</w:t>
            </w:r>
            <w:r w:rsidRPr="000B1170">
              <w:t xml:space="preserve"> </w:t>
            </w:r>
            <w:r w:rsidRPr="005C1EFE">
              <w:rPr>
                <w:rFonts w:cs="Arial"/>
                <w:color w:val="000000"/>
                <w:sz w:val="16"/>
                <w:szCs w:val="16"/>
              </w:rPr>
              <w:t>enhance the capacity of selected countries to undertake industrial design examination and broaden their understanding of ongoing developments in the</w:t>
            </w:r>
            <w:r>
              <w:rPr>
                <w:rFonts w:cs="Arial" w:hint="eastAsia"/>
                <w:color w:val="000000"/>
                <w:sz w:val="16"/>
                <w:szCs w:val="16"/>
                <w:lang w:eastAsia="ko-KR"/>
              </w:rPr>
              <w:t xml:space="preserve"> field of</w:t>
            </w:r>
            <w:r>
              <w:rPr>
                <w:rFonts w:cs="Arial"/>
                <w:color w:val="000000"/>
                <w:sz w:val="16"/>
                <w:szCs w:val="16"/>
              </w:rPr>
              <w:t xml:space="preserve"> industrial design</w:t>
            </w:r>
          </w:p>
        </w:tc>
      </w:tr>
      <w:tr w:rsidR="005703CF" w:rsidRPr="004A7041" w:rsidTr="002249F8">
        <w:trPr>
          <w:trHeight w:val="487"/>
        </w:trPr>
        <w:tc>
          <w:tcPr>
            <w:tcW w:w="1873" w:type="dxa"/>
          </w:tcPr>
          <w:p w:rsidR="005703CF" w:rsidRPr="004A7041" w:rsidRDefault="005703CF" w:rsidP="002249F8">
            <w:pPr>
              <w:autoSpaceDE w:val="0"/>
              <w:autoSpaceDN w:val="0"/>
              <w:adjustRightInd w:val="0"/>
              <w:spacing w:before="120" w:after="120"/>
              <w:rPr>
                <w:rFonts w:cs="Arial"/>
                <w:color w:val="000000"/>
                <w:sz w:val="16"/>
                <w:szCs w:val="16"/>
              </w:rPr>
            </w:pPr>
            <w:r w:rsidRPr="008968AA">
              <w:rPr>
                <w:rFonts w:cs="Arial"/>
                <w:color w:val="000000"/>
                <w:sz w:val="16"/>
                <w:szCs w:val="16"/>
              </w:rPr>
              <w:t>Production of Intellectual Property Educational Material</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sidRPr="008968AA">
              <w:rPr>
                <w:rFonts w:cs="Arial"/>
                <w:color w:val="000000"/>
                <w:sz w:val="16"/>
                <w:szCs w:val="16"/>
              </w:rPr>
              <w:t>August 2013</w:t>
            </w:r>
            <w:r>
              <w:rPr>
                <w:rFonts w:cs="Arial" w:hint="eastAsia"/>
                <w:color w:val="000000"/>
                <w:sz w:val="16"/>
                <w:szCs w:val="16"/>
                <w:lang w:eastAsia="ko-KR"/>
              </w:rPr>
              <w:t xml:space="preserve"> initiated</w:t>
            </w:r>
          </w:p>
        </w:tc>
        <w:tc>
          <w:tcPr>
            <w:tcW w:w="1985" w:type="dxa"/>
          </w:tcPr>
          <w:p w:rsidR="005703CF" w:rsidRPr="003C18E2" w:rsidRDefault="005703CF" w:rsidP="002249F8">
            <w:pPr>
              <w:autoSpaceDE w:val="0"/>
              <w:autoSpaceDN w:val="0"/>
              <w:adjustRightInd w:val="0"/>
              <w:spacing w:before="120" w:after="120"/>
              <w:rPr>
                <w:rFonts w:cs="Arial"/>
                <w:color w:val="000000"/>
                <w:spacing w:val="-2"/>
                <w:sz w:val="16"/>
                <w:szCs w:val="16"/>
              </w:rPr>
            </w:pPr>
            <w:r w:rsidRPr="003C18E2">
              <w:rPr>
                <w:rFonts w:cs="Arial" w:hint="eastAsia"/>
                <w:bCs/>
                <w:spacing w:val="-2"/>
                <w:sz w:val="16"/>
                <w:szCs w:val="16"/>
                <w:lang w:eastAsia="ko-KR"/>
              </w:rPr>
              <w:t>All WIPO Member States</w:t>
            </w:r>
          </w:p>
        </w:tc>
        <w:tc>
          <w:tcPr>
            <w:tcW w:w="4110"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T</w:t>
            </w:r>
            <w:r w:rsidRPr="000C7495">
              <w:rPr>
                <w:rFonts w:cs="Arial"/>
                <w:color w:val="000000"/>
                <w:sz w:val="16"/>
                <w:szCs w:val="16"/>
              </w:rPr>
              <w:t>o</w:t>
            </w:r>
            <w:r>
              <w:rPr>
                <w:rFonts w:cs="Arial"/>
                <w:color w:val="000000"/>
                <w:sz w:val="16"/>
                <w:szCs w:val="16"/>
              </w:rPr>
              <w:t xml:space="preserve">: </w:t>
            </w:r>
            <w:r w:rsidRPr="000C7495">
              <w:rPr>
                <w:rFonts w:cs="Arial"/>
                <w:color w:val="000000"/>
                <w:sz w:val="16"/>
                <w:szCs w:val="16"/>
              </w:rPr>
              <w:t xml:space="preserve"> (i) develop IP educational material easily accessible to non-IP experts; </w:t>
            </w:r>
            <w:r>
              <w:rPr>
                <w:rFonts w:cs="Arial"/>
                <w:color w:val="000000"/>
                <w:sz w:val="16"/>
                <w:szCs w:val="16"/>
              </w:rPr>
              <w:t xml:space="preserve"> </w:t>
            </w:r>
            <w:r w:rsidRPr="000C7495">
              <w:rPr>
                <w:rFonts w:cs="Arial"/>
                <w:color w:val="000000"/>
                <w:sz w:val="16"/>
                <w:szCs w:val="16"/>
              </w:rPr>
              <w:t xml:space="preserve">(ii) enhance the interest of the public on IP issues; </w:t>
            </w:r>
            <w:r>
              <w:rPr>
                <w:rFonts w:cs="Arial"/>
                <w:color w:val="000000"/>
                <w:sz w:val="16"/>
                <w:szCs w:val="16"/>
              </w:rPr>
              <w:t xml:space="preserve"> </w:t>
            </w:r>
            <w:r w:rsidRPr="000C7495">
              <w:rPr>
                <w:rFonts w:cs="Arial"/>
                <w:color w:val="000000"/>
                <w:sz w:val="16"/>
                <w:szCs w:val="16"/>
              </w:rPr>
              <w:t>and (iii) assist schools and other educational institutions in developing creativity enhancing curricula.</w:t>
            </w:r>
            <w:r>
              <w:rPr>
                <w:rFonts w:cs="Arial"/>
                <w:color w:val="000000"/>
                <w:sz w:val="16"/>
                <w:szCs w:val="16"/>
                <w:lang w:eastAsia="ko-KR"/>
              </w:rPr>
              <w:t xml:space="preserve">  </w:t>
            </w:r>
            <w:r w:rsidRPr="000C7495">
              <w:rPr>
                <w:rFonts w:cs="Arial"/>
                <w:color w:val="000000"/>
                <w:sz w:val="16"/>
                <w:szCs w:val="16"/>
                <w:lang w:eastAsia="ko-KR"/>
              </w:rPr>
              <w:t>The Material would include activities and exercises which secondary</w:t>
            </w:r>
            <w:r>
              <w:rPr>
                <w:rFonts w:cs="Arial" w:hint="eastAsia"/>
                <w:color w:val="000000"/>
                <w:sz w:val="16"/>
                <w:szCs w:val="16"/>
                <w:lang w:eastAsia="ko-KR"/>
              </w:rPr>
              <w:t xml:space="preserve"> school</w:t>
            </w:r>
            <w:r w:rsidRPr="000C7495">
              <w:rPr>
                <w:rFonts w:cs="Arial"/>
                <w:color w:val="000000"/>
                <w:sz w:val="16"/>
                <w:szCs w:val="16"/>
                <w:lang w:eastAsia="ko-KR"/>
              </w:rPr>
              <w:t xml:space="preserve"> students may be encouraged to undertake in order to better grasp </w:t>
            </w:r>
            <w:r>
              <w:rPr>
                <w:rFonts w:cs="Arial" w:hint="eastAsia"/>
                <w:color w:val="000000"/>
                <w:sz w:val="16"/>
                <w:szCs w:val="16"/>
                <w:lang w:eastAsia="ko-KR"/>
              </w:rPr>
              <w:t>basic</w:t>
            </w:r>
            <w:r w:rsidRPr="000C7495">
              <w:rPr>
                <w:rFonts w:cs="Arial"/>
                <w:color w:val="000000"/>
                <w:sz w:val="16"/>
                <w:szCs w:val="16"/>
                <w:lang w:eastAsia="ko-KR"/>
              </w:rPr>
              <w:t xml:space="preserve"> concepts pertaining to creativity, inventiveness and IP</w:t>
            </w:r>
          </w:p>
        </w:tc>
      </w:tr>
      <w:tr w:rsidR="005703CF" w:rsidRPr="004A7041" w:rsidTr="002249F8">
        <w:trPr>
          <w:trHeight w:val="487"/>
        </w:trPr>
        <w:tc>
          <w:tcPr>
            <w:tcW w:w="1873"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sidRPr="0005341A">
              <w:rPr>
                <w:rFonts w:cs="Arial"/>
                <w:color w:val="000000"/>
                <w:sz w:val="16"/>
                <w:szCs w:val="16"/>
                <w:lang w:eastAsia="ko-KR"/>
              </w:rPr>
              <w:t>Production of Intellectual Property Educational Guide</w:t>
            </w:r>
          </w:p>
        </w:tc>
        <w:tc>
          <w:tcPr>
            <w:tcW w:w="1134"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color w:val="000000"/>
                <w:sz w:val="16"/>
                <w:szCs w:val="16"/>
                <w:lang w:eastAsia="ko-KR"/>
              </w:rPr>
              <w:t>January</w:t>
            </w:r>
            <w:r>
              <w:rPr>
                <w:rFonts w:cs="Arial" w:hint="eastAsia"/>
                <w:color w:val="000000"/>
                <w:sz w:val="16"/>
                <w:szCs w:val="16"/>
                <w:lang w:eastAsia="ko-KR"/>
              </w:rPr>
              <w:t xml:space="preserve"> 2013 initiated</w:t>
            </w:r>
          </w:p>
        </w:tc>
        <w:tc>
          <w:tcPr>
            <w:tcW w:w="1985" w:type="dxa"/>
          </w:tcPr>
          <w:p w:rsidR="005703CF" w:rsidRPr="003C18E2" w:rsidRDefault="005703CF" w:rsidP="002249F8">
            <w:pPr>
              <w:autoSpaceDE w:val="0"/>
              <w:autoSpaceDN w:val="0"/>
              <w:adjustRightInd w:val="0"/>
              <w:spacing w:before="120" w:after="120"/>
              <w:rPr>
                <w:rFonts w:cs="Arial"/>
                <w:color w:val="000000"/>
                <w:spacing w:val="-4"/>
                <w:sz w:val="16"/>
                <w:szCs w:val="16"/>
              </w:rPr>
            </w:pPr>
            <w:r w:rsidRPr="003C18E2">
              <w:rPr>
                <w:rFonts w:cs="Arial" w:hint="eastAsia"/>
                <w:bCs/>
                <w:spacing w:val="-4"/>
                <w:sz w:val="16"/>
                <w:szCs w:val="16"/>
                <w:lang w:eastAsia="ko-KR"/>
              </w:rPr>
              <w:t>All WIPO Member States</w:t>
            </w:r>
          </w:p>
        </w:tc>
        <w:tc>
          <w:tcPr>
            <w:tcW w:w="4110" w:type="dxa"/>
          </w:tcPr>
          <w:p w:rsidR="005703CF" w:rsidRPr="004A7041" w:rsidRDefault="005703CF" w:rsidP="002249F8">
            <w:pPr>
              <w:autoSpaceDE w:val="0"/>
              <w:autoSpaceDN w:val="0"/>
              <w:adjustRightInd w:val="0"/>
              <w:spacing w:before="120" w:after="120"/>
              <w:rPr>
                <w:rFonts w:cs="Arial"/>
                <w:color w:val="000000"/>
                <w:sz w:val="16"/>
                <w:szCs w:val="16"/>
                <w:lang w:eastAsia="ko-KR"/>
              </w:rPr>
            </w:pPr>
            <w:r>
              <w:rPr>
                <w:rFonts w:cs="Arial" w:hint="eastAsia"/>
                <w:color w:val="000000"/>
                <w:sz w:val="16"/>
                <w:szCs w:val="16"/>
                <w:lang w:eastAsia="ko-KR"/>
              </w:rPr>
              <w:t>T</w:t>
            </w:r>
            <w:r w:rsidRPr="00D444D0">
              <w:rPr>
                <w:rFonts w:cs="Arial"/>
                <w:color w:val="000000"/>
                <w:sz w:val="16"/>
                <w:szCs w:val="16"/>
                <w:lang w:eastAsia="ko-KR"/>
              </w:rPr>
              <w:t xml:space="preserve">o </w:t>
            </w:r>
            <w:r>
              <w:rPr>
                <w:rFonts w:cs="Arial" w:hint="eastAsia"/>
                <w:color w:val="000000"/>
                <w:sz w:val="16"/>
                <w:szCs w:val="16"/>
                <w:lang w:eastAsia="ko-KR"/>
              </w:rPr>
              <w:t>support</w:t>
            </w:r>
            <w:r w:rsidRPr="00D444D0">
              <w:rPr>
                <w:rFonts w:cs="Arial"/>
                <w:color w:val="000000"/>
                <w:sz w:val="16"/>
                <w:szCs w:val="16"/>
                <w:lang w:eastAsia="ko-KR"/>
              </w:rPr>
              <w:t xml:space="preserve"> teachers to educate children on basic concepts of IP, the relationship of IP to creativity, and the benefits to be derived from the use of IP</w:t>
            </w:r>
          </w:p>
        </w:tc>
      </w:tr>
    </w:tbl>
    <w:p w:rsidR="005703CF" w:rsidRDefault="005703CF" w:rsidP="005703CF">
      <w:pPr>
        <w:keepNext/>
        <w:keepLines/>
        <w:rPr>
          <w:rFonts w:cs="Arial"/>
          <w:b/>
          <w:szCs w:val="20"/>
        </w:rPr>
      </w:pPr>
    </w:p>
    <w:p w:rsidR="005703CF" w:rsidRDefault="005703CF" w:rsidP="005703CF">
      <w:pPr>
        <w:keepNext/>
        <w:keepLines/>
        <w:rPr>
          <w:rFonts w:cs="Arial"/>
          <w:b/>
          <w:sz w:val="18"/>
          <w:szCs w:val="18"/>
        </w:rPr>
      </w:pPr>
    </w:p>
    <w:p w:rsidR="005703CF" w:rsidRDefault="005703CF" w:rsidP="005703CF">
      <w:pPr>
        <w:keepNext/>
        <w:keepLines/>
        <w:rPr>
          <w:rFonts w:cs="Arial"/>
          <w:b/>
          <w:sz w:val="18"/>
          <w:szCs w:val="18"/>
        </w:rPr>
      </w:pPr>
    </w:p>
    <w:p w:rsidR="005703CF" w:rsidRDefault="005703CF" w:rsidP="005703CF">
      <w:pPr>
        <w:keepNext/>
        <w:keepLines/>
        <w:rPr>
          <w:rFonts w:cs="Arial"/>
          <w:b/>
          <w:sz w:val="18"/>
          <w:szCs w:val="18"/>
        </w:rPr>
      </w:pPr>
    </w:p>
    <w:p w:rsidR="005703CF" w:rsidRDefault="005703CF" w:rsidP="005703CF">
      <w:pPr>
        <w:keepNext/>
        <w:keepLines/>
        <w:rPr>
          <w:rFonts w:cs="Arial"/>
          <w:b/>
          <w:sz w:val="18"/>
          <w:szCs w:val="18"/>
        </w:rPr>
      </w:pPr>
    </w:p>
    <w:p w:rsidR="005703CF" w:rsidRPr="00280DA3" w:rsidRDefault="005703CF" w:rsidP="005703CF">
      <w:pPr>
        <w:keepNext/>
        <w:keepLines/>
        <w:rPr>
          <w:rFonts w:cs="Arial"/>
          <w:b/>
          <w:sz w:val="18"/>
          <w:szCs w:val="18"/>
        </w:rPr>
      </w:pPr>
      <w:r w:rsidRPr="00280DA3">
        <w:rPr>
          <w:rFonts w:cs="Arial"/>
          <w:b/>
          <w:sz w:val="18"/>
          <w:szCs w:val="18"/>
        </w:rPr>
        <w:t xml:space="preserve">REPUBLIC OF KOREA/ INTELLECTUAL PROPERTY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0"/>
        <w:gridCol w:w="1650"/>
        <w:gridCol w:w="1870"/>
        <w:gridCol w:w="1650"/>
        <w:gridCol w:w="1980"/>
      </w:tblGrid>
      <w:tr w:rsidR="005703CF" w:rsidRPr="00834B2E" w:rsidTr="002249F8">
        <w:trPr>
          <w:trHeight w:val="567"/>
        </w:trPr>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7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65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0"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1,165,387</w:t>
            </w:r>
          </w:p>
        </w:tc>
        <w:tc>
          <w:tcPr>
            <w:tcW w:w="165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656,646</w:t>
            </w:r>
          </w:p>
        </w:tc>
        <w:tc>
          <w:tcPr>
            <w:tcW w:w="187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549,279</w:t>
            </w:r>
          </w:p>
        </w:tc>
        <w:tc>
          <w:tcPr>
            <w:tcW w:w="165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0"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1,272,754</w:t>
            </w:r>
          </w:p>
        </w:tc>
      </w:tr>
    </w:tbl>
    <w:p w:rsidR="005703CF" w:rsidRDefault="005703CF" w:rsidP="005703CF">
      <w:pPr>
        <w:spacing w:before="120"/>
        <w:rPr>
          <w:rFonts w:cs="Arial"/>
          <w:b/>
          <w:szCs w:val="20"/>
        </w:rPr>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spacing w:before="120"/>
        <w:rPr>
          <w:rFonts w:cs="Arial"/>
          <w:b/>
          <w:szCs w:val="20"/>
        </w:rPr>
      </w:pPr>
    </w:p>
    <w:p w:rsidR="005703CF" w:rsidRDefault="005703CF" w:rsidP="005703CF">
      <w:pPr>
        <w:spacing w:before="120"/>
        <w:rPr>
          <w:rFonts w:cs="Arial"/>
          <w:b/>
          <w:szCs w:val="20"/>
        </w:rPr>
      </w:pPr>
      <w:r>
        <w:rPr>
          <w:rFonts w:cs="Arial"/>
          <w:b/>
          <w:szCs w:val="20"/>
        </w:rPr>
        <w:br w:type="page"/>
      </w:r>
      <w:r w:rsidRPr="00CB548E">
        <w:rPr>
          <w:rFonts w:cs="Arial"/>
          <w:b/>
          <w:szCs w:val="20"/>
        </w:rPr>
        <w:lastRenderedPageBreak/>
        <w:t>SPAIN</w:t>
      </w:r>
    </w:p>
    <w:p w:rsidR="005703CF" w:rsidRDefault="005703CF" w:rsidP="005703CF">
      <w:pPr>
        <w:spacing w:before="120"/>
        <w:rPr>
          <w:rFonts w:cs="Arial"/>
          <w:b/>
          <w:szCs w:val="20"/>
        </w:rPr>
      </w:pP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721"/>
        <w:gridCol w:w="141"/>
        <w:gridCol w:w="142"/>
        <w:gridCol w:w="3827"/>
      </w:tblGrid>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CB548E">
              <w:rPr>
                <w:rFonts w:cs="Arial"/>
                <w:bCs/>
                <w:color w:val="000000"/>
                <w:sz w:val="16"/>
                <w:szCs w:val="16"/>
              </w:rPr>
              <w:t>Enhanced human resource capacities able to deal with the broad range of requirements for the effective use of IP for development in developing countries</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rPr>
                <w:rFonts w:cs="Arial"/>
                <w:sz w:val="16"/>
                <w:szCs w:val="16"/>
              </w:rPr>
            </w:pPr>
            <w:r w:rsidRPr="00CB548E">
              <w:rPr>
                <w:rFonts w:cs="Arial"/>
                <w:b/>
                <w:bCs/>
                <w:sz w:val="16"/>
                <w:szCs w:val="16"/>
              </w:rPr>
              <w:t>Date</w:t>
            </w:r>
          </w:p>
        </w:tc>
        <w:tc>
          <w:tcPr>
            <w:tcW w:w="2004" w:type="dxa"/>
            <w:gridSpan w:val="3"/>
            <w:tcBorders>
              <w:top w:val="single" w:sz="4" w:space="0" w:color="auto"/>
            </w:tcBorders>
            <w:shd w:val="clear" w:color="auto" w:fill="auto"/>
            <w:tcMar>
              <w:top w:w="110" w:type="dxa"/>
            </w:tcMar>
            <w:vAlign w:val="center"/>
          </w:tcPr>
          <w:p w:rsidR="005703CF" w:rsidRPr="00CB548E" w:rsidRDefault="005703CF" w:rsidP="002249F8">
            <w:pPr>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827" w:type="dxa"/>
            <w:tcBorders>
              <w:top w:val="single" w:sz="4" w:space="0" w:color="auto"/>
            </w:tcBorders>
            <w:shd w:val="clear" w:color="auto" w:fill="FFFFFF"/>
            <w:tcMar>
              <w:top w:w="110" w:type="dxa"/>
            </w:tcMar>
            <w:vAlign w:val="center"/>
          </w:tcPr>
          <w:p w:rsidR="005703CF" w:rsidRPr="00CB548E" w:rsidRDefault="005703CF" w:rsidP="002249F8">
            <w:pPr>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Borders>
              <w:bottom w:val="single" w:sz="4" w:space="0" w:color="auto"/>
            </w:tcBorders>
          </w:tcPr>
          <w:p w:rsidR="005703CF" w:rsidRPr="00CB548E" w:rsidRDefault="005703CF" w:rsidP="002249F8">
            <w:pPr>
              <w:autoSpaceDE w:val="0"/>
              <w:autoSpaceDN w:val="0"/>
              <w:adjustRightInd w:val="0"/>
              <w:spacing w:after="120"/>
              <w:rPr>
                <w:rFonts w:cs="Arial"/>
                <w:color w:val="000000"/>
                <w:sz w:val="16"/>
                <w:szCs w:val="16"/>
              </w:rPr>
            </w:pPr>
            <w:r w:rsidRPr="0043341D">
              <w:rPr>
                <w:rFonts w:cs="Arial"/>
                <w:color w:val="000000"/>
                <w:sz w:val="16"/>
                <w:szCs w:val="16"/>
              </w:rPr>
              <w:t>XI</w:t>
            </w:r>
            <w:r>
              <w:rPr>
                <w:rFonts w:cs="Arial"/>
                <w:color w:val="000000"/>
                <w:sz w:val="16"/>
                <w:szCs w:val="16"/>
              </w:rPr>
              <w:t>I</w:t>
            </w:r>
            <w:r w:rsidRPr="0043341D">
              <w:rPr>
                <w:rFonts w:cs="Arial"/>
                <w:color w:val="000000"/>
                <w:sz w:val="16"/>
                <w:szCs w:val="16"/>
              </w:rPr>
              <w:t xml:space="preserve"> WIPO/EPO/OEPM Regional Seminar on Intellectual Property for Judges and Prosecutors from Latin American countries, </w:t>
            </w:r>
            <w:r>
              <w:rPr>
                <w:rFonts w:cs="Arial"/>
                <w:color w:val="000000"/>
                <w:sz w:val="16"/>
                <w:szCs w:val="16"/>
              </w:rPr>
              <w:t>Cartagena de Indias (Colombia)</w:t>
            </w:r>
          </w:p>
        </w:tc>
        <w:tc>
          <w:tcPr>
            <w:tcW w:w="1260" w:type="dxa"/>
            <w:tcBorders>
              <w:bottom w:val="single" w:sz="4" w:space="0" w:color="auto"/>
            </w:tcBorders>
          </w:tcPr>
          <w:p w:rsidR="005703CF" w:rsidRPr="00CB548E" w:rsidRDefault="005703CF" w:rsidP="002249F8">
            <w:pPr>
              <w:autoSpaceDE w:val="0"/>
              <w:autoSpaceDN w:val="0"/>
              <w:adjustRightInd w:val="0"/>
              <w:spacing w:after="120"/>
              <w:rPr>
                <w:rFonts w:cs="Arial"/>
                <w:color w:val="000000"/>
                <w:sz w:val="16"/>
                <w:szCs w:val="16"/>
              </w:rPr>
            </w:pPr>
            <w:r>
              <w:rPr>
                <w:rFonts w:cs="Arial"/>
                <w:color w:val="000000"/>
                <w:sz w:val="16"/>
                <w:szCs w:val="16"/>
              </w:rPr>
              <w:t>November 4 to 7, 2013</w:t>
            </w:r>
          </w:p>
        </w:tc>
        <w:tc>
          <w:tcPr>
            <w:tcW w:w="2004" w:type="dxa"/>
            <w:gridSpan w:val="3"/>
            <w:tcBorders>
              <w:bottom w:val="single" w:sz="4" w:space="0" w:color="auto"/>
            </w:tcBorders>
          </w:tcPr>
          <w:p w:rsidR="005703CF" w:rsidRPr="00CB548E" w:rsidRDefault="005703CF" w:rsidP="002249F8">
            <w:pPr>
              <w:autoSpaceDE w:val="0"/>
              <w:autoSpaceDN w:val="0"/>
              <w:adjustRightInd w:val="0"/>
              <w:spacing w:after="120"/>
              <w:rPr>
                <w:rFonts w:cs="Arial"/>
                <w:color w:val="000000"/>
                <w:sz w:val="16"/>
                <w:szCs w:val="16"/>
              </w:rPr>
            </w:pPr>
            <w:r>
              <w:rPr>
                <w:rFonts w:cs="Arial"/>
                <w:color w:val="000000"/>
                <w:sz w:val="16"/>
                <w:szCs w:val="16"/>
              </w:rPr>
              <w:t>Colombia</w:t>
            </w:r>
            <w:r w:rsidRPr="0043341D">
              <w:rPr>
                <w:rFonts w:cs="Arial"/>
                <w:color w:val="000000"/>
                <w:sz w:val="16"/>
                <w:szCs w:val="16"/>
              </w:rPr>
              <w:t>/</w:t>
            </w:r>
            <w:r>
              <w:rPr>
                <w:rFonts w:cs="Arial"/>
                <w:color w:val="000000"/>
                <w:sz w:val="16"/>
                <w:szCs w:val="16"/>
              </w:rPr>
              <w:t xml:space="preserve"> A</w:t>
            </w:r>
            <w:r w:rsidRPr="0043341D">
              <w:rPr>
                <w:rFonts w:cs="Arial"/>
                <w:color w:val="000000"/>
                <w:sz w:val="16"/>
                <w:szCs w:val="16"/>
              </w:rPr>
              <w:t>ll L</w:t>
            </w:r>
            <w:r>
              <w:rPr>
                <w:rFonts w:cs="Arial"/>
                <w:color w:val="000000"/>
                <w:sz w:val="16"/>
                <w:szCs w:val="16"/>
              </w:rPr>
              <w:t xml:space="preserve">atin </w:t>
            </w:r>
            <w:r w:rsidRPr="0043341D">
              <w:rPr>
                <w:rFonts w:cs="Arial"/>
                <w:color w:val="000000"/>
                <w:sz w:val="16"/>
                <w:szCs w:val="16"/>
              </w:rPr>
              <w:t>A</w:t>
            </w:r>
            <w:r>
              <w:rPr>
                <w:rFonts w:cs="Arial"/>
                <w:color w:val="000000"/>
                <w:sz w:val="16"/>
                <w:szCs w:val="16"/>
              </w:rPr>
              <w:t>merican</w:t>
            </w:r>
            <w:r w:rsidRPr="0043341D">
              <w:rPr>
                <w:rFonts w:cs="Arial"/>
                <w:color w:val="000000"/>
                <w:sz w:val="16"/>
                <w:szCs w:val="16"/>
              </w:rPr>
              <w:t xml:space="preserve"> countries and Tribunal of Andean Community</w:t>
            </w:r>
          </w:p>
        </w:tc>
        <w:tc>
          <w:tcPr>
            <w:tcW w:w="3827" w:type="dxa"/>
            <w:tcBorders>
              <w:bottom w:val="single" w:sz="4" w:space="0" w:color="auto"/>
            </w:tcBorders>
          </w:tcPr>
          <w:p w:rsidR="005703CF" w:rsidRPr="00CB548E" w:rsidRDefault="005703CF" w:rsidP="002249F8">
            <w:pPr>
              <w:autoSpaceDE w:val="0"/>
              <w:autoSpaceDN w:val="0"/>
              <w:adjustRightInd w:val="0"/>
              <w:spacing w:after="120"/>
              <w:rPr>
                <w:rFonts w:cs="Arial"/>
                <w:color w:val="000000"/>
                <w:sz w:val="16"/>
                <w:szCs w:val="16"/>
              </w:rPr>
            </w:pPr>
            <w:r>
              <w:rPr>
                <w:rFonts w:cs="Arial"/>
                <w:color w:val="000000"/>
                <w:sz w:val="16"/>
                <w:szCs w:val="16"/>
              </w:rPr>
              <w:t xml:space="preserve">To:  (i) provide </w:t>
            </w:r>
            <w:r w:rsidRPr="008849E7">
              <w:rPr>
                <w:rFonts w:cs="Arial"/>
                <w:color w:val="000000"/>
                <w:sz w:val="16"/>
                <w:szCs w:val="16"/>
              </w:rPr>
              <w:t xml:space="preserve">judges and </w:t>
            </w:r>
            <w:r>
              <w:rPr>
                <w:rFonts w:cs="Arial"/>
                <w:color w:val="000000"/>
                <w:sz w:val="16"/>
                <w:szCs w:val="16"/>
              </w:rPr>
              <w:t>p</w:t>
            </w:r>
            <w:r w:rsidRPr="008849E7">
              <w:rPr>
                <w:rFonts w:cs="Arial"/>
                <w:color w:val="000000"/>
                <w:sz w:val="16"/>
                <w:szCs w:val="16"/>
              </w:rPr>
              <w:t xml:space="preserve">ublic </w:t>
            </w:r>
            <w:r>
              <w:rPr>
                <w:rFonts w:cs="Arial"/>
                <w:color w:val="000000"/>
                <w:sz w:val="16"/>
                <w:szCs w:val="16"/>
              </w:rPr>
              <w:t>p</w:t>
            </w:r>
            <w:r w:rsidRPr="008849E7">
              <w:rPr>
                <w:rFonts w:cs="Arial"/>
                <w:color w:val="000000"/>
                <w:sz w:val="16"/>
                <w:szCs w:val="16"/>
              </w:rPr>
              <w:t xml:space="preserve">rosecutors responsible for IP </w:t>
            </w:r>
            <w:r>
              <w:rPr>
                <w:rFonts w:cs="Arial"/>
                <w:color w:val="000000"/>
                <w:sz w:val="16"/>
                <w:szCs w:val="16"/>
              </w:rPr>
              <w:t xml:space="preserve">from </w:t>
            </w:r>
            <w:r w:rsidRPr="00463AD7">
              <w:rPr>
                <w:rFonts w:cs="Arial"/>
                <w:color w:val="000000"/>
                <w:sz w:val="16"/>
                <w:szCs w:val="16"/>
              </w:rPr>
              <w:t xml:space="preserve">Latin American countries </w:t>
            </w:r>
            <w:r w:rsidRPr="008849E7">
              <w:rPr>
                <w:rFonts w:cs="Arial"/>
                <w:color w:val="000000"/>
                <w:sz w:val="16"/>
                <w:szCs w:val="16"/>
              </w:rPr>
              <w:t>with training on IP matters for the decision of litigation cases</w:t>
            </w:r>
            <w:r>
              <w:rPr>
                <w:rFonts w:cs="Arial"/>
                <w:color w:val="000000"/>
                <w:sz w:val="16"/>
                <w:szCs w:val="16"/>
              </w:rPr>
              <w:t>;  and (ii)</w:t>
            </w:r>
            <w:r w:rsidRPr="008849E7">
              <w:rPr>
                <w:rFonts w:cs="Arial"/>
                <w:color w:val="000000"/>
                <w:sz w:val="16"/>
                <w:szCs w:val="16"/>
              </w:rPr>
              <w:t xml:space="preserve"> provide participants with updated information and practical training in the fields of patents, trademarks, copyright and enforcement cases</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CB548E">
              <w:rPr>
                <w:rFonts w:cs="Arial"/>
                <w:bCs/>
                <w:color w:val="000000"/>
                <w:sz w:val="16"/>
                <w:szCs w:val="16"/>
              </w:rPr>
              <w:t>Upgraded IP Management skills for business</w:t>
            </w:r>
          </w:p>
        </w:tc>
      </w:tr>
      <w:tr w:rsidR="005703CF" w:rsidRPr="00CB548E" w:rsidTr="002249F8">
        <w:trPr>
          <w:cantSplit/>
        </w:trPr>
        <w:tc>
          <w:tcPr>
            <w:tcW w:w="1981" w:type="dxa"/>
            <w:tcBorders>
              <w:top w:val="single" w:sz="4" w:space="0" w:color="auto"/>
            </w:tcBorders>
          </w:tcPr>
          <w:p w:rsidR="005703CF" w:rsidRPr="00033FB3" w:rsidRDefault="005703CF" w:rsidP="002249F8">
            <w:pPr>
              <w:autoSpaceDE w:val="0"/>
              <w:autoSpaceDN w:val="0"/>
              <w:adjustRightInd w:val="0"/>
              <w:spacing w:before="120" w:after="120"/>
              <w:rPr>
                <w:rFonts w:cs="Arial"/>
                <w:b/>
                <w:color w:val="000000"/>
                <w:sz w:val="16"/>
                <w:szCs w:val="16"/>
              </w:rPr>
            </w:pPr>
            <w:r w:rsidRPr="00033FB3">
              <w:rPr>
                <w:rFonts w:cs="Arial"/>
                <w:b/>
                <w:color w:val="000000"/>
                <w:sz w:val="16"/>
                <w:szCs w:val="16"/>
              </w:rPr>
              <w:t>Activity</w:t>
            </w:r>
          </w:p>
        </w:tc>
        <w:tc>
          <w:tcPr>
            <w:tcW w:w="1260" w:type="dxa"/>
            <w:tcBorders>
              <w:top w:val="single" w:sz="4" w:space="0" w:color="auto"/>
            </w:tcBorders>
            <w:shd w:val="clear" w:color="auto" w:fill="auto"/>
            <w:tcMar>
              <w:top w:w="110" w:type="dxa"/>
            </w:tcMar>
          </w:tcPr>
          <w:p w:rsidR="005703CF" w:rsidRDefault="005703CF" w:rsidP="002249F8">
            <w:pPr>
              <w:autoSpaceDE w:val="0"/>
              <w:autoSpaceDN w:val="0"/>
              <w:adjustRightInd w:val="0"/>
              <w:spacing w:before="120" w:after="120"/>
              <w:rPr>
                <w:rFonts w:cs="Arial"/>
                <w:b/>
                <w:color w:val="000000"/>
                <w:sz w:val="16"/>
                <w:szCs w:val="16"/>
              </w:rPr>
            </w:pPr>
            <w:r>
              <w:rPr>
                <w:rFonts w:cs="Arial"/>
                <w:b/>
                <w:color w:val="000000"/>
                <w:sz w:val="16"/>
                <w:szCs w:val="16"/>
              </w:rPr>
              <w:t>Date</w:t>
            </w:r>
          </w:p>
        </w:tc>
        <w:tc>
          <w:tcPr>
            <w:tcW w:w="1862" w:type="dxa"/>
            <w:gridSpan w:val="2"/>
            <w:tcBorders>
              <w:top w:val="single" w:sz="4" w:space="0" w:color="auto"/>
            </w:tcBorders>
            <w:shd w:val="clear" w:color="auto" w:fill="auto"/>
            <w:tcMar>
              <w:top w:w="110" w:type="dxa"/>
            </w:tcMar>
          </w:tcPr>
          <w:p w:rsidR="005703CF" w:rsidRPr="00033FB3" w:rsidRDefault="005703CF" w:rsidP="002249F8">
            <w:pPr>
              <w:autoSpaceDE w:val="0"/>
              <w:autoSpaceDN w:val="0"/>
              <w:adjustRightInd w:val="0"/>
              <w:spacing w:before="120" w:after="120"/>
              <w:rPr>
                <w:rFonts w:cs="Arial"/>
                <w:b/>
                <w:color w:val="000000"/>
                <w:sz w:val="16"/>
                <w:szCs w:val="16"/>
              </w:rPr>
            </w:pPr>
            <w:r w:rsidRPr="00033FB3">
              <w:rPr>
                <w:rFonts w:cs="Arial"/>
                <w:b/>
                <w:color w:val="000000"/>
                <w:sz w:val="16"/>
                <w:szCs w:val="16"/>
              </w:rPr>
              <w:t>Country/Recipients</w:t>
            </w:r>
          </w:p>
        </w:tc>
        <w:tc>
          <w:tcPr>
            <w:tcW w:w="3969" w:type="dxa"/>
            <w:gridSpan w:val="2"/>
            <w:tcBorders>
              <w:top w:val="single" w:sz="4" w:space="0" w:color="auto"/>
            </w:tcBorders>
            <w:shd w:val="clear" w:color="auto" w:fill="FFFFFF"/>
            <w:tcMar>
              <w:top w:w="110" w:type="dxa"/>
            </w:tcMar>
          </w:tcPr>
          <w:p w:rsidR="005703CF" w:rsidRPr="00033FB3" w:rsidRDefault="005703CF" w:rsidP="002249F8">
            <w:pPr>
              <w:autoSpaceDE w:val="0"/>
              <w:autoSpaceDN w:val="0"/>
              <w:adjustRightInd w:val="0"/>
              <w:spacing w:before="120" w:after="120"/>
              <w:rPr>
                <w:rFonts w:cs="Arial"/>
                <w:b/>
                <w:color w:val="000000"/>
                <w:sz w:val="16"/>
                <w:szCs w:val="16"/>
              </w:rPr>
            </w:pPr>
            <w:r w:rsidRPr="00033FB3">
              <w:rPr>
                <w:rFonts w:cs="Arial"/>
                <w:b/>
                <w:color w:val="000000"/>
                <w:sz w:val="16"/>
                <w:szCs w:val="16"/>
              </w:rPr>
              <w:t>Purpose</w:t>
            </w:r>
            <w:r>
              <w:rPr>
                <w:rFonts w:cs="Arial"/>
                <w:b/>
                <w:color w:val="000000"/>
                <w:sz w:val="16"/>
                <w:szCs w:val="16"/>
              </w:rPr>
              <w:t>(s)</w:t>
            </w:r>
            <w:r w:rsidRPr="00033FB3">
              <w:rPr>
                <w:rFonts w:cs="Arial"/>
                <w:b/>
                <w:color w:val="000000"/>
                <w:sz w:val="16"/>
                <w:szCs w:val="16"/>
              </w:rPr>
              <w:t>/</w:t>
            </w:r>
            <w:r>
              <w:rPr>
                <w:rFonts w:cs="Arial"/>
                <w:b/>
                <w:color w:val="000000"/>
                <w:sz w:val="16"/>
                <w:szCs w:val="16"/>
              </w:rPr>
              <w:t>D</w:t>
            </w:r>
            <w:r w:rsidRPr="00033FB3">
              <w:rPr>
                <w:rFonts w:cs="Arial"/>
                <w:b/>
                <w:color w:val="000000"/>
                <w:sz w:val="16"/>
                <w:szCs w:val="16"/>
              </w:rPr>
              <w:t>escription</w:t>
            </w:r>
          </w:p>
        </w:tc>
      </w:tr>
      <w:tr w:rsidR="005703CF" w:rsidRPr="00CB548E" w:rsidTr="002249F8">
        <w:trPr>
          <w:cantSplit/>
        </w:trPr>
        <w:tc>
          <w:tcPr>
            <w:tcW w:w="1981" w:type="dxa"/>
          </w:tcPr>
          <w:p w:rsidR="005703CF" w:rsidRPr="00B058EA" w:rsidRDefault="005703CF" w:rsidP="002249F8">
            <w:pPr>
              <w:autoSpaceDE w:val="0"/>
              <w:autoSpaceDN w:val="0"/>
              <w:adjustRightInd w:val="0"/>
              <w:spacing w:after="120"/>
              <w:rPr>
                <w:rFonts w:cs="Arial"/>
                <w:color w:val="000000"/>
                <w:sz w:val="16"/>
                <w:szCs w:val="16"/>
              </w:rPr>
            </w:pPr>
            <w:r w:rsidRPr="00B058EA">
              <w:rPr>
                <w:rFonts w:cs="Arial"/>
                <w:color w:val="000000"/>
                <w:sz w:val="16"/>
                <w:szCs w:val="16"/>
              </w:rPr>
              <w:t>P</w:t>
            </w:r>
            <w:r>
              <w:rPr>
                <w:rFonts w:cs="Arial"/>
                <w:color w:val="000000"/>
                <w:sz w:val="16"/>
                <w:szCs w:val="16"/>
              </w:rPr>
              <w:t>roject to develop a p</w:t>
            </w:r>
            <w:r w:rsidRPr="00B058EA">
              <w:rPr>
                <w:rFonts w:cs="Arial"/>
                <w:color w:val="000000"/>
                <w:sz w:val="16"/>
                <w:szCs w:val="16"/>
              </w:rPr>
              <w:t xml:space="preserve">latform in Spanish </w:t>
            </w:r>
            <w:r>
              <w:rPr>
                <w:rFonts w:cs="Arial"/>
                <w:color w:val="000000"/>
                <w:sz w:val="16"/>
                <w:szCs w:val="16"/>
              </w:rPr>
              <w:t xml:space="preserve">with content and services </w:t>
            </w:r>
            <w:r w:rsidRPr="00B058EA">
              <w:rPr>
                <w:rFonts w:cs="Arial"/>
                <w:color w:val="000000"/>
                <w:sz w:val="16"/>
                <w:szCs w:val="16"/>
              </w:rPr>
              <w:t>on industrial property to the Ibero</w:t>
            </w:r>
            <w:r>
              <w:rPr>
                <w:rFonts w:cs="Arial"/>
                <w:color w:val="000000"/>
                <w:sz w:val="16"/>
                <w:szCs w:val="16"/>
              </w:rPr>
              <w:t>-A</w:t>
            </w:r>
            <w:r w:rsidRPr="00B058EA">
              <w:rPr>
                <w:rFonts w:cs="Arial"/>
                <w:color w:val="000000"/>
                <w:sz w:val="16"/>
                <w:szCs w:val="16"/>
              </w:rPr>
              <w:t>merican entrepreneurial sector with special focus on SMEs (CIBEPYME)</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January 2013 to December 2013</w:t>
            </w:r>
          </w:p>
          <w:p w:rsidR="005703CF" w:rsidRPr="00B058EA" w:rsidRDefault="005703CF" w:rsidP="002249F8">
            <w:pPr>
              <w:autoSpaceDE w:val="0"/>
              <w:autoSpaceDN w:val="0"/>
              <w:adjustRightInd w:val="0"/>
              <w:spacing w:after="120"/>
              <w:rPr>
                <w:rFonts w:cs="Arial"/>
                <w:color w:val="000000"/>
                <w:sz w:val="16"/>
                <w:szCs w:val="16"/>
              </w:rPr>
            </w:pPr>
            <w:r>
              <w:rPr>
                <w:rFonts w:cs="Arial"/>
                <w:color w:val="000000"/>
                <w:sz w:val="16"/>
                <w:szCs w:val="16"/>
              </w:rPr>
              <w:t>(Project on-going since 2010)</w:t>
            </w:r>
          </w:p>
        </w:tc>
        <w:tc>
          <w:tcPr>
            <w:tcW w:w="1862" w:type="dxa"/>
            <w:gridSpan w:val="2"/>
            <w:shd w:val="clear" w:color="auto" w:fill="auto"/>
            <w:tcMar>
              <w:top w:w="110" w:type="dxa"/>
            </w:tcMar>
          </w:tcPr>
          <w:p w:rsidR="005703CF" w:rsidRPr="00CB548E" w:rsidRDefault="005703CF" w:rsidP="002249F8">
            <w:pPr>
              <w:autoSpaceDE w:val="0"/>
              <w:autoSpaceDN w:val="0"/>
              <w:adjustRightInd w:val="0"/>
              <w:spacing w:after="120"/>
              <w:rPr>
                <w:rFonts w:cs="Arial"/>
                <w:color w:val="000000"/>
                <w:sz w:val="16"/>
                <w:szCs w:val="16"/>
              </w:rPr>
            </w:pPr>
            <w:r>
              <w:rPr>
                <w:rFonts w:cs="Arial"/>
                <w:color w:val="000000"/>
                <w:sz w:val="16"/>
                <w:szCs w:val="16"/>
              </w:rPr>
              <w:t>All Ibero-American countries</w:t>
            </w:r>
          </w:p>
        </w:tc>
        <w:tc>
          <w:tcPr>
            <w:tcW w:w="3969" w:type="dxa"/>
            <w:gridSpan w:val="2"/>
            <w:shd w:val="clear" w:color="auto" w:fill="FFFFFF"/>
            <w:tcMar>
              <w:top w:w="110" w:type="dxa"/>
            </w:tcMar>
          </w:tcPr>
          <w:p w:rsidR="005703CF" w:rsidRPr="00CB548E" w:rsidRDefault="005703CF" w:rsidP="006D1A73">
            <w:pPr>
              <w:autoSpaceDE w:val="0"/>
              <w:autoSpaceDN w:val="0"/>
              <w:adjustRightInd w:val="0"/>
              <w:spacing w:after="120"/>
              <w:rPr>
                <w:rFonts w:cs="Arial"/>
                <w:color w:val="000000"/>
                <w:sz w:val="16"/>
                <w:szCs w:val="16"/>
              </w:rPr>
            </w:pPr>
            <w:r w:rsidRPr="00F34AAE">
              <w:rPr>
                <w:rFonts w:cs="Arial"/>
                <w:color w:val="000000"/>
                <w:sz w:val="16"/>
                <w:szCs w:val="16"/>
              </w:rPr>
              <w:t xml:space="preserve">To </w:t>
            </w:r>
            <w:r>
              <w:rPr>
                <w:rFonts w:cs="Arial"/>
                <w:color w:val="000000"/>
                <w:sz w:val="16"/>
                <w:szCs w:val="16"/>
              </w:rPr>
              <w:t xml:space="preserve">continue to </w:t>
            </w:r>
            <w:r w:rsidRPr="00F34AAE">
              <w:rPr>
                <w:rFonts w:cs="Arial"/>
                <w:color w:val="000000"/>
                <w:sz w:val="16"/>
                <w:szCs w:val="16"/>
              </w:rPr>
              <w:t>design and create one Platform</w:t>
            </w:r>
            <w:r>
              <w:rPr>
                <w:rFonts w:cs="Arial"/>
                <w:color w:val="000000"/>
                <w:sz w:val="16"/>
                <w:szCs w:val="16"/>
              </w:rPr>
              <w:t xml:space="preserve"> </w:t>
            </w:r>
            <w:r w:rsidRPr="00F34AAE">
              <w:rPr>
                <w:rFonts w:cs="Arial"/>
                <w:color w:val="000000"/>
                <w:sz w:val="16"/>
                <w:szCs w:val="16"/>
              </w:rPr>
              <w:t>addressed to the private sector in order to:</w:t>
            </w:r>
            <w:r>
              <w:rPr>
                <w:rFonts w:cs="Arial"/>
                <w:color w:val="000000"/>
                <w:sz w:val="16"/>
                <w:szCs w:val="16"/>
              </w:rPr>
              <w:t xml:space="preserve"> </w:t>
            </w:r>
            <w:r w:rsidRPr="00F34AAE">
              <w:rPr>
                <w:rFonts w:cs="Arial"/>
                <w:color w:val="000000"/>
                <w:sz w:val="16"/>
                <w:szCs w:val="16"/>
              </w:rPr>
              <w:t>(i)</w:t>
            </w:r>
            <w:r w:rsidR="006D1A73">
              <w:rPr>
                <w:rFonts w:cs="Arial"/>
                <w:color w:val="000000"/>
                <w:sz w:val="16"/>
                <w:szCs w:val="16"/>
              </w:rPr>
              <w:t> </w:t>
            </w:r>
            <w:r w:rsidRPr="00F34AAE">
              <w:rPr>
                <w:rFonts w:cs="Arial"/>
                <w:color w:val="000000"/>
                <w:sz w:val="16"/>
                <w:szCs w:val="16"/>
              </w:rPr>
              <w:t>provide assistance and services in their</w:t>
            </w:r>
            <w:r>
              <w:rPr>
                <w:rFonts w:cs="Arial"/>
                <w:color w:val="000000"/>
                <w:sz w:val="16"/>
                <w:szCs w:val="16"/>
              </w:rPr>
              <w:t xml:space="preserve"> </w:t>
            </w:r>
            <w:r w:rsidRPr="00F34AAE">
              <w:rPr>
                <w:rFonts w:cs="Arial"/>
                <w:color w:val="000000"/>
                <w:sz w:val="16"/>
                <w:szCs w:val="16"/>
              </w:rPr>
              <w:t>use of IP; (ii) to increase the value of their</w:t>
            </w:r>
            <w:r>
              <w:rPr>
                <w:rFonts w:cs="Arial"/>
                <w:color w:val="000000"/>
                <w:sz w:val="16"/>
                <w:szCs w:val="16"/>
              </w:rPr>
              <w:t xml:space="preserve"> </w:t>
            </w:r>
            <w:r w:rsidRPr="00F34AAE">
              <w:rPr>
                <w:rFonts w:cs="Arial"/>
                <w:color w:val="000000"/>
                <w:sz w:val="16"/>
                <w:szCs w:val="16"/>
              </w:rPr>
              <w:t>business; and (iii) provide a private sector</w:t>
            </w:r>
            <w:r>
              <w:rPr>
                <w:rFonts w:cs="Arial"/>
                <w:color w:val="000000"/>
                <w:sz w:val="16"/>
                <w:szCs w:val="16"/>
              </w:rPr>
              <w:t xml:space="preserve"> </w:t>
            </w:r>
            <w:r w:rsidRPr="00F34AAE">
              <w:rPr>
                <w:rFonts w:cs="Arial"/>
                <w:color w:val="000000"/>
                <w:sz w:val="16"/>
                <w:szCs w:val="16"/>
              </w:rPr>
              <w:t>forum for the exchange of ideas and</w:t>
            </w:r>
            <w:r>
              <w:rPr>
                <w:rFonts w:cs="Arial"/>
                <w:color w:val="000000"/>
                <w:sz w:val="16"/>
                <w:szCs w:val="16"/>
              </w:rPr>
              <w:t xml:space="preserve"> </w:t>
            </w:r>
            <w:r w:rsidRPr="00F34AAE">
              <w:rPr>
                <w:rFonts w:cs="Arial"/>
                <w:color w:val="000000"/>
                <w:sz w:val="16"/>
                <w:szCs w:val="16"/>
              </w:rPr>
              <w:t>experiences</w:t>
            </w:r>
          </w:p>
        </w:tc>
      </w:tr>
      <w:tr w:rsidR="005703CF" w:rsidRPr="00CB548E" w:rsidTr="002249F8">
        <w:trPr>
          <w:cantSplit/>
        </w:trPr>
        <w:tc>
          <w:tcPr>
            <w:tcW w:w="1981" w:type="dxa"/>
          </w:tcPr>
          <w:p w:rsidR="005703CF" w:rsidRPr="00F15D25" w:rsidRDefault="005703CF" w:rsidP="002249F8">
            <w:pPr>
              <w:autoSpaceDE w:val="0"/>
              <w:autoSpaceDN w:val="0"/>
              <w:adjustRightInd w:val="0"/>
              <w:spacing w:after="120"/>
              <w:rPr>
                <w:rFonts w:cs="Arial"/>
                <w:color w:val="000000"/>
                <w:sz w:val="16"/>
                <w:szCs w:val="16"/>
              </w:rPr>
            </w:pPr>
            <w:r>
              <w:rPr>
                <w:rFonts w:cs="Arial"/>
                <w:color w:val="000000"/>
                <w:sz w:val="16"/>
                <w:szCs w:val="16"/>
              </w:rPr>
              <w:t>S</w:t>
            </w:r>
            <w:r w:rsidRPr="008D610D">
              <w:rPr>
                <w:rFonts w:cs="Arial"/>
                <w:color w:val="000000"/>
                <w:sz w:val="16"/>
                <w:szCs w:val="16"/>
              </w:rPr>
              <w:t>panish Patent and Trademark Office (SPTO) progress in hiring an enterprise for the development of the platform, adapted to the needs of Ibero</w:t>
            </w:r>
            <w:r>
              <w:rPr>
                <w:rFonts w:cs="Arial"/>
                <w:color w:val="000000"/>
                <w:sz w:val="16"/>
                <w:szCs w:val="16"/>
              </w:rPr>
              <w:t>-</w:t>
            </w:r>
            <w:r w:rsidRPr="008D610D">
              <w:rPr>
                <w:rFonts w:cs="Arial"/>
                <w:color w:val="000000"/>
                <w:sz w:val="16"/>
                <w:szCs w:val="16"/>
              </w:rPr>
              <w:t>America</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January 2013 to December 2013</w:t>
            </w:r>
          </w:p>
          <w:p w:rsidR="005703CF" w:rsidRDefault="005703CF" w:rsidP="002249F8">
            <w:pPr>
              <w:autoSpaceDE w:val="0"/>
              <w:autoSpaceDN w:val="0"/>
              <w:adjustRightInd w:val="0"/>
              <w:spacing w:after="120"/>
              <w:rPr>
                <w:rFonts w:cs="Arial"/>
                <w:b/>
                <w:color w:val="000000"/>
                <w:sz w:val="16"/>
                <w:szCs w:val="16"/>
              </w:rPr>
            </w:pPr>
            <w:r>
              <w:rPr>
                <w:rFonts w:cs="Arial"/>
                <w:color w:val="000000"/>
                <w:sz w:val="16"/>
                <w:szCs w:val="16"/>
              </w:rPr>
              <w:t>(Project on-going since 2010)</w:t>
            </w:r>
          </w:p>
        </w:tc>
        <w:tc>
          <w:tcPr>
            <w:tcW w:w="1862" w:type="dxa"/>
            <w:gridSpan w:val="2"/>
            <w:shd w:val="clear" w:color="auto" w:fill="auto"/>
            <w:tcMar>
              <w:top w:w="110" w:type="dxa"/>
            </w:tcMar>
          </w:tcPr>
          <w:p w:rsidR="005703CF" w:rsidRPr="00033FB3" w:rsidRDefault="005703CF" w:rsidP="002249F8">
            <w:pPr>
              <w:autoSpaceDE w:val="0"/>
              <w:autoSpaceDN w:val="0"/>
              <w:adjustRightInd w:val="0"/>
              <w:spacing w:after="120"/>
              <w:rPr>
                <w:rFonts w:cs="Arial"/>
                <w:b/>
                <w:color w:val="000000"/>
                <w:sz w:val="16"/>
                <w:szCs w:val="16"/>
              </w:rPr>
            </w:pPr>
            <w:r>
              <w:rPr>
                <w:rFonts w:cs="Arial"/>
                <w:color w:val="000000"/>
                <w:sz w:val="16"/>
                <w:szCs w:val="16"/>
              </w:rPr>
              <w:t>All Ibero-American countries</w:t>
            </w:r>
          </w:p>
        </w:tc>
        <w:tc>
          <w:tcPr>
            <w:tcW w:w="3969" w:type="dxa"/>
            <w:gridSpan w:val="2"/>
            <w:shd w:val="clear" w:color="auto" w:fill="FFFFFF"/>
            <w:tcMar>
              <w:top w:w="110" w:type="dxa"/>
            </w:tcMar>
          </w:tcPr>
          <w:p w:rsidR="005703CF" w:rsidRPr="00033FB3" w:rsidRDefault="005703CF" w:rsidP="002249F8">
            <w:pPr>
              <w:autoSpaceDE w:val="0"/>
              <w:autoSpaceDN w:val="0"/>
              <w:adjustRightInd w:val="0"/>
              <w:spacing w:after="120"/>
              <w:rPr>
                <w:rFonts w:cs="Arial"/>
                <w:b/>
                <w:color w:val="000000"/>
                <w:sz w:val="16"/>
                <w:szCs w:val="16"/>
              </w:rPr>
            </w:pPr>
            <w:r>
              <w:rPr>
                <w:rFonts w:cs="Arial"/>
                <w:color w:val="000000"/>
                <w:sz w:val="16"/>
                <w:szCs w:val="16"/>
              </w:rPr>
              <w:t>To continue development of</w:t>
            </w:r>
            <w:r w:rsidRPr="008D610D">
              <w:rPr>
                <w:rFonts w:cs="Arial"/>
                <w:color w:val="000000"/>
                <w:sz w:val="16"/>
                <w:szCs w:val="16"/>
              </w:rPr>
              <w:t xml:space="preserve"> </w:t>
            </w:r>
            <w:r>
              <w:rPr>
                <w:rFonts w:cs="Arial"/>
                <w:color w:val="000000"/>
                <w:sz w:val="16"/>
                <w:szCs w:val="16"/>
              </w:rPr>
              <w:t xml:space="preserve">the </w:t>
            </w:r>
            <w:r w:rsidRPr="008D610D">
              <w:rPr>
                <w:rFonts w:cs="Arial"/>
                <w:color w:val="000000"/>
                <w:sz w:val="16"/>
                <w:szCs w:val="16"/>
              </w:rPr>
              <w:t>CIBEPYME Platform</w:t>
            </w:r>
            <w:r>
              <w:rPr>
                <w:rFonts w:cs="Arial"/>
                <w:color w:val="000000"/>
                <w:sz w:val="16"/>
                <w:szCs w:val="16"/>
              </w:rPr>
              <w:t xml:space="preserve"> </w:t>
            </w:r>
          </w:p>
        </w:tc>
      </w:tr>
      <w:tr w:rsidR="005703CF" w:rsidRPr="00CB548E" w:rsidTr="002249F8">
        <w:trPr>
          <w:cantSplit/>
        </w:trPr>
        <w:tc>
          <w:tcPr>
            <w:tcW w:w="1981" w:type="dxa"/>
          </w:tcPr>
          <w:p w:rsidR="005703CF" w:rsidRDefault="005703CF" w:rsidP="002249F8">
            <w:pPr>
              <w:autoSpaceDE w:val="0"/>
              <w:autoSpaceDN w:val="0"/>
              <w:adjustRightInd w:val="0"/>
              <w:spacing w:after="120"/>
              <w:rPr>
                <w:rFonts w:cs="Arial"/>
                <w:color w:val="000000"/>
                <w:sz w:val="16"/>
                <w:szCs w:val="16"/>
              </w:rPr>
            </w:pPr>
            <w:r w:rsidRPr="008D610D">
              <w:rPr>
                <w:rFonts w:cs="Arial"/>
                <w:color w:val="000000"/>
                <w:sz w:val="16"/>
                <w:szCs w:val="16"/>
              </w:rPr>
              <w:t>SPTO hosted a server for the platform</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January 2013 to December 2013</w:t>
            </w:r>
          </w:p>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(Project on-going since 2010)</w:t>
            </w:r>
          </w:p>
        </w:tc>
        <w:tc>
          <w:tcPr>
            <w:tcW w:w="1862" w:type="dxa"/>
            <w:gridSpan w:val="2"/>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sidRPr="008D610D">
              <w:rPr>
                <w:rFonts w:cs="Arial"/>
                <w:color w:val="000000"/>
                <w:sz w:val="16"/>
                <w:szCs w:val="16"/>
              </w:rPr>
              <w:t>All Ibero</w:t>
            </w:r>
            <w:r>
              <w:rPr>
                <w:rFonts w:cs="Arial"/>
                <w:color w:val="000000"/>
                <w:sz w:val="16"/>
                <w:szCs w:val="16"/>
              </w:rPr>
              <w:t>-A</w:t>
            </w:r>
            <w:r w:rsidRPr="008D610D">
              <w:rPr>
                <w:rFonts w:cs="Arial"/>
                <w:color w:val="000000"/>
                <w:sz w:val="16"/>
                <w:szCs w:val="16"/>
              </w:rPr>
              <w:t>merican countries</w:t>
            </w:r>
          </w:p>
        </w:tc>
        <w:tc>
          <w:tcPr>
            <w:tcW w:w="3969" w:type="dxa"/>
            <w:gridSpan w:val="2"/>
            <w:shd w:val="clear" w:color="auto" w:fill="FFFFFF"/>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To make the</w:t>
            </w:r>
            <w:r w:rsidRPr="008D610D">
              <w:rPr>
                <w:rFonts w:cs="Arial"/>
                <w:color w:val="000000"/>
                <w:sz w:val="16"/>
                <w:szCs w:val="16"/>
              </w:rPr>
              <w:t xml:space="preserve"> CIBEPYME Platform accessible</w:t>
            </w:r>
            <w:r>
              <w:rPr>
                <w:rFonts w:cs="Arial"/>
                <w:color w:val="000000"/>
                <w:sz w:val="16"/>
                <w:szCs w:val="16"/>
              </w:rPr>
              <w:t xml:space="preserve"> </w:t>
            </w:r>
          </w:p>
        </w:tc>
      </w:tr>
      <w:tr w:rsidR="005703CF" w:rsidRPr="00CB548E" w:rsidTr="002249F8">
        <w:trPr>
          <w:cantSplit/>
        </w:trPr>
        <w:tc>
          <w:tcPr>
            <w:tcW w:w="1981" w:type="dxa"/>
          </w:tcPr>
          <w:p w:rsidR="005703CF" w:rsidRPr="008D610D" w:rsidRDefault="005703CF" w:rsidP="002249F8">
            <w:pPr>
              <w:autoSpaceDE w:val="0"/>
              <w:autoSpaceDN w:val="0"/>
              <w:adjustRightInd w:val="0"/>
              <w:spacing w:after="120"/>
              <w:rPr>
                <w:rFonts w:cs="Arial"/>
                <w:color w:val="000000"/>
                <w:sz w:val="16"/>
                <w:szCs w:val="16"/>
              </w:rPr>
            </w:pPr>
            <w:r>
              <w:rPr>
                <w:rFonts w:cs="Arial"/>
                <w:color w:val="000000"/>
                <w:sz w:val="16"/>
                <w:szCs w:val="16"/>
              </w:rPr>
              <w:t>WIPO recruitment of</w:t>
            </w:r>
            <w:r w:rsidRPr="008D610D">
              <w:rPr>
                <w:rFonts w:cs="Arial"/>
                <w:color w:val="000000"/>
                <w:sz w:val="16"/>
                <w:szCs w:val="16"/>
              </w:rPr>
              <w:t xml:space="preserve"> an expert</w:t>
            </w:r>
            <w:r>
              <w:rPr>
                <w:rFonts w:cs="Arial"/>
                <w:color w:val="000000"/>
                <w:sz w:val="16"/>
                <w:szCs w:val="16"/>
              </w:rPr>
              <w:t xml:space="preserve"> consultant</w:t>
            </w:r>
            <w:r w:rsidRPr="008D610D">
              <w:rPr>
                <w:rFonts w:cs="Arial"/>
                <w:color w:val="000000"/>
                <w:sz w:val="16"/>
                <w:szCs w:val="16"/>
              </w:rPr>
              <w:t xml:space="preserve"> for the development of services and content of the platform, and coordinate the inputs o</w:t>
            </w:r>
            <w:r>
              <w:rPr>
                <w:rFonts w:cs="Arial"/>
                <w:color w:val="000000"/>
                <w:sz w:val="16"/>
                <w:szCs w:val="16"/>
              </w:rPr>
              <w:t>f</w:t>
            </w:r>
            <w:r w:rsidRPr="008D610D">
              <w:rPr>
                <w:rFonts w:cs="Arial"/>
                <w:color w:val="000000"/>
                <w:sz w:val="16"/>
                <w:szCs w:val="16"/>
              </w:rPr>
              <w:t xml:space="preserve"> Ibero</w:t>
            </w:r>
            <w:r>
              <w:rPr>
                <w:rFonts w:cs="Arial"/>
                <w:color w:val="000000"/>
                <w:sz w:val="16"/>
                <w:szCs w:val="16"/>
              </w:rPr>
              <w:t>-</w:t>
            </w:r>
            <w:r w:rsidRPr="008D610D">
              <w:rPr>
                <w:rFonts w:cs="Arial"/>
                <w:color w:val="000000"/>
                <w:sz w:val="16"/>
                <w:szCs w:val="16"/>
              </w:rPr>
              <w:t>America</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October to December 2013</w:t>
            </w:r>
          </w:p>
          <w:p w:rsidR="005703CF" w:rsidRDefault="005703CF" w:rsidP="002249F8">
            <w:pPr>
              <w:autoSpaceDE w:val="0"/>
              <w:autoSpaceDN w:val="0"/>
              <w:adjustRightInd w:val="0"/>
              <w:spacing w:after="120"/>
              <w:rPr>
                <w:rFonts w:cs="Arial"/>
                <w:color w:val="000000"/>
                <w:sz w:val="16"/>
                <w:szCs w:val="16"/>
              </w:rPr>
            </w:pPr>
          </w:p>
        </w:tc>
        <w:tc>
          <w:tcPr>
            <w:tcW w:w="1862" w:type="dxa"/>
            <w:gridSpan w:val="2"/>
            <w:shd w:val="clear" w:color="auto" w:fill="auto"/>
            <w:tcMar>
              <w:top w:w="110" w:type="dxa"/>
            </w:tcMar>
          </w:tcPr>
          <w:p w:rsidR="005703CF" w:rsidRPr="008D610D" w:rsidRDefault="005703CF" w:rsidP="002249F8">
            <w:pPr>
              <w:autoSpaceDE w:val="0"/>
              <w:autoSpaceDN w:val="0"/>
              <w:adjustRightInd w:val="0"/>
              <w:spacing w:after="120"/>
              <w:rPr>
                <w:rFonts w:cs="Arial"/>
                <w:color w:val="000000"/>
                <w:sz w:val="16"/>
                <w:szCs w:val="16"/>
              </w:rPr>
            </w:pPr>
            <w:r w:rsidRPr="008D610D">
              <w:rPr>
                <w:rFonts w:cs="Arial"/>
                <w:color w:val="000000"/>
                <w:sz w:val="16"/>
                <w:szCs w:val="16"/>
              </w:rPr>
              <w:t>All Ibero</w:t>
            </w:r>
            <w:r>
              <w:rPr>
                <w:rFonts w:cs="Arial"/>
                <w:color w:val="000000"/>
                <w:sz w:val="16"/>
                <w:szCs w:val="16"/>
              </w:rPr>
              <w:t>-A</w:t>
            </w:r>
            <w:r w:rsidRPr="008D610D">
              <w:rPr>
                <w:rFonts w:cs="Arial"/>
                <w:color w:val="000000"/>
                <w:sz w:val="16"/>
                <w:szCs w:val="16"/>
              </w:rPr>
              <w:t>merican countries</w:t>
            </w:r>
          </w:p>
        </w:tc>
        <w:tc>
          <w:tcPr>
            <w:tcW w:w="3969" w:type="dxa"/>
            <w:gridSpan w:val="2"/>
            <w:shd w:val="clear" w:color="auto" w:fill="FFFFFF"/>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To develop content and services</w:t>
            </w:r>
            <w:r w:rsidRPr="006E5427">
              <w:rPr>
                <w:rFonts w:cs="Arial"/>
                <w:color w:val="000000"/>
                <w:sz w:val="16"/>
                <w:szCs w:val="16"/>
              </w:rPr>
              <w:t xml:space="preserve"> and coordinate </w:t>
            </w:r>
            <w:r>
              <w:rPr>
                <w:rFonts w:cs="Arial"/>
                <w:color w:val="000000"/>
                <w:sz w:val="16"/>
                <w:szCs w:val="16"/>
              </w:rPr>
              <w:t xml:space="preserve">inputs from countries  into the </w:t>
            </w:r>
            <w:r w:rsidRPr="006E5427">
              <w:rPr>
                <w:rFonts w:cs="Arial"/>
                <w:color w:val="000000"/>
                <w:sz w:val="16"/>
                <w:szCs w:val="16"/>
              </w:rPr>
              <w:t>CIBEPYME</w:t>
            </w:r>
            <w:r>
              <w:rPr>
                <w:rFonts w:cs="Arial"/>
                <w:color w:val="000000"/>
                <w:sz w:val="16"/>
                <w:szCs w:val="16"/>
              </w:rPr>
              <w:t xml:space="preserve"> </w:t>
            </w:r>
          </w:p>
        </w:tc>
      </w:tr>
      <w:tr w:rsidR="005703CF" w:rsidRPr="00CB548E" w:rsidTr="002249F8">
        <w:trPr>
          <w:cantSplit/>
        </w:trPr>
        <w:tc>
          <w:tcPr>
            <w:tcW w:w="1981" w:type="dxa"/>
          </w:tcPr>
          <w:p w:rsidR="005703CF" w:rsidRPr="008D610D" w:rsidRDefault="005703CF" w:rsidP="002249F8">
            <w:pPr>
              <w:autoSpaceDE w:val="0"/>
              <w:autoSpaceDN w:val="0"/>
              <w:adjustRightInd w:val="0"/>
              <w:spacing w:after="120"/>
              <w:rPr>
                <w:rFonts w:cs="Arial"/>
                <w:color w:val="000000"/>
                <w:sz w:val="16"/>
                <w:szCs w:val="16"/>
              </w:rPr>
            </w:pPr>
            <w:r>
              <w:rPr>
                <w:rFonts w:cs="Arial"/>
                <w:color w:val="000000"/>
                <w:sz w:val="16"/>
                <w:szCs w:val="16"/>
              </w:rPr>
              <w:t>Training course for the</w:t>
            </w:r>
            <w:r>
              <w:t xml:space="preserve"> </w:t>
            </w:r>
            <w:r w:rsidRPr="004C5585">
              <w:rPr>
                <w:rFonts w:cs="Arial"/>
                <w:color w:val="000000"/>
                <w:sz w:val="16"/>
                <w:szCs w:val="16"/>
              </w:rPr>
              <w:t xml:space="preserve">expert </w:t>
            </w:r>
            <w:r>
              <w:rPr>
                <w:rFonts w:cs="Arial"/>
                <w:color w:val="000000"/>
                <w:sz w:val="16"/>
                <w:szCs w:val="16"/>
              </w:rPr>
              <w:t>on</w:t>
            </w:r>
            <w:r w:rsidRPr="004C5585">
              <w:rPr>
                <w:rFonts w:cs="Arial"/>
                <w:color w:val="000000"/>
                <w:sz w:val="16"/>
                <w:szCs w:val="16"/>
              </w:rPr>
              <w:t xml:space="preserve"> development of services and content of the platform</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November 2013</w:t>
            </w:r>
          </w:p>
        </w:tc>
        <w:tc>
          <w:tcPr>
            <w:tcW w:w="1862" w:type="dxa"/>
            <w:gridSpan w:val="2"/>
            <w:shd w:val="clear" w:color="auto" w:fill="auto"/>
            <w:tcMar>
              <w:top w:w="110" w:type="dxa"/>
            </w:tcMar>
          </w:tcPr>
          <w:p w:rsidR="005703CF" w:rsidRPr="008D610D" w:rsidRDefault="005703CF" w:rsidP="002249F8">
            <w:pPr>
              <w:autoSpaceDE w:val="0"/>
              <w:autoSpaceDN w:val="0"/>
              <w:adjustRightInd w:val="0"/>
              <w:spacing w:after="120"/>
              <w:rPr>
                <w:rFonts w:cs="Arial"/>
                <w:color w:val="000000"/>
                <w:sz w:val="16"/>
                <w:szCs w:val="16"/>
              </w:rPr>
            </w:pPr>
            <w:r>
              <w:rPr>
                <w:rFonts w:cs="Arial"/>
                <w:color w:val="000000"/>
                <w:sz w:val="16"/>
                <w:szCs w:val="16"/>
              </w:rPr>
              <w:t>All Ibero-American countries</w:t>
            </w:r>
          </w:p>
        </w:tc>
        <w:tc>
          <w:tcPr>
            <w:tcW w:w="3969" w:type="dxa"/>
            <w:gridSpan w:val="2"/>
            <w:shd w:val="clear" w:color="auto" w:fill="FFFFFF"/>
            <w:tcMar>
              <w:top w:w="110" w:type="dxa"/>
            </w:tcMar>
          </w:tcPr>
          <w:p w:rsidR="005703CF" w:rsidRPr="006E5427" w:rsidDel="000462DB" w:rsidRDefault="005703CF" w:rsidP="002249F8">
            <w:pPr>
              <w:autoSpaceDE w:val="0"/>
              <w:autoSpaceDN w:val="0"/>
              <w:adjustRightInd w:val="0"/>
              <w:spacing w:after="120"/>
              <w:rPr>
                <w:rFonts w:cs="Arial"/>
                <w:color w:val="000000"/>
                <w:sz w:val="16"/>
                <w:szCs w:val="16"/>
              </w:rPr>
            </w:pPr>
            <w:r>
              <w:rPr>
                <w:rFonts w:cs="Arial"/>
                <w:color w:val="000000"/>
                <w:sz w:val="16"/>
                <w:szCs w:val="16"/>
              </w:rPr>
              <w:t>Training for  the expert on</w:t>
            </w:r>
            <w:r w:rsidRPr="004C5585">
              <w:rPr>
                <w:rFonts w:cs="Arial"/>
                <w:color w:val="000000"/>
                <w:sz w:val="16"/>
                <w:szCs w:val="16"/>
              </w:rPr>
              <w:t xml:space="preserve"> development of services and content of the platform</w:t>
            </w:r>
            <w:r w:rsidDel="009A5315">
              <w:rPr>
                <w:rFonts w:cs="Arial"/>
                <w:color w:val="000000"/>
                <w:sz w:val="16"/>
                <w:szCs w:val="16"/>
              </w:rPr>
              <w:t xml:space="preserve"> </w:t>
            </w:r>
          </w:p>
        </w:tc>
      </w:tr>
      <w:tr w:rsidR="005703CF" w:rsidRPr="00CB548E" w:rsidTr="002249F8">
        <w:trPr>
          <w:cantSplit/>
          <w:trHeight w:val="460"/>
        </w:trPr>
        <w:tc>
          <w:tcPr>
            <w:tcW w:w="1981" w:type="dxa"/>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Coordination and progress meeting of the countries participating in the Project</w:t>
            </w:r>
          </w:p>
        </w:tc>
        <w:tc>
          <w:tcPr>
            <w:tcW w:w="1260" w:type="dxa"/>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October 2013</w:t>
            </w:r>
          </w:p>
        </w:tc>
        <w:tc>
          <w:tcPr>
            <w:tcW w:w="1862" w:type="dxa"/>
            <w:gridSpan w:val="2"/>
            <w:shd w:val="clear" w:color="auto" w:fill="auto"/>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All Ibero-American countries</w:t>
            </w:r>
          </w:p>
        </w:tc>
        <w:tc>
          <w:tcPr>
            <w:tcW w:w="3969" w:type="dxa"/>
            <w:gridSpan w:val="2"/>
            <w:shd w:val="clear" w:color="auto" w:fill="FFFFFF"/>
            <w:tcMar>
              <w:top w:w="110" w:type="dxa"/>
            </w:tcMar>
          </w:tcPr>
          <w:p w:rsidR="005703CF" w:rsidRDefault="005703CF" w:rsidP="002249F8">
            <w:pPr>
              <w:autoSpaceDE w:val="0"/>
              <w:autoSpaceDN w:val="0"/>
              <w:adjustRightInd w:val="0"/>
              <w:spacing w:after="120"/>
              <w:rPr>
                <w:rFonts w:cs="Arial"/>
                <w:color w:val="000000"/>
                <w:sz w:val="16"/>
                <w:szCs w:val="16"/>
              </w:rPr>
            </w:pPr>
            <w:r>
              <w:rPr>
                <w:rFonts w:cs="Arial"/>
                <w:color w:val="000000"/>
                <w:sz w:val="16"/>
                <w:szCs w:val="16"/>
              </w:rPr>
              <w:t xml:space="preserve">To provide progress updates and </w:t>
            </w:r>
            <w:r w:rsidRPr="004C5585">
              <w:rPr>
                <w:rFonts w:cs="Arial"/>
                <w:color w:val="000000"/>
                <w:sz w:val="16"/>
                <w:szCs w:val="16"/>
              </w:rPr>
              <w:t>coordinate</w:t>
            </w:r>
            <w:r>
              <w:rPr>
                <w:rFonts w:cs="Arial"/>
                <w:color w:val="000000"/>
                <w:sz w:val="16"/>
                <w:szCs w:val="16"/>
              </w:rPr>
              <w:t xml:space="preserve"> </w:t>
            </w:r>
            <w:proofErr w:type="gramStart"/>
            <w:r>
              <w:rPr>
                <w:rFonts w:cs="Arial"/>
                <w:color w:val="000000"/>
                <w:sz w:val="16"/>
                <w:szCs w:val="16"/>
              </w:rPr>
              <w:t xml:space="preserve">the </w:t>
            </w:r>
            <w:r w:rsidRPr="004C5585">
              <w:rPr>
                <w:rFonts w:cs="Arial"/>
                <w:color w:val="000000"/>
                <w:sz w:val="16"/>
                <w:szCs w:val="16"/>
              </w:rPr>
              <w:t xml:space="preserve"> CIBEPYME</w:t>
            </w:r>
            <w:r>
              <w:rPr>
                <w:rFonts w:cs="Arial"/>
                <w:color w:val="000000"/>
                <w:sz w:val="16"/>
                <w:szCs w:val="16"/>
              </w:rPr>
              <w:t>Project</w:t>
            </w:r>
            <w:proofErr w:type="gramEnd"/>
            <w:r>
              <w:rPr>
                <w:rFonts w:cs="Arial"/>
                <w:color w:val="000000"/>
                <w:sz w:val="16"/>
                <w:szCs w:val="16"/>
              </w:rPr>
              <w:t>.</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lastRenderedPageBreak/>
              <w:t>RESULT</w:t>
            </w:r>
            <w:r w:rsidRPr="00CB548E">
              <w:rPr>
                <w:rFonts w:cs="Arial"/>
                <w:b/>
                <w:bCs/>
                <w:sz w:val="16"/>
                <w:szCs w:val="16"/>
              </w:rPr>
              <w:t>:</w:t>
            </w:r>
            <w:r w:rsidRPr="00CB548E">
              <w:rPr>
                <w:rFonts w:cs="Arial"/>
                <w:b/>
                <w:bCs/>
                <w:sz w:val="16"/>
                <w:szCs w:val="16"/>
              </w:rPr>
              <w:tab/>
            </w:r>
            <w:r w:rsidRPr="00CB548E">
              <w:rPr>
                <w:rFonts w:cs="Arial"/>
                <w:bCs/>
                <w:color w:val="000000"/>
                <w:sz w:val="16"/>
                <w:szCs w:val="16"/>
              </w:rPr>
              <w:t xml:space="preserve">Enhancement of overall </w:t>
            </w:r>
            <w:r w:rsidR="009E5B4C">
              <w:rPr>
                <w:rFonts w:cs="Arial"/>
                <w:bCs/>
                <w:color w:val="000000"/>
                <w:sz w:val="16"/>
                <w:szCs w:val="16"/>
              </w:rPr>
              <w:t>PCT System</w:t>
            </w:r>
            <w:r w:rsidRPr="00CB548E">
              <w:rPr>
                <w:rFonts w:cs="Arial"/>
                <w:bCs/>
                <w:color w:val="000000"/>
                <w:sz w:val="16"/>
                <w:szCs w:val="16"/>
              </w:rPr>
              <w:t xml:space="preserve"> and Informed strategic use of the PCT by all innovators who could benefit from it</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969" w:type="dxa"/>
            <w:gridSpan w:val="2"/>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Pr>
          <w:p w:rsidR="005703CF" w:rsidRPr="00033FB3" w:rsidRDefault="005703CF" w:rsidP="002249F8">
            <w:pPr>
              <w:autoSpaceDE w:val="0"/>
              <w:autoSpaceDN w:val="0"/>
              <w:adjustRightInd w:val="0"/>
              <w:spacing w:before="120" w:after="120"/>
              <w:rPr>
                <w:rFonts w:cs="Arial"/>
                <w:color w:val="000000"/>
                <w:sz w:val="16"/>
                <w:szCs w:val="16"/>
              </w:rPr>
            </w:pPr>
            <w:r w:rsidRPr="00033FB3">
              <w:rPr>
                <w:rFonts w:cs="Arial"/>
                <w:color w:val="000000"/>
                <w:sz w:val="16"/>
                <w:szCs w:val="16"/>
              </w:rPr>
              <w:t>Regional Seminar on PCT addressed to Latin Am</w:t>
            </w:r>
            <w:r>
              <w:rPr>
                <w:rFonts w:cs="Arial"/>
                <w:color w:val="000000"/>
                <w:sz w:val="16"/>
                <w:szCs w:val="16"/>
              </w:rPr>
              <w:t>e</w:t>
            </w:r>
            <w:r w:rsidRPr="00033FB3">
              <w:rPr>
                <w:rFonts w:cs="Arial"/>
                <w:color w:val="000000"/>
                <w:sz w:val="16"/>
                <w:szCs w:val="16"/>
              </w:rPr>
              <w:t>rican countries: the PCT in the framework of the Institutional Organization of the IP management</w:t>
            </w:r>
            <w:r>
              <w:rPr>
                <w:rFonts w:cs="Arial"/>
                <w:color w:val="000000"/>
                <w:sz w:val="16"/>
                <w:szCs w:val="16"/>
              </w:rPr>
              <w:t>,</w:t>
            </w:r>
            <w:r w:rsidRPr="00033FB3">
              <w:rPr>
                <w:rFonts w:cs="Arial"/>
                <w:color w:val="000000"/>
                <w:sz w:val="16"/>
                <w:szCs w:val="16"/>
              </w:rPr>
              <w:t xml:space="preserve"> </w:t>
            </w:r>
            <w:r>
              <w:rPr>
                <w:rFonts w:cs="Arial"/>
                <w:color w:val="000000"/>
                <w:sz w:val="16"/>
                <w:szCs w:val="16"/>
              </w:rPr>
              <w:t>Peru</w:t>
            </w:r>
          </w:p>
        </w:tc>
        <w:tc>
          <w:tcPr>
            <w:tcW w:w="1260" w:type="dxa"/>
          </w:tcPr>
          <w:p w:rsidR="005703CF" w:rsidRDefault="005703CF" w:rsidP="002249F8">
            <w:pPr>
              <w:autoSpaceDE w:val="0"/>
              <w:autoSpaceDN w:val="0"/>
              <w:adjustRightInd w:val="0"/>
              <w:spacing w:before="120" w:after="120"/>
              <w:rPr>
                <w:rFonts w:cs="Arial"/>
                <w:color w:val="000000"/>
                <w:sz w:val="16"/>
                <w:szCs w:val="16"/>
              </w:rPr>
            </w:pPr>
            <w:r w:rsidRPr="00033FB3">
              <w:rPr>
                <w:rFonts w:cs="Arial"/>
                <w:color w:val="000000"/>
                <w:sz w:val="16"/>
                <w:szCs w:val="16"/>
              </w:rPr>
              <w:t>Ju</w:t>
            </w:r>
            <w:r>
              <w:rPr>
                <w:rFonts w:cs="Arial"/>
                <w:color w:val="000000"/>
                <w:sz w:val="16"/>
                <w:szCs w:val="16"/>
              </w:rPr>
              <w:t>ly</w:t>
            </w:r>
            <w:r w:rsidRPr="00033FB3">
              <w:rPr>
                <w:rFonts w:cs="Arial"/>
                <w:color w:val="000000"/>
                <w:sz w:val="16"/>
                <w:szCs w:val="16"/>
              </w:rPr>
              <w:t xml:space="preserve"> 1</w:t>
            </w:r>
            <w:r>
              <w:rPr>
                <w:rFonts w:cs="Arial"/>
                <w:color w:val="000000"/>
                <w:sz w:val="16"/>
                <w:szCs w:val="16"/>
              </w:rPr>
              <w:t xml:space="preserve">5 and </w:t>
            </w:r>
            <w:r w:rsidRPr="00033FB3">
              <w:rPr>
                <w:rFonts w:cs="Arial"/>
                <w:color w:val="000000"/>
                <w:sz w:val="16"/>
                <w:szCs w:val="16"/>
              </w:rPr>
              <w:t>1</w:t>
            </w:r>
            <w:r>
              <w:rPr>
                <w:rFonts w:cs="Arial"/>
                <w:color w:val="000000"/>
                <w:sz w:val="16"/>
                <w:szCs w:val="16"/>
              </w:rPr>
              <w:t>6</w:t>
            </w:r>
            <w:r w:rsidRPr="00033FB3">
              <w:rPr>
                <w:rFonts w:cs="Arial"/>
                <w:color w:val="000000"/>
                <w:sz w:val="16"/>
                <w:szCs w:val="16"/>
              </w:rPr>
              <w:t>,</w:t>
            </w:r>
            <w:r>
              <w:rPr>
                <w:rFonts w:cs="Arial"/>
                <w:color w:val="000000"/>
                <w:sz w:val="16"/>
                <w:szCs w:val="16"/>
              </w:rPr>
              <w:t> </w:t>
            </w:r>
            <w:r w:rsidRPr="00033FB3">
              <w:rPr>
                <w:rFonts w:cs="Arial"/>
                <w:color w:val="000000"/>
                <w:sz w:val="16"/>
                <w:szCs w:val="16"/>
              </w:rPr>
              <w:t>201</w:t>
            </w:r>
            <w:r>
              <w:rPr>
                <w:rFonts w:cs="Arial"/>
                <w:color w:val="000000"/>
                <w:sz w:val="16"/>
                <w:szCs w:val="16"/>
              </w:rPr>
              <w:t>3</w:t>
            </w:r>
          </w:p>
          <w:p w:rsidR="005703CF" w:rsidRPr="00033FB3" w:rsidRDefault="005703CF" w:rsidP="002249F8">
            <w:pPr>
              <w:autoSpaceDE w:val="0"/>
              <w:autoSpaceDN w:val="0"/>
              <w:adjustRightInd w:val="0"/>
              <w:spacing w:before="120" w:after="120"/>
              <w:rPr>
                <w:rFonts w:cs="Arial"/>
                <w:color w:val="000000"/>
                <w:sz w:val="16"/>
                <w:szCs w:val="16"/>
              </w:rPr>
            </w:pPr>
          </w:p>
        </w:tc>
        <w:tc>
          <w:tcPr>
            <w:tcW w:w="1862" w:type="dxa"/>
            <w:gridSpan w:val="2"/>
          </w:tcPr>
          <w:p w:rsidR="005703CF" w:rsidRPr="00033FB3" w:rsidRDefault="005A4F0A" w:rsidP="002249F8">
            <w:pPr>
              <w:autoSpaceDE w:val="0"/>
              <w:autoSpaceDN w:val="0"/>
              <w:adjustRightInd w:val="0"/>
              <w:spacing w:before="120" w:after="120"/>
              <w:rPr>
                <w:rFonts w:cs="Arial"/>
                <w:color w:val="000000"/>
                <w:sz w:val="16"/>
                <w:szCs w:val="16"/>
              </w:rPr>
            </w:pPr>
            <w:r>
              <w:rPr>
                <w:rFonts w:cs="Arial"/>
                <w:color w:val="000000"/>
                <w:sz w:val="16"/>
                <w:szCs w:val="16"/>
              </w:rPr>
              <w:t xml:space="preserve">Peru (Lima)/ </w:t>
            </w:r>
            <w:r w:rsidR="005703CF" w:rsidRPr="00033FB3">
              <w:rPr>
                <w:rFonts w:cs="Arial"/>
                <w:color w:val="000000"/>
                <w:sz w:val="16"/>
                <w:szCs w:val="16"/>
              </w:rPr>
              <w:t xml:space="preserve">All </w:t>
            </w:r>
            <w:r w:rsidR="005703CF">
              <w:rPr>
                <w:rFonts w:cs="Arial"/>
                <w:color w:val="000000"/>
                <w:sz w:val="16"/>
                <w:szCs w:val="16"/>
              </w:rPr>
              <w:t>Latin American and Caribbean</w:t>
            </w:r>
            <w:r w:rsidR="005703CF" w:rsidRPr="00033FB3">
              <w:rPr>
                <w:rFonts w:cs="Arial"/>
                <w:color w:val="000000"/>
                <w:sz w:val="16"/>
                <w:szCs w:val="16"/>
              </w:rPr>
              <w:t xml:space="preserve"> countries</w:t>
            </w:r>
          </w:p>
        </w:tc>
        <w:tc>
          <w:tcPr>
            <w:tcW w:w="3969" w:type="dxa"/>
            <w:gridSpan w:val="2"/>
          </w:tcPr>
          <w:p w:rsidR="005703CF" w:rsidRPr="00033FB3" w:rsidRDefault="005703CF" w:rsidP="002249F8">
            <w:pPr>
              <w:autoSpaceDE w:val="0"/>
              <w:autoSpaceDN w:val="0"/>
              <w:adjustRightInd w:val="0"/>
              <w:spacing w:before="120" w:after="120"/>
              <w:rPr>
                <w:rFonts w:cs="Arial"/>
                <w:color w:val="000000"/>
                <w:sz w:val="16"/>
                <w:szCs w:val="16"/>
              </w:rPr>
            </w:pPr>
            <w:r w:rsidRPr="00033FB3">
              <w:rPr>
                <w:rFonts w:cs="Arial"/>
                <w:color w:val="000000"/>
                <w:sz w:val="16"/>
                <w:szCs w:val="16"/>
              </w:rPr>
              <w:t xml:space="preserve">The objective of this Seminar, </w:t>
            </w:r>
            <w:r>
              <w:rPr>
                <w:rFonts w:cs="Arial"/>
                <w:color w:val="000000"/>
                <w:sz w:val="16"/>
                <w:szCs w:val="16"/>
              </w:rPr>
              <w:t>which</w:t>
            </w:r>
            <w:r w:rsidRPr="00033FB3">
              <w:rPr>
                <w:rFonts w:cs="Arial"/>
                <w:color w:val="000000"/>
                <w:sz w:val="16"/>
                <w:szCs w:val="16"/>
              </w:rPr>
              <w:t xml:space="preserve"> is traditionally organized every year in cooperation with the Spanish Patent and Trademark Office (OEPM), is to promote discussions about PCT in the region and </w:t>
            </w:r>
            <w:r>
              <w:rPr>
                <w:rFonts w:cs="Arial"/>
                <w:color w:val="000000"/>
                <w:sz w:val="16"/>
                <w:szCs w:val="16"/>
              </w:rPr>
              <w:t>foster</w:t>
            </w:r>
            <w:r w:rsidRPr="00033FB3">
              <w:rPr>
                <w:rFonts w:cs="Arial"/>
                <w:color w:val="000000"/>
                <w:sz w:val="16"/>
                <w:szCs w:val="16"/>
              </w:rPr>
              <w:t xml:space="preserve"> the exchange of ideas and experiences on PCT implementation</w:t>
            </w:r>
          </w:p>
        </w:tc>
      </w:tr>
      <w:tr w:rsidR="005703CF" w:rsidRPr="00CB548E" w:rsidTr="002249F8">
        <w:trPr>
          <w:cantSplit/>
        </w:trPr>
        <w:tc>
          <w:tcPr>
            <w:tcW w:w="1981" w:type="dxa"/>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sidRPr="005E25CC">
              <w:rPr>
                <w:rFonts w:cs="Arial"/>
                <w:color w:val="000000"/>
                <w:sz w:val="16"/>
                <w:szCs w:val="16"/>
              </w:rPr>
              <w:t>Regional Automation Project for translation into Spanish  the advanced level of the International Patent Classification (IPC)</w:t>
            </w:r>
          </w:p>
        </w:tc>
        <w:tc>
          <w:tcPr>
            <w:tcW w:w="1260" w:type="dxa"/>
            <w:tcBorders>
              <w:bottom w:val="single" w:sz="4" w:space="0" w:color="auto"/>
            </w:tcBorders>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January to December 2013</w:t>
            </w:r>
          </w:p>
          <w:p w:rsidR="005703CF" w:rsidRPr="00CB548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(Project on-going since 2010)</w:t>
            </w:r>
          </w:p>
        </w:tc>
        <w:tc>
          <w:tcPr>
            <w:tcW w:w="1862" w:type="dxa"/>
            <w:gridSpan w:val="2"/>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sidRPr="00033FB3">
              <w:rPr>
                <w:rFonts w:cs="Arial"/>
                <w:color w:val="000000"/>
                <w:sz w:val="16"/>
                <w:szCs w:val="16"/>
              </w:rPr>
              <w:t xml:space="preserve">All </w:t>
            </w:r>
            <w:r>
              <w:rPr>
                <w:rFonts w:cs="Arial"/>
                <w:color w:val="000000"/>
                <w:sz w:val="16"/>
                <w:szCs w:val="16"/>
              </w:rPr>
              <w:t>Latin American and Caribbean</w:t>
            </w:r>
            <w:r w:rsidRPr="00033FB3">
              <w:rPr>
                <w:rFonts w:cs="Arial"/>
                <w:color w:val="000000"/>
                <w:sz w:val="16"/>
                <w:szCs w:val="16"/>
              </w:rPr>
              <w:t xml:space="preserve"> countries</w:t>
            </w:r>
          </w:p>
        </w:tc>
        <w:tc>
          <w:tcPr>
            <w:tcW w:w="3969" w:type="dxa"/>
            <w:gridSpan w:val="2"/>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sidRPr="003409D0">
              <w:rPr>
                <w:rFonts w:cs="Arial"/>
                <w:color w:val="000000"/>
                <w:sz w:val="16"/>
                <w:szCs w:val="16"/>
              </w:rPr>
              <w:t>To:(i) implement automation for Spanish</w:t>
            </w:r>
            <w:r>
              <w:rPr>
                <w:rFonts w:cs="Arial"/>
                <w:color w:val="000000"/>
                <w:sz w:val="16"/>
                <w:szCs w:val="16"/>
              </w:rPr>
              <w:t xml:space="preserve"> </w:t>
            </w:r>
            <w:r w:rsidRPr="003409D0">
              <w:rPr>
                <w:rFonts w:cs="Arial"/>
                <w:color w:val="000000"/>
                <w:sz w:val="16"/>
                <w:szCs w:val="16"/>
              </w:rPr>
              <w:t>translation of the advanced level of the</w:t>
            </w:r>
            <w:r>
              <w:rPr>
                <w:rFonts w:cs="Arial"/>
                <w:color w:val="000000"/>
                <w:sz w:val="16"/>
                <w:szCs w:val="16"/>
              </w:rPr>
              <w:t xml:space="preserve"> </w:t>
            </w:r>
            <w:r w:rsidRPr="003409D0">
              <w:rPr>
                <w:rFonts w:cs="Arial"/>
                <w:color w:val="000000"/>
                <w:sz w:val="16"/>
                <w:szCs w:val="16"/>
              </w:rPr>
              <w:t>IPC, as it was originally commissioned in</w:t>
            </w:r>
            <w:r>
              <w:rPr>
                <w:rFonts w:cs="Arial"/>
                <w:color w:val="000000"/>
                <w:sz w:val="16"/>
                <w:szCs w:val="16"/>
              </w:rPr>
              <w:t xml:space="preserve"> </w:t>
            </w:r>
            <w:r w:rsidRPr="003409D0">
              <w:rPr>
                <w:rFonts w:cs="Arial"/>
                <w:color w:val="000000"/>
                <w:sz w:val="16"/>
                <w:szCs w:val="16"/>
              </w:rPr>
              <w:t>English and French only; and (ii) make it</w:t>
            </w:r>
            <w:r>
              <w:rPr>
                <w:rFonts w:cs="Arial"/>
                <w:color w:val="000000"/>
                <w:sz w:val="16"/>
                <w:szCs w:val="16"/>
              </w:rPr>
              <w:t xml:space="preserve"> availa</w:t>
            </w:r>
            <w:r w:rsidRPr="003409D0">
              <w:rPr>
                <w:rFonts w:cs="Arial"/>
                <w:color w:val="000000"/>
                <w:sz w:val="16"/>
                <w:szCs w:val="16"/>
              </w:rPr>
              <w:t>b</w:t>
            </w:r>
            <w:r>
              <w:rPr>
                <w:rFonts w:cs="Arial"/>
                <w:color w:val="000000"/>
                <w:sz w:val="16"/>
                <w:szCs w:val="16"/>
              </w:rPr>
              <w:t>le to the service of industrial pr</w:t>
            </w:r>
            <w:r w:rsidRPr="003409D0">
              <w:rPr>
                <w:rFonts w:cs="Arial"/>
                <w:color w:val="000000"/>
                <w:sz w:val="16"/>
                <w:szCs w:val="16"/>
              </w:rPr>
              <w:t>o</w:t>
            </w:r>
            <w:r>
              <w:rPr>
                <w:rFonts w:cs="Arial"/>
                <w:color w:val="000000"/>
                <w:sz w:val="16"/>
                <w:szCs w:val="16"/>
              </w:rPr>
              <w:t xml:space="preserve">perty offices in Latin American and Caribbean </w:t>
            </w:r>
            <w:r w:rsidRPr="003409D0">
              <w:rPr>
                <w:rFonts w:cs="Arial"/>
                <w:color w:val="000000"/>
                <w:sz w:val="16"/>
                <w:szCs w:val="16"/>
              </w:rPr>
              <w:t>countries</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3050A9">
              <w:rPr>
                <w:rFonts w:cs="Arial"/>
                <w:bCs/>
                <w:color w:val="000000"/>
                <w:sz w:val="16"/>
                <w:szCs w:val="16"/>
              </w:rPr>
              <w:t>New or strengthened cooperation mechanisms, programs and partnerships</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969" w:type="dxa"/>
            <w:gridSpan w:val="2"/>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Sub-Regional Meeting on Trademarks from Central American Countries, Panama and  the Dominican Republic for the Review and Approval of a Manual on the Examination of Trademark Applications</w:t>
            </w:r>
          </w:p>
        </w:tc>
        <w:tc>
          <w:tcPr>
            <w:tcW w:w="1260" w:type="dxa"/>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February 20 and 21 2013</w:t>
            </w:r>
          </w:p>
        </w:tc>
        <w:tc>
          <w:tcPr>
            <w:tcW w:w="1862" w:type="dxa"/>
            <w:gridSpan w:val="2"/>
          </w:tcPr>
          <w:p w:rsidR="005703CF" w:rsidRPr="003050A9" w:rsidDel="00E54910"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Panama/</w:t>
            </w:r>
            <w:r w:rsidRPr="003050A9">
              <w:rPr>
                <w:rFonts w:cs="Arial"/>
                <w:color w:val="000000"/>
                <w:sz w:val="16"/>
                <w:szCs w:val="16"/>
              </w:rPr>
              <w:t>All Ibero-American countries</w:t>
            </w:r>
          </w:p>
        </w:tc>
        <w:tc>
          <w:tcPr>
            <w:tcW w:w="3969" w:type="dxa"/>
            <w:gridSpan w:val="2"/>
          </w:tcPr>
          <w:p w:rsidR="005703CF" w:rsidRPr="003050A9"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To:  (i)</w:t>
            </w:r>
            <w:r w:rsidRPr="003050A9">
              <w:rPr>
                <w:rFonts w:cs="Arial"/>
                <w:color w:val="000000"/>
                <w:sz w:val="16"/>
                <w:szCs w:val="16"/>
              </w:rPr>
              <w:t xml:space="preserve"> provide an opportunity for a final review of the Manual on Trademark Examination for Central American Countries, Panama and the Dominican Republic</w:t>
            </w:r>
            <w:r>
              <w:rPr>
                <w:rFonts w:cs="Arial"/>
                <w:color w:val="000000"/>
                <w:sz w:val="16"/>
                <w:szCs w:val="16"/>
              </w:rPr>
              <w:t xml:space="preserve">; (ii) </w:t>
            </w:r>
            <w:r w:rsidRPr="003050A9">
              <w:rPr>
                <w:rFonts w:cs="Arial"/>
                <w:color w:val="000000"/>
                <w:sz w:val="16"/>
                <w:szCs w:val="16"/>
              </w:rPr>
              <w:t>propose measures conductive to future use of the Manual in those countries’ examination processes</w:t>
            </w:r>
            <w:r>
              <w:rPr>
                <w:rFonts w:cs="Arial"/>
                <w:color w:val="000000"/>
                <w:sz w:val="16"/>
                <w:szCs w:val="16"/>
              </w:rPr>
              <w:t>;  and (iii)</w:t>
            </w:r>
            <w:r w:rsidRPr="003050A9">
              <w:rPr>
                <w:rFonts w:cs="Arial"/>
                <w:color w:val="000000"/>
                <w:sz w:val="16"/>
                <w:szCs w:val="16"/>
              </w:rPr>
              <w:t xml:space="preserve"> establish measures to achieve a consensus on mechanisms </w:t>
            </w:r>
            <w:r>
              <w:rPr>
                <w:rFonts w:cs="Arial"/>
                <w:color w:val="000000"/>
                <w:sz w:val="16"/>
                <w:szCs w:val="16"/>
              </w:rPr>
              <w:t>to</w:t>
            </w:r>
            <w:r w:rsidRPr="003050A9">
              <w:rPr>
                <w:rFonts w:cs="Arial"/>
                <w:color w:val="000000"/>
                <w:sz w:val="16"/>
                <w:szCs w:val="16"/>
              </w:rPr>
              <w:t xml:space="preserve"> help maintain Manual relevance</w:t>
            </w:r>
          </w:p>
        </w:tc>
      </w:tr>
      <w:tr w:rsidR="005703CF" w:rsidRPr="00CB548E" w:rsidTr="002249F8">
        <w:trPr>
          <w:cantSplit/>
        </w:trPr>
        <w:tc>
          <w:tcPr>
            <w:tcW w:w="1981" w:type="dxa"/>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Latin America: Regional Project on Documentation and Access Mechanisms to Legal and Administrative Decisions related to Intellectual Property</w:t>
            </w:r>
          </w:p>
        </w:tc>
        <w:tc>
          <w:tcPr>
            <w:tcW w:w="1260" w:type="dxa"/>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2012</w:t>
            </w:r>
            <w:r>
              <w:rPr>
                <w:rFonts w:cs="Arial"/>
                <w:color w:val="000000"/>
                <w:sz w:val="16"/>
                <w:szCs w:val="16"/>
              </w:rPr>
              <w:t>/2013</w:t>
            </w:r>
          </w:p>
        </w:tc>
        <w:tc>
          <w:tcPr>
            <w:tcW w:w="1862" w:type="dxa"/>
            <w:gridSpan w:val="2"/>
          </w:tcPr>
          <w:p w:rsidR="005703CF" w:rsidRPr="003050A9" w:rsidRDefault="005703CF" w:rsidP="002249F8">
            <w:pPr>
              <w:autoSpaceDE w:val="0"/>
              <w:autoSpaceDN w:val="0"/>
              <w:adjustRightInd w:val="0"/>
              <w:spacing w:before="120" w:after="120"/>
              <w:rPr>
                <w:rFonts w:cs="Arial"/>
                <w:color w:val="000000"/>
                <w:sz w:val="16"/>
                <w:szCs w:val="16"/>
              </w:rPr>
            </w:pPr>
            <w:r w:rsidRPr="003050A9">
              <w:rPr>
                <w:rFonts w:cs="Arial"/>
                <w:color w:val="000000"/>
                <w:sz w:val="16"/>
                <w:szCs w:val="16"/>
              </w:rPr>
              <w:t>All Ibero</w:t>
            </w:r>
            <w:r>
              <w:rPr>
                <w:rFonts w:cs="Arial"/>
                <w:color w:val="000000"/>
                <w:sz w:val="16"/>
                <w:szCs w:val="16"/>
              </w:rPr>
              <w:t>-A</w:t>
            </w:r>
            <w:r w:rsidRPr="003050A9">
              <w:rPr>
                <w:rFonts w:cs="Arial"/>
                <w:color w:val="000000"/>
                <w:sz w:val="16"/>
                <w:szCs w:val="16"/>
              </w:rPr>
              <w:t>merican  countries</w:t>
            </w:r>
          </w:p>
        </w:tc>
        <w:tc>
          <w:tcPr>
            <w:tcW w:w="3969" w:type="dxa"/>
            <w:gridSpan w:val="2"/>
          </w:tcPr>
          <w:p w:rsidR="005703CF" w:rsidRPr="003050A9" w:rsidRDefault="005703CF" w:rsidP="006D1A73">
            <w:pPr>
              <w:autoSpaceDE w:val="0"/>
              <w:autoSpaceDN w:val="0"/>
              <w:adjustRightInd w:val="0"/>
              <w:spacing w:before="120" w:after="120"/>
              <w:rPr>
                <w:rFonts w:cs="Arial"/>
                <w:color w:val="000000"/>
                <w:sz w:val="16"/>
                <w:szCs w:val="16"/>
              </w:rPr>
            </w:pPr>
            <w:r w:rsidRPr="00F34AAE">
              <w:rPr>
                <w:rFonts w:cs="Arial"/>
                <w:color w:val="000000"/>
                <w:sz w:val="16"/>
                <w:szCs w:val="16"/>
              </w:rPr>
              <w:t>To:</w:t>
            </w:r>
            <w:r w:rsidR="006D1A73">
              <w:rPr>
                <w:rFonts w:cs="Arial"/>
                <w:color w:val="000000"/>
                <w:sz w:val="16"/>
                <w:szCs w:val="16"/>
              </w:rPr>
              <w:t xml:space="preserve"> </w:t>
            </w:r>
            <w:r w:rsidRPr="00F34AAE">
              <w:rPr>
                <w:rFonts w:cs="Arial"/>
                <w:color w:val="000000"/>
                <w:sz w:val="16"/>
                <w:szCs w:val="16"/>
              </w:rPr>
              <w:t xml:space="preserve"> (i) compile and disseminate</w:t>
            </w:r>
            <w:r>
              <w:rPr>
                <w:rFonts w:cs="Arial"/>
                <w:color w:val="000000"/>
                <w:sz w:val="16"/>
                <w:szCs w:val="16"/>
              </w:rPr>
              <w:t xml:space="preserve"> </w:t>
            </w:r>
            <w:r w:rsidRPr="00F34AAE">
              <w:rPr>
                <w:rFonts w:cs="Arial"/>
                <w:color w:val="000000"/>
                <w:sz w:val="16"/>
                <w:szCs w:val="16"/>
              </w:rPr>
              <w:t>information;</w:t>
            </w:r>
            <w:r>
              <w:rPr>
                <w:rFonts w:cs="Arial"/>
                <w:color w:val="000000"/>
                <w:sz w:val="16"/>
                <w:szCs w:val="16"/>
              </w:rPr>
              <w:t xml:space="preserve"> </w:t>
            </w:r>
            <w:r w:rsidR="006D1A73">
              <w:rPr>
                <w:rFonts w:cs="Arial"/>
                <w:color w:val="000000"/>
                <w:sz w:val="16"/>
                <w:szCs w:val="16"/>
              </w:rPr>
              <w:t xml:space="preserve"> </w:t>
            </w:r>
            <w:r w:rsidRPr="00F34AAE">
              <w:rPr>
                <w:rFonts w:cs="Arial"/>
                <w:color w:val="000000"/>
                <w:sz w:val="16"/>
                <w:szCs w:val="16"/>
              </w:rPr>
              <w:t>and</w:t>
            </w:r>
            <w:r>
              <w:rPr>
                <w:rFonts w:cs="Arial"/>
                <w:color w:val="000000"/>
                <w:sz w:val="16"/>
                <w:szCs w:val="16"/>
              </w:rPr>
              <w:t xml:space="preserve"> </w:t>
            </w:r>
            <w:r w:rsidRPr="00F34AAE">
              <w:rPr>
                <w:rFonts w:cs="Arial"/>
                <w:color w:val="000000"/>
                <w:sz w:val="16"/>
                <w:szCs w:val="16"/>
              </w:rPr>
              <w:t>(ii)</w:t>
            </w:r>
            <w:r w:rsidR="006D1A73">
              <w:rPr>
                <w:rFonts w:cs="Arial"/>
                <w:color w:val="000000"/>
                <w:sz w:val="16"/>
                <w:szCs w:val="16"/>
              </w:rPr>
              <w:t> </w:t>
            </w:r>
            <w:r w:rsidRPr="00F34AAE">
              <w:rPr>
                <w:rFonts w:cs="Arial"/>
                <w:color w:val="000000"/>
                <w:sz w:val="16"/>
                <w:szCs w:val="16"/>
              </w:rPr>
              <w:t>promote the use of an</w:t>
            </w:r>
            <w:r>
              <w:rPr>
                <w:rFonts w:cs="Arial"/>
                <w:color w:val="000000"/>
                <w:sz w:val="16"/>
                <w:szCs w:val="16"/>
              </w:rPr>
              <w:t xml:space="preserve"> </w:t>
            </w:r>
            <w:r w:rsidRPr="00F34AAE">
              <w:rPr>
                <w:rFonts w:cs="Arial"/>
                <w:color w:val="000000"/>
                <w:sz w:val="16"/>
                <w:szCs w:val="16"/>
              </w:rPr>
              <w:t>internet platform for the IP case</w:t>
            </w:r>
            <w:r>
              <w:rPr>
                <w:rFonts w:cs="Arial"/>
                <w:color w:val="000000"/>
                <w:sz w:val="16"/>
                <w:szCs w:val="16"/>
              </w:rPr>
              <w:t xml:space="preserve"> </w:t>
            </w:r>
            <w:r w:rsidRPr="00F34AAE">
              <w:rPr>
                <w:rFonts w:cs="Arial"/>
                <w:color w:val="000000"/>
                <w:sz w:val="16"/>
                <w:szCs w:val="16"/>
              </w:rPr>
              <w:t>law</w:t>
            </w:r>
            <w:r>
              <w:rPr>
                <w:rFonts w:cs="Arial"/>
                <w:color w:val="000000"/>
                <w:sz w:val="16"/>
                <w:szCs w:val="16"/>
              </w:rPr>
              <w:t xml:space="preserve"> </w:t>
            </w:r>
            <w:r w:rsidRPr="00F34AAE">
              <w:rPr>
                <w:rFonts w:cs="Arial"/>
                <w:color w:val="000000"/>
                <w:sz w:val="16"/>
                <w:szCs w:val="16"/>
              </w:rPr>
              <w:t>database of the region</w:t>
            </w:r>
          </w:p>
        </w:tc>
      </w:tr>
      <w:tr w:rsidR="005703CF" w:rsidRPr="00CB548E" w:rsidTr="002249F8">
        <w:trPr>
          <w:cantSplit/>
        </w:trPr>
        <w:tc>
          <w:tcPr>
            <w:tcW w:w="1981" w:type="dxa"/>
            <w:tcBorders>
              <w:bottom w:val="single" w:sz="4" w:space="0" w:color="auto"/>
            </w:tcBorders>
          </w:tcPr>
          <w:p w:rsidR="005703CF" w:rsidRPr="001B21AB" w:rsidRDefault="005703CF" w:rsidP="002249F8">
            <w:pPr>
              <w:autoSpaceDE w:val="0"/>
              <w:autoSpaceDN w:val="0"/>
              <w:adjustRightInd w:val="0"/>
              <w:spacing w:before="120" w:after="120"/>
              <w:rPr>
                <w:rFonts w:cs="Arial"/>
                <w:color w:val="000000"/>
                <w:sz w:val="16"/>
                <w:szCs w:val="16"/>
              </w:rPr>
            </w:pPr>
            <w:r w:rsidRPr="003C18E2">
              <w:rPr>
                <w:rFonts w:cs="Arial"/>
                <w:color w:val="000000"/>
                <w:sz w:val="16"/>
                <w:szCs w:val="16"/>
              </w:rPr>
              <w:t>Ibero-American IP Program</w:t>
            </w:r>
          </w:p>
        </w:tc>
        <w:tc>
          <w:tcPr>
            <w:tcW w:w="1260" w:type="dxa"/>
            <w:tcBorders>
              <w:bottom w:val="single" w:sz="4" w:space="0" w:color="auto"/>
            </w:tcBorders>
          </w:tcPr>
          <w:p w:rsidR="005703CF" w:rsidRPr="003050A9"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On-going</w:t>
            </w:r>
          </w:p>
        </w:tc>
        <w:tc>
          <w:tcPr>
            <w:tcW w:w="1862" w:type="dxa"/>
            <w:gridSpan w:val="2"/>
            <w:tcBorders>
              <w:bottom w:val="single" w:sz="4" w:space="0" w:color="auto"/>
            </w:tcBorders>
          </w:tcPr>
          <w:p w:rsidR="005703CF" w:rsidRPr="003050A9" w:rsidRDefault="005703CF" w:rsidP="002249F8">
            <w:pPr>
              <w:autoSpaceDE w:val="0"/>
              <w:autoSpaceDN w:val="0"/>
              <w:adjustRightInd w:val="0"/>
              <w:spacing w:before="120" w:after="120"/>
              <w:rPr>
                <w:rFonts w:cs="Arial"/>
                <w:color w:val="000000"/>
                <w:sz w:val="16"/>
                <w:szCs w:val="16"/>
              </w:rPr>
            </w:pPr>
          </w:p>
        </w:tc>
        <w:tc>
          <w:tcPr>
            <w:tcW w:w="3969" w:type="dxa"/>
            <w:gridSpan w:val="2"/>
            <w:tcBorders>
              <w:bottom w:val="single" w:sz="4" w:space="0" w:color="auto"/>
            </w:tcBorders>
          </w:tcPr>
          <w:p w:rsidR="005703CF" w:rsidRPr="003050A9" w:rsidRDefault="005703CF" w:rsidP="002249F8">
            <w:pPr>
              <w:autoSpaceDE w:val="0"/>
              <w:autoSpaceDN w:val="0"/>
              <w:adjustRightInd w:val="0"/>
              <w:spacing w:before="120" w:after="120"/>
              <w:rPr>
                <w:rFonts w:cs="Arial"/>
                <w:color w:val="000000"/>
                <w:sz w:val="16"/>
                <w:szCs w:val="16"/>
              </w:rPr>
            </w:pPr>
            <w:r w:rsidRPr="00F34AAE">
              <w:rPr>
                <w:rFonts w:cs="Arial"/>
                <w:color w:val="000000"/>
                <w:sz w:val="16"/>
                <w:szCs w:val="16"/>
              </w:rPr>
              <w:t>To</w:t>
            </w:r>
            <w:r>
              <w:rPr>
                <w:rFonts w:cs="Arial"/>
                <w:color w:val="000000"/>
                <w:sz w:val="16"/>
                <w:szCs w:val="16"/>
              </w:rPr>
              <w:t xml:space="preserve"> </w:t>
            </w:r>
            <w:r w:rsidRPr="00F34AAE">
              <w:rPr>
                <w:rFonts w:cs="Arial"/>
                <w:color w:val="000000"/>
                <w:sz w:val="16"/>
                <w:szCs w:val="16"/>
              </w:rPr>
              <w:t>promote social and economic</w:t>
            </w:r>
            <w:r>
              <w:rPr>
                <w:rFonts w:cs="Arial"/>
                <w:color w:val="000000"/>
                <w:sz w:val="16"/>
                <w:szCs w:val="16"/>
              </w:rPr>
              <w:t xml:space="preserve"> </w:t>
            </w:r>
            <w:r w:rsidRPr="00F34AAE">
              <w:rPr>
                <w:rFonts w:cs="Arial"/>
                <w:color w:val="000000"/>
                <w:sz w:val="16"/>
                <w:szCs w:val="16"/>
              </w:rPr>
              <w:t>development in the region in the</w:t>
            </w:r>
            <w:r>
              <w:rPr>
                <w:rFonts w:cs="Arial"/>
                <w:color w:val="000000"/>
                <w:sz w:val="16"/>
                <w:szCs w:val="16"/>
              </w:rPr>
              <w:t xml:space="preserve"> </w:t>
            </w:r>
            <w:r w:rsidRPr="00F34AAE">
              <w:rPr>
                <w:rFonts w:cs="Arial"/>
                <w:color w:val="000000"/>
                <w:sz w:val="16"/>
                <w:szCs w:val="16"/>
              </w:rPr>
              <w:t>framework of the Summit of Heads of</w:t>
            </w:r>
            <w:r>
              <w:rPr>
                <w:rFonts w:cs="Arial"/>
                <w:color w:val="000000"/>
                <w:sz w:val="16"/>
                <w:szCs w:val="16"/>
              </w:rPr>
              <w:t xml:space="preserve"> </w:t>
            </w:r>
            <w:r w:rsidRPr="00F34AAE">
              <w:rPr>
                <w:rFonts w:cs="Arial"/>
                <w:color w:val="000000"/>
                <w:sz w:val="16"/>
                <w:szCs w:val="16"/>
              </w:rPr>
              <w:t>States and Governments from Ibero</w:t>
            </w:r>
            <w:r>
              <w:rPr>
                <w:rFonts w:cs="Arial"/>
                <w:color w:val="000000"/>
                <w:sz w:val="16"/>
                <w:szCs w:val="16"/>
              </w:rPr>
              <w:t>-A</w:t>
            </w:r>
            <w:r w:rsidRPr="00F34AAE">
              <w:rPr>
                <w:rFonts w:cs="Arial"/>
                <w:color w:val="000000"/>
                <w:sz w:val="16"/>
                <w:szCs w:val="16"/>
              </w:rPr>
              <w:t xml:space="preserve">merican </w:t>
            </w:r>
            <w:r w:rsidRPr="003050A9">
              <w:rPr>
                <w:rFonts w:cs="Arial"/>
                <w:color w:val="000000"/>
                <w:sz w:val="16"/>
                <w:szCs w:val="16"/>
              </w:rPr>
              <w:t>countries</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t>RESULT</w:t>
            </w:r>
            <w:r w:rsidRPr="00CB548E">
              <w:rPr>
                <w:rFonts w:cs="Arial"/>
                <w:b/>
                <w:bCs/>
                <w:sz w:val="16"/>
                <w:szCs w:val="16"/>
              </w:rPr>
              <w:t>:</w:t>
            </w:r>
            <w:r w:rsidRPr="00CB548E">
              <w:rPr>
                <w:rFonts w:cs="Arial"/>
                <w:b/>
                <w:bCs/>
                <w:sz w:val="16"/>
                <w:szCs w:val="16"/>
              </w:rPr>
              <w:tab/>
            </w:r>
            <w:r w:rsidRPr="000B21FD">
              <w:rPr>
                <w:rFonts w:cs="Arial"/>
                <w:bCs/>
                <w:color w:val="000000"/>
                <w:sz w:val="16"/>
                <w:szCs w:val="16"/>
              </w:rPr>
              <w:t>Increased understanding/capacity of SMEs and SMEs support institutions to successfully use IP to support innovation and commercialization</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969" w:type="dxa"/>
            <w:gridSpan w:val="2"/>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Borders>
              <w:bottom w:val="single" w:sz="4" w:space="0" w:color="auto"/>
            </w:tcBorders>
          </w:tcPr>
          <w:p w:rsidR="005703CF" w:rsidRDefault="005703CF" w:rsidP="002249F8">
            <w:pPr>
              <w:autoSpaceDE w:val="0"/>
              <w:autoSpaceDN w:val="0"/>
              <w:adjustRightInd w:val="0"/>
              <w:spacing w:before="120" w:after="120"/>
              <w:rPr>
                <w:rFonts w:cs="Arial"/>
                <w:color w:val="000000"/>
                <w:sz w:val="16"/>
                <w:szCs w:val="16"/>
              </w:rPr>
            </w:pPr>
            <w:r w:rsidRPr="000B21FD">
              <w:rPr>
                <w:rFonts w:cs="Arial"/>
                <w:color w:val="000000"/>
                <w:sz w:val="16"/>
                <w:szCs w:val="16"/>
              </w:rPr>
              <w:t xml:space="preserve">Regional Seminar on Trademarks &amp; Industrial Design as </w:t>
            </w:r>
            <w:r>
              <w:rPr>
                <w:rFonts w:cs="Arial"/>
                <w:color w:val="000000"/>
                <w:sz w:val="16"/>
                <w:szCs w:val="16"/>
              </w:rPr>
              <w:t>an I</w:t>
            </w:r>
            <w:r w:rsidRPr="000B21FD">
              <w:rPr>
                <w:rFonts w:cs="Arial"/>
                <w:color w:val="000000"/>
                <w:sz w:val="16"/>
                <w:szCs w:val="16"/>
              </w:rPr>
              <w:t xml:space="preserve">nnovation </w:t>
            </w:r>
            <w:r>
              <w:rPr>
                <w:rFonts w:cs="Arial"/>
                <w:color w:val="000000"/>
                <w:sz w:val="16"/>
                <w:szCs w:val="16"/>
              </w:rPr>
              <w:t>F</w:t>
            </w:r>
            <w:r w:rsidRPr="000B21FD">
              <w:rPr>
                <w:rFonts w:cs="Arial"/>
                <w:color w:val="000000"/>
                <w:sz w:val="16"/>
                <w:szCs w:val="16"/>
              </w:rPr>
              <w:t xml:space="preserve">actor </w:t>
            </w:r>
          </w:p>
          <w:p w:rsidR="005703CF" w:rsidRPr="000B21FD" w:rsidRDefault="005703CF" w:rsidP="002249F8">
            <w:pPr>
              <w:autoSpaceDE w:val="0"/>
              <w:autoSpaceDN w:val="0"/>
              <w:adjustRightInd w:val="0"/>
              <w:spacing w:before="120" w:after="120"/>
              <w:rPr>
                <w:rFonts w:cs="Arial"/>
                <w:color w:val="000000"/>
                <w:sz w:val="16"/>
                <w:szCs w:val="16"/>
              </w:rPr>
            </w:pPr>
            <w:r w:rsidRPr="00240F9F">
              <w:rPr>
                <w:rFonts w:cs="Arial"/>
                <w:color w:val="000000"/>
                <w:sz w:val="16"/>
                <w:szCs w:val="16"/>
              </w:rPr>
              <w:t>See Platform in Spanish on industrial property services and contents to the Ibero</w:t>
            </w:r>
            <w:r>
              <w:rPr>
                <w:rFonts w:cs="Arial"/>
                <w:color w:val="000000"/>
                <w:sz w:val="16"/>
                <w:szCs w:val="16"/>
              </w:rPr>
              <w:t>-A</w:t>
            </w:r>
            <w:r w:rsidRPr="00240F9F">
              <w:rPr>
                <w:rFonts w:cs="Arial"/>
                <w:color w:val="000000"/>
                <w:sz w:val="16"/>
                <w:szCs w:val="16"/>
              </w:rPr>
              <w:t>merican entrepreneurial sector with special focus on SMEs (CIBEPYME).</w:t>
            </w:r>
          </w:p>
        </w:tc>
        <w:tc>
          <w:tcPr>
            <w:tcW w:w="1260" w:type="dxa"/>
            <w:tcBorders>
              <w:bottom w:val="single" w:sz="4" w:space="0" w:color="auto"/>
            </w:tcBorders>
          </w:tcPr>
          <w:p w:rsidR="005703CF" w:rsidRPr="000B21FD" w:rsidRDefault="005703CF" w:rsidP="002249F8">
            <w:pPr>
              <w:autoSpaceDE w:val="0"/>
              <w:autoSpaceDN w:val="0"/>
              <w:adjustRightInd w:val="0"/>
              <w:spacing w:before="120" w:after="120"/>
              <w:rPr>
                <w:rFonts w:cs="Arial"/>
                <w:color w:val="000000"/>
                <w:sz w:val="16"/>
                <w:szCs w:val="16"/>
              </w:rPr>
            </w:pPr>
            <w:r w:rsidRPr="000B21FD">
              <w:rPr>
                <w:rFonts w:cs="Arial"/>
                <w:color w:val="000000"/>
                <w:sz w:val="16"/>
                <w:szCs w:val="16"/>
              </w:rPr>
              <w:t xml:space="preserve">November </w:t>
            </w:r>
            <w:r>
              <w:rPr>
                <w:rFonts w:cs="Arial"/>
                <w:color w:val="000000"/>
                <w:sz w:val="16"/>
                <w:szCs w:val="16"/>
              </w:rPr>
              <w:t>25 to 29,</w:t>
            </w:r>
            <w:r w:rsidRPr="000B21FD">
              <w:rPr>
                <w:rFonts w:cs="Arial"/>
                <w:color w:val="000000"/>
                <w:sz w:val="16"/>
                <w:szCs w:val="16"/>
              </w:rPr>
              <w:t xml:space="preserve"> 2013</w:t>
            </w:r>
          </w:p>
        </w:tc>
        <w:tc>
          <w:tcPr>
            <w:tcW w:w="1862" w:type="dxa"/>
            <w:gridSpan w:val="2"/>
            <w:tcBorders>
              <w:bottom w:val="single" w:sz="4" w:space="0" w:color="auto"/>
            </w:tcBorders>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Uruguay/ All Latin American countries</w:t>
            </w:r>
          </w:p>
        </w:tc>
        <w:tc>
          <w:tcPr>
            <w:tcW w:w="3969" w:type="dxa"/>
            <w:gridSpan w:val="2"/>
            <w:tcBorders>
              <w:bottom w:val="single" w:sz="4" w:space="0" w:color="auto"/>
            </w:tcBorders>
          </w:tcPr>
          <w:p w:rsidR="005703CF" w:rsidRPr="000B21FD" w:rsidDel="00E54910" w:rsidRDefault="005703CF" w:rsidP="002249F8">
            <w:pPr>
              <w:rPr>
                <w:rFonts w:cs="Arial"/>
                <w:color w:val="000000"/>
                <w:sz w:val="16"/>
                <w:szCs w:val="16"/>
              </w:rPr>
            </w:pPr>
            <w:r>
              <w:rPr>
                <w:rFonts w:cs="Arial"/>
                <w:color w:val="000000"/>
                <w:sz w:val="16"/>
                <w:szCs w:val="16"/>
              </w:rPr>
              <w:t>T</w:t>
            </w:r>
            <w:r w:rsidRPr="000B21FD">
              <w:rPr>
                <w:rFonts w:cs="Arial"/>
                <w:color w:val="000000"/>
                <w:sz w:val="16"/>
                <w:szCs w:val="16"/>
              </w:rPr>
              <w:t>o</w:t>
            </w:r>
            <w:r>
              <w:rPr>
                <w:rFonts w:cs="Arial"/>
                <w:color w:val="000000"/>
                <w:sz w:val="16"/>
                <w:szCs w:val="16"/>
              </w:rPr>
              <w:t>:</w:t>
            </w:r>
            <w:r w:rsidR="006D1A73">
              <w:rPr>
                <w:rFonts w:cs="Arial"/>
                <w:color w:val="000000"/>
                <w:sz w:val="16"/>
                <w:szCs w:val="16"/>
              </w:rPr>
              <w:t xml:space="preserve"> </w:t>
            </w:r>
            <w:r>
              <w:rPr>
                <w:rFonts w:cs="Arial"/>
                <w:color w:val="000000"/>
                <w:sz w:val="16"/>
                <w:szCs w:val="16"/>
              </w:rPr>
              <w:t xml:space="preserve"> (i) </w:t>
            </w:r>
            <w:r w:rsidRPr="000B21FD">
              <w:rPr>
                <w:rFonts w:cs="Arial"/>
                <w:color w:val="000000"/>
                <w:sz w:val="16"/>
                <w:szCs w:val="16"/>
              </w:rPr>
              <w:t>provide participants with updated information, practical training and useful tools in the field of the strategic use of trademarks and industrial design for business</w:t>
            </w:r>
            <w:r>
              <w:rPr>
                <w:rFonts w:cs="Arial"/>
                <w:color w:val="000000"/>
                <w:sz w:val="16"/>
                <w:szCs w:val="16"/>
              </w:rPr>
              <w:t xml:space="preserve">; </w:t>
            </w:r>
            <w:r w:rsidR="006D1A73">
              <w:rPr>
                <w:rFonts w:cs="Arial"/>
                <w:color w:val="000000"/>
                <w:sz w:val="16"/>
                <w:szCs w:val="16"/>
              </w:rPr>
              <w:t xml:space="preserve"> </w:t>
            </w:r>
            <w:r>
              <w:rPr>
                <w:rFonts w:cs="Arial"/>
                <w:color w:val="000000"/>
                <w:sz w:val="16"/>
                <w:szCs w:val="16"/>
              </w:rPr>
              <w:t xml:space="preserve">and (ii) </w:t>
            </w:r>
            <w:r w:rsidRPr="000B21FD">
              <w:rPr>
                <w:rFonts w:cs="Arial"/>
                <w:color w:val="000000"/>
                <w:sz w:val="16"/>
                <w:szCs w:val="16"/>
              </w:rPr>
              <w:t>promot</w:t>
            </w:r>
            <w:r>
              <w:rPr>
                <w:rFonts w:cs="Arial"/>
                <w:color w:val="000000"/>
                <w:sz w:val="16"/>
                <w:szCs w:val="16"/>
              </w:rPr>
              <w:t>e</w:t>
            </w:r>
            <w:r w:rsidRPr="000B21FD">
              <w:rPr>
                <w:rFonts w:cs="Arial"/>
                <w:color w:val="000000"/>
                <w:sz w:val="16"/>
                <w:szCs w:val="16"/>
              </w:rPr>
              <w:t xml:space="preserve"> and exchange experiences</w:t>
            </w:r>
            <w:r>
              <w:rPr>
                <w:rFonts w:cs="Arial"/>
                <w:color w:val="000000"/>
                <w:sz w:val="16"/>
                <w:szCs w:val="16"/>
              </w:rPr>
              <w:t>,</w:t>
            </w:r>
            <w:r w:rsidRPr="000B21FD">
              <w:rPr>
                <w:rFonts w:cs="Arial"/>
                <w:color w:val="000000"/>
                <w:sz w:val="16"/>
                <w:szCs w:val="16"/>
              </w:rPr>
              <w:t xml:space="preserve"> </w:t>
            </w:r>
            <w:r>
              <w:rPr>
                <w:rFonts w:cs="Arial"/>
                <w:color w:val="000000"/>
                <w:sz w:val="16"/>
                <w:szCs w:val="16"/>
              </w:rPr>
              <w:t xml:space="preserve">including </w:t>
            </w:r>
            <w:r w:rsidRPr="000B21FD">
              <w:rPr>
                <w:rFonts w:cs="Arial"/>
                <w:color w:val="000000"/>
                <w:sz w:val="16"/>
                <w:szCs w:val="16"/>
              </w:rPr>
              <w:t xml:space="preserve">best practices, in order to identify successful mechanisms for making IP rights more accessible and relevant to </w:t>
            </w:r>
            <w:r>
              <w:rPr>
                <w:rFonts w:cs="Arial"/>
                <w:color w:val="000000"/>
                <w:sz w:val="16"/>
                <w:szCs w:val="16"/>
              </w:rPr>
              <w:t xml:space="preserve">the </w:t>
            </w:r>
            <w:r w:rsidRPr="000B21FD">
              <w:rPr>
                <w:rFonts w:cs="Arial"/>
                <w:color w:val="000000"/>
                <w:sz w:val="16"/>
                <w:szCs w:val="16"/>
              </w:rPr>
              <w:t>Latin American entrepreneurial sector.</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CB548E" w:rsidRDefault="005703CF" w:rsidP="002249F8">
            <w:pPr>
              <w:keepNext/>
              <w:keepLines/>
              <w:tabs>
                <w:tab w:val="left" w:pos="1740"/>
              </w:tabs>
              <w:spacing w:before="120" w:after="120"/>
              <w:ind w:left="1740" w:hanging="1740"/>
              <w:rPr>
                <w:rFonts w:cs="Arial"/>
                <w:b/>
                <w:bCs/>
                <w:sz w:val="16"/>
                <w:szCs w:val="16"/>
              </w:rPr>
            </w:pPr>
            <w:r w:rsidRPr="00CB548E">
              <w:rPr>
                <w:rFonts w:cs="Arial"/>
                <w:b/>
                <w:bCs/>
                <w:color w:val="000000"/>
                <w:sz w:val="16"/>
                <w:szCs w:val="16"/>
              </w:rPr>
              <w:lastRenderedPageBreak/>
              <w:t>RESULT</w:t>
            </w:r>
            <w:r w:rsidRPr="00CB548E">
              <w:rPr>
                <w:rFonts w:cs="Arial"/>
                <w:b/>
                <w:bCs/>
                <w:sz w:val="16"/>
                <w:szCs w:val="16"/>
              </w:rPr>
              <w:t>:</w:t>
            </w:r>
            <w:r w:rsidRPr="00CB548E">
              <w:rPr>
                <w:rFonts w:cs="Arial"/>
                <w:b/>
                <w:bCs/>
                <w:sz w:val="16"/>
                <w:szCs w:val="16"/>
              </w:rPr>
              <w:tab/>
            </w:r>
            <w:r w:rsidRPr="00CB548E">
              <w:rPr>
                <w:rFonts w:cs="Arial"/>
                <w:bCs/>
                <w:color w:val="000000"/>
                <w:sz w:val="16"/>
                <w:szCs w:val="16"/>
              </w:rPr>
              <w:t>Enhanced technical and knowledge infrastructure for IP Offices and other IP institutions leading to better services (cheaper, faster, higher quality) to their stakeholders</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862" w:type="dxa"/>
            <w:gridSpan w:val="2"/>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3969" w:type="dxa"/>
            <w:gridSpan w:val="2"/>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CB548E" w:rsidTr="002249F8">
        <w:trPr>
          <w:cantSplit/>
        </w:trPr>
        <w:tc>
          <w:tcPr>
            <w:tcW w:w="1981" w:type="dxa"/>
            <w:tcBorders>
              <w:bottom w:val="single" w:sz="4" w:space="0" w:color="auto"/>
            </w:tcBorders>
          </w:tcPr>
          <w:p w:rsidR="005703CF" w:rsidRPr="00CB548E" w:rsidRDefault="005703CF" w:rsidP="002249F8">
            <w:pPr>
              <w:autoSpaceDE w:val="0"/>
              <w:autoSpaceDN w:val="0"/>
              <w:adjustRightInd w:val="0"/>
              <w:spacing w:before="120"/>
              <w:rPr>
                <w:rFonts w:cs="Arial"/>
                <w:color w:val="000000"/>
                <w:sz w:val="16"/>
                <w:szCs w:val="16"/>
              </w:rPr>
            </w:pPr>
            <w:r>
              <w:rPr>
                <w:rFonts w:cs="Arial"/>
                <w:color w:val="000000"/>
                <w:sz w:val="16"/>
                <w:szCs w:val="16"/>
              </w:rPr>
              <w:t>IV</w:t>
            </w:r>
            <w:r w:rsidRPr="00996844">
              <w:rPr>
                <w:rFonts w:cs="Arial"/>
                <w:color w:val="000000"/>
                <w:sz w:val="16"/>
                <w:szCs w:val="16"/>
              </w:rPr>
              <w:t xml:space="preserve"> Regional Seminar on Strategic Planning and Management for Industrial Property (IP) Offices from Latin American Countries</w:t>
            </w:r>
          </w:p>
        </w:tc>
        <w:tc>
          <w:tcPr>
            <w:tcW w:w="1260" w:type="dxa"/>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October 7 to 10 2013</w:t>
            </w:r>
          </w:p>
        </w:tc>
        <w:tc>
          <w:tcPr>
            <w:tcW w:w="1862" w:type="dxa"/>
            <w:gridSpan w:val="2"/>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Colombia/ All Latin American countries</w:t>
            </w:r>
          </w:p>
        </w:tc>
        <w:tc>
          <w:tcPr>
            <w:tcW w:w="3969" w:type="dxa"/>
            <w:gridSpan w:val="2"/>
            <w:tcBorders>
              <w:bottom w:val="single" w:sz="4" w:space="0" w:color="auto"/>
            </w:tcBorders>
          </w:tcPr>
          <w:p w:rsidR="005703CF" w:rsidRPr="00CB548E" w:rsidRDefault="005703CF" w:rsidP="002249F8">
            <w:pPr>
              <w:autoSpaceDE w:val="0"/>
              <w:autoSpaceDN w:val="0"/>
              <w:adjustRightInd w:val="0"/>
              <w:spacing w:before="120" w:after="120"/>
              <w:rPr>
                <w:rFonts w:cs="Arial"/>
                <w:color w:val="000000"/>
                <w:sz w:val="16"/>
                <w:szCs w:val="16"/>
              </w:rPr>
            </w:pPr>
            <w:r w:rsidRPr="003409D0">
              <w:rPr>
                <w:rFonts w:cs="Arial"/>
                <w:color w:val="000000"/>
                <w:sz w:val="16"/>
                <w:szCs w:val="16"/>
              </w:rPr>
              <w:t xml:space="preserve">To: </w:t>
            </w:r>
            <w:r w:rsidR="006D1A73">
              <w:rPr>
                <w:rFonts w:cs="Arial"/>
                <w:color w:val="000000"/>
                <w:sz w:val="16"/>
                <w:szCs w:val="16"/>
              </w:rPr>
              <w:t xml:space="preserve"> </w:t>
            </w:r>
            <w:r w:rsidRPr="003409D0">
              <w:rPr>
                <w:rFonts w:cs="Arial"/>
                <w:color w:val="000000"/>
                <w:sz w:val="16"/>
                <w:szCs w:val="16"/>
              </w:rPr>
              <w:t>(i) provide participants with updated</w:t>
            </w:r>
            <w:r>
              <w:rPr>
                <w:rFonts w:cs="Arial"/>
                <w:color w:val="000000"/>
                <w:sz w:val="16"/>
                <w:szCs w:val="16"/>
              </w:rPr>
              <w:t xml:space="preserve"> </w:t>
            </w:r>
            <w:r w:rsidRPr="003409D0">
              <w:rPr>
                <w:rFonts w:cs="Arial"/>
                <w:color w:val="000000"/>
                <w:sz w:val="16"/>
                <w:szCs w:val="16"/>
              </w:rPr>
              <w:t>information, practical training and useful</w:t>
            </w:r>
            <w:r>
              <w:rPr>
                <w:rFonts w:cs="Arial"/>
                <w:color w:val="000000"/>
                <w:sz w:val="16"/>
                <w:szCs w:val="16"/>
              </w:rPr>
              <w:t xml:space="preserve"> </w:t>
            </w:r>
            <w:r w:rsidRPr="003409D0">
              <w:rPr>
                <w:rFonts w:cs="Arial"/>
                <w:color w:val="000000"/>
                <w:sz w:val="16"/>
                <w:szCs w:val="16"/>
              </w:rPr>
              <w:t>tools in the field of strategic planning,</w:t>
            </w:r>
            <w:r>
              <w:rPr>
                <w:rFonts w:cs="Arial"/>
                <w:color w:val="000000"/>
                <w:sz w:val="16"/>
                <w:szCs w:val="16"/>
              </w:rPr>
              <w:t xml:space="preserve"> </w:t>
            </w:r>
            <w:r w:rsidRPr="003409D0">
              <w:rPr>
                <w:rFonts w:cs="Arial"/>
                <w:color w:val="000000"/>
                <w:sz w:val="16"/>
                <w:szCs w:val="16"/>
              </w:rPr>
              <w:t>human resources policies and</w:t>
            </w:r>
            <w:r>
              <w:rPr>
                <w:rFonts w:cs="Arial"/>
                <w:color w:val="000000"/>
                <w:sz w:val="16"/>
                <w:szCs w:val="16"/>
              </w:rPr>
              <w:t xml:space="preserve"> </w:t>
            </w:r>
            <w:r w:rsidRPr="003409D0">
              <w:rPr>
                <w:rFonts w:cs="Arial"/>
                <w:color w:val="000000"/>
                <w:sz w:val="16"/>
                <w:szCs w:val="16"/>
              </w:rPr>
              <w:t>management of quality;</w:t>
            </w:r>
            <w:r w:rsidR="006D1A73">
              <w:rPr>
                <w:rFonts w:cs="Arial"/>
                <w:color w:val="000000"/>
                <w:sz w:val="16"/>
                <w:szCs w:val="16"/>
              </w:rPr>
              <w:t xml:space="preserve"> </w:t>
            </w:r>
            <w:r w:rsidRPr="003409D0">
              <w:rPr>
                <w:rFonts w:cs="Arial"/>
                <w:color w:val="000000"/>
                <w:sz w:val="16"/>
                <w:szCs w:val="16"/>
              </w:rPr>
              <w:t xml:space="preserve"> (ii)</w:t>
            </w:r>
            <w:r>
              <w:rPr>
                <w:rFonts w:cs="Arial"/>
                <w:color w:val="000000"/>
                <w:sz w:val="16"/>
                <w:szCs w:val="16"/>
              </w:rPr>
              <w:t xml:space="preserve"> </w:t>
            </w:r>
            <w:r w:rsidRPr="003409D0">
              <w:rPr>
                <w:rFonts w:cs="Arial"/>
                <w:color w:val="000000"/>
                <w:sz w:val="16"/>
                <w:szCs w:val="16"/>
              </w:rPr>
              <w:t>modernize IP</w:t>
            </w:r>
            <w:r>
              <w:rPr>
                <w:rFonts w:cs="Arial"/>
                <w:color w:val="000000"/>
                <w:sz w:val="16"/>
                <w:szCs w:val="16"/>
              </w:rPr>
              <w:t xml:space="preserve"> </w:t>
            </w:r>
            <w:r w:rsidRPr="003409D0">
              <w:rPr>
                <w:rFonts w:cs="Arial"/>
                <w:color w:val="000000"/>
                <w:sz w:val="16"/>
                <w:szCs w:val="16"/>
              </w:rPr>
              <w:t>administrations</w:t>
            </w:r>
            <w:r>
              <w:rPr>
                <w:rFonts w:cs="Arial"/>
                <w:color w:val="000000"/>
                <w:sz w:val="16"/>
                <w:szCs w:val="16"/>
              </w:rPr>
              <w:t xml:space="preserve">; and </w:t>
            </w:r>
            <w:r w:rsidRPr="003409D0">
              <w:rPr>
                <w:rFonts w:cs="Arial"/>
                <w:color w:val="000000"/>
                <w:sz w:val="16"/>
                <w:szCs w:val="16"/>
              </w:rPr>
              <w:t>(iii) develop an</w:t>
            </w:r>
            <w:r>
              <w:rPr>
                <w:rFonts w:cs="Arial"/>
                <w:color w:val="000000"/>
                <w:sz w:val="16"/>
                <w:szCs w:val="16"/>
              </w:rPr>
              <w:t xml:space="preserve"> </w:t>
            </w:r>
            <w:r w:rsidRPr="003409D0">
              <w:rPr>
                <w:rFonts w:cs="Arial"/>
                <w:color w:val="000000"/>
                <w:sz w:val="16"/>
                <w:szCs w:val="16"/>
              </w:rPr>
              <w:t>important sense of service</w:t>
            </w:r>
            <w:r>
              <w:rPr>
                <w:rFonts w:cs="Arial"/>
                <w:color w:val="000000"/>
                <w:sz w:val="16"/>
                <w:szCs w:val="16"/>
              </w:rPr>
              <w:t>-ori</w:t>
            </w:r>
            <w:r w:rsidRPr="003409D0">
              <w:rPr>
                <w:rFonts w:cs="Arial"/>
                <w:color w:val="000000"/>
                <w:sz w:val="16"/>
                <w:szCs w:val="16"/>
              </w:rPr>
              <w:t>ented</w:t>
            </w:r>
            <w:r>
              <w:rPr>
                <w:rFonts w:cs="Arial"/>
                <w:color w:val="000000"/>
                <w:sz w:val="16"/>
                <w:szCs w:val="16"/>
              </w:rPr>
              <w:t xml:space="preserve"> </w:t>
            </w:r>
            <w:r w:rsidRPr="003409D0">
              <w:rPr>
                <w:rFonts w:cs="Arial"/>
                <w:color w:val="000000"/>
                <w:sz w:val="16"/>
                <w:szCs w:val="16"/>
              </w:rPr>
              <w:t>management among</w:t>
            </w:r>
            <w:r>
              <w:rPr>
                <w:rFonts w:cs="Arial"/>
                <w:color w:val="000000"/>
                <w:sz w:val="16"/>
                <w:szCs w:val="16"/>
              </w:rPr>
              <w:t xml:space="preserve"> </w:t>
            </w:r>
            <w:r w:rsidRPr="003409D0">
              <w:rPr>
                <w:rFonts w:cs="Arial"/>
                <w:color w:val="000000"/>
                <w:sz w:val="16"/>
                <w:szCs w:val="16"/>
              </w:rPr>
              <w:t>administrators</w:t>
            </w:r>
            <w:r>
              <w:rPr>
                <w:rFonts w:cs="Arial"/>
                <w:color w:val="000000"/>
                <w:sz w:val="16"/>
                <w:szCs w:val="16"/>
              </w:rPr>
              <w:t xml:space="preserve"> in IP </w:t>
            </w:r>
            <w:r w:rsidRPr="003409D0">
              <w:rPr>
                <w:rFonts w:cs="Arial"/>
                <w:color w:val="000000"/>
                <w:sz w:val="16"/>
                <w:szCs w:val="16"/>
              </w:rPr>
              <w:t>Offices from Latin American countries</w:t>
            </w:r>
          </w:p>
        </w:tc>
      </w:tr>
      <w:tr w:rsidR="005703CF" w:rsidRPr="00CB548E" w:rsidTr="002249F8">
        <w:trPr>
          <w:cantSplit/>
        </w:trPr>
        <w:tc>
          <w:tcPr>
            <w:tcW w:w="9072" w:type="dxa"/>
            <w:gridSpan w:val="6"/>
            <w:tcBorders>
              <w:top w:val="single" w:sz="4" w:space="0" w:color="auto"/>
              <w:bottom w:val="single" w:sz="4" w:space="0" w:color="auto"/>
            </w:tcBorders>
            <w:shd w:val="clear" w:color="auto" w:fill="CCFFFF"/>
            <w:vAlign w:val="center"/>
          </w:tcPr>
          <w:p w:rsidR="005703CF" w:rsidRPr="00A0191A" w:rsidRDefault="005703CF" w:rsidP="002249F8">
            <w:pPr>
              <w:keepNext/>
              <w:keepLines/>
              <w:tabs>
                <w:tab w:val="left" w:pos="1740"/>
              </w:tabs>
              <w:spacing w:before="120" w:after="120"/>
              <w:ind w:left="1740" w:hanging="1740"/>
              <w:rPr>
                <w:rFonts w:cs="Arial"/>
                <w:b/>
                <w:bCs/>
                <w:color w:val="000000"/>
                <w:sz w:val="16"/>
                <w:szCs w:val="16"/>
              </w:rPr>
            </w:pPr>
            <w:r w:rsidRPr="00CB548E">
              <w:rPr>
                <w:rFonts w:cs="Arial"/>
                <w:b/>
                <w:bCs/>
                <w:color w:val="000000"/>
                <w:sz w:val="16"/>
                <w:szCs w:val="16"/>
              </w:rPr>
              <w:t>RESULT</w:t>
            </w:r>
            <w:r w:rsidRPr="00A0191A">
              <w:rPr>
                <w:rFonts w:cs="Arial"/>
                <w:b/>
                <w:bCs/>
                <w:color w:val="000000"/>
                <w:sz w:val="16"/>
                <w:szCs w:val="16"/>
              </w:rPr>
              <w:t>:</w:t>
            </w:r>
            <w:r w:rsidRPr="00A0191A">
              <w:rPr>
                <w:rFonts w:cs="Arial"/>
                <w:b/>
                <w:bCs/>
                <w:color w:val="000000"/>
                <w:sz w:val="16"/>
                <w:szCs w:val="16"/>
              </w:rPr>
              <w:tab/>
            </w:r>
            <w:r w:rsidRPr="00432993">
              <w:rPr>
                <w:rFonts w:cs="Arial"/>
                <w:bCs/>
                <w:color w:val="000000"/>
                <w:sz w:val="16"/>
                <w:szCs w:val="16"/>
              </w:rPr>
              <w:t>Enhanced access to, and use of, IP information and knowledge by IP institutions and the public to promote innovation and increased access to protected creative works and creative works in the public domain</w:t>
            </w:r>
          </w:p>
        </w:tc>
      </w:tr>
      <w:tr w:rsidR="005703CF" w:rsidRPr="00CB548E" w:rsidTr="002249F8">
        <w:trPr>
          <w:cantSplit/>
        </w:trPr>
        <w:tc>
          <w:tcPr>
            <w:tcW w:w="1981" w:type="dxa"/>
            <w:tcBorders>
              <w:top w:val="single" w:sz="4" w:space="0" w:color="auto"/>
            </w:tcBorders>
            <w:vAlign w:val="center"/>
          </w:tcPr>
          <w:p w:rsidR="005703CF" w:rsidRPr="00CB548E" w:rsidRDefault="005703CF" w:rsidP="002249F8">
            <w:pPr>
              <w:keepNext/>
              <w:keepLines/>
              <w:rPr>
                <w:rFonts w:cs="Arial"/>
                <w:b/>
                <w:bCs/>
                <w:sz w:val="16"/>
                <w:szCs w:val="16"/>
              </w:rPr>
            </w:pPr>
            <w:r w:rsidRPr="00CB548E">
              <w:rPr>
                <w:rFonts w:cs="Arial"/>
                <w:b/>
                <w:bCs/>
                <w:sz w:val="16"/>
                <w:szCs w:val="16"/>
              </w:rPr>
              <w:t>Activity</w:t>
            </w:r>
          </w:p>
        </w:tc>
        <w:tc>
          <w:tcPr>
            <w:tcW w:w="1260"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Date</w:t>
            </w:r>
          </w:p>
        </w:tc>
        <w:tc>
          <w:tcPr>
            <w:tcW w:w="1721" w:type="dxa"/>
            <w:tcBorders>
              <w:top w:val="single" w:sz="4" w:space="0" w:color="auto"/>
            </w:tcBorders>
            <w:shd w:val="clear" w:color="auto" w:fill="auto"/>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Host Country/</w:t>
            </w:r>
            <w:r w:rsidRPr="00CB548E">
              <w:rPr>
                <w:rFonts w:cs="Arial"/>
                <w:b/>
                <w:bCs/>
                <w:sz w:val="16"/>
                <w:szCs w:val="16"/>
              </w:rPr>
              <w:br/>
              <w:t>Recipients</w:t>
            </w:r>
          </w:p>
        </w:tc>
        <w:tc>
          <w:tcPr>
            <w:tcW w:w="4110" w:type="dxa"/>
            <w:gridSpan w:val="3"/>
            <w:tcBorders>
              <w:top w:val="single" w:sz="4" w:space="0" w:color="auto"/>
            </w:tcBorders>
            <w:shd w:val="clear" w:color="auto" w:fill="FFFFFF"/>
            <w:tcMar>
              <w:top w:w="110" w:type="dxa"/>
            </w:tcMar>
            <w:vAlign w:val="center"/>
          </w:tcPr>
          <w:p w:rsidR="005703CF" w:rsidRPr="00CB548E" w:rsidRDefault="005703CF" w:rsidP="002249F8">
            <w:pPr>
              <w:keepNext/>
              <w:keepLines/>
              <w:rPr>
                <w:rFonts w:cs="Arial"/>
                <w:sz w:val="16"/>
                <w:szCs w:val="16"/>
              </w:rPr>
            </w:pPr>
            <w:r w:rsidRPr="00CB548E">
              <w:rPr>
                <w:rFonts w:cs="Arial"/>
                <w:b/>
                <w:bCs/>
                <w:sz w:val="16"/>
                <w:szCs w:val="16"/>
              </w:rPr>
              <w:t>Purpose(s)/Description(s)</w:t>
            </w:r>
          </w:p>
        </w:tc>
      </w:tr>
      <w:tr w:rsidR="005703CF" w:rsidRPr="007A4F19" w:rsidTr="002249F8">
        <w:trPr>
          <w:cantSplit/>
        </w:trPr>
        <w:tc>
          <w:tcPr>
            <w:tcW w:w="1981" w:type="dxa"/>
          </w:tcPr>
          <w:p w:rsidR="005703CF" w:rsidRPr="007A4F19" w:rsidRDefault="005703CF" w:rsidP="002249F8">
            <w:pPr>
              <w:keepNext/>
              <w:keepLines/>
              <w:autoSpaceDE w:val="0"/>
              <w:autoSpaceDN w:val="0"/>
              <w:adjustRightInd w:val="0"/>
              <w:spacing w:before="120" w:after="120"/>
              <w:rPr>
                <w:rFonts w:cs="Arial"/>
                <w:color w:val="000000"/>
                <w:sz w:val="16"/>
                <w:szCs w:val="16"/>
              </w:rPr>
            </w:pPr>
            <w:r w:rsidRPr="00432993">
              <w:rPr>
                <w:rFonts w:cs="Arial"/>
                <w:color w:val="000000"/>
                <w:sz w:val="16"/>
                <w:szCs w:val="16"/>
              </w:rPr>
              <w:t xml:space="preserve">LATIPAT PROJECT </w:t>
            </w:r>
            <w:r>
              <w:rPr>
                <w:rFonts w:cs="Arial"/>
                <w:color w:val="000000"/>
                <w:sz w:val="16"/>
                <w:szCs w:val="16"/>
              </w:rPr>
              <w:t>IX</w:t>
            </w:r>
            <w:r w:rsidRPr="00432993">
              <w:rPr>
                <w:rFonts w:cs="Arial"/>
                <w:color w:val="000000"/>
                <w:sz w:val="16"/>
                <w:szCs w:val="16"/>
              </w:rPr>
              <w:t xml:space="preserve"> Regional Meeting WIPO/OEPM/EPO of IT Specialist and Management of Patent Information of Industrial Property Offices in Latin America</w:t>
            </w:r>
          </w:p>
        </w:tc>
        <w:tc>
          <w:tcPr>
            <w:tcW w:w="1260" w:type="dxa"/>
          </w:tcPr>
          <w:p w:rsidR="005703CF" w:rsidRPr="007A4F19" w:rsidRDefault="005703CF" w:rsidP="002249F8">
            <w:pPr>
              <w:keepNext/>
              <w:keepLines/>
              <w:autoSpaceDE w:val="0"/>
              <w:autoSpaceDN w:val="0"/>
              <w:adjustRightInd w:val="0"/>
              <w:spacing w:before="120" w:after="120"/>
              <w:rPr>
                <w:rFonts w:cs="Arial"/>
                <w:color w:val="000000"/>
                <w:sz w:val="16"/>
                <w:szCs w:val="16"/>
                <w:lang w:eastAsia="ja-JP"/>
              </w:rPr>
            </w:pPr>
            <w:r>
              <w:rPr>
                <w:rFonts w:cs="Arial"/>
                <w:color w:val="000000"/>
                <w:sz w:val="16"/>
                <w:szCs w:val="16"/>
                <w:lang w:eastAsia="ja-JP"/>
              </w:rPr>
              <w:t>November 4 to 6 2013</w:t>
            </w:r>
          </w:p>
        </w:tc>
        <w:tc>
          <w:tcPr>
            <w:tcW w:w="1721" w:type="dxa"/>
          </w:tcPr>
          <w:p w:rsidR="005703CF" w:rsidRDefault="005703CF" w:rsidP="002249F8">
            <w:pPr>
              <w:keepNext/>
              <w:keepLines/>
              <w:autoSpaceDE w:val="0"/>
              <w:autoSpaceDN w:val="0"/>
              <w:adjustRightInd w:val="0"/>
              <w:spacing w:before="120" w:after="120"/>
              <w:rPr>
                <w:rFonts w:cs="Arial"/>
                <w:color w:val="000000"/>
                <w:sz w:val="16"/>
                <w:szCs w:val="16"/>
                <w:lang w:eastAsia="ja-JP"/>
              </w:rPr>
            </w:pPr>
            <w:r>
              <w:rPr>
                <w:rFonts w:cs="Arial"/>
                <w:color w:val="000000"/>
                <w:sz w:val="16"/>
                <w:szCs w:val="16"/>
                <w:lang w:eastAsia="ja-JP"/>
              </w:rPr>
              <w:t>Chile/ All Latin American countries</w:t>
            </w:r>
          </w:p>
          <w:p w:rsidR="005703CF" w:rsidRPr="00432993" w:rsidRDefault="005703CF" w:rsidP="002249F8">
            <w:pPr>
              <w:keepNext/>
              <w:keepLines/>
              <w:autoSpaceDE w:val="0"/>
              <w:autoSpaceDN w:val="0"/>
              <w:adjustRightInd w:val="0"/>
              <w:spacing w:before="120" w:after="120"/>
              <w:rPr>
                <w:rFonts w:cs="Arial"/>
                <w:color w:val="000000"/>
                <w:sz w:val="16"/>
                <w:szCs w:val="16"/>
                <w:lang w:eastAsia="ja-JP"/>
              </w:rPr>
            </w:pPr>
          </w:p>
        </w:tc>
        <w:tc>
          <w:tcPr>
            <w:tcW w:w="4110" w:type="dxa"/>
            <w:gridSpan w:val="3"/>
          </w:tcPr>
          <w:p w:rsidR="005703CF" w:rsidRPr="007A4F19" w:rsidRDefault="005703CF" w:rsidP="006D1A73">
            <w:pPr>
              <w:keepNext/>
              <w:keepLines/>
              <w:autoSpaceDE w:val="0"/>
              <w:autoSpaceDN w:val="0"/>
              <w:adjustRightInd w:val="0"/>
              <w:spacing w:before="120" w:after="120"/>
              <w:rPr>
                <w:rFonts w:cs="Arial"/>
                <w:color w:val="000000"/>
                <w:sz w:val="16"/>
                <w:szCs w:val="16"/>
                <w:lang w:eastAsia="ja-JP"/>
              </w:rPr>
            </w:pPr>
            <w:r w:rsidRPr="003409D0">
              <w:rPr>
                <w:rFonts w:cs="Arial"/>
                <w:color w:val="000000"/>
                <w:sz w:val="16"/>
                <w:szCs w:val="16"/>
                <w:lang w:eastAsia="ja-JP"/>
              </w:rPr>
              <w:t>The LATIPAT Project was created to develop and provide a database with patent information from all Latin American countries. Currently, the LATIPAT Project is an example, not only for the Latin American countries, but also for the different international forums related to patent information, commitment, perseverance and teamwork. Over a period of 1</w:t>
            </w:r>
            <w:r>
              <w:rPr>
                <w:rFonts w:cs="Arial"/>
                <w:color w:val="000000"/>
                <w:sz w:val="16"/>
                <w:szCs w:val="16"/>
                <w:lang w:eastAsia="ja-JP"/>
              </w:rPr>
              <w:t>3</w:t>
            </w:r>
            <w:r w:rsidR="006D1A73">
              <w:rPr>
                <w:rFonts w:cs="Arial"/>
                <w:color w:val="000000"/>
                <w:sz w:val="16"/>
                <w:szCs w:val="16"/>
                <w:lang w:eastAsia="ja-JP"/>
              </w:rPr>
              <w:t> </w:t>
            </w:r>
            <w:r w:rsidRPr="003409D0">
              <w:rPr>
                <w:rFonts w:cs="Arial"/>
                <w:color w:val="000000"/>
                <w:sz w:val="16"/>
                <w:szCs w:val="16"/>
                <w:lang w:eastAsia="ja-JP"/>
              </w:rPr>
              <w:t>years the database has amassed more than 2</w:t>
            </w:r>
            <w:r w:rsidR="006D1A73">
              <w:rPr>
                <w:rFonts w:cs="Arial"/>
                <w:color w:val="000000"/>
                <w:sz w:val="16"/>
                <w:szCs w:val="16"/>
                <w:lang w:eastAsia="ja-JP"/>
              </w:rPr>
              <w:t> </w:t>
            </w:r>
            <w:r w:rsidRPr="003409D0">
              <w:rPr>
                <w:rFonts w:cs="Arial"/>
                <w:color w:val="000000"/>
                <w:sz w:val="16"/>
                <w:szCs w:val="16"/>
                <w:lang w:eastAsia="ja-JP"/>
              </w:rPr>
              <w:t>million documents and receives an average of 14,000 hits per month</w:t>
            </w:r>
          </w:p>
        </w:tc>
      </w:tr>
    </w:tbl>
    <w:p w:rsidR="005703CF" w:rsidRDefault="005703CF" w:rsidP="005703CF">
      <w:pPr>
        <w:spacing w:before="120"/>
        <w:rPr>
          <w:rFonts w:cs="Arial"/>
          <w:b/>
          <w:szCs w:val="20"/>
        </w:rPr>
      </w:pPr>
    </w:p>
    <w:p w:rsidR="005703CF" w:rsidRDefault="005703CF" w:rsidP="005703CF">
      <w:pPr>
        <w:keepNext/>
        <w:keepLines/>
        <w:rPr>
          <w:rFonts w:cs="Arial"/>
          <w:b/>
          <w:szCs w:val="20"/>
        </w:rPr>
      </w:pPr>
    </w:p>
    <w:p w:rsidR="005703CF" w:rsidRDefault="005703CF" w:rsidP="005703CF">
      <w:pPr>
        <w:rPr>
          <w:rFonts w:cs="Arial"/>
          <w:b/>
          <w:szCs w:val="20"/>
        </w:rPr>
      </w:pPr>
    </w:p>
    <w:p w:rsidR="005703CF" w:rsidRDefault="005703CF" w:rsidP="005703CF">
      <w:pPr>
        <w:keepNext/>
        <w:keepLines/>
        <w:rPr>
          <w:rFonts w:ascii="Arial Bold" w:hAnsi="Arial Bold" w:cs="Arial Bold"/>
          <w:b/>
          <w:bCs/>
          <w:sz w:val="18"/>
          <w:szCs w:val="18"/>
          <w:vertAlign w:val="superscript"/>
        </w:rPr>
      </w:pPr>
      <w:r w:rsidRPr="00280DA3">
        <w:rPr>
          <w:rFonts w:cs="Arial"/>
          <w:b/>
          <w:sz w:val="18"/>
          <w:szCs w:val="18"/>
        </w:rPr>
        <w:t xml:space="preserve">SPAIN Donor </w:t>
      </w:r>
      <w:r w:rsidRPr="00280DA3">
        <w:rPr>
          <w:rFonts w:cs="Arial"/>
          <w:b/>
          <w:bCs/>
          <w:sz w:val="18"/>
          <w:szCs w:val="18"/>
        </w:rPr>
        <w:t>Contr</w:t>
      </w:r>
      <w:r>
        <w:rPr>
          <w:rFonts w:cs="Arial"/>
          <w:b/>
          <w:bCs/>
          <w:sz w:val="18"/>
          <w:szCs w:val="18"/>
        </w:rPr>
        <w:t>ibutions and Expenditure in 2013</w:t>
      </w:r>
      <w:r w:rsidRPr="0054279C">
        <w:rPr>
          <w:rFonts w:ascii="Arial Bold" w:hAnsi="Arial Bold" w:cs="Arial Bold"/>
          <w:b/>
          <w:bCs/>
          <w:sz w:val="18"/>
          <w:szCs w:val="18"/>
          <w:vertAlign w:val="superscript"/>
        </w:rPr>
        <w:t>1</w:t>
      </w:r>
    </w:p>
    <w:p w:rsidR="005703CF" w:rsidRPr="00280DA3" w:rsidRDefault="005703CF" w:rsidP="005703CF">
      <w:pPr>
        <w:keepNext/>
        <w:keepLines/>
        <w:rPr>
          <w:rFonts w:cs="Arial"/>
          <w:b/>
          <w:sz w:val="18"/>
          <w:szCs w:val="1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121,400</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179,285</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135,093</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165,592</w:t>
            </w:r>
          </w:p>
        </w:tc>
      </w:tr>
    </w:tbl>
    <w:p w:rsidR="005703CF" w:rsidRPr="00356B04" w:rsidRDefault="005703CF" w:rsidP="005703CF">
      <w:pPr>
        <w:spacing w:before="120"/>
      </w:pPr>
      <w:r w:rsidRPr="00356B04">
        <w:rPr>
          <w:rFonts w:cs="Arial"/>
          <w:i/>
          <w:iCs/>
          <w:sz w:val="16"/>
          <w:szCs w:val="16"/>
          <w:vertAlign w:val="superscript"/>
        </w:rPr>
        <w:t>1</w:t>
      </w:r>
      <w:r w:rsidRPr="00356B04">
        <w:rPr>
          <w:rFonts w:cs="Arial"/>
          <w:i/>
          <w:iCs/>
          <w:sz w:val="16"/>
          <w:szCs w:val="16"/>
        </w:rPr>
        <w:t xml:space="preserve"> WIPO Financial Statements 201</w:t>
      </w:r>
      <w:r>
        <w:rPr>
          <w:rFonts w:cs="Arial"/>
          <w:i/>
          <w:iCs/>
          <w:sz w:val="16"/>
          <w:szCs w:val="16"/>
        </w:rPr>
        <w:t>3</w:t>
      </w:r>
      <w:r w:rsidRPr="00356B04">
        <w:rPr>
          <w:rFonts w:cs="Arial"/>
          <w:i/>
          <w:iCs/>
          <w:sz w:val="16"/>
          <w:szCs w:val="16"/>
        </w:rPr>
        <w:t xml:space="preserve"> (Annex III)</w:t>
      </w:r>
    </w:p>
    <w:p w:rsidR="005703CF" w:rsidRDefault="005703CF" w:rsidP="005703CF">
      <w:pPr>
        <w:keepNext/>
        <w:keepLines/>
        <w:rPr>
          <w:rFonts w:cs="Arial"/>
          <w:b/>
          <w:szCs w:val="20"/>
          <w:highlight w:val="yellow"/>
        </w:rPr>
      </w:pPr>
    </w:p>
    <w:p w:rsidR="005703CF" w:rsidRDefault="005703CF" w:rsidP="005703CF">
      <w:pPr>
        <w:keepNext/>
        <w:keepLines/>
        <w:rPr>
          <w:rFonts w:cs="Arial"/>
          <w:b/>
          <w:szCs w:val="20"/>
          <w:highlight w:val="yellow"/>
        </w:rPr>
      </w:pPr>
    </w:p>
    <w:p w:rsidR="005703CF" w:rsidRDefault="005703CF" w:rsidP="005703CF">
      <w:pPr>
        <w:keepNext/>
        <w:keepLines/>
        <w:rPr>
          <w:rFonts w:cs="Arial"/>
          <w:b/>
          <w:szCs w:val="20"/>
          <w:highlight w:val="yellow"/>
        </w:rPr>
      </w:pPr>
    </w:p>
    <w:p w:rsidR="00C24C7E" w:rsidRDefault="00C24C7E">
      <w:pPr>
        <w:rPr>
          <w:rFonts w:cs="Arial"/>
          <w:b/>
          <w:szCs w:val="20"/>
        </w:rPr>
      </w:pPr>
      <w:r>
        <w:rPr>
          <w:rFonts w:cs="Arial"/>
          <w:b/>
          <w:szCs w:val="20"/>
        </w:rPr>
        <w:br w:type="page"/>
      </w:r>
    </w:p>
    <w:p w:rsidR="005703CF" w:rsidRDefault="005703CF" w:rsidP="005703CF">
      <w:pPr>
        <w:keepNext/>
        <w:keepLines/>
        <w:rPr>
          <w:rFonts w:cs="Arial"/>
          <w:b/>
          <w:szCs w:val="20"/>
        </w:rPr>
      </w:pPr>
      <w:r w:rsidRPr="003B7958">
        <w:rPr>
          <w:rFonts w:cs="Arial"/>
          <w:b/>
          <w:szCs w:val="20"/>
        </w:rPr>
        <w:lastRenderedPageBreak/>
        <w:t>UNITED STATES OF AMERICA/ COPYRIGHT</w:t>
      </w:r>
    </w:p>
    <w:p w:rsidR="005703CF" w:rsidRDefault="005703CF" w:rsidP="005703CF">
      <w:pPr>
        <w:keepNext/>
        <w:keepLines/>
        <w:rPr>
          <w:rFonts w:cs="Arial"/>
          <w:b/>
          <w:szCs w:val="20"/>
        </w:rPr>
      </w:pPr>
    </w:p>
    <w:tbl>
      <w:tblPr>
        <w:tblW w:w="9080"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4"/>
        <w:gridCol w:w="1137"/>
        <w:gridCol w:w="2836"/>
        <w:gridCol w:w="3263"/>
      </w:tblGrid>
      <w:tr w:rsidR="005703CF" w:rsidTr="002249F8">
        <w:tc>
          <w:tcPr>
            <w:tcW w:w="9080" w:type="dxa"/>
            <w:gridSpan w:val="4"/>
            <w:tcBorders>
              <w:top w:val="single" w:sz="4" w:space="0" w:color="000000"/>
              <w:bottom w:val="single" w:sz="4" w:space="0" w:color="000000"/>
            </w:tcBorders>
            <w:shd w:val="clear" w:color="auto" w:fill="CCFFFF"/>
            <w:vAlign w:val="center"/>
          </w:tcPr>
          <w:p w:rsidR="005703CF" w:rsidRPr="00A95449" w:rsidRDefault="005703CF" w:rsidP="002249F8">
            <w:pPr>
              <w:tabs>
                <w:tab w:val="left" w:pos="890"/>
              </w:tabs>
              <w:spacing w:before="120" w:after="120"/>
              <w:ind w:left="890" w:hanging="89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Pr>
                <w:rFonts w:cs="Arial"/>
                <w:b/>
                <w:bCs/>
                <w:sz w:val="16"/>
                <w:szCs w:val="16"/>
              </w:rPr>
              <w:tab/>
            </w:r>
            <w:r>
              <w:rPr>
                <w:rFonts w:cs="Arial"/>
                <w:b/>
                <w:bCs/>
                <w:sz w:val="16"/>
                <w:szCs w:val="16"/>
              </w:rPr>
              <w:tab/>
            </w:r>
            <w:r w:rsidRPr="00A95449">
              <w:rPr>
                <w:rFonts w:eastAsia="MS Mincho" w:cs="Arial"/>
                <w:bCs/>
                <w:color w:val="000000"/>
                <w:sz w:val="16"/>
                <w:szCs w:val="16"/>
                <w:lang w:eastAsia="ja-JP" w:bidi="th-TH"/>
              </w:rPr>
              <w:t>Evidence-based decision making on copyright issues</w:t>
            </w:r>
          </w:p>
        </w:tc>
      </w:tr>
      <w:tr w:rsidR="005703CF" w:rsidTr="002249F8">
        <w:tc>
          <w:tcPr>
            <w:tcW w:w="1844" w:type="dxa"/>
            <w:tcBorders>
              <w:top w:val="single" w:sz="4" w:space="0" w:color="000000"/>
            </w:tcBorders>
            <w:vAlign w:val="center"/>
          </w:tcPr>
          <w:p w:rsidR="005703CF" w:rsidRDefault="005703CF" w:rsidP="002249F8">
            <w:pPr>
              <w:keepNext/>
              <w:keepLines/>
              <w:rPr>
                <w:rFonts w:cs="Arial"/>
                <w:b/>
                <w:bCs/>
                <w:sz w:val="16"/>
                <w:szCs w:val="16"/>
              </w:rPr>
            </w:pPr>
            <w:r>
              <w:rPr>
                <w:rFonts w:cs="Arial"/>
                <w:b/>
                <w:bCs/>
                <w:sz w:val="16"/>
                <w:szCs w:val="16"/>
              </w:rPr>
              <w:t>Activity</w:t>
            </w:r>
          </w:p>
        </w:tc>
        <w:tc>
          <w:tcPr>
            <w:tcW w:w="1137" w:type="dxa"/>
            <w:tcBorders>
              <w:top w:val="single" w:sz="4" w:space="0" w:color="000000"/>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Date</w:t>
            </w:r>
          </w:p>
        </w:tc>
        <w:tc>
          <w:tcPr>
            <w:tcW w:w="2836" w:type="dxa"/>
            <w:tcBorders>
              <w:top w:val="single" w:sz="4" w:space="0" w:color="000000"/>
            </w:tcBorders>
            <w:shd w:val="clear" w:color="auto" w:fill="auto"/>
            <w:tcMar>
              <w:top w:w="110" w:type="dxa"/>
            </w:tcMar>
            <w:vAlign w:val="center"/>
          </w:tcPr>
          <w:p w:rsidR="005703CF" w:rsidRDefault="005703CF" w:rsidP="002249F8">
            <w:pPr>
              <w:keepNext/>
              <w:keepLines/>
              <w:rPr>
                <w:rFonts w:cs="Arial"/>
                <w:sz w:val="16"/>
                <w:szCs w:val="16"/>
              </w:rPr>
            </w:pPr>
            <w:r>
              <w:rPr>
                <w:rFonts w:cs="Arial"/>
                <w:b/>
                <w:bCs/>
                <w:sz w:val="16"/>
                <w:szCs w:val="16"/>
              </w:rPr>
              <w:t>Host Country/</w:t>
            </w:r>
            <w:r>
              <w:rPr>
                <w:rFonts w:cs="Arial"/>
                <w:b/>
                <w:bCs/>
                <w:sz w:val="16"/>
                <w:szCs w:val="16"/>
              </w:rPr>
              <w:br/>
              <w:t>Recipients</w:t>
            </w:r>
          </w:p>
        </w:tc>
        <w:tc>
          <w:tcPr>
            <w:tcW w:w="3263" w:type="dxa"/>
            <w:tcBorders>
              <w:top w:val="single" w:sz="4" w:space="0" w:color="000000"/>
            </w:tcBorders>
            <w:shd w:val="clear" w:color="auto" w:fill="FFFFFF"/>
            <w:tcMar>
              <w:top w:w="110" w:type="dxa"/>
            </w:tcMar>
            <w:vAlign w:val="center"/>
          </w:tcPr>
          <w:p w:rsidR="005703CF" w:rsidRDefault="005703CF" w:rsidP="002249F8">
            <w:pPr>
              <w:keepNext/>
              <w:keepLines/>
              <w:rPr>
                <w:rFonts w:cs="Arial"/>
                <w:sz w:val="16"/>
                <w:szCs w:val="16"/>
              </w:rPr>
            </w:pPr>
            <w:r>
              <w:rPr>
                <w:rFonts w:cs="Arial"/>
                <w:b/>
                <w:bCs/>
                <w:sz w:val="16"/>
                <w:szCs w:val="16"/>
              </w:rPr>
              <w:t>Purpose(s)/Description(s)</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cs="Arial"/>
                <w:color w:val="000000"/>
                <w:sz w:val="16"/>
                <w:szCs w:val="16"/>
              </w:rPr>
              <w:t>National studies on the economic contribution of the copyright-based industries</w:t>
            </w:r>
          </w:p>
        </w:tc>
        <w:tc>
          <w:tcPr>
            <w:tcW w:w="1137" w:type="dxa"/>
          </w:tcPr>
          <w:p w:rsidR="005703CF" w:rsidRDefault="005703CF" w:rsidP="002249F8">
            <w:pPr>
              <w:autoSpaceDE w:val="0"/>
              <w:autoSpaceDN w:val="0"/>
              <w:adjustRightInd w:val="0"/>
              <w:spacing w:before="120" w:after="120"/>
              <w:rPr>
                <w:rFonts w:cs="Arial"/>
                <w:color w:val="000000"/>
                <w:sz w:val="16"/>
                <w:szCs w:val="16"/>
              </w:rPr>
            </w:pPr>
            <w:r>
              <w:rPr>
                <w:rFonts w:cs="Arial"/>
                <w:color w:val="000000"/>
                <w:sz w:val="16"/>
                <w:szCs w:val="16"/>
              </w:rPr>
              <w:t xml:space="preserve">January </w:t>
            </w:r>
            <w:r w:rsidRPr="00774BA0">
              <w:rPr>
                <w:rFonts w:cs="Arial"/>
                <w:color w:val="000000"/>
                <w:sz w:val="16"/>
                <w:szCs w:val="16"/>
              </w:rPr>
              <w:t xml:space="preserve">to December </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(On-going since 2012_</w:t>
            </w:r>
            <w:r w:rsidRPr="00774BA0">
              <w:rPr>
                <w:rFonts w:cs="Arial"/>
                <w:color w:val="000000"/>
                <w:sz w:val="16"/>
                <w:szCs w:val="16"/>
              </w:rPr>
              <w:t>201</w:t>
            </w:r>
            <w:r>
              <w:rPr>
                <w:rFonts w:cs="Arial"/>
                <w:color w:val="000000"/>
                <w:sz w:val="16"/>
                <w:szCs w:val="16"/>
              </w:rPr>
              <w:t>3</w:t>
            </w:r>
          </w:p>
        </w:tc>
        <w:tc>
          <w:tcPr>
            <w:tcW w:w="2836" w:type="dxa"/>
          </w:tcPr>
          <w:p w:rsidR="005703CF" w:rsidRPr="001C7EA0" w:rsidRDefault="005703CF" w:rsidP="002249F8">
            <w:pPr>
              <w:autoSpaceDE w:val="0"/>
              <w:autoSpaceDN w:val="0"/>
              <w:adjustRightInd w:val="0"/>
              <w:spacing w:before="120" w:after="120"/>
              <w:rPr>
                <w:rFonts w:cs="Arial"/>
                <w:color w:val="000000"/>
                <w:sz w:val="16"/>
                <w:szCs w:val="16"/>
              </w:rPr>
            </w:pPr>
            <w:r w:rsidRPr="00774BA0">
              <w:rPr>
                <w:rFonts w:cs="Arial"/>
                <w:color w:val="000000"/>
                <w:sz w:val="16"/>
                <w:szCs w:val="16"/>
              </w:rPr>
              <w:t>Al</w:t>
            </w:r>
            <w:r>
              <w:rPr>
                <w:rFonts w:cs="Arial"/>
                <w:color w:val="000000"/>
                <w:sz w:val="16"/>
                <w:szCs w:val="16"/>
              </w:rPr>
              <w:t>bania, Argentina, Brazil, China, Indonesia, Jordan, Lithuania, Malawi, The Organization of Eastern Caribbean States (OECS), Republic of Korea, Thailand, Trinidad and Tobago, United Republic of Tanzania, South Africa</w:t>
            </w:r>
          </w:p>
        </w:tc>
        <w:tc>
          <w:tcPr>
            <w:tcW w:w="3263"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To: (i) quantify the economic contribution of copyright-based industries in an economy; and (ii) provide a basis for policy-making through the use of statistical information </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Impact Studies on the Specific Copyright-Based Industries</w:t>
            </w:r>
          </w:p>
        </w:tc>
        <w:tc>
          <w:tcPr>
            <w:tcW w:w="1137" w:type="dxa"/>
          </w:tcPr>
          <w:p w:rsidR="005703CF"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January to December 2013</w:t>
            </w:r>
          </w:p>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(On-going since 2012_</w:t>
            </w:r>
          </w:p>
        </w:tc>
        <w:tc>
          <w:tcPr>
            <w:tcW w:w="2836"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China, Mexico, Lebanon</w:t>
            </w:r>
          </w:p>
        </w:tc>
        <w:tc>
          <w:tcPr>
            <w:tcW w:w="3263"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To: </w:t>
            </w:r>
            <w:r w:rsidR="006D1A73">
              <w:rPr>
                <w:rFonts w:eastAsia="MS Mincho" w:cs="Arial"/>
                <w:color w:val="000000"/>
                <w:sz w:val="16"/>
                <w:szCs w:val="16"/>
                <w:lang w:eastAsia="ja-JP" w:bidi="th-TH"/>
              </w:rPr>
              <w:t xml:space="preserve"> </w:t>
            </w:r>
            <w:r>
              <w:rPr>
                <w:rFonts w:eastAsia="MS Mincho" w:cs="Arial"/>
                <w:color w:val="000000"/>
                <w:sz w:val="16"/>
                <w:szCs w:val="16"/>
                <w:lang w:eastAsia="ja-JP" w:bidi="th-TH"/>
              </w:rPr>
              <w:t xml:space="preserve">(i) analyze the impact of copyright in specific copyright-based industries; </w:t>
            </w:r>
            <w:r w:rsidR="006D1A73">
              <w:rPr>
                <w:rFonts w:eastAsia="MS Mincho" w:cs="Arial"/>
                <w:color w:val="000000"/>
                <w:sz w:val="16"/>
                <w:szCs w:val="16"/>
                <w:lang w:eastAsia="ja-JP" w:bidi="th-TH"/>
              </w:rPr>
              <w:t xml:space="preserve"> </w:t>
            </w:r>
            <w:r>
              <w:rPr>
                <w:rFonts w:eastAsia="MS Mincho" w:cs="Arial"/>
                <w:color w:val="000000"/>
                <w:sz w:val="16"/>
                <w:szCs w:val="16"/>
                <w:lang w:eastAsia="ja-JP" w:bidi="th-TH"/>
              </w:rPr>
              <w:t>and (ii) ensure a better understanding of the trends in creative industries and factors affecting their performance</w:t>
            </w:r>
          </w:p>
        </w:tc>
      </w:tr>
      <w:tr w:rsidR="005703CF" w:rsidTr="002249F8">
        <w:tc>
          <w:tcPr>
            <w:tcW w:w="9080" w:type="dxa"/>
            <w:gridSpan w:val="4"/>
            <w:tcBorders>
              <w:top w:val="single" w:sz="4" w:space="0" w:color="000000"/>
              <w:bottom w:val="single" w:sz="4" w:space="0" w:color="000000"/>
            </w:tcBorders>
            <w:shd w:val="clear" w:color="auto" w:fill="CCFFFF"/>
            <w:vAlign w:val="center"/>
          </w:tcPr>
          <w:p w:rsidR="005703CF" w:rsidRPr="00A95449" w:rsidRDefault="005703CF" w:rsidP="002249F8">
            <w:pPr>
              <w:keepNext/>
              <w:keepLines/>
              <w:tabs>
                <w:tab w:val="left" w:pos="1740"/>
              </w:tabs>
              <w:spacing w:before="120" w:after="120"/>
              <w:ind w:left="1740" w:hanging="1740"/>
              <w:rPr>
                <w:rFonts w:cs="Arial"/>
                <w:b/>
                <w:bCs/>
                <w:sz w:val="16"/>
                <w:szCs w:val="16"/>
              </w:rPr>
            </w:pPr>
            <w:r w:rsidRPr="00774D44">
              <w:rPr>
                <w:rFonts w:cs="Arial"/>
                <w:b/>
                <w:bCs/>
                <w:color w:val="000000"/>
                <w:sz w:val="16"/>
                <w:szCs w:val="16"/>
              </w:rPr>
              <w:t>RESULT</w:t>
            </w:r>
            <w:r w:rsidRPr="002B7DE5">
              <w:rPr>
                <w:rFonts w:cs="Arial"/>
                <w:b/>
                <w:bCs/>
                <w:sz w:val="16"/>
                <w:szCs w:val="16"/>
              </w:rPr>
              <w:t>:</w:t>
            </w:r>
            <w:r w:rsidRPr="00A95449">
              <w:rPr>
                <w:rFonts w:cs="Arial"/>
                <w:b/>
                <w:bCs/>
                <w:sz w:val="16"/>
                <w:szCs w:val="16"/>
              </w:rPr>
              <w:tab/>
            </w:r>
            <w:r w:rsidRPr="00A95449">
              <w:rPr>
                <w:rFonts w:eastAsia="MS Mincho" w:cs="Arial"/>
                <w:bCs/>
                <w:color w:val="000000"/>
                <w:sz w:val="16"/>
                <w:szCs w:val="16"/>
                <w:lang w:eastAsia="ja-JP" w:bidi="th-TH"/>
              </w:rPr>
              <w:t>Enhanced human resources capacities able to deal with the broad range of requirements for the effective use of IP for development in developing countries, LDCs and countries with economies in transition</w:t>
            </w:r>
          </w:p>
        </w:tc>
      </w:tr>
      <w:tr w:rsidR="005703CF" w:rsidRPr="00F77251" w:rsidTr="002249F8">
        <w:tc>
          <w:tcPr>
            <w:tcW w:w="1844"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Preparation, translation and publication of WIPO studies and training tools on the management of IP in specific copyright industries</w:t>
            </w:r>
          </w:p>
        </w:tc>
        <w:tc>
          <w:tcPr>
            <w:tcW w:w="1137"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January to December 2013</w:t>
            </w:r>
          </w:p>
        </w:tc>
        <w:tc>
          <w:tcPr>
            <w:tcW w:w="2836" w:type="dxa"/>
          </w:tcPr>
          <w:p w:rsidR="005703CF" w:rsidRPr="00F77251"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All WIPO Member States </w:t>
            </w:r>
          </w:p>
        </w:tc>
        <w:tc>
          <w:tcPr>
            <w:tcW w:w="3263" w:type="dxa"/>
          </w:tcPr>
          <w:p w:rsidR="005703CF" w:rsidRPr="00660313" w:rsidRDefault="005703CF" w:rsidP="002249F8">
            <w:pPr>
              <w:autoSpaceDE w:val="0"/>
              <w:autoSpaceDN w:val="0"/>
              <w:adjustRightInd w:val="0"/>
              <w:spacing w:before="120" w:after="120"/>
              <w:rPr>
                <w:rFonts w:eastAsia="MS Mincho" w:cs="Arial"/>
                <w:color w:val="000000"/>
                <w:sz w:val="16"/>
                <w:szCs w:val="16"/>
                <w:lang w:eastAsia="ja-JP" w:bidi="th-TH"/>
              </w:rPr>
            </w:pPr>
            <w:r>
              <w:rPr>
                <w:rFonts w:eastAsia="MS Mincho" w:cs="Arial"/>
                <w:color w:val="000000"/>
                <w:sz w:val="16"/>
                <w:szCs w:val="16"/>
                <w:lang w:eastAsia="ja-JP" w:bidi="th-TH"/>
              </w:rPr>
              <w:t xml:space="preserve">To enhance knowledge of stakeholders in creative industries to understand and manage IP/copyright in relevant specific creative industries </w:t>
            </w:r>
          </w:p>
        </w:tc>
      </w:tr>
    </w:tbl>
    <w:p w:rsidR="005703CF" w:rsidRDefault="005703CF" w:rsidP="005703CF">
      <w:pPr>
        <w:keepNext/>
        <w:keepLines/>
        <w:rPr>
          <w:rFonts w:cs="Arial"/>
          <w:b/>
          <w:szCs w:val="20"/>
        </w:rPr>
      </w:pPr>
    </w:p>
    <w:p w:rsidR="005703CF" w:rsidRDefault="005703CF" w:rsidP="005703CF">
      <w:pPr>
        <w:rPr>
          <w:rFonts w:cs="Arial"/>
          <w:b/>
          <w:szCs w:val="20"/>
        </w:rPr>
      </w:pPr>
    </w:p>
    <w:p w:rsidR="005703CF" w:rsidRPr="00280DA3" w:rsidRDefault="005703CF" w:rsidP="005703CF">
      <w:pPr>
        <w:keepNext/>
        <w:keepLines/>
        <w:rPr>
          <w:rFonts w:cs="Arial"/>
          <w:b/>
          <w:sz w:val="18"/>
          <w:szCs w:val="18"/>
        </w:rPr>
      </w:pPr>
      <w:r w:rsidRPr="00280DA3">
        <w:rPr>
          <w:rFonts w:cs="Arial"/>
          <w:b/>
          <w:sz w:val="18"/>
          <w:szCs w:val="18"/>
        </w:rPr>
        <w:t xml:space="preserve">UNITED STATES OF AMERICA/ COPYRIGHT Donor </w:t>
      </w:r>
      <w:r w:rsidRPr="00280DA3">
        <w:rPr>
          <w:rFonts w:cs="Arial"/>
          <w:b/>
          <w:bCs/>
          <w:sz w:val="18"/>
          <w:szCs w:val="18"/>
        </w:rPr>
        <w:t>Contributions and Expenditure in 201</w:t>
      </w:r>
      <w:r>
        <w:rPr>
          <w:rFonts w:cs="Arial"/>
          <w:b/>
          <w:bCs/>
          <w:sz w:val="18"/>
          <w:szCs w:val="18"/>
        </w:rPr>
        <w:t>3</w:t>
      </w:r>
      <w:r w:rsidRPr="0054279C">
        <w:rPr>
          <w:rFonts w:ascii="Arial Bold" w:hAnsi="Arial Bold" w:cs="Arial Bold"/>
          <w:b/>
          <w:bCs/>
          <w:sz w:val="18"/>
          <w:szCs w:val="18"/>
          <w:vertAlign w:val="superscript"/>
        </w:rPr>
        <w:t>1</w:t>
      </w:r>
    </w:p>
    <w:p w:rsidR="005703CF" w:rsidRDefault="005703CF" w:rsidP="005703CF">
      <w:pPr>
        <w:rPr>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1701"/>
        <w:gridCol w:w="1843"/>
        <w:gridCol w:w="1701"/>
        <w:gridCol w:w="1984"/>
      </w:tblGrid>
      <w:tr w:rsidR="005703CF" w:rsidRPr="00834B2E" w:rsidTr="002249F8">
        <w:trPr>
          <w:trHeight w:val="567"/>
        </w:trPr>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2012</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Income 2013</w:t>
            </w:r>
          </w:p>
        </w:tc>
        <w:tc>
          <w:tcPr>
            <w:tcW w:w="1843"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Expenditure 2013</w:t>
            </w:r>
          </w:p>
        </w:tc>
        <w:tc>
          <w:tcPr>
            <w:tcW w:w="1701"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Reimbursements</w:t>
            </w:r>
          </w:p>
        </w:tc>
        <w:tc>
          <w:tcPr>
            <w:tcW w:w="1984" w:type="dxa"/>
            <w:shd w:val="clear" w:color="auto" w:fill="CCFFFF"/>
            <w:vAlign w:val="center"/>
          </w:tcPr>
          <w:p w:rsidR="005703CF" w:rsidRPr="00834B2E" w:rsidRDefault="005703CF" w:rsidP="002249F8">
            <w:pPr>
              <w:spacing w:before="120" w:after="120"/>
              <w:jc w:val="center"/>
              <w:rPr>
                <w:rFonts w:cs="Arial"/>
                <w:b/>
                <w:sz w:val="16"/>
                <w:szCs w:val="16"/>
              </w:rPr>
            </w:pPr>
            <w:r w:rsidRPr="00834B2E">
              <w:rPr>
                <w:rFonts w:cs="Arial"/>
                <w:b/>
                <w:sz w:val="16"/>
                <w:szCs w:val="16"/>
              </w:rPr>
              <w:t>Balance as of December 31, 2013</w:t>
            </w:r>
          </w:p>
        </w:tc>
      </w:tr>
      <w:tr w:rsidR="005703CF" w:rsidRPr="00834B2E" w:rsidTr="002249F8">
        <w:trPr>
          <w:trHeight w:val="567"/>
        </w:trPr>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112,008</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1,449</w:t>
            </w:r>
          </w:p>
        </w:tc>
        <w:tc>
          <w:tcPr>
            <w:tcW w:w="1843"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110,747</w:t>
            </w:r>
          </w:p>
        </w:tc>
        <w:tc>
          <w:tcPr>
            <w:tcW w:w="1701"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 </w:t>
            </w:r>
          </w:p>
        </w:tc>
        <w:tc>
          <w:tcPr>
            <w:tcW w:w="1984" w:type="dxa"/>
            <w:shd w:val="clear" w:color="auto" w:fill="auto"/>
            <w:vAlign w:val="center"/>
          </w:tcPr>
          <w:p w:rsidR="005703CF" w:rsidRPr="00834B2E" w:rsidRDefault="005703CF" w:rsidP="002249F8">
            <w:pPr>
              <w:autoSpaceDE w:val="0"/>
              <w:autoSpaceDN w:val="0"/>
              <w:adjustRightInd w:val="0"/>
              <w:spacing w:before="120" w:after="120"/>
              <w:jc w:val="center"/>
              <w:rPr>
                <w:rFonts w:eastAsia="MS Mincho" w:cs="Arial"/>
                <w:color w:val="000000"/>
                <w:sz w:val="16"/>
                <w:szCs w:val="16"/>
                <w:lang w:eastAsia="ja-JP" w:bidi="th-TH"/>
              </w:rPr>
            </w:pPr>
            <w:r>
              <w:rPr>
                <w:rFonts w:cs="Arial"/>
                <w:color w:val="000000"/>
                <w:sz w:val="16"/>
                <w:szCs w:val="16"/>
              </w:rPr>
              <w:t>2,709</w:t>
            </w:r>
          </w:p>
        </w:tc>
      </w:tr>
    </w:tbl>
    <w:p w:rsidR="005703CF" w:rsidRDefault="005703CF" w:rsidP="005703CF">
      <w:pPr>
        <w:spacing w:before="120"/>
        <w:rPr>
          <w:rFonts w:cs="Arial"/>
          <w:b/>
          <w:szCs w:val="20"/>
        </w:rPr>
      </w:pPr>
      <w:r w:rsidRPr="00F65196">
        <w:rPr>
          <w:rFonts w:cs="Arial Bold"/>
          <w:bCs/>
          <w:i/>
          <w:iCs/>
          <w:sz w:val="16"/>
          <w:szCs w:val="16"/>
          <w:vertAlign w:val="superscript"/>
        </w:rPr>
        <w:t>1</w:t>
      </w:r>
      <w:r w:rsidRPr="00F65196">
        <w:rPr>
          <w:rFonts w:cs="Arial"/>
          <w:bCs/>
          <w:i/>
          <w:iCs/>
          <w:sz w:val="16"/>
          <w:szCs w:val="16"/>
        </w:rPr>
        <w:t xml:space="preserve"> WIPO Financial </w:t>
      </w:r>
      <w:r>
        <w:rPr>
          <w:rFonts w:cs="Arial"/>
          <w:bCs/>
          <w:i/>
          <w:iCs/>
          <w:sz w:val="16"/>
          <w:szCs w:val="16"/>
        </w:rPr>
        <w:t>Statements</w:t>
      </w:r>
      <w:r w:rsidRPr="00F65196">
        <w:rPr>
          <w:rFonts w:cs="Arial"/>
          <w:bCs/>
          <w:i/>
          <w:iCs/>
          <w:sz w:val="16"/>
          <w:szCs w:val="16"/>
        </w:rPr>
        <w:t xml:space="preserve"> 201</w:t>
      </w:r>
      <w:r>
        <w:rPr>
          <w:rFonts w:cs="Arial"/>
          <w:bCs/>
          <w:i/>
          <w:iCs/>
          <w:sz w:val="16"/>
          <w:szCs w:val="16"/>
        </w:rPr>
        <w:t>3 (Annex III)</w:t>
      </w:r>
    </w:p>
    <w:p w:rsidR="005703CF" w:rsidRPr="00831138" w:rsidRDefault="005703CF" w:rsidP="005703CF">
      <w:pPr>
        <w:rPr>
          <w:rFonts w:cs="Arial"/>
          <w:szCs w:val="20"/>
        </w:rPr>
      </w:pPr>
    </w:p>
    <w:p w:rsidR="00831138" w:rsidRPr="00831138" w:rsidRDefault="00831138" w:rsidP="005703CF">
      <w:pPr>
        <w:rPr>
          <w:rFonts w:cs="Arial"/>
          <w:szCs w:val="20"/>
        </w:rPr>
      </w:pPr>
    </w:p>
    <w:p w:rsidR="00831138" w:rsidRDefault="00831138" w:rsidP="00831138">
      <w:pPr>
        <w:tabs>
          <w:tab w:val="left" w:pos="5387"/>
        </w:tabs>
        <w:autoSpaceDE w:val="0"/>
        <w:autoSpaceDN w:val="0"/>
        <w:adjustRightInd w:val="0"/>
        <w:jc w:val="center"/>
      </w:pPr>
      <w:r>
        <w:tab/>
      </w:r>
      <w:r w:rsidRPr="00C842DA">
        <w:t>[</w:t>
      </w:r>
      <w:r>
        <w:t>Appendix III follows</w:t>
      </w:r>
      <w:r w:rsidRPr="00C842DA">
        <w:t>]</w:t>
      </w:r>
    </w:p>
    <w:p w:rsidR="00831138" w:rsidRPr="00035F86" w:rsidRDefault="00831138" w:rsidP="00831138">
      <w:pPr>
        <w:rPr>
          <w:rFonts w:eastAsiaTheme="minorHAnsi" w:cs="Arial"/>
          <w:sz w:val="16"/>
          <w:szCs w:val="16"/>
        </w:rPr>
      </w:pPr>
    </w:p>
    <w:p w:rsidR="00831138" w:rsidRPr="00831138" w:rsidRDefault="00831138" w:rsidP="005703CF">
      <w:pPr>
        <w:rPr>
          <w:rFonts w:cs="Arial"/>
          <w:szCs w:val="20"/>
        </w:rPr>
      </w:pPr>
    </w:p>
    <w:p w:rsidR="00831138" w:rsidRPr="00831138" w:rsidRDefault="00831138" w:rsidP="005703CF">
      <w:pPr>
        <w:rPr>
          <w:rFonts w:cs="Arial"/>
          <w:szCs w:val="20"/>
        </w:rPr>
      </w:pPr>
    </w:p>
    <w:p w:rsidR="00831138" w:rsidRPr="00831138" w:rsidRDefault="00831138" w:rsidP="005703CF">
      <w:pPr>
        <w:rPr>
          <w:rFonts w:cs="Arial"/>
          <w:szCs w:val="20"/>
        </w:rPr>
      </w:pPr>
    </w:p>
    <w:p w:rsidR="00831138" w:rsidRPr="00831138" w:rsidRDefault="00831138" w:rsidP="005703CF">
      <w:pPr>
        <w:rPr>
          <w:rFonts w:cs="Arial"/>
          <w:szCs w:val="20"/>
        </w:rPr>
      </w:pPr>
    </w:p>
    <w:p w:rsidR="006A1FCF" w:rsidRDefault="006A1FCF" w:rsidP="005703CF">
      <w:pPr>
        <w:rPr>
          <w:rFonts w:cs="Arial"/>
          <w:b/>
          <w:color w:val="000000"/>
          <w:szCs w:val="20"/>
        </w:rPr>
        <w:sectPr w:rsidR="006A1FCF" w:rsidSect="002249F8">
          <w:pgSz w:w="11906" w:h="16838"/>
          <w:pgMar w:top="1417" w:right="1417" w:bottom="1417" w:left="1417" w:header="709" w:footer="709" w:gutter="0"/>
          <w:cols w:space="708"/>
          <w:docGrid w:linePitch="360"/>
        </w:sectPr>
      </w:pPr>
    </w:p>
    <w:p w:rsidR="006A1FCF" w:rsidRPr="00B35BD1" w:rsidRDefault="006A1FCF" w:rsidP="006A1FCF">
      <w:pPr>
        <w:pStyle w:val="Heading4"/>
      </w:pPr>
      <w:bookmarkStart w:id="74" w:name="_Toc293334854"/>
      <w:bookmarkStart w:id="75" w:name="_Toc298920436"/>
      <w:bookmarkStart w:id="76" w:name="_Toc310950817"/>
      <w:bookmarkStart w:id="77" w:name="_Toc356567803"/>
      <w:bookmarkStart w:id="78" w:name="_Toc367350629"/>
      <w:bookmarkStart w:id="79" w:name="_Toc393956084"/>
      <w:bookmarkStart w:id="80" w:name="_GoBack"/>
      <w:bookmarkEnd w:id="80"/>
      <w:r w:rsidRPr="00B35BD1">
        <w:lastRenderedPageBreak/>
        <w:t xml:space="preserve">Appendix </w:t>
      </w:r>
      <w:r>
        <w:t>III</w:t>
      </w:r>
      <w:r>
        <w:br/>
      </w:r>
      <w:r w:rsidRPr="00B35BD1">
        <w:br/>
        <w:t xml:space="preserve">Acronyms </w:t>
      </w:r>
      <w:r>
        <w:t>a</w:t>
      </w:r>
      <w:r w:rsidRPr="00B35BD1">
        <w:t xml:space="preserve">nd Abbreviations </w:t>
      </w:r>
      <w:r>
        <w:t>u</w:t>
      </w:r>
      <w:r w:rsidRPr="00B35BD1">
        <w:t xml:space="preserve">sed </w:t>
      </w:r>
      <w:r>
        <w:t>i</w:t>
      </w:r>
      <w:r w:rsidRPr="00B35BD1">
        <w:t xml:space="preserve">n </w:t>
      </w:r>
      <w:r>
        <w:t>t</w:t>
      </w:r>
      <w:r w:rsidRPr="00B35BD1">
        <w:t>he Present Document</w:t>
      </w:r>
      <w:bookmarkEnd w:id="74"/>
      <w:bookmarkEnd w:id="75"/>
      <w:bookmarkEnd w:id="76"/>
      <w:bookmarkEnd w:id="77"/>
      <w:bookmarkEnd w:id="78"/>
      <w:bookmarkEnd w:id="79"/>
    </w:p>
    <w:p w:rsidR="006A1FCF" w:rsidRPr="00727DFF" w:rsidRDefault="006A1FCF" w:rsidP="00727DFF">
      <w:pPr>
        <w:tabs>
          <w:tab w:val="left" w:pos="1980"/>
          <w:tab w:val="left" w:pos="3261"/>
        </w:tabs>
        <w:ind w:left="2268" w:hanging="2268"/>
        <w:jc w:val="both"/>
        <w:rPr>
          <w:rFonts w:cs="Arial"/>
          <w:sz w:val="16"/>
          <w:szCs w:val="16"/>
        </w:rPr>
      </w:pPr>
    </w:p>
    <w:p w:rsidR="006A1FCF" w:rsidRPr="00727DFF" w:rsidRDefault="006A1FCF" w:rsidP="00727DFF">
      <w:pPr>
        <w:tabs>
          <w:tab w:val="left" w:pos="1980"/>
          <w:tab w:val="left" w:pos="3261"/>
        </w:tabs>
        <w:ind w:left="2268" w:hanging="2268"/>
        <w:jc w:val="both"/>
        <w:rPr>
          <w:rFonts w:cs="Arial"/>
          <w:sz w:val="16"/>
          <w:szCs w:val="16"/>
        </w:rPr>
      </w:pPr>
    </w:p>
    <w:p w:rsidR="006A1FCF" w:rsidRPr="00F10C59" w:rsidRDefault="006A1FCF" w:rsidP="006A1FCF">
      <w:pPr>
        <w:tabs>
          <w:tab w:val="left" w:pos="2127"/>
        </w:tabs>
        <w:spacing w:after="40"/>
        <w:ind w:left="2126" w:right="-476" w:hanging="2126"/>
        <w:rPr>
          <w:rFonts w:cs="Arial"/>
        </w:rPr>
      </w:pPr>
      <w:r w:rsidRPr="00F10AB9">
        <w:rPr>
          <w:rFonts w:cs="Arial"/>
          <w:b/>
          <w:bCs/>
        </w:rPr>
        <w:t>A</w:t>
      </w:r>
      <w:r w:rsidRPr="00F10C59">
        <w:rPr>
          <w:rFonts w:cs="Arial"/>
        </w:rPr>
        <w:t>CE</w:t>
      </w:r>
      <w:r w:rsidRPr="00F10C59">
        <w:rPr>
          <w:rFonts w:cs="Arial"/>
        </w:rPr>
        <w:tab/>
        <w:t xml:space="preserve">Advisory Committee on Enforcement </w:t>
      </w:r>
    </w:p>
    <w:p w:rsidR="006A1FCF" w:rsidRPr="00F10C59" w:rsidRDefault="006A1FCF" w:rsidP="006A1FCF">
      <w:pPr>
        <w:tabs>
          <w:tab w:val="left" w:pos="2127"/>
        </w:tabs>
        <w:spacing w:after="40"/>
        <w:ind w:left="2126" w:hanging="2126"/>
        <w:rPr>
          <w:rFonts w:cs="Arial"/>
        </w:rPr>
      </w:pPr>
      <w:r w:rsidRPr="00F10C59">
        <w:rPr>
          <w:rFonts w:cs="Arial"/>
        </w:rPr>
        <w:t>ADR</w:t>
      </w:r>
      <w:r w:rsidRPr="00F10C59">
        <w:rPr>
          <w:rFonts w:cs="Arial"/>
        </w:rPr>
        <w:tab/>
        <w:t>Alternative Dispute Resolution</w:t>
      </w:r>
    </w:p>
    <w:p w:rsidR="006A1FCF" w:rsidRPr="00F10C59" w:rsidRDefault="006A1FCF" w:rsidP="006A1FCF">
      <w:pPr>
        <w:tabs>
          <w:tab w:val="left" w:pos="2127"/>
        </w:tabs>
        <w:spacing w:after="40"/>
        <w:ind w:left="2126" w:hanging="2126"/>
        <w:rPr>
          <w:rFonts w:cs="Arial"/>
        </w:rPr>
      </w:pPr>
      <w:r w:rsidRPr="00F10C59">
        <w:rPr>
          <w:rFonts w:cs="Arial"/>
        </w:rPr>
        <w:t>AGICOA</w:t>
      </w:r>
      <w:r w:rsidRPr="00F10C59">
        <w:rPr>
          <w:rFonts w:cs="Arial"/>
        </w:rPr>
        <w:tab/>
        <w:t>Association of International Collective Management of Audiovisual Works</w:t>
      </w:r>
    </w:p>
    <w:p w:rsidR="006A1FCF" w:rsidRDefault="006A1FCF" w:rsidP="006A1FCF">
      <w:pPr>
        <w:tabs>
          <w:tab w:val="left" w:pos="2127"/>
        </w:tabs>
        <w:spacing w:after="40"/>
        <w:ind w:left="2126" w:hanging="2126"/>
        <w:rPr>
          <w:rFonts w:cs="Arial"/>
        </w:rPr>
      </w:pPr>
      <w:r w:rsidRPr="00C02386">
        <w:rPr>
          <w:rFonts w:cs="Arial"/>
          <w:lang w:val="en"/>
        </w:rPr>
        <w:t>AIPMS</w:t>
      </w:r>
      <w:r w:rsidRPr="00C02386">
        <w:rPr>
          <w:rFonts w:cs="Arial"/>
          <w:lang w:val="en"/>
        </w:rPr>
        <w:tab/>
        <w:t>Arab IP Management System</w:t>
      </w:r>
    </w:p>
    <w:p w:rsidR="006A1FCF" w:rsidRDefault="006A1FCF" w:rsidP="006A1FCF">
      <w:pPr>
        <w:tabs>
          <w:tab w:val="left" w:pos="2127"/>
        </w:tabs>
        <w:spacing w:after="40"/>
        <w:ind w:left="2126" w:hanging="2126"/>
        <w:rPr>
          <w:rFonts w:cs="Arial"/>
        </w:rPr>
      </w:pPr>
      <w:proofErr w:type="gramStart"/>
      <w:r>
        <w:rPr>
          <w:rFonts w:cs="Arial"/>
        </w:rPr>
        <w:t>aRDi</w:t>
      </w:r>
      <w:proofErr w:type="gramEnd"/>
      <w:r>
        <w:rPr>
          <w:rFonts w:cs="Arial"/>
        </w:rPr>
        <w:tab/>
      </w:r>
      <w:r w:rsidRPr="00371DB3">
        <w:rPr>
          <w:rFonts w:cs="Arial"/>
          <w:bCs/>
        </w:rPr>
        <w:t>Access to Research for Development and Innovation</w:t>
      </w:r>
    </w:p>
    <w:p w:rsidR="002F7977" w:rsidRDefault="002F7977" w:rsidP="006A1FCF">
      <w:pPr>
        <w:tabs>
          <w:tab w:val="left" w:pos="2127"/>
        </w:tabs>
        <w:spacing w:after="40"/>
        <w:rPr>
          <w:rFonts w:cs="Arial"/>
          <w:bCs/>
        </w:rPr>
      </w:pPr>
      <w:r>
        <w:rPr>
          <w:rFonts w:cs="Arial"/>
          <w:bCs/>
        </w:rPr>
        <w:t>ARIPO</w:t>
      </w:r>
      <w:r>
        <w:rPr>
          <w:rFonts w:cs="Arial"/>
          <w:bCs/>
        </w:rPr>
        <w:tab/>
      </w:r>
      <w:r w:rsidRPr="00812B04">
        <w:t>African Regional Intellectual Property Organization</w:t>
      </w:r>
    </w:p>
    <w:p w:rsidR="006A1FCF" w:rsidRDefault="006A1FCF" w:rsidP="006A1FCF">
      <w:pPr>
        <w:tabs>
          <w:tab w:val="left" w:pos="2127"/>
        </w:tabs>
        <w:spacing w:after="40"/>
        <w:rPr>
          <w:rFonts w:cs="Arial"/>
        </w:rPr>
      </w:pPr>
      <w:r w:rsidRPr="002F7977">
        <w:rPr>
          <w:rFonts w:cs="Arial"/>
          <w:bCs/>
        </w:rPr>
        <w:t>A</w:t>
      </w:r>
      <w:r>
        <w:rPr>
          <w:rFonts w:cs="Arial"/>
        </w:rPr>
        <w:t>SEAN</w:t>
      </w:r>
      <w:r>
        <w:rPr>
          <w:rFonts w:cs="Arial"/>
        </w:rPr>
        <w:tab/>
      </w:r>
      <w:r w:rsidRPr="0036669E">
        <w:rPr>
          <w:rFonts w:cs="Arial"/>
          <w:lang w:val="en"/>
        </w:rPr>
        <w:t>Association of South East Asian Nations</w:t>
      </w:r>
    </w:p>
    <w:p w:rsidR="006A1FCF" w:rsidRDefault="006A1FCF" w:rsidP="006A1FCF">
      <w:pPr>
        <w:tabs>
          <w:tab w:val="left" w:pos="2127"/>
        </w:tabs>
        <w:spacing w:after="40"/>
        <w:rPr>
          <w:rFonts w:cs="Arial"/>
        </w:rPr>
      </w:pPr>
      <w:r>
        <w:rPr>
          <w:rFonts w:cs="Arial"/>
        </w:rPr>
        <w:t>ASHI</w:t>
      </w:r>
      <w:r>
        <w:rPr>
          <w:rFonts w:cs="Arial"/>
        </w:rPr>
        <w:tab/>
        <w:t>After-Service Health Insurance</w:t>
      </w:r>
    </w:p>
    <w:p w:rsidR="006A1FCF" w:rsidRPr="00F10C59" w:rsidRDefault="006A1FCF" w:rsidP="006A1FCF">
      <w:pPr>
        <w:tabs>
          <w:tab w:val="left" w:pos="2127"/>
        </w:tabs>
        <w:spacing w:after="40"/>
        <w:rPr>
          <w:rFonts w:cs="Arial"/>
        </w:rPr>
      </w:pPr>
      <w:r w:rsidRPr="00F10C59">
        <w:rPr>
          <w:rFonts w:cs="Arial"/>
        </w:rPr>
        <w:t>ASPI</w:t>
      </w:r>
      <w:r w:rsidRPr="00F10C59">
        <w:rPr>
          <w:rFonts w:cs="Arial"/>
        </w:rPr>
        <w:tab/>
        <w:t>A</w:t>
      </w:r>
      <w:r>
        <w:rPr>
          <w:rFonts w:cs="Arial"/>
        </w:rPr>
        <w:t>c</w:t>
      </w:r>
      <w:r w:rsidRPr="00F10C59">
        <w:rPr>
          <w:rFonts w:cs="Arial"/>
        </w:rPr>
        <w:t>cess to Specialized Patent Information</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10AB9">
        <w:rPr>
          <w:rFonts w:cs="Arial"/>
          <w:b/>
          <w:bCs/>
        </w:rPr>
        <w:t>C</w:t>
      </w:r>
      <w:r w:rsidRPr="00F10C59">
        <w:rPr>
          <w:rFonts w:cs="Arial"/>
        </w:rPr>
        <w:t>ASE</w:t>
      </w:r>
      <w:r w:rsidRPr="00F10C59">
        <w:rPr>
          <w:rFonts w:cs="Arial"/>
        </w:rPr>
        <w:tab/>
        <w:t>Centralized Access to Search and Examination Results</w:t>
      </w:r>
    </w:p>
    <w:p w:rsidR="006A1FCF" w:rsidRPr="00F10C59" w:rsidRDefault="006A1FCF" w:rsidP="006A1FCF">
      <w:pPr>
        <w:tabs>
          <w:tab w:val="left" w:pos="2127"/>
        </w:tabs>
        <w:spacing w:after="40"/>
        <w:ind w:left="2127" w:hanging="2127"/>
        <w:rPr>
          <w:rFonts w:cs="Arial"/>
        </w:rPr>
      </w:pPr>
      <w:proofErr w:type="gramStart"/>
      <w:r w:rsidRPr="00F10C59">
        <w:rPr>
          <w:rFonts w:cs="Arial"/>
        </w:rPr>
        <w:t>ccTLDs</w:t>
      </w:r>
      <w:proofErr w:type="gramEnd"/>
      <w:r w:rsidRPr="00F10C59">
        <w:rPr>
          <w:rFonts w:cs="Arial"/>
        </w:rPr>
        <w:tab/>
        <w:t>country code Top-Level Domain</w:t>
      </w:r>
    </w:p>
    <w:p w:rsidR="006A1FCF" w:rsidRPr="00F10C59" w:rsidRDefault="006A1FCF" w:rsidP="006A1FCF">
      <w:pPr>
        <w:pStyle w:val="BlockText"/>
        <w:tabs>
          <w:tab w:val="left" w:pos="2127"/>
        </w:tabs>
        <w:ind w:left="0"/>
        <w:rPr>
          <w:rFonts w:cs="Arial"/>
          <w:sz w:val="20"/>
        </w:rPr>
      </w:pPr>
      <w:r w:rsidRPr="00F10C59">
        <w:rPr>
          <w:rFonts w:cs="Arial"/>
          <w:sz w:val="20"/>
        </w:rPr>
        <w:t>CDIP</w:t>
      </w:r>
      <w:r w:rsidRPr="00F10C59">
        <w:rPr>
          <w:rFonts w:cs="Arial"/>
          <w:sz w:val="20"/>
        </w:rPr>
        <w:tab/>
        <w:t>Conference on Development and Intellectual Property</w:t>
      </w:r>
    </w:p>
    <w:p w:rsidR="002F7977" w:rsidRDefault="002F7977" w:rsidP="006A1FCF">
      <w:pPr>
        <w:tabs>
          <w:tab w:val="left" w:pos="2127"/>
        </w:tabs>
        <w:spacing w:after="40"/>
        <w:ind w:left="2127" w:hanging="2127"/>
      </w:pPr>
      <w:r>
        <w:rPr>
          <w:rFonts w:cs="Arial"/>
          <w:bCs/>
        </w:rPr>
        <w:t>CERN</w:t>
      </w:r>
      <w:r>
        <w:rPr>
          <w:rFonts w:cs="Arial"/>
          <w:bCs/>
        </w:rPr>
        <w:tab/>
      </w:r>
      <w:r>
        <w:t xml:space="preserve">European Organization for Nuclear Research </w:t>
      </w:r>
    </w:p>
    <w:p w:rsidR="006A1FCF" w:rsidRDefault="006A1FCF" w:rsidP="006A1FCF">
      <w:pPr>
        <w:tabs>
          <w:tab w:val="left" w:pos="2127"/>
        </w:tabs>
        <w:spacing w:after="40"/>
        <w:ind w:left="2127" w:hanging="2127"/>
        <w:rPr>
          <w:rFonts w:cs="Arial"/>
        </w:rPr>
      </w:pPr>
      <w:r>
        <w:rPr>
          <w:rFonts w:cs="Arial"/>
          <w:bCs/>
        </w:rPr>
        <w:t>CLIR</w:t>
      </w:r>
      <w:r>
        <w:rPr>
          <w:rFonts w:cs="Arial"/>
          <w:bCs/>
        </w:rPr>
        <w:tab/>
      </w:r>
      <w:r w:rsidRPr="003A6A2F">
        <w:rPr>
          <w:rFonts w:cs="Arial"/>
          <w:bCs/>
        </w:rPr>
        <w:t>Cross Lingual Information Retrieval</w:t>
      </w:r>
    </w:p>
    <w:p w:rsidR="006A1FCF" w:rsidRPr="00F10C59" w:rsidRDefault="006A1FCF" w:rsidP="006A1FCF">
      <w:pPr>
        <w:tabs>
          <w:tab w:val="left" w:pos="2127"/>
        </w:tabs>
        <w:spacing w:after="40"/>
        <w:ind w:left="2127" w:hanging="2127"/>
        <w:rPr>
          <w:rFonts w:cs="Arial"/>
        </w:rPr>
      </w:pPr>
      <w:r w:rsidRPr="00F10C59">
        <w:rPr>
          <w:rFonts w:cs="Arial"/>
        </w:rPr>
        <w:t>CMG</w:t>
      </w:r>
      <w:r w:rsidRPr="00F10C59">
        <w:rPr>
          <w:rFonts w:cs="Arial"/>
        </w:rPr>
        <w:tab/>
        <w:t>Crisis Management Group</w:t>
      </w:r>
    </w:p>
    <w:p w:rsidR="006A1FCF" w:rsidRDefault="006A1FCF" w:rsidP="006A1FCF">
      <w:pPr>
        <w:tabs>
          <w:tab w:val="left" w:pos="2127"/>
        </w:tabs>
        <w:spacing w:after="40"/>
        <w:ind w:left="2127" w:hanging="2127"/>
        <w:rPr>
          <w:rFonts w:cs="Arial"/>
        </w:rPr>
      </w:pPr>
      <w:r w:rsidRPr="00F10C59">
        <w:rPr>
          <w:rFonts w:cs="Arial"/>
        </w:rPr>
        <w:t>CMOs</w:t>
      </w:r>
      <w:r w:rsidRPr="00F10C59">
        <w:rPr>
          <w:rFonts w:cs="Arial"/>
        </w:rPr>
        <w:tab/>
        <w:t>collective management organizations</w:t>
      </w:r>
    </w:p>
    <w:p w:rsidR="002F7977" w:rsidRPr="00F10C59" w:rsidRDefault="002F7977" w:rsidP="006A1FCF">
      <w:pPr>
        <w:tabs>
          <w:tab w:val="left" w:pos="2127"/>
        </w:tabs>
        <w:spacing w:after="40"/>
        <w:ind w:left="2127" w:hanging="2127"/>
        <w:rPr>
          <w:rFonts w:cs="Arial"/>
        </w:rPr>
      </w:pPr>
      <w:r>
        <w:rPr>
          <w:rFonts w:cs="Arial"/>
        </w:rPr>
        <w:t>CWS</w:t>
      </w:r>
      <w:r>
        <w:rPr>
          <w:rFonts w:cs="Arial"/>
        </w:rPr>
        <w:tab/>
        <w:t>Committee on WIPO Standards</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rPr>
          <w:rFonts w:cs="Arial"/>
        </w:rPr>
      </w:pPr>
      <w:r w:rsidRPr="00F10AB9">
        <w:rPr>
          <w:rFonts w:cs="Arial"/>
          <w:b/>
          <w:bCs/>
        </w:rPr>
        <w:t>D</w:t>
      </w:r>
      <w:r w:rsidRPr="00F10C59">
        <w:rPr>
          <w:rFonts w:cs="Arial"/>
        </w:rPr>
        <w:t>A</w:t>
      </w:r>
      <w:r w:rsidRPr="00F10C59">
        <w:rPr>
          <w:rFonts w:cs="Arial"/>
        </w:rPr>
        <w:tab/>
        <w:t>Development Agenda</w:t>
      </w:r>
    </w:p>
    <w:p w:rsidR="002F7977" w:rsidRDefault="002F7977" w:rsidP="006A1FCF">
      <w:pPr>
        <w:tabs>
          <w:tab w:val="left" w:pos="2127"/>
          <w:tab w:val="left" w:pos="2268"/>
        </w:tabs>
        <w:spacing w:after="40"/>
        <w:rPr>
          <w:rFonts w:cs="Arial"/>
        </w:rPr>
      </w:pPr>
      <w:r>
        <w:rPr>
          <w:rFonts w:cs="Arial"/>
        </w:rPr>
        <w:t>DAG</w:t>
      </w:r>
      <w:r>
        <w:rPr>
          <w:rFonts w:cs="Arial"/>
        </w:rPr>
        <w:tab/>
        <w:t>Development Agenda Group</w:t>
      </w:r>
    </w:p>
    <w:p w:rsidR="006A1FCF" w:rsidRPr="00F10C59" w:rsidRDefault="006A1FCF" w:rsidP="006A1FCF">
      <w:pPr>
        <w:tabs>
          <w:tab w:val="left" w:pos="2127"/>
          <w:tab w:val="left" w:pos="2268"/>
        </w:tabs>
        <w:spacing w:after="40"/>
        <w:rPr>
          <w:rFonts w:cs="Arial"/>
        </w:rPr>
      </w:pPr>
      <w:r w:rsidRPr="00F10C59">
        <w:rPr>
          <w:rFonts w:cs="Arial"/>
        </w:rPr>
        <w:t>DAS</w:t>
      </w:r>
      <w:r w:rsidRPr="00F10C59">
        <w:rPr>
          <w:rFonts w:cs="Arial"/>
        </w:rPr>
        <w:tab/>
        <w:t>Digital Access Service for Priority Documents</w:t>
      </w:r>
    </w:p>
    <w:p w:rsidR="002F7977" w:rsidRPr="00F10C59" w:rsidRDefault="002F7977" w:rsidP="002F7977">
      <w:pPr>
        <w:tabs>
          <w:tab w:val="left" w:pos="2127"/>
        </w:tabs>
        <w:spacing w:after="180"/>
        <w:ind w:left="2126" w:hanging="2126"/>
        <w:rPr>
          <w:rFonts w:cs="Arial"/>
        </w:rPr>
      </w:pPr>
      <w:r>
        <w:rPr>
          <w:rFonts w:cs="Arial"/>
        </w:rPr>
        <w:t>DL</w:t>
      </w:r>
      <w:r>
        <w:rPr>
          <w:rFonts w:cs="Arial"/>
        </w:rPr>
        <w:tab/>
        <w:t xml:space="preserve">distance learning </w:t>
      </w:r>
      <w:r>
        <w:rPr>
          <w:rFonts w:cs="Arial"/>
        </w:rPr>
        <w:br/>
      </w:r>
    </w:p>
    <w:p w:rsidR="006A1FCF" w:rsidRDefault="006A1FCF" w:rsidP="006A1FCF">
      <w:pPr>
        <w:tabs>
          <w:tab w:val="left" w:pos="2127"/>
        </w:tabs>
        <w:spacing w:after="40"/>
        <w:ind w:left="2127" w:hanging="2127"/>
        <w:rPr>
          <w:rFonts w:cs="Arial"/>
          <w:b/>
          <w:bCs/>
        </w:rPr>
      </w:pPr>
      <w:r w:rsidRPr="002F7977">
        <w:rPr>
          <w:rFonts w:cs="Arial"/>
          <w:b/>
        </w:rPr>
        <w:t>E</w:t>
      </w:r>
      <w:r>
        <w:rPr>
          <w:rFonts w:cs="Arial"/>
        </w:rPr>
        <w:t>CLA</w:t>
      </w:r>
      <w:r>
        <w:rPr>
          <w:rFonts w:cs="Arial"/>
        </w:rPr>
        <w:tab/>
        <w:t>patent classification assigned by the European Patent office</w:t>
      </w:r>
    </w:p>
    <w:p w:rsidR="006A1FCF" w:rsidRPr="00D25DDB" w:rsidRDefault="006A1FCF" w:rsidP="006A1FCF">
      <w:pPr>
        <w:tabs>
          <w:tab w:val="left" w:pos="2127"/>
        </w:tabs>
        <w:spacing w:after="40"/>
        <w:ind w:left="2127" w:hanging="2127"/>
        <w:rPr>
          <w:rFonts w:cs="Arial"/>
          <w:lang w:val="es-ES"/>
        </w:rPr>
      </w:pPr>
      <w:r w:rsidRPr="00D25DDB">
        <w:rPr>
          <w:rFonts w:cs="Arial"/>
          <w:lang w:val="es-ES"/>
        </w:rPr>
        <w:t>EDMS</w:t>
      </w:r>
      <w:r w:rsidRPr="00D25DDB">
        <w:rPr>
          <w:rFonts w:cs="Arial"/>
          <w:lang w:val="es-ES"/>
        </w:rPr>
        <w:tab/>
        <w:t>Electronic Document Management System</w:t>
      </w:r>
    </w:p>
    <w:p w:rsidR="006A1FCF" w:rsidRPr="00D25DDB" w:rsidRDefault="006A1FCF" w:rsidP="006A1FCF">
      <w:pPr>
        <w:tabs>
          <w:tab w:val="left" w:pos="2127"/>
        </w:tabs>
        <w:spacing w:after="40"/>
        <w:ind w:left="2127" w:hanging="2127"/>
        <w:rPr>
          <w:rFonts w:cs="Arial"/>
          <w:lang w:val="es-ES"/>
        </w:rPr>
      </w:pPr>
      <w:r w:rsidRPr="00D25DDB">
        <w:rPr>
          <w:rFonts w:cs="Arial"/>
          <w:lang w:val="es-ES"/>
        </w:rPr>
        <w:t>EGEDA</w:t>
      </w:r>
      <w:r w:rsidRPr="00D25DDB">
        <w:rPr>
          <w:rFonts w:cs="Arial"/>
          <w:lang w:val="es-ES"/>
        </w:rPr>
        <w:tab/>
      </w:r>
      <w:r w:rsidRPr="00D25DDB">
        <w:rPr>
          <w:rFonts w:cs="Arial"/>
          <w:i/>
          <w:iCs/>
          <w:lang w:val="es-ES"/>
        </w:rPr>
        <w:t>Entidad de Gestión de Derechos de los Productores Audiovisuales</w:t>
      </w:r>
    </w:p>
    <w:p w:rsidR="002F7977" w:rsidRDefault="002F7977" w:rsidP="006A1FCF">
      <w:pPr>
        <w:tabs>
          <w:tab w:val="left" w:pos="2127"/>
        </w:tabs>
        <w:spacing w:after="40"/>
        <w:ind w:left="2127" w:hanging="2127"/>
        <w:rPr>
          <w:rFonts w:cs="Arial"/>
        </w:rPr>
      </w:pPr>
      <w:r>
        <w:rPr>
          <w:rFonts w:cs="Arial"/>
        </w:rPr>
        <w:t>EPM</w:t>
      </w:r>
      <w:r>
        <w:rPr>
          <w:rFonts w:cs="Arial"/>
        </w:rPr>
        <w:tab/>
        <w:t>enterprise performance management</w:t>
      </w:r>
    </w:p>
    <w:p w:rsidR="006A1FCF" w:rsidRPr="00F10C59" w:rsidRDefault="006A1FCF" w:rsidP="006A1FCF">
      <w:pPr>
        <w:tabs>
          <w:tab w:val="left" w:pos="2127"/>
        </w:tabs>
        <w:spacing w:after="40"/>
        <w:ind w:left="2127" w:hanging="2127"/>
        <w:rPr>
          <w:rFonts w:cs="Arial"/>
        </w:rPr>
      </w:pPr>
      <w:r w:rsidRPr="00F10C59">
        <w:rPr>
          <w:rFonts w:cs="Arial"/>
        </w:rPr>
        <w:t>EPO</w:t>
      </w:r>
      <w:r w:rsidRPr="00F10C59">
        <w:rPr>
          <w:rFonts w:cs="Arial"/>
        </w:rPr>
        <w:tab/>
        <w:t>European Patent Office</w:t>
      </w:r>
    </w:p>
    <w:p w:rsidR="002F7977" w:rsidRDefault="002F7977" w:rsidP="006A1FCF">
      <w:pPr>
        <w:ind w:left="2127" w:hanging="2127"/>
        <w:rPr>
          <w:rFonts w:cs="Arial"/>
        </w:rPr>
      </w:pPr>
      <w:r>
        <w:rPr>
          <w:rFonts w:cs="Arial"/>
        </w:rPr>
        <w:t>ERM</w:t>
      </w:r>
      <w:r>
        <w:rPr>
          <w:rFonts w:cs="Arial"/>
        </w:rPr>
        <w:tab/>
        <w:t>enterprise risk management</w:t>
      </w:r>
    </w:p>
    <w:p w:rsidR="006A1FCF" w:rsidRPr="00F10C59" w:rsidRDefault="006A1FCF" w:rsidP="006A1FCF">
      <w:pPr>
        <w:ind w:left="2127" w:hanging="2127"/>
        <w:rPr>
          <w:rFonts w:cs="Arial"/>
        </w:rPr>
      </w:pPr>
      <w:r w:rsidRPr="00F10C59">
        <w:rPr>
          <w:rFonts w:cs="Arial"/>
        </w:rPr>
        <w:t>ERP</w:t>
      </w:r>
      <w:r w:rsidRPr="00F10C59">
        <w:rPr>
          <w:rFonts w:cs="Arial"/>
        </w:rPr>
        <w:tab/>
        <w:t>enterprise resource planning</w:t>
      </w:r>
    </w:p>
    <w:p w:rsidR="006A1FCF" w:rsidRPr="00F10C59" w:rsidRDefault="006A1FCF" w:rsidP="006A1FCF">
      <w:pPr>
        <w:tabs>
          <w:tab w:val="left" w:pos="2127"/>
        </w:tabs>
        <w:spacing w:after="40"/>
        <w:ind w:left="2127" w:right="-759" w:hanging="2127"/>
        <w:rPr>
          <w:rFonts w:cs="Arial"/>
        </w:rPr>
      </w:pPr>
      <w:r w:rsidRPr="00F10C59">
        <w:rPr>
          <w:rFonts w:cs="Arial"/>
        </w:rPr>
        <w:t>EU</w:t>
      </w:r>
      <w:r w:rsidRPr="00F10C59">
        <w:rPr>
          <w:rFonts w:cs="Arial"/>
        </w:rPr>
        <w:tab/>
        <w:t>European Union</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right="-759" w:hanging="2127"/>
        <w:rPr>
          <w:rFonts w:cs="Arial"/>
        </w:rPr>
      </w:pPr>
      <w:r w:rsidRPr="00F10AB9">
        <w:rPr>
          <w:rFonts w:cs="Arial"/>
          <w:b/>
          <w:bCs/>
        </w:rPr>
        <w:t>F</w:t>
      </w:r>
      <w:r w:rsidRPr="00F10C59">
        <w:rPr>
          <w:rFonts w:cs="Arial"/>
        </w:rPr>
        <w:t>AO</w:t>
      </w:r>
      <w:r w:rsidRPr="00F10C59">
        <w:rPr>
          <w:rFonts w:cs="Arial"/>
        </w:rPr>
        <w:tab/>
        <w:t xml:space="preserve">Food and Agricultural Organization </w:t>
      </w:r>
    </w:p>
    <w:p w:rsidR="006A1FCF" w:rsidRDefault="006A1FCF" w:rsidP="006A1FCF">
      <w:pPr>
        <w:tabs>
          <w:tab w:val="left" w:pos="2127"/>
        </w:tabs>
        <w:spacing w:after="40"/>
        <w:ind w:left="2127" w:hanging="2127"/>
        <w:rPr>
          <w:rFonts w:cs="Arial"/>
        </w:rPr>
      </w:pPr>
      <w:r>
        <w:rPr>
          <w:rFonts w:cs="Arial"/>
        </w:rPr>
        <w:t>FI</w:t>
      </w:r>
      <w:r>
        <w:rPr>
          <w:rFonts w:cs="Arial"/>
        </w:rPr>
        <w:tab/>
        <w:t>patent classification assigned by the Japanese Patent office</w:t>
      </w:r>
    </w:p>
    <w:p w:rsidR="006A1FCF" w:rsidRPr="00F10C59" w:rsidRDefault="006A1FCF" w:rsidP="006A1FCF">
      <w:pPr>
        <w:tabs>
          <w:tab w:val="left" w:pos="2127"/>
        </w:tabs>
        <w:spacing w:after="40"/>
        <w:ind w:left="2127" w:hanging="2127"/>
        <w:rPr>
          <w:rFonts w:cs="Arial"/>
        </w:rPr>
      </w:pPr>
      <w:r w:rsidRPr="00F10C59">
        <w:rPr>
          <w:rFonts w:cs="Arial"/>
        </w:rPr>
        <w:t>FIT</w:t>
      </w:r>
      <w:r w:rsidRPr="00F10C59">
        <w:rPr>
          <w:rFonts w:cs="Arial"/>
        </w:rPr>
        <w:tab/>
        <w:t>Fund-in-Trust</w:t>
      </w:r>
    </w:p>
    <w:p w:rsidR="006A1FCF" w:rsidRPr="00F10C59" w:rsidRDefault="006A1FCF" w:rsidP="006A1FCF">
      <w:pPr>
        <w:tabs>
          <w:tab w:val="left" w:pos="2127"/>
        </w:tabs>
        <w:spacing w:after="180"/>
        <w:ind w:left="2126" w:hanging="2126"/>
        <w:rPr>
          <w:rFonts w:cs="Arial"/>
        </w:rPr>
      </w:pPr>
    </w:p>
    <w:p w:rsidR="002F7977" w:rsidRPr="002F7977" w:rsidRDefault="002F7977" w:rsidP="006A1FCF">
      <w:pPr>
        <w:tabs>
          <w:tab w:val="left" w:pos="2127"/>
        </w:tabs>
        <w:spacing w:after="40"/>
        <w:ind w:left="2127" w:hanging="2127"/>
        <w:rPr>
          <w:rFonts w:cs="Arial"/>
          <w:bCs/>
        </w:rPr>
      </w:pPr>
      <w:r w:rsidRPr="002F7977">
        <w:rPr>
          <w:rFonts w:cs="Arial"/>
          <w:b/>
          <w:bCs/>
        </w:rPr>
        <w:t>G</w:t>
      </w:r>
      <w:r w:rsidRPr="002F7977">
        <w:rPr>
          <w:rFonts w:cs="Arial"/>
          <w:bCs/>
        </w:rPr>
        <w:t>CC</w:t>
      </w:r>
      <w:r>
        <w:rPr>
          <w:rFonts w:cs="Arial"/>
          <w:bCs/>
        </w:rPr>
        <w:tab/>
      </w:r>
      <w:r w:rsidRPr="0027745B">
        <w:rPr>
          <w:rFonts w:cs="Arial"/>
          <w:bCs/>
          <w:color w:val="000000"/>
          <w:lang w:val="en"/>
        </w:rPr>
        <w:t>Cooperation Council for the Arab States of the Gulf</w:t>
      </w:r>
    </w:p>
    <w:p w:rsidR="002F7977" w:rsidRDefault="002F7977" w:rsidP="006A1FCF">
      <w:pPr>
        <w:tabs>
          <w:tab w:val="left" w:pos="2127"/>
        </w:tabs>
        <w:spacing w:after="40"/>
        <w:ind w:left="2127" w:hanging="2127"/>
        <w:rPr>
          <w:rFonts w:cs="Arial"/>
          <w:bCs/>
        </w:rPr>
      </w:pPr>
      <w:r>
        <w:rPr>
          <w:rFonts w:cs="Arial"/>
          <w:bCs/>
        </w:rPr>
        <w:t>GDA</w:t>
      </w:r>
      <w:r>
        <w:rPr>
          <w:rFonts w:cs="Arial"/>
          <w:bCs/>
        </w:rPr>
        <w:tab/>
      </w:r>
      <w:r w:rsidRPr="00FF1219">
        <w:rPr>
          <w:rFonts w:cs="Arial"/>
          <w:lang w:val="en"/>
        </w:rPr>
        <w:t>software for collective management of copyright and neighboring rights</w:t>
      </w:r>
    </w:p>
    <w:p w:rsidR="002F7977" w:rsidRPr="002F7977" w:rsidRDefault="002F7977" w:rsidP="006A1FCF">
      <w:pPr>
        <w:tabs>
          <w:tab w:val="left" w:pos="2127"/>
        </w:tabs>
        <w:spacing w:after="40"/>
        <w:ind w:left="2127" w:hanging="2127"/>
        <w:rPr>
          <w:rFonts w:eastAsia="SimSun" w:cs="Arial"/>
          <w:bCs/>
          <w:color w:val="000000"/>
          <w:szCs w:val="20"/>
          <w:lang w:eastAsia="zh-CN"/>
        </w:rPr>
      </w:pPr>
      <w:r>
        <w:rPr>
          <w:rFonts w:cs="Arial"/>
          <w:bCs/>
        </w:rPr>
        <w:t>GEW</w:t>
      </w:r>
      <w:r>
        <w:rPr>
          <w:rFonts w:cs="Arial"/>
          <w:bCs/>
        </w:rPr>
        <w:tab/>
      </w:r>
      <w:r w:rsidRPr="002F7977">
        <w:rPr>
          <w:rFonts w:eastAsia="SimSun" w:cs="Arial"/>
          <w:bCs/>
          <w:color w:val="000000"/>
          <w:szCs w:val="20"/>
          <w:lang w:eastAsia="zh-CN"/>
        </w:rPr>
        <w:t xml:space="preserve">Global Entrepreneurship Week </w:t>
      </w:r>
    </w:p>
    <w:p w:rsidR="002F7977" w:rsidRDefault="002F7977" w:rsidP="006A1FCF">
      <w:pPr>
        <w:tabs>
          <w:tab w:val="left" w:pos="2127"/>
        </w:tabs>
        <w:spacing w:after="40"/>
        <w:ind w:left="2127" w:hanging="2127"/>
        <w:rPr>
          <w:rFonts w:cs="Arial"/>
          <w:bCs/>
        </w:rPr>
      </w:pPr>
      <w:r>
        <w:rPr>
          <w:rFonts w:cs="Arial"/>
          <w:bCs/>
        </w:rPr>
        <w:t>GII</w:t>
      </w:r>
      <w:r>
        <w:rPr>
          <w:rFonts w:cs="Arial"/>
          <w:bCs/>
        </w:rPr>
        <w:tab/>
        <w:t>Global Innovation Index</w:t>
      </w:r>
    </w:p>
    <w:p w:rsidR="002F7977" w:rsidRDefault="002F7977" w:rsidP="006A1FCF">
      <w:pPr>
        <w:tabs>
          <w:tab w:val="left" w:pos="2127"/>
        </w:tabs>
        <w:spacing w:after="40"/>
        <w:ind w:left="2127" w:hanging="2127"/>
        <w:rPr>
          <w:rFonts w:cs="Arial"/>
          <w:bCs/>
        </w:rPr>
      </w:pPr>
      <w:r>
        <w:rPr>
          <w:rFonts w:cs="Arial"/>
          <w:bCs/>
        </w:rPr>
        <w:t>GIs</w:t>
      </w:r>
      <w:r>
        <w:rPr>
          <w:rFonts w:cs="Arial"/>
          <w:bCs/>
        </w:rPr>
        <w:tab/>
        <w:t>geographical indications</w:t>
      </w:r>
    </w:p>
    <w:p w:rsidR="006A1FCF" w:rsidRDefault="006A1FCF" w:rsidP="006A1FCF">
      <w:pPr>
        <w:tabs>
          <w:tab w:val="left" w:pos="2127"/>
        </w:tabs>
        <w:spacing w:after="40"/>
        <w:ind w:left="2127" w:hanging="2127"/>
        <w:rPr>
          <w:rFonts w:cs="Arial"/>
          <w:b/>
          <w:bCs/>
        </w:rPr>
      </w:pPr>
      <w:r w:rsidRPr="002F7977">
        <w:rPr>
          <w:rFonts w:cs="Arial"/>
          <w:bCs/>
        </w:rPr>
        <w:t>G</w:t>
      </w:r>
      <w:r w:rsidRPr="002F7977">
        <w:rPr>
          <w:rFonts w:cs="Arial"/>
        </w:rPr>
        <w:t>NIPA</w:t>
      </w:r>
      <w:r w:rsidRPr="00C02386">
        <w:rPr>
          <w:rFonts w:cs="Arial"/>
        </w:rPr>
        <w:tab/>
        <w:t>Global Network of IP Academies</w:t>
      </w:r>
    </w:p>
    <w:p w:rsidR="0031057E" w:rsidRDefault="0031057E" w:rsidP="006A1FCF">
      <w:pPr>
        <w:tabs>
          <w:tab w:val="left" w:pos="2127"/>
        </w:tabs>
        <w:spacing w:after="40"/>
        <w:ind w:left="2127" w:hanging="2127"/>
        <w:rPr>
          <w:rFonts w:cs="Arial"/>
        </w:rPr>
      </w:pPr>
      <w:r>
        <w:rPr>
          <w:rFonts w:cs="Arial"/>
        </w:rPr>
        <w:t>GRs</w:t>
      </w:r>
      <w:r>
        <w:rPr>
          <w:rFonts w:cs="Arial"/>
        </w:rPr>
        <w:tab/>
        <w:t>genetic resources</w:t>
      </w:r>
    </w:p>
    <w:p w:rsidR="006A1FCF" w:rsidRPr="00F10C59" w:rsidRDefault="006A1FCF" w:rsidP="006A1FCF">
      <w:pPr>
        <w:tabs>
          <w:tab w:val="left" w:pos="2127"/>
        </w:tabs>
        <w:spacing w:after="40"/>
        <w:ind w:left="2127" w:hanging="2127"/>
        <w:rPr>
          <w:rFonts w:cs="Arial"/>
        </w:rPr>
      </w:pPr>
      <w:proofErr w:type="gramStart"/>
      <w:r w:rsidRPr="00F10C59">
        <w:rPr>
          <w:rFonts w:cs="Arial"/>
        </w:rPr>
        <w:t>gTLDs</w:t>
      </w:r>
      <w:proofErr w:type="gramEnd"/>
      <w:r w:rsidRPr="00F10C59">
        <w:rPr>
          <w:rFonts w:cs="Arial"/>
        </w:rPr>
        <w:tab/>
        <w:t>generic Top-Level Domains</w:t>
      </w:r>
    </w:p>
    <w:p w:rsidR="002F7977" w:rsidRDefault="002F7977" w:rsidP="006A1FCF">
      <w:pPr>
        <w:tabs>
          <w:tab w:val="left" w:pos="2127"/>
        </w:tabs>
        <w:spacing w:after="40"/>
        <w:ind w:left="2127" w:hanging="2127"/>
        <w:rPr>
          <w:rFonts w:cs="Arial"/>
        </w:rPr>
      </w:pPr>
      <w:r w:rsidRPr="009D020E">
        <w:rPr>
          <w:rFonts w:cs="Arial"/>
          <w:b/>
        </w:rPr>
        <w:lastRenderedPageBreak/>
        <w:t>H</w:t>
      </w:r>
      <w:r>
        <w:rPr>
          <w:rFonts w:cs="Arial"/>
        </w:rPr>
        <w:t>LCM</w:t>
      </w:r>
      <w:r>
        <w:rPr>
          <w:rFonts w:cs="Arial"/>
        </w:rPr>
        <w:tab/>
        <w:t>High Level Committee on Management</w:t>
      </w:r>
    </w:p>
    <w:p w:rsidR="006A1FCF" w:rsidRPr="00F10C59" w:rsidRDefault="006A1FCF" w:rsidP="006A1FCF">
      <w:pPr>
        <w:tabs>
          <w:tab w:val="left" w:pos="2127"/>
        </w:tabs>
        <w:spacing w:after="40"/>
        <w:ind w:left="2127" w:hanging="2127"/>
        <w:rPr>
          <w:rFonts w:cs="Arial"/>
        </w:rPr>
      </w:pPr>
      <w:r w:rsidRPr="00F10C59">
        <w:rPr>
          <w:rFonts w:cs="Arial"/>
        </w:rPr>
        <w:t>HR</w:t>
      </w:r>
      <w:r w:rsidRPr="00F10C59">
        <w:rPr>
          <w:rFonts w:cs="Arial"/>
        </w:rPr>
        <w:tab/>
      </w:r>
      <w:r w:rsidR="00693A7D">
        <w:rPr>
          <w:rFonts w:cs="Arial"/>
        </w:rPr>
        <w:t>h</w:t>
      </w:r>
      <w:r w:rsidRPr="00F10C59">
        <w:rPr>
          <w:rFonts w:cs="Arial"/>
        </w:rPr>
        <w:t xml:space="preserve">uman </w:t>
      </w:r>
      <w:r w:rsidR="00693A7D">
        <w:rPr>
          <w:rFonts w:cs="Arial"/>
        </w:rPr>
        <w:t>r</w:t>
      </w:r>
      <w:r w:rsidRPr="00F10C59">
        <w:rPr>
          <w:rFonts w:cs="Arial"/>
        </w:rPr>
        <w:t>esources</w:t>
      </w:r>
    </w:p>
    <w:p w:rsidR="006A1FCF" w:rsidRPr="00F10C59" w:rsidRDefault="006A1FCF" w:rsidP="006A1FCF">
      <w:pPr>
        <w:tabs>
          <w:tab w:val="left" w:pos="2127"/>
        </w:tabs>
        <w:spacing w:after="40"/>
        <w:ind w:left="2127" w:hanging="2127"/>
        <w:rPr>
          <w:rFonts w:cs="Arial"/>
        </w:rPr>
      </w:pPr>
      <w:r w:rsidRPr="00F10C59">
        <w:rPr>
          <w:rFonts w:cs="Arial"/>
        </w:rPr>
        <w:t>HRMD</w:t>
      </w:r>
      <w:r w:rsidRPr="00F10C59">
        <w:rPr>
          <w:rFonts w:cs="Arial"/>
        </w:rPr>
        <w:tab/>
        <w:t>Human Resources Management Department</w:t>
      </w:r>
    </w:p>
    <w:p w:rsidR="00EF08FB" w:rsidRDefault="00EF08FB" w:rsidP="006A1FCF">
      <w:pPr>
        <w:tabs>
          <w:tab w:val="left" w:pos="2127"/>
        </w:tabs>
        <w:spacing w:after="40"/>
        <w:ind w:left="2127" w:hanging="2127"/>
        <w:rPr>
          <w:rFonts w:cs="Arial"/>
          <w:b/>
          <w:bCs/>
        </w:rPr>
      </w:pPr>
    </w:p>
    <w:p w:rsidR="00EF08FB" w:rsidRPr="00EF08FB" w:rsidRDefault="006A1FCF" w:rsidP="00727DFF">
      <w:pPr>
        <w:tabs>
          <w:tab w:val="left" w:pos="2127"/>
        </w:tabs>
        <w:spacing w:after="40"/>
        <w:ind w:left="2127" w:hanging="2127"/>
        <w:rPr>
          <w:rFonts w:cs="Arial"/>
          <w:bCs/>
        </w:rPr>
      </w:pPr>
      <w:r w:rsidRPr="00EF08FB">
        <w:rPr>
          <w:rFonts w:cs="Arial"/>
          <w:b/>
          <w:bCs/>
        </w:rPr>
        <w:t>I</w:t>
      </w:r>
      <w:r w:rsidR="00EF08FB" w:rsidRPr="00EF08FB">
        <w:rPr>
          <w:rFonts w:cs="Arial"/>
          <w:bCs/>
        </w:rPr>
        <w:t>B</w:t>
      </w:r>
      <w:r w:rsidR="00EF08FB">
        <w:rPr>
          <w:rFonts w:cs="Arial"/>
          <w:bCs/>
        </w:rPr>
        <w:tab/>
        <w:t>International Bureau</w:t>
      </w:r>
    </w:p>
    <w:p w:rsidR="006A1FCF" w:rsidRPr="00F10C59" w:rsidRDefault="00EF08FB" w:rsidP="00727DFF">
      <w:pPr>
        <w:tabs>
          <w:tab w:val="left" w:pos="2127"/>
        </w:tabs>
        <w:spacing w:after="40"/>
        <w:ind w:left="2127" w:hanging="2127"/>
        <w:rPr>
          <w:rFonts w:cs="Arial"/>
        </w:rPr>
      </w:pPr>
      <w:r w:rsidRPr="00EF08FB">
        <w:rPr>
          <w:rFonts w:cs="Arial"/>
          <w:bCs/>
        </w:rPr>
        <w:t>I</w:t>
      </w:r>
      <w:r w:rsidR="006A1FCF" w:rsidRPr="00EF08FB">
        <w:rPr>
          <w:rFonts w:cs="Arial"/>
        </w:rPr>
        <w:t>A</w:t>
      </w:r>
      <w:r w:rsidR="006A1FCF" w:rsidRPr="00F10C59">
        <w:rPr>
          <w:rFonts w:cs="Arial"/>
        </w:rPr>
        <w:t>OC</w:t>
      </w:r>
      <w:r w:rsidR="006A1FCF" w:rsidRPr="00F10C59">
        <w:rPr>
          <w:rFonts w:cs="Arial"/>
        </w:rPr>
        <w:tab/>
        <w:t>Independent Advisory and Oversight Committee</w:t>
      </w:r>
    </w:p>
    <w:p w:rsidR="006A1FCF" w:rsidRDefault="006A1FCF" w:rsidP="00727DFF">
      <w:pPr>
        <w:tabs>
          <w:tab w:val="left" w:pos="2127"/>
        </w:tabs>
        <w:spacing w:after="40"/>
        <w:rPr>
          <w:rFonts w:cs="Arial"/>
        </w:rPr>
      </w:pPr>
      <w:r>
        <w:rPr>
          <w:rFonts w:cs="Arial"/>
        </w:rPr>
        <w:t>IAOD</w:t>
      </w:r>
      <w:r>
        <w:rPr>
          <w:rFonts w:cs="Arial"/>
        </w:rPr>
        <w:tab/>
        <w:t>Internal Audit and Oversight Division</w:t>
      </w:r>
    </w:p>
    <w:p w:rsidR="006A1FCF" w:rsidRPr="00F10C59" w:rsidRDefault="006A1FCF" w:rsidP="00727DFF">
      <w:pPr>
        <w:tabs>
          <w:tab w:val="left" w:pos="2127"/>
        </w:tabs>
        <w:spacing w:after="40"/>
        <w:rPr>
          <w:rFonts w:cs="Arial"/>
        </w:rPr>
      </w:pPr>
      <w:r w:rsidRPr="00F10C59">
        <w:rPr>
          <w:rFonts w:cs="Arial"/>
        </w:rPr>
        <w:t>ICANN</w:t>
      </w:r>
      <w:r w:rsidRPr="00F10C59">
        <w:rPr>
          <w:rFonts w:cs="Arial"/>
        </w:rPr>
        <w:tab/>
        <w:t xml:space="preserve">Internet Corporation for Assigned Names and Numbers </w:t>
      </w:r>
    </w:p>
    <w:p w:rsidR="006A1FCF" w:rsidRPr="00F10C59" w:rsidRDefault="006A1FCF" w:rsidP="00727DFF">
      <w:pPr>
        <w:tabs>
          <w:tab w:val="left" w:pos="2127"/>
        </w:tabs>
        <w:spacing w:after="40"/>
        <w:rPr>
          <w:rFonts w:cs="Arial"/>
        </w:rPr>
      </w:pPr>
      <w:r w:rsidRPr="00F10C59">
        <w:rPr>
          <w:rFonts w:cs="Arial"/>
        </w:rPr>
        <w:t>ICE</w:t>
      </w:r>
      <w:r w:rsidRPr="00F10C59">
        <w:rPr>
          <w:rFonts w:cs="Arial"/>
        </w:rPr>
        <w:tab/>
        <w:t>International Cooperation on Examination</w:t>
      </w:r>
    </w:p>
    <w:p w:rsidR="00EF08FB" w:rsidRDefault="00EF08FB" w:rsidP="00727DFF">
      <w:pPr>
        <w:tabs>
          <w:tab w:val="left" w:pos="2127"/>
        </w:tabs>
        <w:spacing w:after="40"/>
        <w:rPr>
          <w:rFonts w:cs="Arial"/>
        </w:rPr>
      </w:pPr>
      <w:r>
        <w:rPr>
          <w:rFonts w:cs="Arial"/>
        </w:rPr>
        <w:t>ICS</w:t>
      </w:r>
      <w:r>
        <w:rPr>
          <w:rFonts w:cs="Arial"/>
        </w:rPr>
        <w:tab/>
        <w:t>Individual Contractual Servies</w:t>
      </w:r>
    </w:p>
    <w:p w:rsidR="006A1FCF" w:rsidRPr="00F10C59" w:rsidRDefault="006A1FCF" w:rsidP="00727DFF">
      <w:pPr>
        <w:tabs>
          <w:tab w:val="left" w:pos="2127"/>
        </w:tabs>
        <w:spacing w:after="40"/>
        <w:rPr>
          <w:rFonts w:cs="Arial"/>
        </w:rPr>
      </w:pPr>
      <w:r w:rsidRPr="00F10C59">
        <w:rPr>
          <w:rFonts w:cs="Arial"/>
        </w:rPr>
        <w:t>ICSEI</w:t>
      </w:r>
      <w:r w:rsidRPr="00F10C59">
        <w:rPr>
          <w:rFonts w:cs="Arial"/>
        </w:rPr>
        <w:tab/>
        <w:t>International Cooperation for the Search and Examination of Inventions</w:t>
      </w:r>
    </w:p>
    <w:p w:rsidR="006A1FCF" w:rsidRPr="00F10C59" w:rsidRDefault="006A1FCF" w:rsidP="00727DFF">
      <w:pPr>
        <w:tabs>
          <w:tab w:val="left" w:pos="2127"/>
        </w:tabs>
        <w:spacing w:after="40"/>
        <w:rPr>
          <w:rFonts w:cs="Arial"/>
        </w:rPr>
      </w:pPr>
      <w:r w:rsidRPr="00F10C59">
        <w:rPr>
          <w:rFonts w:cs="Arial"/>
        </w:rPr>
        <w:t>ICSC</w:t>
      </w:r>
      <w:r w:rsidRPr="00F10C59">
        <w:rPr>
          <w:rFonts w:cs="Arial"/>
        </w:rPr>
        <w:tab/>
        <w:t xml:space="preserve">International Civil Service Commission </w:t>
      </w:r>
    </w:p>
    <w:p w:rsidR="006A1FCF" w:rsidRPr="00F10C59" w:rsidRDefault="006A1FCF" w:rsidP="00727DFF">
      <w:pPr>
        <w:tabs>
          <w:tab w:val="left" w:pos="2127"/>
        </w:tabs>
        <w:spacing w:after="40"/>
        <w:rPr>
          <w:rFonts w:cs="Arial"/>
        </w:rPr>
      </w:pPr>
      <w:r w:rsidRPr="00F10C59">
        <w:rPr>
          <w:rFonts w:cs="Arial"/>
        </w:rPr>
        <w:t>ICT</w:t>
      </w:r>
      <w:r w:rsidRPr="00F10C59">
        <w:rPr>
          <w:rFonts w:cs="Arial"/>
        </w:rPr>
        <w:tab/>
        <w:t xml:space="preserve">Information and Communication Technology </w:t>
      </w:r>
    </w:p>
    <w:p w:rsidR="00EF08FB" w:rsidRDefault="006A1FCF" w:rsidP="00727DFF">
      <w:pPr>
        <w:tabs>
          <w:tab w:val="left" w:pos="2127"/>
        </w:tabs>
        <w:spacing w:after="40"/>
        <w:ind w:left="2127" w:hanging="2127"/>
        <w:rPr>
          <w:rFonts w:cs="Arial"/>
        </w:rPr>
      </w:pPr>
      <w:r w:rsidRPr="00F10C59">
        <w:rPr>
          <w:rFonts w:cs="Arial"/>
        </w:rPr>
        <w:t>IGC</w:t>
      </w:r>
      <w:r w:rsidRPr="00F10C59">
        <w:rPr>
          <w:rFonts w:cs="Arial"/>
        </w:rPr>
        <w:tab/>
        <w:t>Intergovernmental Committee on Intellectual Property and Genetic Resources, Traditional Knowledge and Folklore</w:t>
      </w:r>
    </w:p>
    <w:p w:rsidR="00EF08FB" w:rsidRDefault="00EF08FB" w:rsidP="00727DFF">
      <w:pPr>
        <w:tabs>
          <w:tab w:val="left" w:pos="2127"/>
        </w:tabs>
        <w:spacing w:after="40"/>
        <w:ind w:left="2127" w:hanging="2127"/>
        <w:rPr>
          <w:rFonts w:cs="Arial"/>
        </w:rPr>
      </w:pPr>
      <w:r>
        <w:rPr>
          <w:rFonts w:cs="Arial"/>
        </w:rPr>
        <w:t>IGF</w:t>
      </w:r>
      <w:r>
        <w:rPr>
          <w:rFonts w:cs="Arial"/>
        </w:rPr>
        <w:tab/>
        <w:t>Internet Governance Forum</w:t>
      </w:r>
    </w:p>
    <w:p w:rsidR="006A1FCF" w:rsidRPr="00F10C59" w:rsidRDefault="006A1FCF" w:rsidP="00727DFF">
      <w:pPr>
        <w:tabs>
          <w:tab w:val="left" w:pos="2127"/>
        </w:tabs>
        <w:spacing w:after="40"/>
        <w:ind w:left="2127" w:hanging="2127"/>
        <w:rPr>
          <w:rFonts w:cs="Arial"/>
        </w:rPr>
      </w:pPr>
      <w:r w:rsidRPr="00F10C59">
        <w:rPr>
          <w:rFonts w:cs="Arial"/>
        </w:rPr>
        <w:t>IGOs</w:t>
      </w:r>
      <w:r w:rsidRPr="00F10C59">
        <w:rPr>
          <w:rFonts w:cs="Arial"/>
        </w:rPr>
        <w:tab/>
        <w:t>inter-governmental organizations</w:t>
      </w:r>
    </w:p>
    <w:p w:rsidR="006A1FCF" w:rsidRDefault="006A1FCF" w:rsidP="00727DFF">
      <w:pPr>
        <w:tabs>
          <w:tab w:val="left" w:pos="2127"/>
        </w:tabs>
        <w:spacing w:after="40"/>
        <w:ind w:left="2127" w:hanging="2127"/>
        <w:rPr>
          <w:rFonts w:cs="Arial"/>
        </w:rPr>
      </w:pPr>
      <w:r>
        <w:rPr>
          <w:rFonts w:cs="Arial"/>
        </w:rPr>
        <w:t>IIA</w:t>
      </w:r>
      <w:r>
        <w:rPr>
          <w:rFonts w:cs="Arial"/>
        </w:rPr>
        <w:tab/>
        <w:t>Institute of Internal Auditors</w:t>
      </w:r>
    </w:p>
    <w:p w:rsidR="00EF08FB" w:rsidRDefault="00EF08FB" w:rsidP="00727DFF">
      <w:pPr>
        <w:tabs>
          <w:tab w:val="left" w:pos="2127"/>
        </w:tabs>
        <w:spacing w:after="40"/>
        <w:ind w:left="2127" w:hanging="2127"/>
        <w:rPr>
          <w:rFonts w:cs="Arial"/>
        </w:rPr>
      </w:pPr>
      <w:r>
        <w:rPr>
          <w:rFonts w:cs="Arial"/>
        </w:rPr>
        <w:t>ILO</w:t>
      </w:r>
      <w:r>
        <w:rPr>
          <w:rFonts w:cs="Arial"/>
        </w:rPr>
        <w:tab/>
        <w:t>International Labour Organisation</w:t>
      </w:r>
    </w:p>
    <w:p w:rsidR="006A1FCF" w:rsidRPr="00F10C59" w:rsidRDefault="006A1FCF" w:rsidP="00727DFF">
      <w:pPr>
        <w:tabs>
          <w:tab w:val="left" w:pos="2127"/>
        </w:tabs>
        <w:spacing w:after="40"/>
        <w:ind w:left="2127" w:hanging="2127"/>
        <w:rPr>
          <w:rFonts w:cs="Arial"/>
        </w:rPr>
      </w:pPr>
      <w:r w:rsidRPr="00F10C59">
        <w:rPr>
          <w:rFonts w:cs="Arial"/>
        </w:rPr>
        <w:t>IP</w:t>
      </w:r>
      <w:r w:rsidRPr="00F10C59">
        <w:rPr>
          <w:rFonts w:cs="Arial"/>
        </w:rPr>
        <w:tab/>
        <w:t>Intellectual Property</w:t>
      </w:r>
    </w:p>
    <w:p w:rsidR="006A1FCF" w:rsidRPr="00C02386" w:rsidRDefault="006A1FCF" w:rsidP="00727DFF">
      <w:pPr>
        <w:tabs>
          <w:tab w:val="left" w:pos="2127"/>
        </w:tabs>
        <w:spacing w:after="40"/>
        <w:ind w:left="2126" w:hanging="2126"/>
        <w:rPr>
          <w:rFonts w:cs="Arial"/>
          <w:lang w:val="en"/>
        </w:rPr>
      </w:pPr>
      <w:r w:rsidRPr="00C02386">
        <w:rPr>
          <w:rFonts w:cs="Arial"/>
          <w:lang w:val="en"/>
        </w:rPr>
        <w:t>IPAS</w:t>
      </w:r>
      <w:r w:rsidRPr="00C02386">
        <w:rPr>
          <w:rFonts w:cs="Arial"/>
          <w:lang w:val="en"/>
        </w:rPr>
        <w:tab/>
        <w:t>IP Office Administration System</w:t>
      </w:r>
    </w:p>
    <w:p w:rsidR="006A1FCF" w:rsidRPr="00C02386" w:rsidRDefault="006A1FCF" w:rsidP="00727DFF">
      <w:pPr>
        <w:tabs>
          <w:tab w:val="left" w:pos="2127"/>
        </w:tabs>
        <w:spacing w:after="40"/>
        <w:ind w:left="2127" w:hanging="2127"/>
        <w:rPr>
          <w:rFonts w:cs="Arial"/>
        </w:rPr>
      </w:pPr>
      <w:r w:rsidRPr="00C02386">
        <w:rPr>
          <w:rFonts w:cs="Arial"/>
        </w:rPr>
        <w:t>IPC</w:t>
      </w:r>
      <w:r w:rsidRPr="00C02386">
        <w:rPr>
          <w:rFonts w:cs="Arial"/>
        </w:rPr>
        <w:tab/>
        <w:t>International Patent Classification</w:t>
      </w:r>
    </w:p>
    <w:p w:rsidR="006A1FCF" w:rsidRPr="00C02386" w:rsidRDefault="006A1FCF" w:rsidP="00727DFF">
      <w:pPr>
        <w:tabs>
          <w:tab w:val="left" w:pos="2127"/>
        </w:tabs>
        <w:spacing w:after="40"/>
        <w:ind w:left="2127" w:hanging="2127"/>
        <w:rPr>
          <w:rFonts w:cs="Arial"/>
        </w:rPr>
      </w:pPr>
      <w:r w:rsidRPr="00C02386">
        <w:rPr>
          <w:rFonts w:cs="Arial"/>
        </w:rPr>
        <w:t>IPO</w:t>
      </w:r>
      <w:r w:rsidRPr="00C02386">
        <w:rPr>
          <w:rFonts w:cs="Arial"/>
        </w:rPr>
        <w:tab/>
        <w:t>Intellectual Property Office</w:t>
      </w:r>
    </w:p>
    <w:p w:rsidR="006A1FCF" w:rsidRPr="00F10C59" w:rsidRDefault="006A1FCF" w:rsidP="00727DFF">
      <w:pPr>
        <w:tabs>
          <w:tab w:val="left" w:pos="2127"/>
        </w:tabs>
        <w:spacing w:after="40"/>
        <w:ind w:left="2127" w:hanging="2127"/>
        <w:rPr>
          <w:rFonts w:cs="Arial"/>
        </w:rPr>
      </w:pPr>
      <w:r w:rsidRPr="00F10C59">
        <w:rPr>
          <w:rFonts w:cs="Arial"/>
        </w:rPr>
        <w:t>IPRs</w:t>
      </w:r>
      <w:r w:rsidRPr="00F10C59">
        <w:rPr>
          <w:rFonts w:cs="Arial"/>
        </w:rPr>
        <w:tab/>
        <w:t>Intellectual Property Rights</w:t>
      </w:r>
    </w:p>
    <w:p w:rsidR="006A1FCF" w:rsidRPr="00F10C59" w:rsidRDefault="006A1FCF" w:rsidP="00727DFF">
      <w:pPr>
        <w:tabs>
          <w:tab w:val="left" w:pos="2127"/>
        </w:tabs>
        <w:spacing w:after="40"/>
        <w:ind w:left="2127" w:hanging="2127"/>
        <w:rPr>
          <w:rFonts w:cs="Arial"/>
        </w:rPr>
      </w:pPr>
      <w:r w:rsidRPr="00F10C59">
        <w:rPr>
          <w:rFonts w:cs="Arial"/>
        </w:rPr>
        <w:t>IPSAS</w:t>
      </w:r>
      <w:r w:rsidRPr="00F10C59">
        <w:rPr>
          <w:rFonts w:cs="Arial"/>
        </w:rPr>
        <w:tab/>
        <w:t>International Public Sector Accounting Standards</w:t>
      </w:r>
    </w:p>
    <w:p w:rsidR="006A1FCF" w:rsidRPr="00F10C59" w:rsidRDefault="006A1FCF" w:rsidP="00727DFF">
      <w:pPr>
        <w:tabs>
          <w:tab w:val="left" w:pos="2127"/>
        </w:tabs>
        <w:spacing w:after="40"/>
        <w:ind w:left="2127" w:hanging="2127"/>
        <w:rPr>
          <w:rFonts w:cs="Arial"/>
        </w:rPr>
      </w:pPr>
      <w:proofErr w:type="gramStart"/>
      <w:r w:rsidRPr="00F10C59">
        <w:rPr>
          <w:rFonts w:cs="Arial"/>
        </w:rPr>
        <w:t>IT</w:t>
      </w:r>
      <w:proofErr w:type="gramEnd"/>
      <w:r w:rsidRPr="00F10C59">
        <w:rPr>
          <w:rFonts w:cs="Arial"/>
        </w:rPr>
        <w:tab/>
        <w:t>Information Technology</w:t>
      </w:r>
    </w:p>
    <w:p w:rsidR="006A1FCF" w:rsidRPr="00F10C59" w:rsidRDefault="006A1FCF" w:rsidP="00727DFF">
      <w:pPr>
        <w:tabs>
          <w:tab w:val="left" w:pos="2127"/>
        </w:tabs>
        <w:spacing w:after="40"/>
        <w:ind w:left="2127" w:hanging="2127"/>
        <w:rPr>
          <w:rFonts w:cs="Arial"/>
        </w:rPr>
      </w:pPr>
      <w:r w:rsidRPr="00F10C59">
        <w:rPr>
          <w:rFonts w:cs="Arial"/>
        </w:rPr>
        <w:t>ITIL</w:t>
      </w:r>
      <w:r w:rsidRPr="00F10C59">
        <w:rPr>
          <w:rFonts w:cs="Arial"/>
        </w:rPr>
        <w:tab/>
        <w:t>Information Technology Infrastructure Library</w:t>
      </w:r>
    </w:p>
    <w:p w:rsidR="006A1FCF" w:rsidRPr="00F10C59" w:rsidRDefault="006A1FCF" w:rsidP="00727DFF">
      <w:pPr>
        <w:tabs>
          <w:tab w:val="left" w:pos="2127"/>
        </w:tabs>
        <w:spacing w:after="40"/>
        <w:ind w:left="2127" w:hanging="2127"/>
        <w:rPr>
          <w:rFonts w:cs="Arial"/>
        </w:rPr>
      </w:pPr>
      <w:r w:rsidRPr="00F10C59">
        <w:rPr>
          <w:rFonts w:cs="Arial"/>
        </w:rPr>
        <w:t>ITU</w:t>
      </w:r>
      <w:r w:rsidRPr="00F10C59">
        <w:rPr>
          <w:rFonts w:cs="Arial"/>
        </w:rPr>
        <w:tab/>
      </w:r>
      <w:r w:rsidRPr="00F10C59">
        <w:rPr>
          <w:rFonts w:cs="Arial"/>
          <w:snapToGrid w:val="0"/>
        </w:rPr>
        <w:t>International Telecommunications Union</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10AB9">
        <w:rPr>
          <w:rFonts w:cs="Arial"/>
          <w:b/>
          <w:bCs/>
        </w:rPr>
        <w:t>L</w:t>
      </w:r>
      <w:r w:rsidRPr="00F10C59">
        <w:rPr>
          <w:rFonts w:cs="Arial"/>
        </w:rPr>
        <w:t>DCs</w:t>
      </w:r>
      <w:r w:rsidRPr="00F10C59">
        <w:rPr>
          <w:rFonts w:cs="Arial"/>
        </w:rPr>
        <w:tab/>
        <w:t>Least Developed Countries</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F1219">
        <w:rPr>
          <w:rFonts w:cs="Arial"/>
          <w:b/>
          <w:bCs/>
        </w:rPr>
        <w:t>M</w:t>
      </w:r>
      <w:r w:rsidRPr="00F10C59">
        <w:rPr>
          <w:rFonts w:cs="Arial"/>
        </w:rPr>
        <w:t>DGs</w:t>
      </w:r>
      <w:r w:rsidRPr="00F10C59">
        <w:rPr>
          <w:rFonts w:cs="Arial"/>
        </w:rPr>
        <w:tab/>
        <w:t>Millenium Development Goals</w:t>
      </w:r>
    </w:p>
    <w:p w:rsidR="006A1FCF" w:rsidRDefault="006A1FCF" w:rsidP="006A1FCF">
      <w:pPr>
        <w:tabs>
          <w:tab w:val="left" w:pos="2127"/>
        </w:tabs>
        <w:spacing w:after="40"/>
        <w:ind w:left="2127" w:hanging="2127"/>
        <w:rPr>
          <w:rFonts w:cs="Arial"/>
        </w:rPr>
      </w:pPr>
      <w:r>
        <w:rPr>
          <w:rFonts w:cs="Arial"/>
        </w:rPr>
        <w:t>MGS</w:t>
      </w:r>
      <w:r>
        <w:rPr>
          <w:rFonts w:cs="Arial"/>
        </w:rPr>
        <w:tab/>
      </w:r>
      <w:smartTag w:uri="urn:schemas-microsoft-com:office:smarttags" w:element="place">
        <w:smartTag w:uri="urn:schemas-microsoft-com:office:smarttags" w:element="State">
          <w:r w:rsidRPr="00AC0AF8">
            <w:rPr>
              <w:rFonts w:cs="Arial"/>
            </w:rPr>
            <w:t>Madrid</w:t>
          </w:r>
        </w:smartTag>
      </w:smartTag>
      <w:r w:rsidRPr="00AC0AF8">
        <w:rPr>
          <w:rFonts w:cs="Arial"/>
        </w:rPr>
        <w:t xml:space="preserve"> Goods and Services Manager</w:t>
      </w:r>
    </w:p>
    <w:p w:rsidR="00EF08FB" w:rsidRDefault="00EF08FB" w:rsidP="006A1FCF">
      <w:pPr>
        <w:tabs>
          <w:tab w:val="left" w:pos="2127"/>
        </w:tabs>
        <w:spacing w:after="40"/>
        <w:ind w:left="2127" w:hanging="2127"/>
        <w:rPr>
          <w:rFonts w:cs="Arial"/>
        </w:rPr>
      </w:pPr>
      <w:r>
        <w:rPr>
          <w:rFonts w:cs="Arial"/>
        </w:rPr>
        <w:t>MoU</w:t>
      </w:r>
      <w:r>
        <w:rPr>
          <w:rFonts w:cs="Arial"/>
        </w:rPr>
        <w:tab/>
        <w:t>Memorandum of Understanding</w:t>
      </w:r>
    </w:p>
    <w:p w:rsidR="006A1FCF" w:rsidRPr="00F10C59" w:rsidRDefault="006A1FCF" w:rsidP="006A1FCF">
      <w:pPr>
        <w:tabs>
          <w:tab w:val="left" w:pos="2127"/>
        </w:tabs>
        <w:spacing w:after="40"/>
        <w:ind w:left="2127" w:hanging="2127"/>
        <w:rPr>
          <w:rFonts w:cs="Arial"/>
        </w:rPr>
      </w:pPr>
      <w:r w:rsidRPr="00F10C59">
        <w:rPr>
          <w:rFonts w:cs="Arial"/>
        </w:rPr>
        <w:t>MTSP</w:t>
      </w:r>
      <w:r w:rsidRPr="00F10C59">
        <w:rPr>
          <w:rFonts w:cs="Arial"/>
        </w:rPr>
        <w:tab/>
        <w:t>Medium Term Strategic Plan</w:t>
      </w:r>
    </w:p>
    <w:p w:rsidR="006A1FCF" w:rsidRPr="00F10C59" w:rsidRDefault="006A1FCF" w:rsidP="006A1FCF">
      <w:pPr>
        <w:tabs>
          <w:tab w:val="left" w:pos="2127"/>
        </w:tabs>
        <w:spacing w:after="180"/>
        <w:ind w:left="2126" w:hanging="2126"/>
        <w:rPr>
          <w:rFonts w:cs="Arial"/>
        </w:rPr>
      </w:pPr>
    </w:p>
    <w:p w:rsidR="006A1FCF" w:rsidRPr="002C4083" w:rsidRDefault="006A1FCF" w:rsidP="006A1FCF">
      <w:pPr>
        <w:tabs>
          <w:tab w:val="left" w:pos="2127"/>
        </w:tabs>
        <w:spacing w:after="40"/>
        <w:ind w:left="2127" w:hanging="2127"/>
        <w:rPr>
          <w:rFonts w:cs="Arial"/>
          <w:lang w:val="fr-FR"/>
        </w:rPr>
      </w:pPr>
      <w:r w:rsidRPr="002C4083">
        <w:rPr>
          <w:rFonts w:cs="Arial"/>
          <w:b/>
          <w:bCs/>
          <w:lang w:val="fr-FR"/>
        </w:rPr>
        <w:t>N</w:t>
      </w:r>
      <w:r w:rsidRPr="002C4083">
        <w:rPr>
          <w:rFonts w:cs="Arial"/>
          <w:lang w:val="fr-FR"/>
        </w:rPr>
        <w:t>GOs</w:t>
      </w:r>
      <w:r w:rsidRPr="002C4083">
        <w:rPr>
          <w:rFonts w:cs="Arial"/>
          <w:lang w:val="fr-FR"/>
        </w:rPr>
        <w:tab/>
        <w:t>non-governmental organizations</w:t>
      </w:r>
    </w:p>
    <w:p w:rsidR="006A1FCF" w:rsidRPr="002C4083" w:rsidRDefault="006A1FCF" w:rsidP="006A1FCF">
      <w:pPr>
        <w:tabs>
          <w:tab w:val="left" w:pos="2127"/>
        </w:tabs>
        <w:spacing w:after="180"/>
        <w:ind w:left="2126" w:hanging="2126"/>
        <w:rPr>
          <w:rFonts w:cs="Arial"/>
          <w:lang w:val="fr-FR"/>
        </w:rPr>
      </w:pPr>
    </w:p>
    <w:p w:rsidR="006A1FCF" w:rsidRPr="00F10C59" w:rsidRDefault="006A1FCF" w:rsidP="006A1FCF">
      <w:pPr>
        <w:tabs>
          <w:tab w:val="left" w:pos="2127"/>
        </w:tabs>
        <w:spacing w:after="40"/>
        <w:ind w:left="2127" w:hanging="2127"/>
        <w:rPr>
          <w:rFonts w:cs="Arial"/>
          <w:lang w:val="fr-FR"/>
        </w:rPr>
      </w:pPr>
      <w:r w:rsidRPr="00F10AB9">
        <w:rPr>
          <w:rFonts w:cs="Arial"/>
          <w:b/>
          <w:bCs/>
          <w:lang w:val="fr-FR"/>
        </w:rPr>
        <w:t>O</w:t>
      </w:r>
      <w:r w:rsidRPr="00F10C59">
        <w:rPr>
          <w:rFonts w:cs="Arial"/>
          <w:lang w:val="fr-FR"/>
        </w:rPr>
        <w:t>API</w:t>
      </w:r>
      <w:r w:rsidRPr="00F10C59">
        <w:rPr>
          <w:rFonts w:cs="Arial"/>
          <w:lang w:val="fr-FR"/>
        </w:rPr>
        <w:tab/>
      </w:r>
      <w:r w:rsidRPr="00F10C59">
        <w:rPr>
          <w:rFonts w:cs="Arial"/>
          <w:i/>
          <w:lang w:val="fr-FR"/>
        </w:rPr>
        <w:t>l’Organisation Africaine de la Propriété Intellectuelle</w:t>
      </w:r>
      <w:r w:rsidRPr="00F10C59">
        <w:rPr>
          <w:rFonts w:cs="Arial"/>
          <w:lang w:val="fr-FR"/>
        </w:rPr>
        <w:t xml:space="preserve"> (African Intellectual Property Organization)</w:t>
      </w:r>
    </w:p>
    <w:p w:rsidR="00EF08FB" w:rsidRDefault="00EF08FB" w:rsidP="006A1FCF">
      <w:pPr>
        <w:tabs>
          <w:tab w:val="left" w:pos="2127"/>
        </w:tabs>
        <w:spacing w:after="40"/>
        <w:ind w:left="2127" w:hanging="2127"/>
        <w:rPr>
          <w:rFonts w:cs="Arial"/>
        </w:rPr>
      </w:pPr>
      <w:r>
        <w:rPr>
          <w:rFonts w:cs="Arial"/>
        </w:rPr>
        <w:t>OECD</w:t>
      </w:r>
      <w:r>
        <w:rPr>
          <w:rFonts w:cs="Arial"/>
        </w:rPr>
        <w:tab/>
      </w:r>
      <w:r w:rsidRPr="00EF08FB">
        <w:rPr>
          <w:rFonts w:eastAsia="SimSun" w:cs="Arial"/>
          <w:color w:val="000000"/>
          <w:szCs w:val="20"/>
          <w:shd w:val="clear" w:color="auto" w:fill="FFFFFF"/>
          <w:lang w:eastAsia="zh-CN"/>
        </w:rPr>
        <w:t>Organization for Economic Cooperation and Development</w:t>
      </w:r>
    </w:p>
    <w:p w:rsidR="006A1FCF" w:rsidRPr="00F10C59" w:rsidRDefault="006A1FCF" w:rsidP="006A1FCF">
      <w:pPr>
        <w:tabs>
          <w:tab w:val="left" w:pos="2127"/>
        </w:tabs>
        <w:spacing w:after="40"/>
        <w:ind w:left="2127" w:hanging="2127"/>
        <w:rPr>
          <w:rFonts w:cs="Arial"/>
        </w:rPr>
      </w:pPr>
      <w:r w:rsidRPr="00F10C59">
        <w:rPr>
          <w:rFonts w:cs="Arial"/>
        </w:rPr>
        <w:t>OHIM</w:t>
      </w:r>
      <w:r w:rsidRPr="00F10C59">
        <w:rPr>
          <w:rFonts w:cs="Arial"/>
        </w:rPr>
        <w:tab/>
        <w:t>Office for Harmonization in the Internal Market (Community Trademarks)</w:t>
      </w:r>
    </w:p>
    <w:p w:rsidR="006A1FCF" w:rsidRPr="00033D90" w:rsidRDefault="006A1FCF" w:rsidP="006A1FCF">
      <w:pPr>
        <w:tabs>
          <w:tab w:val="left" w:pos="2127"/>
        </w:tabs>
        <w:spacing w:after="40"/>
        <w:ind w:left="2127" w:hanging="2127"/>
        <w:rPr>
          <w:rFonts w:cs="Arial"/>
        </w:rPr>
      </w:pPr>
      <w:r w:rsidRPr="00033D90">
        <w:rPr>
          <w:rFonts w:cs="Arial"/>
        </w:rPr>
        <w:t>OPD</w:t>
      </w:r>
      <w:r w:rsidRPr="00033D90">
        <w:rPr>
          <w:rFonts w:cs="Arial"/>
        </w:rPr>
        <w:tab/>
        <w:t>One Portal Dossier system</w:t>
      </w:r>
    </w:p>
    <w:p w:rsidR="006A1FCF" w:rsidRPr="00033D90" w:rsidRDefault="006A1FCF" w:rsidP="006A1FCF">
      <w:pPr>
        <w:tabs>
          <w:tab w:val="left" w:pos="2127"/>
        </w:tabs>
        <w:spacing w:after="180"/>
        <w:ind w:left="2126" w:hanging="2126"/>
        <w:rPr>
          <w:rFonts w:cs="Arial"/>
          <w:b/>
          <w:bCs/>
        </w:rPr>
      </w:pPr>
    </w:p>
    <w:p w:rsidR="006A1FCF" w:rsidRPr="00F10C59" w:rsidRDefault="006A1FCF" w:rsidP="006A1FCF">
      <w:pPr>
        <w:tabs>
          <w:tab w:val="left" w:pos="2127"/>
        </w:tabs>
        <w:spacing w:after="40"/>
        <w:ind w:left="2127" w:hanging="2127"/>
        <w:rPr>
          <w:rFonts w:cs="Arial"/>
        </w:rPr>
      </w:pPr>
      <w:r w:rsidRPr="009D020E">
        <w:rPr>
          <w:rFonts w:cs="Arial"/>
          <w:b/>
        </w:rPr>
        <w:t>P</w:t>
      </w:r>
      <w:r w:rsidRPr="00F10C59">
        <w:rPr>
          <w:rFonts w:cs="Arial"/>
        </w:rPr>
        <w:t>CT</w:t>
      </w:r>
      <w:r w:rsidRPr="00F10C59">
        <w:rPr>
          <w:rFonts w:cs="Arial"/>
        </w:rPr>
        <w:tab/>
        <w:t>Patent Cooperation Treaty</w:t>
      </w:r>
    </w:p>
    <w:p w:rsidR="006A1FCF" w:rsidRDefault="006A1FCF" w:rsidP="006A1FCF">
      <w:pPr>
        <w:tabs>
          <w:tab w:val="left" w:pos="2127"/>
        </w:tabs>
        <w:spacing w:after="40"/>
        <w:ind w:left="2127" w:hanging="2127"/>
        <w:rPr>
          <w:rFonts w:cs="Arial"/>
        </w:rPr>
      </w:pPr>
      <w:r>
        <w:rPr>
          <w:rFonts w:cs="Arial"/>
        </w:rPr>
        <w:t>PLR</w:t>
      </w:r>
      <w:r>
        <w:rPr>
          <w:rFonts w:cs="Arial"/>
        </w:rPr>
        <w:tab/>
        <w:t>Patent Landscape Reports</w:t>
      </w:r>
    </w:p>
    <w:p w:rsidR="006A1FCF" w:rsidRPr="00F10C59" w:rsidRDefault="006A1FCF" w:rsidP="006A1FCF">
      <w:pPr>
        <w:tabs>
          <w:tab w:val="left" w:pos="2127"/>
        </w:tabs>
        <w:spacing w:after="40"/>
        <w:ind w:left="2127" w:hanging="2127"/>
        <w:rPr>
          <w:rFonts w:cs="Arial"/>
        </w:rPr>
      </w:pPr>
      <w:r w:rsidRPr="00F10C59">
        <w:rPr>
          <w:rFonts w:cs="Arial"/>
        </w:rPr>
        <w:t>PLT</w:t>
      </w:r>
      <w:r w:rsidRPr="00F10C59">
        <w:rPr>
          <w:rFonts w:cs="Arial"/>
        </w:rPr>
        <w:tab/>
        <w:t>Patent Law Treaty</w:t>
      </w:r>
    </w:p>
    <w:p w:rsidR="006A1FCF" w:rsidRPr="00F10C59" w:rsidRDefault="006A1FCF" w:rsidP="006A1FCF">
      <w:pPr>
        <w:tabs>
          <w:tab w:val="left" w:pos="2127"/>
        </w:tabs>
        <w:spacing w:after="40"/>
        <w:ind w:left="2127" w:hanging="2127"/>
        <w:rPr>
          <w:rFonts w:cs="Arial"/>
        </w:rPr>
      </w:pPr>
      <w:r w:rsidRPr="00F10C59">
        <w:rPr>
          <w:rFonts w:cs="Arial"/>
        </w:rPr>
        <w:t>PMSDS</w:t>
      </w:r>
      <w:r w:rsidRPr="00F10C59">
        <w:rPr>
          <w:rFonts w:cs="Arial"/>
        </w:rPr>
        <w:tab/>
      </w:r>
      <w:r w:rsidRPr="00F10C59">
        <w:rPr>
          <w:rFonts w:cs="Arial"/>
          <w:snapToGrid w:val="0"/>
        </w:rPr>
        <w:t>Performance Management and Staff Development System</w:t>
      </w:r>
    </w:p>
    <w:p w:rsidR="006A1FCF" w:rsidRPr="00F10C59" w:rsidRDefault="006A1FCF" w:rsidP="006A1FCF">
      <w:pPr>
        <w:tabs>
          <w:tab w:val="left" w:pos="2127"/>
        </w:tabs>
        <w:spacing w:after="180"/>
        <w:ind w:left="2126" w:hanging="2126"/>
        <w:rPr>
          <w:rFonts w:cs="Arial"/>
        </w:rPr>
      </w:pPr>
      <w:r>
        <w:rPr>
          <w:rFonts w:cs="Arial"/>
        </w:rPr>
        <w:t>PPR</w:t>
      </w:r>
      <w:r>
        <w:rPr>
          <w:rFonts w:cs="Arial"/>
        </w:rPr>
        <w:tab/>
        <w:t>Program Performance Report</w:t>
      </w:r>
    </w:p>
    <w:p w:rsidR="006A1FCF" w:rsidRPr="00F10C59" w:rsidRDefault="006A1FCF" w:rsidP="006A1FCF">
      <w:pPr>
        <w:tabs>
          <w:tab w:val="left" w:pos="2127"/>
        </w:tabs>
        <w:spacing w:after="40"/>
        <w:ind w:left="2127" w:hanging="2127"/>
        <w:rPr>
          <w:rFonts w:cs="Arial"/>
        </w:rPr>
      </w:pPr>
      <w:r w:rsidRPr="00F10AB9">
        <w:rPr>
          <w:rFonts w:cs="Arial"/>
          <w:b/>
          <w:bCs/>
        </w:rPr>
        <w:lastRenderedPageBreak/>
        <w:t>R</w:t>
      </w:r>
      <w:r w:rsidRPr="00F10C59">
        <w:rPr>
          <w:rFonts w:cs="Arial"/>
        </w:rPr>
        <w:t>BM</w:t>
      </w:r>
      <w:r w:rsidRPr="00F10C59">
        <w:rPr>
          <w:rFonts w:cs="Arial"/>
        </w:rPr>
        <w:tab/>
        <w:t>Results-based Management</w:t>
      </w:r>
    </w:p>
    <w:p w:rsidR="006A1FCF" w:rsidRPr="00F10C59" w:rsidRDefault="006A1FCF" w:rsidP="006A1FCF">
      <w:pPr>
        <w:tabs>
          <w:tab w:val="left" w:pos="2127"/>
        </w:tabs>
        <w:spacing w:after="40"/>
        <w:ind w:left="2127" w:hanging="2127"/>
        <w:rPr>
          <w:rFonts w:cs="Arial"/>
        </w:rPr>
      </w:pPr>
      <w:r w:rsidRPr="00F10C59">
        <w:rPr>
          <w:rFonts w:cs="Arial"/>
        </w:rPr>
        <w:t>R&amp;D</w:t>
      </w:r>
      <w:r w:rsidRPr="00F10C59">
        <w:rPr>
          <w:rFonts w:cs="Arial"/>
        </w:rPr>
        <w:tab/>
        <w:t>research and development</w:t>
      </w:r>
    </w:p>
    <w:p w:rsidR="006A1FCF" w:rsidRDefault="006A1FCF" w:rsidP="006A1FCF">
      <w:pPr>
        <w:tabs>
          <w:tab w:val="left" w:pos="2127"/>
        </w:tabs>
        <w:spacing w:after="40"/>
        <w:ind w:left="2127" w:hanging="2127"/>
        <w:rPr>
          <w:rFonts w:cs="Arial"/>
        </w:rPr>
      </w:pPr>
      <w:r>
        <w:rPr>
          <w:rFonts w:cs="Arial"/>
        </w:rPr>
        <w:t>RFPs</w:t>
      </w:r>
      <w:r>
        <w:rPr>
          <w:rFonts w:cs="Arial"/>
        </w:rPr>
        <w:tab/>
        <w:t>Requests for Proposals</w:t>
      </w:r>
    </w:p>
    <w:p w:rsidR="006A1FCF" w:rsidRPr="00F10C59" w:rsidRDefault="006A1FCF" w:rsidP="006A1FCF">
      <w:pPr>
        <w:tabs>
          <w:tab w:val="left" w:pos="2127"/>
        </w:tabs>
        <w:spacing w:after="40"/>
        <w:ind w:left="2127" w:hanging="2127"/>
        <w:rPr>
          <w:rFonts w:cs="Arial"/>
        </w:rPr>
      </w:pPr>
      <w:r w:rsidRPr="00F10C59">
        <w:rPr>
          <w:rFonts w:cs="Arial"/>
        </w:rPr>
        <w:t>RO</w:t>
      </w:r>
      <w:r w:rsidRPr="00F10C59">
        <w:rPr>
          <w:rFonts w:cs="Arial"/>
        </w:rPr>
        <w:tab/>
        <w:t>Receiving Office</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F1219">
        <w:rPr>
          <w:rFonts w:cs="Arial"/>
          <w:b/>
          <w:bCs/>
        </w:rPr>
        <w:t>S</w:t>
      </w:r>
      <w:r w:rsidRPr="00F10C59">
        <w:rPr>
          <w:rFonts w:cs="Arial"/>
        </w:rPr>
        <w:t>CCR</w:t>
      </w:r>
      <w:r w:rsidRPr="00F10C59">
        <w:rPr>
          <w:rFonts w:cs="Arial"/>
        </w:rPr>
        <w:tab/>
        <w:t>Standing Committee on Copyright and Related Rights</w:t>
      </w:r>
    </w:p>
    <w:p w:rsidR="006A1FCF" w:rsidRPr="00F10C59" w:rsidRDefault="006A1FCF" w:rsidP="006A1FCF">
      <w:pPr>
        <w:tabs>
          <w:tab w:val="left" w:pos="2127"/>
        </w:tabs>
        <w:spacing w:after="40"/>
        <w:ind w:left="2127" w:hanging="2127"/>
        <w:rPr>
          <w:rFonts w:cs="Arial"/>
        </w:rPr>
      </w:pPr>
      <w:r w:rsidRPr="00F10C59">
        <w:rPr>
          <w:rFonts w:cs="Arial"/>
        </w:rPr>
        <w:t>SCP</w:t>
      </w:r>
      <w:r w:rsidRPr="00F10C59">
        <w:rPr>
          <w:rFonts w:cs="Arial"/>
        </w:rPr>
        <w:tab/>
        <w:t>Standing Committee on the Law of Patents</w:t>
      </w:r>
    </w:p>
    <w:p w:rsidR="006A1FCF" w:rsidRPr="00F10C59" w:rsidRDefault="006A1FCF" w:rsidP="006A1FCF">
      <w:pPr>
        <w:tabs>
          <w:tab w:val="left" w:pos="2127"/>
        </w:tabs>
        <w:spacing w:after="40"/>
        <w:ind w:left="2127" w:hanging="2127"/>
        <w:rPr>
          <w:rFonts w:cs="Arial"/>
        </w:rPr>
      </w:pPr>
      <w:r w:rsidRPr="00F10C59">
        <w:rPr>
          <w:rFonts w:cs="Arial"/>
        </w:rPr>
        <w:t>SCT</w:t>
      </w:r>
      <w:r w:rsidRPr="00F10C59">
        <w:rPr>
          <w:rFonts w:cs="Arial"/>
        </w:rPr>
        <w:tab/>
        <w:t>Standing Committee on the Law of Trademarks, Industrial Designs and Geographical Indications</w:t>
      </w:r>
    </w:p>
    <w:p w:rsidR="006A1FCF" w:rsidRDefault="006A1FCF" w:rsidP="006A1FCF">
      <w:pPr>
        <w:tabs>
          <w:tab w:val="left" w:pos="2127"/>
        </w:tabs>
        <w:spacing w:after="40"/>
        <w:ind w:left="2127" w:hanging="2127"/>
        <w:rPr>
          <w:rFonts w:cs="Arial"/>
        </w:rPr>
      </w:pPr>
      <w:r>
        <w:rPr>
          <w:rFonts w:cs="Arial"/>
        </w:rPr>
        <w:t>SLC</w:t>
      </w:r>
      <w:r>
        <w:rPr>
          <w:rFonts w:cs="Arial"/>
        </w:rPr>
        <w:tab/>
        <w:t>Special Labor Contract</w:t>
      </w:r>
    </w:p>
    <w:p w:rsidR="006A1FCF" w:rsidRDefault="006A1FCF" w:rsidP="006A1FCF">
      <w:pPr>
        <w:tabs>
          <w:tab w:val="left" w:pos="2127"/>
        </w:tabs>
        <w:spacing w:after="40"/>
        <w:ind w:left="2127" w:hanging="2127"/>
        <w:rPr>
          <w:rFonts w:cs="Arial"/>
        </w:rPr>
      </w:pPr>
      <w:r>
        <w:rPr>
          <w:rFonts w:cs="Arial"/>
        </w:rPr>
        <w:t>SMEs</w:t>
      </w:r>
      <w:r>
        <w:rPr>
          <w:rFonts w:cs="Arial"/>
        </w:rPr>
        <w:tab/>
        <w:t>small and medium sized enterprises</w:t>
      </w:r>
    </w:p>
    <w:p w:rsidR="006A1FCF" w:rsidRDefault="006A1FCF" w:rsidP="006A1FCF">
      <w:pPr>
        <w:tabs>
          <w:tab w:val="left" w:pos="2127"/>
        </w:tabs>
        <w:spacing w:after="40"/>
        <w:ind w:left="2127" w:hanging="2127"/>
        <w:rPr>
          <w:rFonts w:cs="Arial"/>
        </w:rPr>
      </w:pPr>
      <w:r>
        <w:rPr>
          <w:rFonts w:cs="Arial"/>
        </w:rPr>
        <w:t>SSA</w:t>
      </w:r>
      <w:r>
        <w:rPr>
          <w:rFonts w:cs="Arial"/>
        </w:rPr>
        <w:tab/>
        <w:t>Special Service Agreements</w:t>
      </w:r>
    </w:p>
    <w:p w:rsidR="006A1FCF" w:rsidRPr="00F10C59" w:rsidRDefault="006A1FCF" w:rsidP="006A1FCF">
      <w:pPr>
        <w:tabs>
          <w:tab w:val="left" w:pos="2127"/>
        </w:tabs>
        <w:spacing w:after="40"/>
        <w:ind w:left="2127" w:hanging="2127"/>
        <w:rPr>
          <w:rFonts w:cs="Arial"/>
        </w:rPr>
      </w:pPr>
      <w:r w:rsidRPr="00F10C59">
        <w:rPr>
          <w:rFonts w:cs="Arial"/>
        </w:rPr>
        <w:t>SRP</w:t>
      </w:r>
      <w:r w:rsidRPr="00F10C59">
        <w:rPr>
          <w:rFonts w:cs="Arial"/>
        </w:rPr>
        <w:tab/>
        <w:t>Strategic Realignment Program</w:t>
      </w:r>
    </w:p>
    <w:p w:rsidR="006A1FCF" w:rsidRPr="00F10C59" w:rsidRDefault="006A1FCF" w:rsidP="006A1FCF">
      <w:pPr>
        <w:tabs>
          <w:tab w:val="left" w:pos="2127"/>
        </w:tabs>
        <w:spacing w:after="180"/>
        <w:ind w:left="2126" w:hanging="2126"/>
        <w:rPr>
          <w:rFonts w:cs="Arial"/>
        </w:rPr>
      </w:pPr>
    </w:p>
    <w:p w:rsidR="006A1FCF" w:rsidRPr="002C4083" w:rsidRDefault="006A1FCF" w:rsidP="006A1FCF">
      <w:pPr>
        <w:keepNext/>
        <w:tabs>
          <w:tab w:val="left" w:pos="2127"/>
        </w:tabs>
        <w:spacing w:after="40"/>
        <w:ind w:left="2126" w:hanging="2126"/>
        <w:rPr>
          <w:rFonts w:cs="Arial"/>
          <w:b/>
          <w:bCs/>
        </w:rPr>
      </w:pPr>
      <w:r w:rsidRPr="002C4083">
        <w:rPr>
          <w:rFonts w:cs="Arial"/>
          <w:b/>
          <w:bCs/>
        </w:rPr>
        <w:t>T</w:t>
      </w:r>
      <w:r w:rsidRPr="002C4083">
        <w:rPr>
          <w:rFonts w:cs="Arial"/>
        </w:rPr>
        <w:t>A</w:t>
      </w:r>
      <w:r w:rsidRPr="002C4083">
        <w:rPr>
          <w:rFonts w:cs="Arial"/>
        </w:rPr>
        <w:tab/>
        <w:t>Travel Authorization</w:t>
      </w:r>
    </w:p>
    <w:p w:rsidR="00EF08FB" w:rsidRPr="002C4083" w:rsidRDefault="00EF08FB" w:rsidP="006A1FCF">
      <w:pPr>
        <w:keepNext/>
        <w:tabs>
          <w:tab w:val="left" w:pos="2127"/>
        </w:tabs>
        <w:spacing w:after="40"/>
        <w:ind w:left="2126" w:hanging="2126"/>
        <w:rPr>
          <w:rFonts w:cs="Arial"/>
        </w:rPr>
      </w:pPr>
      <w:r w:rsidRPr="002C4083">
        <w:rPr>
          <w:rFonts w:cs="Arial"/>
        </w:rPr>
        <w:t>TAD</w:t>
      </w:r>
      <w:r w:rsidRPr="002C4083">
        <w:rPr>
          <w:rFonts w:cs="Arial"/>
        </w:rPr>
        <w:tab/>
      </w:r>
      <w:r w:rsidRPr="002C4083">
        <w:rPr>
          <w:rFonts w:cs="Tahoma"/>
        </w:rPr>
        <w:t>IP Technical Assistance Database</w:t>
      </w:r>
      <w:r w:rsidRPr="002C4083">
        <w:rPr>
          <w:rFonts w:cs="Arial"/>
        </w:rPr>
        <w:t xml:space="preserve"> </w:t>
      </w:r>
    </w:p>
    <w:p w:rsidR="006A1FCF" w:rsidRPr="002C4083" w:rsidRDefault="006A1FCF" w:rsidP="006A1FCF">
      <w:pPr>
        <w:keepNext/>
        <w:tabs>
          <w:tab w:val="left" w:pos="2127"/>
        </w:tabs>
        <w:spacing w:after="40"/>
        <w:ind w:left="2126" w:hanging="2126"/>
        <w:rPr>
          <w:rFonts w:cs="Arial"/>
        </w:rPr>
      </w:pPr>
      <w:r w:rsidRPr="002C4083">
        <w:rPr>
          <w:rFonts w:cs="Arial"/>
        </w:rPr>
        <w:t>TCEs</w:t>
      </w:r>
      <w:r w:rsidRPr="002C4083">
        <w:rPr>
          <w:rFonts w:cs="Arial"/>
        </w:rPr>
        <w:tab/>
        <w:t>Traditional Cultural Expressions/Folklore</w:t>
      </w:r>
    </w:p>
    <w:p w:rsidR="006A1FCF" w:rsidRPr="00F10C59" w:rsidRDefault="006A1FCF" w:rsidP="006A1FCF">
      <w:pPr>
        <w:tabs>
          <w:tab w:val="left" w:pos="2127"/>
        </w:tabs>
        <w:spacing w:after="40"/>
        <w:ind w:left="2127" w:hanging="2127"/>
        <w:rPr>
          <w:rFonts w:cs="Arial"/>
        </w:rPr>
      </w:pPr>
      <w:r w:rsidRPr="00F10C59">
        <w:rPr>
          <w:rFonts w:cs="Arial"/>
        </w:rPr>
        <w:t>TIGAR</w:t>
      </w:r>
      <w:r w:rsidRPr="00F10C59">
        <w:rPr>
          <w:rFonts w:cs="Arial"/>
        </w:rPr>
        <w:tab/>
        <w:t xml:space="preserve">Trusted Intermediary Global </w:t>
      </w:r>
      <w:r>
        <w:rPr>
          <w:rFonts w:cs="Arial"/>
        </w:rPr>
        <w:t>Accessible</w:t>
      </w:r>
      <w:r w:rsidRPr="00F10C59">
        <w:rPr>
          <w:rFonts w:cs="Arial"/>
        </w:rPr>
        <w:t xml:space="preserve"> Resources</w:t>
      </w:r>
    </w:p>
    <w:p w:rsidR="006A1FCF" w:rsidRPr="00F10C59" w:rsidRDefault="006A1FCF" w:rsidP="006A1FCF">
      <w:pPr>
        <w:tabs>
          <w:tab w:val="left" w:pos="2127"/>
        </w:tabs>
        <w:spacing w:after="40"/>
        <w:ind w:left="2127" w:hanging="2127"/>
        <w:rPr>
          <w:rFonts w:cs="Arial"/>
        </w:rPr>
      </w:pPr>
      <w:r w:rsidRPr="00F10C59">
        <w:rPr>
          <w:rFonts w:cs="Arial"/>
        </w:rPr>
        <w:t>TISCs</w:t>
      </w:r>
      <w:r w:rsidRPr="00F10C59">
        <w:rPr>
          <w:rFonts w:cs="Arial"/>
        </w:rPr>
        <w:tab/>
        <w:t>Technology Innovation Support Centers</w:t>
      </w:r>
    </w:p>
    <w:p w:rsidR="006A1FCF" w:rsidRPr="00F10C59" w:rsidRDefault="006A1FCF" w:rsidP="006A1FCF">
      <w:pPr>
        <w:tabs>
          <w:tab w:val="left" w:pos="2127"/>
        </w:tabs>
        <w:spacing w:after="40"/>
        <w:ind w:left="2127" w:hanging="2127"/>
        <w:rPr>
          <w:rFonts w:cs="Arial"/>
        </w:rPr>
      </w:pPr>
      <w:r w:rsidRPr="00F10C59">
        <w:rPr>
          <w:rFonts w:cs="Arial"/>
        </w:rPr>
        <w:t>TK</w:t>
      </w:r>
      <w:r w:rsidRPr="00F10C59">
        <w:rPr>
          <w:rFonts w:cs="Arial"/>
        </w:rPr>
        <w:tab/>
        <w:t>Traditional Knowledge</w:t>
      </w:r>
    </w:p>
    <w:p w:rsidR="006A1FCF" w:rsidRPr="00F10C59" w:rsidRDefault="006A1FCF" w:rsidP="006A1FCF">
      <w:pPr>
        <w:tabs>
          <w:tab w:val="left" w:pos="2127"/>
        </w:tabs>
        <w:spacing w:after="40"/>
        <w:ind w:left="2127" w:hanging="2127"/>
        <w:rPr>
          <w:rFonts w:cs="Arial"/>
        </w:rPr>
      </w:pPr>
      <w:r w:rsidRPr="00F10C59">
        <w:rPr>
          <w:rFonts w:cs="Arial"/>
        </w:rPr>
        <w:t>TTO</w:t>
      </w:r>
      <w:r w:rsidRPr="00F10C59">
        <w:rPr>
          <w:rFonts w:cs="Arial"/>
        </w:rPr>
        <w:tab/>
        <w:t>Technology Transfer Office</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10AB9">
        <w:rPr>
          <w:rFonts w:cs="Arial"/>
          <w:b/>
          <w:bCs/>
        </w:rPr>
        <w:t>U</w:t>
      </w:r>
      <w:r w:rsidRPr="00F10C59">
        <w:rPr>
          <w:rFonts w:cs="Arial"/>
        </w:rPr>
        <w:t>DRP</w:t>
      </w:r>
      <w:r w:rsidRPr="00F10C59">
        <w:rPr>
          <w:rFonts w:cs="Arial"/>
        </w:rPr>
        <w:tab/>
        <w:t>Uniform Domain Name Dispute Resolution Policy</w:t>
      </w:r>
    </w:p>
    <w:p w:rsidR="006A1FCF" w:rsidRPr="00F10C59" w:rsidRDefault="006A1FCF" w:rsidP="006A1FCF">
      <w:pPr>
        <w:tabs>
          <w:tab w:val="left" w:pos="2127"/>
        </w:tabs>
        <w:spacing w:after="40"/>
        <w:ind w:left="2127" w:hanging="2127"/>
        <w:rPr>
          <w:rFonts w:cs="Arial"/>
        </w:rPr>
      </w:pPr>
      <w:r w:rsidRPr="00F10C59">
        <w:rPr>
          <w:rFonts w:cs="Arial"/>
        </w:rPr>
        <w:t>UN</w:t>
      </w:r>
      <w:r w:rsidRPr="00F10C59">
        <w:rPr>
          <w:rFonts w:cs="Arial"/>
        </w:rPr>
        <w:tab/>
        <w:t>United Nations</w:t>
      </w:r>
    </w:p>
    <w:p w:rsidR="006A1FCF" w:rsidRPr="00F10C59" w:rsidRDefault="006A1FCF" w:rsidP="006A1FCF">
      <w:pPr>
        <w:tabs>
          <w:tab w:val="left" w:pos="2127"/>
        </w:tabs>
        <w:spacing w:after="40"/>
        <w:ind w:left="2127" w:hanging="2127"/>
        <w:rPr>
          <w:rFonts w:cs="Arial"/>
        </w:rPr>
      </w:pPr>
      <w:r w:rsidRPr="00F10C59">
        <w:rPr>
          <w:rFonts w:cs="Arial"/>
        </w:rPr>
        <w:t>UNCTAD</w:t>
      </w:r>
      <w:r w:rsidRPr="00F10C59">
        <w:rPr>
          <w:rFonts w:cs="Arial"/>
        </w:rPr>
        <w:tab/>
        <w:t>United Nations Conference on Trade and Development</w:t>
      </w:r>
    </w:p>
    <w:p w:rsidR="006A1FCF" w:rsidRPr="00F10C59" w:rsidRDefault="006A1FCF" w:rsidP="006A1FCF">
      <w:pPr>
        <w:tabs>
          <w:tab w:val="left" w:pos="2127"/>
        </w:tabs>
        <w:spacing w:after="40"/>
        <w:ind w:left="2127" w:hanging="2127"/>
        <w:rPr>
          <w:rFonts w:cs="Arial"/>
        </w:rPr>
      </w:pPr>
      <w:r w:rsidRPr="00F10C59">
        <w:rPr>
          <w:rFonts w:cs="Arial"/>
        </w:rPr>
        <w:t>UN CEB</w:t>
      </w:r>
      <w:r w:rsidRPr="00F10C59">
        <w:rPr>
          <w:rFonts w:cs="Arial"/>
        </w:rPr>
        <w:tab/>
        <w:t>United Nations Chief Executives Board</w:t>
      </w:r>
    </w:p>
    <w:p w:rsidR="006A1FCF" w:rsidRPr="00EC6D63" w:rsidRDefault="006A1FCF" w:rsidP="006A1FCF">
      <w:pPr>
        <w:tabs>
          <w:tab w:val="left" w:pos="2127"/>
        </w:tabs>
        <w:spacing w:after="40"/>
        <w:ind w:left="2127" w:hanging="2127"/>
        <w:rPr>
          <w:rFonts w:cs="Arial"/>
        </w:rPr>
      </w:pPr>
      <w:r>
        <w:rPr>
          <w:rFonts w:cs="Arial"/>
          <w:noProof/>
        </w:rPr>
        <mc:AlternateContent>
          <mc:Choice Requires="wps">
            <w:drawing>
              <wp:anchor distT="0" distB="0" distL="114300" distR="114300" simplePos="0" relativeHeight="251663360" behindDoc="0" locked="0" layoutInCell="0" allowOverlap="1" wp14:anchorId="68BF3343" wp14:editId="0A1E90CC">
                <wp:simplePos x="0" y="0"/>
                <wp:positionH relativeFrom="column">
                  <wp:posOffset>-2118995</wp:posOffset>
                </wp:positionH>
                <wp:positionV relativeFrom="paragraph">
                  <wp:posOffset>83185</wp:posOffset>
                </wp:positionV>
                <wp:extent cx="731520" cy="1097280"/>
                <wp:effectExtent l="10160" t="10795" r="10795" b="63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82018D" w:rsidRDefault="0082018D" w:rsidP="006A1FCF">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left:0;text-align:left;margin-left:-166.85pt;margin-top:6.55pt;width:57.6pt;height:8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" o:allowincell="f">
                <v:textbox>
                  <w:txbxContent>
                    <w:p w:rsidR="0082018D" w:rsidRDefault="0082018D" w:rsidP="006A1FCF">
                      <w:pPr>
                        <w:pStyle w:val="BodyText2"/>
                      </w:pPr>
                    </w:p>
                  </w:txbxContent>
                </v:textbox>
              </v:shape>
            </w:pict>
          </mc:Fallback>
        </mc:AlternateContent>
      </w:r>
      <w:r w:rsidRPr="00EC6D63">
        <w:rPr>
          <w:rFonts w:cs="Arial"/>
        </w:rPr>
        <w:t>UNEP</w:t>
      </w:r>
      <w:r w:rsidRPr="00EC6D63">
        <w:rPr>
          <w:rFonts w:cs="Arial"/>
        </w:rPr>
        <w:tab/>
        <w:t>United Nations Environmental Programme</w:t>
      </w:r>
    </w:p>
    <w:p w:rsidR="006A1FCF" w:rsidRPr="00F10C59" w:rsidRDefault="006A1FCF" w:rsidP="006A1FCF">
      <w:pPr>
        <w:tabs>
          <w:tab w:val="left" w:pos="2127"/>
        </w:tabs>
        <w:spacing w:after="40"/>
        <w:ind w:left="2127" w:hanging="2127"/>
        <w:rPr>
          <w:rFonts w:cs="Arial"/>
        </w:rPr>
      </w:pPr>
      <w:r w:rsidRPr="00F10C59">
        <w:rPr>
          <w:rFonts w:cs="Arial"/>
        </w:rPr>
        <w:t>UNESCO</w:t>
      </w:r>
      <w:r w:rsidRPr="00F10C59">
        <w:rPr>
          <w:rFonts w:cs="Arial"/>
        </w:rPr>
        <w:tab/>
        <w:t>United Nations Educational, Scientific and Cultural Organization</w:t>
      </w:r>
    </w:p>
    <w:p w:rsidR="006A1FCF" w:rsidRPr="0031057E" w:rsidRDefault="006A1FCF" w:rsidP="006A1FCF">
      <w:pPr>
        <w:tabs>
          <w:tab w:val="left" w:pos="2127"/>
        </w:tabs>
        <w:spacing w:after="40"/>
        <w:ind w:left="2127" w:hanging="2127"/>
        <w:rPr>
          <w:rFonts w:cs="Arial"/>
          <w:lang w:val="fr-CH"/>
        </w:rPr>
      </w:pPr>
      <w:r w:rsidRPr="0031057E">
        <w:rPr>
          <w:rFonts w:cs="Arial"/>
          <w:lang w:val="fr-CH"/>
        </w:rPr>
        <w:t>UNFCCC</w:t>
      </w:r>
      <w:r w:rsidRPr="0031057E">
        <w:rPr>
          <w:rFonts w:cs="Arial"/>
          <w:lang w:val="fr-CH"/>
        </w:rPr>
        <w:tab/>
        <w:t>Framework Convention on Climate Change</w:t>
      </w:r>
    </w:p>
    <w:p w:rsidR="006A1FCF" w:rsidRPr="0031057E" w:rsidRDefault="006A1FCF" w:rsidP="006A1FCF">
      <w:pPr>
        <w:tabs>
          <w:tab w:val="left" w:pos="2127"/>
        </w:tabs>
        <w:spacing w:after="40"/>
        <w:ind w:left="2127" w:right="-476" w:hanging="2127"/>
        <w:rPr>
          <w:rFonts w:cs="Arial"/>
          <w:lang w:val="fr-CH"/>
        </w:rPr>
      </w:pPr>
      <w:r w:rsidRPr="0031057E">
        <w:rPr>
          <w:rFonts w:cs="Arial"/>
          <w:lang w:val="fr-CH"/>
        </w:rPr>
        <w:t>UNICC</w:t>
      </w:r>
      <w:r w:rsidRPr="0031057E">
        <w:rPr>
          <w:rFonts w:cs="Arial"/>
          <w:lang w:val="fr-CH"/>
        </w:rPr>
        <w:tab/>
        <w:t>UN International Computing Centre</w:t>
      </w:r>
    </w:p>
    <w:p w:rsidR="006A1FCF" w:rsidRPr="00F10C59" w:rsidRDefault="006A1FCF" w:rsidP="006A1FCF">
      <w:pPr>
        <w:tabs>
          <w:tab w:val="left" w:pos="2127"/>
        </w:tabs>
        <w:spacing w:after="40"/>
        <w:ind w:left="2127" w:right="-476" w:hanging="2127"/>
        <w:rPr>
          <w:rFonts w:cs="Arial"/>
        </w:rPr>
      </w:pPr>
      <w:r w:rsidRPr="00F10C59">
        <w:rPr>
          <w:rFonts w:cs="Arial"/>
        </w:rPr>
        <w:t>UNIDO</w:t>
      </w:r>
      <w:r w:rsidRPr="00F10C59">
        <w:rPr>
          <w:rFonts w:cs="Arial"/>
        </w:rPr>
        <w:tab/>
        <w:t>United Nations Industrial Development Organization</w:t>
      </w:r>
    </w:p>
    <w:p w:rsidR="006A1FCF" w:rsidRPr="00F10C59" w:rsidRDefault="006A1FCF" w:rsidP="006A1FCF">
      <w:pPr>
        <w:tabs>
          <w:tab w:val="left" w:pos="2127"/>
        </w:tabs>
        <w:spacing w:after="40"/>
        <w:ind w:left="2127" w:right="-476" w:hanging="2127"/>
        <w:rPr>
          <w:rFonts w:cs="Arial"/>
        </w:rPr>
      </w:pPr>
      <w:r w:rsidRPr="00F10C59">
        <w:rPr>
          <w:rFonts w:cs="Arial"/>
        </w:rPr>
        <w:t>USPTO</w:t>
      </w:r>
      <w:r w:rsidRPr="00F10C59">
        <w:rPr>
          <w:rFonts w:cs="Arial"/>
        </w:rPr>
        <w:tab/>
        <w:t>United States Patent and Trademark Office</w:t>
      </w:r>
    </w:p>
    <w:p w:rsidR="006A1FCF" w:rsidRPr="00F10C59" w:rsidRDefault="006A1FCF" w:rsidP="006A1FCF">
      <w:pPr>
        <w:tabs>
          <w:tab w:val="left" w:pos="2127"/>
        </w:tabs>
        <w:spacing w:after="180"/>
        <w:ind w:left="2126" w:hanging="2126"/>
        <w:rPr>
          <w:rFonts w:cs="Arial"/>
        </w:rPr>
      </w:pPr>
    </w:p>
    <w:p w:rsidR="006A1FCF" w:rsidRPr="00F10C59" w:rsidRDefault="006A1FCF" w:rsidP="006A1FCF">
      <w:pPr>
        <w:tabs>
          <w:tab w:val="left" w:pos="2127"/>
        </w:tabs>
        <w:spacing w:after="40"/>
        <w:ind w:left="2127" w:hanging="2127"/>
        <w:rPr>
          <w:rFonts w:cs="Arial"/>
        </w:rPr>
      </w:pPr>
      <w:r w:rsidRPr="00F10AB9">
        <w:rPr>
          <w:rFonts w:cs="Arial"/>
          <w:b/>
          <w:bCs/>
        </w:rPr>
        <w:t>V</w:t>
      </w:r>
      <w:r w:rsidRPr="00F10C59">
        <w:rPr>
          <w:rFonts w:cs="Arial"/>
        </w:rPr>
        <w:t>IP</w:t>
      </w:r>
      <w:r w:rsidRPr="00F10C59">
        <w:rPr>
          <w:rFonts w:cs="Arial"/>
        </w:rPr>
        <w:tab/>
        <w:t>Visually Impaired Persons</w:t>
      </w:r>
      <w:r>
        <w:rPr>
          <w:rFonts w:cs="Arial"/>
        </w:rPr>
        <w:t xml:space="preserve"> and other persons with print disabilities</w:t>
      </w:r>
    </w:p>
    <w:p w:rsidR="006A1FCF" w:rsidRPr="00F10C59" w:rsidRDefault="006A1FCF" w:rsidP="006A1FCF">
      <w:pPr>
        <w:tabs>
          <w:tab w:val="left" w:pos="2127"/>
        </w:tabs>
        <w:spacing w:after="180"/>
        <w:ind w:left="2126" w:hanging="2126"/>
        <w:rPr>
          <w:rFonts w:cs="Arial"/>
        </w:rPr>
      </w:pPr>
    </w:p>
    <w:p w:rsidR="00727DFF" w:rsidRDefault="00727DFF" w:rsidP="006A1FCF">
      <w:pPr>
        <w:tabs>
          <w:tab w:val="left" w:pos="2127"/>
        </w:tabs>
        <w:spacing w:after="40"/>
        <w:ind w:left="2127" w:hanging="2127"/>
        <w:rPr>
          <w:rFonts w:cs="Arial"/>
        </w:rPr>
      </w:pPr>
      <w:r w:rsidRPr="00727DFF">
        <w:rPr>
          <w:rFonts w:cs="Arial"/>
          <w:b/>
        </w:rPr>
        <w:t>W</w:t>
      </w:r>
      <w:r>
        <w:rPr>
          <w:rFonts w:cs="Arial"/>
        </w:rPr>
        <w:t>BO</w:t>
      </w:r>
      <w:r>
        <w:rPr>
          <w:rFonts w:cs="Arial"/>
        </w:rPr>
        <w:tab/>
        <w:t>WIPO Brazil Office</w:t>
      </w:r>
    </w:p>
    <w:p w:rsidR="006A1FCF" w:rsidRPr="00F10C59" w:rsidRDefault="006A1FCF" w:rsidP="006A1FCF">
      <w:pPr>
        <w:tabs>
          <w:tab w:val="left" w:pos="2127"/>
        </w:tabs>
        <w:spacing w:after="40"/>
        <w:ind w:left="2127" w:hanging="2127"/>
        <w:rPr>
          <w:rFonts w:cs="Arial"/>
        </w:rPr>
      </w:pPr>
      <w:r w:rsidRPr="00F10C59">
        <w:rPr>
          <w:rFonts w:cs="Arial"/>
        </w:rPr>
        <w:t>WCT</w:t>
      </w:r>
      <w:r w:rsidRPr="00F10C59">
        <w:rPr>
          <w:rFonts w:cs="Arial"/>
        </w:rPr>
        <w:tab/>
        <w:t>WIPO Copyright Treaty</w:t>
      </w:r>
    </w:p>
    <w:p w:rsidR="006A1FCF" w:rsidRPr="00F10C59" w:rsidRDefault="006A1FCF" w:rsidP="006A1FCF">
      <w:pPr>
        <w:tabs>
          <w:tab w:val="left" w:pos="2127"/>
        </w:tabs>
        <w:spacing w:after="40"/>
        <w:ind w:left="2127" w:hanging="2127"/>
        <w:rPr>
          <w:rFonts w:cs="Arial"/>
        </w:rPr>
      </w:pPr>
      <w:proofErr w:type="gramStart"/>
      <w:r w:rsidRPr="00F10C59">
        <w:rPr>
          <w:rFonts w:cs="Arial"/>
        </w:rPr>
        <w:t>WHO</w:t>
      </w:r>
      <w:proofErr w:type="gramEnd"/>
      <w:r w:rsidRPr="00F10C59">
        <w:rPr>
          <w:rFonts w:cs="Arial"/>
        </w:rPr>
        <w:tab/>
        <w:t>World Health Organization</w:t>
      </w:r>
    </w:p>
    <w:p w:rsidR="006A1FCF" w:rsidRDefault="006A1FCF" w:rsidP="006A1FCF">
      <w:pPr>
        <w:tabs>
          <w:tab w:val="left" w:pos="2127"/>
        </w:tabs>
        <w:spacing w:after="40"/>
        <w:ind w:left="2127" w:hanging="2127"/>
        <w:rPr>
          <w:rFonts w:cs="Arial"/>
        </w:rPr>
      </w:pPr>
      <w:r>
        <w:rPr>
          <w:rFonts w:cs="Arial"/>
        </w:rPr>
        <w:t>WIPOCOS</w:t>
      </w:r>
      <w:r>
        <w:rPr>
          <w:rFonts w:cs="Arial"/>
        </w:rPr>
        <w:tab/>
      </w:r>
      <w:r w:rsidRPr="00FF1219">
        <w:rPr>
          <w:rFonts w:cs="Arial"/>
          <w:lang w:val="en"/>
        </w:rPr>
        <w:t>software for collective management of copyright and neighboring rights</w:t>
      </w:r>
    </w:p>
    <w:p w:rsidR="00727DFF" w:rsidRDefault="00727DFF" w:rsidP="006A1FCF">
      <w:pPr>
        <w:tabs>
          <w:tab w:val="left" w:pos="2127"/>
        </w:tabs>
        <w:spacing w:after="40"/>
        <w:ind w:left="2127" w:hanging="2127"/>
        <w:rPr>
          <w:rFonts w:cs="Arial"/>
        </w:rPr>
      </w:pPr>
      <w:r>
        <w:rPr>
          <w:rFonts w:cs="Arial"/>
        </w:rPr>
        <w:t>WJO</w:t>
      </w:r>
      <w:r>
        <w:rPr>
          <w:rFonts w:cs="Arial"/>
        </w:rPr>
        <w:tab/>
        <w:t>WIPO Japan Office</w:t>
      </w:r>
    </w:p>
    <w:p w:rsidR="006A1FCF" w:rsidRPr="00F10C59" w:rsidRDefault="006A1FCF" w:rsidP="006A1FCF">
      <w:pPr>
        <w:tabs>
          <w:tab w:val="left" w:pos="2127"/>
        </w:tabs>
        <w:spacing w:after="40"/>
        <w:ind w:left="2127" w:hanging="2127"/>
        <w:rPr>
          <w:rFonts w:cs="Arial"/>
        </w:rPr>
      </w:pPr>
      <w:r w:rsidRPr="00F10C59">
        <w:rPr>
          <w:rFonts w:cs="Arial"/>
        </w:rPr>
        <w:t>WPPT</w:t>
      </w:r>
      <w:r w:rsidRPr="00F10C59">
        <w:rPr>
          <w:rFonts w:cs="Arial"/>
        </w:rPr>
        <w:tab/>
        <w:t>WIPO Performances and Phonograms Treaty</w:t>
      </w:r>
    </w:p>
    <w:p w:rsidR="006A1FCF" w:rsidRPr="00C02386" w:rsidRDefault="006A1FCF" w:rsidP="006A1FCF">
      <w:pPr>
        <w:tabs>
          <w:tab w:val="left" w:pos="2127"/>
        </w:tabs>
        <w:spacing w:after="40"/>
        <w:ind w:left="2127" w:hanging="2127"/>
        <w:rPr>
          <w:rFonts w:cs="Arial"/>
        </w:rPr>
      </w:pPr>
      <w:r w:rsidRPr="00C02386">
        <w:rPr>
          <w:rFonts w:cs="Arial"/>
        </w:rPr>
        <w:t>WSIS</w:t>
      </w:r>
      <w:r w:rsidRPr="00C02386">
        <w:rPr>
          <w:rFonts w:cs="Arial"/>
        </w:rPr>
        <w:tab/>
      </w:r>
      <w:r w:rsidRPr="00C02386">
        <w:rPr>
          <w:rFonts w:cs="Arial"/>
          <w:bCs/>
        </w:rPr>
        <w:t xml:space="preserve">World </w:t>
      </w:r>
      <w:smartTag w:uri="urn:schemas-microsoft-com:office:smarttags" w:element="place">
        <w:smartTag w:uri="urn:schemas-microsoft-com:office:smarttags" w:element="City">
          <w:r w:rsidRPr="00C02386">
            <w:rPr>
              <w:rFonts w:cs="Arial"/>
              <w:bCs/>
            </w:rPr>
            <w:t>Summit</w:t>
          </w:r>
        </w:smartTag>
      </w:smartTag>
      <w:r w:rsidRPr="00C02386">
        <w:rPr>
          <w:rFonts w:cs="Arial"/>
          <w:bCs/>
        </w:rPr>
        <w:t xml:space="preserve"> on the Information Society</w:t>
      </w:r>
    </w:p>
    <w:p w:rsidR="006A1FCF" w:rsidRDefault="006A1FCF" w:rsidP="006A1FCF">
      <w:pPr>
        <w:tabs>
          <w:tab w:val="left" w:pos="2127"/>
        </w:tabs>
        <w:spacing w:after="40"/>
        <w:ind w:left="2127" w:hanging="2127"/>
        <w:rPr>
          <w:rFonts w:cs="Arial"/>
        </w:rPr>
      </w:pPr>
      <w:r w:rsidRPr="00C02386">
        <w:rPr>
          <w:rFonts w:cs="Arial"/>
        </w:rPr>
        <w:t>WSO</w:t>
      </w:r>
      <w:r w:rsidRPr="00C02386">
        <w:rPr>
          <w:rFonts w:cs="Arial"/>
        </w:rPr>
        <w:tab/>
        <w:t xml:space="preserve">WIPO </w:t>
      </w:r>
      <w:smartTag w:uri="urn:schemas-microsoft-com:office:smarttags" w:element="place">
        <w:smartTag w:uri="urn:schemas-microsoft-com:office:smarttags" w:element="country-region">
          <w:r w:rsidRPr="00C02386">
            <w:rPr>
              <w:rFonts w:cs="Arial"/>
            </w:rPr>
            <w:t>Singapore</w:t>
          </w:r>
        </w:smartTag>
      </w:smartTag>
      <w:r w:rsidRPr="00C02386">
        <w:rPr>
          <w:rFonts w:cs="Arial"/>
        </w:rPr>
        <w:t xml:space="preserve"> Office</w:t>
      </w:r>
    </w:p>
    <w:p w:rsidR="006A1FCF" w:rsidRPr="00F10C59" w:rsidRDefault="006A1FCF" w:rsidP="006A1FCF">
      <w:pPr>
        <w:tabs>
          <w:tab w:val="left" w:pos="2127"/>
        </w:tabs>
        <w:spacing w:after="40"/>
        <w:ind w:left="2127" w:hanging="2127"/>
        <w:rPr>
          <w:rFonts w:cs="Arial"/>
        </w:rPr>
      </w:pPr>
      <w:r w:rsidRPr="00F10C59">
        <w:rPr>
          <w:rFonts w:cs="Arial"/>
        </w:rPr>
        <w:t>WTO</w:t>
      </w:r>
      <w:r w:rsidRPr="00F10C59">
        <w:rPr>
          <w:rFonts w:cs="Arial"/>
        </w:rPr>
        <w:tab/>
        <w:t xml:space="preserve">World Trade Organization </w:t>
      </w:r>
    </w:p>
    <w:p w:rsidR="006A1FCF" w:rsidRDefault="006A1FCF" w:rsidP="006A1FCF">
      <w:pPr>
        <w:pStyle w:val="BodyText"/>
        <w:rPr>
          <w:rFonts w:cs="Arial"/>
        </w:rPr>
      </w:pPr>
    </w:p>
    <w:p w:rsidR="00727DFF" w:rsidRPr="00F10C59" w:rsidRDefault="00727DFF" w:rsidP="006A1FCF">
      <w:pPr>
        <w:pStyle w:val="BodyText"/>
        <w:rPr>
          <w:rFonts w:cs="Arial"/>
        </w:rPr>
      </w:pPr>
    </w:p>
    <w:p w:rsidR="006B07F6" w:rsidRPr="009706FB" w:rsidRDefault="00727DFF" w:rsidP="009706FB">
      <w:pPr>
        <w:ind w:left="4253"/>
        <w:jc w:val="center"/>
      </w:pPr>
      <w:r>
        <w:rPr>
          <w:color w:val="000000"/>
        </w:rPr>
        <w:t xml:space="preserve"> </w:t>
      </w:r>
      <w:r w:rsidR="009706FB">
        <w:rPr>
          <w:color w:val="000000"/>
        </w:rPr>
        <w:t>[End of Appendix</w:t>
      </w:r>
      <w:r w:rsidR="00271EF7">
        <w:rPr>
          <w:color w:val="000000"/>
        </w:rPr>
        <w:t xml:space="preserve"> II</w:t>
      </w:r>
      <w:r w:rsidR="006A1FCF">
        <w:rPr>
          <w:color w:val="000000"/>
        </w:rPr>
        <w:t>I</w:t>
      </w:r>
      <w:r w:rsidR="009706FB">
        <w:rPr>
          <w:color w:val="000000"/>
        </w:rPr>
        <w:t xml:space="preserve"> and of document]</w:t>
      </w:r>
    </w:p>
    <w:sectPr w:rsidR="006B07F6" w:rsidRPr="009706FB" w:rsidSect="002249F8">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18D" w:rsidRDefault="0082018D">
      <w:r>
        <w:separator/>
      </w:r>
    </w:p>
  </w:endnote>
  <w:endnote w:type="continuationSeparator" w:id="0">
    <w:p w:rsidR="0082018D" w:rsidRDefault="00820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1" w:usb1="00000000" w:usb2="01000407"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8D" w:rsidRPr="00921F56" w:rsidRDefault="0082018D" w:rsidP="00921F56">
    <w:pPr>
      <w:pStyle w:val="Footer"/>
      <w:jc w:val="center"/>
      <w:rPr>
        <w:sz w:val="22"/>
        <w:szCs w:val="22"/>
      </w:rPr>
    </w:pPr>
    <w:r w:rsidRPr="00921F56">
      <w:rPr>
        <w:sz w:val="22"/>
        <w:szCs w:val="22"/>
      </w:rPr>
      <w:fldChar w:fldCharType="begin"/>
    </w:r>
    <w:r w:rsidRPr="00921F56">
      <w:rPr>
        <w:sz w:val="22"/>
        <w:szCs w:val="22"/>
      </w:rPr>
      <w:instrText xml:space="preserve"> PAGE   \* MERGEFORMAT </w:instrText>
    </w:r>
    <w:r w:rsidRPr="00921F56">
      <w:rPr>
        <w:sz w:val="22"/>
        <w:szCs w:val="22"/>
      </w:rPr>
      <w:fldChar w:fldCharType="separate"/>
    </w:r>
    <w:r w:rsidR="007C75ED">
      <w:rPr>
        <w:noProof/>
        <w:sz w:val="22"/>
        <w:szCs w:val="22"/>
      </w:rPr>
      <w:t>ii</w:t>
    </w:r>
    <w:r w:rsidRPr="00921F56">
      <w:rPr>
        <w:noProof/>
        <w:sz w:val="22"/>
        <w:szCs w:val="22"/>
      </w:rPr>
      <w:fldChar w:fldCharType="end"/>
    </w:r>
  </w:p>
  <w:p w:rsidR="0082018D" w:rsidRDefault="008201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8D" w:rsidRPr="00350CE9" w:rsidRDefault="0082018D" w:rsidP="00350CE9">
    <w:pPr>
      <w:pStyle w:val="Footer"/>
      <w:jc w:val="center"/>
      <w:rPr>
        <w:szCs w:val="20"/>
      </w:rPr>
    </w:pPr>
    <w:r w:rsidRPr="000B3053">
      <w:rPr>
        <w:szCs w:val="20"/>
      </w:rPr>
      <w:fldChar w:fldCharType="begin"/>
    </w:r>
    <w:r w:rsidRPr="000B3053">
      <w:rPr>
        <w:szCs w:val="20"/>
      </w:rPr>
      <w:instrText xml:space="preserve"> PAGE   \* MERGEFORMAT </w:instrText>
    </w:r>
    <w:r w:rsidRPr="000B3053">
      <w:rPr>
        <w:szCs w:val="20"/>
      </w:rPr>
      <w:fldChar w:fldCharType="separate"/>
    </w:r>
    <w:r w:rsidR="007C75ED">
      <w:rPr>
        <w:noProof/>
        <w:szCs w:val="20"/>
      </w:rPr>
      <w:t>246</w:t>
    </w:r>
    <w:r w:rsidRPr="000B3053">
      <w:rPr>
        <w:noProof/>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18D" w:rsidRDefault="0082018D">
      <w:r>
        <w:separator/>
      </w:r>
    </w:p>
  </w:footnote>
  <w:footnote w:type="continuationSeparator" w:id="0">
    <w:p w:rsidR="0082018D" w:rsidRDefault="0082018D">
      <w:r>
        <w:continuationSeparator/>
      </w:r>
    </w:p>
  </w:footnote>
  <w:footnote w:id="1">
    <w:p w:rsidR="0082018D" w:rsidRPr="00CD26D6" w:rsidRDefault="0082018D" w:rsidP="00362FE5">
      <w:pPr>
        <w:pStyle w:val="FootnoteText"/>
        <w:rPr>
          <w:sz w:val="16"/>
          <w:szCs w:val="16"/>
        </w:rPr>
      </w:pPr>
      <w:r>
        <w:rPr>
          <w:rStyle w:val="FootnoteReference"/>
        </w:rPr>
        <w:footnoteRef/>
      </w:r>
      <w:r>
        <w:t xml:space="preserve"> </w:t>
      </w:r>
      <w:r w:rsidRPr="00CD26D6">
        <w:rPr>
          <w:sz w:val="16"/>
          <w:szCs w:val="16"/>
        </w:rPr>
        <w:t>Consistent with past practice, countries with economies in transition are included for the purpose of the Program and Budget.</w:t>
      </w:r>
    </w:p>
  </w:footnote>
  <w:footnote w:id="2">
    <w:p w:rsidR="0082018D" w:rsidRDefault="0082018D" w:rsidP="00035B75">
      <w:pPr>
        <w:pStyle w:val="FootnoteText"/>
      </w:pPr>
      <w:r>
        <w:rPr>
          <w:rStyle w:val="FootnoteReference"/>
        </w:rPr>
        <w:footnoteRef/>
      </w:r>
      <w:r>
        <w:t xml:space="preserve"> </w:t>
      </w:r>
      <w:r w:rsidRPr="008853C7">
        <w:rPr>
          <w:sz w:val="16"/>
          <w:szCs w:val="16"/>
        </w:rPr>
        <w:t xml:space="preserve">Corrigendum: </w:t>
      </w:r>
      <w:r>
        <w:rPr>
          <w:sz w:val="16"/>
          <w:szCs w:val="16"/>
        </w:rPr>
        <w:t xml:space="preserve"> Due to a clerical error, t</w:t>
      </w:r>
      <w:r w:rsidRPr="008853C7">
        <w:rPr>
          <w:sz w:val="16"/>
          <w:szCs w:val="16"/>
        </w:rPr>
        <w:t xml:space="preserve">he total number of Contracting Parties at the end </w:t>
      </w:r>
      <w:r w:rsidRPr="00D26585">
        <w:rPr>
          <w:sz w:val="16"/>
          <w:szCs w:val="16"/>
        </w:rPr>
        <w:t>of</w:t>
      </w:r>
      <w:r>
        <w:rPr>
          <w:sz w:val="16"/>
          <w:szCs w:val="16"/>
        </w:rPr>
        <w:t xml:space="preserve"> </w:t>
      </w:r>
      <w:r w:rsidRPr="00D26585">
        <w:rPr>
          <w:sz w:val="16"/>
          <w:szCs w:val="16"/>
        </w:rPr>
        <w:t xml:space="preserve">2011 </w:t>
      </w:r>
      <w:r w:rsidRPr="007B1479">
        <w:rPr>
          <w:sz w:val="16"/>
          <w:szCs w:val="16"/>
        </w:rPr>
        <w:t xml:space="preserve">reported in the Program Performance </w:t>
      </w:r>
      <w:r>
        <w:rPr>
          <w:sz w:val="16"/>
          <w:szCs w:val="16"/>
        </w:rPr>
        <w:t>R</w:t>
      </w:r>
      <w:r w:rsidRPr="007B1479">
        <w:rPr>
          <w:sz w:val="16"/>
          <w:szCs w:val="16"/>
        </w:rPr>
        <w:t>eport 2012</w:t>
      </w:r>
      <w:r>
        <w:rPr>
          <w:sz w:val="16"/>
          <w:szCs w:val="16"/>
        </w:rPr>
        <w:t xml:space="preserve"> </w:t>
      </w:r>
      <w:r w:rsidRPr="00D26585">
        <w:rPr>
          <w:sz w:val="16"/>
          <w:szCs w:val="16"/>
        </w:rPr>
        <w:t>was 2</w:t>
      </w:r>
      <w:r>
        <w:rPr>
          <w:sz w:val="16"/>
          <w:szCs w:val="16"/>
        </w:rPr>
        <w:t xml:space="preserve">5, as opposed to the correct number of </w:t>
      </w:r>
      <w:proofErr w:type="gramStart"/>
      <w:r w:rsidRPr="008853C7">
        <w:rPr>
          <w:sz w:val="16"/>
          <w:szCs w:val="16"/>
        </w:rPr>
        <w:t>2</w:t>
      </w:r>
      <w:r>
        <w:rPr>
          <w:sz w:val="16"/>
          <w:szCs w:val="16"/>
        </w:rPr>
        <w:t>4</w:t>
      </w:r>
      <w:r w:rsidRPr="008853C7">
        <w:rPr>
          <w:sz w:val="16"/>
          <w:szCs w:val="16"/>
        </w:rPr>
        <w:t>,</w:t>
      </w:r>
      <w:proofErr w:type="gramEnd"/>
      <w:r w:rsidRPr="008853C7">
        <w:rPr>
          <w:sz w:val="16"/>
          <w:szCs w:val="16"/>
        </w:rPr>
        <w:t xml:space="preserve"> The updated baseline has therefore been amended</w:t>
      </w:r>
      <w:r>
        <w:rPr>
          <w:sz w:val="16"/>
          <w:szCs w:val="16"/>
        </w:rPr>
        <w:t xml:space="preserve"> accordingly</w:t>
      </w:r>
      <w:r w:rsidRPr="008853C7">
        <w:rPr>
          <w:sz w:val="16"/>
          <w:szCs w:val="16"/>
        </w:rPr>
        <w:t>.</w:t>
      </w:r>
    </w:p>
  </w:footnote>
  <w:footnote w:id="3">
    <w:p w:rsidR="0082018D" w:rsidRPr="00C83EEF" w:rsidRDefault="0082018D" w:rsidP="00595665">
      <w:pPr>
        <w:pStyle w:val="FootnoteText"/>
        <w:tabs>
          <w:tab w:val="left" w:pos="284"/>
        </w:tabs>
        <w:rPr>
          <w:sz w:val="16"/>
          <w:szCs w:val="16"/>
          <w:lang w:val="fr-FR" w:bidi="th-TH"/>
        </w:rPr>
      </w:pPr>
      <w:r>
        <w:rPr>
          <w:rStyle w:val="FootnoteReference"/>
        </w:rPr>
        <w:footnoteRef/>
      </w:r>
      <w:r>
        <w:rPr>
          <w:sz w:val="16"/>
          <w:szCs w:val="16"/>
          <w:lang w:val="fr-FR"/>
        </w:rPr>
        <w:tab/>
      </w:r>
      <w:r w:rsidRPr="00C83EEF">
        <w:rPr>
          <w:sz w:val="16"/>
          <w:szCs w:val="16"/>
          <w:lang w:val="fr-FR"/>
        </w:rPr>
        <w:t>SCCR</w:t>
      </w:r>
      <w:r>
        <w:rPr>
          <w:sz w:val="16"/>
          <w:szCs w:val="16"/>
          <w:lang w:val="fr-FR"/>
        </w:rPr>
        <w:t xml:space="preserve"> 24</w:t>
      </w:r>
      <w:proofErr w:type="gramStart"/>
      <w:r w:rsidRPr="00C83EEF">
        <w:rPr>
          <w:sz w:val="16"/>
          <w:szCs w:val="16"/>
          <w:lang w:val="fr-FR"/>
        </w:rPr>
        <w:t>:</w:t>
      </w:r>
      <w:r>
        <w:rPr>
          <w:sz w:val="16"/>
          <w:szCs w:val="16"/>
          <w:lang w:val="fr-FR"/>
        </w:rPr>
        <w:t xml:space="preserve">  </w:t>
      </w:r>
      <w:r w:rsidRPr="00595665">
        <w:rPr>
          <w:sz w:val="16"/>
          <w:szCs w:val="16"/>
          <w:lang w:val="fr-FR" w:bidi="th-TH"/>
        </w:rPr>
        <w:t>http</w:t>
      </w:r>
      <w:proofErr w:type="gramEnd"/>
      <w:r w:rsidRPr="00595665">
        <w:rPr>
          <w:sz w:val="16"/>
          <w:szCs w:val="16"/>
          <w:lang w:val="fr-FR" w:bidi="th-TH"/>
        </w:rPr>
        <w:t>://www.wipo.int/meetings/en/details.jsp?meeting_id=25014</w:t>
      </w:r>
      <w:r w:rsidRPr="00C83EEF">
        <w:rPr>
          <w:sz w:val="16"/>
          <w:szCs w:val="16"/>
          <w:lang w:val="fr-FR" w:bidi="th-TH"/>
        </w:rPr>
        <w:t xml:space="preserve">; </w:t>
      </w:r>
    </w:p>
    <w:p w:rsidR="0082018D" w:rsidRDefault="0082018D" w:rsidP="00595665">
      <w:pPr>
        <w:pStyle w:val="FootnoteText"/>
        <w:tabs>
          <w:tab w:val="left" w:pos="284"/>
        </w:tabs>
        <w:rPr>
          <w:sz w:val="16"/>
          <w:szCs w:val="16"/>
          <w:lang w:bidi="th-TH"/>
        </w:rPr>
      </w:pPr>
      <w:r w:rsidRPr="00620FD0">
        <w:rPr>
          <w:sz w:val="16"/>
          <w:szCs w:val="16"/>
          <w:lang w:val="fr-CH" w:bidi="th-TH"/>
        </w:rPr>
        <w:tab/>
      </w:r>
      <w:r w:rsidRPr="00437CE8">
        <w:rPr>
          <w:sz w:val="16"/>
          <w:szCs w:val="16"/>
          <w:lang w:bidi="th-TH"/>
        </w:rPr>
        <w:t>SCCR</w:t>
      </w:r>
      <w:r>
        <w:rPr>
          <w:sz w:val="16"/>
          <w:szCs w:val="16"/>
          <w:lang w:bidi="th-TH"/>
        </w:rPr>
        <w:t xml:space="preserve"> 25</w:t>
      </w:r>
      <w:r w:rsidRPr="00437CE8">
        <w:rPr>
          <w:sz w:val="16"/>
          <w:szCs w:val="16"/>
          <w:lang w:bidi="th-TH"/>
        </w:rPr>
        <w:t xml:space="preserve">: </w:t>
      </w:r>
      <w:r>
        <w:rPr>
          <w:sz w:val="16"/>
          <w:szCs w:val="16"/>
          <w:lang w:bidi="th-TH"/>
        </w:rPr>
        <w:t xml:space="preserve"> h</w:t>
      </w:r>
      <w:r w:rsidRPr="00437CE8">
        <w:rPr>
          <w:sz w:val="16"/>
          <w:szCs w:val="16"/>
          <w:lang w:bidi="th-TH"/>
        </w:rPr>
        <w:t>ttp://www.wipo.int/meetings/en/details.jsp?meeting_id=25024 ; and</w:t>
      </w:r>
      <w:r>
        <w:rPr>
          <w:sz w:val="16"/>
          <w:szCs w:val="16"/>
          <w:lang w:bidi="th-TH"/>
        </w:rPr>
        <w:t>,</w:t>
      </w:r>
      <w:r w:rsidRPr="00437CE8">
        <w:rPr>
          <w:sz w:val="16"/>
          <w:szCs w:val="16"/>
          <w:lang w:bidi="th-TH"/>
        </w:rPr>
        <w:t xml:space="preserve"> </w:t>
      </w:r>
    </w:p>
    <w:p w:rsidR="0082018D" w:rsidRPr="00C83EEF" w:rsidRDefault="0082018D" w:rsidP="00595665">
      <w:pPr>
        <w:pStyle w:val="FootnoteText"/>
        <w:tabs>
          <w:tab w:val="left" w:pos="284"/>
        </w:tabs>
        <w:rPr>
          <w:lang w:val="fr-FR"/>
        </w:rPr>
      </w:pPr>
      <w:r w:rsidRPr="00620FD0">
        <w:rPr>
          <w:sz w:val="16"/>
          <w:szCs w:val="16"/>
          <w:lang w:bidi="th-TH"/>
        </w:rPr>
        <w:tab/>
      </w:r>
      <w:r w:rsidRPr="00C83EEF">
        <w:rPr>
          <w:sz w:val="16"/>
          <w:szCs w:val="16"/>
          <w:lang w:val="fr-FR" w:bidi="th-TH"/>
        </w:rPr>
        <w:t>SCCR</w:t>
      </w:r>
      <w:r>
        <w:rPr>
          <w:sz w:val="16"/>
          <w:szCs w:val="16"/>
          <w:lang w:val="fr-FR" w:bidi="th-TH"/>
        </w:rPr>
        <w:t xml:space="preserve"> 26</w:t>
      </w:r>
      <w:proofErr w:type="gramStart"/>
      <w:r>
        <w:rPr>
          <w:sz w:val="16"/>
          <w:szCs w:val="16"/>
          <w:lang w:val="fr-FR" w:bidi="th-TH"/>
        </w:rPr>
        <w:t xml:space="preserve">:  </w:t>
      </w:r>
      <w:r w:rsidRPr="00C83EEF">
        <w:rPr>
          <w:sz w:val="16"/>
          <w:szCs w:val="16"/>
          <w:lang w:val="fr-FR" w:bidi="th-TH"/>
        </w:rPr>
        <w:t>http</w:t>
      </w:r>
      <w:proofErr w:type="gramEnd"/>
      <w:r w:rsidRPr="00C83EEF">
        <w:rPr>
          <w:sz w:val="16"/>
          <w:szCs w:val="16"/>
          <w:lang w:val="fr-FR" w:bidi="th-TH"/>
        </w:rPr>
        <w:t>://www.wipo.int/meetings/en/details.jsp?meeting_id=29944.</w:t>
      </w:r>
    </w:p>
  </w:footnote>
  <w:footnote w:id="4">
    <w:p w:rsidR="0082018D" w:rsidRDefault="0082018D" w:rsidP="00FC4F64">
      <w:pPr>
        <w:pStyle w:val="Footer"/>
      </w:pPr>
      <w:r w:rsidRPr="00032B99">
        <w:rPr>
          <w:rStyle w:val="FootnoteReference"/>
          <w:sz w:val="16"/>
          <w:szCs w:val="16"/>
        </w:rPr>
        <w:footnoteRef/>
      </w:r>
      <w:r w:rsidRPr="00032B99">
        <w:rPr>
          <w:rFonts w:cs="Arial"/>
          <w:sz w:val="16"/>
          <w:szCs w:val="16"/>
          <w:lang w:eastAsia="zh-CN" w:bidi="th-TH"/>
        </w:rPr>
        <w:t xml:space="preserve"> </w:t>
      </w:r>
      <w:r w:rsidRPr="00E57FD2">
        <w:rPr>
          <w:rFonts w:cs="Arial"/>
          <w:sz w:val="16"/>
          <w:szCs w:val="16"/>
          <w:lang w:eastAsia="zh-CN" w:bidi="th-TH"/>
        </w:rPr>
        <w:t>Source: WIPO Statistics Database, March 2014</w:t>
      </w:r>
    </w:p>
  </w:footnote>
  <w:footnote w:id="5">
    <w:p w:rsidR="0082018D" w:rsidRPr="00CC0816" w:rsidRDefault="0082018D" w:rsidP="00FC4F64">
      <w:pPr>
        <w:pStyle w:val="Footer"/>
        <w:rPr>
          <w:rFonts w:cs="Arial"/>
          <w:sz w:val="16"/>
          <w:szCs w:val="16"/>
        </w:rPr>
      </w:pPr>
      <w:r w:rsidRPr="00CC0816">
        <w:rPr>
          <w:rStyle w:val="FootnoteReference"/>
          <w:rFonts w:cs="Arial"/>
          <w:sz w:val="16"/>
          <w:szCs w:val="16"/>
        </w:rPr>
        <w:footnoteRef/>
      </w:r>
      <w:r w:rsidRPr="00CC0816">
        <w:rPr>
          <w:rFonts w:cs="Arial"/>
          <w:sz w:val="16"/>
          <w:szCs w:val="16"/>
        </w:rPr>
        <w:t xml:space="preserve"> </w:t>
      </w:r>
      <w:r w:rsidRPr="00CC0816">
        <w:rPr>
          <w:rFonts w:cs="Arial"/>
          <w:sz w:val="16"/>
          <w:szCs w:val="16"/>
          <w:lang w:eastAsia="zh-CN" w:bidi="th-TH"/>
        </w:rPr>
        <w:t xml:space="preserve">Please note that the national phase entries data are supplied to WIPO by national and regional patent </w:t>
      </w:r>
      <w:r>
        <w:rPr>
          <w:rFonts w:cs="Arial"/>
          <w:sz w:val="16"/>
          <w:szCs w:val="16"/>
          <w:lang w:eastAsia="zh-CN" w:bidi="th-TH"/>
        </w:rPr>
        <w:t>O</w:t>
      </w:r>
      <w:r w:rsidRPr="00CC0816">
        <w:rPr>
          <w:rFonts w:cs="Arial"/>
          <w:sz w:val="16"/>
          <w:szCs w:val="16"/>
          <w:lang w:eastAsia="zh-CN" w:bidi="th-TH"/>
        </w:rPr>
        <w:t xml:space="preserve">ffices several months after the end of each year. Therefore, at </w:t>
      </w:r>
      <w:r>
        <w:rPr>
          <w:rFonts w:cs="Arial"/>
          <w:sz w:val="16"/>
          <w:szCs w:val="16"/>
          <w:lang w:eastAsia="zh-CN" w:bidi="th-TH"/>
        </w:rPr>
        <w:t xml:space="preserve">the </w:t>
      </w:r>
      <w:r w:rsidRPr="00CC0816">
        <w:rPr>
          <w:rFonts w:cs="Arial"/>
          <w:sz w:val="16"/>
          <w:szCs w:val="16"/>
          <w:lang w:eastAsia="zh-CN" w:bidi="th-TH"/>
        </w:rPr>
        <w:t xml:space="preserve">beginning </w:t>
      </w:r>
      <w:r>
        <w:rPr>
          <w:rFonts w:cs="Arial"/>
          <w:sz w:val="16"/>
          <w:szCs w:val="16"/>
          <w:lang w:eastAsia="zh-CN" w:bidi="th-TH"/>
        </w:rPr>
        <w:t xml:space="preserve">of </w:t>
      </w:r>
      <w:r w:rsidRPr="00CC0816">
        <w:rPr>
          <w:rFonts w:cs="Arial"/>
          <w:sz w:val="16"/>
          <w:szCs w:val="16"/>
          <w:lang w:eastAsia="zh-CN" w:bidi="th-TH"/>
        </w:rPr>
        <w:t>2012</w:t>
      </w:r>
      <w:r>
        <w:rPr>
          <w:rFonts w:cs="Arial"/>
          <w:sz w:val="16"/>
          <w:szCs w:val="16"/>
          <w:lang w:eastAsia="zh-CN" w:bidi="th-TH"/>
        </w:rPr>
        <w:t>,</w:t>
      </w:r>
      <w:r w:rsidRPr="00CC0816">
        <w:rPr>
          <w:rFonts w:cs="Arial"/>
          <w:sz w:val="16"/>
          <w:szCs w:val="16"/>
          <w:lang w:eastAsia="zh-CN" w:bidi="th-TH"/>
        </w:rPr>
        <w:t xml:space="preserve"> the latest available data of national phase entries refer to 201</w:t>
      </w:r>
      <w:r>
        <w:rPr>
          <w:rFonts w:cs="Arial"/>
          <w:sz w:val="16"/>
          <w:szCs w:val="16"/>
          <w:lang w:eastAsia="zh-CN" w:bidi="th-TH"/>
        </w:rPr>
        <w:t>1</w:t>
      </w:r>
      <w:r w:rsidRPr="00CC0816">
        <w:rPr>
          <w:rFonts w:cs="Arial"/>
          <w:sz w:val="16"/>
          <w:szCs w:val="16"/>
          <w:lang w:eastAsia="zh-CN" w:bidi="th-TH"/>
        </w:rPr>
        <w:t>.</w:t>
      </w:r>
    </w:p>
  </w:footnote>
  <w:footnote w:id="6">
    <w:p w:rsidR="0082018D" w:rsidRPr="0099409F" w:rsidRDefault="0082018D" w:rsidP="00FC4F64">
      <w:pPr>
        <w:pStyle w:val="FootnoteText"/>
      </w:pPr>
      <w:r w:rsidRPr="00032B99">
        <w:rPr>
          <w:rStyle w:val="FootnoteReference"/>
          <w:sz w:val="16"/>
          <w:szCs w:val="16"/>
        </w:rPr>
        <w:footnoteRef/>
      </w:r>
      <w:r w:rsidRPr="00032B99">
        <w:rPr>
          <w:iCs/>
          <w:sz w:val="16"/>
          <w:szCs w:val="16"/>
        </w:rPr>
        <w:t>The unit cost for both 2012 and 2013 are calculated based on the revised unit cost methodology. The methodology was revised in 2013 to ensure consistency with the union costing.   </w:t>
      </w:r>
    </w:p>
  </w:footnote>
  <w:footnote w:id="7">
    <w:p w:rsidR="0082018D" w:rsidRPr="00F907A7" w:rsidRDefault="0082018D" w:rsidP="00FC4F64">
      <w:pPr>
        <w:tabs>
          <w:tab w:val="left" w:pos="284"/>
        </w:tabs>
        <w:spacing w:after="120"/>
        <w:ind w:left="284" w:hanging="284"/>
        <w:rPr>
          <w:sz w:val="16"/>
          <w:szCs w:val="16"/>
        </w:rPr>
      </w:pPr>
      <w:r>
        <w:rPr>
          <w:rStyle w:val="FootnoteReference"/>
        </w:rPr>
        <w:footnoteRef/>
      </w:r>
      <w:r>
        <w:rPr>
          <w:sz w:val="18"/>
        </w:rPr>
        <w:t xml:space="preserve"> </w:t>
      </w:r>
      <w:r>
        <w:rPr>
          <w:sz w:val="18"/>
        </w:rPr>
        <w:tab/>
      </w:r>
      <w:r w:rsidRPr="00F907A7">
        <w:rPr>
          <w:sz w:val="16"/>
          <w:szCs w:val="16"/>
        </w:rPr>
        <w:t xml:space="preserve">A record copy is a PCT application transmitted to the International Bureau by a receiving </w:t>
      </w:r>
      <w:r>
        <w:rPr>
          <w:sz w:val="16"/>
          <w:szCs w:val="16"/>
        </w:rPr>
        <w:t>O</w:t>
      </w:r>
      <w:r w:rsidRPr="00F907A7">
        <w:rPr>
          <w:sz w:val="16"/>
          <w:szCs w:val="16"/>
        </w:rPr>
        <w:t xml:space="preserve">ffice after its filing at, and </w:t>
      </w:r>
      <w:proofErr w:type="gramStart"/>
      <w:r w:rsidRPr="00F907A7">
        <w:rPr>
          <w:sz w:val="16"/>
          <w:szCs w:val="16"/>
        </w:rPr>
        <w:t>its</w:t>
      </w:r>
      <w:proofErr w:type="gramEnd"/>
      <w:r w:rsidRPr="00F907A7">
        <w:rPr>
          <w:sz w:val="16"/>
          <w:szCs w:val="16"/>
        </w:rPr>
        <w:t xml:space="preserve"> processing by, that </w:t>
      </w:r>
      <w:r>
        <w:rPr>
          <w:sz w:val="16"/>
          <w:szCs w:val="16"/>
        </w:rPr>
        <w:t>O</w:t>
      </w:r>
      <w:r w:rsidRPr="00F907A7">
        <w:rPr>
          <w:sz w:val="16"/>
          <w:szCs w:val="16"/>
        </w:rPr>
        <w:t>ffice.  B</w:t>
      </w:r>
      <w:r w:rsidRPr="00F907A7">
        <w:rPr>
          <w:sz w:val="16"/>
          <w:szCs w:val="16"/>
          <w:lang w:val="en-GB"/>
        </w:rPr>
        <w:t>ecause record copies are only received at the International Bureau after processing at a receiving Office, the figures are strongly influenced by processing times at the</w:t>
      </w:r>
      <w:r>
        <w:rPr>
          <w:sz w:val="16"/>
          <w:szCs w:val="16"/>
          <w:lang w:val="en-GB"/>
        </w:rPr>
        <w:t>se</w:t>
      </w:r>
      <w:r w:rsidRPr="00F907A7">
        <w:rPr>
          <w:sz w:val="16"/>
          <w:szCs w:val="16"/>
          <w:lang w:val="en-GB"/>
        </w:rPr>
        <w:t xml:space="preserve"> Offices. For this reason, trends in the receipt of record copies, while valid indicators of International Bureau workloads do no</w:t>
      </w:r>
      <w:r>
        <w:rPr>
          <w:sz w:val="16"/>
          <w:szCs w:val="16"/>
          <w:lang w:val="en-GB"/>
        </w:rPr>
        <w:t xml:space="preserve"> accurately match trends in the filing</w:t>
      </w:r>
      <w:r w:rsidRPr="00F907A7">
        <w:rPr>
          <w:sz w:val="16"/>
          <w:szCs w:val="16"/>
          <w:lang w:val="en-GB"/>
        </w:rPr>
        <w:t xml:space="preserve"> of PCT applications.</w:t>
      </w:r>
    </w:p>
  </w:footnote>
  <w:footnote w:id="8">
    <w:p w:rsidR="0082018D" w:rsidRPr="005D7AF6" w:rsidRDefault="0082018D" w:rsidP="00205A3D">
      <w:pPr>
        <w:pStyle w:val="FootnoteText"/>
        <w:rPr>
          <w:sz w:val="16"/>
          <w:szCs w:val="16"/>
        </w:rPr>
      </w:pPr>
      <w:r w:rsidRPr="005D7AF6">
        <w:rPr>
          <w:rStyle w:val="FootnoteReference"/>
          <w:sz w:val="16"/>
          <w:szCs w:val="16"/>
        </w:rPr>
        <w:footnoteRef/>
      </w:r>
      <w:r w:rsidRPr="005D7AF6">
        <w:rPr>
          <w:sz w:val="16"/>
          <w:szCs w:val="16"/>
        </w:rPr>
        <w:t xml:space="preserve"> Idem</w:t>
      </w:r>
    </w:p>
  </w:footnote>
  <w:footnote w:id="9">
    <w:p w:rsidR="0082018D" w:rsidRPr="005D7AF6" w:rsidRDefault="0082018D" w:rsidP="00205A3D">
      <w:pPr>
        <w:pStyle w:val="FootnoteText"/>
        <w:rPr>
          <w:sz w:val="16"/>
          <w:szCs w:val="16"/>
        </w:rPr>
      </w:pPr>
      <w:r w:rsidRPr="005D7AF6">
        <w:rPr>
          <w:rStyle w:val="FootnoteReference"/>
          <w:sz w:val="16"/>
          <w:szCs w:val="16"/>
        </w:rPr>
        <w:footnoteRef/>
      </w:r>
      <w:r w:rsidRPr="005D7AF6">
        <w:rPr>
          <w:sz w:val="16"/>
          <w:szCs w:val="16"/>
        </w:rPr>
        <w:t xml:space="preserve"> </w:t>
      </w:r>
      <w:r w:rsidRPr="005D7AF6">
        <w:rPr>
          <w:rFonts w:cs="Arial"/>
          <w:iCs/>
          <w:sz w:val="16"/>
          <w:szCs w:val="16"/>
        </w:rPr>
        <w:t xml:space="preserve">Per cent of irregularities related to </w:t>
      </w:r>
      <w:r>
        <w:rPr>
          <w:rFonts w:cs="Arial"/>
          <w:iCs/>
          <w:sz w:val="16"/>
          <w:szCs w:val="16"/>
        </w:rPr>
        <w:t>classifications</w:t>
      </w:r>
    </w:p>
  </w:footnote>
  <w:footnote w:id="10">
    <w:p w:rsidR="0082018D" w:rsidRDefault="0082018D" w:rsidP="00205A3D">
      <w:pPr>
        <w:pStyle w:val="FootnoteText"/>
      </w:pPr>
      <w:r>
        <w:rPr>
          <w:rStyle w:val="FootnoteReference"/>
        </w:rPr>
        <w:footnoteRef/>
      </w:r>
      <w:r>
        <w:t xml:space="preserve"> </w:t>
      </w:r>
      <w:r w:rsidRPr="00EF19A6">
        <w:rPr>
          <w:i/>
          <w:sz w:val="16"/>
          <w:szCs w:val="16"/>
        </w:rPr>
        <w:t>Corrigendum</w:t>
      </w:r>
      <w:r w:rsidRPr="00EF19A6">
        <w:rPr>
          <w:sz w:val="16"/>
          <w:szCs w:val="16"/>
        </w:rPr>
        <w:t>:</w:t>
      </w:r>
      <w:r>
        <w:rPr>
          <w:sz w:val="16"/>
          <w:szCs w:val="16"/>
        </w:rPr>
        <w:t xml:space="preserve">  Due to a discrepancy in the data criteria used to calculate the performance data for the Program Performance Report 2012, the published figure of 68 per cent was incorrect. </w:t>
      </w:r>
    </w:p>
  </w:footnote>
  <w:footnote w:id="11">
    <w:p w:rsidR="0082018D" w:rsidRDefault="0082018D" w:rsidP="00AF1291">
      <w:pPr>
        <w:pStyle w:val="FootnoteText"/>
      </w:pPr>
      <w:r>
        <w:rPr>
          <w:rStyle w:val="FootnoteReference"/>
        </w:rPr>
        <w:footnoteRef/>
      </w:r>
      <w:r>
        <w:t xml:space="preserve"> </w:t>
      </w:r>
      <w:r w:rsidRPr="00753A80">
        <w:rPr>
          <w:sz w:val="16"/>
          <w:szCs w:val="16"/>
        </w:rPr>
        <w:t>Corrigendum: The number of designations of developing countries and LDCs reported in the Program Performance Report 2012 (2,211</w:t>
      </w:r>
      <w:r w:rsidRPr="00E074BB">
        <w:rPr>
          <w:sz w:val="16"/>
          <w:szCs w:val="16"/>
        </w:rPr>
        <w:t xml:space="preserve">) </w:t>
      </w:r>
      <w:r w:rsidRPr="00753A80">
        <w:rPr>
          <w:sz w:val="16"/>
          <w:szCs w:val="16"/>
        </w:rPr>
        <w:t xml:space="preserve">has been </w:t>
      </w:r>
      <w:r>
        <w:rPr>
          <w:sz w:val="16"/>
          <w:szCs w:val="16"/>
        </w:rPr>
        <w:t>amended to include the figures for Niger, which were accidentally omitted in 2012 due to a clerical error.</w:t>
      </w:r>
      <w:r>
        <w:t xml:space="preserve"> </w:t>
      </w:r>
    </w:p>
  </w:footnote>
  <w:footnote w:id="12">
    <w:p w:rsidR="0082018D" w:rsidRPr="002F4E61" w:rsidRDefault="0082018D" w:rsidP="008B3E53">
      <w:pPr>
        <w:pStyle w:val="FootnoteText"/>
        <w:rPr>
          <w:sz w:val="16"/>
          <w:szCs w:val="16"/>
        </w:rPr>
      </w:pPr>
      <w:r w:rsidRPr="002F4E61">
        <w:rPr>
          <w:rStyle w:val="FootnoteReference"/>
          <w:sz w:val="16"/>
          <w:szCs w:val="16"/>
        </w:rPr>
        <w:footnoteRef/>
      </w:r>
      <w:r w:rsidRPr="002F4E61">
        <w:rPr>
          <w:sz w:val="16"/>
          <w:szCs w:val="16"/>
        </w:rPr>
        <w:t xml:space="preserve"> http://www.wipo.int/export/sites/www/amc/en/docs/surveyresults.pdf</w:t>
      </w:r>
    </w:p>
  </w:footnote>
  <w:footnote w:id="13">
    <w:p w:rsidR="0082018D" w:rsidRDefault="0082018D" w:rsidP="008B3E53">
      <w:pPr>
        <w:pStyle w:val="FootnoteText"/>
      </w:pPr>
      <w:r w:rsidRPr="002F4E61">
        <w:rPr>
          <w:sz w:val="16"/>
          <w:szCs w:val="16"/>
        </w:rPr>
        <w:footnoteRef/>
      </w:r>
      <w:r w:rsidRPr="002F4E61">
        <w:rPr>
          <w:sz w:val="16"/>
          <w:szCs w:val="16"/>
        </w:rPr>
        <w:t xml:space="preserve"> http://www.wipo.int/export/sites/www/amc/en/docs/lroreport.pdf</w:t>
      </w:r>
    </w:p>
  </w:footnote>
  <w:footnote w:id="14">
    <w:p w:rsidR="0082018D" w:rsidRPr="000D66A7" w:rsidRDefault="0082018D" w:rsidP="008B3E53">
      <w:pPr>
        <w:pStyle w:val="FootnoteText"/>
        <w:rPr>
          <w:sz w:val="16"/>
          <w:szCs w:val="16"/>
        </w:rPr>
      </w:pPr>
      <w:r w:rsidRPr="000D66A7">
        <w:rPr>
          <w:rStyle w:val="FootnoteReference"/>
          <w:sz w:val="16"/>
          <w:szCs w:val="16"/>
        </w:rPr>
        <w:footnoteRef/>
      </w:r>
      <w:r w:rsidRPr="000D66A7">
        <w:rPr>
          <w:sz w:val="16"/>
          <w:szCs w:val="16"/>
        </w:rPr>
        <w:t xml:space="preserve"> http://www.wipo.int/export/sites/www/amc/en/docs/surveyresults.pdf</w:t>
      </w:r>
    </w:p>
  </w:footnote>
  <w:footnote w:id="15">
    <w:p w:rsidR="0082018D" w:rsidRDefault="0082018D" w:rsidP="00D16EC9">
      <w:pPr>
        <w:pStyle w:val="FootnoteText"/>
        <w:tabs>
          <w:tab w:val="left" w:pos="284"/>
        </w:tabs>
        <w:rPr>
          <w:sz w:val="16"/>
          <w:szCs w:val="16"/>
        </w:rPr>
      </w:pPr>
      <w:r>
        <w:rPr>
          <w:rStyle w:val="FootnoteReference"/>
        </w:rPr>
        <w:footnoteRef/>
      </w:r>
      <w:r>
        <w:t xml:space="preserve"> </w:t>
      </w:r>
      <w:r>
        <w:tab/>
      </w:r>
      <w:hyperlink r:id="rId1" w:tooltip="http://www.wipo.int/meetings/en/doc_details.jsp?doc_id=208882" w:history="1">
        <w:r w:rsidRPr="00B56FE4">
          <w:rPr>
            <w:rStyle w:val="Hyperlink"/>
            <w:sz w:val="16"/>
            <w:szCs w:val="16"/>
          </w:rPr>
          <w:t>http://www.wipo.int/meetings/en/doc_details.jsp?doc_id=208882</w:t>
        </w:r>
      </w:hyperlink>
      <w:r>
        <w:rPr>
          <w:sz w:val="16"/>
          <w:szCs w:val="16"/>
        </w:rPr>
        <w:t xml:space="preserve"> and</w:t>
      </w:r>
    </w:p>
    <w:p w:rsidR="0082018D" w:rsidRDefault="0082018D" w:rsidP="00D16EC9">
      <w:pPr>
        <w:pStyle w:val="FootnoteText"/>
        <w:tabs>
          <w:tab w:val="left" w:pos="284"/>
        </w:tabs>
      </w:pPr>
      <w:r>
        <w:rPr>
          <w:sz w:val="16"/>
          <w:szCs w:val="16"/>
        </w:rPr>
        <w:tab/>
      </w:r>
      <w:hyperlink r:id="rId2" w:history="1">
        <w:r w:rsidRPr="00F527AD">
          <w:rPr>
            <w:rStyle w:val="Hyperlink"/>
            <w:sz w:val="16"/>
            <w:szCs w:val="16"/>
          </w:rPr>
          <w:t>http://www.wipo.int/meetings/en/doc_details.jsp?doc_id=239806</w:t>
        </w:r>
      </w:hyperlink>
      <w:r>
        <w:rPr>
          <w:sz w:val="16"/>
          <w:szCs w:val="16"/>
        </w:rPr>
        <w:t xml:space="preserve"> </w:t>
      </w:r>
    </w:p>
  </w:footnote>
  <w:footnote w:id="16">
    <w:p w:rsidR="0082018D" w:rsidRDefault="0082018D" w:rsidP="008B3E53">
      <w:pPr>
        <w:pStyle w:val="FootnoteText"/>
      </w:pPr>
    </w:p>
  </w:footnote>
  <w:footnote w:id="17">
    <w:p w:rsidR="0082018D" w:rsidRDefault="0082018D" w:rsidP="001926FB">
      <w:pPr>
        <w:pStyle w:val="FootnoteText"/>
      </w:pPr>
      <w:r>
        <w:rPr>
          <w:rStyle w:val="FootnoteReference"/>
        </w:rPr>
        <w:footnoteRef/>
      </w:r>
      <w:r>
        <w:t xml:space="preserve"> </w:t>
      </w:r>
      <w:hyperlink r:id="rId3" w:history="1">
        <w:r w:rsidRPr="001926FB">
          <w:rPr>
            <w:rStyle w:val="Hyperlink"/>
            <w:sz w:val="16"/>
            <w:szCs w:val="16"/>
          </w:rPr>
          <w:t>http://www.wipo.int/tad/en/</w:t>
        </w:r>
      </w:hyperlink>
    </w:p>
  </w:footnote>
  <w:footnote w:id="18">
    <w:p w:rsidR="0082018D" w:rsidRDefault="0082018D">
      <w:pPr>
        <w:pStyle w:val="FootnoteText"/>
      </w:pPr>
      <w:r>
        <w:rPr>
          <w:rStyle w:val="FootnoteReference"/>
        </w:rPr>
        <w:footnoteRef/>
      </w:r>
      <w:r>
        <w:t xml:space="preserve"> </w:t>
      </w:r>
      <w:hyperlink r:id="rId4" w:history="1">
        <w:r w:rsidRPr="001926FB">
          <w:rPr>
            <w:rStyle w:val="Hyperlink"/>
            <w:sz w:val="16"/>
            <w:szCs w:val="16"/>
          </w:rPr>
          <w:t>http://www.wipo.int/roc/en/</w:t>
        </w:r>
      </w:hyperlink>
    </w:p>
  </w:footnote>
  <w:footnote w:id="19">
    <w:p w:rsidR="0082018D" w:rsidRDefault="0082018D">
      <w:pPr>
        <w:pStyle w:val="FootnoteText"/>
      </w:pPr>
      <w:r>
        <w:rPr>
          <w:rStyle w:val="FootnoteReference"/>
        </w:rPr>
        <w:footnoteRef/>
      </w:r>
      <w:r>
        <w:t xml:space="preserve"> </w:t>
      </w:r>
      <w:hyperlink r:id="rId5" w:history="1">
        <w:r w:rsidRPr="001926FB">
          <w:rPr>
            <w:rStyle w:val="Hyperlink"/>
            <w:sz w:val="16"/>
            <w:szCs w:val="16"/>
          </w:rPr>
          <w:t>www.wipo.int/dmd</w:t>
        </w:r>
      </w:hyperlink>
    </w:p>
  </w:footnote>
  <w:footnote w:id="20">
    <w:p w:rsidR="0082018D" w:rsidRPr="000C6F16" w:rsidRDefault="0082018D" w:rsidP="00C215DD">
      <w:pPr>
        <w:pStyle w:val="FootnoteText"/>
        <w:rPr>
          <w:sz w:val="16"/>
          <w:szCs w:val="16"/>
        </w:rPr>
      </w:pPr>
      <w:r w:rsidRPr="00B91745">
        <w:rPr>
          <w:rStyle w:val="FootnoteReference"/>
          <w:sz w:val="16"/>
          <w:szCs w:val="16"/>
        </w:rPr>
        <w:footnoteRef/>
      </w:r>
      <w:r w:rsidRPr="00B91745">
        <w:rPr>
          <w:sz w:val="16"/>
          <w:szCs w:val="16"/>
        </w:rPr>
        <w:t xml:space="preserve"> Corrigendum: The updated baseline figures for the Africa and Arab regions were inverted in the publication of the Program Performanc</w:t>
      </w:r>
      <w:r>
        <w:rPr>
          <w:sz w:val="16"/>
          <w:szCs w:val="16"/>
        </w:rPr>
        <w:t>e Report for 2012 (WO/PBC/2012).  These figures have now been corrected.</w:t>
      </w:r>
      <w:r w:rsidRPr="000C6F16">
        <w:rPr>
          <w:sz w:val="16"/>
          <w:szCs w:val="16"/>
        </w:rPr>
        <w:t xml:space="preserve"> </w:t>
      </w:r>
    </w:p>
  </w:footnote>
  <w:footnote w:id="21">
    <w:p w:rsidR="0082018D" w:rsidRDefault="0082018D">
      <w:pPr>
        <w:pStyle w:val="FootnoteText"/>
      </w:pPr>
      <w:r>
        <w:rPr>
          <w:rStyle w:val="FootnoteReference"/>
        </w:rPr>
        <w:footnoteRef/>
      </w:r>
      <w:r>
        <w:t xml:space="preserve"> </w:t>
      </w:r>
      <w:r w:rsidRPr="006A189C">
        <w:rPr>
          <w:rFonts w:cs="Arial"/>
          <w:sz w:val="16"/>
          <w:szCs w:val="16"/>
          <w:lang w:eastAsia="zh-CN" w:bidi="th-TH"/>
        </w:rPr>
        <w:t>The target of eight TTOs refers to all regions.</w:t>
      </w:r>
    </w:p>
  </w:footnote>
  <w:footnote w:id="22">
    <w:p w:rsidR="0082018D" w:rsidRDefault="0082018D" w:rsidP="005660B2">
      <w:pPr>
        <w:pStyle w:val="FootnoteText"/>
      </w:pPr>
      <w:r>
        <w:rPr>
          <w:rStyle w:val="FootnoteReference"/>
        </w:rPr>
        <w:footnoteRef/>
      </w:r>
      <w:r>
        <w:t xml:space="preserve"> </w:t>
      </w:r>
      <w:r w:rsidRPr="00B62C99">
        <w:rPr>
          <w:sz w:val="16"/>
          <w:szCs w:val="16"/>
        </w:rPr>
        <w:t>Corrigendum: The four pilot countries are Colombia, the Dominican Republic, Peru and Tunisia and not Ecuador</w:t>
      </w:r>
      <w:r>
        <w:rPr>
          <w:sz w:val="16"/>
          <w:szCs w:val="16"/>
        </w:rPr>
        <w:t>,</w:t>
      </w:r>
      <w:r w:rsidRPr="00B62C99">
        <w:rPr>
          <w:sz w:val="16"/>
          <w:szCs w:val="16"/>
        </w:rPr>
        <w:t xml:space="preserve"> as reported in the Program and Performance Report 2012.</w:t>
      </w:r>
    </w:p>
  </w:footnote>
  <w:footnote w:id="23">
    <w:p w:rsidR="0082018D" w:rsidRDefault="0082018D" w:rsidP="005660B2">
      <w:pPr>
        <w:pStyle w:val="FootnoteText"/>
      </w:pPr>
      <w:r>
        <w:rPr>
          <w:rStyle w:val="FootnoteReference"/>
        </w:rPr>
        <w:footnoteRef/>
      </w:r>
      <w:r>
        <w:t xml:space="preserve"> </w:t>
      </w:r>
      <w:r>
        <w:rPr>
          <w:rFonts w:cs="Arial"/>
          <w:sz w:val="16"/>
          <w:szCs w:val="16"/>
          <w:lang w:bidi="th-TH"/>
        </w:rPr>
        <w:t>The target has been established on a yearly basis.</w:t>
      </w:r>
    </w:p>
  </w:footnote>
  <w:footnote w:id="24">
    <w:p w:rsidR="0082018D" w:rsidRDefault="0082018D" w:rsidP="005660B2">
      <w:pPr>
        <w:pStyle w:val="FootnoteText"/>
      </w:pPr>
    </w:p>
  </w:footnote>
  <w:footnote w:id="25">
    <w:p w:rsidR="0082018D" w:rsidRPr="00CA3F49" w:rsidRDefault="0082018D" w:rsidP="005660B2">
      <w:pPr>
        <w:pStyle w:val="FootnoteText"/>
        <w:rPr>
          <w:sz w:val="16"/>
          <w:szCs w:val="16"/>
        </w:rPr>
      </w:pPr>
      <w:r w:rsidRPr="00CA3F49">
        <w:rPr>
          <w:rStyle w:val="FootnoteReference"/>
          <w:sz w:val="16"/>
          <w:szCs w:val="16"/>
        </w:rPr>
        <w:footnoteRef/>
      </w:r>
      <w:r w:rsidRPr="00CA3F49">
        <w:rPr>
          <w:sz w:val="16"/>
          <w:szCs w:val="16"/>
        </w:rPr>
        <w:t xml:space="preserve"> </w:t>
      </w:r>
      <w:hyperlink r:id="rId6" w:history="1">
        <w:r w:rsidRPr="00CA3F49">
          <w:rPr>
            <w:rStyle w:val="Hyperlink"/>
            <w:rFonts w:cs="Arial"/>
            <w:sz w:val="16"/>
            <w:szCs w:val="16"/>
          </w:rPr>
          <w:t>http://etisc.wipo.org</w:t>
        </w:r>
      </w:hyperlink>
    </w:p>
  </w:footnote>
  <w:footnote w:id="26">
    <w:p w:rsidR="0082018D" w:rsidRDefault="0082018D" w:rsidP="005660B2">
      <w:pPr>
        <w:pStyle w:val="FootnoteText"/>
      </w:pPr>
      <w:r w:rsidRPr="00CA3F49">
        <w:rPr>
          <w:rStyle w:val="Hyperlink"/>
          <w:rFonts w:cs="Arial"/>
          <w:sz w:val="16"/>
          <w:szCs w:val="16"/>
          <w:vertAlign w:val="superscript"/>
        </w:rPr>
        <w:footnoteRef/>
      </w:r>
      <w:r w:rsidRPr="004333D3">
        <w:rPr>
          <w:rStyle w:val="Hyperlink"/>
          <w:rFonts w:cs="Arial"/>
          <w:sz w:val="16"/>
          <w:szCs w:val="16"/>
        </w:rPr>
        <w:t xml:space="preserve"> </w:t>
      </w:r>
      <w:hyperlink r:id="rId7" w:history="1">
        <w:r w:rsidRPr="004333D3">
          <w:rPr>
            <w:rStyle w:val="Hyperlink"/>
            <w:rFonts w:cs="Arial"/>
            <w:sz w:val="16"/>
            <w:szCs w:val="16"/>
          </w:rPr>
          <w:t>http://www.wipo.int/tisc/etutorial</w:t>
        </w:r>
      </w:hyperlink>
    </w:p>
  </w:footnote>
  <w:footnote w:id="27">
    <w:p w:rsidR="0082018D" w:rsidRDefault="0082018D" w:rsidP="005660B2">
      <w:pPr>
        <w:pStyle w:val="FootnoteText"/>
      </w:pPr>
      <w:r w:rsidRPr="00E907C9">
        <w:rPr>
          <w:rStyle w:val="Hyperlink"/>
          <w:rFonts w:cs="Arial"/>
          <w:sz w:val="16"/>
          <w:szCs w:val="16"/>
          <w:vertAlign w:val="superscript"/>
        </w:rPr>
        <w:footnoteRef/>
      </w:r>
      <w:r w:rsidRPr="00E907C9">
        <w:rPr>
          <w:rStyle w:val="Hyperlink"/>
          <w:rFonts w:cs="Arial"/>
          <w:sz w:val="16"/>
          <w:szCs w:val="16"/>
          <w:vertAlign w:val="superscript"/>
        </w:rPr>
        <w:t xml:space="preserve"> </w:t>
      </w:r>
      <w:hyperlink r:id="rId8" w:history="1">
        <w:r w:rsidRPr="00CA3F49">
          <w:rPr>
            <w:rStyle w:val="Hyperlink"/>
            <w:rFonts w:cs="Arial"/>
            <w:sz w:val="16"/>
            <w:szCs w:val="16"/>
          </w:rPr>
          <w:t>http://www.wipo.int/tisc/fr/etutorial</w:t>
        </w:r>
      </w:hyperlink>
    </w:p>
  </w:footnote>
  <w:footnote w:id="28">
    <w:p w:rsidR="0082018D" w:rsidRPr="00B91745" w:rsidRDefault="0082018D" w:rsidP="005660B2">
      <w:pPr>
        <w:pStyle w:val="FootnoteText"/>
        <w:rPr>
          <w:sz w:val="16"/>
          <w:szCs w:val="16"/>
        </w:rPr>
      </w:pPr>
      <w:r w:rsidRPr="00B91745">
        <w:rPr>
          <w:rStyle w:val="FootnoteReference"/>
          <w:sz w:val="16"/>
          <w:szCs w:val="16"/>
        </w:rPr>
        <w:footnoteRef/>
      </w:r>
      <w:r w:rsidRPr="00B91745">
        <w:rPr>
          <w:sz w:val="16"/>
          <w:szCs w:val="16"/>
        </w:rPr>
        <w:t xml:space="preserve"> http://www.wipo.int/export/sites/www/freepublications/en/patents/948/wipo_pub_948_4.pdf</w:t>
      </w:r>
    </w:p>
  </w:footnote>
  <w:footnote w:id="29">
    <w:p w:rsidR="0082018D" w:rsidRPr="000C6F16" w:rsidRDefault="0082018D" w:rsidP="00FC59CA">
      <w:pPr>
        <w:pStyle w:val="FootnoteText"/>
        <w:rPr>
          <w:sz w:val="16"/>
          <w:szCs w:val="16"/>
        </w:rPr>
      </w:pPr>
      <w:r w:rsidRPr="00B91745">
        <w:rPr>
          <w:rStyle w:val="FootnoteReference"/>
          <w:sz w:val="16"/>
          <w:szCs w:val="16"/>
        </w:rPr>
        <w:footnoteRef/>
      </w:r>
      <w:r w:rsidRPr="00B91745">
        <w:rPr>
          <w:sz w:val="16"/>
          <w:szCs w:val="16"/>
        </w:rPr>
        <w:t xml:space="preserve"> Corrigendum: </w:t>
      </w:r>
      <w:r>
        <w:rPr>
          <w:sz w:val="16"/>
          <w:szCs w:val="16"/>
        </w:rPr>
        <w:t xml:space="preserve"> </w:t>
      </w:r>
      <w:r w:rsidRPr="00B91745">
        <w:rPr>
          <w:sz w:val="16"/>
          <w:szCs w:val="16"/>
        </w:rPr>
        <w:t>The updated baseline figures for the Africa and Arab regions were inverted in the publication of the Program Performanc</w:t>
      </w:r>
      <w:r>
        <w:rPr>
          <w:sz w:val="16"/>
          <w:szCs w:val="16"/>
        </w:rPr>
        <w:t>e Report for 2012 (WO/PBC/2012).  These figures have now been corrected.</w:t>
      </w:r>
      <w:r w:rsidRPr="000C6F16">
        <w:rPr>
          <w:sz w:val="16"/>
          <w:szCs w:val="16"/>
        </w:rPr>
        <w:t xml:space="preserve"> </w:t>
      </w:r>
    </w:p>
  </w:footnote>
  <w:footnote w:id="30">
    <w:p w:rsidR="0082018D" w:rsidRDefault="0082018D" w:rsidP="00B16DCB">
      <w:pPr>
        <w:pStyle w:val="FootnoteText"/>
      </w:pPr>
      <w:r>
        <w:rPr>
          <w:rStyle w:val="FootnoteReference"/>
        </w:rPr>
        <w:footnoteRef/>
      </w:r>
      <w:r>
        <w:t xml:space="preserve"> </w:t>
      </w:r>
      <w:proofErr w:type="gramStart"/>
      <w:r w:rsidRPr="00083772">
        <w:rPr>
          <w:sz w:val="16"/>
          <w:szCs w:val="16"/>
        </w:rPr>
        <w:t>Fifty Offices out of a total of 80 Offices to be fully automated.</w:t>
      </w:r>
      <w:proofErr w:type="gramEnd"/>
      <w:r w:rsidRPr="00083772">
        <w:rPr>
          <w:sz w:val="16"/>
          <w:szCs w:val="16"/>
        </w:rPr>
        <w:t xml:space="preserve"> </w:t>
      </w:r>
    </w:p>
  </w:footnote>
  <w:footnote w:id="31">
    <w:p w:rsidR="0082018D" w:rsidRPr="0027745B" w:rsidRDefault="0082018D" w:rsidP="00E07DEB">
      <w:pPr>
        <w:pStyle w:val="FootnoteText"/>
        <w:rPr>
          <w:rFonts w:cs="Arial"/>
          <w:sz w:val="16"/>
          <w:szCs w:val="16"/>
        </w:rPr>
      </w:pPr>
      <w:r w:rsidRPr="0027745B">
        <w:rPr>
          <w:rStyle w:val="FootnoteReference"/>
          <w:rFonts w:cs="Arial"/>
          <w:sz w:val="16"/>
          <w:szCs w:val="16"/>
        </w:rPr>
        <w:footnoteRef/>
      </w:r>
      <w:r w:rsidRPr="0027745B">
        <w:rPr>
          <w:rFonts w:cs="Arial"/>
          <w:sz w:val="16"/>
          <w:szCs w:val="16"/>
        </w:rPr>
        <w:t xml:space="preserve"> Baselines and targets for the Performance Indicators could not be established due to the absence of a reliable web-based statistical tracking tool.</w:t>
      </w:r>
    </w:p>
  </w:footnote>
  <w:footnote w:id="32">
    <w:p w:rsidR="0082018D" w:rsidRPr="0027745B" w:rsidRDefault="0082018D" w:rsidP="00E07DEB">
      <w:pPr>
        <w:pStyle w:val="FootnoteText"/>
        <w:rPr>
          <w:rFonts w:cs="Arial"/>
          <w:sz w:val="16"/>
          <w:szCs w:val="16"/>
        </w:rPr>
      </w:pPr>
      <w:r w:rsidRPr="0027745B">
        <w:rPr>
          <w:rStyle w:val="FootnoteReference"/>
          <w:rFonts w:cs="Arial"/>
          <w:sz w:val="16"/>
          <w:szCs w:val="16"/>
        </w:rPr>
        <w:footnoteRef/>
      </w:r>
      <w:r w:rsidRPr="0027745B">
        <w:rPr>
          <w:rFonts w:cs="Arial"/>
          <w:sz w:val="16"/>
          <w:szCs w:val="16"/>
        </w:rPr>
        <w:t xml:space="preserve"> http://www.wipo.int/export/sites/www/freepublications/en/intproperty/941/wipo_pub_941_2013.pdf</w:t>
      </w:r>
    </w:p>
  </w:footnote>
  <w:footnote w:id="33">
    <w:p w:rsidR="0082018D" w:rsidRPr="0027745B" w:rsidRDefault="0082018D" w:rsidP="00E07DEB">
      <w:pPr>
        <w:pStyle w:val="FootnoteText"/>
        <w:rPr>
          <w:rFonts w:cs="Arial"/>
        </w:rPr>
      </w:pPr>
      <w:r w:rsidRPr="0027745B">
        <w:rPr>
          <w:rStyle w:val="FootnoteReference"/>
          <w:rFonts w:cs="Arial"/>
          <w:sz w:val="16"/>
          <w:szCs w:val="16"/>
        </w:rPr>
        <w:footnoteRef/>
      </w:r>
      <w:r w:rsidRPr="0027745B">
        <w:rPr>
          <w:rFonts w:cs="Arial"/>
          <w:sz w:val="16"/>
          <w:szCs w:val="16"/>
        </w:rPr>
        <w:t xml:space="preserve"> http://www.wipo.int/export/sites/www/freepublications/en/statistics/943/wipo_pub_943_2013.pdf</w:t>
      </w:r>
    </w:p>
  </w:footnote>
  <w:footnote w:id="34">
    <w:p w:rsidR="0082018D" w:rsidRPr="0027745B" w:rsidRDefault="0082018D" w:rsidP="00E07DEB">
      <w:pPr>
        <w:pStyle w:val="FootnoteText"/>
        <w:rPr>
          <w:rFonts w:cs="Arial"/>
          <w:sz w:val="16"/>
          <w:szCs w:val="16"/>
        </w:rPr>
      </w:pPr>
      <w:r w:rsidRPr="0027745B">
        <w:rPr>
          <w:rStyle w:val="FootnoteReference"/>
          <w:rFonts w:cs="Arial"/>
          <w:sz w:val="16"/>
          <w:szCs w:val="16"/>
        </w:rPr>
        <w:footnoteRef/>
      </w:r>
      <w:r w:rsidRPr="0027745B">
        <w:rPr>
          <w:rFonts w:cs="Arial"/>
          <w:sz w:val="16"/>
          <w:szCs w:val="16"/>
        </w:rPr>
        <w:t xml:space="preserve"> http://www.wipo.int/export/sites/www/freepublications/en/intproperty/944/wipo_pub_944_2013.pdf</w:t>
      </w:r>
    </w:p>
  </w:footnote>
  <w:footnote w:id="35">
    <w:p w:rsidR="0082018D" w:rsidRPr="00AD6BA6" w:rsidRDefault="0082018D" w:rsidP="00DD50EB">
      <w:pPr>
        <w:pStyle w:val="FootnoteText"/>
        <w:rPr>
          <w:rFonts w:cs="Arial"/>
          <w:sz w:val="16"/>
          <w:szCs w:val="16"/>
        </w:rPr>
      </w:pPr>
      <w:r w:rsidRPr="00AD6BA6">
        <w:rPr>
          <w:rStyle w:val="FootnoteReference"/>
          <w:rFonts w:cs="Arial"/>
          <w:sz w:val="16"/>
          <w:szCs w:val="16"/>
        </w:rPr>
        <w:footnoteRef/>
      </w:r>
      <w:r w:rsidRPr="00AD6BA6">
        <w:rPr>
          <w:rFonts w:cs="Arial"/>
          <w:sz w:val="16"/>
          <w:szCs w:val="16"/>
        </w:rPr>
        <w:t xml:space="preserve"> http://www.wipo.int/policy/en/global_health/trilateral_cooperation.html</w:t>
      </w:r>
    </w:p>
  </w:footnote>
  <w:footnote w:id="36">
    <w:p w:rsidR="0082018D" w:rsidRPr="001D5129" w:rsidRDefault="0082018D" w:rsidP="00DD50EB">
      <w:pPr>
        <w:pStyle w:val="FootnoteText"/>
        <w:rPr>
          <w:rFonts w:cs="Arial"/>
          <w:sz w:val="16"/>
          <w:szCs w:val="16"/>
        </w:rPr>
      </w:pPr>
      <w:r w:rsidRPr="001D5129">
        <w:rPr>
          <w:rStyle w:val="FootnoteReference"/>
          <w:rFonts w:cs="Arial"/>
          <w:sz w:val="16"/>
          <w:szCs w:val="16"/>
        </w:rPr>
        <w:footnoteRef/>
      </w:r>
      <w:r w:rsidRPr="001D5129">
        <w:rPr>
          <w:rFonts w:cs="Arial"/>
          <w:sz w:val="16"/>
          <w:szCs w:val="16"/>
        </w:rPr>
        <w:t xml:space="preserve"> http://www.wipo.int/policy/en/global_health/trilateral_cooperation.html</w:t>
      </w:r>
    </w:p>
  </w:footnote>
  <w:footnote w:id="37">
    <w:p w:rsidR="0082018D" w:rsidRDefault="0082018D" w:rsidP="00DD50EB">
      <w:pPr>
        <w:pStyle w:val="FootnoteText"/>
      </w:pPr>
      <w:r>
        <w:rPr>
          <w:rStyle w:val="FootnoteReference"/>
        </w:rPr>
        <w:footnoteRef/>
      </w:r>
      <w:r>
        <w:t xml:space="preserve"> </w:t>
      </w:r>
      <w:r w:rsidRPr="00864A61">
        <w:rPr>
          <w:sz w:val="16"/>
          <w:szCs w:val="16"/>
        </w:rPr>
        <w:t xml:space="preserve">Corrigendum: Although 13 collaborations were in process by the end of 2012 (as reported in the Program and Performance Report 2012), two collaborations had </w:t>
      </w:r>
      <w:r>
        <w:rPr>
          <w:sz w:val="16"/>
          <w:szCs w:val="16"/>
        </w:rPr>
        <w:t xml:space="preserve">actually </w:t>
      </w:r>
      <w:r w:rsidRPr="00864A61">
        <w:rPr>
          <w:sz w:val="16"/>
          <w:szCs w:val="16"/>
        </w:rPr>
        <w:t>only entered into the Non-disclosure Agreement.  The actual collaboration agreement was only signed in 2013.  As such, the data has been amended accordingly.</w:t>
      </w:r>
      <w:r>
        <w:t xml:space="preserve"> </w:t>
      </w:r>
    </w:p>
  </w:footnote>
  <w:footnote w:id="38">
    <w:p w:rsidR="0082018D" w:rsidRPr="005170DA" w:rsidRDefault="0082018D" w:rsidP="000B5438">
      <w:pPr>
        <w:pStyle w:val="FootnoteText"/>
        <w:rPr>
          <w:rFonts w:cs="Arial"/>
          <w:sz w:val="16"/>
          <w:szCs w:val="16"/>
        </w:rPr>
      </w:pPr>
    </w:p>
  </w:footnote>
  <w:footnote w:id="39">
    <w:p w:rsidR="0082018D" w:rsidRDefault="0082018D" w:rsidP="000B5438">
      <w:pPr>
        <w:pStyle w:val="FootnoteText"/>
        <w:rPr>
          <w:sz w:val="18"/>
          <w:szCs w:val="18"/>
        </w:rPr>
      </w:pPr>
      <w:r>
        <w:rPr>
          <w:rStyle w:val="FootnoteReference"/>
        </w:rPr>
        <w:t>[1]</w:t>
      </w:r>
      <w:r>
        <w:t xml:space="preserve"> </w:t>
      </w:r>
      <w:r>
        <w:rPr>
          <w:sz w:val="16"/>
          <w:szCs w:val="16"/>
        </w:rPr>
        <w:t>An average of the responses to the Core Values Survey pertaining to WIPO staff perception of internal service orientation (51.4 per cent) and external service orientation (61.5 per cent) as excellent or good as per the 2012 SRP Results Framework (</w:t>
      </w:r>
      <w:hyperlink r:id="rId9" w:tooltip="http://www.wipo.int/about-wipo/en/strategic_realignment/results_framework.html" w:history="1">
        <w:r>
          <w:rPr>
            <w:rStyle w:val="Hyperlink"/>
            <w:sz w:val="16"/>
            <w:szCs w:val="16"/>
          </w:rPr>
          <w:t>http://www.wipo.int/about-wipo/en/strategic_realignment/results_framework.html</w:t>
        </w:r>
      </w:hyperlink>
      <w:r>
        <w:rPr>
          <w:sz w:val="16"/>
          <w:szCs w:val="16"/>
        </w:rPr>
        <w:t>)</w:t>
      </w:r>
    </w:p>
  </w:footnote>
  <w:footnote w:id="40">
    <w:p w:rsidR="0082018D" w:rsidRDefault="0082018D" w:rsidP="000B5438">
      <w:pPr>
        <w:pStyle w:val="FootnoteText"/>
      </w:pPr>
      <w:r>
        <w:rPr>
          <w:rStyle w:val="FootnoteReference"/>
        </w:rPr>
        <w:t>[2]</w:t>
      </w:r>
      <w:r>
        <w:t xml:space="preserve"> </w:t>
      </w:r>
      <w:r>
        <w:rPr>
          <w:sz w:val="16"/>
          <w:szCs w:val="16"/>
        </w:rPr>
        <w:t>An average of the responses to the Core Values Survey questions pertaining to ethics (70.3%) and the environment (69.8 per cent) as per the 2012 SRP Results Framework (</w:t>
      </w:r>
      <w:hyperlink r:id="rId10" w:tooltip="http://www.wipo.int/about-wipo/en/strategic_realignment/results_framework.html" w:history="1">
        <w:r>
          <w:rPr>
            <w:rStyle w:val="Hyperlink"/>
            <w:sz w:val="16"/>
            <w:szCs w:val="16"/>
          </w:rPr>
          <w:t>http://www.wipo.int/about-wipo/en/strategic_realignment/results_framework.html</w:t>
        </w:r>
      </w:hyperlink>
      <w:r>
        <w:rPr>
          <w:sz w:val="16"/>
          <w:szCs w:val="16"/>
        </w:rPr>
        <w:t>)</w:t>
      </w:r>
    </w:p>
  </w:footnote>
  <w:footnote w:id="41">
    <w:p w:rsidR="0082018D" w:rsidRPr="00C30432" w:rsidRDefault="0082018D" w:rsidP="006B07F6">
      <w:pPr>
        <w:pStyle w:val="FootnoteText"/>
      </w:pPr>
      <w:r>
        <w:rPr>
          <w:rStyle w:val="FootnoteReference"/>
        </w:rPr>
        <w:footnoteRef/>
      </w:r>
      <w:r>
        <w:t xml:space="preserve"> </w:t>
      </w:r>
      <w:r w:rsidRPr="00C30432">
        <w:rPr>
          <w:rFonts w:cs="Arial"/>
          <w:sz w:val="16"/>
          <w:szCs w:val="16"/>
        </w:rPr>
        <w:t xml:space="preserve">Previously rated as a “very high risk” - </w:t>
      </w:r>
      <w:r w:rsidRPr="00E4361E">
        <w:rPr>
          <w:rFonts w:cs="Arial"/>
          <w:sz w:val="16"/>
          <w:szCs w:val="16"/>
        </w:rPr>
        <w:t>WO/PBC/19/10 from July 31,2012 – paragraph 30 and 40</w:t>
      </w:r>
    </w:p>
  </w:footnote>
  <w:footnote w:id="42">
    <w:p w:rsidR="0082018D" w:rsidRDefault="0082018D" w:rsidP="006B07F6">
      <w:pPr>
        <w:pStyle w:val="FootnoteText"/>
      </w:pPr>
      <w:r>
        <w:rPr>
          <w:rStyle w:val="FootnoteReference"/>
        </w:rPr>
        <w:footnoteRef/>
      </w:r>
      <w:r>
        <w:t xml:space="preserve"> </w:t>
      </w:r>
      <w:r w:rsidRPr="00C30432">
        <w:rPr>
          <w:rFonts w:cs="Arial"/>
          <w:sz w:val="16"/>
          <w:szCs w:val="16"/>
        </w:rPr>
        <w:t>WO/IAOC/31/2</w:t>
      </w:r>
      <w:r>
        <w:rPr>
          <w:rFonts w:cs="Arial"/>
          <w:sz w:val="16"/>
          <w:szCs w:val="16"/>
        </w:rPr>
        <w:t xml:space="preserve"> from December 6, 2013 – paragraph 26.</w:t>
      </w:r>
    </w:p>
  </w:footnote>
  <w:footnote w:id="43">
    <w:p w:rsidR="0082018D" w:rsidRPr="00297CA6" w:rsidRDefault="0082018D" w:rsidP="00C7008C">
      <w:pPr>
        <w:pStyle w:val="FootnoteText"/>
        <w:rPr>
          <w:sz w:val="16"/>
          <w:szCs w:val="16"/>
        </w:rPr>
      </w:pPr>
      <w:r w:rsidRPr="00297CA6">
        <w:rPr>
          <w:rStyle w:val="FootnoteReference"/>
          <w:sz w:val="16"/>
          <w:szCs w:val="16"/>
        </w:rPr>
        <w:footnoteRef/>
      </w:r>
      <w:r w:rsidRPr="00297CA6">
        <w:rPr>
          <w:sz w:val="16"/>
          <w:szCs w:val="16"/>
        </w:rPr>
        <w:t xml:space="preserve"> Excluding words reviewed as part of the quality control process (revision, reviewing and proofreading) for translated documents.</w:t>
      </w:r>
    </w:p>
  </w:footnote>
  <w:footnote w:id="44">
    <w:p w:rsidR="0082018D" w:rsidRDefault="0082018D" w:rsidP="00C7008C">
      <w:pPr>
        <w:pStyle w:val="FootnoteText"/>
      </w:pPr>
      <w:r w:rsidRPr="00297CA6">
        <w:rPr>
          <w:rStyle w:val="FootnoteReference"/>
          <w:sz w:val="16"/>
          <w:szCs w:val="16"/>
        </w:rPr>
        <w:footnoteRef/>
      </w:r>
      <w:r w:rsidRPr="00297CA6">
        <w:rPr>
          <w:sz w:val="16"/>
          <w:szCs w:val="16"/>
        </w:rPr>
        <w:t xml:space="preserve"> </w:t>
      </w:r>
      <w:proofErr w:type="gramStart"/>
      <w:r w:rsidRPr="00297CA6">
        <w:rPr>
          <w:sz w:val="16"/>
          <w:szCs w:val="16"/>
        </w:rPr>
        <w:t>Idem</w:t>
      </w:r>
      <w:r>
        <w:rPr>
          <w:sz w:val="16"/>
          <w:szCs w:val="16"/>
        </w:rPr>
        <w:t>.</w:t>
      </w:r>
      <w:proofErr w:type="gramEnd"/>
    </w:p>
  </w:footnote>
  <w:footnote w:id="45">
    <w:p w:rsidR="0082018D" w:rsidRDefault="0082018D" w:rsidP="009121FA">
      <w:pPr>
        <w:pStyle w:val="FootnoteText"/>
      </w:pPr>
      <w:r w:rsidRPr="00083772">
        <w:rPr>
          <w:rFonts w:cs="Arial"/>
          <w:bCs/>
          <w:sz w:val="16"/>
          <w:szCs w:val="16"/>
        </w:rPr>
        <w:footnoteRef/>
      </w:r>
      <w:r>
        <w:t xml:space="preserve"> </w:t>
      </w:r>
      <w:r w:rsidRPr="00083772">
        <w:rPr>
          <w:rFonts w:cs="Arial"/>
          <w:bCs/>
          <w:sz w:val="16"/>
          <w:szCs w:val="16"/>
        </w:rPr>
        <w:t>The expected completion date was further amended at the beginning of 2014 to July 2014.</w:t>
      </w:r>
    </w:p>
  </w:footnote>
  <w:footnote w:id="46">
    <w:p w:rsidR="0082018D" w:rsidRDefault="0082018D" w:rsidP="009121FA">
      <w:pPr>
        <w:pStyle w:val="FootnoteText"/>
      </w:pPr>
      <w:r w:rsidRPr="00083772">
        <w:rPr>
          <w:rFonts w:cs="Arial"/>
          <w:bCs/>
          <w:sz w:val="16"/>
          <w:szCs w:val="16"/>
        </w:rPr>
        <w:footnoteRef/>
      </w:r>
      <w:r w:rsidRPr="00083772">
        <w:rPr>
          <w:rFonts w:cs="Arial"/>
          <w:bCs/>
          <w:sz w:val="16"/>
          <w:szCs w:val="16"/>
        </w:rPr>
        <w:t xml:space="preserve"> </w:t>
      </w:r>
      <w:proofErr w:type="gramStart"/>
      <w:r w:rsidRPr="00083772">
        <w:rPr>
          <w:rFonts w:cs="Arial"/>
          <w:bCs/>
          <w:sz w:val="16"/>
          <w:szCs w:val="16"/>
        </w:rPr>
        <w:t>Idem.</w:t>
      </w:r>
      <w:proofErr w:type="gramEnd"/>
    </w:p>
  </w:footnote>
  <w:footnote w:id="47">
    <w:p w:rsidR="0082018D" w:rsidRPr="00A62BB1" w:rsidRDefault="0082018D" w:rsidP="009417F7">
      <w:pPr>
        <w:autoSpaceDE w:val="0"/>
        <w:autoSpaceDN w:val="0"/>
        <w:adjustRightInd w:val="0"/>
        <w:ind w:left="142" w:hanging="142"/>
        <w:rPr>
          <w:sz w:val="16"/>
          <w:szCs w:val="16"/>
          <w:lang w:bidi="th-TH"/>
        </w:rPr>
      </w:pPr>
      <w:r w:rsidRPr="008B0DE1">
        <w:rPr>
          <w:rStyle w:val="FootnoteReference"/>
          <w:sz w:val="18"/>
          <w:szCs w:val="18"/>
        </w:rPr>
        <w:footnoteRef/>
      </w:r>
      <w:r w:rsidRPr="008B0DE1">
        <w:rPr>
          <w:sz w:val="18"/>
          <w:szCs w:val="18"/>
        </w:rPr>
        <w:tab/>
      </w:r>
      <w:r w:rsidRPr="004139FC">
        <w:rPr>
          <w:sz w:val="16"/>
          <w:szCs w:val="16"/>
          <w:lang w:bidi="th-TH"/>
        </w:rPr>
        <w:t>Review of Budgetary Process Applied to Projects Proposed by the Committee on Development and Intellectual Property (CDIP) for the Implementation of the Development Agenda Recommendations (A/48/5 REV.)</w:t>
      </w:r>
    </w:p>
    <w:p w:rsidR="0082018D" w:rsidRDefault="0082018D" w:rsidP="009417F7">
      <w:pPr>
        <w:autoSpaceDE w:val="0"/>
        <w:autoSpaceDN w:val="0"/>
        <w:adjustRightInd w:val="0"/>
        <w:ind w:left="142" w:hanging="142"/>
      </w:pPr>
    </w:p>
  </w:footnote>
  <w:footnote w:id="48">
    <w:p w:rsidR="0082018D" w:rsidRDefault="0082018D" w:rsidP="00CD26D6">
      <w:pPr>
        <w:pStyle w:val="FootnoteText"/>
      </w:pPr>
      <w:r>
        <w:rPr>
          <w:rStyle w:val="FootnoteReference"/>
        </w:rPr>
        <w:footnoteRef/>
      </w:r>
      <w:r>
        <w:t xml:space="preserve"> </w:t>
      </w:r>
      <w:r w:rsidRPr="001E5448">
        <w:rPr>
          <w:rFonts w:cs="Arial"/>
          <w:sz w:val="16"/>
          <w:szCs w:val="16"/>
        </w:rPr>
        <w:t>Program completion date is February 28, 2014</w:t>
      </w:r>
    </w:p>
  </w:footnote>
  <w:footnote w:id="49">
    <w:p w:rsidR="0082018D" w:rsidRDefault="0082018D" w:rsidP="005703CF">
      <w:pPr>
        <w:pStyle w:val="FootnoteText"/>
      </w:pPr>
      <w:r w:rsidRPr="00152E3E">
        <w:rPr>
          <w:rStyle w:val="FootnoteReference"/>
          <w:rFonts w:cs="Arial"/>
          <w:sz w:val="16"/>
          <w:szCs w:val="16"/>
        </w:rPr>
        <w:footnoteRef/>
      </w:r>
      <w:r w:rsidRPr="00152E3E">
        <w:rPr>
          <w:rFonts w:cs="Arial"/>
          <w:sz w:val="16"/>
          <w:szCs w:val="16"/>
        </w:rPr>
        <w:t xml:space="preserve"> </w:t>
      </w:r>
      <w:r>
        <w:rPr>
          <w:rFonts w:cs="Arial"/>
          <w:sz w:val="16"/>
          <w:szCs w:val="16"/>
        </w:rPr>
        <w:t>I</w:t>
      </w:r>
      <w:r w:rsidRPr="00152E3E">
        <w:rPr>
          <w:rFonts w:cs="Arial"/>
          <w:sz w:val="16"/>
          <w:szCs w:val="16"/>
        </w:rPr>
        <w:t>n October 2012</w:t>
      </w:r>
      <w:r>
        <w:rPr>
          <w:rFonts w:cs="Arial"/>
          <w:sz w:val="16"/>
          <w:szCs w:val="16"/>
        </w:rPr>
        <w:t>,</w:t>
      </w:r>
      <w:r w:rsidRPr="00152E3E">
        <w:rPr>
          <w:rFonts w:cs="Arial"/>
          <w:sz w:val="16"/>
          <w:szCs w:val="16"/>
        </w:rPr>
        <w:t xml:space="preserve"> </w:t>
      </w:r>
      <w:r>
        <w:rPr>
          <w:rFonts w:cs="Arial"/>
          <w:sz w:val="16"/>
          <w:szCs w:val="16"/>
        </w:rPr>
        <w:t>a</w:t>
      </w:r>
      <w:r w:rsidRPr="00152E3E">
        <w:rPr>
          <w:rFonts w:cs="Arial"/>
          <w:sz w:val="16"/>
          <w:szCs w:val="16"/>
        </w:rPr>
        <w:t xml:space="preserve"> Memorandum creating the FIT/IBERO was signed as a financial instrument of the Ibero-American Program of Industrial Property</w:t>
      </w:r>
    </w:p>
  </w:footnote>
  <w:footnote w:id="50">
    <w:p w:rsidR="0082018D" w:rsidRDefault="0082018D" w:rsidP="005703CF">
      <w:pPr>
        <w:pStyle w:val="FootnoteText"/>
      </w:pPr>
      <w:r>
        <w:rPr>
          <w:rStyle w:val="FootnoteReference"/>
        </w:rPr>
        <w:footnoteRef/>
      </w:r>
      <w:r>
        <w:t xml:space="preserve"> </w:t>
      </w:r>
      <w:r w:rsidRPr="003C18E2">
        <w:rPr>
          <w:rFonts w:cs="Arial"/>
          <w:sz w:val="16"/>
          <w:szCs w:val="16"/>
        </w:rPr>
        <w:t>Expected completion of the recruitment process is June 2014.</w:t>
      </w:r>
    </w:p>
  </w:footnote>
  <w:footnote w:id="51">
    <w:p w:rsidR="0082018D" w:rsidRDefault="0082018D" w:rsidP="005703CF">
      <w:pPr>
        <w:pStyle w:val="FootnoteText"/>
      </w:pPr>
      <w:r>
        <w:rPr>
          <w:rStyle w:val="FootnoteReference"/>
        </w:rPr>
        <w:footnoteRef/>
      </w:r>
      <w:r>
        <w:t xml:space="preserve"> </w:t>
      </w:r>
      <w:proofErr w:type="gramStart"/>
      <w:r>
        <w:rPr>
          <w:rFonts w:cs="Arial"/>
          <w:sz w:val="16"/>
          <w:szCs w:val="16"/>
        </w:rPr>
        <w:t>Expected completion date:</w:t>
      </w:r>
      <w:r w:rsidRPr="003C18E2">
        <w:rPr>
          <w:rFonts w:cs="Arial"/>
          <w:sz w:val="16"/>
          <w:szCs w:val="16"/>
        </w:rPr>
        <w:t xml:space="preserve"> March 2014.</w:t>
      </w:r>
      <w:proofErr w:type="gramEnd"/>
    </w:p>
  </w:footnote>
  <w:footnote w:id="52">
    <w:p w:rsidR="0082018D" w:rsidRDefault="0082018D" w:rsidP="005703CF">
      <w:pPr>
        <w:pStyle w:val="FootnoteText"/>
      </w:pPr>
      <w:r>
        <w:rPr>
          <w:rStyle w:val="FootnoteReference"/>
        </w:rPr>
        <w:footnoteRef/>
      </w:r>
      <w:r>
        <w:t xml:space="preserve"> </w:t>
      </w:r>
      <w:proofErr w:type="gramStart"/>
      <w:r>
        <w:rPr>
          <w:rFonts w:cs="Arial"/>
          <w:sz w:val="16"/>
          <w:szCs w:val="16"/>
        </w:rPr>
        <w:t>Expected completion date: April</w:t>
      </w:r>
      <w:r w:rsidRPr="00B07328">
        <w:rPr>
          <w:rFonts w:cs="Arial"/>
          <w:sz w:val="16"/>
          <w:szCs w:val="16"/>
        </w:rPr>
        <w:t xml:space="preserve"> 2014.</w:t>
      </w:r>
      <w:proofErr w:type="gramEnd"/>
    </w:p>
  </w:footnote>
  <w:footnote w:id="53">
    <w:p w:rsidR="0082018D" w:rsidRDefault="0082018D" w:rsidP="005703CF">
      <w:pPr>
        <w:pStyle w:val="FootnoteText"/>
      </w:pPr>
      <w:r>
        <w:rPr>
          <w:rStyle w:val="FootnoteReference"/>
        </w:rPr>
        <w:footnoteRef/>
      </w:r>
      <w:r>
        <w:t xml:space="preserve"> </w:t>
      </w:r>
      <w:proofErr w:type="gramStart"/>
      <w:r w:rsidRPr="003C18E2">
        <w:rPr>
          <w:rFonts w:cs="Arial"/>
          <w:sz w:val="16"/>
          <w:szCs w:val="16"/>
        </w:rPr>
        <w:t>Idem.</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8D" w:rsidRDefault="0082018D" w:rsidP="007B2B25">
    <w:pPr>
      <w:pStyle w:val="Header"/>
      <w:jc w:val="right"/>
    </w:pPr>
    <w:r>
      <w:t>WO/PBC/22/</w:t>
    </w:r>
    <w:r w:rsidR="00DC2182">
      <w:t>8</w:t>
    </w:r>
  </w:p>
  <w:p w:rsidR="0082018D" w:rsidRDefault="0082018D" w:rsidP="007B2B25">
    <w:pPr>
      <w:pStyle w:val="Header"/>
      <w:jc w:val="right"/>
    </w:pPr>
    <w:proofErr w:type="gramStart"/>
    <w:r>
      <w:t>page</w:t>
    </w:r>
    <w:proofErr w:type="gramEnd"/>
    <w:r>
      <w:t xml:space="preserve"> 2</w:t>
    </w:r>
  </w:p>
  <w:p w:rsidR="0082018D" w:rsidRDefault="0082018D" w:rsidP="007B2B25">
    <w:pPr>
      <w:pStyle w:val="Header"/>
      <w:jc w:val="right"/>
    </w:pPr>
  </w:p>
  <w:p w:rsidR="0082018D" w:rsidRDefault="0082018D" w:rsidP="007B2B25">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8D" w:rsidRDefault="0082018D" w:rsidP="002F46EC">
    <w:pPr>
      <w:pStyle w:val="Header"/>
      <w:rPr>
        <w:rFonts w:cs="Arial"/>
        <w:sz w:val="18"/>
        <w:szCs w:val="18"/>
      </w:rPr>
    </w:pPr>
  </w:p>
  <w:p w:rsidR="0082018D" w:rsidRPr="00101F3F" w:rsidRDefault="0082018D" w:rsidP="009100BA">
    <w:pPr>
      <w:pStyle w:val="Header"/>
      <w:jc w:val="right"/>
      <w:rPr>
        <w:rFonts w:cs="Arial"/>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8D" w:rsidRPr="00312A2D" w:rsidRDefault="0082018D" w:rsidP="002F46EC">
    <w:pPr>
      <w:pStyle w:val="Header"/>
      <w:rPr>
        <w:rFonts w:cs="Arial"/>
        <w:b/>
        <w:sz w:val="18"/>
        <w:szCs w:val="18"/>
      </w:rPr>
    </w:pPr>
    <w:r w:rsidRPr="00312A2D">
      <w:rPr>
        <w:rFonts w:cs="Arial"/>
        <w:b/>
        <w:sz w:val="18"/>
        <w:szCs w:val="18"/>
      </w:rPr>
      <w:t xml:space="preserve">Program Performance Report </w:t>
    </w:r>
    <w:r>
      <w:rPr>
        <w:rFonts w:cs="Arial"/>
        <w:b/>
        <w:sz w:val="18"/>
        <w:szCs w:val="18"/>
      </w:rPr>
      <w:t>2012/13</w:t>
    </w:r>
  </w:p>
  <w:p w:rsidR="0082018D" w:rsidRDefault="0082018D" w:rsidP="002F46EC">
    <w:pPr>
      <w:pStyle w:val="Header"/>
      <w:rPr>
        <w:rFonts w:cs="Arial"/>
        <w:sz w:val="18"/>
        <w:szCs w:val="18"/>
      </w:rPr>
    </w:pPr>
  </w:p>
  <w:p w:rsidR="0082018D" w:rsidRPr="00101F3F" w:rsidRDefault="0082018D" w:rsidP="009100BA">
    <w:pPr>
      <w:pStyle w:val="Header"/>
      <w:jc w:val="right"/>
      <w:rPr>
        <w:rFonts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8D" w:rsidRDefault="0082018D" w:rsidP="002F46EC">
    <w:pPr>
      <w:pStyle w:val="Header"/>
      <w:jc w:val="right"/>
      <w:rPr>
        <w:rFonts w:cs="Arial"/>
        <w:b/>
        <w:sz w:val="18"/>
        <w:szCs w:val="18"/>
      </w:rPr>
    </w:pPr>
    <w:r w:rsidRPr="00312A2D">
      <w:rPr>
        <w:rFonts w:cs="Arial"/>
        <w:b/>
        <w:sz w:val="18"/>
        <w:szCs w:val="18"/>
      </w:rPr>
      <w:t xml:space="preserve">Program Performance Report </w:t>
    </w:r>
    <w:r>
      <w:rPr>
        <w:rFonts w:cs="Arial"/>
        <w:b/>
        <w:sz w:val="18"/>
        <w:szCs w:val="18"/>
      </w:rPr>
      <w:t>2012/13</w:t>
    </w:r>
  </w:p>
  <w:p w:rsidR="0082018D" w:rsidRDefault="0082018D" w:rsidP="002F46EC">
    <w:pPr>
      <w:pStyle w:val="Header"/>
      <w:jc w:val="right"/>
      <w:rPr>
        <w:rFonts w:cs="Arial"/>
        <w:b/>
        <w:sz w:val="18"/>
        <w:szCs w:val="18"/>
      </w:rPr>
    </w:pPr>
  </w:p>
  <w:p w:rsidR="0082018D" w:rsidRPr="00312A2D" w:rsidRDefault="0082018D" w:rsidP="002F46EC">
    <w:pPr>
      <w:pStyle w:val="Header"/>
      <w:jc w:val="right"/>
      <w:rPr>
        <w:rFonts w:cs="Arial"/>
        <w:b/>
        <w:sz w:val="18"/>
        <w:szCs w:val="18"/>
      </w:rPr>
    </w:pPr>
  </w:p>
  <w:p w:rsidR="0082018D" w:rsidRPr="00101F3F" w:rsidRDefault="0082018D" w:rsidP="009100BA">
    <w:pPr>
      <w:pStyle w:val="Header"/>
      <w:jc w:val="right"/>
      <w:rPr>
        <w:rFonts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8D" w:rsidRPr="00312A2D" w:rsidRDefault="0082018D" w:rsidP="009100BA">
    <w:pPr>
      <w:pStyle w:val="Header"/>
      <w:jc w:val="right"/>
      <w:rPr>
        <w:rFonts w:cs="Arial"/>
        <w:b/>
        <w:sz w:val="18"/>
        <w:szCs w:val="18"/>
      </w:rPr>
    </w:pPr>
    <w:r w:rsidRPr="00312A2D">
      <w:rPr>
        <w:rFonts w:cs="Arial"/>
        <w:b/>
        <w:sz w:val="18"/>
        <w:szCs w:val="18"/>
      </w:rPr>
      <w:t xml:space="preserve">Program Performance Report </w:t>
    </w:r>
    <w:r>
      <w:rPr>
        <w:rFonts w:cs="Arial"/>
        <w:b/>
        <w:sz w:val="18"/>
        <w:szCs w:val="18"/>
      </w:rPr>
      <w:t>2012/13</w:t>
    </w:r>
  </w:p>
  <w:p w:rsidR="0082018D" w:rsidRDefault="0082018D" w:rsidP="009100BA">
    <w:pPr>
      <w:pStyle w:val="Header"/>
      <w:jc w:val="right"/>
      <w:rPr>
        <w:rFonts w:cs="Arial"/>
        <w:sz w:val="18"/>
        <w:szCs w:val="18"/>
      </w:rPr>
    </w:pPr>
  </w:p>
  <w:p w:rsidR="0082018D" w:rsidRPr="00101F3F" w:rsidRDefault="0082018D" w:rsidP="009100BA">
    <w:pPr>
      <w:pStyle w:val="Header"/>
      <w:jc w:val="right"/>
      <w:rPr>
        <w:rFonts w:cs="Arial"/>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18D" w:rsidRPr="00312A2D" w:rsidRDefault="0082018D" w:rsidP="002249F8">
    <w:pPr>
      <w:pStyle w:val="Header"/>
      <w:jc w:val="right"/>
      <w:rPr>
        <w:rFonts w:cs="Arial"/>
        <w:b/>
        <w:sz w:val="18"/>
        <w:szCs w:val="18"/>
      </w:rPr>
    </w:pPr>
    <w:r w:rsidRPr="00312A2D">
      <w:rPr>
        <w:rFonts w:cs="Arial"/>
        <w:b/>
        <w:sz w:val="18"/>
        <w:szCs w:val="18"/>
      </w:rPr>
      <w:t xml:space="preserve">Program Performance Report </w:t>
    </w:r>
    <w:r>
      <w:rPr>
        <w:rFonts w:cs="Arial"/>
        <w:b/>
        <w:sz w:val="18"/>
        <w:szCs w:val="18"/>
      </w:rPr>
      <w:t>2012/13</w:t>
    </w:r>
  </w:p>
  <w:p w:rsidR="0082018D" w:rsidRDefault="0082018D" w:rsidP="002249F8">
    <w:pPr>
      <w:pStyle w:val="Header"/>
      <w:jc w:val="right"/>
      <w:rPr>
        <w:rFonts w:cs="Arial"/>
        <w:sz w:val="18"/>
        <w:szCs w:val="18"/>
      </w:rPr>
    </w:pPr>
  </w:p>
  <w:p w:rsidR="0082018D" w:rsidRPr="00101F3F" w:rsidRDefault="0082018D" w:rsidP="002249F8">
    <w:pPr>
      <w:pStyle w:val="Header"/>
      <w:jc w:val="right"/>
      <w:rPr>
        <w:rFonts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EB6"/>
    <w:multiLevelType w:val="hybridMultilevel"/>
    <w:tmpl w:val="1BD04E24"/>
    <w:lvl w:ilvl="0" w:tplc="FAD8F99E">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214558"/>
    <w:multiLevelType w:val="hybridMultilevel"/>
    <w:tmpl w:val="46F82366"/>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1B7A25"/>
    <w:multiLevelType w:val="hybridMultilevel"/>
    <w:tmpl w:val="906E5FE2"/>
    <w:lvl w:ilvl="0" w:tplc="BC2EDDF6">
      <w:start w:val="1"/>
      <w:numFmt w:val="bullet"/>
      <w:lvlText w:val="-"/>
      <w:lvlJc w:val="left"/>
      <w:pPr>
        <w:tabs>
          <w:tab w:val="num" w:pos="964"/>
        </w:tabs>
        <w:ind w:left="964" w:hanging="397"/>
      </w:pPr>
      <w:rPr>
        <w:rFonts w:ascii="Arial" w:eastAsia="Times New Roman" w:hAnsi="Arial" w:hint="default"/>
        <w:color w:val="auto"/>
      </w:rPr>
    </w:lvl>
    <w:lvl w:ilvl="1" w:tplc="1376EF62">
      <w:start w:val="1"/>
      <w:numFmt w:val="bullet"/>
      <w:lvlText w:val=""/>
      <w:lvlJc w:val="left"/>
      <w:pPr>
        <w:tabs>
          <w:tab w:val="num" w:pos="2160"/>
        </w:tabs>
        <w:ind w:left="2160" w:hanging="360"/>
      </w:pPr>
      <w:rPr>
        <w:rFonts w:ascii="Symbol" w:hAnsi="Symbol" w:hint="default"/>
        <w:color w:val="auto"/>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
    <w:nsid w:val="07493B94"/>
    <w:multiLevelType w:val="hybridMultilevel"/>
    <w:tmpl w:val="A282FF7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2D54FC"/>
    <w:multiLevelType w:val="hybridMultilevel"/>
    <w:tmpl w:val="EA5C92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BD4B5B"/>
    <w:multiLevelType w:val="hybridMultilevel"/>
    <w:tmpl w:val="4C2E0A6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A34E7F"/>
    <w:multiLevelType w:val="hybridMultilevel"/>
    <w:tmpl w:val="7750CF86"/>
    <w:lvl w:ilvl="0" w:tplc="D554864C">
      <w:start w:val="1"/>
      <w:numFmt w:val="decimal"/>
      <w:lvlRestart w:val="0"/>
      <w:lvlText w:val="19.%1."/>
      <w:lvlJc w:val="left"/>
      <w:pPr>
        <w:tabs>
          <w:tab w:val="num" w:pos="680"/>
        </w:tabs>
      </w:pPr>
      <w:rPr>
        <w:rFonts w:ascii="Arial" w:hAnsi="Arial" w:cs="Arial" w:hint="default"/>
        <w:b w:val="0"/>
        <w:bCs w:val="0"/>
        <w:i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0B2672DB"/>
    <w:multiLevelType w:val="hybridMultilevel"/>
    <w:tmpl w:val="2F425B2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4C02D6"/>
    <w:multiLevelType w:val="hybridMultilevel"/>
    <w:tmpl w:val="33F80932"/>
    <w:lvl w:ilvl="0" w:tplc="A57C234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2C748A"/>
    <w:multiLevelType w:val="hybridMultilevel"/>
    <w:tmpl w:val="52448A44"/>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5325CA"/>
    <w:multiLevelType w:val="hybridMultilevel"/>
    <w:tmpl w:val="34CE2BC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3636494"/>
    <w:multiLevelType w:val="hybridMultilevel"/>
    <w:tmpl w:val="9F66909A"/>
    <w:lvl w:ilvl="0" w:tplc="DF3ED48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437332"/>
    <w:multiLevelType w:val="hybridMultilevel"/>
    <w:tmpl w:val="0BAC38BA"/>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A47D93"/>
    <w:multiLevelType w:val="hybridMultilevel"/>
    <w:tmpl w:val="D78838D6"/>
    <w:lvl w:ilvl="0" w:tplc="E30A879C">
      <w:start w:val="1"/>
      <w:numFmt w:val="decimal"/>
      <w:lvlText w:val="4.%1."/>
      <w:lvlJc w:val="left"/>
      <w:pPr>
        <w:ind w:left="720" w:hanging="360"/>
      </w:pPr>
      <w:rPr>
        <w:rFonts w:hint="default"/>
      </w:rPr>
    </w:lvl>
    <w:lvl w:ilvl="1" w:tplc="97D42F00">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3A10EF"/>
    <w:multiLevelType w:val="hybridMultilevel"/>
    <w:tmpl w:val="91783D60"/>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61E2E61"/>
    <w:multiLevelType w:val="hybridMultilevel"/>
    <w:tmpl w:val="F098835C"/>
    <w:lvl w:ilvl="0" w:tplc="8CB4571C">
      <w:start w:val="1"/>
      <w:numFmt w:val="upperRoman"/>
      <w:pStyle w:val="Heading1"/>
      <w:lvlText w:val="%1."/>
      <w:lvlJc w:val="right"/>
      <w:pPr>
        <w:tabs>
          <w:tab w:val="num" w:pos="3828"/>
        </w:tabs>
        <w:ind w:left="4264"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654ACA"/>
    <w:multiLevelType w:val="hybridMultilevel"/>
    <w:tmpl w:val="D04A63C8"/>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7106EBE"/>
    <w:multiLevelType w:val="hybridMultilevel"/>
    <w:tmpl w:val="5962666E"/>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8">
    <w:nsid w:val="17D45F57"/>
    <w:multiLevelType w:val="multilevel"/>
    <w:tmpl w:val="D4B84EA2"/>
    <w:lvl w:ilvl="0">
      <w:start w:val="1"/>
      <w:numFmt w:val="lowerRoman"/>
      <w:lvlText w:val="(%1)"/>
      <w:lvlJc w:val="left"/>
      <w:pPr>
        <w:tabs>
          <w:tab w:val="num" w:pos="1324"/>
        </w:tabs>
        <w:ind w:left="1324" w:hanging="360"/>
      </w:pPr>
      <w:rPr>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19">
    <w:nsid w:val="182F7E1C"/>
    <w:multiLevelType w:val="hybridMultilevel"/>
    <w:tmpl w:val="8ABCC6E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CE700FE"/>
    <w:multiLevelType w:val="hybridMultilevel"/>
    <w:tmpl w:val="E66E891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1D0E6885"/>
    <w:multiLevelType w:val="hybridMultilevel"/>
    <w:tmpl w:val="1CA89FB6"/>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2">
    <w:nsid w:val="1FD44917"/>
    <w:multiLevelType w:val="hybridMultilevel"/>
    <w:tmpl w:val="7F8CC5BE"/>
    <w:lvl w:ilvl="0" w:tplc="17A42F20">
      <w:start w:val="1"/>
      <w:numFmt w:val="decimal"/>
      <w:lvlRestart w:val="0"/>
      <w:lvlText w:val="21.%1."/>
      <w:lvlJc w:val="left"/>
      <w:pPr>
        <w:tabs>
          <w:tab w:val="num" w:pos="680"/>
        </w:tabs>
        <w:ind w:left="0" w:firstLine="0"/>
      </w:pPr>
      <w:rPr>
        <w:rFonts w:ascii="Arial" w:hAnsi="Arial" w:cs="Arial"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22567DBB"/>
    <w:multiLevelType w:val="hybridMultilevel"/>
    <w:tmpl w:val="20584CB0"/>
    <w:lvl w:ilvl="0" w:tplc="ED30E3C2">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2694810"/>
    <w:multiLevelType w:val="hybridMultilevel"/>
    <w:tmpl w:val="932EF95A"/>
    <w:lvl w:ilvl="0" w:tplc="3552016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3FF1CE4"/>
    <w:multiLevelType w:val="hybridMultilevel"/>
    <w:tmpl w:val="0AFA890E"/>
    <w:lvl w:ilvl="0" w:tplc="E20445D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4FA47EC"/>
    <w:multiLevelType w:val="hybridMultilevel"/>
    <w:tmpl w:val="B590E79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E941D9"/>
    <w:multiLevelType w:val="multilevel"/>
    <w:tmpl w:val="9B3E3A60"/>
    <w:lvl w:ilvl="0">
      <w:start w:val="1"/>
      <w:numFmt w:val="none"/>
      <w:lvlText w:val="-"/>
      <w:lvlJc w:val="left"/>
      <w:pPr>
        <w:tabs>
          <w:tab w:val="num" w:pos="1324"/>
        </w:tabs>
        <w:ind w:left="1324" w:hanging="360"/>
      </w:pPr>
      <w:rPr>
        <w:rFonts w:hint="default"/>
        <w:sz w:val="20"/>
      </w:rPr>
    </w:lvl>
    <w:lvl w:ilvl="1">
      <w:start w:val="1"/>
      <w:numFmt w:val="bullet"/>
      <w:lvlText w:val=""/>
      <w:lvlJc w:val="left"/>
      <w:pPr>
        <w:tabs>
          <w:tab w:val="num" w:pos="2007"/>
        </w:tabs>
        <w:ind w:left="2007" w:hanging="360"/>
      </w:pPr>
      <w:rPr>
        <w:rFonts w:ascii="Symbol" w:hAnsi="Symbol" w:hint="default"/>
        <w:sz w:val="20"/>
      </w:rPr>
    </w:lvl>
    <w:lvl w:ilvl="2">
      <w:start w:val="1"/>
      <w:numFmt w:val="bullet"/>
      <w:lvlText w:val=""/>
      <w:lvlJc w:val="left"/>
      <w:pPr>
        <w:tabs>
          <w:tab w:val="num" w:pos="2727"/>
        </w:tabs>
        <w:ind w:left="2727" w:hanging="360"/>
      </w:pPr>
      <w:rPr>
        <w:rFonts w:ascii="Symbol" w:hAnsi="Symbol" w:hint="default"/>
        <w:sz w:val="20"/>
      </w:rPr>
    </w:lvl>
    <w:lvl w:ilvl="3">
      <w:start w:val="1"/>
      <w:numFmt w:val="bullet"/>
      <w:lvlText w:val=""/>
      <w:lvlJc w:val="left"/>
      <w:pPr>
        <w:tabs>
          <w:tab w:val="num" w:pos="3447"/>
        </w:tabs>
        <w:ind w:left="3447" w:hanging="360"/>
      </w:pPr>
      <w:rPr>
        <w:rFonts w:ascii="Symbol" w:hAnsi="Symbol" w:hint="default"/>
        <w:sz w:val="20"/>
      </w:rPr>
    </w:lvl>
    <w:lvl w:ilvl="4">
      <w:start w:val="1"/>
      <w:numFmt w:val="bullet"/>
      <w:lvlText w:val=""/>
      <w:lvlJc w:val="left"/>
      <w:pPr>
        <w:tabs>
          <w:tab w:val="num" w:pos="4167"/>
        </w:tabs>
        <w:ind w:left="4167" w:hanging="360"/>
      </w:pPr>
      <w:rPr>
        <w:rFonts w:ascii="Symbol" w:hAnsi="Symbol" w:hint="default"/>
        <w:sz w:val="20"/>
      </w:rPr>
    </w:lvl>
    <w:lvl w:ilvl="5">
      <w:start w:val="1"/>
      <w:numFmt w:val="bullet"/>
      <w:lvlText w:val=""/>
      <w:lvlJc w:val="left"/>
      <w:pPr>
        <w:tabs>
          <w:tab w:val="num" w:pos="4887"/>
        </w:tabs>
        <w:ind w:left="4887" w:hanging="360"/>
      </w:pPr>
      <w:rPr>
        <w:rFonts w:ascii="Symbol" w:hAnsi="Symbol" w:hint="default"/>
        <w:sz w:val="20"/>
      </w:rPr>
    </w:lvl>
    <w:lvl w:ilvl="6">
      <w:start w:val="1"/>
      <w:numFmt w:val="bullet"/>
      <w:lvlText w:val=""/>
      <w:lvlJc w:val="left"/>
      <w:pPr>
        <w:tabs>
          <w:tab w:val="num" w:pos="5607"/>
        </w:tabs>
        <w:ind w:left="5607" w:hanging="360"/>
      </w:pPr>
      <w:rPr>
        <w:rFonts w:ascii="Symbol" w:hAnsi="Symbol" w:hint="default"/>
        <w:sz w:val="20"/>
      </w:rPr>
    </w:lvl>
    <w:lvl w:ilvl="7">
      <w:start w:val="1"/>
      <w:numFmt w:val="bullet"/>
      <w:lvlText w:val=""/>
      <w:lvlJc w:val="left"/>
      <w:pPr>
        <w:tabs>
          <w:tab w:val="num" w:pos="6327"/>
        </w:tabs>
        <w:ind w:left="6327" w:hanging="360"/>
      </w:pPr>
      <w:rPr>
        <w:rFonts w:ascii="Symbol" w:hAnsi="Symbol" w:hint="default"/>
        <w:sz w:val="20"/>
      </w:rPr>
    </w:lvl>
    <w:lvl w:ilvl="8">
      <w:start w:val="1"/>
      <w:numFmt w:val="bullet"/>
      <w:lvlText w:val=""/>
      <w:lvlJc w:val="left"/>
      <w:pPr>
        <w:tabs>
          <w:tab w:val="num" w:pos="7047"/>
        </w:tabs>
        <w:ind w:left="7047" w:hanging="360"/>
      </w:pPr>
      <w:rPr>
        <w:rFonts w:ascii="Symbol" w:hAnsi="Symbol" w:hint="default"/>
        <w:sz w:val="20"/>
      </w:rPr>
    </w:lvl>
  </w:abstractNum>
  <w:abstractNum w:abstractNumId="28">
    <w:nsid w:val="287424CA"/>
    <w:multiLevelType w:val="hybridMultilevel"/>
    <w:tmpl w:val="3E525CA0"/>
    <w:lvl w:ilvl="0" w:tplc="DCFEBAFE">
      <w:start w:val="1"/>
      <w:numFmt w:val="lowerRoman"/>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9CE7E18"/>
    <w:multiLevelType w:val="hybridMultilevel"/>
    <w:tmpl w:val="3616674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A995966"/>
    <w:multiLevelType w:val="hybridMultilevel"/>
    <w:tmpl w:val="5B10FBB4"/>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D130078"/>
    <w:multiLevelType w:val="hybridMultilevel"/>
    <w:tmpl w:val="7B84E1BA"/>
    <w:lvl w:ilvl="0" w:tplc="323481D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2ECD1A5E"/>
    <w:multiLevelType w:val="hybridMultilevel"/>
    <w:tmpl w:val="5D8C1E6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EFC378E"/>
    <w:multiLevelType w:val="hybridMultilevel"/>
    <w:tmpl w:val="4E2673C6"/>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34AE4553"/>
    <w:multiLevelType w:val="hybridMultilevel"/>
    <w:tmpl w:val="981CE35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5D26F74"/>
    <w:multiLevelType w:val="hybridMultilevel"/>
    <w:tmpl w:val="F8580234"/>
    <w:lvl w:ilvl="0" w:tplc="0409000B">
      <w:start w:val="1"/>
      <w:numFmt w:val="bullet"/>
      <w:lvlText w:val=""/>
      <w:lvlJc w:val="left"/>
      <w:pPr>
        <w:tabs>
          <w:tab w:val="num" w:pos="720"/>
        </w:tabs>
        <w:ind w:left="720" w:hanging="360"/>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78E7173"/>
    <w:multiLevelType w:val="hybridMultilevel"/>
    <w:tmpl w:val="2DD25932"/>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7">
    <w:nsid w:val="38497E5F"/>
    <w:multiLevelType w:val="hybridMultilevel"/>
    <w:tmpl w:val="98267710"/>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8">
    <w:nsid w:val="3A1E6165"/>
    <w:multiLevelType w:val="hybridMultilevel"/>
    <w:tmpl w:val="79CAA5B2"/>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E5B6183"/>
    <w:multiLevelType w:val="hybridMultilevel"/>
    <w:tmpl w:val="7A70A7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F835284"/>
    <w:multiLevelType w:val="hybridMultilevel"/>
    <w:tmpl w:val="5684671A"/>
    <w:lvl w:ilvl="0" w:tplc="E90C3994">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4106349D"/>
    <w:multiLevelType w:val="hybridMultilevel"/>
    <w:tmpl w:val="4BB020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42341618"/>
    <w:multiLevelType w:val="hybridMultilevel"/>
    <w:tmpl w:val="9D50996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5A3478B"/>
    <w:multiLevelType w:val="hybridMultilevel"/>
    <w:tmpl w:val="AB7C389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5D36A22"/>
    <w:multiLevelType w:val="hybridMultilevel"/>
    <w:tmpl w:val="334EB3DC"/>
    <w:lvl w:ilvl="0" w:tplc="50B2493E">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77642DC"/>
    <w:multiLevelType w:val="hybridMultilevel"/>
    <w:tmpl w:val="746E3FD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492B43EE"/>
    <w:multiLevelType w:val="hybridMultilevel"/>
    <w:tmpl w:val="95765C7A"/>
    <w:lvl w:ilvl="0" w:tplc="35520164">
      <w:start w:val="1"/>
      <w:numFmt w:val="bullet"/>
      <w:lvlText w:val="-"/>
      <w:lvlJc w:val="left"/>
      <w:pPr>
        <w:tabs>
          <w:tab w:val="num" w:pos="794"/>
        </w:tabs>
        <w:ind w:left="794" w:hanging="227"/>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9D10E54"/>
    <w:multiLevelType w:val="hybridMultilevel"/>
    <w:tmpl w:val="A09ACF5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A376991"/>
    <w:multiLevelType w:val="hybridMultilevel"/>
    <w:tmpl w:val="65665848"/>
    <w:lvl w:ilvl="0" w:tplc="6E6C90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A567E82"/>
    <w:multiLevelType w:val="hybridMultilevel"/>
    <w:tmpl w:val="ACD850A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A835AA1"/>
    <w:multiLevelType w:val="hybridMultilevel"/>
    <w:tmpl w:val="2222BDE0"/>
    <w:lvl w:ilvl="0" w:tplc="1AA0ABC2">
      <w:start w:val="1"/>
      <w:numFmt w:val="bullet"/>
      <w:pStyle w:val="ListNumber"/>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AB6663C"/>
    <w:multiLevelType w:val="hybridMultilevel"/>
    <w:tmpl w:val="C708F70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C7C7C24"/>
    <w:multiLevelType w:val="hybridMultilevel"/>
    <w:tmpl w:val="865CD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DD47587"/>
    <w:multiLevelType w:val="hybridMultilevel"/>
    <w:tmpl w:val="11C410A0"/>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54">
    <w:nsid w:val="4E9857D2"/>
    <w:multiLevelType w:val="hybridMultilevel"/>
    <w:tmpl w:val="2A266738"/>
    <w:lvl w:ilvl="0" w:tplc="23889736">
      <w:start w:val="1"/>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5157303C"/>
    <w:multiLevelType w:val="hybridMultilevel"/>
    <w:tmpl w:val="64A0C9B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3193052"/>
    <w:multiLevelType w:val="hybridMultilevel"/>
    <w:tmpl w:val="58F630F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55A4468A"/>
    <w:multiLevelType w:val="hybridMultilevel"/>
    <w:tmpl w:val="B3846B5C"/>
    <w:lvl w:ilvl="0" w:tplc="30164A0A">
      <w:start w:val="20"/>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585216E9"/>
    <w:multiLevelType w:val="hybridMultilevel"/>
    <w:tmpl w:val="21BA3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8BD1658"/>
    <w:multiLevelType w:val="hybridMultilevel"/>
    <w:tmpl w:val="059EC378"/>
    <w:lvl w:ilvl="0" w:tplc="122EBF30">
      <w:start w:val="1"/>
      <w:numFmt w:val="decimal"/>
      <w:lvlRestart w:val="0"/>
      <w:lvlText w:val="20.%1"/>
      <w:lvlJc w:val="left"/>
      <w:pPr>
        <w:tabs>
          <w:tab w:val="num" w:pos="680"/>
        </w:tabs>
        <w:ind w:left="0" w:firstLine="0"/>
      </w:pPr>
      <w:rPr>
        <w:rFonts w:ascii="Arial" w:hAnsi="Arial" w:hint="default"/>
        <w:sz w:val="20"/>
        <w:szCs w:val="20"/>
      </w:rPr>
    </w:lvl>
    <w:lvl w:ilvl="1" w:tplc="7BA84398">
      <w:start w:val="1"/>
      <w:numFmt w:val="lowerRoman"/>
      <w:lvlText w:val="(%2)"/>
      <w:lvlJc w:val="left"/>
      <w:pPr>
        <w:tabs>
          <w:tab w:val="num" w:pos="1440"/>
        </w:tabs>
        <w:ind w:left="1440" w:hanging="360"/>
      </w:pPr>
      <w:rPr>
        <w:rFonts w:hint="default"/>
        <w:b w:val="0"/>
        <w:bCs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9E86743"/>
    <w:multiLevelType w:val="hybridMultilevel"/>
    <w:tmpl w:val="EE1AE10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A0375EB"/>
    <w:multiLevelType w:val="hybridMultilevel"/>
    <w:tmpl w:val="3BC0A6B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5B050C84"/>
    <w:multiLevelType w:val="hybridMultilevel"/>
    <w:tmpl w:val="10BEB5D4"/>
    <w:lvl w:ilvl="0" w:tplc="4A087C1E">
      <w:start w:val="1"/>
      <w:numFmt w:val="decimal"/>
      <w:lvlText w:val="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5CC829CD"/>
    <w:multiLevelType w:val="hybridMultilevel"/>
    <w:tmpl w:val="C304E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CE92CAD"/>
    <w:multiLevelType w:val="hybridMultilevel"/>
    <w:tmpl w:val="EFE0F9D0"/>
    <w:lvl w:ilvl="0" w:tplc="5778091C">
      <w:start w:val="78"/>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5DE86687"/>
    <w:multiLevelType w:val="hybridMultilevel"/>
    <w:tmpl w:val="140A3BA4"/>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8">
    <w:nsid w:val="5E745982"/>
    <w:multiLevelType w:val="hybridMultilevel"/>
    <w:tmpl w:val="687A7EF8"/>
    <w:lvl w:ilvl="0" w:tplc="796CA82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5EDA250F"/>
    <w:multiLevelType w:val="hybridMultilevel"/>
    <w:tmpl w:val="F50A36E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EF77C59"/>
    <w:multiLevelType w:val="hybridMultilevel"/>
    <w:tmpl w:val="3E525CA0"/>
    <w:lvl w:ilvl="0" w:tplc="DCFEBAFE">
      <w:start w:val="1"/>
      <w:numFmt w:val="lowerRoman"/>
      <w:lvlText w:val="%1)"/>
      <w:lvlJc w:val="left"/>
      <w:pPr>
        <w:ind w:left="360" w:hanging="360"/>
      </w:pPr>
      <w:rPr>
        <w:rFonts w:ascii="Arial" w:eastAsiaTheme="minorHAnsi" w:hAnsi="Arial" w:cs="Arial"/>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EF94C86"/>
    <w:multiLevelType w:val="hybridMultilevel"/>
    <w:tmpl w:val="812AA62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60A56718"/>
    <w:multiLevelType w:val="hybridMultilevel"/>
    <w:tmpl w:val="86D896C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60E62517"/>
    <w:multiLevelType w:val="hybridMultilevel"/>
    <w:tmpl w:val="13145D7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617C21EC"/>
    <w:multiLevelType w:val="hybridMultilevel"/>
    <w:tmpl w:val="3F60CFD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23029D2"/>
    <w:multiLevelType w:val="hybridMultilevel"/>
    <w:tmpl w:val="8F0AE39E"/>
    <w:lvl w:ilvl="0" w:tplc="0409000B">
      <w:start w:val="1"/>
      <w:numFmt w:val="decimal"/>
      <w:lvlRestart w:val="0"/>
      <w:pStyle w:val="ONUMFS"/>
      <w:lvlText w:val="03.%1."/>
      <w:lvlJc w:val="left"/>
      <w:pPr>
        <w:tabs>
          <w:tab w:val="num" w:pos="567"/>
        </w:tabs>
        <w:ind w:left="0" w:firstLine="0"/>
      </w:pPr>
      <w:rPr>
        <w:rFonts w:hint="default"/>
        <w:sz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7">
    <w:nsid w:val="63EF18E4"/>
    <w:multiLevelType w:val="hybridMultilevel"/>
    <w:tmpl w:val="38F80890"/>
    <w:lvl w:ilvl="0" w:tplc="3CBA2954">
      <w:start w:val="1"/>
      <w:numFmt w:val="decimal"/>
      <w:lvlText w:val="25.%1."/>
      <w:lvlJc w:val="left"/>
      <w:pPr>
        <w:tabs>
          <w:tab w:val="num" w:pos="680"/>
        </w:tabs>
        <w:ind w:left="0" w:firstLine="0"/>
      </w:pPr>
      <w:rPr>
        <w:rFonts w:ascii="Arial" w:hAnsi="Arial" w:cs="Arial" w:hint="default"/>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8">
    <w:nsid w:val="67126758"/>
    <w:multiLevelType w:val="hybridMultilevel"/>
    <w:tmpl w:val="CF06A19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67364E5C"/>
    <w:multiLevelType w:val="hybridMultilevel"/>
    <w:tmpl w:val="A8D2061E"/>
    <w:lvl w:ilvl="0" w:tplc="50B2493E">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nsid w:val="679D446F"/>
    <w:multiLevelType w:val="hybridMultilevel"/>
    <w:tmpl w:val="18B2C2C8"/>
    <w:lvl w:ilvl="0" w:tplc="1AA0ABC2">
      <w:start w:val="1"/>
      <w:numFmt w:val="bullet"/>
      <w:lvlText w:val=""/>
      <w:lvlJc w:val="left"/>
      <w:pPr>
        <w:ind w:left="927" w:hanging="360"/>
      </w:pPr>
      <w:rPr>
        <w:rFonts w:ascii="Symbol" w:hAnsi="Symbol"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81">
    <w:nsid w:val="67A14BFA"/>
    <w:multiLevelType w:val="hybridMultilevel"/>
    <w:tmpl w:val="ED68728A"/>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8670D36"/>
    <w:multiLevelType w:val="hybridMultilevel"/>
    <w:tmpl w:val="E3EA35F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DD97BF7"/>
    <w:multiLevelType w:val="hybridMultilevel"/>
    <w:tmpl w:val="3034C6D6"/>
    <w:lvl w:ilvl="0" w:tplc="A760BC98">
      <w:start w:val="1"/>
      <w:numFmt w:val="decimal"/>
      <w:lvlText w:val="30.%1."/>
      <w:lvlJc w:val="left"/>
      <w:pPr>
        <w:ind w:left="144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4">
    <w:nsid w:val="71E66721"/>
    <w:multiLevelType w:val="hybridMultilevel"/>
    <w:tmpl w:val="4224AB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6">
    <w:nsid w:val="7257394F"/>
    <w:multiLevelType w:val="hybridMultilevel"/>
    <w:tmpl w:val="A92C825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520235E"/>
    <w:multiLevelType w:val="hybridMultilevel"/>
    <w:tmpl w:val="6A00115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7714091B"/>
    <w:multiLevelType w:val="hybridMultilevel"/>
    <w:tmpl w:val="E23E2AE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7AB54400"/>
    <w:multiLevelType w:val="hybridMultilevel"/>
    <w:tmpl w:val="F08016B0"/>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B023F4F"/>
    <w:multiLevelType w:val="hybridMultilevel"/>
    <w:tmpl w:val="574A26D0"/>
    <w:lvl w:ilvl="0" w:tplc="23889736">
      <w:start w:val="1"/>
      <w:numFmt w:val="bullet"/>
      <w:lvlText w:val="-"/>
      <w:lvlJc w:val="left"/>
      <w:pPr>
        <w:ind w:left="360" w:hanging="360"/>
      </w:pPr>
      <w:rPr>
        <w:rFonts w:ascii="Arial" w:eastAsia="Times New Roman"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50"/>
  </w:num>
  <w:num w:numId="3">
    <w:abstractNumId w:val="74"/>
  </w:num>
  <w:num w:numId="4">
    <w:abstractNumId w:val="42"/>
  </w:num>
  <w:num w:numId="5">
    <w:abstractNumId w:val="12"/>
  </w:num>
  <w:num w:numId="6">
    <w:abstractNumId w:val="51"/>
  </w:num>
  <w:num w:numId="7">
    <w:abstractNumId w:val="14"/>
  </w:num>
  <w:num w:numId="8">
    <w:abstractNumId w:val="38"/>
  </w:num>
  <w:num w:numId="9">
    <w:abstractNumId w:val="13"/>
  </w:num>
  <w:num w:numId="10">
    <w:abstractNumId w:val="8"/>
  </w:num>
  <w:num w:numId="11">
    <w:abstractNumId w:val="86"/>
  </w:num>
  <w:num w:numId="12">
    <w:abstractNumId w:val="35"/>
  </w:num>
  <w:num w:numId="13">
    <w:abstractNumId w:val="72"/>
  </w:num>
  <w:num w:numId="14">
    <w:abstractNumId w:val="32"/>
  </w:num>
  <w:num w:numId="15">
    <w:abstractNumId w:val="84"/>
  </w:num>
  <w:num w:numId="16">
    <w:abstractNumId w:val="3"/>
  </w:num>
  <w:num w:numId="17">
    <w:abstractNumId w:val="23"/>
  </w:num>
  <w:num w:numId="18">
    <w:abstractNumId w:val="20"/>
  </w:num>
  <w:num w:numId="19">
    <w:abstractNumId w:val="40"/>
  </w:num>
  <w:num w:numId="20">
    <w:abstractNumId w:val="46"/>
  </w:num>
  <w:num w:numId="21">
    <w:abstractNumId w:val="37"/>
  </w:num>
  <w:num w:numId="22">
    <w:abstractNumId w:val="53"/>
  </w:num>
  <w:num w:numId="23">
    <w:abstractNumId w:val="17"/>
  </w:num>
  <w:num w:numId="24">
    <w:abstractNumId w:val="36"/>
  </w:num>
  <w:num w:numId="25">
    <w:abstractNumId w:val="67"/>
  </w:num>
  <w:num w:numId="26">
    <w:abstractNumId w:val="21"/>
  </w:num>
  <w:num w:numId="27">
    <w:abstractNumId w:val="80"/>
  </w:num>
  <w:num w:numId="28">
    <w:abstractNumId w:val="19"/>
  </w:num>
  <w:num w:numId="29">
    <w:abstractNumId w:val="90"/>
  </w:num>
  <w:num w:numId="30">
    <w:abstractNumId w:val="78"/>
  </w:num>
  <w:num w:numId="31">
    <w:abstractNumId w:val="30"/>
  </w:num>
  <w:num w:numId="32">
    <w:abstractNumId w:val="26"/>
  </w:num>
  <w:num w:numId="33">
    <w:abstractNumId w:val="29"/>
  </w:num>
  <w:num w:numId="34">
    <w:abstractNumId w:val="24"/>
  </w:num>
  <w:num w:numId="35">
    <w:abstractNumId w:val="64"/>
  </w:num>
  <w:num w:numId="36">
    <w:abstractNumId w:val="41"/>
  </w:num>
  <w:num w:numId="37">
    <w:abstractNumId w:val="57"/>
  </w:num>
  <w:num w:numId="38">
    <w:abstractNumId w:val="88"/>
  </w:num>
  <w:num w:numId="39">
    <w:abstractNumId w:val="0"/>
  </w:num>
  <w:num w:numId="40">
    <w:abstractNumId w:val="87"/>
  </w:num>
  <w:num w:numId="41">
    <w:abstractNumId w:val="82"/>
  </w:num>
  <w:num w:numId="42">
    <w:abstractNumId w:val="59"/>
  </w:num>
  <w:num w:numId="43">
    <w:abstractNumId w:val="66"/>
  </w:num>
  <w:num w:numId="44">
    <w:abstractNumId w:val="44"/>
  </w:num>
  <w:num w:numId="45">
    <w:abstractNumId w:val="47"/>
  </w:num>
  <w:num w:numId="46">
    <w:abstractNumId w:val="7"/>
  </w:num>
  <w:num w:numId="47">
    <w:abstractNumId w:val="89"/>
  </w:num>
  <w:num w:numId="48">
    <w:abstractNumId w:val="81"/>
  </w:num>
  <w:num w:numId="49">
    <w:abstractNumId w:val="48"/>
  </w:num>
  <w:num w:numId="50">
    <w:abstractNumId w:val="62"/>
  </w:num>
  <w:num w:numId="51">
    <w:abstractNumId w:val="58"/>
  </w:num>
  <w:num w:numId="52">
    <w:abstractNumId w:val="6"/>
  </w:num>
  <w:num w:numId="53">
    <w:abstractNumId w:val="25"/>
  </w:num>
  <w:num w:numId="54">
    <w:abstractNumId w:val="61"/>
  </w:num>
  <w:num w:numId="55">
    <w:abstractNumId w:val="22"/>
  </w:num>
  <w:num w:numId="56">
    <w:abstractNumId w:val="10"/>
  </w:num>
  <w:num w:numId="57">
    <w:abstractNumId w:val="49"/>
  </w:num>
  <w:num w:numId="58">
    <w:abstractNumId w:val="39"/>
  </w:num>
  <w:num w:numId="59">
    <w:abstractNumId w:val="63"/>
  </w:num>
  <w:num w:numId="60">
    <w:abstractNumId w:val="5"/>
  </w:num>
  <w:num w:numId="61">
    <w:abstractNumId w:val="45"/>
  </w:num>
  <w:num w:numId="62">
    <w:abstractNumId w:val="69"/>
  </w:num>
  <w:num w:numId="63">
    <w:abstractNumId w:val="56"/>
  </w:num>
  <w:num w:numId="64">
    <w:abstractNumId w:val="34"/>
  </w:num>
  <w:num w:numId="65">
    <w:abstractNumId w:val="73"/>
  </w:num>
  <w:num w:numId="66">
    <w:abstractNumId w:val="43"/>
  </w:num>
  <w:num w:numId="67">
    <w:abstractNumId w:val="91"/>
  </w:num>
  <w:num w:numId="68">
    <w:abstractNumId w:val="54"/>
  </w:num>
  <w:num w:numId="69">
    <w:abstractNumId w:val="9"/>
  </w:num>
  <w:num w:numId="70">
    <w:abstractNumId w:val="55"/>
  </w:num>
  <w:num w:numId="71">
    <w:abstractNumId w:val="1"/>
  </w:num>
  <w:num w:numId="72">
    <w:abstractNumId w:val="71"/>
  </w:num>
  <w:num w:numId="73">
    <w:abstractNumId w:val="33"/>
  </w:num>
  <w:num w:numId="74">
    <w:abstractNumId w:val="16"/>
  </w:num>
  <w:num w:numId="7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5"/>
  </w:num>
  <w:num w:numId="7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8"/>
    <w:lvlOverride w:ilvl="0">
      <w:startOverride w:val="1"/>
    </w:lvlOverride>
    <w:lvlOverride w:ilvl="1"/>
    <w:lvlOverride w:ilvl="2"/>
    <w:lvlOverride w:ilvl="3"/>
    <w:lvlOverride w:ilvl="4"/>
    <w:lvlOverride w:ilvl="5"/>
    <w:lvlOverride w:ilvl="6"/>
    <w:lvlOverride w:ilvl="7"/>
    <w:lvlOverride w:ilvl="8"/>
  </w:num>
  <w:num w:numId="79">
    <w:abstractNumId w:val="27"/>
  </w:num>
  <w:num w:numId="80">
    <w:abstractNumId w:val="4"/>
  </w:num>
  <w:num w:numId="81">
    <w:abstractNumId w:val="76"/>
  </w:num>
  <w:num w:numId="82">
    <w:abstractNumId w:val="68"/>
  </w:num>
  <w:num w:numId="83">
    <w:abstractNumId w:val="83"/>
  </w:num>
  <w:num w:numId="84">
    <w:abstractNumId w:val="2"/>
  </w:num>
  <w:num w:numId="85">
    <w:abstractNumId w:val="60"/>
  </w:num>
  <w:num w:numId="86">
    <w:abstractNumId w:val="65"/>
  </w:num>
  <w:num w:numId="87">
    <w:abstractNumId w:val="52"/>
  </w:num>
  <w:num w:numId="88">
    <w:abstractNumId w:val="28"/>
  </w:num>
  <w:num w:numId="89">
    <w:abstractNumId w:val="70"/>
  </w:num>
  <w:num w:numId="90">
    <w:abstractNumId w:val="75"/>
  </w:num>
  <w:num w:numId="91">
    <w:abstractNumId w:val="11"/>
  </w:num>
  <w:num w:numId="92">
    <w:abstractNumId w:val="79"/>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187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37A"/>
    <w:rsid w:val="00002CD7"/>
    <w:rsid w:val="00003187"/>
    <w:rsid w:val="00003F4D"/>
    <w:rsid w:val="00003FDA"/>
    <w:rsid w:val="00004027"/>
    <w:rsid w:val="00005AC2"/>
    <w:rsid w:val="00007641"/>
    <w:rsid w:val="00010322"/>
    <w:rsid w:val="0001289E"/>
    <w:rsid w:val="00012A02"/>
    <w:rsid w:val="00014B6A"/>
    <w:rsid w:val="00020A5F"/>
    <w:rsid w:val="00022EBD"/>
    <w:rsid w:val="00027DD5"/>
    <w:rsid w:val="00031146"/>
    <w:rsid w:val="0003119E"/>
    <w:rsid w:val="00032536"/>
    <w:rsid w:val="000326FA"/>
    <w:rsid w:val="00033607"/>
    <w:rsid w:val="000350AD"/>
    <w:rsid w:val="00035426"/>
    <w:rsid w:val="00035B75"/>
    <w:rsid w:val="00035F86"/>
    <w:rsid w:val="0003626E"/>
    <w:rsid w:val="000364EA"/>
    <w:rsid w:val="00037ACC"/>
    <w:rsid w:val="00042826"/>
    <w:rsid w:val="00043413"/>
    <w:rsid w:val="000439F3"/>
    <w:rsid w:val="000445B7"/>
    <w:rsid w:val="00044689"/>
    <w:rsid w:val="000447A9"/>
    <w:rsid w:val="00044B03"/>
    <w:rsid w:val="00044C93"/>
    <w:rsid w:val="00045005"/>
    <w:rsid w:val="000454B1"/>
    <w:rsid w:val="00045D96"/>
    <w:rsid w:val="00050A46"/>
    <w:rsid w:val="00051E35"/>
    <w:rsid w:val="00052846"/>
    <w:rsid w:val="0005484B"/>
    <w:rsid w:val="00054A91"/>
    <w:rsid w:val="00054B91"/>
    <w:rsid w:val="00054BF2"/>
    <w:rsid w:val="0005539E"/>
    <w:rsid w:val="000553F4"/>
    <w:rsid w:val="00057099"/>
    <w:rsid w:val="00060851"/>
    <w:rsid w:val="00061894"/>
    <w:rsid w:val="000630B2"/>
    <w:rsid w:val="00063DC3"/>
    <w:rsid w:val="0006519F"/>
    <w:rsid w:val="000665D0"/>
    <w:rsid w:val="00067545"/>
    <w:rsid w:val="0007055D"/>
    <w:rsid w:val="00071F79"/>
    <w:rsid w:val="0007212F"/>
    <w:rsid w:val="00073773"/>
    <w:rsid w:val="000748DF"/>
    <w:rsid w:val="00075783"/>
    <w:rsid w:val="00076389"/>
    <w:rsid w:val="00076B49"/>
    <w:rsid w:val="00076E2A"/>
    <w:rsid w:val="00077370"/>
    <w:rsid w:val="0008127B"/>
    <w:rsid w:val="0008215D"/>
    <w:rsid w:val="00086F93"/>
    <w:rsid w:val="0009042A"/>
    <w:rsid w:val="000908D9"/>
    <w:rsid w:val="000917B4"/>
    <w:rsid w:val="00091D14"/>
    <w:rsid w:val="00093C9E"/>
    <w:rsid w:val="000961FB"/>
    <w:rsid w:val="0009735C"/>
    <w:rsid w:val="000A031B"/>
    <w:rsid w:val="000A07C2"/>
    <w:rsid w:val="000A134C"/>
    <w:rsid w:val="000A26B8"/>
    <w:rsid w:val="000A52A5"/>
    <w:rsid w:val="000B0C3B"/>
    <w:rsid w:val="000B155B"/>
    <w:rsid w:val="000B2A8C"/>
    <w:rsid w:val="000B2E9F"/>
    <w:rsid w:val="000B3053"/>
    <w:rsid w:val="000B3714"/>
    <w:rsid w:val="000B3721"/>
    <w:rsid w:val="000B4241"/>
    <w:rsid w:val="000B5438"/>
    <w:rsid w:val="000B67F5"/>
    <w:rsid w:val="000C1693"/>
    <w:rsid w:val="000C4CBD"/>
    <w:rsid w:val="000C60D1"/>
    <w:rsid w:val="000C6175"/>
    <w:rsid w:val="000C62A5"/>
    <w:rsid w:val="000D18DB"/>
    <w:rsid w:val="000D2F60"/>
    <w:rsid w:val="000D3B97"/>
    <w:rsid w:val="000D5D96"/>
    <w:rsid w:val="000D6A68"/>
    <w:rsid w:val="000D733B"/>
    <w:rsid w:val="000E148D"/>
    <w:rsid w:val="000E1D5A"/>
    <w:rsid w:val="000E3FE2"/>
    <w:rsid w:val="000E4034"/>
    <w:rsid w:val="000E4782"/>
    <w:rsid w:val="000F0623"/>
    <w:rsid w:val="000F101C"/>
    <w:rsid w:val="000F1DDB"/>
    <w:rsid w:val="000F345E"/>
    <w:rsid w:val="000F48F1"/>
    <w:rsid w:val="000F5600"/>
    <w:rsid w:val="000F5BFF"/>
    <w:rsid w:val="000F7A05"/>
    <w:rsid w:val="000F7C26"/>
    <w:rsid w:val="001017A3"/>
    <w:rsid w:val="00102710"/>
    <w:rsid w:val="00104BD7"/>
    <w:rsid w:val="00105BBC"/>
    <w:rsid w:val="00111956"/>
    <w:rsid w:val="0011197F"/>
    <w:rsid w:val="00111AC4"/>
    <w:rsid w:val="00112987"/>
    <w:rsid w:val="001129F4"/>
    <w:rsid w:val="00114238"/>
    <w:rsid w:val="00114E27"/>
    <w:rsid w:val="00120315"/>
    <w:rsid w:val="0012038D"/>
    <w:rsid w:val="001209D6"/>
    <w:rsid w:val="00121105"/>
    <w:rsid w:val="001218D9"/>
    <w:rsid w:val="00121D79"/>
    <w:rsid w:val="0012429F"/>
    <w:rsid w:val="001243AF"/>
    <w:rsid w:val="00124B39"/>
    <w:rsid w:val="00126520"/>
    <w:rsid w:val="0012783A"/>
    <w:rsid w:val="00127BD8"/>
    <w:rsid w:val="0013028A"/>
    <w:rsid w:val="001305C0"/>
    <w:rsid w:val="00132D80"/>
    <w:rsid w:val="00133F5E"/>
    <w:rsid w:val="001340F0"/>
    <w:rsid w:val="0013586E"/>
    <w:rsid w:val="001368A5"/>
    <w:rsid w:val="001424A8"/>
    <w:rsid w:val="001428E9"/>
    <w:rsid w:val="001428FA"/>
    <w:rsid w:val="00143CEF"/>
    <w:rsid w:val="001446DA"/>
    <w:rsid w:val="00144890"/>
    <w:rsid w:val="00145892"/>
    <w:rsid w:val="0015164C"/>
    <w:rsid w:val="001525FC"/>
    <w:rsid w:val="00153A6E"/>
    <w:rsid w:val="00153D46"/>
    <w:rsid w:val="001574D1"/>
    <w:rsid w:val="001619FB"/>
    <w:rsid w:val="001636E8"/>
    <w:rsid w:val="001641A3"/>
    <w:rsid w:val="00164B85"/>
    <w:rsid w:val="00166E9F"/>
    <w:rsid w:val="001706EA"/>
    <w:rsid w:val="0017096C"/>
    <w:rsid w:val="00170BA2"/>
    <w:rsid w:val="00171FE2"/>
    <w:rsid w:val="001752C9"/>
    <w:rsid w:val="0017565C"/>
    <w:rsid w:val="00176773"/>
    <w:rsid w:val="00176AA3"/>
    <w:rsid w:val="00177D21"/>
    <w:rsid w:val="00186E36"/>
    <w:rsid w:val="0018784A"/>
    <w:rsid w:val="00191E10"/>
    <w:rsid w:val="001926FB"/>
    <w:rsid w:val="00195BC5"/>
    <w:rsid w:val="001A1334"/>
    <w:rsid w:val="001A32EA"/>
    <w:rsid w:val="001A5541"/>
    <w:rsid w:val="001B013D"/>
    <w:rsid w:val="001B0411"/>
    <w:rsid w:val="001B043B"/>
    <w:rsid w:val="001B17A5"/>
    <w:rsid w:val="001B1BAF"/>
    <w:rsid w:val="001B2366"/>
    <w:rsid w:val="001B3125"/>
    <w:rsid w:val="001B40EB"/>
    <w:rsid w:val="001B4655"/>
    <w:rsid w:val="001B5F0A"/>
    <w:rsid w:val="001B7BAF"/>
    <w:rsid w:val="001C0B36"/>
    <w:rsid w:val="001C0FA1"/>
    <w:rsid w:val="001C1F7F"/>
    <w:rsid w:val="001C2781"/>
    <w:rsid w:val="001C6013"/>
    <w:rsid w:val="001C67B1"/>
    <w:rsid w:val="001C6F4D"/>
    <w:rsid w:val="001D088C"/>
    <w:rsid w:val="001D0CE0"/>
    <w:rsid w:val="001D2700"/>
    <w:rsid w:val="001D2A2C"/>
    <w:rsid w:val="001D2ACA"/>
    <w:rsid w:val="001D2E83"/>
    <w:rsid w:val="001D3E22"/>
    <w:rsid w:val="001D4172"/>
    <w:rsid w:val="001D42EF"/>
    <w:rsid w:val="001D6536"/>
    <w:rsid w:val="001E0812"/>
    <w:rsid w:val="001E1B00"/>
    <w:rsid w:val="001E1C47"/>
    <w:rsid w:val="001E1D61"/>
    <w:rsid w:val="001E1EEF"/>
    <w:rsid w:val="001E323F"/>
    <w:rsid w:val="001E40E8"/>
    <w:rsid w:val="001E423A"/>
    <w:rsid w:val="001E6CC3"/>
    <w:rsid w:val="001F0218"/>
    <w:rsid w:val="001F0FAB"/>
    <w:rsid w:val="001F17BB"/>
    <w:rsid w:val="001F2562"/>
    <w:rsid w:val="001F2617"/>
    <w:rsid w:val="001F2DE0"/>
    <w:rsid w:val="001F353B"/>
    <w:rsid w:val="002001DE"/>
    <w:rsid w:val="002007BA"/>
    <w:rsid w:val="002013AB"/>
    <w:rsid w:val="00201AE9"/>
    <w:rsid w:val="00202AD2"/>
    <w:rsid w:val="0020416E"/>
    <w:rsid w:val="0020511E"/>
    <w:rsid w:val="00205A3D"/>
    <w:rsid w:val="002102AD"/>
    <w:rsid w:val="002117DE"/>
    <w:rsid w:val="00212F0A"/>
    <w:rsid w:val="00214ED2"/>
    <w:rsid w:val="00214F9F"/>
    <w:rsid w:val="002206B1"/>
    <w:rsid w:val="00220F68"/>
    <w:rsid w:val="00222A8D"/>
    <w:rsid w:val="002249F8"/>
    <w:rsid w:val="00225A0C"/>
    <w:rsid w:val="00226725"/>
    <w:rsid w:val="00230E2A"/>
    <w:rsid w:val="00230F73"/>
    <w:rsid w:val="0023125D"/>
    <w:rsid w:val="00232B14"/>
    <w:rsid w:val="00233C26"/>
    <w:rsid w:val="00234BEF"/>
    <w:rsid w:val="002363C1"/>
    <w:rsid w:val="002400BB"/>
    <w:rsid w:val="00240749"/>
    <w:rsid w:val="00241C17"/>
    <w:rsid w:val="00241DA6"/>
    <w:rsid w:val="00242929"/>
    <w:rsid w:val="0024474C"/>
    <w:rsid w:val="00245797"/>
    <w:rsid w:val="00245FBB"/>
    <w:rsid w:val="002468FB"/>
    <w:rsid w:val="00246C95"/>
    <w:rsid w:val="002470A0"/>
    <w:rsid w:val="00251CB5"/>
    <w:rsid w:val="002528A0"/>
    <w:rsid w:val="00254433"/>
    <w:rsid w:val="00257165"/>
    <w:rsid w:val="002603B3"/>
    <w:rsid w:val="00260A14"/>
    <w:rsid w:val="00261FAA"/>
    <w:rsid w:val="00262E3E"/>
    <w:rsid w:val="00264F68"/>
    <w:rsid w:val="002707F4"/>
    <w:rsid w:val="00270DEF"/>
    <w:rsid w:val="00271EF7"/>
    <w:rsid w:val="00274962"/>
    <w:rsid w:val="00276E66"/>
    <w:rsid w:val="00280DA3"/>
    <w:rsid w:val="00281D8C"/>
    <w:rsid w:val="00281F9F"/>
    <w:rsid w:val="0028218A"/>
    <w:rsid w:val="00282C8A"/>
    <w:rsid w:val="00283E82"/>
    <w:rsid w:val="002843AA"/>
    <w:rsid w:val="002846DC"/>
    <w:rsid w:val="002853DE"/>
    <w:rsid w:val="0028549E"/>
    <w:rsid w:val="00286146"/>
    <w:rsid w:val="0028688B"/>
    <w:rsid w:val="00287B80"/>
    <w:rsid w:val="00292D28"/>
    <w:rsid w:val="002938E8"/>
    <w:rsid w:val="002970AE"/>
    <w:rsid w:val="002A1497"/>
    <w:rsid w:val="002A29FA"/>
    <w:rsid w:val="002A4407"/>
    <w:rsid w:val="002A4A43"/>
    <w:rsid w:val="002A663B"/>
    <w:rsid w:val="002A6D86"/>
    <w:rsid w:val="002A7190"/>
    <w:rsid w:val="002A7742"/>
    <w:rsid w:val="002B02EA"/>
    <w:rsid w:val="002B0582"/>
    <w:rsid w:val="002B0AF4"/>
    <w:rsid w:val="002B1C9C"/>
    <w:rsid w:val="002B20E5"/>
    <w:rsid w:val="002B5251"/>
    <w:rsid w:val="002B6601"/>
    <w:rsid w:val="002B69A3"/>
    <w:rsid w:val="002B7DE5"/>
    <w:rsid w:val="002C0BD5"/>
    <w:rsid w:val="002C4083"/>
    <w:rsid w:val="002C4DAD"/>
    <w:rsid w:val="002C52FB"/>
    <w:rsid w:val="002C54C3"/>
    <w:rsid w:val="002D0856"/>
    <w:rsid w:val="002D1C2D"/>
    <w:rsid w:val="002D1F33"/>
    <w:rsid w:val="002D2413"/>
    <w:rsid w:val="002D6BDE"/>
    <w:rsid w:val="002D70DD"/>
    <w:rsid w:val="002E062E"/>
    <w:rsid w:val="002E1469"/>
    <w:rsid w:val="002F46EC"/>
    <w:rsid w:val="002F5D79"/>
    <w:rsid w:val="002F7977"/>
    <w:rsid w:val="002F7D53"/>
    <w:rsid w:val="00301514"/>
    <w:rsid w:val="003025BC"/>
    <w:rsid w:val="00304270"/>
    <w:rsid w:val="00305272"/>
    <w:rsid w:val="003053C5"/>
    <w:rsid w:val="00305F80"/>
    <w:rsid w:val="003071E6"/>
    <w:rsid w:val="003078E9"/>
    <w:rsid w:val="0031057E"/>
    <w:rsid w:val="00311585"/>
    <w:rsid w:val="003148F6"/>
    <w:rsid w:val="00314E7C"/>
    <w:rsid w:val="0031605F"/>
    <w:rsid w:val="00316630"/>
    <w:rsid w:val="0032092F"/>
    <w:rsid w:val="00320E32"/>
    <w:rsid w:val="003211D5"/>
    <w:rsid w:val="003214B5"/>
    <w:rsid w:val="00321AB9"/>
    <w:rsid w:val="0032659E"/>
    <w:rsid w:val="0033010F"/>
    <w:rsid w:val="00331BD0"/>
    <w:rsid w:val="00332532"/>
    <w:rsid w:val="003337F1"/>
    <w:rsid w:val="00335241"/>
    <w:rsid w:val="00335361"/>
    <w:rsid w:val="00336551"/>
    <w:rsid w:val="00341202"/>
    <w:rsid w:val="003429BB"/>
    <w:rsid w:val="00343C9C"/>
    <w:rsid w:val="00344399"/>
    <w:rsid w:val="00350CE9"/>
    <w:rsid w:val="00353560"/>
    <w:rsid w:val="00353999"/>
    <w:rsid w:val="00356403"/>
    <w:rsid w:val="003573DD"/>
    <w:rsid w:val="00357617"/>
    <w:rsid w:val="00362FE5"/>
    <w:rsid w:val="003632D6"/>
    <w:rsid w:val="00372F28"/>
    <w:rsid w:val="003742AC"/>
    <w:rsid w:val="00377D0B"/>
    <w:rsid w:val="00380229"/>
    <w:rsid w:val="00380A81"/>
    <w:rsid w:val="00382132"/>
    <w:rsid w:val="0038643F"/>
    <w:rsid w:val="00387ADC"/>
    <w:rsid w:val="00387D26"/>
    <w:rsid w:val="00390217"/>
    <w:rsid w:val="003912D5"/>
    <w:rsid w:val="0039165D"/>
    <w:rsid w:val="003943F0"/>
    <w:rsid w:val="003967D4"/>
    <w:rsid w:val="003969F3"/>
    <w:rsid w:val="00396BE3"/>
    <w:rsid w:val="00396EB2"/>
    <w:rsid w:val="0039788A"/>
    <w:rsid w:val="003A0ADE"/>
    <w:rsid w:val="003A2976"/>
    <w:rsid w:val="003A307E"/>
    <w:rsid w:val="003A34B4"/>
    <w:rsid w:val="003A376D"/>
    <w:rsid w:val="003A5FF7"/>
    <w:rsid w:val="003B01EA"/>
    <w:rsid w:val="003B19F1"/>
    <w:rsid w:val="003B23AE"/>
    <w:rsid w:val="003B323B"/>
    <w:rsid w:val="003B48C5"/>
    <w:rsid w:val="003B4CDB"/>
    <w:rsid w:val="003B7BA3"/>
    <w:rsid w:val="003B7E37"/>
    <w:rsid w:val="003C006F"/>
    <w:rsid w:val="003C00E8"/>
    <w:rsid w:val="003C151C"/>
    <w:rsid w:val="003C1F4D"/>
    <w:rsid w:val="003C203C"/>
    <w:rsid w:val="003C3AD4"/>
    <w:rsid w:val="003C4A82"/>
    <w:rsid w:val="003C5DE4"/>
    <w:rsid w:val="003C6864"/>
    <w:rsid w:val="003D19E5"/>
    <w:rsid w:val="003D2534"/>
    <w:rsid w:val="003D6551"/>
    <w:rsid w:val="003D676F"/>
    <w:rsid w:val="003D6CAF"/>
    <w:rsid w:val="003D7E83"/>
    <w:rsid w:val="003E0566"/>
    <w:rsid w:val="003E43F4"/>
    <w:rsid w:val="003E5EDF"/>
    <w:rsid w:val="003E6D5F"/>
    <w:rsid w:val="003E6F7B"/>
    <w:rsid w:val="003F004E"/>
    <w:rsid w:val="003F01FB"/>
    <w:rsid w:val="003F0457"/>
    <w:rsid w:val="003F0777"/>
    <w:rsid w:val="003F0BD1"/>
    <w:rsid w:val="003F15BD"/>
    <w:rsid w:val="003F3481"/>
    <w:rsid w:val="003F3CDF"/>
    <w:rsid w:val="003F5276"/>
    <w:rsid w:val="003F536E"/>
    <w:rsid w:val="003F5D84"/>
    <w:rsid w:val="003F6594"/>
    <w:rsid w:val="003F6B8C"/>
    <w:rsid w:val="003F6BF4"/>
    <w:rsid w:val="00400A45"/>
    <w:rsid w:val="00404F7C"/>
    <w:rsid w:val="00407F3C"/>
    <w:rsid w:val="00410F75"/>
    <w:rsid w:val="0041239B"/>
    <w:rsid w:val="004130C9"/>
    <w:rsid w:val="004132F4"/>
    <w:rsid w:val="004149DA"/>
    <w:rsid w:val="00414B11"/>
    <w:rsid w:val="00415453"/>
    <w:rsid w:val="004176BF"/>
    <w:rsid w:val="00417859"/>
    <w:rsid w:val="00420444"/>
    <w:rsid w:val="00420F90"/>
    <w:rsid w:val="0042131C"/>
    <w:rsid w:val="00422AAD"/>
    <w:rsid w:val="00423B8B"/>
    <w:rsid w:val="004259E0"/>
    <w:rsid w:val="00426D79"/>
    <w:rsid w:val="004273CB"/>
    <w:rsid w:val="0042797C"/>
    <w:rsid w:val="00430B00"/>
    <w:rsid w:val="00430ECC"/>
    <w:rsid w:val="004312A2"/>
    <w:rsid w:val="00432FF4"/>
    <w:rsid w:val="004332C9"/>
    <w:rsid w:val="00433F7E"/>
    <w:rsid w:val="004370F9"/>
    <w:rsid w:val="004433C7"/>
    <w:rsid w:val="00443901"/>
    <w:rsid w:val="00444129"/>
    <w:rsid w:val="00446965"/>
    <w:rsid w:val="00446B5B"/>
    <w:rsid w:val="00446EA4"/>
    <w:rsid w:val="004474A6"/>
    <w:rsid w:val="004510AE"/>
    <w:rsid w:val="004514C3"/>
    <w:rsid w:val="00452043"/>
    <w:rsid w:val="00452A4C"/>
    <w:rsid w:val="0045463F"/>
    <w:rsid w:val="004547C1"/>
    <w:rsid w:val="00455B2F"/>
    <w:rsid w:val="00457398"/>
    <w:rsid w:val="004576AA"/>
    <w:rsid w:val="00460CD8"/>
    <w:rsid w:val="004611B9"/>
    <w:rsid w:val="00461304"/>
    <w:rsid w:val="004629EF"/>
    <w:rsid w:val="004634F2"/>
    <w:rsid w:val="0046711D"/>
    <w:rsid w:val="004711D1"/>
    <w:rsid w:val="00471F93"/>
    <w:rsid w:val="0047262A"/>
    <w:rsid w:val="0047445F"/>
    <w:rsid w:val="00474F88"/>
    <w:rsid w:val="00475CB7"/>
    <w:rsid w:val="004760DF"/>
    <w:rsid w:val="00476102"/>
    <w:rsid w:val="00477A1D"/>
    <w:rsid w:val="00480113"/>
    <w:rsid w:val="004805AC"/>
    <w:rsid w:val="004808E3"/>
    <w:rsid w:val="0048186F"/>
    <w:rsid w:val="00483CBD"/>
    <w:rsid w:val="00484660"/>
    <w:rsid w:val="00484F04"/>
    <w:rsid w:val="00486A19"/>
    <w:rsid w:val="00486F3F"/>
    <w:rsid w:val="00490784"/>
    <w:rsid w:val="00491470"/>
    <w:rsid w:val="00492433"/>
    <w:rsid w:val="004925A7"/>
    <w:rsid w:val="004926BA"/>
    <w:rsid w:val="00493BDB"/>
    <w:rsid w:val="00497647"/>
    <w:rsid w:val="004A1757"/>
    <w:rsid w:val="004A19C1"/>
    <w:rsid w:val="004A4F4D"/>
    <w:rsid w:val="004A7442"/>
    <w:rsid w:val="004B2A00"/>
    <w:rsid w:val="004B3FED"/>
    <w:rsid w:val="004B48A1"/>
    <w:rsid w:val="004B5BA7"/>
    <w:rsid w:val="004B6074"/>
    <w:rsid w:val="004B62BF"/>
    <w:rsid w:val="004B7203"/>
    <w:rsid w:val="004B7566"/>
    <w:rsid w:val="004C24C7"/>
    <w:rsid w:val="004C34A3"/>
    <w:rsid w:val="004C5DDE"/>
    <w:rsid w:val="004C7D99"/>
    <w:rsid w:val="004D0E96"/>
    <w:rsid w:val="004D225E"/>
    <w:rsid w:val="004D288F"/>
    <w:rsid w:val="004D28F4"/>
    <w:rsid w:val="004D2B5C"/>
    <w:rsid w:val="004D3186"/>
    <w:rsid w:val="004D4A8F"/>
    <w:rsid w:val="004D4B0C"/>
    <w:rsid w:val="004D51A0"/>
    <w:rsid w:val="004E0F97"/>
    <w:rsid w:val="004E1468"/>
    <w:rsid w:val="004E2769"/>
    <w:rsid w:val="004E5E5D"/>
    <w:rsid w:val="004E6522"/>
    <w:rsid w:val="004E729D"/>
    <w:rsid w:val="004F051E"/>
    <w:rsid w:val="004F08E3"/>
    <w:rsid w:val="004F09F6"/>
    <w:rsid w:val="004F173B"/>
    <w:rsid w:val="004F395C"/>
    <w:rsid w:val="004F4C48"/>
    <w:rsid w:val="004F4CE3"/>
    <w:rsid w:val="004F4E2E"/>
    <w:rsid w:val="005002F7"/>
    <w:rsid w:val="00500F91"/>
    <w:rsid w:val="00502B3E"/>
    <w:rsid w:val="00503B62"/>
    <w:rsid w:val="00506551"/>
    <w:rsid w:val="00510DCC"/>
    <w:rsid w:val="005139C7"/>
    <w:rsid w:val="00513DF5"/>
    <w:rsid w:val="00515A68"/>
    <w:rsid w:val="00515B63"/>
    <w:rsid w:val="00515CFD"/>
    <w:rsid w:val="005200D9"/>
    <w:rsid w:val="005205DA"/>
    <w:rsid w:val="00520EB2"/>
    <w:rsid w:val="005228A5"/>
    <w:rsid w:val="00522A3F"/>
    <w:rsid w:val="005279AA"/>
    <w:rsid w:val="005321FA"/>
    <w:rsid w:val="005328F3"/>
    <w:rsid w:val="00534052"/>
    <w:rsid w:val="005368D1"/>
    <w:rsid w:val="0054026E"/>
    <w:rsid w:val="00543017"/>
    <w:rsid w:val="005431EB"/>
    <w:rsid w:val="00543EB7"/>
    <w:rsid w:val="00544DA7"/>
    <w:rsid w:val="00545109"/>
    <w:rsid w:val="00546097"/>
    <w:rsid w:val="005473E7"/>
    <w:rsid w:val="00547C0A"/>
    <w:rsid w:val="005516A9"/>
    <w:rsid w:val="00552619"/>
    <w:rsid w:val="00552637"/>
    <w:rsid w:val="005527F6"/>
    <w:rsid w:val="005531E0"/>
    <w:rsid w:val="00555171"/>
    <w:rsid w:val="00555AFA"/>
    <w:rsid w:val="00557923"/>
    <w:rsid w:val="0056031E"/>
    <w:rsid w:val="005631F0"/>
    <w:rsid w:val="0056362E"/>
    <w:rsid w:val="00565004"/>
    <w:rsid w:val="005657EF"/>
    <w:rsid w:val="005658CF"/>
    <w:rsid w:val="005660B2"/>
    <w:rsid w:val="005663E7"/>
    <w:rsid w:val="00567C6B"/>
    <w:rsid w:val="005703CF"/>
    <w:rsid w:val="00570611"/>
    <w:rsid w:val="00575621"/>
    <w:rsid w:val="00576D39"/>
    <w:rsid w:val="00577D22"/>
    <w:rsid w:val="0058017F"/>
    <w:rsid w:val="00581DD5"/>
    <w:rsid w:val="00581E25"/>
    <w:rsid w:val="00582300"/>
    <w:rsid w:val="00582788"/>
    <w:rsid w:val="00583B18"/>
    <w:rsid w:val="00585A84"/>
    <w:rsid w:val="00590ED0"/>
    <w:rsid w:val="0059160A"/>
    <w:rsid w:val="00595665"/>
    <w:rsid w:val="005A4AAF"/>
    <w:rsid w:val="005A4F0A"/>
    <w:rsid w:val="005A5483"/>
    <w:rsid w:val="005A580A"/>
    <w:rsid w:val="005A5933"/>
    <w:rsid w:val="005A5984"/>
    <w:rsid w:val="005A60D1"/>
    <w:rsid w:val="005A753E"/>
    <w:rsid w:val="005A7AB6"/>
    <w:rsid w:val="005B0436"/>
    <w:rsid w:val="005B14F4"/>
    <w:rsid w:val="005B2973"/>
    <w:rsid w:val="005B3F5D"/>
    <w:rsid w:val="005B5956"/>
    <w:rsid w:val="005C2300"/>
    <w:rsid w:val="005C50ED"/>
    <w:rsid w:val="005C6292"/>
    <w:rsid w:val="005C6651"/>
    <w:rsid w:val="005C6C7C"/>
    <w:rsid w:val="005D0A96"/>
    <w:rsid w:val="005D1A00"/>
    <w:rsid w:val="005D1C33"/>
    <w:rsid w:val="005D62C4"/>
    <w:rsid w:val="005D705A"/>
    <w:rsid w:val="005D70D4"/>
    <w:rsid w:val="005E3A6D"/>
    <w:rsid w:val="005E56AF"/>
    <w:rsid w:val="005E5BA7"/>
    <w:rsid w:val="005E65E3"/>
    <w:rsid w:val="005E6AFC"/>
    <w:rsid w:val="005E75A4"/>
    <w:rsid w:val="005F1744"/>
    <w:rsid w:val="005F236D"/>
    <w:rsid w:val="005F3F50"/>
    <w:rsid w:val="005F56DB"/>
    <w:rsid w:val="005F78B1"/>
    <w:rsid w:val="00600088"/>
    <w:rsid w:val="00601859"/>
    <w:rsid w:val="00601DE4"/>
    <w:rsid w:val="00602326"/>
    <w:rsid w:val="00606D8E"/>
    <w:rsid w:val="00606EF6"/>
    <w:rsid w:val="00610082"/>
    <w:rsid w:val="00614818"/>
    <w:rsid w:val="0061695D"/>
    <w:rsid w:val="00620143"/>
    <w:rsid w:val="0062060F"/>
    <w:rsid w:val="00620FD0"/>
    <w:rsid w:val="006239A4"/>
    <w:rsid w:val="00624688"/>
    <w:rsid w:val="006317EA"/>
    <w:rsid w:val="00633D53"/>
    <w:rsid w:val="00633DA0"/>
    <w:rsid w:val="00634523"/>
    <w:rsid w:val="00637DDF"/>
    <w:rsid w:val="00640664"/>
    <w:rsid w:val="00640A2D"/>
    <w:rsid w:val="00641ECA"/>
    <w:rsid w:val="006431B3"/>
    <w:rsid w:val="00644AD5"/>
    <w:rsid w:val="0064627E"/>
    <w:rsid w:val="006469CE"/>
    <w:rsid w:val="00647642"/>
    <w:rsid w:val="00654C60"/>
    <w:rsid w:val="00655F66"/>
    <w:rsid w:val="00656182"/>
    <w:rsid w:val="006568B3"/>
    <w:rsid w:val="00660313"/>
    <w:rsid w:val="006607AC"/>
    <w:rsid w:val="0066169D"/>
    <w:rsid w:val="00662CDE"/>
    <w:rsid w:val="006633F9"/>
    <w:rsid w:val="00663E2C"/>
    <w:rsid w:val="0066507C"/>
    <w:rsid w:val="0066521E"/>
    <w:rsid w:val="00665FF7"/>
    <w:rsid w:val="006703C6"/>
    <w:rsid w:val="00670BAE"/>
    <w:rsid w:val="00671963"/>
    <w:rsid w:val="006720E4"/>
    <w:rsid w:val="00673335"/>
    <w:rsid w:val="00674A39"/>
    <w:rsid w:val="00674B34"/>
    <w:rsid w:val="006765DD"/>
    <w:rsid w:val="00680FBD"/>
    <w:rsid w:val="0068151C"/>
    <w:rsid w:val="00681757"/>
    <w:rsid w:val="006819EA"/>
    <w:rsid w:val="00681E5B"/>
    <w:rsid w:val="00681EDE"/>
    <w:rsid w:val="00682EC5"/>
    <w:rsid w:val="00683485"/>
    <w:rsid w:val="00686471"/>
    <w:rsid w:val="006911D1"/>
    <w:rsid w:val="00691448"/>
    <w:rsid w:val="006921C7"/>
    <w:rsid w:val="00692F6F"/>
    <w:rsid w:val="00692F7A"/>
    <w:rsid w:val="00692FEF"/>
    <w:rsid w:val="00693A7D"/>
    <w:rsid w:val="00694FFA"/>
    <w:rsid w:val="00695B53"/>
    <w:rsid w:val="00697981"/>
    <w:rsid w:val="006A0B2F"/>
    <w:rsid w:val="006A1795"/>
    <w:rsid w:val="006A189C"/>
    <w:rsid w:val="006A1FCF"/>
    <w:rsid w:val="006A4370"/>
    <w:rsid w:val="006A6EC1"/>
    <w:rsid w:val="006B0539"/>
    <w:rsid w:val="006B07F6"/>
    <w:rsid w:val="006B1177"/>
    <w:rsid w:val="006B173C"/>
    <w:rsid w:val="006B2753"/>
    <w:rsid w:val="006B792D"/>
    <w:rsid w:val="006C0510"/>
    <w:rsid w:val="006C2C13"/>
    <w:rsid w:val="006C451D"/>
    <w:rsid w:val="006C46D6"/>
    <w:rsid w:val="006C65B1"/>
    <w:rsid w:val="006C6B35"/>
    <w:rsid w:val="006D14B6"/>
    <w:rsid w:val="006D1A73"/>
    <w:rsid w:val="006D56BB"/>
    <w:rsid w:val="006D5872"/>
    <w:rsid w:val="006D7132"/>
    <w:rsid w:val="006E0690"/>
    <w:rsid w:val="006E0F5A"/>
    <w:rsid w:val="006E397A"/>
    <w:rsid w:val="006E4738"/>
    <w:rsid w:val="006E4983"/>
    <w:rsid w:val="006E5544"/>
    <w:rsid w:val="006E7692"/>
    <w:rsid w:val="006F036E"/>
    <w:rsid w:val="006F08EA"/>
    <w:rsid w:val="006F0B88"/>
    <w:rsid w:val="006F165A"/>
    <w:rsid w:val="006F444D"/>
    <w:rsid w:val="006F4686"/>
    <w:rsid w:val="006F510B"/>
    <w:rsid w:val="0070110C"/>
    <w:rsid w:val="0070259E"/>
    <w:rsid w:val="00702973"/>
    <w:rsid w:val="007029B1"/>
    <w:rsid w:val="00702E77"/>
    <w:rsid w:val="007047F4"/>
    <w:rsid w:val="0070488A"/>
    <w:rsid w:val="00711C69"/>
    <w:rsid w:val="00715A3C"/>
    <w:rsid w:val="00715C23"/>
    <w:rsid w:val="00715DB4"/>
    <w:rsid w:val="0071782A"/>
    <w:rsid w:val="00717BCF"/>
    <w:rsid w:val="00720AE1"/>
    <w:rsid w:val="00720FD9"/>
    <w:rsid w:val="007217CE"/>
    <w:rsid w:val="00723FF7"/>
    <w:rsid w:val="007245E8"/>
    <w:rsid w:val="00724EA5"/>
    <w:rsid w:val="00727DFF"/>
    <w:rsid w:val="00727F84"/>
    <w:rsid w:val="00730079"/>
    <w:rsid w:val="00731D81"/>
    <w:rsid w:val="00732CA0"/>
    <w:rsid w:val="00733344"/>
    <w:rsid w:val="007343FE"/>
    <w:rsid w:val="00735AC6"/>
    <w:rsid w:val="007366F3"/>
    <w:rsid w:val="00736751"/>
    <w:rsid w:val="00742C32"/>
    <w:rsid w:val="00745225"/>
    <w:rsid w:val="0074697A"/>
    <w:rsid w:val="007469D0"/>
    <w:rsid w:val="00747496"/>
    <w:rsid w:val="00752418"/>
    <w:rsid w:val="007554B1"/>
    <w:rsid w:val="00757CE9"/>
    <w:rsid w:val="0076106B"/>
    <w:rsid w:val="007621D9"/>
    <w:rsid w:val="00763FE7"/>
    <w:rsid w:val="00765747"/>
    <w:rsid w:val="007658A8"/>
    <w:rsid w:val="007719D8"/>
    <w:rsid w:val="00773ABA"/>
    <w:rsid w:val="00774BC6"/>
    <w:rsid w:val="00774D44"/>
    <w:rsid w:val="007752C5"/>
    <w:rsid w:val="00775673"/>
    <w:rsid w:val="00776729"/>
    <w:rsid w:val="007768C4"/>
    <w:rsid w:val="00776910"/>
    <w:rsid w:val="007775AE"/>
    <w:rsid w:val="00777E28"/>
    <w:rsid w:val="00780C06"/>
    <w:rsid w:val="0078145B"/>
    <w:rsid w:val="00781F31"/>
    <w:rsid w:val="0078213C"/>
    <w:rsid w:val="00782C0D"/>
    <w:rsid w:val="0078312F"/>
    <w:rsid w:val="0078320A"/>
    <w:rsid w:val="007838AB"/>
    <w:rsid w:val="007854BF"/>
    <w:rsid w:val="007855E8"/>
    <w:rsid w:val="007865BB"/>
    <w:rsid w:val="00787009"/>
    <w:rsid w:val="00794D57"/>
    <w:rsid w:val="00797485"/>
    <w:rsid w:val="007A05CE"/>
    <w:rsid w:val="007A29A7"/>
    <w:rsid w:val="007A47BE"/>
    <w:rsid w:val="007A4C80"/>
    <w:rsid w:val="007A4EE7"/>
    <w:rsid w:val="007A5135"/>
    <w:rsid w:val="007B08E5"/>
    <w:rsid w:val="007B0B1B"/>
    <w:rsid w:val="007B0FA0"/>
    <w:rsid w:val="007B1FFD"/>
    <w:rsid w:val="007B2B25"/>
    <w:rsid w:val="007B2DB1"/>
    <w:rsid w:val="007B714B"/>
    <w:rsid w:val="007B71FE"/>
    <w:rsid w:val="007B7BDD"/>
    <w:rsid w:val="007C0423"/>
    <w:rsid w:val="007C37C3"/>
    <w:rsid w:val="007C3E81"/>
    <w:rsid w:val="007C75ED"/>
    <w:rsid w:val="007D027C"/>
    <w:rsid w:val="007D2229"/>
    <w:rsid w:val="007D223F"/>
    <w:rsid w:val="007D296F"/>
    <w:rsid w:val="007D306E"/>
    <w:rsid w:val="007D4FC2"/>
    <w:rsid w:val="007D6440"/>
    <w:rsid w:val="007D7ABB"/>
    <w:rsid w:val="007E1C6F"/>
    <w:rsid w:val="007E336A"/>
    <w:rsid w:val="007E6799"/>
    <w:rsid w:val="007E7815"/>
    <w:rsid w:val="007F11F9"/>
    <w:rsid w:val="007F3E34"/>
    <w:rsid w:val="007F4A69"/>
    <w:rsid w:val="00806461"/>
    <w:rsid w:val="00806D02"/>
    <w:rsid w:val="00806F90"/>
    <w:rsid w:val="00807C2D"/>
    <w:rsid w:val="008110B8"/>
    <w:rsid w:val="00811B82"/>
    <w:rsid w:val="008123E5"/>
    <w:rsid w:val="00812B04"/>
    <w:rsid w:val="008144C5"/>
    <w:rsid w:val="0081654E"/>
    <w:rsid w:val="008200B0"/>
    <w:rsid w:val="0082018D"/>
    <w:rsid w:val="008225D9"/>
    <w:rsid w:val="008244DB"/>
    <w:rsid w:val="00825EF0"/>
    <w:rsid w:val="00827EEF"/>
    <w:rsid w:val="00831138"/>
    <w:rsid w:val="008328FF"/>
    <w:rsid w:val="00832AAB"/>
    <w:rsid w:val="00833A7B"/>
    <w:rsid w:val="00833F58"/>
    <w:rsid w:val="008417B0"/>
    <w:rsid w:val="00844188"/>
    <w:rsid w:val="008465CB"/>
    <w:rsid w:val="00852F7D"/>
    <w:rsid w:val="0085395D"/>
    <w:rsid w:val="008539B9"/>
    <w:rsid w:val="00853DA5"/>
    <w:rsid w:val="00856760"/>
    <w:rsid w:val="00856E62"/>
    <w:rsid w:val="00861678"/>
    <w:rsid w:val="00862E39"/>
    <w:rsid w:val="00863EAB"/>
    <w:rsid w:val="0086484B"/>
    <w:rsid w:val="00864F09"/>
    <w:rsid w:val="0086702C"/>
    <w:rsid w:val="00870330"/>
    <w:rsid w:val="008710A8"/>
    <w:rsid w:val="00872A86"/>
    <w:rsid w:val="00874E11"/>
    <w:rsid w:val="00876BD1"/>
    <w:rsid w:val="00877725"/>
    <w:rsid w:val="008813C8"/>
    <w:rsid w:val="008815C2"/>
    <w:rsid w:val="00881793"/>
    <w:rsid w:val="00884095"/>
    <w:rsid w:val="00884492"/>
    <w:rsid w:val="00884573"/>
    <w:rsid w:val="008863CA"/>
    <w:rsid w:val="008869AE"/>
    <w:rsid w:val="00886F5F"/>
    <w:rsid w:val="00891A0B"/>
    <w:rsid w:val="00891A94"/>
    <w:rsid w:val="00894065"/>
    <w:rsid w:val="00894B44"/>
    <w:rsid w:val="008958CE"/>
    <w:rsid w:val="00896802"/>
    <w:rsid w:val="008A1E4D"/>
    <w:rsid w:val="008A3EB4"/>
    <w:rsid w:val="008A42FE"/>
    <w:rsid w:val="008A725B"/>
    <w:rsid w:val="008A79AB"/>
    <w:rsid w:val="008A7EEB"/>
    <w:rsid w:val="008B0DA2"/>
    <w:rsid w:val="008B2847"/>
    <w:rsid w:val="008B3E53"/>
    <w:rsid w:val="008B5AEF"/>
    <w:rsid w:val="008B6ED6"/>
    <w:rsid w:val="008C0CEB"/>
    <w:rsid w:val="008C4799"/>
    <w:rsid w:val="008D094E"/>
    <w:rsid w:val="008D0ECE"/>
    <w:rsid w:val="008D3FF3"/>
    <w:rsid w:val="008D620C"/>
    <w:rsid w:val="008D63A6"/>
    <w:rsid w:val="008E3C0B"/>
    <w:rsid w:val="008E4D64"/>
    <w:rsid w:val="008E527A"/>
    <w:rsid w:val="008E5D42"/>
    <w:rsid w:val="008E7E92"/>
    <w:rsid w:val="008E7F2E"/>
    <w:rsid w:val="008F04B5"/>
    <w:rsid w:val="008F061B"/>
    <w:rsid w:val="008F0BA3"/>
    <w:rsid w:val="008F1348"/>
    <w:rsid w:val="008F1D18"/>
    <w:rsid w:val="008F1E95"/>
    <w:rsid w:val="008F4A6D"/>
    <w:rsid w:val="008F5FF2"/>
    <w:rsid w:val="008F675F"/>
    <w:rsid w:val="00900811"/>
    <w:rsid w:val="00901768"/>
    <w:rsid w:val="009026F9"/>
    <w:rsid w:val="009031B9"/>
    <w:rsid w:val="00903536"/>
    <w:rsid w:val="00904223"/>
    <w:rsid w:val="0090466A"/>
    <w:rsid w:val="00904813"/>
    <w:rsid w:val="00906960"/>
    <w:rsid w:val="009100BA"/>
    <w:rsid w:val="009121FA"/>
    <w:rsid w:val="00913A4D"/>
    <w:rsid w:val="009169FF"/>
    <w:rsid w:val="00917CAC"/>
    <w:rsid w:val="00917D2B"/>
    <w:rsid w:val="009210CD"/>
    <w:rsid w:val="00921B2A"/>
    <w:rsid w:val="00921F56"/>
    <w:rsid w:val="00922488"/>
    <w:rsid w:val="00924101"/>
    <w:rsid w:val="00924A5E"/>
    <w:rsid w:val="00925B64"/>
    <w:rsid w:val="009336F3"/>
    <w:rsid w:val="00933C0B"/>
    <w:rsid w:val="00934183"/>
    <w:rsid w:val="00934243"/>
    <w:rsid w:val="00935016"/>
    <w:rsid w:val="00936FE4"/>
    <w:rsid w:val="00940CBE"/>
    <w:rsid w:val="009413C0"/>
    <w:rsid w:val="009417F7"/>
    <w:rsid w:val="00941805"/>
    <w:rsid w:val="009439BF"/>
    <w:rsid w:val="0094583D"/>
    <w:rsid w:val="00945A40"/>
    <w:rsid w:val="00946C0C"/>
    <w:rsid w:val="00946DF7"/>
    <w:rsid w:val="00953561"/>
    <w:rsid w:val="00956910"/>
    <w:rsid w:val="009570B8"/>
    <w:rsid w:val="00957FA1"/>
    <w:rsid w:val="00960467"/>
    <w:rsid w:val="009630B7"/>
    <w:rsid w:val="009632F3"/>
    <w:rsid w:val="00964DE1"/>
    <w:rsid w:val="009706FB"/>
    <w:rsid w:val="00972729"/>
    <w:rsid w:val="0097436A"/>
    <w:rsid w:val="00975A74"/>
    <w:rsid w:val="0097619F"/>
    <w:rsid w:val="00976ED9"/>
    <w:rsid w:val="009775C3"/>
    <w:rsid w:val="009805D7"/>
    <w:rsid w:val="00982926"/>
    <w:rsid w:val="00984ACD"/>
    <w:rsid w:val="00986096"/>
    <w:rsid w:val="00986869"/>
    <w:rsid w:val="009879A5"/>
    <w:rsid w:val="00990807"/>
    <w:rsid w:val="00991381"/>
    <w:rsid w:val="00991FAD"/>
    <w:rsid w:val="00997746"/>
    <w:rsid w:val="00997805"/>
    <w:rsid w:val="0099796E"/>
    <w:rsid w:val="009A0D4E"/>
    <w:rsid w:val="009A10A8"/>
    <w:rsid w:val="009A2A44"/>
    <w:rsid w:val="009A2CA2"/>
    <w:rsid w:val="009A3337"/>
    <w:rsid w:val="009B0B70"/>
    <w:rsid w:val="009B1A50"/>
    <w:rsid w:val="009B5199"/>
    <w:rsid w:val="009B5BA3"/>
    <w:rsid w:val="009B74BF"/>
    <w:rsid w:val="009B76E1"/>
    <w:rsid w:val="009B7890"/>
    <w:rsid w:val="009C160B"/>
    <w:rsid w:val="009C28FD"/>
    <w:rsid w:val="009C2993"/>
    <w:rsid w:val="009C2D6B"/>
    <w:rsid w:val="009C39AE"/>
    <w:rsid w:val="009C3DAD"/>
    <w:rsid w:val="009C4AA7"/>
    <w:rsid w:val="009D0185"/>
    <w:rsid w:val="009D020E"/>
    <w:rsid w:val="009D0487"/>
    <w:rsid w:val="009D313E"/>
    <w:rsid w:val="009D350C"/>
    <w:rsid w:val="009D4E7B"/>
    <w:rsid w:val="009D5239"/>
    <w:rsid w:val="009D5A2C"/>
    <w:rsid w:val="009D5EF6"/>
    <w:rsid w:val="009E20CD"/>
    <w:rsid w:val="009E4B99"/>
    <w:rsid w:val="009E5B4C"/>
    <w:rsid w:val="009E603B"/>
    <w:rsid w:val="009E789B"/>
    <w:rsid w:val="009F11BB"/>
    <w:rsid w:val="009F2410"/>
    <w:rsid w:val="009F3B91"/>
    <w:rsid w:val="009F5C0D"/>
    <w:rsid w:val="009F5D8F"/>
    <w:rsid w:val="00A04F9C"/>
    <w:rsid w:val="00A0562C"/>
    <w:rsid w:val="00A06596"/>
    <w:rsid w:val="00A0684B"/>
    <w:rsid w:val="00A06D29"/>
    <w:rsid w:val="00A07CA2"/>
    <w:rsid w:val="00A07CC5"/>
    <w:rsid w:val="00A07D91"/>
    <w:rsid w:val="00A10B10"/>
    <w:rsid w:val="00A1116D"/>
    <w:rsid w:val="00A11681"/>
    <w:rsid w:val="00A1224B"/>
    <w:rsid w:val="00A157E8"/>
    <w:rsid w:val="00A16298"/>
    <w:rsid w:val="00A16837"/>
    <w:rsid w:val="00A21444"/>
    <w:rsid w:val="00A25763"/>
    <w:rsid w:val="00A311F4"/>
    <w:rsid w:val="00A34E56"/>
    <w:rsid w:val="00A35669"/>
    <w:rsid w:val="00A35FF2"/>
    <w:rsid w:val="00A36E4B"/>
    <w:rsid w:val="00A37397"/>
    <w:rsid w:val="00A374C3"/>
    <w:rsid w:val="00A3775B"/>
    <w:rsid w:val="00A40CC4"/>
    <w:rsid w:val="00A41C49"/>
    <w:rsid w:val="00A41D23"/>
    <w:rsid w:val="00A423C0"/>
    <w:rsid w:val="00A424FF"/>
    <w:rsid w:val="00A4419C"/>
    <w:rsid w:val="00A44A3E"/>
    <w:rsid w:val="00A47701"/>
    <w:rsid w:val="00A5022B"/>
    <w:rsid w:val="00A5262B"/>
    <w:rsid w:val="00A53A35"/>
    <w:rsid w:val="00A53AE1"/>
    <w:rsid w:val="00A550CB"/>
    <w:rsid w:val="00A55957"/>
    <w:rsid w:val="00A5701A"/>
    <w:rsid w:val="00A6213C"/>
    <w:rsid w:val="00A63DFF"/>
    <w:rsid w:val="00A71171"/>
    <w:rsid w:val="00A7222F"/>
    <w:rsid w:val="00A74810"/>
    <w:rsid w:val="00A7519E"/>
    <w:rsid w:val="00A7596F"/>
    <w:rsid w:val="00A75F19"/>
    <w:rsid w:val="00A81AE5"/>
    <w:rsid w:val="00A82DA8"/>
    <w:rsid w:val="00A83ECB"/>
    <w:rsid w:val="00A84540"/>
    <w:rsid w:val="00A8520D"/>
    <w:rsid w:val="00A8525E"/>
    <w:rsid w:val="00A86C67"/>
    <w:rsid w:val="00A871ED"/>
    <w:rsid w:val="00A926C3"/>
    <w:rsid w:val="00A93B88"/>
    <w:rsid w:val="00A93C09"/>
    <w:rsid w:val="00A93FCA"/>
    <w:rsid w:val="00AB00F8"/>
    <w:rsid w:val="00AB1DC9"/>
    <w:rsid w:val="00AB2445"/>
    <w:rsid w:val="00AB3158"/>
    <w:rsid w:val="00AB4493"/>
    <w:rsid w:val="00AB46CE"/>
    <w:rsid w:val="00AC0D57"/>
    <w:rsid w:val="00AC75DE"/>
    <w:rsid w:val="00AC7840"/>
    <w:rsid w:val="00AD07AC"/>
    <w:rsid w:val="00AD0CAC"/>
    <w:rsid w:val="00AD1E95"/>
    <w:rsid w:val="00AD3310"/>
    <w:rsid w:val="00AD6B60"/>
    <w:rsid w:val="00AE1927"/>
    <w:rsid w:val="00AE6073"/>
    <w:rsid w:val="00AE61F9"/>
    <w:rsid w:val="00AE7502"/>
    <w:rsid w:val="00AF087E"/>
    <w:rsid w:val="00AF1291"/>
    <w:rsid w:val="00AF356E"/>
    <w:rsid w:val="00AF37E6"/>
    <w:rsid w:val="00AF4D43"/>
    <w:rsid w:val="00AF6021"/>
    <w:rsid w:val="00AF7A8B"/>
    <w:rsid w:val="00B01E74"/>
    <w:rsid w:val="00B02AE9"/>
    <w:rsid w:val="00B03622"/>
    <w:rsid w:val="00B046CC"/>
    <w:rsid w:val="00B05B55"/>
    <w:rsid w:val="00B06EC8"/>
    <w:rsid w:val="00B13D49"/>
    <w:rsid w:val="00B1432E"/>
    <w:rsid w:val="00B14577"/>
    <w:rsid w:val="00B1461E"/>
    <w:rsid w:val="00B14A06"/>
    <w:rsid w:val="00B14F1C"/>
    <w:rsid w:val="00B16A60"/>
    <w:rsid w:val="00B16DCB"/>
    <w:rsid w:val="00B17327"/>
    <w:rsid w:val="00B242A6"/>
    <w:rsid w:val="00B2542C"/>
    <w:rsid w:val="00B25ED3"/>
    <w:rsid w:val="00B27EC6"/>
    <w:rsid w:val="00B344C6"/>
    <w:rsid w:val="00B3460D"/>
    <w:rsid w:val="00B35050"/>
    <w:rsid w:val="00B36E6D"/>
    <w:rsid w:val="00B36F18"/>
    <w:rsid w:val="00B37056"/>
    <w:rsid w:val="00B40BC7"/>
    <w:rsid w:val="00B40BD2"/>
    <w:rsid w:val="00B40C75"/>
    <w:rsid w:val="00B4393A"/>
    <w:rsid w:val="00B44B17"/>
    <w:rsid w:val="00B44D3B"/>
    <w:rsid w:val="00B46B32"/>
    <w:rsid w:val="00B46DC4"/>
    <w:rsid w:val="00B504FF"/>
    <w:rsid w:val="00B55D4C"/>
    <w:rsid w:val="00B56539"/>
    <w:rsid w:val="00B56898"/>
    <w:rsid w:val="00B56B19"/>
    <w:rsid w:val="00B56C75"/>
    <w:rsid w:val="00B576BE"/>
    <w:rsid w:val="00B5772F"/>
    <w:rsid w:val="00B6017C"/>
    <w:rsid w:val="00B60A00"/>
    <w:rsid w:val="00B60B1E"/>
    <w:rsid w:val="00B61118"/>
    <w:rsid w:val="00B63AC7"/>
    <w:rsid w:val="00B65730"/>
    <w:rsid w:val="00B66F3B"/>
    <w:rsid w:val="00B6736A"/>
    <w:rsid w:val="00B677AC"/>
    <w:rsid w:val="00B67C98"/>
    <w:rsid w:val="00B703FF"/>
    <w:rsid w:val="00B70FC4"/>
    <w:rsid w:val="00B714FD"/>
    <w:rsid w:val="00B7296C"/>
    <w:rsid w:val="00B73889"/>
    <w:rsid w:val="00B73AC5"/>
    <w:rsid w:val="00B73F34"/>
    <w:rsid w:val="00B74CDE"/>
    <w:rsid w:val="00B75862"/>
    <w:rsid w:val="00B767D6"/>
    <w:rsid w:val="00B772A4"/>
    <w:rsid w:val="00B774E1"/>
    <w:rsid w:val="00B778F6"/>
    <w:rsid w:val="00B80C22"/>
    <w:rsid w:val="00B82FBE"/>
    <w:rsid w:val="00B831BD"/>
    <w:rsid w:val="00B87583"/>
    <w:rsid w:val="00B903AA"/>
    <w:rsid w:val="00B93EEF"/>
    <w:rsid w:val="00B954DD"/>
    <w:rsid w:val="00BA1DB6"/>
    <w:rsid w:val="00BA279E"/>
    <w:rsid w:val="00BA2F19"/>
    <w:rsid w:val="00BA5350"/>
    <w:rsid w:val="00BA6444"/>
    <w:rsid w:val="00BA6F4A"/>
    <w:rsid w:val="00BB0D5B"/>
    <w:rsid w:val="00BB232D"/>
    <w:rsid w:val="00BB5C9B"/>
    <w:rsid w:val="00BC0A79"/>
    <w:rsid w:val="00BC1236"/>
    <w:rsid w:val="00BC275E"/>
    <w:rsid w:val="00BC323A"/>
    <w:rsid w:val="00BC5956"/>
    <w:rsid w:val="00BC5B20"/>
    <w:rsid w:val="00BC5D69"/>
    <w:rsid w:val="00BC6547"/>
    <w:rsid w:val="00BC66E5"/>
    <w:rsid w:val="00BC735B"/>
    <w:rsid w:val="00BC7BC1"/>
    <w:rsid w:val="00BC7E89"/>
    <w:rsid w:val="00BD0F22"/>
    <w:rsid w:val="00BD12C8"/>
    <w:rsid w:val="00BD1431"/>
    <w:rsid w:val="00BD1728"/>
    <w:rsid w:val="00BD2ECB"/>
    <w:rsid w:val="00BD7861"/>
    <w:rsid w:val="00BE124F"/>
    <w:rsid w:val="00BE192E"/>
    <w:rsid w:val="00BE1EF6"/>
    <w:rsid w:val="00BE24A7"/>
    <w:rsid w:val="00BE2AF9"/>
    <w:rsid w:val="00BE35A6"/>
    <w:rsid w:val="00BE3A34"/>
    <w:rsid w:val="00BE599D"/>
    <w:rsid w:val="00BE5B7D"/>
    <w:rsid w:val="00BE72D1"/>
    <w:rsid w:val="00BE7769"/>
    <w:rsid w:val="00BE77B4"/>
    <w:rsid w:val="00BE7CBB"/>
    <w:rsid w:val="00BF091C"/>
    <w:rsid w:val="00BF09CB"/>
    <w:rsid w:val="00BF1C4F"/>
    <w:rsid w:val="00BF1EC6"/>
    <w:rsid w:val="00BF236C"/>
    <w:rsid w:val="00BF29C2"/>
    <w:rsid w:val="00BF317C"/>
    <w:rsid w:val="00BF7954"/>
    <w:rsid w:val="00C019FF"/>
    <w:rsid w:val="00C026BB"/>
    <w:rsid w:val="00C026C0"/>
    <w:rsid w:val="00C03EE7"/>
    <w:rsid w:val="00C04AE2"/>
    <w:rsid w:val="00C050A2"/>
    <w:rsid w:val="00C055E3"/>
    <w:rsid w:val="00C05A9B"/>
    <w:rsid w:val="00C0736E"/>
    <w:rsid w:val="00C07F9C"/>
    <w:rsid w:val="00C07FBB"/>
    <w:rsid w:val="00C11068"/>
    <w:rsid w:val="00C11BAC"/>
    <w:rsid w:val="00C126AA"/>
    <w:rsid w:val="00C129E2"/>
    <w:rsid w:val="00C14481"/>
    <w:rsid w:val="00C14963"/>
    <w:rsid w:val="00C150CD"/>
    <w:rsid w:val="00C15A9B"/>
    <w:rsid w:val="00C16459"/>
    <w:rsid w:val="00C1709D"/>
    <w:rsid w:val="00C215DD"/>
    <w:rsid w:val="00C21B24"/>
    <w:rsid w:val="00C234F4"/>
    <w:rsid w:val="00C24C7E"/>
    <w:rsid w:val="00C2595A"/>
    <w:rsid w:val="00C25EC7"/>
    <w:rsid w:val="00C2604B"/>
    <w:rsid w:val="00C347B5"/>
    <w:rsid w:val="00C35E18"/>
    <w:rsid w:val="00C37959"/>
    <w:rsid w:val="00C432EF"/>
    <w:rsid w:val="00C4441B"/>
    <w:rsid w:val="00C4701A"/>
    <w:rsid w:val="00C4717E"/>
    <w:rsid w:val="00C51D94"/>
    <w:rsid w:val="00C525AB"/>
    <w:rsid w:val="00C55EC5"/>
    <w:rsid w:val="00C568E4"/>
    <w:rsid w:val="00C57F1E"/>
    <w:rsid w:val="00C60020"/>
    <w:rsid w:val="00C7008C"/>
    <w:rsid w:val="00C71B6E"/>
    <w:rsid w:val="00C72ED0"/>
    <w:rsid w:val="00C743CB"/>
    <w:rsid w:val="00C74BEB"/>
    <w:rsid w:val="00C752AC"/>
    <w:rsid w:val="00C76218"/>
    <w:rsid w:val="00C77D42"/>
    <w:rsid w:val="00C803E9"/>
    <w:rsid w:val="00C816AA"/>
    <w:rsid w:val="00C83A38"/>
    <w:rsid w:val="00C83B3F"/>
    <w:rsid w:val="00C86406"/>
    <w:rsid w:val="00C870E2"/>
    <w:rsid w:val="00C8734F"/>
    <w:rsid w:val="00C9051A"/>
    <w:rsid w:val="00C90907"/>
    <w:rsid w:val="00C9104E"/>
    <w:rsid w:val="00C936D0"/>
    <w:rsid w:val="00C94A02"/>
    <w:rsid w:val="00C953B2"/>
    <w:rsid w:val="00C961E8"/>
    <w:rsid w:val="00C96791"/>
    <w:rsid w:val="00C96F83"/>
    <w:rsid w:val="00C96FF8"/>
    <w:rsid w:val="00C97414"/>
    <w:rsid w:val="00CA03AE"/>
    <w:rsid w:val="00CA04C0"/>
    <w:rsid w:val="00CA3D55"/>
    <w:rsid w:val="00CA429B"/>
    <w:rsid w:val="00CA614D"/>
    <w:rsid w:val="00CB32C7"/>
    <w:rsid w:val="00CB3798"/>
    <w:rsid w:val="00CB4FCE"/>
    <w:rsid w:val="00CB548E"/>
    <w:rsid w:val="00CB5864"/>
    <w:rsid w:val="00CB6447"/>
    <w:rsid w:val="00CB6546"/>
    <w:rsid w:val="00CC17C8"/>
    <w:rsid w:val="00CC50CB"/>
    <w:rsid w:val="00CC5349"/>
    <w:rsid w:val="00CC5E1F"/>
    <w:rsid w:val="00CC643C"/>
    <w:rsid w:val="00CC6450"/>
    <w:rsid w:val="00CC700A"/>
    <w:rsid w:val="00CC76C8"/>
    <w:rsid w:val="00CD02E8"/>
    <w:rsid w:val="00CD18F1"/>
    <w:rsid w:val="00CD1E24"/>
    <w:rsid w:val="00CD26D6"/>
    <w:rsid w:val="00CD2F5B"/>
    <w:rsid w:val="00CD5083"/>
    <w:rsid w:val="00CD5784"/>
    <w:rsid w:val="00CD725E"/>
    <w:rsid w:val="00CE2348"/>
    <w:rsid w:val="00CE23AE"/>
    <w:rsid w:val="00CE267A"/>
    <w:rsid w:val="00CE3DF0"/>
    <w:rsid w:val="00CE4A3A"/>
    <w:rsid w:val="00CE6F69"/>
    <w:rsid w:val="00CE7389"/>
    <w:rsid w:val="00CF0838"/>
    <w:rsid w:val="00CF19D4"/>
    <w:rsid w:val="00CF378C"/>
    <w:rsid w:val="00CF3D4E"/>
    <w:rsid w:val="00CF4C76"/>
    <w:rsid w:val="00CF5213"/>
    <w:rsid w:val="00CF558F"/>
    <w:rsid w:val="00CF5C45"/>
    <w:rsid w:val="00D0087F"/>
    <w:rsid w:val="00D0240D"/>
    <w:rsid w:val="00D04278"/>
    <w:rsid w:val="00D044DD"/>
    <w:rsid w:val="00D05EAB"/>
    <w:rsid w:val="00D07BB0"/>
    <w:rsid w:val="00D07F31"/>
    <w:rsid w:val="00D07F75"/>
    <w:rsid w:val="00D10FBA"/>
    <w:rsid w:val="00D11A99"/>
    <w:rsid w:val="00D1222F"/>
    <w:rsid w:val="00D13EE5"/>
    <w:rsid w:val="00D14C3A"/>
    <w:rsid w:val="00D15368"/>
    <w:rsid w:val="00D164E4"/>
    <w:rsid w:val="00D16EC9"/>
    <w:rsid w:val="00D218A3"/>
    <w:rsid w:val="00D228C5"/>
    <w:rsid w:val="00D23CD3"/>
    <w:rsid w:val="00D24708"/>
    <w:rsid w:val="00D24FEA"/>
    <w:rsid w:val="00D25DDB"/>
    <w:rsid w:val="00D26459"/>
    <w:rsid w:val="00D34E80"/>
    <w:rsid w:val="00D377EB"/>
    <w:rsid w:val="00D408E2"/>
    <w:rsid w:val="00D40CEF"/>
    <w:rsid w:val="00D40FD1"/>
    <w:rsid w:val="00D42120"/>
    <w:rsid w:val="00D448DE"/>
    <w:rsid w:val="00D44A34"/>
    <w:rsid w:val="00D46130"/>
    <w:rsid w:val="00D50CE5"/>
    <w:rsid w:val="00D51425"/>
    <w:rsid w:val="00D5276A"/>
    <w:rsid w:val="00D534BE"/>
    <w:rsid w:val="00D535DA"/>
    <w:rsid w:val="00D54B81"/>
    <w:rsid w:val="00D560C9"/>
    <w:rsid w:val="00D56489"/>
    <w:rsid w:val="00D618B9"/>
    <w:rsid w:val="00D64CDE"/>
    <w:rsid w:val="00D6575B"/>
    <w:rsid w:val="00D66E19"/>
    <w:rsid w:val="00D70D8E"/>
    <w:rsid w:val="00D711AC"/>
    <w:rsid w:val="00D731D5"/>
    <w:rsid w:val="00D73CFC"/>
    <w:rsid w:val="00D74E8B"/>
    <w:rsid w:val="00D74FC2"/>
    <w:rsid w:val="00D75867"/>
    <w:rsid w:val="00D771E2"/>
    <w:rsid w:val="00D77B3A"/>
    <w:rsid w:val="00D77FF6"/>
    <w:rsid w:val="00D80184"/>
    <w:rsid w:val="00D81C79"/>
    <w:rsid w:val="00D81C9E"/>
    <w:rsid w:val="00D83567"/>
    <w:rsid w:val="00D84431"/>
    <w:rsid w:val="00D853FF"/>
    <w:rsid w:val="00D92B1D"/>
    <w:rsid w:val="00D9395B"/>
    <w:rsid w:val="00D94E3C"/>
    <w:rsid w:val="00D95B69"/>
    <w:rsid w:val="00D967AF"/>
    <w:rsid w:val="00DA02EE"/>
    <w:rsid w:val="00DA2231"/>
    <w:rsid w:val="00DA2F24"/>
    <w:rsid w:val="00DA4571"/>
    <w:rsid w:val="00DA7C06"/>
    <w:rsid w:val="00DB0555"/>
    <w:rsid w:val="00DB082F"/>
    <w:rsid w:val="00DB18AE"/>
    <w:rsid w:val="00DB1D33"/>
    <w:rsid w:val="00DB4162"/>
    <w:rsid w:val="00DB489B"/>
    <w:rsid w:val="00DB7FBF"/>
    <w:rsid w:val="00DC1C47"/>
    <w:rsid w:val="00DC1DA9"/>
    <w:rsid w:val="00DC2182"/>
    <w:rsid w:val="00DC2CFA"/>
    <w:rsid w:val="00DC4093"/>
    <w:rsid w:val="00DC461D"/>
    <w:rsid w:val="00DD012F"/>
    <w:rsid w:val="00DD27EE"/>
    <w:rsid w:val="00DD50EB"/>
    <w:rsid w:val="00DD579B"/>
    <w:rsid w:val="00DD6907"/>
    <w:rsid w:val="00DD7B00"/>
    <w:rsid w:val="00DE1CE8"/>
    <w:rsid w:val="00DE1D18"/>
    <w:rsid w:val="00DE6DD5"/>
    <w:rsid w:val="00DF09B5"/>
    <w:rsid w:val="00DF15C3"/>
    <w:rsid w:val="00DF19B4"/>
    <w:rsid w:val="00DF210C"/>
    <w:rsid w:val="00DF3F5F"/>
    <w:rsid w:val="00DF514E"/>
    <w:rsid w:val="00DF61BD"/>
    <w:rsid w:val="00DF671C"/>
    <w:rsid w:val="00E0029C"/>
    <w:rsid w:val="00E007E2"/>
    <w:rsid w:val="00E021F9"/>
    <w:rsid w:val="00E024C0"/>
    <w:rsid w:val="00E06485"/>
    <w:rsid w:val="00E06D8B"/>
    <w:rsid w:val="00E0727B"/>
    <w:rsid w:val="00E07DEB"/>
    <w:rsid w:val="00E10968"/>
    <w:rsid w:val="00E13F16"/>
    <w:rsid w:val="00E148CA"/>
    <w:rsid w:val="00E2310D"/>
    <w:rsid w:val="00E27D40"/>
    <w:rsid w:val="00E30FF3"/>
    <w:rsid w:val="00E31F86"/>
    <w:rsid w:val="00E326CC"/>
    <w:rsid w:val="00E36A85"/>
    <w:rsid w:val="00E372E5"/>
    <w:rsid w:val="00E37BDA"/>
    <w:rsid w:val="00E37CE6"/>
    <w:rsid w:val="00E40324"/>
    <w:rsid w:val="00E40CF9"/>
    <w:rsid w:val="00E4128A"/>
    <w:rsid w:val="00E41325"/>
    <w:rsid w:val="00E41397"/>
    <w:rsid w:val="00E41B0A"/>
    <w:rsid w:val="00E43356"/>
    <w:rsid w:val="00E4458D"/>
    <w:rsid w:val="00E45160"/>
    <w:rsid w:val="00E4736A"/>
    <w:rsid w:val="00E4760D"/>
    <w:rsid w:val="00E47E44"/>
    <w:rsid w:val="00E5149E"/>
    <w:rsid w:val="00E52DC0"/>
    <w:rsid w:val="00E535FF"/>
    <w:rsid w:val="00E540E7"/>
    <w:rsid w:val="00E54648"/>
    <w:rsid w:val="00E5516F"/>
    <w:rsid w:val="00E56411"/>
    <w:rsid w:val="00E60495"/>
    <w:rsid w:val="00E65604"/>
    <w:rsid w:val="00E67048"/>
    <w:rsid w:val="00E70144"/>
    <w:rsid w:val="00E74216"/>
    <w:rsid w:val="00E750D5"/>
    <w:rsid w:val="00E774BF"/>
    <w:rsid w:val="00E7796E"/>
    <w:rsid w:val="00E8076B"/>
    <w:rsid w:val="00E80B41"/>
    <w:rsid w:val="00E8102F"/>
    <w:rsid w:val="00E81418"/>
    <w:rsid w:val="00E8587F"/>
    <w:rsid w:val="00E85CF2"/>
    <w:rsid w:val="00E8703A"/>
    <w:rsid w:val="00E8773E"/>
    <w:rsid w:val="00E87788"/>
    <w:rsid w:val="00E907C9"/>
    <w:rsid w:val="00E9122D"/>
    <w:rsid w:val="00E9195C"/>
    <w:rsid w:val="00E91F68"/>
    <w:rsid w:val="00E9391C"/>
    <w:rsid w:val="00E94AD4"/>
    <w:rsid w:val="00E967B5"/>
    <w:rsid w:val="00E97BE0"/>
    <w:rsid w:val="00EA098F"/>
    <w:rsid w:val="00EA0990"/>
    <w:rsid w:val="00EA0BF1"/>
    <w:rsid w:val="00EA1C12"/>
    <w:rsid w:val="00EA2FAD"/>
    <w:rsid w:val="00EA4E3C"/>
    <w:rsid w:val="00EA53E0"/>
    <w:rsid w:val="00EA5ADF"/>
    <w:rsid w:val="00EA5F7A"/>
    <w:rsid w:val="00EA74CF"/>
    <w:rsid w:val="00EB68BF"/>
    <w:rsid w:val="00EB74A3"/>
    <w:rsid w:val="00EC03C9"/>
    <w:rsid w:val="00EC1008"/>
    <w:rsid w:val="00EC1724"/>
    <w:rsid w:val="00EC3F6F"/>
    <w:rsid w:val="00EC5D29"/>
    <w:rsid w:val="00EC75C7"/>
    <w:rsid w:val="00ED00AA"/>
    <w:rsid w:val="00ED2068"/>
    <w:rsid w:val="00ED2665"/>
    <w:rsid w:val="00EE0B22"/>
    <w:rsid w:val="00EE4CDE"/>
    <w:rsid w:val="00EE7ED6"/>
    <w:rsid w:val="00EF08FB"/>
    <w:rsid w:val="00EF0E73"/>
    <w:rsid w:val="00EF22F7"/>
    <w:rsid w:val="00EF2B51"/>
    <w:rsid w:val="00EF35D5"/>
    <w:rsid w:val="00F02784"/>
    <w:rsid w:val="00F03711"/>
    <w:rsid w:val="00F03901"/>
    <w:rsid w:val="00F07F84"/>
    <w:rsid w:val="00F100EE"/>
    <w:rsid w:val="00F111FF"/>
    <w:rsid w:val="00F13402"/>
    <w:rsid w:val="00F1518F"/>
    <w:rsid w:val="00F153E5"/>
    <w:rsid w:val="00F1562F"/>
    <w:rsid w:val="00F164FB"/>
    <w:rsid w:val="00F20A8C"/>
    <w:rsid w:val="00F21199"/>
    <w:rsid w:val="00F22358"/>
    <w:rsid w:val="00F27753"/>
    <w:rsid w:val="00F27B98"/>
    <w:rsid w:val="00F3029F"/>
    <w:rsid w:val="00F30487"/>
    <w:rsid w:val="00F309AD"/>
    <w:rsid w:val="00F31292"/>
    <w:rsid w:val="00F333E5"/>
    <w:rsid w:val="00F34E79"/>
    <w:rsid w:val="00F35F08"/>
    <w:rsid w:val="00F422B0"/>
    <w:rsid w:val="00F4234D"/>
    <w:rsid w:val="00F43A1A"/>
    <w:rsid w:val="00F44AAA"/>
    <w:rsid w:val="00F45213"/>
    <w:rsid w:val="00F47025"/>
    <w:rsid w:val="00F47571"/>
    <w:rsid w:val="00F50BD3"/>
    <w:rsid w:val="00F51210"/>
    <w:rsid w:val="00F521EA"/>
    <w:rsid w:val="00F52351"/>
    <w:rsid w:val="00F53165"/>
    <w:rsid w:val="00F54902"/>
    <w:rsid w:val="00F56F7F"/>
    <w:rsid w:val="00F60E4C"/>
    <w:rsid w:val="00F60EF4"/>
    <w:rsid w:val="00F6175E"/>
    <w:rsid w:val="00F63261"/>
    <w:rsid w:val="00F646A8"/>
    <w:rsid w:val="00F65C1C"/>
    <w:rsid w:val="00F67428"/>
    <w:rsid w:val="00F71795"/>
    <w:rsid w:val="00F724C0"/>
    <w:rsid w:val="00F74EBE"/>
    <w:rsid w:val="00F76317"/>
    <w:rsid w:val="00F770AD"/>
    <w:rsid w:val="00F77251"/>
    <w:rsid w:val="00F7760E"/>
    <w:rsid w:val="00F7799B"/>
    <w:rsid w:val="00F80D96"/>
    <w:rsid w:val="00F8463D"/>
    <w:rsid w:val="00F84C73"/>
    <w:rsid w:val="00F87A4B"/>
    <w:rsid w:val="00F93721"/>
    <w:rsid w:val="00F93FCB"/>
    <w:rsid w:val="00F95AA5"/>
    <w:rsid w:val="00F96A1C"/>
    <w:rsid w:val="00F97143"/>
    <w:rsid w:val="00F977A2"/>
    <w:rsid w:val="00F979B6"/>
    <w:rsid w:val="00FA12D6"/>
    <w:rsid w:val="00FA2144"/>
    <w:rsid w:val="00FA28F8"/>
    <w:rsid w:val="00FA2E32"/>
    <w:rsid w:val="00FA329B"/>
    <w:rsid w:val="00FA456B"/>
    <w:rsid w:val="00FA48B6"/>
    <w:rsid w:val="00FA73B6"/>
    <w:rsid w:val="00FA7D7C"/>
    <w:rsid w:val="00FA7FB9"/>
    <w:rsid w:val="00FB33D5"/>
    <w:rsid w:val="00FB3DF3"/>
    <w:rsid w:val="00FB55F3"/>
    <w:rsid w:val="00FC1775"/>
    <w:rsid w:val="00FC2CBE"/>
    <w:rsid w:val="00FC38C9"/>
    <w:rsid w:val="00FC4F64"/>
    <w:rsid w:val="00FC4FAD"/>
    <w:rsid w:val="00FC5302"/>
    <w:rsid w:val="00FC59CA"/>
    <w:rsid w:val="00FC773E"/>
    <w:rsid w:val="00FD0123"/>
    <w:rsid w:val="00FD0D57"/>
    <w:rsid w:val="00FD13AE"/>
    <w:rsid w:val="00FD2D65"/>
    <w:rsid w:val="00FD3572"/>
    <w:rsid w:val="00FD576D"/>
    <w:rsid w:val="00FD670D"/>
    <w:rsid w:val="00FE293D"/>
    <w:rsid w:val="00FE3F9D"/>
    <w:rsid w:val="00FE48DC"/>
    <w:rsid w:val="00FE573E"/>
    <w:rsid w:val="00FE6205"/>
    <w:rsid w:val="00FE6C2F"/>
    <w:rsid w:val="00FE7B44"/>
    <w:rsid w:val="00FF29FD"/>
    <w:rsid w:val="00FF6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1187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qFormat/>
    <w:rsid w:val="001525FC"/>
    <w:pPr>
      <w:keepNext/>
      <w:numPr>
        <w:numId w:val="1"/>
      </w:numPr>
      <w:tabs>
        <w:tab w:val="clear" w:pos="3828"/>
        <w:tab w:val="left" w:pos="284"/>
      </w:tabs>
      <w:ind w:left="0" w:firstLine="0"/>
      <w:jc w:val="center"/>
      <w:outlineLvl w:val="0"/>
    </w:pPr>
    <w:rPr>
      <w:rFonts w:cs="Arial"/>
      <w:b/>
      <w:bCs/>
      <w:kern w:val="32"/>
      <w:sz w:val="22"/>
      <w:szCs w:val="32"/>
    </w:rPr>
  </w:style>
  <w:style w:type="paragraph" w:styleId="Heading2">
    <w:name w:val="heading 2"/>
    <w:basedOn w:val="Normal"/>
    <w:next w:val="Normal"/>
    <w:qFormat/>
    <w:rsid w:val="00582788"/>
    <w:pPr>
      <w:keepNext/>
      <w:tabs>
        <w:tab w:val="left" w:pos="2268"/>
        <w:tab w:val="right" w:pos="9072"/>
      </w:tabs>
      <w:jc w:val="center"/>
      <w:outlineLvl w:val="1"/>
    </w:pPr>
    <w:rPr>
      <w:rFonts w:ascii="Arial Bold" w:hAnsi="Arial Bold" w:cs="Arial"/>
      <w:b/>
      <w:bCs/>
      <w:iCs/>
      <w:caps/>
      <w:szCs w:val="28"/>
    </w:rPr>
  </w:style>
  <w:style w:type="paragraph" w:styleId="Heading3">
    <w:name w:val="heading 3"/>
    <w:basedOn w:val="Normal"/>
    <w:next w:val="Normal"/>
    <w:link w:val="Heading3Char"/>
    <w:unhideWhenUsed/>
    <w:qFormat/>
    <w:rsid w:val="00305272"/>
    <w:pPr>
      <w:keepNext/>
      <w:keepLines/>
      <w:tabs>
        <w:tab w:val="left" w:pos="2268"/>
      </w:tabs>
      <w:ind w:left="2268" w:hanging="2268"/>
      <w:outlineLvl w:val="2"/>
    </w:pPr>
    <w:rPr>
      <w:rFonts w:ascii="Arial Bold" w:eastAsiaTheme="majorEastAsia" w:hAnsi="Arial Bold" w:cstheme="majorBidi"/>
      <w:b/>
      <w:bCs/>
      <w:caps/>
      <w:sz w:val="22"/>
    </w:rPr>
  </w:style>
  <w:style w:type="paragraph" w:styleId="Heading4">
    <w:name w:val="heading 4"/>
    <w:basedOn w:val="Normal"/>
    <w:next w:val="Normal"/>
    <w:qFormat/>
    <w:rsid w:val="007343FE"/>
    <w:pPr>
      <w:keepNext/>
      <w:spacing w:before="120" w:after="60"/>
      <w:ind w:left="567" w:right="567"/>
      <w:jc w:val="center"/>
      <w:outlineLvl w:val="3"/>
    </w:pPr>
    <w:rPr>
      <w:rFonts w:ascii="Arial Bold" w:hAnsi="Arial Bold"/>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semiHidden/>
    <w:rsid w:val="007C76C9"/>
    <w:rPr>
      <w:szCs w:val="20"/>
    </w:rPr>
  </w:style>
  <w:style w:type="character" w:styleId="FootnoteReference">
    <w:name w:val="footnote reference"/>
    <w:rsid w:val="007C76C9"/>
    <w:rPr>
      <w:vertAlign w:val="superscript"/>
    </w:rPr>
  </w:style>
  <w:style w:type="paragraph" w:styleId="BalloonText">
    <w:name w:val="Balloon Text"/>
    <w:basedOn w:val="Normal"/>
    <w:semiHidden/>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semiHidden/>
    <w:rsid w:val="00BE1EF6"/>
    <w:rPr>
      <w:sz w:val="16"/>
      <w:szCs w:val="16"/>
    </w:rPr>
  </w:style>
  <w:style w:type="paragraph" w:styleId="CommentText">
    <w:name w:val="annotation text"/>
    <w:basedOn w:val="Normal"/>
    <w:link w:val="CommentTextChar"/>
    <w:semiHidden/>
    <w:rsid w:val="00BE1EF6"/>
    <w:rPr>
      <w:szCs w:val="20"/>
    </w:rPr>
  </w:style>
  <w:style w:type="paragraph" w:styleId="CommentSubject">
    <w:name w:val="annotation subject"/>
    <w:basedOn w:val="CommentText"/>
    <w:next w:val="CommentText"/>
    <w:semiHidden/>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8A725B"/>
    <w:pPr>
      <w:tabs>
        <w:tab w:val="right" w:pos="9356"/>
      </w:tabs>
      <w:spacing w:before="240" w:after="120"/>
      <w:ind w:left="2665" w:right="284" w:hanging="2381"/>
    </w:pPr>
    <w:rPr>
      <w:rFonts w:ascii="Arial Bold" w:hAnsi="Arial Bold"/>
      <w:b/>
      <w:szCs w:val="20"/>
    </w:rPr>
  </w:style>
  <w:style w:type="paragraph" w:styleId="TOC1">
    <w:name w:val="toc 1"/>
    <w:basedOn w:val="Normal"/>
    <w:next w:val="Normal"/>
    <w:autoRedefine/>
    <w:uiPriority w:val="39"/>
    <w:qFormat/>
    <w:rsid w:val="008A725B"/>
    <w:pPr>
      <w:tabs>
        <w:tab w:val="left" w:pos="567"/>
        <w:tab w:val="right" w:pos="9356"/>
      </w:tabs>
      <w:spacing w:before="240" w:after="240"/>
      <w:ind w:left="567" w:hanging="567"/>
    </w:pPr>
    <w:rPr>
      <w:b/>
      <w:noProof/>
      <w:sz w:val="22"/>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semiHidden/>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035B75"/>
    <w:rPr>
      <w:rFonts w:ascii="Arial" w:hAnsi="Arial"/>
      <w:b/>
      <w:iCs/>
      <w:caps/>
      <w:szCs w:val="22"/>
    </w:rPr>
  </w:style>
  <w:style w:type="character" w:customStyle="1" w:styleId="FooterChar">
    <w:name w:val="Footer Char"/>
    <w:basedOn w:val="DefaultParagraphFont"/>
    <w:link w:val="Footer"/>
    <w:uiPriority w:val="99"/>
    <w:rsid w:val="00FC4F64"/>
    <w:rPr>
      <w:rFonts w:ascii="Arial" w:hAnsi="Arial"/>
      <w:szCs w:val="24"/>
    </w:rPr>
  </w:style>
  <w:style w:type="paragraph" w:styleId="TOC3">
    <w:name w:val="toc 3"/>
    <w:basedOn w:val="Normal"/>
    <w:next w:val="Normal"/>
    <w:autoRedefine/>
    <w:uiPriority w:val="39"/>
    <w:qFormat/>
    <w:rsid w:val="008A725B"/>
    <w:pPr>
      <w:tabs>
        <w:tab w:val="right" w:leader="dot" w:pos="9356"/>
      </w:tabs>
      <w:spacing w:before="120" w:after="120"/>
      <w:ind w:left="1985" w:right="1134" w:hanging="1418"/>
    </w:pPr>
  </w:style>
  <w:style w:type="character" w:customStyle="1" w:styleId="Heading3Char">
    <w:name w:val="Heading 3 Char"/>
    <w:basedOn w:val="DefaultParagraphFont"/>
    <w:link w:val="Heading3"/>
    <w:rsid w:val="00305272"/>
    <w:rPr>
      <w:rFonts w:ascii="Arial Bold" w:eastAsiaTheme="majorEastAsia" w:hAnsi="Arial Bold" w:cstheme="majorBidi"/>
      <w:b/>
      <w:bCs/>
      <w:caps/>
      <w:sz w:val="22"/>
      <w:szCs w:val="24"/>
    </w:rPr>
  </w:style>
  <w:style w:type="character" w:customStyle="1" w:styleId="st">
    <w:name w:val="st"/>
    <w:basedOn w:val="DefaultParagraphFont"/>
    <w:rsid w:val="008B3E53"/>
  </w:style>
  <w:style w:type="character" w:customStyle="1" w:styleId="CommentTextChar">
    <w:name w:val="Comment Text Char"/>
    <w:basedOn w:val="DefaultParagraphFont"/>
    <w:link w:val="CommentText"/>
    <w:semiHidden/>
    <w:rsid w:val="008B3E53"/>
    <w:rPr>
      <w:rFonts w:ascii="Arial" w:hAnsi="Arial"/>
    </w:rPr>
  </w:style>
  <w:style w:type="paragraph" w:customStyle="1" w:styleId="Style1">
    <w:name w:val="Style1"/>
    <w:basedOn w:val="Normal"/>
    <w:qFormat/>
    <w:rsid w:val="005660B2"/>
    <w:pPr>
      <w:numPr>
        <w:numId w:val="40"/>
      </w:numPr>
    </w:pPr>
  </w:style>
  <w:style w:type="paragraph" w:styleId="PlainText">
    <w:name w:val="Plain Text"/>
    <w:basedOn w:val="Normal"/>
    <w:link w:val="PlainTextChar"/>
    <w:uiPriority w:val="99"/>
    <w:unhideWhenUsed/>
    <w:rsid w:val="000B5438"/>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0B5438"/>
    <w:rPr>
      <w:rFonts w:ascii="Courier New" w:eastAsiaTheme="minorHAnsi" w:hAnsi="Courier New" w:cstheme="minorBidi"/>
      <w:sz w:val="22"/>
      <w:szCs w:val="21"/>
    </w:rPr>
  </w:style>
  <w:style w:type="paragraph" w:styleId="NoSpacing">
    <w:name w:val="No Spacing"/>
    <w:uiPriority w:val="1"/>
    <w:qFormat/>
    <w:rsid w:val="000B5438"/>
    <w:rPr>
      <w:rFonts w:asciiTheme="minorHAnsi" w:eastAsiaTheme="minorHAnsi" w:hAnsiTheme="minorHAnsi" w:cstheme="minorBidi"/>
      <w:sz w:val="22"/>
      <w:szCs w:val="22"/>
    </w:rPr>
  </w:style>
  <w:style w:type="paragraph" w:customStyle="1" w:styleId="CharCharCharChar0">
    <w:name w:val="Char Char Char Char"/>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rFonts w:ascii="Arial" w:eastAsia="Times New Roman" w:hAnsi="Arial" w:cs="Arial"/>
      <w:bCs w:val="0"/>
      <w:iCs/>
      <w:caps w:val="0"/>
      <w:szCs w:val="22"/>
    </w:rPr>
  </w:style>
  <w:style w:type="character" w:customStyle="1" w:styleId="StyleHeading3ComplexItalicChar">
    <w:name w:val="Style Heading 3 + (Complex) Italic Char"/>
    <w:link w:val="StyleHeading3ComplexItalic"/>
    <w:rsid w:val="00121D79"/>
    <w:rPr>
      <w:rFonts w:ascii="Arial" w:hAnsi="Arial" w:cs="Arial"/>
      <w:b/>
      <w:iCs/>
      <w:caps/>
      <w:sz w:val="22"/>
      <w:szCs w:val="22"/>
    </w:rPr>
  </w:style>
  <w:style w:type="paragraph" w:customStyle="1" w:styleId="Test">
    <w:name w:val="Test"/>
    <w:basedOn w:val="Normal"/>
    <w:qFormat/>
    <w:rsid w:val="0078145B"/>
    <w:pPr>
      <w:numPr>
        <w:numId w:val="76"/>
      </w:numPr>
    </w:pPr>
    <w:rPr>
      <w:rFonts w:eastAsiaTheme="minorHAnsi"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rsid w:val="005703CF"/>
    <w:rPr>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rsid w:val="005703CF"/>
    <w:rPr>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rsid w:val="005703CF"/>
    <w:rPr>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81"/>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
    <w:basedOn w:val="Normal"/>
    <w:rsid w:val="005703CF"/>
    <w:pPr>
      <w:spacing w:after="160" w:line="240" w:lineRule="exact"/>
    </w:pPr>
    <w:rPr>
      <w:rFonts w:ascii="Verdana" w:hAnsi="Verdana"/>
      <w:szCs w:val="20"/>
      <w:lang w:val="en-GB"/>
    </w:rPr>
  </w:style>
  <w:style w:type="character" w:customStyle="1" w:styleId="CharChar0">
    <w:name w:val="Char Char"/>
    <w:locked/>
    <w:rsid w:val="005703CF"/>
    <w:rPr>
      <w:rFonts w:ascii="Arial" w:hAnsi="Arial" w:cs="Times New Roman"/>
      <w:lang w:val="en-US" w:eastAsia="en-US" w:bidi="ar-SA"/>
    </w:rPr>
  </w:style>
  <w:style w:type="paragraph" w:customStyle="1" w:styleId="CarCar0">
    <w:name w:val="Car Car"/>
    <w:basedOn w:val="Normal"/>
    <w:rsid w:val="005703CF"/>
    <w:pPr>
      <w:spacing w:after="160" w:line="240" w:lineRule="exact"/>
    </w:pPr>
    <w:rPr>
      <w:rFonts w:ascii="Verdana" w:hAnsi="Verdana"/>
      <w:szCs w:val="20"/>
      <w:lang w:val="en-GB"/>
    </w:rPr>
  </w:style>
  <w:style w:type="character" w:customStyle="1" w:styleId="CharChar20">
    <w:name w:val="Char Char2"/>
    <w:rsid w:val="005703CF"/>
    <w:rPr>
      <w:rFonts w:ascii="Arial" w:hAnsi="Arial"/>
      <w:lang w:val="en-US" w:eastAsia="en-US" w:bidi="ar-SA"/>
    </w:rPr>
  </w:style>
  <w:style w:type="character" w:customStyle="1" w:styleId="CharChar30">
    <w:name w:val="Char Char3"/>
    <w:rsid w:val="005703CF"/>
    <w:rPr>
      <w:rFonts w:ascii="Arial" w:hAnsi="Arial"/>
      <w:lang w:val="en-US" w:eastAsia="en-US" w:bidi="ar-SA"/>
    </w:rPr>
  </w:style>
  <w:style w:type="character" w:customStyle="1" w:styleId="CharChar40">
    <w:name w:val="Char Char4"/>
    <w:rsid w:val="005703CF"/>
    <w:rPr>
      <w:rFonts w:ascii="Arial" w:hAnsi="Arial"/>
      <w:lang w:val="en-US" w:eastAsia="en-US" w:bidi="ar-SA"/>
    </w:rPr>
  </w:style>
  <w:style w:type="character" w:customStyle="1" w:styleId="CharChar60">
    <w:name w:val="Char Char6"/>
    <w:rsid w:val="005703CF"/>
    <w:rPr>
      <w:rFonts w:ascii="Arial" w:hAnsi="Arial"/>
      <w:lang w:val="en-US" w:eastAsia="en-US" w:bidi="ar-SA"/>
    </w:rPr>
  </w:style>
  <w:style w:type="paragraph" w:customStyle="1" w:styleId="Char0">
    <w:name w:val="Char 字元 字元"/>
    <w:basedOn w:val="Normal"/>
    <w:rsid w:val="005703CF"/>
    <w:pPr>
      <w:spacing w:after="160" w:line="240" w:lineRule="exact"/>
    </w:pPr>
    <w:rPr>
      <w:rFonts w:ascii="Verdana" w:eastAsia="PMingLiU" w:hAnsi="Verdana"/>
      <w:szCs w:val="20"/>
    </w:rPr>
  </w:style>
  <w:style w:type="character" w:customStyle="1" w:styleId="HeaderChar">
    <w:name w:val="Header Char"/>
    <w:link w:val="Header"/>
    <w:locked/>
    <w:rsid w:val="005703CF"/>
    <w:rPr>
      <w:rFonts w:ascii="Arial" w:hAnsi="Arial"/>
      <w:szCs w:val="24"/>
    </w:rPr>
  </w:style>
  <w:style w:type="table" w:customStyle="1" w:styleId="TableGrid1">
    <w:name w:val="Table Grid1"/>
    <w:basedOn w:val="TableNormal"/>
    <w:next w:val="TableGrid"/>
    <w:uiPriority w:val="59"/>
    <w:rsid w:val="00035F8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343FE"/>
    <w:pPr>
      <w:keepLines/>
      <w:numPr>
        <w:numId w:val="0"/>
      </w:numPr>
      <w:tabs>
        <w:tab w:val="clear" w:pos="284"/>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rFonts w:eastAsiaTheme="minorHAnsi"/>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243AF"/>
    <w:rPr>
      <w:rFonts w:ascii="Arial" w:hAnsi="Arial"/>
      <w:szCs w:val="24"/>
    </w:rPr>
  </w:style>
  <w:style w:type="paragraph" w:styleId="Heading1">
    <w:name w:val="heading 1"/>
    <w:basedOn w:val="Normal"/>
    <w:next w:val="Normal"/>
    <w:qFormat/>
    <w:rsid w:val="001525FC"/>
    <w:pPr>
      <w:keepNext/>
      <w:numPr>
        <w:numId w:val="1"/>
      </w:numPr>
      <w:tabs>
        <w:tab w:val="clear" w:pos="3828"/>
        <w:tab w:val="left" w:pos="284"/>
      </w:tabs>
      <w:ind w:left="0" w:firstLine="0"/>
      <w:jc w:val="center"/>
      <w:outlineLvl w:val="0"/>
    </w:pPr>
    <w:rPr>
      <w:rFonts w:cs="Arial"/>
      <w:b/>
      <w:bCs/>
      <w:kern w:val="32"/>
      <w:sz w:val="22"/>
      <w:szCs w:val="32"/>
    </w:rPr>
  </w:style>
  <w:style w:type="paragraph" w:styleId="Heading2">
    <w:name w:val="heading 2"/>
    <w:basedOn w:val="Normal"/>
    <w:next w:val="Normal"/>
    <w:qFormat/>
    <w:rsid w:val="00582788"/>
    <w:pPr>
      <w:keepNext/>
      <w:tabs>
        <w:tab w:val="left" w:pos="2268"/>
        <w:tab w:val="right" w:pos="9072"/>
      </w:tabs>
      <w:jc w:val="center"/>
      <w:outlineLvl w:val="1"/>
    </w:pPr>
    <w:rPr>
      <w:rFonts w:ascii="Arial Bold" w:hAnsi="Arial Bold" w:cs="Arial"/>
      <w:b/>
      <w:bCs/>
      <w:iCs/>
      <w:caps/>
      <w:szCs w:val="28"/>
    </w:rPr>
  </w:style>
  <w:style w:type="paragraph" w:styleId="Heading3">
    <w:name w:val="heading 3"/>
    <w:basedOn w:val="Normal"/>
    <w:next w:val="Normal"/>
    <w:link w:val="Heading3Char"/>
    <w:unhideWhenUsed/>
    <w:qFormat/>
    <w:rsid w:val="00305272"/>
    <w:pPr>
      <w:keepNext/>
      <w:keepLines/>
      <w:tabs>
        <w:tab w:val="left" w:pos="2268"/>
      </w:tabs>
      <w:ind w:left="2268" w:hanging="2268"/>
      <w:outlineLvl w:val="2"/>
    </w:pPr>
    <w:rPr>
      <w:rFonts w:ascii="Arial Bold" w:eastAsiaTheme="majorEastAsia" w:hAnsi="Arial Bold" w:cstheme="majorBidi"/>
      <w:b/>
      <w:bCs/>
      <w:caps/>
      <w:sz w:val="22"/>
    </w:rPr>
  </w:style>
  <w:style w:type="paragraph" w:styleId="Heading4">
    <w:name w:val="heading 4"/>
    <w:basedOn w:val="Normal"/>
    <w:next w:val="Normal"/>
    <w:qFormat/>
    <w:rsid w:val="007343FE"/>
    <w:pPr>
      <w:keepNext/>
      <w:spacing w:before="120" w:after="60"/>
      <w:ind w:left="567" w:right="567"/>
      <w:jc w:val="center"/>
      <w:outlineLvl w:val="3"/>
    </w:pPr>
    <w:rPr>
      <w:rFonts w:ascii="Arial Bold" w:hAnsi="Arial Bold"/>
      <w:b/>
      <w:bCs/>
      <w:cap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536"/>
        <w:tab w:val="right" w:pos="9072"/>
      </w:tabs>
    </w:pPr>
  </w:style>
  <w:style w:type="table" w:styleId="TableGrid">
    <w:name w:val="Table Grid"/>
    <w:basedOn w:val="TableNormal"/>
    <w:rsid w:val="007658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Normal"/>
    <w:rsid w:val="007658A8"/>
    <w:pPr>
      <w:spacing w:after="160" w:line="240" w:lineRule="exact"/>
    </w:pPr>
    <w:rPr>
      <w:rFonts w:ascii="Verdana" w:hAnsi="Verdana"/>
      <w:szCs w:val="20"/>
      <w:lang w:val="en-GB"/>
    </w:rPr>
  </w:style>
  <w:style w:type="paragraph" w:styleId="BodyText">
    <w:name w:val="Body Text"/>
    <w:basedOn w:val="Normal"/>
    <w:link w:val="BodyTextChar"/>
    <w:rsid w:val="007658A8"/>
    <w:rPr>
      <w:szCs w:val="20"/>
    </w:rPr>
  </w:style>
  <w:style w:type="character" w:customStyle="1" w:styleId="BodyTextChar">
    <w:name w:val="Body Text Char"/>
    <w:link w:val="BodyText"/>
    <w:rsid w:val="007658A8"/>
    <w:rPr>
      <w:rFonts w:ascii="Arial" w:hAnsi="Arial"/>
      <w:lang w:val="en-US" w:eastAsia="en-US" w:bidi="ar-SA"/>
    </w:rPr>
  </w:style>
  <w:style w:type="paragraph" w:styleId="BodyTextIndent">
    <w:name w:val="Body Text Indent"/>
    <w:basedOn w:val="Normal"/>
    <w:rsid w:val="00101F3F"/>
    <w:pPr>
      <w:ind w:left="567"/>
    </w:pPr>
    <w:rPr>
      <w:szCs w:val="20"/>
    </w:rPr>
  </w:style>
  <w:style w:type="paragraph" w:styleId="Footer">
    <w:name w:val="footer"/>
    <w:basedOn w:val="Normal"/>
    <w:link w:val="FooterChar"/>
    <w:rsid w:val="00101F3F"/>
    <w:pPr>
      <w:tabs>
        <w:tab w:val="center" w:pos="4320"/>
        <w:tab w:val="right" w:pos="8640"/>
      </w:tabs>
    </w:pPr>
  </w:style>
  <w:style w:type="character" w:styleId="PageNumber">
    <w:name w:val="page number"/>
    <w:basedOn w:val="DefaultParagraphFont"/>
    <w:rsid w:val="00101F3F"/>
  </w:style>
  <w:style w:type="character" w:customStyle="1" w:styleId="CharChar">
    <w:name w:val="Char Char"/>
    <w:locked/>
    <w:rsid w:val="00FA18B8"/>
    <w:rPr>
      <w:rFonts w:ascii="Arial" w:hAnsi="Arial" w:cs="Times New Roman"/>
      <w:lang w:val="en-US" w:eastAsia="en-US" w:bidi="ar-SA"/>
    </w:rPr>
  </w:style>
  <w:style w:type="character" w:styleId="Hyperlink">
    <w:name w:val="Hyperlink"/>
    <w:uiPriority w:val="99"/>
    <w:rsid w:val="00BE6194"/>
    <w:rPr>
      <w:color w:val="000099"/>
      <w:u w:val="single"/>
    </w:rPr>
  </w:style>
  <w:style w:type="paragraph" w:styleId="FootnoteText">
    <w:name w:val="footnote text"/>
    <w:basedOn w:val="Normal"/>
    <w:link w:val="FootnoteTextChar"/>
    <w:semiHidden/>
    <w:rsid w:val="007C76C9"/>
    <w:rPr>
      <w:szCs w:val="20"/>
    </w:rPr>
  </w:style>
  <w:style w:type="character" w:styleId="FootnoteReference">
    <w:name w:val="footnote reference"/>
    <w:rsid w:val="007C76C9"/>
    <w:rPr>
      <w:vertAlign w:val="superscript"/>
    </w:rPr>
  </w:style>
  <w:style w:type="paragraph" w:styleId="BalloonText">
    <w:name w:val="Balloon Text"/>
    <w:basedOn w:val="Normal"/>
    <w:semiHidden/>
    <w:rsid w:val="005C3C2A"/>
    <w:rPr>
      <w:rFonts w:ascii="Tahoma" w:hAnsi="Tahoma" w:cs="Tahoma"/>
      <w:sz w:val="16"/>
      <w:szCs w:val="16"/>
    </w:rPr>
  </w:style>
  <w:style w:type="paragraph" w:customStyle="1" w:styleId="CarCar">
    <w:name w:val="Car Car"/>
    <w:basedOn w:val="Normal"/>
    <w:rsid w:val="00F229CA"/>
    <w:pPr>
      <w:spacing w:after="160" w:line="240" w:lineRule="exact"/>
    </w:pPr>
    <w:rPr>
      <w:rFonts w:ascii="Verdana" w:hAnsi="Verdana"/>
      <w:szCs w:val="20"/>
      <w:lang w:val="en-GB"/>
    </w:rPr>
  </w:style>
  <w:style w:type="character" w:styleId="CommentReference">
    <w:name w:val="annotation reference"/>
    <w:semiHidden/>
    <w:rsid w:val="00BE1EF6"/>
    <w:rPr>
      <w:sz w:val="16"/>
      <w:szCs w:val="16"/>
    </w:rPr>
  </w:style>
  <w:style w:type="paragraph" w:styleId="CommentText">
    <w:name w:val="annotation text"/>
    <w:basedOn w:val="Normal"/>
    <w:link w:val="CommentTextChar"/>
    <w:semiHidden/>
    <w:rsid w:val="00BE1EF6"/>
    <w:rPr>
      <w:szCs w:val="20"/>
    </w:rPr>
  </w:style>
  <w:style w:type="paragraph" w:styleId="CommentSubject">
    <w:name w:val="annotation subject"/>
    <w:basedOn w:val="CommentText"/>
    <w:next w:val="CommentText"/>
    <w:semiHidden/>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TOC2">
    <w:name w:val="toc 2"/>
    <w:basedOn w:val="Normal"/>
    <w:next w:val="Normal"/>
    <w:autoRedefine/>
    <w:uiPriority w:val="39"/>
    <w:qFormat/>
    <w:rsid w:val="008A725B"/>
    <w:pPr>
      <w:tabs>
        <w:tab w:val="right" w:pos="9356"/>
      </w:tabs>
      <w:spacing w:before="240" w:after="120"/>
      <w:ind w:left="2665" w:right="284" w:hanging="2381"/>
    </w:pPr>
    <w:rPr>
      <w:rFonts w:ascii="Arial Bold" w:hAnsi="Arial Bold"/>
      <w:b/>
      <w:szCs w:val="20"/>
    </w:rPr>
  </w:style>
  <w:style w:type="paragraph" w:styleId="TOC1">
    <w:name w:val="toc 1"/>
    <w:basedOn w:val="Normal"/>
    <w:next w:val="Normal"/>
    <w:autoRedefine/>
    <w:uiPriority w:val="39"/>
    <w:qFormat/>
    <w:rsid w:val="008A725B"/>
    <w:pPr>
      <w:tabs>
        <w:tab w:val="left" w:pos="567"/>
        <w:tab w:val="right" w:pos="9356"/>
      </w:tabs>
      <w:spacing w:before="240" w:after="240"/>
      <w:ind w:left="567" w:hanging="567"/>
    </w:pPr>
    <w:rPr>
      <w:b/>
      <w:noProof/>
      <w:sz w:val="22"/>
    </w:rPr>
  </w:style>
  <w:style w:type="paragraph" w:customStyle="1" w:styleId="Indicators">
    <w:name w:val="Indicators"/>
    <w:basedOn w:val="Normal"/>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Normal"/>
    <w:rsid w:val="00222A8D"/>
    <w:pPr>
      <w:spacing w:after="120" w:line="260" w:lineRule="exact"/>
      <w:ind w:left="5534"/>
    </w:pPr>
    <w:rPr>
      <w:i/>
      <w:szCs w:val="20"/>
    </w:rPr>
  </w:style>
  <w:style w:type="paragraph" w:customStyle="1" w:styleId="preparedby">
    <w:name w:val="prepared by"/>
    <w:basedOn w:val="Normal"/>
    <w:next w:val="Normal"/>
    <w:rsid w:val="00222A8D"/>
    <w:pPr>
      <w:spacing w:after="480" w:line="260" w:lineRule="exact"/>
      <w:ind w:left="1021"/>
    </w:pPr>
    <w:rPr>
      <w:i/>
      <w:szCs w:val="20"/>
    </w:rPr>
  </w:style>
  <w:style w:type="paragraph" w:customStyle="1" w:styleId="Documenttitle">
    <w:name w:val="Document title"/>
    <w:basedOn w:val="Normal"/>
    <w:rsid w:val="00222A8D"/>
    <w:pPr>
      <w:spacing w:before="1200" w:after="120" w:line="260" w:lineRule="exact"/>
      <w:ind w:left="1021"/>
    </w:pPr>
    <w:rPr>
      <w:b/>
      <w:caps/>
      <w:szCs w:val="20"/>
    </w:rPr>
  </w:style>
  <w:style w:type="paragraph" w:customStyle="1" w:styleId="MeetinglanguageDate">
    <w:name w:val="Meeting language &amp; Date"/>
    <w:basedOn w:val="Normal"/>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Normal"/>
    <w:next w:val="Normal"/>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Normal"/>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BlockText">
    <w:name w:val="Block Text"/>
    <w:basedOn w:val="Normal"/>
    <w:rsid w:val="009100BA"/>
    <w:pPr>
      <w:spacing w:before="60" w:after="60"/>
      <w:ind w:left="266" w:right="142"/>
    </w:pPr>
    <w:rPr>
      <w:sz w:val="22"/>
      <w:szCs w:val="20"/>
    </w:rPr>
  </w:style>
  <w:style w:type="paragraph" w:customStyle="1" w:styleId="BoxText1">
    <w:name w:val="Box Text1"/>
    <w:basedOn w:val="Normal"/>
    <w:rsid w:val="009100BA"/>
    <w:pPr>
      <w:ind w:left="284"/>
    </w:pPr>
    <w:rPr>
      <w:snapToGrid w:val="0"/>
      <w:sz w:val="22"/>
      <w:szCs w:val="20"/>
    </w:rPr>
  </w:style>
  <w:style w:type="paragraph" w:customStyle="1" w:styleId="Normal1">
    <w:name w:val="Normal+1"/>
    <w:basedOn w:val="Normal"/>
    <w:next w:val="Normal"/>
    <w:rsid w:val="00191E10"/>
    <w:pPr>
      <w:autoSpaceDE w:val="0"/>
      <w:autoSpaceDN w:val="0"/>
      <w:adjustRightInd w:val="0"/>
    </w:pPr>
  </w:style>
  <w:style w:type="paragraph" w:styleId="NormalWeb">
    <w:name w:val="Normal (Web)"/>
    <w:basedOn w:val="Normal"/>
    <w:uiPriority w:val="99"/>
    <w:rsid w:val="00EE4CDE"/>
    <w:pPr>
      <w:spacing w:before="100" w:beforeAutospacing="1" w:after="100" w:afterAutospacing="1"/>
    </w:pPr>
    <w:rPr>
      <w:rFonts w:cs="Arial"/>
      <w:sz w:val="18"/>
      <w:szCs w:val="18"/>
    </w:rPr>
  </w:style>
  <w:style w:type="paragraph" w:styleId="BodyText2">
    <w:name w:val="Body Text 2"/>
    <w:basedOn w:val="Normal"/>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ListParagraph">
    <w:name w:val="List Paragraph"/>
    <w:basedOn w:val="Normal"/>
    <w:uiPriority w:val="34"/>
    <w:qFormat/>
    <w:rsid w:val="003071E6"/>
    <w:pPr>
      <w:ind w:left="720"/>
    </w:pPr>
    <w:rPr>
      <w:szCs w:val="20"/>
    </w:rPr>
  </w:style>
  <w:style w:type="character" w:styleId="FollowedHyperlink">
    <w:name w:val="FollowedHyperlink"/>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DefaultParagraphFont"/>
    <w:rsid w:val="008A7EEB"/>
  </w:style>
  <w:style w:type="paragraph" w:customStyle="1" w:styleId="FreeFormA">
    <w:name w:val="Free Form A"/>
    <w:rsid w:val="003214B5"/>
    <w:rPr>
      <w:rFonts w:ascii="Helvetica" w:eastAsia="ヒラギノ角ゴ Pro W3" w:hAnsi="Helvetica"/>
      <w:color w:val="000000"/>
      <w:sz w:val="24"/>
    </w:rPr>
  </w:style>
  <w:style w:type="paragraph" w:customStyle="1" w:styleId="ONUME">
    <w:name w:val="ONUM E"/>
    <w:basedOn w:val="BodyText"/>
    <w:rsid w:val="00042826"/>
    <w:pPr>
      <w:spacing w:after="220"/>
    </w:pPr>
    <w:rPr>
      <w:rFonts w:eastAsia="SimSun" w:cs="Arial"/>
      <w:lang w:eastAsia="zh-CN"/>
    </w:rPr>
  </w:style>
  <w:style w:type="paragraph" w:customStyle="1" w:styleId="Char">
    <w:name w:val="Char 字元 字元"/>
    <w:basedOn w:val="Normal"/>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ヒラギノ角ゴ Pro W3"/>
      <w:color w:val="000000"/>
    </w:rPr>
  </w:style>
  <w:style w:type="paragraph" w:customStyle="1" w:styleId="Heading2A">
    <w:name w:val="Heading 2 A"/>
    <w:next w:val="Normal"/>
    <w:rsid w:val="009336F3"/>
    <w:pPr>
      <w:keepNext/>
      <w:tabs>
        <w:tab w:val="left" w:pos="567"/>
        <w:tab w:val="right" w:pos="9072"/>
      </w:tabs>
      <w:ind w:left="1701" w:hanging="1701"/>
      <w:outlineLvl w:val="1"/>
    </w:pPr>
    <w:rPr>
      <w:rFonts w:ascii="Arial Bold" w:eastAsia="ヒラギノ角ゴ Pro W3" w:hAnsi="Arial Bold"/>
      <w:color w:val="000000"/>
      <w:sz w:val="22"/>
    </w:rPr>
  </w:style>
  <w:style w:type="character" w:customStyle="1" w:styleId="FootnoteTextChar">
    <w:name w:val="Footnote Text Char"/>
    <w:link w:val="FootnoteText"/>
    <w:semiHidden/>
    <w:locked/>
    <w:rsid w:val="00415453"/>
    <w:rPr>
      <w:lang w:val="en-US" w:eastAsia="en-US" w:bidi="ar-SA"/>
    </w:rPr>
  </w:style>
  <w:style w:type="paragraph" w:customStyle="1" w:styleId="Normal-Header">
    <w:name w:val="Normal-Header"/>
    <w:rsid w:val="008B6ED6"/>
    <w:rPr>
      <w:rFonts w:ascii="Arial" w:hAnsi="Arial"/>
      <w:sz w:val="16"/>
    </w:rPr>
  </w:style>
  <w:style w:type="character" w:styleId="PlaceholderText">
    <w:name w:val="Placeholder Text"/>
    <w:basedOn w:val="DefaultParagraphFont"/>
    <w:uiPriority w:val="99"/>
    <w:semiHidden/>
    <w:rsid w:val="00400A45"/>
    <w:rPr>
      <w:color w:val="808080"/>
    </w:rPr>
  </w:style>
  <w:style w:type="character" w:customStyle="1" w:styleId="Style5">
    <w:name w:val="Style5"/>
    <w:basedOn w:val="DefaultParagraphFont"/>
    <w:uiPriority w:val="99"/>
    <w:rsid w:val="00400A45"/>
    <w:rPr>
      <w:rFonts w:asciiTheme="minorHAnsi" w:hAnsiTheme="minorHAnsi"/>
      <w:sz w:val="20"/>
    </w:rPr>
  </w:style>
  <w:style w:type="paragraph" w:styleId="Revision">
    <w:name w:val="Revision"/>
    <w:hidden/>
    <w:uiPriority w:val="99"/>
    <w:semiHidden/>
    <w:rsid w:val="00A93FCA"/>
    <w:rPr>
      <w:rFonts w:ascii="Arial" w:hAnsi="Arial"/>
      <w:szCs w:val="24"/>
    </w:rPr>
  </w:style>
  <w:style w:type="paragraph" w:customStyle="1" w:styleId="StyleStyleHeading3ComplexItalicLatin12pt">
    <w:name w:val="Style Style Heading 3 + (Complex) Italic + (Latin) 12 pt"/>
    <w:basedOn w:val="Normal"/>
    <w:link w:val="StyleStyleHeading3ComplexItalicLatin12ptChar"/>
    <w:rsid w:val="00035B75"/>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DefaultParagraphFont"/>
    <w:link w:val="StyleStyleHeading3ComplexItalicLatin12pt"/>
    <w:rsid w:val="00035B75"/>
    <w:rPr>
      <w:rFonts w:ascii="Arial" w:hAnsi="Arial"/>
      <w:b/>
      <w:iCs/>
      <w:caps/>
      <w:szCs w:val="22"/>
    </w:rPr>
  </w:style>
  <w:style w:type="character" w:customStyle="1" w:styleId="FooterChar">
    <w:name w:val="Footer Char"/>
    <w:basedOn w:val="DefaultParagraphFont"/>
    <w:link w:val="Footer"/>
    <w:uiPriority w:val="99"/>
    <w:rsid w:val="00FC4F64"/>
    <w:rPr>
      <w:rFonts w:ascii="Arial" w:hAnsi="Arial"/>
      <w:szCs w:val="24"/>
    </w:rPr>
  </w:style>
  <w:style w:type="paragraph" w:styleId="TOC3">
    <w:name w:val="toc 3"/>
    <w:basedOn w:val="Normal"/>
    <w:next w:val="Normal"/>
    <w:autoRedefine/>
    <w:uiPriority w:val="39"/>
    <w:qFormat/>
    <w:rsid w:val="008A725B"/>
    <w:pPr>
      <w:tabs>
        <w:tab w:val="right" w:leader="dot" w:pos="9356"/>
      </w:tabs>
      <w:spacing w:before="120" w:after="120"/>
      <w:ind w:left="1985" w:right="1134" w:hanging="1418"/>
    </w:pPr>
  </w:style>
  <w:style w:type="character" w:customStyle="1" w:styleId="Heading3Char">
    <w:name w:val="Heading 3 Char"/>
    <w:basedOn w:val="DefaultParagraphFont"/>
    <w:link w:val="Heading3"/>
    <w:rsid w:val="00305272"/>
    <w:rPr>
      <w:rFonts w:ascii="Arial Bold" w:eastAsiaTheme="majorEastAsia" w:hAnsi="Arial Bold" w:cstheme="majorBidi"/>
      <w:b/>
      <w:bCs/>
      <w:caps/>
      <w:sz w:val="22"/>
      <w:szCs w:val="24"/>
    </w:rPr>
  </w:style>
  <w:style w:type="character" w:customStyle="1" w:styleId="st">
    <w:name w:val="st"/>
    <w:basedOn w:val="DefaultParagraphFont"/>
    <w:rsid w:val="008B3E53"/>
  </w:style>
  <w:style w:type="character" w:customStyle="1" w:styleId="CommentTextChar">
    <w:name w:val="Comment Text Char"/>
    <w:basedOn w:val="DefaultParagraphFont"/>
    <w:link w:val="CommentText"/>
    <w:semiHidden/>
    <w:rsid w:val="008B3E53"/>
    <w:rPr>
      <w:rFonts w:ascii="Arial" w:hAnsi="Arial"/>
    </w:rPr>
  </w:style>
  <w:style w:type="paragraph" w:customStyle="1" w:styleId="Style1">
    <w:name w:val="Style1"/>
    <w:basedOn w:val="Normal"/>
    <w:qFormat/>
    <w:rsid w:val="005660B2"/>
    <w:pPr>
      <w:numPr>
        <w:numId w:val="40"/>
      </w:numPr>
    </w:pPr>
  </w:style>
  <w:style w:type="paragraph" w:styleId="PlainText">
    <w:name w:val="Plain Text"/>
    <w:basedOn w:val="Normal"/>
    <w:link w:val="PlainTextChar"/>
    <w:uiPriority w:val="99"/>
    <w:unhideWhenUsed/>
    <w:rsid w:val="000B5438"/>
    <w:rPr>
      <w:rFonts w:ascii="Courier New" w:eastAsiaTheme="minorHAnsi" w:hAnsi="Courier New" w:cstheme="minorBidi"/>
      <w:sz w:val="22"/>
      <w:szCs w:val="21"/>
    </w:rPr>
  </w:style>
  <w:style w:type="character" w:customStyle="1" w:styleId="PlainTextChar">
    <w:name w:val="Plain Text Char"/>
    <w:basedOn w:val="DefaultParagraphFont"/>
    <w:link w:val="PlainText"/>
    <w:uiPriority w:val="99"/>
    <w:rsid w:val="000B5438"/>
    <w:rPr>
      <w:rFonts w:ascii="Courier New" w:eastAsiaTheme="minorHAnsi" w:hAnsi="Courier New" w:cstheme="minorBidi"/>
      <w:sz w:val="22"/>
      <w:szCs w:val="21"/>
    </w:rPr>
  </w:style>
  <w:style w:type="paragraph" w:styleId="NoSpacing">
    <w:name w:val="No Spacing"/>
    <w:uiPriority w:val="1"/>
    <w:qFormat/>
    <w:rsid w:val="000B5438"/>
    <w:rPr>
      <w:rFonts w:asciiTheme="minorHAnsi" w:eastAsiaTheme="minorHAnsi" w:hAnsiTheme="minorHAnsi" w:cstheme="minorBidi"/>
      <w:sz w:val="22"/>
      <w:szCs w:val="22"/>
    </w:rPr>
  </w:style>
  <w:style w:type="paragraph" w:customStyle="1" w:styleId="CharCharCharChar0">
    <w:name w:val="Char Char Char Char"/>
    <w:basedOn w:val="Normal"/>
    <w:rsid w:val="00145892"/>
    <w:pPr>
      <w:spacing w:after="160" w:line="240" w:lineRule="exact"/>
    </w:pPr>
    <w:rPr>
      <w:rFonts w:ascii="Verdana" w:hAnsi="Verdana"/>
      <w:szCs w:val="20"/>
      <w:lang w:val="en-GB"/>
    </w:rPr>
  </w:style>
  <w:style w:type="paragraph" w:customStyle="1" w:styleId="StyleHeading214ptAuto">
    <w:name w:val="Style Heading 2 + 14 pt Auto"/>
    <w:basedOn w:val="Heading2"/>
    <w:rsid w:val="00145892"/>
    <w:pPr>
      <w:keepNext w:val="0"/>
      <w:widowControl w:val="0"/>
      <w:tabs>
        <w:tab w:val="clear" w:pos="2268"/>
        <w:tab w:val="clear" w:pos="9072"/>
        <w:tab w:val="num" w:pos="567"/>
      </w:tabs>
      <w:spacing w:line="300" w:lineRule="atLeast"/>
      <w:ind w:left="567" w:hanging="567"/>
    </w:pPr>
    <w:rPr>
      <w:sz w:val="24"/>
      <w:lang w:val="en-GB" w:eastAsia="da-DK"/>
    </w:rPr>
  </w:style>
  <w:style w:type="paragraph" w:customStyle="1" w:styleId="StyleHeading3ComplexItalic">
    <w:name w:val="Style Heading 3 + (Complex) Italic"/>
    <w:basedOn w:val="Heading3"/>
    <w:link w:val="StyleHeading3ComplexItalicChar"/>
    <w:rsid w:val="00121D79"/>
    <w:pPr>
      <w:keepLines w:val="0"/>
      <w:tabs>
        <w:tab w:val="clear" w:pos="2268"/>
        <w:tab w:val="left" w:pos="1985"/>
      </w:tabs>
      <w:ind w:left="0" w:firstLine="0"/>
    </w:pPr>
    <w:rPr>
      <w:rFonts w:ascii="Arial" w:eastAsia="Times New Roman" w:hAnsi="Arial" w:cs="Arial"/>
      <w:bCs w:val="0"/>
      <w:iCs/>
      <w:caps w:val="0"/>
      <w:szCs w:val="22"/>
    </w:rPr>
  </w:style>
  <w:style w:type="character" w:customStyle="1" w:styleId="StyleHeading3ComplexItalicChar">
    <w:name w:val="Style Heading 3 + (Complex) Italic Char"/>
    <w:link w:val="StyleHeading3ComplexItalic"/>
    <w:rsid w:val="00121D79"/>
    <w:rPr>
      <w:rFonts w:ascii="Arial" w:hAnsi="Arial" w:cs="Arial"/>
      <w:b/>
      <w:iCs/>
      <w:caps/>
      <w:sz w:val="22"/>
      <w:szCs w:val="22"/>
    </w:rPr>
  </w:style>
  <w:style w:type="paragraph" w:customStyle="1" w:styleId="Test">
    <w:name w:val="Test"/>
    <w:basedOn w:val="Normal"/>
    <w:qFormat/>
    <w:rsid w:val="0078145B"/>
    <w:pPr>
      <w:numPr>
        <w:numId w:val="76"/>
      </w:numPr>
    </w:pPr>
    <w:rPr>
      <w:rFonts w:eastAsiaTheme="minorHAnsi" w:cs="Arial"/>
      <w:sz w:val="22"/>
      <w:szCs w:val="22"/>
    </w:rPr>
  </w:style>
  <w:style w:type="paragraph" w:styleId="Salutation">
    <w:name w:val="Salutation"/>
    <w:basedOn w:val="Normal"/>
    <w:next w:val="Normal"/>
    <w:link w:val="SalutationChar"/>
    <w:rsid w:val="005703CF"/>
    <w:rPr>
      <w:rFonts w:ascii="Times New Roman" w:hAnsi="Times New Roman"/>
      <w:sz w:val="24"/>
    </w:rPr>
  </w:style>
  <w:style w:type="character" w:customStyle="1" w:styleId="SalutationChar">
    <w:name w:val="Salutation Char"/>
    <w:basedOn w:val="DefaultParagraphFont"/>
    <w:link w:val="Salutation"/>
    <w:rsid w:val="005703CF"/>
    <w:rPr>
      <w:sz w:val="24"/>
      <w:szCs w:val="24"/>
    </w:rPr>
  </w:style>
  <w:style w:type="paragraph" w:styleId="Signature">
    <w:name w:val="Signature"/>
    <w:basedOn w:val="Normal"/>
    <w:link w:val="SignatureChar"/>
    <w:rsid w:val="005703CF"/>
    <w:pPr>
      <w:ind w:left="5250"/>
    </w:pPr>
    <w:rPr>
      <w:rFonts w:ascii="Times New Roman" w:hAnsi="Times New Roman"/>
      <w:sz w:val="24"/>
    </w:rPr>
  </w:style>
  <w:style w:type="character" w:customStyle="1" w:styleId="SignatureChar">
    <w:name w:val="Signature Char"/>
    <w:basedOn w:val="DefaultParagraphFont"/>
    <w:link w:val="Signature"/>
    <w:rsid w:val="005703CF"/>
    <w:rPr>
      <w:sz w:val="24"/>
      <w:szCs w:val="24"/>
    </w:rPr>
  </w:style>
  <w:style w:type="paragraph" w:styleId="EndnoteText">
    <w:name w:val="endnote text"/>
    <w:basedOn w:val="Normal"/>
    <w:link w:val="EndnoteTextChar"/>
    <w:rsid w:val="005703CF"/>
    <w:rPr>
      <w:rFonts w:ascii="Times New Roman" w:hAnsi="Times New Roman"/>
      <w:sz w:val="18"/>
      <w:szCs w:val="20"/>
    </w:rPr>
  </w:style>
  <w:style w:type="character" w:customStyle="1" w:styleId="EndnoteTextChar">
    <w:name w:val="Endnote Text Char"/>
    <w:basedOn w:val="DefaultParagraphFont"/>
    <w:link w:val="EndnoteText"/>
    <w:rsid w:val="005703CF"/>
    <w:rPr>
      <w:sz w:val="18"/>
    </w:rPr>
  </w:style>
  <w:style w:type="paragraph" w:styleId="Caption">
    <w:name w:val="caption"/>
    <w:basedOn w:val="Normal"/>
    <w:next w:val="Normal"/>
    <w:qFormat/>
    <w:rsid w:val="005703CF"/>
    <w:rPr>
      <w:rFonts w:ascii="Times New Roman" w:hAnsi="Times New Roman"/>
      <w:b/>
      <w:bCs/>
      <w:sz w:val="18"/>
      <w:szCs w:val="20"/>
    </w:rPr>
  </w:style>
  <w:style w:type="paragraph" w:customStyle="1" w:styleId="ONUMFS">
    <w:name w:val="ONUM FS"/>
    <w:basedOn w:val="BodyText"/>
    <w:rsid w:val="005703CF"/>
    <w:pPr>
      <w:numPr>
        <w:numId w:val="81"/>
      </w:numPr>
      <w:spacing w:after="220"/>
    </w:pPr>
    <w:rPr>
      <w:rFonts w:ascii="Times New Roman" w:hAnsi="Times New Roman"/>
      <w:sz w:val="24"/>
      <w:szCs w:val="24"/>
    </w:rPr>
  </w:style>
  <w:style w:type="paragraph" w:styleId="ListNumber">
    <w:name w:val="List Number"/>
    <w:basedOn w:val="Normal"/>
    <w:rsid w:val="005703CF"/>
    <w:pPr>
      <w:numPr>
        <w:numId w:val="2"/>
      </w:numPr>
    </w:pPr>
    <w:rPr>
      <w:rFonts w:ascii="Times New Roman" w:hAnsi="Times New Roman"/>
      <w:sz w:val="24"/>
    </w:rPr>
  </w:style>
  <w:style w:type="paragraph" w:customStyle="1" w:styleId="CharCharCharChar1">
    <w:name w:val="Char Char Char Char"/>
    <w:basedOn w:val="Normal"/>
    <w:rsid w:val="005703CF"/>
    <w:pPr>
      <w:spacing w:after="160" w:line="240" w:lineRule="exact"/>
    </w:pPr>
    <w:rPr>
      <w:rFonts w:ascii="Verdana" w:hAnsi="Verdana"/>
      <w:szCs w:val="20"/>
      <w:lang w:val="en-GB"/>
    </w:rPr>
  </w:style>
  <w:style w:type="character" w:customStyle="1" w:styleId="CharChar0">
    <w:name w:val="Char Char"/>
    <w:locked/>
    <w:rsid w:val="005703CF"/>
    <w:rPr>
      <w:rFonts w:ascii="Arial" w:hAnsi="Arial" w:cs="Times New Roman"/>
      <w:lang w:val="en-US" w:eastAsia="en-US" w:bidi="ar-SA"/>
    </w:rPr>
  </w:style>
  <w:style w:type="paragraph" w:customStyle="1" w:styleId="CarCar0">
    <w:name w:val="Car Car"/>
    <w:basedOn w:val="Normal"/>
    <w:rsid w:val="005703CF"/>
    <w:pPr>
      <w:spacing w:after="160" w:line="240" w:lineRule="exact"/>
    </w:pPr>
    <w:rPr>
      <w:rFonts w:ascii="Verdana" w:hAnsi="Verdana"/>
      <w:szCs w:val="20"/>
      <w:lang w:val="en-GB"/>
    </w:rPr>
  </w:style>
  <w:style w:type="character" w:customStyle="1" w:styleId="CharChar20">
    <w:name w:val="Char Char2"/>
    <w:rsid w:val="005703CF"/>
    <w:rPr>
      <w:rFonts w:ascii="Arial" w:hAnsi="Arial"/>
      <w:lang w:val="en-US" w:eastAsia="en-US" w:bidi="ar-SA"/>
    </w:rPr>
  </w:style>
  <w:style w:type="character" w:customStyle="1" w:styleId="CharChar30">
    <w:name w:val="Char Char3"/>
    <w:rsid w:val="005703CF"/>
    <w:rPr>
      <w:rFonts w:ascii="Arial" w:hAnsi="Arial"/>
      <w:lang w:val="en-US" w:eastAsia="en-US" w:bidi="ar-SA"/>
    </w:rPr>
  </w:style>
  <w:style w:type="character" w:customStyle="1" w:styleId="CharChar40">
    <w:name w:val="Char Char4"/>
    <w:rsid w:val="005703CF"/>
    <w:rPr>
      <w:rFonts w:ascii="Arial" w:hAnsi="Arial"/>
      <w:lang w:val="en-US" w:eastAsia="en-US" w:bidi="ar-SA"/>
    </w:rPr>
  </w:style>
  <w:style w:type="character" w:customStyle="1" w:styleId="CharChar60">
    <w:name w:val="Char Char6"/>
    <w:rsid w:val="005703CF"/>
    <w:rPr>
      <w:rFonts w:ascii="Arial" w:hAnsi="Arial"/>
      <w:lang w:val="en-US" w:eastAsia="en-US" w:bidi="ar-SA"/>
    </w:rPr>
  </w:style>
  <w:style w:type="paragraph" w:customStyle="1" w:styleId="Char0">
    <w:name w:val="Char 字元 字元"/>
    <w:basedOn w:val="Normal"/>
    <w:rsid w:val="005703CF"/>
    <w:pPr>
      <w:spacing w:after="160" w:line="240" w:lineRule="exact"/>
    </w:pPr>
    <w:rPr>
      <w:rFonts w:ascii="Verdana" w:eastAsia="PMingLiU" w:hAnsi="Verdana"/>
      <w:szCs w:val="20"/>
    </w:rPr>
  </w:style>
  <w:style w:type="character" w:customStyle="1" w:styleId="HeaderChar">
    <w:name w:val="Header Char"/>
    <w:link w:val="Header"/>
    <w:locked/>
    <w:rsid w:val="005703CF"/>
    <w:rPr>
      <w:rFonts w:ascii="Arial" w:hAnsi="Arial"/>
      <w:szCs w:val="24"/>
    </w:rPr>
  </w:style>
  <w:style w:type="table" w:customStyle="1" w:styleId="TableGrid1">
    <w:name w:val="Table Grid1"/>
    <w:basedOn w:val="TableNormal"/>
    <w:next w:val="TableGrid"/>
    <w:uiPriority w:val="59"/>
    <w:rsid w:val="00035F86"/>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7343FE"/>
    <w:pPr>
      <w:keepLines/>
      <w:numPr>
        <w:numId w:val="0"/>
      </w:numPr>
      <w:tabs>
        <w:tab w:val="clear" w:pos="284"/>
      </w:tabs>
      <w:spacing w:before="480" w:line="276" w:lineRule="auto"/>
      <w:jc w:val="left"/>
      <w:outlineLvl w:val="9"/>
    </w:pPr>
    <w:rPr>
      <w:rFonts w:asciiTheme="majorHAnsi" w:eastAsiaTheme="majorEastAsia" w:hAnsiTheme="majorHAnsi" w:cstheme="majorBidi"/>
      <w:color w:val="365F91" w:themeColor="accent1" w:themeShade="BF"/>
      <w:kern w:val="0"/>
      <w:sz w:val="28"/>
      <w:szCs w:val="28"/>
      <w:lang w:eastAsia="ja-JP"/>
    </w:rPr>
  </w:style>
  <w:style w:type="paragraph" w:styleId="TOC4">
    <w:name w:val="toc 4"/>
    <w:basedOn w:val="Normal"/>
    <w:next w:val="Normal"/>
    <w:autoRedefine/>
    <w:uiPriority w:val="39"/>
    <w:rsid w:val="008A725B"/>
    <w:pPr>
      <w:tabs>
        <w:tab w:val="right" w:pos="9356"/>
      </w:tabs>
      <w:spacing w:before="180"/>
      <w:ind w:left="1985" w:right="567" w:hanging="1418"/>
    </w:pPr>
    <w:rPr>
      <w:rFonts w:eastAsiaTheme="minorHAnsi"/>
      <w:noProof/>
    </w:rPr>
  </w:style>
  <w:style w:type="paragraph" w:customStyle="1" w:styleId="Endofdocument">
    <w:name w:val="End of document"/>
    <w:basedOn w:val="Normal"/>
    <w:rsid w:val="006A1FCF"/>
    <w:pPr>
      <w:ind w:left="4536"/>
      <w:jc w:val="center"/>
    </w:pPr>
    <w:rPr>
      <w:rFonts w:ascii="Times New Roman" w:hAnsi="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42417">
      <w:bodyDiv w:val="1"/>
      <w:marLeft w:val="0"/>
      <w:marRight w:val="0"/>
      <w:marTop w:val="0"/>
      <w:marBottom w:val="0"/>
      <w:divBdr>
        <w:top w:val="none" w:sz="0" w:space="0" w:color="auto"/>
        <w:left w:val="none" w:sz="0" w:space="0" w:color="auto"/>
        <w:bottom w:val="none" w:sz="0" w:space="0" w:color="auto"/>
        <w:right w:val="none" w:sz="0" w:space="0" w:color="auto"/>
      </w:divBdr>
    </w:div>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942494588">
      <w:bodyDiv w:val="1"/>
      <w:marLeft w:val="0"/>
      <w:marRight w:val="0"/>
      <w:marTop w:val="0"/>
      <w:marBottom w:val="0"/>
      <w:divBdr>
        <w:top w:val="none" w:sz="0" w:space="0" w:color="auto"/>
        <w:left w:val="none" w:sz="0" w:space="0" w:color="auto"/>
        <w:bottom w:val="none" w:sz="0" w:space="0" w:color="auto"/>
        <w:right w:val="none" w:sz="0" w:space="0" w:color="auto"/>
      </w:divBdr>
    </w:div>
    <w:div w:id="957881064">
      <w:bodyDiv w:val="1"/>
      <w:marLeft w:val="0"/>
      <w:marRight w:val="0"/>
      <w:marTop w:val="0"/>
      <w:marBottom w:val="0"/>
      <w:divBdr>
        <w:top w:val="none" w:sz="0" w:space="0" w:color="auto"/>
        <w:left w:val="none" w:sz="0" w:space="0" w:color="auto"/>
        <w:bottom w:val="none" w:sz="0" w:space="0" w:color="auto"/>
        <w:right w:val="none" w:sz="0" w:space="0" w:color="auto"/>
      </w:divBdr>
    </w:div>
    <w:div w:id="1109356475">
      <w:bodyDiv w:val="1"/>
      <w:marLeft w:val="0"/>
      <w:marRight w:val="0"/>
      <w:marTop w:val="0"/>
      <w:marBottom w:val="0"/>
      <w:divBdr>
        <w:top w:val="none" w:sz="0" w:space="0" w:color="auto"/>
        <w:left w:val="none" w:sz="0" w:space="0" w:color="auto"/>
        <w:bottom w:val="none" w:sz="0" w:space="0" w:color="auto"/>
        <w:right w:val="none" w:sz="0" w:space="0" w:color="auto"/>
      </w:divBdr>
    </w:div>
    <w:div w:id="1296373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oleObject" Target="embeddings/oleObject1.bin"/><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www.wipo.int/amc/en/center/specific-sectors/ict/frand/" TargetMode="External"/><Relationship Id="rId55" Type="http://schemas.openxmlformats.org/officeDocument/2006/relationships/image" Target="media/image150.png"/><Relationship Id="rId63" Type="http://schemas.openxmlformats.org/officeDocument/2006/relationships/oleObject" Target="embeddings/Microsoft_Excel_Chart3.xls"/><Relationship Id="rId68" Type="http://schemas.openxmlformats.org/officeDocument/2006/relationships/image" Target="media/image36.png"/><Relationship Id="rId76" Type="http://schemas.openxmlformats.org/officeDocument/2006/relationships/header" Target="header5.xml"/><Relationship Id="rId7" Type="http://schemas.openxmlformats.org/officeDocument/2006/relationships/footnotes" Target="foot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chart" Target="charts/chart2.xml"/><Relationship Id="rId58" Type="http://schemas.openxmlformats.org/officeDocument/2006/relationships/oleObject" Target="embeddings/Microsoft_Excel_Chart2.xls"/><Relationship Id="rId66" Type="http://schemas.openxmlformats.org/officeDocument/2006/relationships/chart" Target="charts/chart5.xml"/><Relationship Id="rId74" Type="http://schemas.openxmlformats.org/officeDocument/2006/relationships/hyperlink" Target="https://intranet.wipo.int/export/sites/intranet/homepages/iaod/en/iaod_reports/executive_summaries/es_2013_evaluation_program1_patent_law.pdf" TargetMode="External"/><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170.png"/><Relationship Id="rId10" Type="http://schemas.openxmlformats.org/officeDocument/2006/relationships/header" Target="header1.xml"/><Relationship Id="rId19" Type="http://schemas.openxmlformats.org/officeDocument/2006/relationships/hyperlink" Target="http://www.ipos.gov.sg/Services/HearingsandMediation/MediationOptionforTradeMarks.aspx" TargetMode="External"/><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chart" Target="charts/chart1.xml"/><Relationship Id="rId60" Type="http://schemas.openxmlformats.org/officeDocument/2006/relationships/chart" Target="charts/chart4.xml"/><Relationship Id="rId65" Type="http://schemas.openxmlformats.org/officeDocument/2006/relationships/image" Target="media/image35.png"/><Relationship Id="rId73" Type="http://schemas.openxmlformats.org/officeDocument/2006/relationships/image" Target="media/image41.png"/><Relationship Id="rId78"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emf"/><Relationship Id="rId56" Type="http://schemas.openxmlformats.org/officeDocument/2006/relationships/image" Target="media/image160.png"/><Relationship Id="rId64" Type="http://schemas.openxmlformats.org/officeDocument/2006/relationships/oleObject" Target="embeddings/Microsoft_Excel_Chart4.xls"/><Relationship Id="rId69" Type="http://schemas.openxmlformats.org/officeDocument/2006/relationships/image" Target="media/image37.png"/><Relationship Id="rId77"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40.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wmf"/><Relationship Id="rId46" Type="http://schemas.openxmlformats.org/officeDocument/2006/relationships/image" Target="media/image31.png"/><Relationship Id="rId59" Type="http://schemas.openxmlformats.org/officeDocument/2006/relationships/chart" Target="charts/chart3.xml"/><Relationship Id="rId67" Type="http://schemas.openxmlformats.org/officeDocument/2006/relationships/chart" Target="charts/chart6.xml"/><Relationship Id="rId20" Type="http://schemas.openxmlformats.org/officeDocument/2006/relationships/image" Target="media/image6.png"/><Relationship Id="rId41" Type="http://schemas.openxmlformats.org/officeDocument/2006/relationships/image" Target="media/image26.png"/><Relationship Id="rId62" Type="http://schemas.openxmlformats.org/officeDocument/2006/relationships/image" Target="media/image180.png"/><Relationship Id="rId70" Type="http://schemas.openxmlformats.org/officeDocument/2006/relationships/image" Target="media/image38.emf"/><Relationship Id="rId75" Type="http://schemas.openxmlformats.org/officeDocument/2006/relationships/hyperlink" Target="https://intranet.wipo.int/export/sites/intranet/homepages/iaod/en/iaod_reports/executive_summaries/es_2013_evaluation_igc.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hyperlink" Target="http://www.ipos.gov.sg/Services/HearingsandMediation/MediationOptionforTradeMarks.aspx" TargetMode="External"/><Relationship Id="rId57" Type="http://schemas.openxmlformats.org/officeDocument/2006/relationships/oleObject" Target="embeddings/Microsoft_Excel_Chart1.xls"/></Relationships>
</file>

<file path=word/_rels/footnotes.xml.rels><?xml version="1.0" encoding="UTF-8" standalone="yes"?>
<Relationships xmlns="http://schemas.openxmlformats.org/package/2006/relationships"><Relationship Id="rId8" Type="http://schemas.openxmlformats.org/officeDocument/2006/relationships/hyperlink" Target="http://www.wipo.int/tisc/fr/etutorial" TargetMode="External"/><Relationship Id="rId3" Type="http://schemas.openxmlformats.org/officeDocument/2006/relationships/hyperlink" Target="http://www.wipo.int/tad/en/" TargetMode="External"/><Relationship Id="rId7" Type="http://schemas.openxmlformats.org/officeDocument/2006/relationships/hyperlink" Target="http://www.wipo.int/tisc/etutorial" TargetMode="External"/><Relationship Id="rId2" Type="http://schemas.openxmlformats.org/officeDocument/2006/relationships/hyperlink" Target="http://www.wipo.int/meetings/en/doc_details.jsp?doc_id=239806" TargetMode="External"/><Relationship Id="rId1" Type="http://schemas.openxmlformats.org/officeDocument/2006/relationships/hyperlink" Target="http://www.wipo.int/meetings/en/doc_details.jsp?doc_id=208882" TargetMode="External"/><Relationship Id="rId6" Type="http://schemas.openxmlformats.org/officeDocument/2006/relationships/hyperlink" Target="http://etisc.wipo.org/" TargetMode="External"/><Relationship Id="rId5" Type="http://schemas.openxmlformats.org/officeDocument/2006/relationships/hyperlink" Target="http://www.wipo.int/dmd" TargetMode="External"/><Relationship Id="rId10" Type="http://schemas.openxmlformats.org/officeDocument/2006/relationships/hyperlink" Target="http://www.wipo.int/about-wipo/en/strategic_realignment/results_framework.html" TargetMode="External"/><Relationship Id="rId4" Type="http://schemas.openxmlformats.org/officeDocument/2006/relationships/hyperlink" Target="http://www.wipo.int/roc/en/" TargetMode="External"/><Relationship Id="rId9" Type="http://schemas.openxmlformats.org/officeDocument/2006/relationships/hyperlink" Target="http://www.wipo.int/about-wipo/en/strategic_realignment/results_framework.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file:///D:\monthly%20reports\GraphStatsGlobalDatabases201220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onthly%20reports\GraphStatsGlobalDatabases2012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45305887824754021"/>
          <c:y val="8.0971659919028341E-2"/>
          <c:w val="0.46110648918469216"/>
          <c:h val="0.81597350018402648"/>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spPr>
              <a:scene3d>
                <a:camera prst="orthographicFront"/>
                <a:lightRig rig="threePt" dir="t"/>
              </a:scene3d>
              <a:sp3d prstMaterial="metal"/>
            </c:spPr>
            <c:dLblPos val="ctr"/>
            <c:showLegendKey val="0"/>
            <c:showVal val="0"/>
            <c:showCatName val="0"/>
            <c:showSerName val="0"/>
            <c:showPercent val="1"/>
            <c:showBubbleSize val="0"/>
            <c:showLeaderLines val="0"/>
          </c:dLbls>
          <c:cat>
            <c:strRef>
              <c:f>Sheet3!$A$16:$A$20</c:f>
              <c:strCache>
                <c:ptCount val="5"/>
                <c:pt idx="0">
                  <c:v>Latin America and the Caribbean: 77; 33%</c:v>
                </c:pt>
                <c:pt idx="1">
                  <c:v>Africa: 56; 24%</c:v>
                </c:pt>
                <c:pt idx="2">
                  <c:v>Asia-Pacific: 45; 19%</c:v>
                </c:pt>
                <c:pt idx="3">
                  <c:v>Arab countries: 30; 13%</c:v>
                </c:pt>
                <c:pt idx="4">
                  <c:v>Certain Countries in Europe and Asia: 25; 11%</c:v>
                </c:pt>
              </c:strCache>
            </c:strRef>
          </c:cat>
          <c:val>
            <c:numRef>
              <c:f>Sheet3!$B$16:$B$20</c:f>
              <c:numCache>
                <c:formatCode>General</c:formatCode>
                <c:ptCount val="5"/>
                <c:pt idx="0">
                  <c:v>77</c:v>
                </c:pt>
                <c:pt idx="1">
                  <c:v>56</c:v>
                </c:pt>
                <c:pt idx="2">
                  <c:v>45</c:v>
                </c:pt>
                <c:pt idx="3">
                  <c:v>30</c:v>
                </c:pt>
                <c:pt idx="4">
                  <c:v>25</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2.5901143967191884E-2"/>
          <c:y val="4.0227903054260286E-2"/>
          <c:w val="0.34224350814339444"/>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7.7037577184755054E-2"/>
          <c:y val="8.0971659919028341E-2"/>
          <c:w val="0.46665250637213251"/>
          <c:h val="0.80861244019138756"/>
        </c:manualLayout>
      </c:layout>
      <c:pieChart>
        <c:varyColors val="1"/>
        <c:ser>
          <c:idx val="0"/>
          <c:order val="0"/>
          <c:dPt>
            <c:idx val="0"/>
            <c:bubble3D val="0"/>
            <c:spPr>
              <a:solidFill>
                <a:schemeClr val="accent2"/>
              </a:solidFill>
            </c:spPr>
          </c:dPt>
          <c:dPt>
            <c:idx val="1"/>
            <c:bubble3D val="0"/>
            <c:spPr>
              <a:solidFill>
                <a:schemeClr val="accent2">
                  <a:lumMod val="60000"/>
                  <a:lumOff val="40000"/>
                </a:schemeClr>
              </a:solidFill>
            </c:spPr>
          </c:dPt>
          <c:dPt>
            <c:idx val="2"/>
            <c:bubble3D val="0"/>
            <c:spPr>
              <a:solidFill>
                <a:schemeClr val="accent4"/>
              </a:solidFill>
            </c:spPr>
          </c:dPt>
          <c:dPt>
            <c:idx val="3"/>
            <c:bubble3D val="0"/>
            <c:spPr>
              <a:solidFill>
                <a:schemeClr val="accent4">
                  <a:lumMod val="40000"/>
                  <a:lumOff val="60000"/>
                </a:schemeClr>
              </a:solidFill>
            </c:spPr>
          </c:dPt>
          <c:dPt>
            <c:idx val="4"/>
            <c:bubble3D val="0"/>
            <c:spPr>
              <a:solidFill>
                <a:schemeClr val="accent3"/>
              </a:solidFill>
            </c:spPr>
          </c:dPt>
          <c:dLbls>
            <c:dLblPos val="ctr"/>
            <c:showLegendKey val="0"/>
            <c:showVal val="0"/>
            <c:showCatName val="0"/>
            <c:showSerName val="0"/>
            <c:showPercent val="1"/>
            <c:showBubbleSize val="0"/>
            <c:showLeaderLines val="0"/>
          </c:dLbls>
          <c:cat>
            <c:strRef>
              <c:f>Sheet3!$D$16:$D$20</c:f>
              <c:strCache>
                <c:ptCount val="5"/>
                <c:pt idx="0">
                  <c:v>Latin America and the Caribbean: 75; 30%</c:v>
                </c:pt>
                <c:pt idx="1">
                  <c:v>Africa: 58; 23%</c:v>
                </c:pt>
                <c:pt idx="2">
                  <c:v>Asia-Pacific: 53; 21%</c:v>
                </c:pt>
                <c:pt idx="3">
                  <c:v>Arab countries: 35; 14%</c:v>
                </c:pt>
                <c:pt idx="4">
                  <c:v>Certain Countries in Europe and Asia: 30; 12%</c:v>
                </c:pt>
              </c:strCache>
            </c:strRef>
          </c:cat>
          <c:val>
            <c:numRef>
              <c:f>Sheet3!$E$16:$E$20</c:f>
              <c:numCache>
                <c:formatCode>General</c:formatCode>
                <c:ptCount val="5"/>
                <c:pt idx="0">
                  <c:v>75</c:v>
                </c:pt>
                <c:pt idx="1">
                  <c:v>58</c:v>
                </c:pt>
                <c:pt idx="2">
                  <c:v>53</c:v>
                </c:pt>
                <c:pt idx="3">
                  <c:v>35</c:v>
                </c:pt>
                <c:pt idx="4">
                  <c:v>30</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63772001418259416"/>
          <c:y val="4.0227903054260286E-2"/>
          <c:w val="0.33679145565597846"/>
          <c:h val="0.95977209694573973"/>
        </c:manualLayout>
      </c:layout>
      <c:overlay val="0"/>
      <c:txPr>
        <a:bodyPr/>
        <a:lstStyle/>
        <a:p>
          <a:pPr>
            <a:defRPr sz="750">
              <a:latin typeface="Arial Narrow" pitchFamily="34" charset="0"/>
              <a:cs typeface="Arial" pitchFamily="34" charset="0"/>
            </a:defRPr>
          </a:pPr>
          <a:endParaRPr lang="en-US"/>
        </a:p>
      </c:txPr>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spPr/>
              <c:txPr>
                <a:bodyPr/>
                <a:lstStyle/>
                <a:p>
                  <a:pPr>
                    <a:defRPr/>
                  </a:pPr>
                  <a:endParaRPr lang="en-US"/>
                </a:p>
              </c:txPr>
              <c:dLblPos val="ctr"/>
              <c:showLegendKey val="0"/>
              <c:showVal val="0"/>
              <c:showCatName val="0"/>
              <c:showSerName val="0"/>
              <c:showPercent val="1"/>
              <c:showBubbleSize val="0"/>
            </c:dLbl>
            <c:dLbl>
              <c:idx val="1"/>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Sheet3!$D$25:$D$31</c:f>
              <c:strCache>
                <c:ptCount val="7"/>
                <c:pt idx="0">
                  <c:v>Latin America and the Caribbean: 19641; 48%</c:v>
                </c:pt>
                <c:pt idx="1">
                  <c:v>Asia-Pacific: 10687; 26%</c:v>
                </c:pt>
                <c:pt idx="2">
                  <c:v>Certain Countries in Europe and Asia: 3849; 10%</c:v>
                </c:pt>
                <c:pt idx="3">
                  <c:v>Other developed countries: 2255; 6%</c:v>
                </c:pt>
                <c:pt idx="4">
                  <c:v>Africa: 2210; 5%</c:v>
                </c:pt>
                <c:pt idx="5">
                  <c:v>Arab countries: 1677; 4%</c:v>
                </c:pt>
                <c:pt idx="6">
                  <c:v>Other Areas: 321; less than 1%</c:v>
                </c:pt>
              </c:strCache>
            </c:strRef>
          </c:cat>
          <c:val>
            <c:numRef>
              <c:f>Sheet3!$E$25:$E$31</c:f>
              <c:numCache>
                <c:formatCode>General</c:formatCode>
                <c:ptCount val="7"/>
                <c:pt idx="0">
                  <c:v>19641</c:v>
                </c:pt>
                <c:pt idx="1">
                  <c:v>10687</c:v>
                </c:pt>
                <c:pt idx="2">
                  <c:v>3849</c:v>
                </c:pt>
                <c:pt idx="3">
                  <c:v>2255</c:v>
                </c:pt>
                <c:pt idx="4">
                  <c:v>2210</c:v>
                </c:pt>
                <c:pt idx="5">
                  <c:v>1677</c:v>
                </c:pt>
                <c:pt idx="6">
                  <c:v>321</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r"/>
      <c:layout>
        <c:manualLayout>
          <c:xMode val="edge"/>
          <c:yMode val="edge"/>
          <c:x val="0.58996553545822739"/>
          <c:y val="4.200846811704665E-2"/>
          <c:w val="0.38087460645145577"/>
          <c:h val="0.9159836065573769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pieChart>
        <c:varyColors val="1"/>
        <c:ser>
          <c:idx val="0"/>
          <c:order val="0"/>
          <c:dPt>
            <c:idx val="0"/>
            <c:bubble3D val="0"/>
            <c:spPr>
              <a:solidFill>
                <a:schemeClr val="accent2"/>
              </a:solidFill>
            </c:spPr>
          </c:dPt>
          <c:dPt>
            <c:idx val="1"/>
            <c:bubble3D val="0"/>
            <c:spPr>
              <a:solidFill>
                <a:schemeClr val="accent4"/>
              </a:solidFill>
            </c:spPr>
          </c:dPt>
          <c:dPt>
            <c:idx val="2"/>
            <c:bubble3D val="0"/>
            <c:spPr>
              <a:solidFill>
                <a:schemeClr val="accent3"/>
              </a:solidFill>
            </c:spPr>
          </c:dPt>
          <c:dPt>
            <c:idx val="3"/>
            <c:bubble3D val="0"/>
            <c:spPr>
              <a:solidFill>
                <a:schemeClr val="accent3">
                  <a:lumMod val="60000"/>
                  <a:lumOff val="40000"/>
                </a:schemeClr>
              </a:solidFill>
            </c:spPr>
          </c:dPt>
          <c:dPt>
            <c:idx val="4"/>
            <c:bubble3D val="0"/>
            <c:spPr>
              <a:solidFill>
                <a:schemeClr val="accent2">
                  <a:lumMod val="60000"/>
                  <a:lumOff val="40000"/>
                </a:schemeClr>
              </a:solidFill>
            </c:spPr>
          </c:dPt>
          <c:dPt>
            <c:idx val="5"/>
            <c:bubble3D val="0"/>
            <c:spPr>
              <a:solidFill>
                <a:schemeClr val="accent4">
                  <a:lumMod val="60000"/>
                  <a:lumOff val="40000"/>
                </a:schemeClr>
              </a:solidFill>
            </c:spPr>
          </c:dPt>
          <c:dPt>
            <c:idx val="6"/>
            <c:bubble3D val="0"/>
          </c:dPt>
          <c:dLbls>
            <c:dLbl>
              <c:idx val="0"/>
              <c:spPr/>
              <c:txPr>
                <a:bodyPr/>
                <a:lstStyle/>
                <a:p>
                  <a:pPr>
                    <a:defRPr/>
                  </a:pPr>
                  <a:endParaRPr lang="en-US"/>
                </a:p>
              </c:txPr>
              <c:dLblPos val="ctr"/>
              <c:showLegendKey val="0"/>
              <c:showVal val="0"/>
              <c:showCatName val="0"/>
              <c:showSerName val="0"/>
              <c:showPercent val="1"/>
              <c:showBubbleSize val="0"/>
            </c:dLbl>
            <c:dLbl>
              <c:idx val="1"/>
              <c:spPr/>
              <c:txPr>
                <a:bodyPr/>
                <a:lstStyle/>
                <a:p>
                  <a:pPr>
                    <a:defRPr/>
                  </a:pPr>
                  <a:endParaRPr lang="en-US"/>
                </a:p>
              </c:txPr>
              <c:dLblPos val="ctr"/>
              <c:showLegendKey val="0"/>
              <c:showVal val="0"/>
              <c:showCatName val="0"/>
              <c:showSerName val="0"/>
              <c:showPercent val="1"/>
              <c:showBubbleSize val="0"/>
            </c:dLbl>
            <c:dLbl>
              <c:idx val="6"/>
              <c:delete val="1"/>
            </c:dLbl>
            <c:dLblPos val="inEnd"/>
            <c:showLegendKey val="0"/>
            <c:showVal val="0"/>
            <c:showCatName val="0"/>
            <c:showSerName val="0"/>
            <c:showPercent val="1"/>
            <c:showBubbleSize val="0"/>
            <c:showLeaderLines val="0"/>
          </c:dLbls>
          <c:cat>
            <c:strRef>
              <c:f>Sheet3!$A$25:$A$31</c:f>
              <c:strCache>
                <c:ptCount val="7"/>
                <c:pt idx="0">
                  <c:v>Latin America and the Caribbean: 20007; 49%</c:v>
                </c:pt>
                <c:pt idx="1">
                  <c:v>Asia-Pacific: 13056; 32%</c:v>
                </c:pt>
                <c:pt idx="2">
                  <c:v>Certain Countries in Europe and Asia: 2937; 7%</c:v>
                </c:pt>
                <c:pt idx="3">
                  <c:v>Other developed countries: 1972; 5%</c:v>
                </c:pt>
                <c:pt idx="4">
                  <c:v>Africa: 1600; 4%</c:v>
                </c:pt>
                <c:pt idx="5">
                  <c:v>Arab countries: 1264; 3%</c:v>
                </c:pt>
                <c:pt idx="6">
                  <c:v>Other Areas: 8; less than 1%</c:v>
                </c:pt>
              </c:strCache>
            </c:strRef>
          </c:cat>
          <c:val>
            <c:numRef>
              <c:f>Sheet3!$B$25:$B$31</c:f>
              <c:numCache>
                <c:formatCode>General</c:formatCode>
                <c:ptCount val="7"/>
                <c:pt idx="0">
                  <c:v>20007</c:v>
                </c:pt>
                <c:pt idx="1">
                  <c:v>13056</c:v>
                </c:pt>
                <c:pt idx="2">
                  <c:v>2937</c:v>
                </c:pt>
                <c:pt idx="3">
                  <c:v>1972</c:v>
                </c:pt>
                <c:pt idx="4">
                  <c:v>1600</c:v>
                </c:pt>
                <c:pt idx="5">
                  <c:v>1264</c:v>
                </c:pt>
                <c:pt idx="6">
                  <c:v>8</c:v>
                </c:pt>
              </c:numCache>
            </c:numRef>
          </c:val>
        </c:ser>
        <c:dLbls>
          <c:showLegendKey val="0"/>
          <c:showVal val="0"/>
          <c:showCatName val="0"/>
          <c:showSerName val="0"/>
          <c:showPercent val="0"/>
          <c:showBubbleSize val="0"/>
          <c:showLeaderLines val="0"/>
        </c:dLbls>
        <c:firstSliceAng val="0"/>
      </c:pieChart>
      <c:spPr>
        <a:noFill/>
        <a:ln w="25400">
          <a:noFill/>
        </a:ln>
      </c:spPr>
    </c:plotArea>
    <c:legend>
      <c:legendPos val="l"/>
      <c:layout>
        <c:manualLayout>
          <c:xMode val="edge"/>
          <c:yMode val="edge"/>
          <c:x val="3.174322940574132E-2"/>
          <c:y val="7.6633851022578761E-2"/>
          <c:w val="0.37200309358081979"/>
          <c:h val="0.90562036055143158"/>
        </c:manualLayout>
      </c:layout>
      <c:overlay val="0"/>
      <c:txPr>
        <a:bodyPr/>
        <a:lstStyle/>
        <a:p>
          <a:pPr>
            <a:defRPr sz="750">
              <a:latin typeface="Arial Narrow" pitchFamily="34" charset="0"/>
            </a:defRPr>
          </a:pPr>
          <a:endParaRPr lang="en-US"/>
        </a:p>
      </c:txPr>
    </c:legend>
    <c:plotVisOnly val="1"/>
    <c:dispBlanksAs val="zero"/>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Sheet1!$A$2</c:f>
              <c:strCache>
                <c:ptCount val="1"/>
                <c:pt idx="0">
                  <c:v>PCT</c:v>
                </c:pt>
              </c:strCache>
            </c:strRef>
          </c:tx>
          <c:invertIfNegative val="0"/>
          <c:cat>
            <c:strRef>
              <c:f>Sheet1!$B$1:$I$1</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Sheet1!$B$2:$I$2</c:f>
              <c:numCache>
                <c:formatCode>#,##0</c:formatCode>
                <c:ptCount val="8"/>
                <c:pt idx="0">
                  <c:v>2030348</c:v>
                </c:pt>
                <c:pt idx="1">
                  <c:v>2078150</c:v>
                </c:pt>
                <c:pt idx="2">
                  <c:v>2119178</c:v>
                </c:pt>
                <c:pt idx="3" formatCode="General">
                  <c:v>2167815</c:v>
                </c:pt>
                <c:pt idx="4" formatCode="General">
                  <c:v>2212089</c:v>
                </c:pt>
                <c:pt idx="5" formatCode="General">
                  <c:v>2258762</c:v>
                </c:pt>
                <c:pt idx="6">
                  <c:v>2310696</c:v>
                </c:pt>
                <c:pt idx="7">
                  <c:v>2360448</c:v>
                </c:pt>
              </c:numCache>
            </c:numRef>
          </c:val>
        </c:ser>
        <c:ser>
          <c:idx val="1"/>
          <c:order val="1"/>
          <c:tx>
            <c:strRef>
              <c:f>Sheet1!$A$3</c:f>
              <c:strCache>
                <c:ptCount val="1"/>
                <c:pt idx="0">
                  <c:v>Non-PCT</c:v>
                </c:pt>
              </c:strCache>
            </c:strRef>
          </c:tx>
          <c:invertIfNegative val="0"/>
          <c:cat>
            <c:strRef>
              <c:f>Sheet1!$B$1:$I$1</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Sheet1!$B$3:$I$3</c:f>
              <c:numCache>
                <c:formatCode>#,##0</c:formatCode>
                <c:ptCount val="8"/>
                <c:pt idx="0">
                  <c:v>8594738</c:v>
                </c:pt>
                <c:pt idx="1">
                  <c:v>8727414</c:v>
                </c:pt>
                <c:pt idx="2">
                  <c:v>11897186</c:v>
                </c:pt>
                <c:pt idx="3">
                  <c:v>16481609</c:v>
                </c:pt>
                <c:pt idx="4" formatCode="General">
                  <c:v>16568807</c:v>
                </c:pt>
                <c:pt idx="5" formatCode="General">
                  <c:v>28906767</c:v>
                </c:pt>
                <c:pt idx="6">
                  <c:v>30163849</c:v>
                </c:pt>
                <c:pt idx="7">
                  <c:v>32580463</c:v>
                </c:pt>
              </c:numCache>
            </c:numRef>
          </c:val>
        </c:ser>
        <c:dLbls>
          <c:showLegendKey val="0"/>
          <c:showVal val="0"/>
          <c:showCatName val="0"/>
          <c:showSerName val="0"/>
          <c:showPercent val="0"/>
          <c:showBubbleSize val="0"/>
        </c:dLbls>
        <c:gapWidth val="150"/>
        <c:overlap val="100"/>
        <c:axId val="87347584"/>
        <c:axId val="87349120"/>
      </c:barChart>
      <c:dateAx>
        <c:axId val="87347584"/>
        <c:scaling>
          <c:orientation val="minMax"/>
        </c:scaling>
        <c:delete val="0"/>
        <c:axPos val="b"/>
        <c:numFmt formatCode="@" sourceLinked="1"/>
        <c:majorTickMark val="out"/>
        <c:minorTickMark val="none"/>
        <c:tickLblPos val="nextTo"/>
        <c:crossAx val="87349120"/>
        <c:crosses val="autoZero"/>
        <c:auto val="0"/>
        <c:lblOffset val="100"/>
        <c:baseTimeUnit val="months"/>
      </c:dateAx>
      <c:valAx>
        <c:axId val="87349120"/>
        <c:scaling>
          <c:orientation val="minMax"/>
        </c:scaling>
        <c:delete val="0"/>
        <c:axPos val="l"/>
        <c:majorGridlines/>
        <c:numFmt formatCode="#,##0" sourceLinked="1"/>
        <c:majorTickMark val="out"/>
        <c:minorTickMark val="none"/>
        <c:tickLblPos val="nextTo"/>
        <c:crossAx val="87347584"/>
        <c:crosses val="autoZero"/>
        <c:crossBetween val="between"/>
        <c:dispUnits>
          <c:builtInUnit val="millions"/>
          <c:dispUnitsLbl>
            <c:txPr>
              <a:bodyPr/>
              <a:lstStyle/>
              <a:p>
                <a:pPr>
                  <a:defRPr sz="1200" baseline="0"/>
                </a:pPr>
                <a:endParaRPr lang="en-US"/>
              </a:p>
            </c:txPr>
          </c:dispUnitsLbl>
        </c:dispUnits>
      </c:valAx>
    </c:plotArea>
    <c:legend>
      <c:legendPos val="t"/>
      <c:overlay val="0"/>
      <c:txPr>
        <a:bodyPr/>
        <a:lstStyle/>
        <a:p>
          <a:pPr>
            <a:defRPr sz="1800" baseline="0"/>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Sheet1!$A$30</c:f>
              <c:strCache>
                <c:ptCount val="1"/>
                <c:pt idx="0">
                  <c:v>Madrid</c:v>
                </c:pt>
              </c:strCache>
            </c:strRef>
          </c:tx>
          <c:invertIfNegative val="0"/>
          <c:cat>
            <c:strRef>
              <c:f>Sheet1!$B$29:$I$29</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Sheet1!$B$30:$I$30</c:f>
              <c:numCache>
                <c:formatCode>General</c:formatCode>
                <c:ptCount val="8"/>
                <c:pt idx="0" formatCode="#,##0">
                  <c:v>700000</c:v>
                </c:pt>
                <c:pt idx="1">
                  <c:v>710000</c:v>
                </c:pt>
                <c:pt idx="2" formatCode="#,##0">
                  <c:v>720000</c:v>
                </c:pt>
                <c:pt idx="3">
                  <c:v>730000</c:v>
                </c:pt>
                <c:pt idx="4">
                  <c:v>740000</c:v>
                </c:pt>
                <c:pt idx="5">
                  <c:v>750000</c:v>
                </c:pt>
                <c:pt idx="6" formatCode="#,##0">
                  <c:v>760000</c:v>
                </c:pt>
                <c:pt idx="7" formatCode="#,##0">
                  <c:v>770000</c:v>
                </c:pt>
              </c:numCache>
            </c:numRef>
          </c:val>
        </c:ser>
        <c:ser>
          <c:idx val="1"/>
          <c:order val="1"/>
          <c:tx>
            <c:strRef>
              <c:f>Sheet1!$A$31</c:f>
              <c:strCache>
                <c:ptCount val="1"/>
                <c:pt idx="0">
                  <c:v>Non-Madrid</c:v>
                </c:pt>
              </c:strCache>
            </c:strRef>
          </c:tx>
          <c:spPr>
            <a:solidFill>
              <a:srgbClr val="00B050"/>
            </a:solidFill>
          </c:spPr>
          <c:invertIfNegative val="0"/>
          <c:cat>
            <c:strRef>
              <c:f>Sheet1!$B$29:$I$29</c:f>
              <c:strCache>
                <c:ptCount val="8"/>
                <c:pt idx="0">
                  <c:v>March 2012</c:v>
                </c:pt>
                <c:pt idx="1">
                  <c:v>June 2012</c:v>
                </c:pt>
                <c:pt idx="2">
                  <c:v>September 2012</c:v>
                </c:pt>
                <c:pt idx="3">
                  <c:v>December 2012</c:v>
                </c:pt>
                <c:pt idx="4">
                  <c:v>March 2013</c:v>
                </c:pt>
                <c:pt idx="5">
                  <c:v>June 2013</c:v>
                </c:pt>
                <c:pt idx="6">
                  <c:v>September 2013</c:v>
                </c:pt>
                <c:pt idx="7">
                  <c:v>December 2013</c:v>
                </c:pt>
              </c:strCache>
            </c:strRef>
          </c:cat>
          <c:val>
            <c:numRef>
              <c:f>Sheet1!$B$31:$I$31</c:f>
              <c:numCache>
                <c:formatCode>#,##0</c:formatCode>
                <c:ptCount val="8"/>
                <c:pt idx="0">
                  <c:v>0</c:v>
                </c:pt>
                <c:pt idx="1">
                  <c:v>1280000</c:v>
                </c:pt>
                <c:pt idx="2">
                  <c:v>1280000</c:v>
                </c:pt>
                <c:pt idx="3">
                  <c:v>3270000</c:v>
                </c:pt>
                <c:pt idx="4" formatCode="General">
                  <c:v>10260000</c:v>
                </c:pt>
                <c:pt idx="5" formatCode="General">
                  <c:v>10260000</c:v>
                </c:pt>
                <c:pt idx="6">
                  <c:v>11240000</c:v>
                </c:pt>
                <c:pt idx="7">
                  <c:v>11240000</c:v>
                </c:pt>
              </c:numCache>
            </c:numRef>
          </c:val>
        </c:ser>
        <c:dLbls>
          <c:showLegendKey val="0"/>
          <c:showVal val="0"/>
          <c:showCatName val="0"/>
          <c:showSerName val="0"/>
          <c:showPercent val="0"/>
          <c:showBubbleSize val="0"/>
        </c:dLbls>
        <c:gapWidth val="150"/>
        <c:overlap val="100"/>
        <c:axId val="107489920"/>
        <c:axId val="107491712"/>
      </c:barChart>
      <c:catAx>
        <c:axId val="107489920"/>
        <c:scaling>
          <c:orientation val="minMax"/>
        </c:scaling>
        <c:delete val="0"/>
        <c:axPos val="b"/>
        <c:majorTickMark val="out"/>
        <c:minorTickMark val="none"/>
        <c:tickLblPos val="nextTo"/>
        <c:crossAx val="107491712"/>
        <c:crosses val="autoZero"/>
        <c:auto val="1"/>
        <c:lblAlgn val="ctr"/>
        <c:lblOffset val="100"/>
        <c:noMultiLvlLbl val="0"/>
      </c:catAx>
      <c:valAx>
        <c:axId val="107491712"/>
        <c:scaling>
          <c:orientation val="minMax"/>
        </c:scaling>
        <c:delete val="0"/>
        <c:axPos val="l"/>
        <c:majorGridlines/>
        <c:numFmt formatCode="#,##0" sourceLinked="1"/>
        <c:majorTickMark val="out"/>
        <c:minorTickMark val="none"/>
        <c:tickLblPos val="nextTo"/>
        <c:crossAx val="107489920"/>
        <c:crosses val="autoZero"/>
        <c:crossBetween val="between"/>
        <c:dispUnits>
          <c:builtInUnit val="millions"/>
          <c:dispUnitsLbl>
            <c:txPr>
              <a:bodyPr/>
              <a:lstStyle/>
              <a:p>
                <a:pPr>
                  <a:defRPr sz="1200"/>
                </a:pPr>
                <a:endParaRPr lang="en-US"/>
              </a:p>
            </c:txPr>
          </c:dispUnitsLbl>
        </c:dispUnits>
      </c:valAx>
    </c:plotArea>
    <c:legend>
      <c:legendPos val="t"/>
      <c:overlay val="0"/>
      <c:txPr>
        <a:bodyPr/>
        <a:lstStyle/>
        <a:p>
          <a:pPr>
            <a:defRPr sz="1800" b="0"/>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324679-5C26-42CA-8FCF-5D55C9495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252</Pages>
  <Words>99648</Words>
  <Characters>584006</Characters>
  <Application>Microsoft Office Word</Application>
  <DocSecurity>0</DocSecurity>
  <Lines>4866</Lines>
  <Paragraphs>1364</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682290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Performance Report 2008-09, program 1</dc:title>
  <dc:creator>baechtold</dc:creator>
  <cp:lastModifiedBy>NETTER Iza</cp:lastModifiedBy>
  <cp:revision>6</cp:revision>
  <cp:lastPrinted>2014-07-16T13:53:00Z</cp:lastPrinted>
  <dcterms:created xsi:type="dcterms:W3CDTF">2014-07-15T09:14:00Z</dcterms:created>
  <dcterms:modified xsi:type="dcterms:W3CDTF">2014-07-24T07:06:00Z</dcterms:modified>
  <cp:contentStatus/>
</cp:coreProperties>
</file>