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40716" w:rsidP="00916EE2">
            <w:r>
              <w:rPr>
                <w:noProof/>
                <w:lang w:eastAsia="en-US"/>
              </w:rPr>
              <w:drawing>
                <wp:inline distT="0" distB="0" distL="0" distR="0" wp14:anchorId="0F6B5BA2" wp14:editId="24A718C4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0716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WO/PBC/22/</w:t>
            </w:r>
            <w:bookmarkStart w:id="1" w:name="Code"/>
            <w:bookmarkEnd w:id="1"/>
            <w:r w:rsidR="004D1867">
              <w:rPr>
                <w:rFonts w:ascii="Arial Black" w:hAnsi="Arial Black"/>
                <w:caps/>
                <w:sz w:val="15"/>
              </w:rPr>
              <w:t>13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4D1867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24553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24553B">
              <w:rPr>
                <w:rFonts w:ascii="Arial Black" w:hAnsi="Arial Black"/>
                <w:caps/>
                <w:sz w:val="15"/>
              </w:rPr>
              <w:t>August 4</w:t>
            </w:r>
            <w:r w:rsidR="004D1867">
              <w:rPr>
                <w:rFonts w:ascii="Arial Black" w:hAnsi="Arial Black"/>
                <w:caps/>
                <w:sz w:val="15"/>
              </w:rPr>
              <w:t>, 2014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40716" w:rsidRPr="003845C1" w:rsidRDefault="00A40716" w:rsidP="00A4071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 and Budget Committee</w:t>
      </w:r>
    </w:p>
    <w:p w:rsidR="003845C1" w:rsidRDefault="003845C1" w:rsidP="003845C1"/>
    <w:p w:rsidR="003845C1" w:rsidRDefault="003845C1" w:rsidP="003845C1"/>
    <w:p w:rsidR="00A40716" w:rsidRPr="003845C1" w:rsidRDefault="00A40716" w:rsidP="00A40716">
      <w:pPr>
        <w:rPr>
          <w:b/>
          <w:sz w:val="24"/>
          <w:szCs w:val="24"/>
        </w:rPr>
      </w:pPr>
      <w:r>
        <w:rPr>
          <w:b/>
          <w:sz w:val="24"/>
          <w:szCs w:val="24"/>
        </w:rPr>
        <w:t>Twenty-Second Session</w:t>
      </w:r>
    </w:p>
    <w:p w:rsidR="00A40716" w:rsidRPr="003845C1" w:rsidRDefault="00A40716" w:rsidP="00A40716">
      <w:pPr>
        <w:rPr>
          <w:b/>
          <w:sz w:val="24"/>
          <w:szCs w:val="24"/>
        </w:rPr>
      </w:pPr>
      <w:r w:rsidRPr="00B479F1">
        <w:rPr>
          <w:b/>
          <w:sz w:val="24"/>
          <w:szCs w:val="24"/>
        </w:rPr>
        <w:t xml:space="preserve">Geneva, September </w:t>
      </w:r>
      <w:r>
        <w:rPr>
          <w:b/>
          <w:sz w:val="24"/>
          <w:szCs w:val="24"/>
        </w:rPr>
        <w:t>1</w:t>
      </w:r>
      <w:r w:rsidRPr="00B479F1">
        <w:rPr>
          <w:b/>
          <w:sz w:val="24"/>
          <w:szCs w:val="24"/>
        </w:rPr>
        <w:t xml:space="preserve"> to </w:t>
      </w:r>
      <w:r>
        <w:rPr>
          <w:b/>
          <w:sz w:val="24"/>
          <w:szCs w:val="24"/>
        </w:rPr>
        <w:t>5, 2014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4D1867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PROGRESS REPORT ON THE PROJECT TO UPGRADE THE SAFETY AND SECURITY STANDARDS FOR THE EXISTING WIPO BUILDINGS</w:t>
      </w:r>
    </w:p>
    <w:p w:rsidR="008B2CC1" w:rsidRPr="008B2CC1" w:rsidRDefault="008B2CC1" w:rsidP="008B2CC1"/>
    <w:p w:rsidR="008B2CC1" w:rsidRPr="008B2CC1" w:rsidRDefault="004D1867" w:rsidP="008B2CC1">
      <w:pPr>
        <w:rPr>
          <w:i/>
        </w:rPr>
      </w:pPr>
      <w:bookmarkStart w:id="5" w:name="Prepared"/>
      <w:bookmarkEnd w:id="5"/>
      <w:r>
        <w:rPr>
          <w:i/>
        </w:rPr>
        <w:t>prepared by the 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4D1867" w:rsidRDefault="004D1867" w:rsidP="004D1867">
      <w:pPr>
        <w:outlineLvl w:val="1"/>
        <w:rPr>
          <w:b/>
          <w:bCs/>
          <w:iCs/>
          <w:caps/>
          <w:szCs w:val="22"/>
        </w:rPr>
      </w:pPr>
      <w:r w:rsidRPr="00C75CB8">
        <w:rPr>
          <w:b/>
          <w:bCs/>
          <w:iCs/>
          <w:caps/>
          <w:szCs w:val="22"/>
        </w:rPr>
        <w:t>Introduction</w:t>
      </w:r>
    </w:p>
    <w:p w:rsidR="004D1867" w:rsidRDefault="004D1867" w:rsidP="00AE465F">
      <w:pPr>
        <w:pStyle w:val="ONUME"/>
        <w:numPr>
          <w:ilvl w:val="0"/>
          <w:numId w:val="0"/>
        </w:numPr>
        <w:spacing w:after="0"/>
      </w:pPr>
    </w:p>
    <w:p w:rsidR="004D1867" w:rsidRDefault="004D1867" w:rsidP="00AE465F">
      <w:pPr>
        <w:pStyle w:val="ONUME"/>
        <w:spacing w:after="0"/>
        <w:rPr>
          <w:bCs/>
          <w:iCs/>
          <w:caps/>
          <w:szCs w:val="22"/>
        </w:rPr>
      </w:pPr>
      <w:r w:rsidRPr="00C51E62">
        <w:t xml:space="preserve">The purpose of this document is to </w:t>
      </w:r>
      <w:r>
        <w:t xml:space="preserve">update </w:t>
      </w:r>
      <w:r w:rsidRPr="00C51E62">
        <w:t xml:space="preserve">the Program and Budget Committee (PBC) </w:t>
      </w:r>
      <w:r>
        <w:t>on the “P</w:t>
      </w:r>
      <w:r w:rsidRPr="00C51E62">
        <w:t xml:space="preserve">roject to </w:t>
      </w:r>
      <w:r w:rsidR="00EC2C8E">
        <w:t>U</w:t>
      </w:r>
      <w:r w:rsidRPr="00C51E62">
        <w:t xml:space="preserve">pgrade the </w:t>
      </w:r>
      <w:r w:rsidR="00EC2C8E">
        <w:t>S</w:t>
      </w:r>
      <w:r w:rsidRPr="00C51E62">
        <w:t xml:space="preserve">afety and </w:t>
      </w:r>
      <w:r w:rsidR="00EC2C8E">
        <w:t>S</w:t>
      </w:r>
      <w:r w:rsidRPr="00C51E62">
        <w:t xml:space="preserve">ecurity </w:t>
      </w:r>
      <w:r w:rsidR="00EC2C8E">
        <w:t>S</w:t>
      </w:r>
      <w:r w:rsidRPr="00C51E62">
        <w:t xml:space="preserve">tandards for the </w:t>
      </w:r>
      <w:r w:rsidR="00EC2C8E">
        <w:t>E</w:t>
      </w:r>
      <w:r w:rsidRPr="00C51E62">
        <w:t xml:space="preserve">xisting WIPO </w:t>
      </w:r>
      <w:r w:rsidR="00EC2C8E">
        <w:t>B</w:t>
      </w:r>
      <w:r w:rsidRPr="00C51E62">
        <w:t>uildings</w:t>
      </w:r>
      <w:r>
        <w:t>”</w:t>
      </w:r>
      <w:r w:rsidRPr="00C51E62">
        <w:t xml:space="preserve"> since the presentation of the previous report </w:t>
      </w:r>
      <w:r>
        <w:t>to</w:t>
      </w:r>
      <w:r w:rsidRPr="00C51E62">
        <w:t xml:space="preserve"> the </w:t>
      </w:r>
      <w:r>
        <w:t>21</w:t>
      </w:r>
      <w:r w:rsidRPr="00FE72D6">
        <w:rPr>
          <w:vertAlign w:val="superscript"/>
        </w:rPr>
        <w:t>st</w:t>
      </w:r>
      <w:r>
        <w:t xml:space="preserve"> </w:t>
      </w:r>
      <w:r w:rsidRPr="00C51E62">
        <w:t>session of the PBC in September 201</w:t>
      </w:r>
      <w:r>
        <w:t>3</w:t>
      </w:r>
      <w:r w:rsidRPr="00C51E62">
        <w:t xml:space="preserve"> (WO/PBC/</w:t>
      </w:r>
      <w:r>
        <w:t>21</w:t>
      </w:r>
      <w:r w:rsidRPr="00C51E62">
        <w:t>/</w:t>
      </w:r>
      <w:r>
        <w:t>9</w:t>
      </w:r>
      <w:r w:rsidRPr="00C51E62">
        <w:t>).</w:t>
      </w:r>
    </w:p>
    <w:p w:rsidR="004D1867" w:rsidRPr="000151A7" w:rsidRDefault="004D1867">
      <w:pPr>
        <w:outlineLvl w:val="1"/>
        <w:rPr>
          <w:bCs/>
          <w:iCs/>
          <w:caps/>
          <w:szCs w:val="22"/>
        </w:rPr>
      </w:pPr>
    </w:p>
    <w:p w:rsidR="004D1867" w:rsidRDefault="004D1867">
      <w:pPr>
        <w:outlineLvl w:val="1"/>
        <w:rPr>
          <w:b/>
          <w:bCs/>
          <w:iCs/>
          <w:caps/>
          <w:szCs w:val="22"/>
        </w:rPr>
      </w:pPr>
      <w:r>
        <w:rPr>
          <w:b/>
          <w:bCs/>
          <w:iCs/>
          <w:caps/>
          <w:szCs w:val="22"/>
        </w:rPr>
        <w:t xml:space="preserve">Project’s </w:t>
      </w:r>
      <w:r w:rsidRPr="00DA3321">
        <w:rPr>
          <w:b/>
          <w:bCs/>
          <w:iCs/>
          <w:caps/>
          <w:szCs w:val="22"/>
        </w:rPr>
        <w:t>PROGRESS</w:t>
      </w:r>
      <w:r>
        <w:rPr>
          <w:b/>
          <w:bCs/>
          <w:iCs/>
          <w:caps/>
          <w:szCs w:val="22"/>
        </w:rPr>
        <w:t xml:space="preserve"> Ove</w:t>
      </w:r>
      <w:r w:rsidR="009C4FC9">
        <w:rPr>
          <w:b/>
          <w:bCs/>
          <w:iCs/>
          <w:caps/>
          <w:szCs w:val="22"/>
        </w:rPr>
        <w:t>R</w:t>
      </w:r>
      <w:r>
        <w:rPr>
          <w:b/>
          <w:bCs/>
          <w:iCs/>
          <w:caps/>
          <w:szCs w:val="22"/>
        </w:rPr>
        <w:t>view</w:t>
      </w:r>
    </w:p>
    <w:p w:rsidR="004D1867" w:rsidRPr="007F0CDB" w:rsidRDefault="004D1867">
      <w:pPr>
        <w:outlineLvl w:val="1"/>
        <w:rPr>
          <w:bCs/>
          <w:iCs/>
          <w:caps/>
          <w:szCs w:val="22"/>
        </w:rPr>
      </w:pPr>
    </w:p>
    <w:p w:rsidR="004D1867" w:rsidRDefault="004D1867" w:rsidP="00C46087">
      <w:pPr>
        <w:pStyle w:val="ONUME"/>
        <w:numPr>
          <w:ilvl w:val="0"/>
          <w:numId w:val="8"/>
        </w:numPr>
        <w:spacing w:after="0"/>
        <w:ind w:left="0" w:firstLine="0"/>
      </w:pPr>
      <w:r w:rsidRPr="00F42E21">
        <w:t>The project to upgrade the safety and security standard</w:t>
      </w:r>
      <w:r>
        <w:t xml:space="preserve">s at WIPO headquarters consisted of three </w:t>
      </w:r>
      <w:r w:rsidR="009C4FC9">
        <w:t>main</w:t>
      </w:r>
      <w:r>
        <w:t xml:space="preserve"> </w:t>
      </w:r>
      <w:r w:rsidRPr="00F42E21">
        <w:t>phases</w:t>
      </w:r>
      <w:r>
        <w:t xml:space="preserve"> of implementation:</w:t>
      </w:r>
    </w:p>
    <w:p w:rsidR="004D1867" w:rsidRDefault="004D1867">
      <w:pPr>
        <w:outlineLvl w:val="1"/>
      </w:pPr>
    </w:p>
    <w:p w:rsidR="004D1867" w:rsidRPr="000C7297" w:rsidRDefault="004D1867">
      <w:pPr>
        <w:pStyle w:val="ListParagraph"/>
        <w:numPr>
          <w:ilvl w:val="0"/>
          <w:numId w:val="7"/>
        </w:numPr>
        <w:ind w:left="1134" w:hanging="567"/>
      </w:pPr>
      <w:r w:rsidRPr="0046013A">
        <w:rPr>
          <w:rFonts w:eastAsiaTheme="minorHAnsi"/>
          <w:b/>
          <w:szCs w:val="22"/>
          <w:lang w:eastAsia="en-US"/>
        </w:rPr>
        <w:t>Phase I</w:t>
      </w:r>
      <w:r w:rsidRPr="0046013A">
        <w:rPr>
          <w:rFonts w:eastAsiaTheme="minorHAnsi"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t xml:space="preserve">– the application of “risk management principles” and the compilation of effective mitigation measures, </w:t>
      </w:r>
      <w:r w:rsidRPr="0046013A">
        <w:rPr>
          <w:rFonts w:eastAsiaTheme="minorHAnsi"/>
          <w:szCs w:val="22"/>
          <w:lang w:eastAsia="en-US"/>
        </w:rPr>
        <w:t>focus</w:t>
      </w:r>
      <w:r>
        <w:rPr>
          <w:rFonts w:eastAsiaTheme="minorHAnsi"/>
          <w:szCs w:val="22"/>
          <w:lang w:eastAsia="en-US"/>
        </w:rPr>
        <w:t>ing</w:t>
      </w:r>
      <w:r w:rsidRPr="0046013A">
        <w:rPr>
          <w:rFonts w:eastAsiaTheme="minorHAnsi"/>
          <w:szCs w:val="22"/>
          <w:lang w:eastAsia="en-US"/>
        </w:rPr>
        <w:t xml:space="preserve"> on </w:t>
      </w:r>
      <w:r>
        <w:rPr>
          <w:rFonts w:eastAsiaTheme="minorHAnsi"/>
          <w:szCs w:val="22"/>
          <w:lang w:eastAsia="en-US"/>
        </w:rPr>
        <w:t xml:space="preserve">and assessing the various required technical systems, infrastructure compatibility, internal and external partnerships conducive in designing a holistic </w:t>
      </w:r>
      <w:r w:rsidRPr="0046013A">
        <w:rPr>
          <w:rFonts w:eastAsiaTheme="minorHAnsi"/>
          <w:szCs w:val="22"/>
          <w:lang w:eastAsia="en-US"/>
        </w:rPr>
        <w:t xml:space="preserve">safety and security </w:t>
      </w:r>
      <w:r>
        <w:rPr>
          <w:rFonts w:eastAsiaTheme="minorHAnsi"/>
          <w:szCs w:val="22"/>
          <w:lang w:eastAsia="en-US"/>
        </w:rPr>
        <w:t>concept in accordance with the P</w:t>
      </w:r>
      <w:r w:rsidRPr="0046013A">
        <w:rPr>
          <w:rFonts w:eastAsiaTheme="minorHAnsi"/>
          <w:szCs w:val="22"/>
          <w:lang w:eastAsia="en-US"/>
        </w:rPr>
        <w:t>roject</w:t>
      </w:r>
      <w:r>
        <w:rPr>
          <w:rFonts w:eastAsiaTheme="minorHAnsi"/>
          <w:szCs w:val="22"/>
          <w:lang w:eastAsia="en-US"/>
        </w:rPr>
        <w:t>’s</w:t>
      </w:r>
      <w:r w:rsidRPr="0046013A">
        <w:rPr>
          <w:rFonts w:eastAsiaTheme="minorHAnsi"/>
          <w:szCs w:val="22"/>
          <w:lang w:eastAsia="en-US"/>
        </w:rPr>
        <w:t xml:space="preserve"> framework and</w:t>
      </w:r>
      <w:r>
        <w:rPr>
          <w:rFonts w:eastAsiaTheme="minorHAnsi"/>
          <w:szCs w:val="22"/>
          <w:lang w:eastAsia="en-US"/>
        </w:rPr>
        <w:t xml:space="preserve"> promulgated </w:t>
      </w:r>
      <w:r w:rsidRPr="0046013A">
        <w:rPr>
          <w:rFonts w:eastAsiaTheme="minorHAnsi"/>
          <w:szCs w:val="22"/>
          <w:lang w:eastAsia="en-US"/>
        </w:rPr>
        <w:t>H</w:t>
      </w:r>
      <w:r>
        <w:rPr>
          <w:rFonts w:eastAsiaTheme="minorHAnsi"/>
          <w:szCs w:val="22"/>
          <w:lang w:eastAsia="en-US"/>
        </w:rPr>
        <w:noBreakHyphen/>
      </w:r>
      <w:r w:rsidRPr="0046013A">
        <w:rPr>
          <w:rFonts w:eastAsiaTheme="minorHAnsi"/>
          <w:szCs w:val="22"/>
          <w:lang w:eastAsia="en-US"/>
        </w:rPr>
        <w:t>MOSS standards;</w:t>
      </w:r>
      <w:r w:rsidR="009C4FC9">
        <w:rPr>
          <w:rFonts w:eastAsiaTheme="minorHAnsi"/>
          <w:szCs w:val="22"/>
          <w:lang w:eastAsia="en-US"/>
        </w:rPr>
        <w:t xml:space="preserve"> (Completed)</w:t>
      </w:r>
    </w:p>
    <w:p w:rsidR="004D1867" w:rsidRPr="000C7297" w:rsidRDefault="004D1867">
      <w:pPr>
        <w:pStyle w:val="ListParagraph"/>
      </w:pPr>
    </w:p>
    <w:p w:rsidR="004D1867" w:rsidRDefault="004D1867">
      <w:pPr>
        <w:pStyle w:val="ListParagraph"/>
        <w:numPr>
          <w:ilvl w:val="0"/>
          <w:numId w:val="7"/>
        </w:numPr>
        <w:ind w:left="1134" w:hanging="567"/>
      </w:pPr>
      <w:r w:rsidRPr="000C7297">
        <w:rPr>
          <w:b/>
        </w:rPr>
        <w:t>Phase II</w:t>
      </w:r>
      <w:r w:rsidRPr="000C7297">
        <w:t xml:space="preserve"> </w:t>
      </w:r>
      <w:r>
        <w:t>– involved</w:t>
      </w:r>
      <w:r w:rsidRPr="000C7297">
        <w:t xml:space="preserve"> the preparation </w:t>
      </w:r>
      <w:r>
        <w:t>o</w:t>
      </w:r>
      <w:r w:rsidRPr="000C7297">
        <w:t xml:space="preserve">f </w:t>
      </w:r>
      <w:r>
        <w:t xml:space="preserve">technical </w:t>
      </w:r>
      <w:r w:rsidRPr="000C7297">
        <w:t>specifications, including the execution dossiers for the</w:t>
      </w:r>
      <w:r>
        <w:t xml:space="preserve"> construction companies and service providers</w:t>
      </w:r>
      <w:r w:rsidRPr="000C7297">
        <w:t xml:space="preserve">, issuing invitations to tender </w:t>
      </w:r>
      <w:r>
        <w:t>their services and acquire</w:t>
      </w:r>
      <w:r w:rsidRPr="000C7297">
        <w:t xml:space="preserve"> the </w:t>
      </w:r>
      <w:r>
        <w:t xml:space="preserve">technical equipment and their supporting communications/connectivity systems, and </w:t>
      </w:r>
      <w:r w:rsidR="009C4FC9">
        <w:t>(Completed May 2014)</w:t>
      </w:r>
    </w:p>
    <w:p w:rsidR="004D1867" w:rsidRDefault="004D1867"/>
    <w:p w:rsidR="004D1867" w:rsidRDefault="004D1867">
      <w:pPr>
        <w:pStyle w:val="ListParagraph"/>
        <w:numPr>
          <w:ilvl w:val="0"/>
          <w:numId w:val="7"/>
        </w:numPr>
        <w:ind w:left="1134" w:hanging="567"/>
        <w:rPr>
          <w:lang w:eastAsia="en-US"/>
        </w:rPr>
      </w:pPr>
      <w:r w:rsidRPr="000C7297">
        <w:rPr>
          <w:b/>
          <w:lang w:eastAsia="en-US"/>
        </w:rPr>
        <w:t>Phase III</w:t>
      </w:r>
      <w:r w:rsidRPr="000C7297">
        <w:rPr>
          <w:lang w:eastAsia="en-US"/>
        </w:rPr>
        <w:t xml:space="preserve"> </w:t>
      </w:r>
      <w:r>
        <w:rPr>
          <w:lang w:eastAsia="en-US"/>
        </w:rPr>
        <w:t xml:space="preserve">– </w:t>
      </w:r>
      <w:r w:rsidRPr="000C7297">
        <w:rPr>
          <w:lang w:eastAsia="en-US"/>
        </w:rPr>
        <w:t>relat</w:t>
      </w:r>
      <w:r>
        <w:rPr>
          <w:lang w:eastAsia="en-US"/>
        </w:rPr>
        <w:t>ed</w:t>
      </w:r>
      <w:r w:rsidRPr="000C7297">
        <w:rPr>
          <w:lang w:eastAsia="en-US"/>
        </w:rPr>
        <w:t xml:space="preserve"> to the </w:t>
      </w:r>
      <w:r>
        <w:rPr>
          <w:lang w:eastAsia="en-US"/>
        </w:rPr>
        <w:t xml:space="preserve">physical </w:t>
      </w:r>
      <w:r w:rsidRPr="000C7297">
        <w:rPr>
          <w:lang w:eastAsia="en-US"/>
        </w:rPr>
        <w:t xml:space="preserve">execution of the </w:t>
      </w:r>
      <w:r>
        <w:rPr>
          <w:lang w:eastAsia="en-US"/>
        </w:rPr>
        <w:t>project</w:t>
      </w:r>
      <w:r w:rsidRPr="000C7297">
        <w:rPr>
          <w:lang w:eastAsia="en-US"/>
        </w:rPr>
        <w:t xml:space="preserve">, </w:t>
      </w:r>
      <w:r>
        <w:rPr>
          <w:lang w:eastAsia="en-US"/>
        </w:rPr>
        <w:t xml:space="preserve">its active monitoring, eventual completion and </w:t>
      </w:r>
      <w:r w:rsidRPr="000C7297">
        <w:rPr>
          <w:lang w:eastAsia="en-US"/>
        </w:rPr>
        <w:t>handover to WIPO</w:t>
      </w:r>
      <w:r>
        <w:rPr>
          <w:lang w:eastAsia="en-US"/>
        </w:rPr>
        <w:t>.</w:t>
      </w:r>
      <w:r w:rsidRPr="000C7297">
        <w:rPr>
          <w:lang w:eastAsia="en-US"/>
        </w:rPr>
        <w:t xml:space="preserve"> </w:t>
      </w:r>
      <w:r w:rsidR="009C4FC9">
        <w:rPr>
          <w:lang w:eastAsia="en-US"/>
        </w:rPr>
        <w:t xml:space="preserve"> (Ongoing)</w:t>
      </w:r>
    </w:p>
    <w:p w:rsidR="004D1867" w:rsidRDefault="004D1867" w:rsidP="004D1867">
      <w:pPr>
        <w:rPr>
          <w:rFonts w:eastAsiaTheme="minorHAnsi"/>
          <w:szCs w:val="22"/>
          <w:lang w:eastAsia="en-US"/>
        </w:rPr>
      </w:pPr>
    </w:p>
    <w:p w:rsidR="004D1867" w:rsidRPr="00E27980" w:rsidRDefault="004D1867" w:rsidP="00C46087">
      <w:pPr>
        <w:pStyle w:val="ListParagraph"/>
        <w:numPr>
          <w:ilvl w:val="0"/>
          <w:numId w:val="8"/>
        </w:numPr>
        <w:ind w:left="0" w:firstLine="0"/>
        <w:rPr>
          <w:lang w:eastAsia="en-US"/>
        </w:rPr>
      </w:pPr>
      <w:r>
        <w:rPr>
          <w:rFonts w:eastAsiaTheme="minorHAnsi"/>
          <w:szCs w:val="22"/>
          <w:lang w:eastAsia="en-US"/>
        </w:rPr>
        <w:t>Upon completion of this report,</w:t>
      </w:r>
      <w:r w:rsidRPr="0091050A">
        <w:rPr>
          <w:rFonts w:eastAsiaTheme="minorHAnsi"/>
          <w:szCs w:val="22"/>
          <w:lang w:eastAsia="en-US"/>
        </w:rPr>
        <w:t xml:space="preserve"> the </w:t>
      </w:r>
      <w:r>
        <w:rPr>
          <w:rFonts w:eastAsiaTheme="minorHAnsi"/>
          <w:szCs w:val="22"/>
          <w:lang w:eastAsia="en-US"/>
        </w:rPr>
        <w:t>technical project implementation measures and monitoring phases of the project had been assessed</w:t>
      </w:r>
      <w:r w:rsidR="00EC2C8E">
        <w:rPr>
          <w:rFonts w:eastAsiaTheme="minorHAnsi"/>
          <w:szCs w:val="22"/>
          <w:lang w:eastAsia="en-US"/>
        </w:rPr>
        <w:t xml:space="preserve"> </w:t>
      </w:r>
      <w:r w:rsidR="00C46087">
        <w:rPr>
          <w:rFonts w:eastAsiaTheme="minorHAnsi"/>
          <w:szCs w:val="22"/>
          <w:lang w:eastAsia="en-US"/>
        </w:rPr>
        <w:t>and adjusted</w:t>
      </w:r>
      <w:r>
        <w:rPr>
          <w:rFonts w:eastAsiaTheme="minorHAnsi"/>
          <w:szCs w:val="22"/>
          <w:lang w:eastAsia="en-US"/>
        </w:rPr>
        <w:t xml:space="preserve"> a</w:t>
      </w:r>
      <w:r w:rsidR="00EC2C8E">
        <w:rPr>
          <w:rFonts w:eastAsiaTheme="minorHAnsi"/>
          <w:szCs w:val="22"/>
          <w:lang w:eastAsia="en-US"/>
        </w:rPr>
        <w:t>s</w:t>
      </w:r>
      <w:r>
        <w:rPr>
          <w:rFonts w:eastAsiaTheme="minorHAnsi"/>
          <w:szCs w:val="22"/>
          <w:lang w:eastAsia="en-US"/>
        </w:rPr>
        <w:t xml:space="preserve"> recorded in the following table</w:t>
      </w:r>
      <w:r w:rsidRPr="0091050A">
        <w:rPr>
          <w:rFonts w:eastAsiaTheme="minorHAnsi"/>
          <w:szCs w:val="22"/>
          <w:lang w:eastAsia="en-US"/>
        </w:rPr>
        <w:t>:</w:t>
      </w:r>
    </w:p>
    <w:p w:rsidR="004D1867" w:rsidRDefault="004D1867">
      <w:pPr>
        <w:outlineLvl w:val="1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2883"/>
        <w:gridCol w:w="2929"/>
      </w:tblGrid>
      <w:tr w:rsidR="004D1867" w:rsidRPr="00C75CB8" w:rsidTr="00C46087">
        <w:trPr>
          <w:trHeight w:val="435"/>
        </w:trPr>
        <w:tc>
          <w:tcPr>
            <w:tcW w:w="2977" w:type="dxa"/>
            <w:vAlign w:val="center"/>
          </w:tcPr>
          <w:p w:rsidR="004D1867" w:rsidRPr="00C46087" w:rsidRDefault="004D1867">
            <w:pPr>
              <w:contextualSpacing/>
              <w:jc w:val="center"/>
              <w:rPr>
                <w:rFonts w:eastAsiaTheme="minorHAnsi"/>
                <w:b/>
                <w:lang w:val="en-US" w:eastAsia="en-US"/>
              </w:rPr>
            </w:pPr>
            <w:r w:rsidRPr="008D58B9">
              <w:rPr>
                <w:rFonts w:eastAsiaTheme="minorHAnsi"/>
                <w:b/>
                <w:lang w:eastAsia="en-US"/>
              </w:rPr>
              <w:t>Project Components</w:t>
            </w:r>
          </w:p>
        </w:tc>
        <w:tc>
          <w:tcPr>
            <w:tcW w:w="2883" w:type="dxa"/>
            <w:vAlign w:val="center"/>
          </w:tcPr>
          <w:p w:rsidR="004D1867" w:rsidRPr="00C46087" w:rsidRDefault="004D1867">
            <w:pPr>
              <w:ind w:left="34"/>
              <w:contextualSpacing/>
              <w:jc w:val="center"/>
              <w:rPr>
                <w:rFonts w:eastAsiaTheme="minorHAnsi"/>
                <w:b/>
                <w:lang w:val="en-US" w:eastAsia="en-US"/>
              </w:rPr>
            </w:pPr>
            <w:r w:rsidRPr="008D58B9">
              <w:rPr>
                <w:rFonts w:eastAsiaTheme="minorHAnsi"/>
                <w:b/>
                <w:lang w:eastAsia="en-US"/>
              </w:rPr>
              <w:t>Current status</w:t>
            </w:r>
          </w:p>
        </w:tc>
        <w:tc>
          <w:tcPr>
            <w:tcW w:w="2929" w:type="dxa"/>
            <w:vAlign w:val="center"/>
          </w:tcPr>
          <w:p w:rsidR="004D1867" w:rsidRPr="00C46087" w:rsidRDefault="004D1867">
            <w:pPr>
              <w:contextualSpacing/>
              <w:jc w:val="center"/>
              <w:rPr>
                <w:rFonts w:eastAsiaTheme="minorHAnsi"/>
                <w:b/>
                <w:lang w:val="en-US" w:eastAsia="en-US"/>
              </w:rPr>
            </w:pPr>
            <w:r w:rsidRPr="008D58B9">
              <w:rPr>
                <w:rFonts w:eastAsiaTheme="minorHAnsi"/>
                <w:b/>
                <w:lang w:eastAsia="en-US"/>
              </w:rPr>
              <w:t>Expected completion</w:t>
            </w:r>
          </w:p>
        </w:tc>
      </w:tr>
      <w:tr w:rsidR="004D1867" w:rsidRPr="00C75CB8" w:rsidTr="00C46087">
        <w:trPr>
          <w:trHeight w:val="697"/>
        </w:trPr>
        <w:tc>
          <w:tcPr>
            <w:tcW w:w="2977" w:type="dxa"/>
          </w:tcPr>
          <w:p w:rsidR="004D1867" w:rsidRPr="00C75CB8" w:rsidRDefault="004D1867">
            <w:pPr>
              <w:contextualSpacing/>
              <w:jc w:val="center"/>
              <w:rPr>
                <w:rFonts w:eastAsiaTheme="minorHAnsi"/>
                <w:szCs w:val="20"/>
                <w:lang w:val="en-US" w:eastAsia="en-US"/>
              </w:rPr>
            </w:pPr>
            <w:r w:rsidRPr="00A058C3">
              <w:rPr>
                <w:rFonts w:eastAsiaTheme="minorHAnsi"/>
                <w:lang w:val="en-US" w:eastAsia="en-US"/>
              </w:rPr>
              <w:t>WIPO security perimeter measures (FIPOI)</w:t>
            </w:r>
          </w:p>
        </w:tc>
        <w:tc>
          <w:tcPr>
            <w:tcW w:w="2883" w:type="dxa"/>
          </w:tcPr>
          <w:p w:rsidR="004D1867" w:rsidRPr="00DA0BD8" w:rsidRDefault="004D1867">
            <w:pPr>
              <w:ind w:left="34"/>
              <w:contextualSpacing/>
              <w:jc w:val="center"/>
              <w:rPr>
                <w:rFonts w:eastAsiaTheme="minorHAnsi"/>
                <w:szCs w:val="20"/>
                <w:lang w:val="en-US" w:eastAsia="en-US"/>
              </w:rPr>
            </w:pPr>
            <w:r w:rsidRPr="00DA0BD8">
              <w:rPr>
                <w:rFonts w:eastAsiaTheme="minorHAnsi"/>
                <w:lang w:val="en-US" w:eastAsia="en-US"/>
              </w:rPr>
              <w:t xml:space="preserve">Phase III </w:t>
            </w:r>
            <w:r w:rsidRPr="00DA0BD8">
              <w:rPr>
                <w:rFonts w:eastAsiaTheme="minorHAnsi"/>
                <w:lang w:val="en-US" w:eastAsia="en-US"/>
              </w:rPr>
              <w:br/>
              <w:t>ongoing</w:t>
            </w:r>
            <w:r>
              <w:rPr>
                <w:rFonts w:eastAsiaTheme="minorHAnsi"/>
                <w:lang w:val="en-US" w:eastAsia="en-US"/>
              </w:rPr>
              <w:t xml:space="preserve"> 85% progress</w:t>
            </w:r>
          </w:p>
        </w:tc>
        <w:tc>
          <w:tcPr>
            <w:tcW w:w="2929" w:type="dxa"/>
          </w:tcPr>
          <w:p w:rsidR="004D1867" w:rsidRPr="00DA0BD8" w:rsidRDefault="004D1867">
            <w:pPr>
              <w:contextualSpacing/>
              <w:jc w:val="center"/>
              <w:rPr>
                <w:rFonts w:eastAsiaTheme="minorHAnsi"/>
                <w:szCs w:val="20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October </w:t>
            </w:r>
            <w:r w:rsidRPr="00DA0BD8">
              <w:rPr>
                <w:rFonts w:eastAsiaTheme="minorHAnsi"/>
                <w:lang w:val="en-US" w:eastAsia="en-US"/>
              </w:rPr>
              <w:t xml:space="preserve"> 2014</w:t>
            </w:r>
          </w:p>
        </w:tc>
      </w:tr>
      <w:tr w:rsidR="004D1867" w:rsidRPr="00C75CB8" w:rsidTr="00C46087">
        <w:trPr>
          <w:trHeight w:val="693"/>
        </w:trPr>
        <w:tc>
          <w:tcPr>
            <w:tcW w:w="2977" w:type="dxa"/>
          </w:tcPr>
          <w:p w:rsidR="004D1867" w:rsidRPr="00DA0BD8" w:rsidRDefault="004D1867" w:rsidP="009C4FC9">
            <w:pPr>
              <w:contextualSpacing/>
              <w:jc w:val="center"/>
              <w:rPr>
                <w:rFonts w:eastAsiaTheme="minorHAnsi"/>
                <w:szCs w:val="20"/>
                <w:lang w:val="en-US" w:eastAsia="en-US"/>
              </w:rPr>
            </w:pPr>
            <w:r w:rsidRPr="00DA0BD8">
              <w:rPr>
                <w:rFonts w:eastAsiaTheme="minorHAnsi"/>
                <w:lang w:val="en-US" w:eastAsia="en-US"/>
              </w:rPr>
              <w:t>In</w:t>
            </w:r>
            <w:r>
              <w:rPr>
                <w:rFonts w:eastAsiaTheme="minorHAnsi"/>
                <w:lang w:val="en-US" w:eastAsia="en-US"/>
              </w:rPr>
              <w:t>ternal</w:t>
            </w:r>
            <w:r w:rsidRPr="00DA0BD8">
              <w:rPr>
                <w:rFonts w:eastAsiaTheme="minorHAnsi"/>
                <w:lang w:val="en-US" w:eastAsia="en-US"/>
              </w:rPr>
              <w:t xml:space="preserve"> security </w:t>
            </w:r>
            <w:r w:rsidRPr="00DA0BD8">
              <w:rPr>
                <w:rFonts w:eastAsiaTheme="minorHAnsi"/>
                <w:lang w:val="en-US" w:eastAsia="en-US"/>
              </w:rPr>
              <w:br/>
            </w:r>
            <w:r>
              <w:rPr>
                <w:rFonts w:eastAsiaTheme="minorHAnsi"/>
                <w:lang w:val="en-US" w:eastAsia="en-US"/>
              </w:rPr>
              <w:t>measures WIPO</w:t>
            </w:r>
          </w:p>
        </w:tc>
        <w:tc>
          <w:tcPr>
            <w:tcW w:w="2883" w:type="dxa"/>
          </w:tcPr>
          <w:p w:rsidR="004D1867" w:rsidRPr="00DA0BD8" w:rsidRDefault="004D1867">
            <w:pPr>
              <w:ind w:left="34"/>
              <w:contextualSpacing/>
              <w:jc w:val="center"/>
              <w:rPr>
                <w:rFonts w:eastAsiaTheme="minorHAnsi"/>
                <w:szCs w:val="20"/>
                <w:lang w:val="en-US" w:eastAsia="en-US"/>
              </w:rPr>
            </w:pPr>
            <w:r w:rsidRPr="00DA0BD8">
              <w:rPr>
                <w:rFonts w:eastAsiaTheme="minorHAnsi"/>
                <w:lang w:val="en-US" w:eastAsia="en-US"/>
              </w:rPr>
              <w:t xml:space="preserve">Phase III </w:t>
            </w:r>
            <w:r>
              <w:rPr>
                <w:rFonts w:eastAsiaTheme="minorHAnsi"/>
                <w:lang w:val="en-US" w:eastAsia="en-US"/>
              </w:rPr>
              <w:br/>
            </w:r>
            <w:r w:rsidRPr="00DA0BD8">
              <w:rPr>
                <w:rFonts w:eastAsiaTheme="minorHAnsi"/>
                <w:lang w:val="en-US" w:eastAsia="en-US"/>
              </w:rPr>
              <w:t>ongoing</w:t>
            </w:r>
            <w:r>
              <w:rPr>
                <w:rFonts w:eastAsiaTheme="minorHAnsi"/>
                <w:lang w:val="en-US" w:eastAsia="en-US"/>
              </w:rPr>
              <w:t xml:space="preserve"> 90% progress </w:t>
            </w:r>
          </w:p>
        </w:tc>
        <w:tc>
          <w:tcPr>
            <w:tcW w:w="2929" w:type="dxa"/>
          </w:tcPr>
          <w:p w:rsidR="004D1867" w:rsidRPr="00DA0BD8" w:rsidRDefault="004D1867">
            <w:pPr>
              <w:contextualSpacing/>
              <w:jc w:val="center"/>
              <w:rPr>
                <w:rFonts w:eastAsiaTheme="minorHAnsi"/>
                <w:szCs w:val="20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September</w:t>
            </w:r>
            <w:r w:rsidRPr="00DA0BD8">
              <w:rPr>
                <w:rFonts w:eastAsiaTheme="minorHAnsi"/>
                <w:lang w:val="en-US" w:eastAsia="en-US"/>
              </w:rPr>
              <w:t xml:space="preserve"> 201</w:t>
            </w:r>
            <w:r>
              <w:rPr>
                <w:rFonts w:eastAsiaTheme="minorHAnsi"/>
                <w:lang w:val="en-US" w:eastAsia="en-US"/>
              </w:rPr>
              <w:t>4</w:t>
            </w:r>
          </w:p>
        </w:tc>
      </w:tr>
    </w:tbl>
    <w:p w:rsidR="004D1867" w:rsidRDefault="004D1867">
      <w:pPr>
        <w:rPr>
          <w:rFonts w:eastAsiaTheme="minorHAnsi"/>
          <w:b/>
          <w:szCs w:val="22"/>
          <w:lang w:eastAsia="en-US"/>
        </w:rPr>
      </w:pPr>
    </w:p>
    <w:p w:rsidR="004D1867" w:rsidRPr="007C41A1" w:rsidRDefault="004D1867" w:rsidP="00C46087">
      <w:pPr>
        <w:pStyle w:val="ListParagraph"/>
        <w:numPr>
          <w:ilvl w:val="0"/>
          <w:numId w:val="8"/>
        </w:numPr>
        <w:ind w:left="0" w:firstLine="0"/>
        <w:rPr>
          <w:rFonts w:eastAsiaTheme="minorHAnsi"/>
          <w:b/>
          <w:szCs w:val="22"/>
          <w:lang w:eastAsia="en-US"/>
        </w:rPr>
      </w:pPr>
      <w:r w:rsidRPr="00A058C3">
        <w:rPr>
          <w:rFonts w:eastAsiaTheme="minorHAnsi"/>
          <w:szCs w:val="22"/>
          <w:lang w:eastAsia="en-US"/>
        </w:rPr>
        <w:t xml:space="preserve">The </w:t>
      </w:r>
      <w:r>
        <w:rPr>
          <w:rFonts w:eastAsiaTheme="minorHAnsi"/>
          <w:szCs w:val="22"/>
          <w:lang w:eastAsia="en-US"/>
        </w:rPr>
        <w:t xml:space="preserve">planned staged implementation </w:t>
      </w:r>
      <w:r w:rsidRPr="00A058C3">
        <w:rPr>
          <w:rFonts w:eastAsiaTheme="minorHAnsi"/>
          <w:szCs w:val="22"/>
          <w:lang w:eastAsia="en-US"/>
        </w:rPr>
        <w:t xml:space="preserve">of the </w:t>
      </w:r>
      <w:r>
        <w:rPr>
          <w:rFonts w:eastAsiaTheme="minorHAnsi"/>
          <w:szCs w:val="22"/>
          <w:lang w:eastAsia="en-US"/>
        </w:rPr>
        <w:t xml:space="preserve">H-MOSS </w:t>
      </w:r>
      <w:r w:rsidRPr="00A058C3">
        <w:rPr>
          <w:rFonts w:eastAsiaTheme="minorHAnsi"/>
          <w:szCs w:val="22"/>
          <w:lang w:eastAsia="en-US"/>
        </w:rPr>
        <w:t xml:space="preserve">security perimeter measures </w:t>
      </w:r>
      <w:r>
        <w:rPr>
          <w:rFonts w:eastAsiaTheme="minorHAnsi"/>
          <w:szCs w:val="22"/>
          <w:lang w:eastAsia="en-US"/>
        </w:rPr>
        <w:t xml:space="preserve">were impacted by the progress of </w:t>
      </w:r>
      <w:r w:rsidRPr="00A058C3">
        <w:rPr>
          <w:rFonts w:eastAsiaTheme="minorHAnsi"/>
          <w:szCs w:val="22"/>
          <w:lang w:eastAsia="en-US"/>
        </w:rPr>
        <w:t xml:space="preserve">construction of </w:t>
      </w:r>
      <w:r>
        <w:rPr>
          <w:rFonts w:eastAsiaTheme="minorHAnsi"/>
          <w:szCs w:val="22"/>
          <w:lang w:eastAsia="en-US"/>
        </w:rPr>
        <w:t>the n</w:t>
      </w:r>
      <w:r w:rsidRPr="00A058C3">
        <w:rPr>
          <w:rFonts w:eastAsiaTheme="minorHAnsi"/>
          <w:szCs w:val="22"/>
          <w:lang w:eastAsia="en-US"/>
        </w:rPr>
        <w:t>ew Conference Hall</w:t>
      </w:r>
      <w:r>
        <w:rPr>
          <w:rFonts w:eastAsiaTheme="minorHAnsi"/>
          <w:szCs w:val="22"/>
          <w:lang w:eastAsia="en-US"/>
        </w:rPr>
        <w:t>. Access to the site for construction purposes remains paramount as completion date approach</w:t>
      </w:r>
      <w:r w:rsidR="009C4FC9">
        <w:rPr>
          <w:rFonts w:eastAsiaTheme="minorHAnsi"/>
          <w:szCs w:val="22"/>
          <w:lang w:eastAsia="en-US"/>
        </w:rPr>
        <w:t>es</w:t>
      </w:r>
      <w:r>
        <w:rPr>
          <w:rFonts w:eastAsiaTheme="minorHAnsi"/>
          <w:szCs w:val="22"/>
          <w:lang w:eastAsia="en-US"/>
        </w:rPr>
        <w:t xml:space="preserve">. Generally, safety/security enhancements are often the final elements to be completed </w:t>
      </w:r>
      <w:r w:rsidR="0024553B">
        <w:rPr>
          <w:rFonts w:eastAsiaTheme="minorHAnsi"/>
          <w:szCs w:val="22"/>
          <w:lang w:eastAsia="en-US"/>
        </w:rPr>
        <w:t>as</w:t>
      </w:r>
      <w:r>
        <w:rPr>
          <w:rFonts w:eastAsiaTheme="minorHAnsi"/>
          <w:szCs w:val="22"/>
          <w:lang w:eastAsia="en-US"/>
        </w:rPr>
        <w:t xml:space="preserve"> they depend on various key infrastructure components to be in place.  </w:t>
      </w:r>
    </w:p>
    <w:p w:rsidR="004D1867" w:rsidRDefault="004D1867">
      <w:pPr>
        <w:rPr>
          <w:rFonts w:eastAsiaTheme="minorHAnsi"/>
          <w:szCs w:val="22"/>
          <w:lang w:eastAsia="en-US"/>
        </w:rPr>
      </w:pPr>
    </w:p>
    <w:p w:rsidR="004D1867" w:rsidRPr="00F91819" w:rsidRDefault="004D1867" w:rsidP="00553D91">
      <w:pPr>
        <w:pStyle w:val="ListParagraph"/>
        <w:numPr>
          <w:ilvl w:val="0"/>
          <w:numId w:val="8"/>
        </w:numPr>
        <w:ind w:left="0" w:firstLine="0"/>
        <w:outlineLvl w:val="1"/>
        <w:rPr>
          <w:rFonts w:eastAsiaTheme="minorHAnsi"/>
          <w:b/>
          <w:szCs w:val="22"/>
          <w:lang w:eastAsia="en-US"/>
        </w:rPr>
      </w:pPr>
      <w:r w:rsidRPr="00F91819">
        <w:rPr>
          <w:rFonts w:eastAsiaTheme="minorHAnsi"/>
          <w:szCs w:val="22"/>
          <w:lang w:eastAsia="en-US"/>
        </w:rPr>
        <w:t>Progress continues on the security perimeter measures</w:t>
      </w:r>
      <w:r w:rsidR="00F91819">
        <w:rPr>
          <w:rFonts w:eastAsiaTheme="minorHAnsi"/>
          <w:szCs w:val="22"/>
          <w:lang w:eastAsia="en-US"/>
        </w:rPr>
        <w:t>,</w:t>
      </w:r>
      <w:r w:rsidRPr="00F91819">
        <w:rPr>
          <w:rFonts w:eastAsiaTheme="minorHAnsi"/>
          <w:szCs w:val="22"/>
          <w:lang w:eastAsia="en-US"/>
        </w:rPr>
        <w:t xml:space="preserve"> </w:t>
      </w:r>
      <w:r w:rsidR="00F91819">
        <w:rPr>
          <w:rFonts w:eastAsiaTheme="minorHAnsi"/>
          <w:szCs w:val="22"/>
          <w:lang w:eastAsia="en-US"/>
        </w:rPr>
        <w:t>t</w:t>
      </w:r>
      <w:r w:rsidRPr="00F91819">
        <w:rPr>
          <w:rFonts w:eastAsiaTheme="minorHAnsi"/>
          <w:szCs w:val="22"/>
          <w:lang w:eastAsia="en-US"/>
        </w:rPr>
        <w:t>he anti-vehicle perimeter infrastructure for the AB, GBI and GBII buildings,</w:t>
      </w:r>
      <w:r w:rsidR="00553D91" w:rsidRPr="00F91819">
        <w:rPr>
          <w:rFonts w:eastAsiaTheme="minorHAnsi"/>
          <w:szCs w:val="22"/>
          <w:lang w:eastAsia="en-US"/>
        </w:rPr>
        <w:t xml:space="preserve"> as well as a </w:t>
      </w:r>
      <w:r w:rsidRPr="00F91819">
        <w:rPr>
          <w:rFonts w:eastAsiaTheme="minorHAnsi"/>
          <w:szCs w:val="22"/>
          <w:lang w:eastAsia="en-US"/>
        </w:rPr>
        <w:t>majority of the PCT Building perimeter (90 per</w:t>
      </w:r>
      <w:r w:rsidR="008D58B9" w:rsidRPr="00F91819">
        <w:rPr>
          <w:rFonts w:eastAsiaTheme="minorHAnsi"/>
          <w:szCs w:val="22"/>
          <w:lang w:eastAsia="en-US"/>
        </w:rPr>
        <w:t xml:space="preserve"> </w:t>
      </w:r>
      <w:r w:rsidRPr="00F91819">
        <w:rPr>
          <w:rFonts w:eastAsiaTheme="minorHAnsi"/>
          <w:szCs w:val="22"/>
          <w:lang w:eastAsia="en-US"/>
        </w:rPr>
        <w:t>cent) were completed</w:t>
      </w:r>
      <w:r w:rsidR="004C1B07">
        <w:rPr>
          <w:rFonts w:eastAsiaTheme="minorHAnsi"/>
          <w:szCs w:val="22"/>
          <w:lang w:eastAsia="en-US"/>
        </w:rPr>
        <w:t xml:space="preserve"> in</w:t>
      </w:r>
      <w:r w:rsidRPr="00F91819">
        <w:rPr>
          <w:rFonts w:eastAsiaTheme="minorHAnsi"/>
          <w:szCs w:val="22"/>
          <w:lang w:eastAsia="en-US"/>
        </w:rPr>
        <w:t xml:space="preserve"> 2013.</w:t>
      </w:r>
      <w:r w:rsidR="00553D91" w:rsidRPr="00F91819">
        <w:rPr>
          <w:rFonts w:eastAsiaTheme="minorHAnsi"/>
          <w:szCs w:val="22"/>
          <w:lang w:eastAsia="en-US"/>
        </w:rPr>
        <w:t xml:space="preserve"> The new Access Center (located </w:t>
      </w:r>
      <w:r w:rsidR="004C1B07">
        <w:rPr>
          <w:rFonts w:eastAsiaTheme="minorHAnsi"/>
          <w:szCs w:val="22"/>
          <w:lang w:eastAsia="en-US"/>
        </w:rPr>
        <w:t xml:space="preserve">in front of the AB Building) has been </w:t>
      </w:r>
      <w:r w:rsidR="00553D91" w:rsidRPr="00F91819">
        <w:rPr>
          <w:rFonts w:eastAsiaTheme="minorHAnsi"/>
          <w:szCs w:val="22"/>
          <w:lang w:eastAsia="en-US"/>
        </w:rPr>
        <w:t>open</w:t>
      </w:r>
      <w:r w:rsidR="004C1B07">
        <w:rPr>
          <w:rFonts w:eastAsiaTheme="minorHAnsi"/>
          <w:szCs w:val="22"/>
          <w:lang w:eastAsia="en-US"/>
        </w:rPr>
        <w:t>ed and is functioning</w:t>
      </w:r>
      <w:r w:rsidR="00553D91" w:rsidRPr="00F91819">
        <w:rPr>
          <w:rFonts w:eastAsiaTheme="minorHAnsi"/>
          <w:szCs w:val="22"/>
          <w:lang w:eastAsia="en-US"/>
        </w:rPr>
        <w:t xml:space="preserve"> since the beginning of August 2014.The</w:t>
      </w:r>
      <w:r w:rsidRPr="00F91819">
        <w:rPr>
          <w:rFonts w:eastAsiaTheme="minorHAnsi"/>
          <w:szCs w:val="22"/>
          <w:lang w:eastAsia="en-US"/>
        </w:rPr>
        <w:t xml:space="preserve"> perimeter</w:t>
      </w:r>
      <w:r w:rsidR="004C1B07">
        <w:rPr>
          <w:rFonts w:eastAsiaTheme="minorHAnsi"/>
          <w:szCs w:val="22"/>
          <w:lang w:eastAsia="en-US"/>
        </w:rPr>
        <w:t xml:space="preserve"> security infrastructure</w:t>
      </w:r>
      <w:r w:rsidRPr="00F91819">
        <w:rPr>
          <w:rFonts w:eastAsiaTheme="minorHAnsi"/>
          <w:szCs w:val="22"/>
          <w:lang w:eastAsia="en-US"/>
        </w:rPr>
        <w:t xml:space="preserve"> for the new Conference Hall will be completed in the fall of 2014</w:t>
      </w:r>
      <w:r w:rsidR="00553D91" w:rsidRPr="00F91819">
        <w:rPr>
          <w:rFonts w:eastAsiaTheme="minorHAnsi"/>
          <w:szCs w:val="22"/>
          <w:lang w:eastAsia="en-US"/>
        </w:rPr>
        <w:t>.</w:t>
      </w:r>
      <w:r w:rsidRPr="00F91819">
        <w:rPr>
          <w:rFonts w:eastAsiaTheme="minorHAnsi"/>
          <w:szCs w:val="22"/>
          <w:lang w:eastAsia="en-US"/>
        </w:rPr>
        <w:t xml:space="preserve">    </w:t>
      </w:r>
    </w:p>
    <w:p w:rsidR="004D1867" w:rsidRDefault="004D1867">
      <w:pPr>
        <w:rPr>
          <w:rFonts w:eastAsiaTheme="minorHAnsi"/>
          <w:b/>
          <w:szCs w:val="22"/>
          <w:lang w:eastAsia="en-US"/>
        </w:rPr>
      </w:pPr>
    </w:p>
    <w:p w:rsidR="004D1867" w:rsidRDefault="004D1867" w:rsidP="00C46087">
      <w:pPr>
        <w:rPr>
          <w:rFonts w:eastAsiaTheme="minorHAnsi"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>OBJECTIVES ACHIEVED DURING THE REPORTING PERIOD</w:t>
      </w:r>
    </w:p>
    <w:p w:rsidR="004D1867" w:rsidRDefault="004D1867">
      <w:pPr>
        <w:outlineLvl w:val="1"/>
      </w:pPr>
    </w:p>
    <w:p w:rsidR="004D1867" w:rsidRPr="00567A5F" w:rsidRDefault="004D1867" w:rsidP="00C46087">
      <w:pPr>
        <w:pStyle w:val="ListParagraph"/>
        <w:numPr>
          <w:ilvl w:val="0"/>
          <w:numId w:val="8"/>
        </w:numPr>
        <w:ind w:left="0" w:firstLine="0"/>
        <w:outlineLvl w:val="1"/>
        <w:rPr>
          <w:rFonts w:eastAsiaTheme="minorHAnsi"/>
          <w:szCs w:val="22"/>
          <w:lang w:eastAsia="en-US"/>
        </w:rPr>
      </w:pPr>
      <w:r w:rsidRPr="00567A5F">
        <w:rPr>
          <w:rFonts w:eastAsiaTheme="minorHAnsi"/>
          <w:szCs w:val="22"/>
          <w:lang w:eastAsia="en-US"/>
        </w:rPr>
        <w:t>As referred to in the previous PBC report</w:t>
      </w:r>
      <w:r w:rsidR="008D58B9">
        <w:rPr>
          <w:rFonts w:eastAsiaTheme="minorHAnsi"/>
          <w:szCs w:val="22"/>
          <w:lang w:eastAsia="en-US"/>
        </w:rPr>
        <w:t>,</w:t>
      </w:r>
      <w:r w:rsidRPr="00567A5F">
        <w:rPr>
          <w:rFonts w:eastAsiaTheme="minorHAnsi"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t>a</w:t>
      </w:r>
      <w:r w:rsidRPr="00567A5F">
        <w:rPr>
          <w:rFonts w:eastAsiaTheme="minorHAnsi"/>
          <w:szCs w:val="22"/>
          <w:lang w:eastAsia="en-US"/>
        </w:rPr>
        <w:t xml:space="preserve"> separate dedicated local area network (LAN) was</w:t>
      </w:r>
      <w:r>
        <w:rPr>
          <w:rFonts w:eastAsiaTheme="minorHAnsi"/>
          <w:szCs w:val="22"/>
          <w:lang w:eastAsia="en-US"/>
        </w:rPr>
        <w:t xml:space="preserve"> </w:t>
      </w:r>
      <w:r w:rsidRPr="00567A5F">
        <w:rPr>
          <w:rFonts w:eastAsiaTheme="minorHAnsi"/>
          <w:szCs w:val="22"/>
          <w:lang w:eastAsia="en-US"/>
        </w:rPr>
        <w:t xml:space="preserve">installed in the </w:t>
      </w:r>
      <w:r w:rsidR="00553D91">
        <w:rPr>
          <w:rFonts w:eastAsiaTheme="minorHAnsi"/>
          <w:szCs w:val="22"/>
          <w:lang w:eastAsia="en-US"/>
        </w:rPr>
        <w:t>Control Centre</w:t>
      </w:r>
      <w:r>
        <w:rPr>
          <w:rFonts w:eastAsiaTheme="minorHAnsi"/>
          <w:szCs w:val="22"/>
          <w:lang w:eastAsia="en-US"/>
        </w:rPr>
        <w:t xml:space="preserve"> towards the end of </w:t>
      </w:r>
      <w:r w:rsidRPr="00567A5F">
        <w:rPr>
          <w:rFonts w:eastAsiaTheme="minorHAnsi"/>
          <w:szCs w:val="22"/>
          <w:lang w:eastAsia="en-US"/>
        </w:rPr>
        <w:t xml:space="preserve">2012. This critical </w:t>
      </w:r>
      <w:r>
        <w:rPr>
          <w:rFonts w:eastAsiaTheme="minorHAnsi"/>
          <w:szCs w:val="22"/>
          <w:lang w:eastAsia="en-US"/>
        </w:rPr>
        <w:t xml:space="preserve">IT </w:t>
      </w:r>
      <w:r w:rsidRPr="00567A5F">
        <w:rPr>
          <w:rFonts w:eastAsiaTheme="minorHAnsi"/>
          <w:szCs w:val="22"/>
          <w:lang w:eastAsia="en-US"/>
        </w:rPr>
        <w:t>network enable</w:t>
      </w:r>
      <w:r>
        <w:rPr>
          <w:rFonts w:eastAsiaTheme="minorHAnsi"/>
          <w:szCs w:val="22"/>
          <w:lang w:eastAsia="en-US"/>
        </w:rPr>
        <w:t>d a number of</w:t>
      </w:r>
      <w:r w:rsidRPr="00567A5F">
        <w:rPr>
          <w:rFonts w:eastAsiaTheme="minorHAnsi"/>
          <w:szCs w:val="22"/>
          <w:lang w:eastAsia="en-US"/>
        </w:rPr>
        <w:t xml:space="preserve"> technical </w:t>
      </w:r>
      <w:r>
        <w:rPr>
          <w:rFonts w:eastAsiaTheme="minorHAnsi"/>
          <w:szCs w:val="22"/>
          <w:lang w:eastAsia="en-US"/>
        </w:rPr>
        <w:t>systems to be</w:t>
      </w:r>
      <w:r w:rsidRPr="00567A5F">
        <w:rPr>
          <w:rFonts w:eastAsiaTheme="minorHAnsi"/>
          <w:szCs w:val="22"/>
          <w:lang w:eastAsia="en-US"/>
        </w:rPr>
        <w:t xml:space="preserve"> connected to th</w:t>
      </w:r>
      <w:r>
        <w:rPr>
          <w:rFonts w:eastAsiaTheme="minorHAnsi"/>
          <w:szCs w:val="22"/>
          <w:lang w:eastAsia="en-US"/>
        </w:rPr>
        <w:t>e C</w:t>
      </w:r>
      <w:r w:rsidR="00553D91">
        <w:rPr>
          <w:rFonts w:eastAsiaTheme="minorHAnsi"/>
          <w:szCs w:val="22"/>
          <w:lang w:eastAsia="en-US"/>
        </w:rPr>
        <w:t>ontrol Centre</w:t>
      </w:r>
      <w:r>
        <w:rPr>
          <w:rFonts w:eastAsiaTheme="minorHAnsi"/>
          <w:szCs w:val="22"/>
          <w:lang w:eastAsia="en-US"/>
        </w:rPr>
        <w:t xml:space="preserve"> late </w:t>
      </w:r>
      <w:r w:rsidRPr="00567A5F">
        <w:rPr>
          <w:rFonts w:eastAsiaTheme="minorHAnsi"/>
          <w:szCs w:val="22"/>
          <w:lang w:eastAsia="en-US"/>
        </w:rPr>
        <w:t xml:space="preserve">2013 and </w:t>
      </w:r>
      <w:r>
        <w:rPr>
          <w:rFonts w:eastAsiaTheme="minorHAnsi"/>
          <w:szCs w:val="22"/>
          <w:lang w:eastAsia="en-US"/>
        </w:rPr>
        <w:t xml:space="preserve">the beginning of </w:t>
      </w:r>
      <w:r w:rsidRPr="00567A5F">
        <w:rPr>
          <w:rFonts w:eastAsiaTheme="minorHAnsi"/>
          <w:szCs w:val="22"/>
          <w:lang w:eastAsia="en-US"/>
        </w:rPr>
        <w:t xml:space="preserve">2014 (CCTV, access control, anti-intrusion systems). </w:t>
      </w:r>
      <w:r w:rsidR="008D58B9">
        <w:rPr>
          <w:rFonts w:eastAsiaTheme="minorHAnsi"/>
          <w:szCs w:val="22"/>
          <w:lang w:eastAsia="en-US"/>
        </w:rPr>
        <w:t xml:space="preserve"> </w:t>
      </w:r>
      <w:r w:rsidRPr="00567A5F">
        <w:rPr>
          <w:rFonts w:eastAsiaTheme="minorHAnsi"/>
          <w:szCs w:val="22"/>
          <w:lang w:eastAsia="en-US"/>
        </w:rPr>
        <w:t>Th</w:t>
      </w:r>
      <w:r>
        <w:rPr>
          <w:rFonts w:eastAsiaTheme="minorHAnsi"/>
          <w:szCs w:val="22"/>
          <w:lang w:eastAsia="en-US"/>
        </w:rPr>
        <w:t>i</w:t>
      </w:r>
      <w:r w:rsidRPr="00567A5F">
        <w:rPr>
          <w:rFonts w:eastAsiaTheme="minorHAnsi"/>
          <w:szCs w:val="22"/>
          <w:lang w:eastAsia="en-US"/>
        </w:rPr>
        <w:t xml:space="preserve">s dedicated LAN is </w:t>
      </w:r>
      <w:r>
        <w:rPr>
          <w:rFonts w:eastAsiaTheme="minorHAnsi"/>
          <w:szCs w:val="22"/>
          <w:lang w:eastAsia="en-US"/>
        </w:rPr>
        <w:t xml:space="preserve">essential </w:t>
      </w:r>
      <w:r w:rsidRPr="00567A5F">
        <w:rPr>
          <w:rFonts w:eastAsiaTheme="minorHAnsi"/>
          <w:szCs w:val="22"/>
          <w:lang w:eastAsia="en-US"/>
        </w:rPr>
        <w:t>to ensur</w:t>
      </w:r>
      <w:r>
        <w:rPr>
          <w:rFonts w:eastAsiaTheme="minorHAnsi"/>
          <w:szCs w:val="22"/>
          <w:lang w:eastAsia="en-US"/>
        </w:rPr>
        <w:t>ing</w:t>
      </w:r>
      <w:r w:rsidRPr="00567A5F">
        <w:rPr>
          <w:rFonts w:eastAsiaTheme="minorHAnsi"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t>an</w:t>
      </w:r>
      <w:r w:rsidRPr="00567A5F">
        <w:rPr>
          <w:rFonts w:eastAsiaTheme="minorHAnsi"/>
          <w:szCs w:val="22"/>
          <w:lang w:eastAsia="en-US"/>
        </w:rPr>
        <w:t xml:space="preserve"> independent operability/availability of the critical safety/security systems </w:t>
      </w:r>
      <w:r>
        <w:rPr>
          <w:rFonts w:eastAsiaTheme="minorHAnsi"/>
          <w:szCs w:val="22"/>
          <w:lang w:eastAsia="en-US"/>
        </w:rPr>
        <w:t xml:space="preserve">that will operate independently </w:t>
      </w:r>
      <w:r w:rsidRPr="00567A5F">
        <w:rPr>
          <w:rFonts w:eastAsiaTheme="minorHAnsi"/>
          <w:szCs w:val="22"/>
          <w:lang w:eastAsia="en-US"/>
        </w:rPr>
        <w:t xml:space="preserve">from </w:t>
      </w:r>
      <w:r>
        <w:rPr>
          <w:rFonts w:eastAsiaTheme="minorHAnsi"/>
          <w:szCs w:val="22"/>
          <w:lang w:eastAsia="en-US"/>
        </w:rPr>
        <w:t xml:space="preserve">all </w:t>
      </w:r>
      <w:r w:rsidRPr="00567A5F">
        <w:rPr>
          <w:rFonts w:eastAsiaTheme="minorHAnsi"/>
          <w:szCs w:val="22"/>
          <w:lang w:eastAsia="en-US"/>
        </w:rPr>
        <w:t xml:space="preserve">other WIPO IT networks. By September 2014, it is </w:t>
      </w:r>
      <w:r>
        <w:rPr>
          <w:rFonts w:eastAsiaTheme="minorHAnsi"/>
          <w:szCs w:val="22"/>
          <w:lang w:eastAsia="en-US"/>
        </w:rPr>
        <w:t xml:space="preserve">planned to have the remainder of these communications, monitoring and detection systems integrated into </w:t>
      </w:r>
      <w:r w:rsidRPr="00567A5F">
        <w:rPr>
          <w:rFonts w:eastAsiaTheme="minorHAnsi"/>
          <w:szCs w:val="22"/>
          <w:lang w:eastAsia="en-US"/>
        </w:rPr>
        <w:t xml:space="preserve">this dedicated LAN.  </w:t>
      </w:r>
    </w:p>
    <w:p w:rsidR="004D1867" w:rsidRPr="00384E2D" w:rsidRDefault="004D1867">
      <w:pPr>
        <w:pStyle w:val="ListParagraph"/>
        <w:ind w:left="0"/>
        <w:outlineLvl w:val="1"/>
        <w:rPr>
          <w:rFonts w:eastAsiaTheme="minorHAnsi"/>
          <w:szCs w:val="22"/>
          <w:lang w:eastAsia="en-US"/>
        </w:rPr>
      </w:pPr>
    </w:p>
    <w:p w:rsidR="004D1867" w:rsidRPr="004C1B07" w:rsidRDefault="004C1B07" w:rsidP="004C1B07">
      <w:pPr>
        <w:pStyle w:val="ListParagraph"/>
        <w:numPr>
          <w:ilvl w:val="0"/>
          <w:numId w:val="8"/>
        </w:numPr>
        <w:ind w:left="0" w:firstLine="0"/>
        <w:outlineLvl w:val="1"/>
        <w:rPr>
          <w:rFonts w:eastAsiaTheme="minorHAnsi"/>
          <w:szCs w:val="22"/>
          <w:lang w:eastAsia="en-US"/>
        </w:rPr>
      </w:pPr>
      <w:r w:rsidRPr="004C1B07">
        <w:rPr>
          <w:rFonts w:eastAsiaTheme="minorHAnsi"/>
          <w:szCs w:val="22"/>
          <w:lang w:eastAsia="en-US"/>
        </w:rPr>
        <w:t>Construction of t</w:t>
      </w:r>
      <w:r w:rsidR="004D1867" w:rsidRPr="004C1B07">
        <w:rPr>
          <w:rFonts w:eastAsiaTheme="minorHAnsi"/>
          <w:szCs w:val="22"/>
          <w:lang w:eastAsia="en-US"/>
        </w:rPr>
        <w:t xml:space="preserve">he new Access Center is now </w:t>
      </w:r>
      <w:r w:rsidRPr="004C1B07">
        <w:rPr>
          <w:rFonts w:eastAsiaTheme="minorHAnsi"/>
          <w:szCs w:val="22"/>
          <w:lang w:eastAsia="en-US"/>
        </w:rPr>
        <w:t>complete</w:t>
      </w:r>
      <w:r w:rsidR="00553D91" w:rsidRPr="004C1B07">
        <w:rPr>
          <w:rFonts w:eastAsiaTheme="minorHAnsi"/>
          <w:szCs w:val="22"/>
          <w:lang w:eastAsia="en-US"/>
        </w:rPr>
        <w:t xml:space="preserve"> and</w:t>
      </w:r>
      <w:r w:rsidR="004D1867" w:rsidRPr="004C1B07">
        <w:rPr>
          <w:rFonts w:eastAsiaTheme="minorHAnsi"/>
          <w:szCs w:val="22"/>
          <w:lang w:eastAsia="en-US"/>
        </w:rPr>
        <w:t xml:space="preserve"> </w:t>
      </w:r>
      <w:r w:rsidRPr="004C1B07">
        <w:rPr>
          <w:rFonts w:eastAsiaTheme="minorHAnsi"/>
          <w:szCs w:val="22"/>
          <w:lang w:eastAsia="en-US"/>
        </w:rPr>
        <w:t xml:space="preserve">has been </w:t>
      </w:r>
      <w:r w:rsidR="004D1867" w:rsidRPr="004C1B07">
        <w:rPr>
          <w:rFonts w:eastAsiaTheme="minorHAnsi"/>
          <w:szCs w:val="22"/>
          <w:lang w:eastAsia="en-US"/>
        </w:rPr>
        <w:t>formally handed over to WIPO</w:t>
      </w:r>
      <w:r w:rsidR="00F91819" w:rsidRPr="004C1B07">
        <w:rPr>
          <w:rFonts w:eastAsiaTheme="minorHAnsi"/>
          <w:szCs w:val="22"/>
          <w:lang w:eastAsia="en-US"/>
        </w:rPr>
        <w:t>.</w:t>
      </w:r>
      <w:r w:rsidR="008D58B9" w:rsidRPr="004C1B07">
        <w:rPr>
          <w:rFonts w:eastAsiaTheme="minorHAnsi"/>
          <w:szCs w:val="22"/>
          <w:lang w:eastAsia="en-US"/>
        </w:rPr>
        <w:t xml:space="preserve"> </w:t>
      </w:r>
      <w:r w:rsidR="004D1867" w:rsidRPr="004C1B07">
        <w:rPr>
          <w:rFonts w:eastAsiaTheme="minorHAnsi"/>
          <w:szCs w:val="22"/>
          <w:lang w:eastAsia="en-US"/>
        </w:rPr>
        <w:t>The state-of-the-art technologies</w:t>
      </w:r>
      <w:r w:rsidR="00F91819" w:rsidRPr="004C1B07">
        <w:rPr>
          <w:rFonts w:eastAsiaTheme="minorHAnsi"/>
          <w:szCs w:val="22"/>
          <w:lang w:eastAsia="en-US"/>
        </w:rPr>
        <w:t xml:space="preserve"> in the Access Centre</w:t>
      </w:r>
      <w:r w:rsidR="004D1867" w:rsidRPr="004C1B07">
        <w:rPr>
          <w:rFonts w:eastAsiaTheme="minorHAnsi"/>
          <w:szCs w:val="22"/>
          <w:lang w:eastAsia="en-US"/>
        </w:rPr>
        <w:t xml:space="preserve"> will </w:t>
      </w:r>
      <w:r w:rsidR="00F91819" w:rsidRPr="004C1B07">
        <w:rPr>
          <w:rFonts w:eastAsiaTheme="minorHAnsi"/>
          <w:szCs w:val="22"/>
          <w:lang w:eastAsia="en-US"/>
        </w:rPr>
        <w:t xml:space="preserve">allow WIPO’s Safety and Security Coordination Service (SSCS) to </w:t>
      </w:r>
      <w:r w:rsidR="004D1867" w:rsidRPr="004C1B07">
        <w:rPr>
          <w:rFonts w:eastAsiaTheme="minorHAnsi"/>
          <w:szCs w:val="22"/>
          <w:lang w:eastAsia="en-US"/>
        </w:rPr>
        <w:t xml:space="preserve">proactively manage pedestrian and vehicle access to all WIPO facilities. </w:t>
      </w:r>
      <w:r w:rsidR="00F91819" w:rsidRPr="004C1B07">
        <w:rPr>
          <w:rFonts w:eastAsiaTheme="minorHAnsi"/>
          <w:szCs w:val="22"/>
          <w:lang w:eastAsia="en-US"/>
        </w:rPr>
        <w:t>T</w:t>
      </w:r>
      <w:r w:rsidR="004D1867" w:rsidRPr="004C1B07">
        <w:rPr>
          <w:rFonts w:eastAsiaTheme="minorHAnsi"/>
          <w:szCs w:val="22"/>
          <w:lang w:eastAsia="en-US"/>
        </w:rPr>
        <w:t xml:space="preserve">raining </w:t>
      </w:r>
      <w:r w:rsidR="00553D91" w:rsidRPr="004C1B07">
        <w:rPr>
          <w:rFonts w:eastAsiaTheme="minorHAnsi"/>
          <w:szCs w:val="22"/>
          <w:lang w:eastAsia="en-US"/>
        </w:rPr>
        <w:t xml:space="preserve">WIPO personnel and contracted security guards </w:t>
      </w:r>
      <w:r w:rsidR="004D1867" w:rsidRPr="004C1B07">
        <w:rPr>
          <w:rFonts w:eastAsiaTheme="minorHAnsi"/>
          <w:szCs w:val="22"/>
          <w:lang w:eastAsia="en-US"/>
        </w:rPr>
        <w:t xml:space="preserve">on the use of these hi-tech systems is now complete (July 2014). </w:t>
      </w:r>
      <w:r w:rsidR="008D58B9" w:rsidRPr="004C1B07">
        <w:rPr>
          <w:rFonts w:eastAsiaTheme="minorHAnsi"/>
          <w:szCs w:val="22"/>
          <w:lang w:eastAsia="en-US"/>
        </w:rPr>
        <w:t xml:space="preserve"> </w:t>
      </w:r>
      <w:r w:rsidR="004D1867" w:rsidRPr="004C1B07">
        <w:rPr>
          <w:rFonts w:eastAsiaTheme="minorHAnsi"/>
          <w:szCs w:val="22"/>
          <w:lang w:eastAsia="en-US"/>
        </w:rPr>
        <w:t xml:space="preserve">The fitting-out and testing of numerous technical safety/security monitoring and response systems is </w:t>
      </w:r>
      <w:r w:rsidRPr="004C1B07">
        <w:rPr>
          <w:rFonts w:eastAsiaTheme="minorHAnsi"/>
          <w:szCs w:val="22"/>
          <w:lang w:eastAsia="en-US"/>
        </w:rPr>
        <w:t xml:space="preserve">on-going. </w:t>
      </w:r>
    </w:p>
    <w:p w:rsidR="004D1867" w:rsidRDefault="004D1867" w:rsidP="00C46087">
      <w:pPr>
        <w:rPr>
          <w:rFonts w:eastAsiaTheme="minorHAnsi"/>
          <w:b/>
          <w:szCs w:val="22"/>
          <w:lang w:eastAsia="en-US"/>
        </w:rPr>
      </w:pPr>
    </w:p>
    <w:p w:rsidR="004D1867" w:rsidRDefault="004D1867" w:rsidP="00C46087">
      <w:pPr>
        <w:keepNext/>
        <w:keepLines/>
        <w:spacing w:line="276" w:lineRule="auto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>USE OF THE APPROVED BUDGET</w:t>
      </w:r>
    </w:p>
    <w:p w:rsidR="004D1867" w:rsidRPr="000151A7" w:rsidRDefault="004D1867" w:rsidP="00C46087">
      <w:pPr>
        <w:keepNext/>
        <w:keepLines/>
        <w:rPr>
          <w:rFonts w:eastAsiaTheme="minorHAnsi"/>
          <w:b/>
          <w:szCs w:val="22"/>
          <w:lang w:eastAsia="en-US"/>
        </w:rPr>
      </w:pPr>
    </w:p>
    <w:p w:rsidR="004D1867" w:rsidRPr="0091050A" w:rsidRDefault="004D1867" w:rsidP="00C46087">
      <w:pPr>
        <w:pStyle w:val="ListParagraph"/>
        <w:keepNext/>
        <w:keepLines/>
        <w:numPr>
          <w:ilvl w:val="0"/>
          <w:numId w:val="8"/>
        </w:numPr>
        <w:ind w:left="0" w:firstLine="0"/>
        <w:outlineLvl w:val="1"/>
        <w:rPr>
          <w:rFonts w:eastAsiaTheme="minorHAnsi"/>
          <w:szCs w:val="22"/>
          <w:lang w:eastAsia="en-US"/>
        </w:rPr>
      </w:pPr>
      <w:r w:rsidRPr="0091050A">
        <w:rPr>
          <w:rFonts w:eastAsiaTheme="minorHAnsi"/>
          <w:szCs w:val="22"/>
          <w:lang w:eastAsia="en-US"/>
        </w:rPr>
        <w:t xml:space="preserve">It is recalled that </w:t>
      </w:r>
      <w:r>
        <w:rPr>
          <w:rFonts w:eastAsiaTheme="minorHAnsi"/>
          <w:szCs w:val="22"/>
          <w:lang w:eastAsia="en-US"/>
        </w:rPr>
        <w:t xml:space="preserve">the </w:t>
      </w:r>
      <w:r w:rsidRPr="0091050A">
        <w:rPr>
          <w:rFonts w:eastAsiaTheme="minorHAnsi"/>
          <w:szCs w:val="22"/>
          <w:lang w:eastAsia="en-US"/>
        </w:rPr>
        <w:t xml:space="preserve">financing for the </w:t>
      </w:r>
      <w:r w:rsidR="00EC2C8E">
        <w:rPr>
          <w:rFonts w:eastAsiaTheme="minorHAnsi"/>
          <w:szCs w:val="22"/>
          <w:lang w:eastAsia="en-US"/>
        </w:rPr>
        <w:t>P</w:t>
      </w:r>
      <w:r w:rsidR="00EC2C8E" w:rsidRPr="0091050A">
        <w:rPr>
          <w:rFonts w:eastAsiaTheme="minorHAnsi"/>
          <w:szCs w:val="22"/>
          <w:lang w:eastAsia="en-US"/>
        </w:rPr>
        <w:t xml:space="preserve">roject </w:t>
      </w:r>
      <w:r w:rsidRPr="0091050A">
        <w:rPr>
          <w:rFonts w:eastAsiaTheme="minorHAnsi"/>
          <w:szCs w:val="22"/>
          <w:lang w:eastAsia="en-US"/>
        </w:rPr>
        <w:t xml:space="preserve">to </w:t>
      </w:r>
      <w:r w:rsidR="00EC2C8E" w:rsidRPr="0091050A">
        <w:rPr>
          <w:rFonts w:eastAsiaTheme="minorHAnsi"/>
          <w:szCs w:val="22"/>
          <w:lang w:eastAsia="en-US"/>
        </w:rPr>
        <w:t>Upgrade</w:t>
      </w:r>
      <w:r w:rsidRPr="0091050A">
        <w:rPr>
          <w:rFonts w:eastAsiaTheme="minorHAnsi"/>
          <w:szCs w:val="22"/>
          <w:lang w:eastAsia="en-US"/>
        </w:rPr>
        <w:t xml:space="preserve"> the </w:t>
      </w:r>
      <w:r w:rsidR="00EC2C8E" w:rsidRPr="0091050A">
        <w:rPr>
          <w:rFonts w:eastAsiaTheme="minorHAnsi"/>
          <w:szCs w:val="22"/>
          <w:lang w:eastAsia="en-US"/>
        </w:rPr>
        <w:t>Safety</w:t>
      </w:r>
      <w:r w:rsidRPr="0091050A">
        <w:rPr>
          <w:rFonts w:eastAsiaTheme="minorHAnsi"/>
          <w:szCs w:val="22"/>
          <w:lang w:eastAsia="en-US"/>
        </w:rPr>
        <w:t xml:space="preserve"> and </w:t>
      </w:r>
      <w:r w:rsidR="00EC2C8E" w:rsidRPr="0091050A">
        <w:rPr>
          <w:rFonts w:eastAsiaTheme="minorHAnsi"/>
          <w:szCs w:val="22"/>
          <w:lang w:eastAsia="en-US"/>
        </w:rPr>
        <w:t>Security Standards</w:t>
      </w:r>
      <w:r w:rsidRPr="0091050A">
        <w:rPr>
          <w:rFonts w:eastAsiaTheme="minorHAnsi"/>
          <w:szCs w:val="22"/>
          <w:lang w:eastAsia="en-US"/>
        </w:rPr>
        <w:t xml:space="preserve"> for the </w:t>
      </w:r>
      <w:r w:rsidR="00EC2C8E" w:rsidRPr="0091050A">
        <w:rPr>
          <w:rFonts w:eastAsiaTheme="minorHAnsi"/>
          <w:szCs w:val="22"/>
          <w:lang w:eastAsia="en-US"/>
        </w:rPr>
        <w:t xml:space="preserve">Existing </w:t>
      </w:r>
      <w:r w:rsidR="008D58B9">
        <w:rPr>
          <w:rFonts w:eastAsiaTheme="minorHAnsi"/>
          <w:szCs w:val="22"/>
          <w:lang w:eastAsia="en-US"/>
        </w:rPr>
        <w:t>WIPO</w:t>
      </w:r>
      <w:r w:rsidR="00EC2C8E">
        <w:rPr>
          <w:rFonts w:eastAsiaTheme="minorHAnsi"/>
          <w:szCs w:val="22"/>
          <w:lang w:eastAsia="en-US"/>
        </w:rPr>
        <w:t xml:space="preserve"> </w:t>
      </w:r>
      <w:r w:rsidR="00EC2C8E" w:rsidRPr="0091050A">
        <w:rPr>
          <w:rFonts w:eastAsiaTheme="minorHAnsi"/>
          <w:szCs w:val="22"/>
          <w:lang w:eastAsia="en-US"/>
        </w:rPr>
        <w:t>Buildings</w:t>
      </w:r>
      <w:r w:rsidRPr="0091050A">
        <w:rPr>
          <w:rFonts w:eastAsiaTheme="minorHAnsi"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t xml:space="preserve">was a joint </w:t>
      </w:r>
      <w:r w:rsidR="00553D91">
        <w:rPr>
          <w:rFonts w:eastAsiaTheme="minorHAnsi"/>
          <w:szCs w:val="22"/>
          <w:lang w:eastAsia="en-US"/>
        </w:rPr>
        <w:t>project</w:t>
      </w:r>
      <w:r>
        <w:rPr>
          <w:rFonts w:eastAsiaTheme="minorHAnsi"/>
          <w:szCs w:val="22"/>
          <w:lang w:eastAsia="en-US"/>
        </w:rPr>
        <w:t xml:space="preserve"> between WIPO and </w:t>
      </w:r>
      <w:r w:rsidRPr="0091050A">
        <w:rPr>
          <w:rFonts w:eastAsiaTheme="minorHAnsi"/>
          <w:szCs w:val="22"/>
          <w:lang w:eastAsia="en-US"/>
        </w:rPr>
        <w:t xml:space="preserve">the Host </w:t>
      </w:r>
      <w:r>
        <w:rPr>
          <w:rFonts w:eastAsiaTheme="minorHAnsi"/>
          <w:szCs w:val="22"/>
          <w:lang w:eastAsia="en-US"/>
        </w:rPr>
        <w:t xml:space="preserve">Country. </w:t>
      </w:r>
      <w:r w:rsidR="008D58B9">
        <w:rPr>
          <w:rFonts w:eastAsiaTheme="minorHAnsi"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t xml:space="preserve">The Host Country’s share of the project totaled </w:t>
      </w:r>
      <w:r w:rsidR="008D58B9">
        <w:rPr>
          <w:rFonts w:eastAsiaTheme="minorHAnsi"/>
          <w:szCs w:val="22"/>
          <w:lang w:eastAsia="en-US"/>
        </w:rPr>
        <w:t>5</w:t>
      </w:r>
      <w:r>
        <w:rPr>
          <w:rFonts w:eastAsiaTheme="minorHAnsi"/>
          <w:szCs w:val="22"/>
          <w:lang w:eastAsia="en-US"/>
        </w:rPr>
        <w:t xml:space="preserve"> million </w:t>
      </w:r>
      <w:r w:rsidR="008D58B9">
        <w:rPr>
          <w:rFonts w:eastAsiaTheme="minorHAnsi"/>
          <w:szCs w:val="22"/>
          <w:lang w:eastAsia="en-US"/>
        </w:rPr>
        <w:t>Swiss francs</w:t>
      </w:r>
      <w:r>
        <w:rPr>
          <w:rFonts w:eastAsiaTheme="minorHAnsi"/>
          <w:szCs w:val="22"/>
          <w:lang w:eastAsia="en-US"/>
        </w:rPr>
        <w:t xml:space="preserve">, and addressed various external security measures, while WIPO’s approved budget of 7.6 million </w:t>
      </w:r>
      <w:r w:rsidR="008D58B9">
        <w:rPr>
          <w:rFonts w:eastAsiaTheme="minorHAnsi"/>
          <w:szCs w:val="22"/>
          <w:lang w:eastAsia="en-US"/>
        </w:rPr>
        <w:t>Swiss francs</w:t>
      </w:r>
      <w:r>
        <w:rPr>
          <w:rFonts w:eastAsiaTheme="minorHAnsi"/>
          <w:szCs w:val="22"/>
          <w:lang w:eastAsia="en-US"/>
        </w:rPr>
        <w:t xml:space="preserve"> addressed internal safety and security measures </w:t>
      </w:r>
      <w:r w:rsidRPr="0091050A">
        <w:rPr>
          <w:rFonts w:eastAsiaTheme="minorHAnsi"/>
          <w:szCs w:val="22"/>
          <w:lang w:eastAsia="en-US"/>
        </w:rPr>
        <w:t xml:space="preserve">(document A/46/10 Rev.).  </w:t>
      </w:r>
    </w:p>
    <w:p w:rsidR="004D1867" w:rsidRPr="00F02488" w:rsidRDefault="004D1867">
      <w:pPr>
        <w:pStyle w:val="ListParagraph"/>
        <w:ind w:left="0"/>
        <w:outlineLvl w:val="1"/>
      </w:pPr>
    </w:p>
    <w:p w:rsidR="004D1867" w:rsidRDefault="004D1867" w:rsidP="00C46087">
      <w:pPr>
        <w:pStyle w:val="ListParagraph"/>
        <w:numPr>
          <w:ilvl w:val="0"/>
          <w:numId w:val="8"/>
        </w:numPr>
        <w:ind w:left="0" w:firstLine="0"/>
        <w:outlineLvl w:val="1"/>
        <w:rPr>
          <w:rFonts w:eastAsiaTheme="minorHAnsi"/>
          <w:szCs w:val="22"/>
          <w:lang w:val="en" w:eastAsia="en-US"/>
        </w:rPr>
      </w:pPr>
      <w:r w:rsidRPr="00476AA7">
        <w:rPr>
          <w:color w:val="FF0000"/>
        </w:rPr>
        <w:t xml:space="preserve"> </w:t>
      </w:r>
      <w:r w:rsidRPr="00476AA7">
        <w:rPr>
          <w:rFonts w:eastAsiaTheme="minorHAnsi"/>
          <w:szCs w:val="22"/>
          <w:lang w:val="en" w:eastAsia="en-US"/>
        </w:rPr>
        <w:t>The project</w:t>
      </w:r>
      <w:r w:rsidR="00787FF4">
        <w:rPr>
          <w:rFonts w:eastAsiaTheme="minorHAnsi"/>
          <w:szCs w:val="22"/>
          <w:lang w:val="en" w:eastAsia="en-US"/>
        </w:rPr>
        <w:t xml:space="preserve"> and budget</w:t>
      </w:r>
      <w:r w:rsidRPr="00476AA7">
        <w:rPr>
          <w:rFonts w:eastAsiaTheme="minorHAnsi"/>
          <w:szCs w:val="22"/>
          <w:lang w:val="en" w:eastAsia="en-US"/>
        </w:rPr>
        <w:t xml:space="preserve"> is now nearing completion and key elements set-out within the project</w:t>
      </w:r>
      <w:r w:rsidR="008D58B9">
        <w:rPr>
          <w:rFonts w:eastAsiaTheme="minorHAnsi"/>
          <w:szCs w:val="22"/>
          <w:lang w:val="en" w:eastAsia="en-US"/>
        </w:rPr>
        <w:t>’s</w:t>
      </w:r>
      <w:r w:rsidRPr="00476AA7">
        <w:rPr>
          <w:rFonts w:eastAsiaTheme="minorHAnsi"/>
          <w:szCs w:val="22"/>
          <w:lang w:val="en" w:eastAsia="en-US"/>
        </w:rPr>
        <w:t xml:space="preserve"> scope will be completed within the approved budget, authorized by WIPO Member States. </w:t>
      </w:r>
      <w:r w:rsidR="008D58B9">
        <w:rPr>
          <w:rFonts w:eastAsiaTheme="minorHAnsi"/>
          <w:szCs w:val="22"/>
          <w:lang w:val="en" w:eastAsia="en-US"/>
        </w:rPr>
        <w:t xml:space="preserve"> </w:t>
      </w:r>
      <w:r w:rsidRPr="00476AA7">
        <w:rPr>
          <w:rFonts w:eastAsiaTheme="minorHAnsi"/>
          <w:szCs w:val="22"/>
          <w:lang w:val="en" w:eastAsia="en-US"/>
        </w:rPr>
        <w:t xml:space="preserve">This complex project has </w:t>
      </w:r>
      <w:r w:rsidR="007C02A9">
        <w:rPr>
          <w:rFonts w:eastAsiaTheme="minorHAnsi"/>
          <w:szCs w:val="22"/>
          <w:lang w:val="en" w:eastAsia="en-US"/>
        </w:rPr>
        <w:t>brought to light</w:t>
      </w:r>
      <w:r w:rsidRPr="00476AA7">
        <w:rPr>
          <w:rFonts w:eastAsiaTheme="minorHAnsi"/>
          <w:szCs w:val="22"/>
          <w:lang w:val="en" w:eastAsia="en-US"/>
        </w:rPr>
        <w:t xml:space="preserve"> a number of lessons learned related to </w:t>
      </w:r>
      <w:r w:rsidR="007C02A9">
        <w:rPr>
          <w:rFonts w:eastAsiaTheme="minorHAnsi"/>
          <w:szCs w:val="22"/>
          <w:lang w:val="en" w:eastAsia="en-US"/>
        </w:rPr>
        <w:t xml:space="preserve">the </w:t>
      </w:r>
      <w:r w:rsidR="007C02A9">
        <w:rPr>
          <w:rFonts w:eastAsiaTheme="minorHAnsi"/>
          <w:szCs w:val="22"/>
          <w:lang w:val="en" w:eastAsia="en-US"/>
        </w:rPr>
        <w:lastRenderedPageBreak/>
        <w:t xml:space="preserve">implementation of </w:t>
      </w:r>
      <w:r w:rsidRPr="00476AA7">
        <w:rPr>
          <w:rFonts w:eastAsiaTheme="minorHAnsi"/>
          <w:szCs w:val="22"/>
          <w:lang w:val="en" w:eastAsia="en-US"/>
        </w:rPr>
        <w:t>specific</w:t>
      </w:r>
      <w:r w:rsidR="007C02A9">
        <w:rPr>
          <w:rFonts w:eastAsiaTheme="minorHAnsi"/>
          <w:szCs w:val="22"/>
          <w:lang w:val="en" w:eastAsia="en-US"/>
        </w:rPr>
        <w:t xml:space="preserve"> </w:t>
      </w:r>
      <w:r w:rsidR="004C1B07">
        <w:rPr>
          <w:rFonts w:eastAsiaTheme="minorHAnsi"/>
          <w:szCs w:val="22"/>
          <w:lang w:val="en" w:eastAsia="en-US"/>
        </w:rPr>
        <w:t>s</w:t>
      </w:r>
      <w:r w:rsidR="007C02A9">
        <w:rPr>
          <w:rFonts w:eastAsiaTheme="minorHAnsi"/>
          <w:szCs w:val="22"/>
          <w:lang w:val="en" w:eastAsia="en-US"/>
        </w:rPr>
        <w:t xml:space="preserve">afety and </w:t>
      </w:r>
      <w:r w:rsidR="004C1B07">
        <w:rPr>
          <w:rFonts w:eastAsiaTheme="minorHAnsi"/>
          <w:szCs w:val="22"/>
          <w:lang w:val="en" w:eastAsia="en-US"/>
        </w:rPr>
        <w:t>s</w:t>
      </w:r>
      <w:r w:rsidR="007C02A9">
        <w:rPr>
          <w:rFonts w:eastAsiaTheme="minorHAnsi"/>
          <w:szCs w:val="22"/>
          <w:lang w:val="en" w:eastAsia="en-US"/>
        </w:rPr>
        <w:t xml:space="preserve">ecurity </w:t>
      </w:r>
      <w:r w:rsidRPr="00476AA7">
        <w:rPr>
          <w:rFonts w:eastAsiaTheme="minorHAnsi"/>
          <w:szCs w:val="22"/>
          <w:lang w:val="en" w:eastAsia="en-US"/>
        </w:rPr>
        <w:t>technologies</w:t>
      </w:r>
      <w:r w:rsidR="007C02A9">
        <w:rPr>
          <w:rFonts w:eastAsiaTheme="minorHAnsi"/>
          <w:szCs w:val="22"/>
          <w:lang w:val="en" w:eastAsia="en-US"/>
        </w:rPr>
        <w:t xml:space="preserve"> </w:t>
      </w:r>
      <w:r w:rsidRPr="00476AA7">
        <w:rPr>
          <w:rFonts w:eastAsiaTheme="minorHAnsi"/>
          <w:szCs w:val="22"/>
          <w:lang w:val="en" w:eastAsia="en-US"/>
        </w:rPr>
        <w:t xml:space="preserve">and the </w:t>
      </w:r>
      <w:r w:rsidR="007C02A9">
        <w:rPr>
          <w:rFonts w:eastAsiaTheme="minorHAnsi"/>
          <w:szCs w:val="22"/>
          <w:lang w:val="en" w:eastAsia="en-US"/>
        </w:rPr>
        <w:t>associated</w:t>
      </w:r>
      <w:r w:rsidRPr="00476AA7">
        <w:rPr>
          <w:rFonts w:eastAsiaTheme="minorHAnsi"/>
          <w:szCs w:val="22"/>
          <w:lang w:val="en" w:eastAsia="en-US"/>
        </w:rPr>
        <w:t xml:space="preserve"> additional</w:t>
      </w:r>
      <w:r w:rsidR="007C02A9">
        <w:rPr>
          <w:rFonts w:eastAsiaTheme="minorHAnsi"/>
          <w:szCs w:val="22"/>
          <w:lang w:val="en" w:eastAsia="en-US"/>
        </w:rPr>
        <w:t xml:space="preserve"> specialized</w:t>
      </w:r>
      <w:r w:rsidRPr="00476AA7">
        <w:rPr>
          <w:rFonts w:eastAsiaTheme="minorHAnsi"/>
          <w:szCs w:val="22"/>
          <w:lang w:val="en" w:eastAsia="en-US"/>
        </w:rPr>
        <w:t xml:space="preserve"> technical support </w:t>
      </w:r>
      <w:r w:rsidR="007C02A9">
        <w:rPr>
          <w:rFonts w:eastAsiaTheme="minorHAnsi"/>
          <w:szCs w:val="22"/>
          <w:lang w:val="en" w:eastAsia="en-US"/>
        </w:rPr>
        <w:t>requirements</w:t>
      </w:r>
      <w:r w:rsidRPr="00476AA7">
        <w:rPr>
          <w:rFonts w:eastAsiaTheme="minorHAnsi"/>
          <w:szCs w:val="22"/>
          <w:lang w:val="en" w:eastAsia="en-US"/>
        </w:rPr>
        <w:t xml:space="preserve"> which were not addressed in </w:t>
      </w:r>
      <w:r w:rsidR="007C02A9">
        <w:rPr>
          <w:rFonts w:eastAsiaTheme="minorHAnsi"/>
          <w:szCs w:val="22"/>
          <w:lang w:val="en" w:eastAsia="en-US"/>
        </w:rPr>
        <w:t>the project’s</w:t>
      </w:r>
      <w:r w:rsidRPr="00476AA7">
        <w:rPr>
          <w:rFonts w:eastAsiaTheme="minorHAnsi"/>
          <w:szCs w:val="22"/>
          <w:lang w:val="en" w:eastAsia="en-US"/>
        </w:rPr>
        <w:t xml:space="preserve"> original scope. These will be elaborated in the final project closure report</w:t>
      </w:r>
      <w:r w:rsidR="007C02A9">
        <w:rPr>
          <w:rFonts w:eastAsiaTheme="minorHAnsi"/>
          <w:szCs w:val="22"/>
          <w:lang w:val="en" w:eastAsia="en-US"/>
        </w:rPr>
        <w:t>.</w:t>
      </w:r>
      <w:r w:rsidRPr="00476AA7">
        <w:rPr>
          <w:rFonts w:eastAsiaTheme="minorHAnsi"/>
          <w:szCs w:val="22"/>
          <w:lang w:val="en" w:eastAsia="en-US"/>
        </w:rPr>
        <w:t xml:space="preserve"> </w:t>
      </w:r>
    </w:p>
    <w:p w:rsidR="004D1867" w:rsidRPr="00EF63A9" w:rsidRDefault="004D1867">
      <w:pPr>
        <w:pStyle w:val="ListParagraph"/>
        <w:rPr>
          <w:rFonts w:eastAsiaTheme="minorHAnsi"/>
          <w:szCs w:val="22"/>
          <w:lang w:val="en" w:eastAsia="en-US"/>
        </w:rPr>
      </w:pPr>
    </w:p>
    <w:p w:rsidR="003959AD" w:rsidRDefault="004D1867" w:rsidP="00C46087">
      <w:pPr>
        <w:pStyle w:val="ListParagraph"/>
        <w:numPr>
          <w:ilvl w:val="0"/>
          <w:numId w:val="8"/>
        </w:numPr>
        <w:ind w:left="0" w:firstLine="0"/>
        <w:outlineLvl w:val="1"/>
        <w:rPr>
          <w:rFonts w:eastAsiaTheme="minorHAnsi"/>
          <w:szCs w:val="22"/>
          <w:lang w:val="en" w:eastAsia="en-US"/>
        </w:rPr>
      </w:pPr>
      <w:r w:rsidRPr="008D58B9">
        <w:rPr>
          <w:rFonts w:eastAsiaTheme="minorHAnsi"/>
          <w:szCs w:val="22"/>
          <w:lang w:val="en" w:eastAsia="en-US"/>
        </w:rPr>
        <w:t xml:space="preserve">It is to </w:t>
      </w:r>
      <w:r w:rsidR="00EC2C8E">
        <w:rPr>
          <w:rFonts w:eastAsiaTheme="minorHAnsi"/>
          <w:szCs w:val="22"/>
          <w:lang w:val="en" w:eastAsia="en-US"/>
        </w:rPr>
        <w:t xml:space="preserve">be </w:t>
      </w:r>
      <w:r w:rsidRPr="008D58B9">
        <w:rPr>
          <w:rFonts w:eastAsiaTheme="minorHAnsi"/>
          <w:szCs w:val="22"/>
          <w:lang w:val="en" w:eastAsia="en-US"/>
        </w:rPr>
        <w:t>recalled that</w:t>
      </w:r>
      <w:r w:rsidR="008D58B9" w:rsidRPr="008D58B9">
        <w:rPr>
          <w:rFonts w:eastAsiaTheme="minorHAnsi"/>
          <w:szCs w:val="22"/>
          <w:lang w:val="en" w:eastAsia="en-US"/>
        </w:rPr>
        <w:t>, in 2008, Member States</w:t>
      </w:r>
      <w:r w:rsidRPr="008D58B9">
        <w:rPr>
          <w:rFonts w:eastAsiaTheme="minorHAnsi"/>
          <w:szCs w:val="22"/>
          <w:lang w:val="en" w:eastAsia="en-US"/>
        </w:rPr>
        <w:t xml:space="preserve"> approved </w:t>
      </w:r>
      <w:r w:rsidR="00787FF4">
        <w:rPr>
          <w:rFonts w:eastAsiaTheme="minorHAnsi"/>
          <w:szCs w:val="22"/>
          <w:lang w:val="en" w:eastAsia="en-US"/>
        </w:rPr>
        <w:t xml:space="preserve">budget of </w:t>
      </w:r>
      <w:r w:rsidR="008D58B9" w:rsidRPr="008D58B9">
        <w:rPr>
          <w:rFonts w:eastAsiaTheme="minorHAnsi"/>
          <w:szCs w:val="22"/>
          <w:lang w:val="en" w:eastAsia="en-US"/>
        </w:rPr>
        <w:t>7,600,000</w:t>
      </w:r>
      <w:r w:rsidR="008D58B9">
        <w:rPr>
          <w:rFonts w:eastAsiaTheme="minorHAnsi"/>
          <w:szCs w:val="22"/>
          <w:lang w:val="en" w:eastAsia="en-US"/>
        </w:rPr>
        <w:t> </w:t>
      </w:r>
      <w:r w:rsidR="008D58B9" w:rsidRPr="008D58B9">
        <w:rPr>
          <w:rFonts w:eastAsiaTheme="minorHAnsi"/>
          <w:szCs w:val="22"/>
          <w:lang w:val="en" w:eastAsia="en-US"/>
        </w:rPr>
        <w:t xml:space="preserve">Swiss francs to </w:t>
      </w:r>
      <w:r w:rsidRPr="008D58B9">
        <w:rPr>
          <w:rFonts w:eastAsiaTheme="minorHAnsi"/>
          <w:szCs w:val="22"/>
          <w:lang w:val="en" w:eastAsia="en-US"/>
        </w:rPr>
        <w:t>financ</w:t>
      </w:r>
      <w:r w:rsidR="008D58B9" w:rsidRPr="008D58B9">
        <w:rPr>
          <w:rFonts w:eastAsiaTheme="minorHAnsi"/>
          <w:szCs w:val="22"/>
          <w:lang w:val="en" w:eastAsia="en-US"/>
        </w:rPr>
        <w:t>e</w:t>
      </w:r>
      <w:r w:rsidRPr="008D58B9">
        <w:rPr>
          <w:rFonts w:eastAsiaTheme="minorHAnsi"/>
          <w:szCs w:val="22"/>
          <w:lang w:val="en" w:eastAsia="en-US"/>
        </w:rPr>
        <w:t xml:space="preserve"> </w:t>
      </w:r>
      <w:r w:rsidR="008D58B9" w:rsidRPr="008D58B9">
        <w:rPr>
          <w:rFonts w:eastAsiaTheme="minorHAnsi"/>
          <w:szCs w:val="22"/>
          <w:lang w:val="en" w:eastAsia="en-US"/>
        </w:rPr>
        <w:t xml:space="preserve">this </w:t>
      </w:r>
      <w:r w:rsidR="00EC2C8E">
        <w:rPr>
          <w:rFonts w:eastAsiaTheme="minorHAnsi"/>
          <w:szCs w:val="22"/>
          <w:lang w:val="en" w:eastAsia="en-US"/>
        </w:rPr>
        <w:t>p</w:t>
      </w:r>
      <w:r w:rsidRPr="008D58B9">
        <w:rPr>
          <w:rFonts w:eastAsiaTheme="minorHAnsi"/>
          <w:szCs w:val="22"/>
          <w:lang w:val="en" w:eastAsia="en-US"/>
        </w:rPr>
        <w:t>roject</w:t>
      </w:r>
      <w:r w:rsidR="008D58B9" w:rsidRPr="008D58B9">
        <w:rPr>
          <w:rFonts w:eastAsiaTheme="minorHAnsi"/>
          <w:szCs w:val="22"/>
          <w:lang w:val="en" w:eastAsia="en-US"/>
        </w:rPr>
        <w:t xml:space="preserve">, as </w:t>
      </w:r>
      <w:r w:rsidR="008D58B9" w:rsidRPr="003959AD">
        <w:rPr>
          <w:rFonts w:eastAsiaTheme="minorHAnsi"/>
          <w:szCs w:val="22"/>
          <w:lang w:val="en" w:eastAsia="en-US"/>
        </w:rPr>
        <w:t>per</w:t>
      </w:r>
      <w:r w:rsidR="008D58B9" w:rsidRPr="008D58B9">
        <w:rPr>
          <w:rFonts w:eastAsiaTheme="minorHAnsi"/>
          <w:szCs w:val="22"/>
          <w:lang w:val="en" w:eastAsia="en-US"/>
        </w:rPr>
        <w:t xml:space="preserve"> </w:t>
      </w:r>
      <w:r w:rsidR="008D58B9">
        <w:rPr>
          <w:rFonts w:eastAsiaTheme="minorHAnsi"/>
          <w:szCs w:val="22"/>
          <w:lang w:val="en" w:eastAsia="en-US"/>
        </w:rPr>
        <w:t xml:space="preserve">the </w:t>
      </w:r>
      <w:r w:rsidR="008D58B9" w:rsidRPr="008D58B9">
        <w:rPr>
          <w:rFonts w:eastAsiaTheme="minorHAnsi"/>
          <w:szCs w:val="22"/>
          <w:lang w:val="en" w:eastAsia="en-US"/>
        </w:rPr>
        <w:t>cost estimate</w:t>
      </w:r>
      <w:r w:rsidR="008D58B9">
        <w:rPr>
          <w:rFonts w:eastAsiaTheme="minorHAnsi"/>
          <w:szCs w:val="22"/>
          <w:lang w:val="en" w:eastAsia="en-US"/>
        </w:rPr>
        <w:t>s</w:t>
      </w:r>
      <w:r w:rsidR="008D58B9" w:rsidRPr="008D58B9">
        <w:rPr>
          <w:rFonts w:eastAsiaTheme="minorHAnsi"/>
          <w:szCs w:val="22"/>
          <w:lang w:val="en" w:eastAsia="en-US"/>
        </w:rPr>
        <w:t xml:space="preserve"> listed in </w:t>
      </w:r>
      <w:r w:rsidR="008D58B9" w:rsidRPr="00C46087">
        <w:rPr>
          <w:rFonts w:eastAsiaTheme="minorHAnsi"/>
          <w:szCs w:val="22"/>
          <w:lang w:val="en" w:eastAsia="en-US"/>
        </w:rPr>
        <w:t>A</w:t>
      </w:r>
      <w:r w:rsidRPr="008D58B9">
        <w:rPr>
          <w:rFonts w:eastAsiaTheme="minorHAnsi"/>
          <w:szCs w:val="22"/>
          <w:lang w:val="en" w:eastAsia="en-US"/>
        </w:rPr>
        <w:t>nnex I of document</w:t>
      </w:r>
      <w:r w:rsidR="008D58B9">
        <w:rPr>
          <w:rFonts w:eastAsiaTheme="minorHAnsi"/>
          <w:szCs w:val="22"/>
          <w:lang w:val="en" w:eastAsia="en-US"/>
        </w:rPr>
        <w:t xml:space="preserve"> </w:t>
      </w:r>
      <w:r w:rsidR="008D58B9" w:rsidRPr="00911B59">
        <w:rPr>
          <w:rFonts w:eastAsiaTheme="minorHAnsi"/>
          <w:szCs w:val="22"/>
          <w:lang w:val="en" w:eastAsia="en-US"/>
        </w:rPr>
        <w:t>WO/PBC/13/6(a)</w:t>
      </w:r>
      <w:r w:rsidR="008D58B9" w:rsidRPr="008D58B9">
        <w:rPr>
          <w:rFonts w:eastAsiaTheme="minorHAnsi"/>
          <w:szCs w:val="22"/>
          <w:lang w:val="en" w:eastAsia="en-US"/>
        </w:rPr>
        <w:t>.</w:t>
      </w:r>
      <w:r w:rsidR="008D58B9" w:rsidDel="008D58B9">
        <w:rPr>
          <w:rFonts w:eastAsiaTheme="minorHAnsi"/>
          <w:szCs w:val="22"/>
          <w:lang w:val="en" w:eastAsia="en-US"/>
        </w:rPr>
        <w:t xml:space="preserve"> </w:t>
      </w:r>
    </w:p>
    <w:p w:rsidR="00787FF4" w:rsidRPr="00787FF4" w:rsidRDefault="00787FF4" w:rsidP="00787FF4">
      <w:pPr>
        <w:pStyle w:val="ListParagraph"/>
        <w:rPr>
          <w:rFonts w:eastAsiaTheme="minorHAnsi"/>
          <w:szCs w:val="22"/>
          <w:lang w:val="en" w:eastAsia="en-US"/>
        </w:rPr>
      </w:pPr>
    </w:p>
    <w:p w:rsidR="007A003A" w:rsidRPr="007A003A" w:rsidRDefault="00787FF4" w:rsidP="009F0581">
      <w:pPr>
        <w:pStyle w:val="ListParagraph"/>
        <w:keepNext/>
        <w:keepLines/>
        <w:numPr>
          <w:ilvl w:val="0"/>
          <w:numId w:val="8"/>
        </w:numPr>
        <w:ind w:left="0" w:firstLine="0"/>
        <w:outlineLvl w:val="1"/>
      </w:pPr>
      <w:r w:rsidRPr="00787FF4">
        <w:rPr>
          <w:rFonts w:eastAsiaTheme="minorHAnsi"/>
          <w:szCs w:val="22"/>
          <w:lang w:val="en" w:eastAsia="en-US"/>
        </w:rPr>
        <w:t xml:space="preserve">It is also to be recalled that some modifications to the original concept had to be introduced. (See document WO/PBC/18/6).  Additional modifications were necessary </w:t>
      </w:r>
      <w:r w:rsidR="004C1B07">
        <w:rPr>
          <w:rFonts w:eastAsiaTheme="minorHAnsi"/>
          <w:szCs w:val="22"/>
          <w:lang w:val="en" w:eastAsia="en-US"/>
        </w:rPr>
        <w:t xml:space="preserve">in respect of </w:t>
      </w:r>
      <w:r w:rsidRPr="00787FF4">
        <w:rPr>
          <w:rFonts w:eastAsiaTheme="minorHAnsi"/>
          <w:szCs w:val="22"/>
          <w:lang w:val="en" w:eastAsia="en-US"/>
        </w:rPr>
        <w:t>the scope o</w:t>
      </w:r>
      <w:r w:rsidR="004C1B07">
        <w:rPr>
          <w:rFonts w:eastAsiaTheme="minorHAnsi"/>
          <w:szCs w:val="22"/>
          <w:lang w:val="en" w:eastAsia="en-US"/>
        </w:rPr>
        <w:t>f construction and security system requirements</w:t>
      </w:r>
      <w:r w:rsidRPr="00787FF4">
        <w:rPr>
          <w:rFonts w:eastAsiaTheme="minorHAnsi"/>
          <w:szCs w:val="22"/>
          <w:lang w:val="en" w:eastAsia="en-US"/>
        </w:rPr>
        <w:t xml:space="preserve"> for the new Access Center. This </w:t>
      </w:r>
      <w:r w:rsidR="004C1B07">
        <w:rPr>
          <w:rFonts w:eastAsiaTheme="minorHAnsi"/>
          <w:szCs w:val="22"/>
          <w:lang w:val="en" w:eastAsia="en-US"/>
        </w:rPr>
        <w:t>necessitated</w:t>
      </w:r>
      <w:r w:rsidRPr="00787FF4">
        <w:rPr>
          <w:rFonts w:eastAsiaTheme="minorHAnsi"/>
          <w:szCs w:val="22"/>
          <w:lang w:val="en" w:eastAsia="en-US"/>
        </w:rPr>
        <w:t xml:space="preserve"> </w:t>
      </w:r>
      <w:r w:rsidR="004C1B07">
        <w:rPr>
          <w:rFonts w:eastAsiaTheme="minorHAnsi"/>
          <w:szCs w:val="22"/>
          <w:lang w:val="en" w:eastAsia="en-US"/>
        </w:rPr>
        <w:t xml:space="preserve">the re-prioritization and re-scheduling of </w:t>
      </w:r>
      <w:r w:rsidRPr="00787FF4">
        <w:rPr>
          <w:rFonts w:eastAsiaTheme="minorHAnsi"/>
          <w:szCs w:val="22"/>
          <w:lang w:val="en" w:eastAsia="en-US"/>
        </w:rPr>
        <w:t>some work activities to achieve required objectives</w:t>
      </w:r>
    </w:p>
    <w:p w:rsidR="007A003A" w:rsidRPr="007A003A" w:rsidRDefault="007A003A" w:rsidP="007A003A">
      <w:pPr>
        <w:pStyle w:val="ListParagraph"/>
        <w:rPr>
          <w:rFonts w:eastAsiaTheme="minorHAnsi"/>
          <w:szCs w:val="22"/>
          <w:lang w:val="en" w:eastAsia="en-US"/>
        </w:rPr>
      </w:pPr>
    </w:p>
    <w:p w:rsidR="004D1867" w:rsidRPr="003959AD" w:rsidRDefault="000A274B" w:rsidP="009922BF">
      <w:pPr>
        <w:pStyle w:val="ListParagraph"/>
        <w:keepNext/>
        <w:keepLines/>
        <w:numPr>
          <w:ilvl w:val="0"/>
          <w:numId w:val="8"/>
        </w:numPr>
        <w:tabs>
          <w:tab w:val="left" w:pos="0"/>
          <w:tab w:val="left" w:pos="567"/>
        </w:tabs>
        <w:ind w:left="0" w:firstLine="0"/>
        <w:outlineLvl w:val="1"/>
      </w:pPr>
      <w:r w:rsidRPr="009922BF">
        <w:rPr>
          <w:rFonts w:eastAsiaTheme="minorHAnsi"/>
          <w:szCs w:val="22"/>
          <w:lang w:eastAsia="en-US"/>
        </w:rPr>
        <w:t>A</w:t>
      </w:r>
      <w:r w:rsidR="004D1867" w:rsidRPr="009922BF">
        <w:rPr>
          <w:rFonts w:eastAsiaTheme="minorHAnsi"/>
          <w:szCs w:val="22"/>
          <w:lang w:eastAsia="en-US"/>
        </w:rPr>
        <w:t>s at June  30, 2014,</w:t>
      </w:r>
      <w:r w:rsidR="004D1867" w:rsidRPr="003959AD">
        <w:t xml:space="preserve"> Project funds totaling </w:t>
      </w:r>
      <w:r w:rsidR="00E7095A">
        <w:t xml:space="preserve">12,400,208 </w:t>
      </w:r>
      <w:r w:rsidR="003959AD" w:rsidRPr="003959AD">
        <w:t xml:space="preserve">Swiss francs </w:t>
      </w:r>
      <w:r w:rsidR="004D1867" w:rsidRPr="003959AD">
        <w:t>have been either expended or are committed funds, as indicated in the following table:</w:t>
      </w:r>
    </w:p>
    <w:p w:rsidR="004D1867" w:rsidRPr="00AE465F" w:rsidRDefault="004D1867" w:rsidP="00C267A0">
      <w:pPr>
        <w:keepNext/>
        <w:keepLines/>
        <w:rPr>
          <w:rFonts w:eastAsiaTheme="minorHAnsi"/>
          <w:szCs w:val="22"/>
          <w:lang w:eastAsia="en-US"/>
        </w:rPr>
      </w:pPr>
    </w:p>
    <w:tbl>
      <w:tblPr>
        <w:tblStyle w:val="TableGrid"/>
        <w:tblW w:w="8484" w:type="dxa"/>
        <w:tblInd w:w="534" w:type="dxa"/>
        <w:tblLook w:val="04A0" w:firstRow="1" w:lastRow="0" w:firstColumn="1" w:lastColumn="0" w:noHBand="0" w:noVBand="1"/>
      </w:tblPr>
      <w:tblGrid>
        <w:gridCol w:w="4536"/>
        <w:gridCol w:w="3948"/>
      </w:tblGrid>
      <w:tr w:rsidR="004D1867" w:rsidRPr="003959AD" w:rsidTr="00C267A0">
        <w:trPr>
          <w:gridBefore w:val="1"/>
          <w:wBefore w:w="4536" w:type="dxa"/>
          <w:trHeight w:val="202"/>
        </w:trPr>
        <w:tc>
          <w:tcPr>
            <w:tcW w:w="3948" w:type="dxa"/>
          </w:tcPr>
          <w:p w:rsidR="004D1867" w:rsidRPr="00C267A0" w:rsidRDefault="004D1867" w:rsidP="00C267A0">
            <w:pPr>
              <w:keepNext/>
              <w:keepLines/>
              <w:contextualSpacing/>
              <w:jc w:val="center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 w:rsidRPr="00C267A0">
              <w:rPr>
                <w:rFonts w:eastAsiaTheme="minorHAnsi"/>
                <w:i/>
                <w:sz w:val="20"/>
                <w:lang w:eastAsia="en-US"/>
              </w:rPr>
              <w:t>Amounts in Swiss francs</w:t>
            </w:r>
          </w:p>
        </w:tc>
      </w:tr>
      <w:tr w:rsidR="004D1867" w:rsidRPr="003959AD" w:rsidTr="00911B59">
        <w:tc>
          <w:tcPr>
            <w:tcW w:w="4536" w:type="dxa"/>
          </w:tcPr>
          <w:p w:rsidR="004D1867" w:rsidRPr="00E26ED6" w:rsidRDefault="004D1867" w:rsidP="00C267A0">
            <w:pPr>
              <w:keepNext/>
              <w:keepLines/>
              <w:ind w:left="33" w:right="34"/>
              <w:contextualSpacing/>
              <w:jc w:val="right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C267A0">
              <w:rPr>
                <w:rFonts w:eastAsiaTheme="minorHAnsi"/>
                <w:b/>
                <w:sz w:val="20"/>
                <w:lang w:val="en-US" w:eastAsia="en-US"/>
              </w:rPr>
              <w:t xml:space="preserve">Budget approved by the Member States in December 2008 </w:t>
            </w:r>
          </w:p>
        </w:tc>
        <w:tc>
          <w:tcPr>
            <w:tcW w:w="3948" w:type="dxa"/>
          </w:tcPr>
          <w:p w:rsidR="004D1867" w:rsidRPr="00E26ED6" w:rsidRDefault="004D1867" w:rsidP="00C267A0">
            <w:pPr>
              <w:keepNext/>
              <w:keepLines/>
              <w:ind w:left="720"/>
              <w:contextualSpacing/>
              <w:jc w:val="right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E26ED6">
              <w:rPr>
                <w:rFonts w:eastAsiaTheme="minorHAnsi"/>
                <w:b/>
                <w:sz w:val="20"/>
                <w:lang w:eastAsia="en-US"/>
              </w:rPr>
              <w:t>7,600,000</w:t>
            </w:r>
          </w:p>
        </w:tc>
      </w:tr>
      <w:tr w:rsidR="004D1867" w:rsidRPr="003959AD" w:rsidTr="00C267A0">
        <w:trPr>
          <w:trHeight w:val="357"/>
        </w:trPr>
        <w:tc>
          <w:tcPr>
            <w:tcW w:w="4536" w:type="dxa"/>
          </w:tcPr>
          <w:p w:rsidR="004D1867" w:rsidRPr="00C267A0" w:rsidRDefault="004D1867" w:rsidP="00C267A0">
            <w:pPr>
              <w:keepNext/>
              <w:keepLines/>
              <w:ind w:left="33" w:right="34"/>
              <w:contextualSpacing/>
              <w:jc w:val="right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C267A0">
              <w:rPr>
                <w:rFonts w:eastAsiaTheme="minorHAnsi"/>
                <w:b/>
                <w:sz w:val="20"/>
                <w:lang w:eastAsia="en-US"/>
              </w:rPr>
              <w:t>Host Country participation</w:t>
            </w:r>
          </w:p>
        </w:tc>
        <w:tc>
          <w:tcPr>
            <w:tcW w:w="3948" w:type="dxa"/>
          </w:tcPr>
          <w:p w:rsidR="004D1867" w:rsidRPr="00C267A0" w:rsidRDefault="004D1867" w:rsidP="00C267A0">
            <w:pPr>
              <w:keepNext/>
              <w:keepLines/>
              <w:ind w:left="720"/>
              <w:contextualSpacing/>
              <w:jc w:val="right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C267A0">
              <w:rPr>
                <w:rFonts w:eastAsiaTheme="minorHAnsi"/>
                <w:b/>
                <w:sz w:val="20"/>
                <w:lang w:eastAsia="en-US"/>
              </w:rPr>
              <w:t>5,000,000</w:t>
            </w:r>
          </w:p>
        </w:tc>
      </w:tr>
      <w:tr w:rsidR="004D1867" w:rsidRPr="003959AD" w:rsidTr="00C267A0">
        <w:trPr>
          <w:trHeight w:val="421"/>
        </w:trPr>
        <w:tc>
          <w:tcPr>
            <w:tcW w:w="4536" w:type="dxa"/>
          </w:tcPr>
          <w:p w:rsidR="004D1867" w:rsidRPr="00C267A0" w:rsidRDefault="004D1867" w:rsidP="00C267A0">
            <w:pPr>
              <w:keepNext/>
              <w:keepLines/>
              <w:ind w:left="33" w:right="34"/>
              <w:contextualSpacing/>
              <w:jc w:val="right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C267A0">
              <w:rPr>
                <w:rFonts w:eastAsiaTheme="minorHAnsi"/>
                <w:b/>
                <w:sz w:val="20"/>
                <w:lang w:eastAsia="en-US"/>
              </w:rPr>
              <w:t>Total available budget</w:t>
            </w:r>
          </w:p>
        </w:tc>
        <w:tc>
          <w:tcPr>
            <w:tcW w:w="3948" w:type="dxa"/>
          </w:tcPr>
          <w:p w:rsidR="004D1867" w:rsidRPr="00C267A0" w:rsidRDefault="004D1867" w:rsidP="00C267A0">
            <w:pPr>
              <w:keepNext/>
              <w:keepLines/>
              <w:ind w:left="720"/>
              <w:contextualSpacing/>
              <w:jc w:val="right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C267A0">
              <w:rPr>
                <w:rFonts w:eastAsiaTheme="minorHAnsi"/>
                <w:b/>
                <w:sz w:val="20"/>
                <w:lang w:eastAsia="en-US"/>
              </w:rPr>
              <w:t>12,600,000</w:t>
            </w:r>
          </w:p>
        </w:tc>
      </w:tr>
    </w:tbl>
    <w:p w:rsidR="004D1867" w:rsidRPr="00E26ED6" w:rsidRDefault="004D1867" w:rsidP="00C267A0">
      <w:pPr>
        <w:keepNext/>
        <w:keepLines/>
        <w:rPr>
          <w:rFonts w:eastAsiaTheme="minorHAnsi"/>
          <w:b/>
          <w:sz w:val="20"/>
          <w:lang w:eastAsia="en-US"/>
        </w:rPr>
      </w:pPr>
    </w:p>
    <w:tbl>
      <w:tblPr>
        <w:tblStyle w:val="TableGrid"/>
        <w:tblW w:w="8484" w:type="dxa"/>
        <w:tblInd w:w="534" w:type="dxa"/>
        <w:tblLook w:val="04A0" w:firstRow="1" w:lastRow="0" w:firstColumn="1" w:lastColumn="0" w:noHBand="0" w:noVBand="1"/>
      </w:tblPr>
      <w:tblGrid>
        <w:gridCol w:w="4536"/>
        <w:gridCol w:w="3948"/>
      </w:tblGrid>
      <w:tr w:rsidR="004D1867" w:rsidRPr="003959AD" w:rsidTr="00C267A0">
        <w:trPr>
          <w:trHeight w:val="287"/>
        </w:trPr>
        <w:tc>
          <w:tcPr>
            <w:tcW w:w="4536" w:type="dxa"/>
          </w:tcPr>
          <w:p w:rsidR="004D1867" w:rsidRPr="00E26ED6" w:rsidRDefault="004D1867" w:rsidP="00C267A0">
            <w:pPr>
              <w:keepNext/>
              <w:keepLines/>
              <w:ind w:left="33" w:right="34"/>
              <w:contextualSpacing/>
              <w:jc w:val="right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E26ED6">
              <w:rPr>
                <w:rFonts w:eastAsiaTheme="minorHAnsi"/>
                <w:b/>
                <w:sz w:val="20"/>
                <w:lang w:eastAsia="en-US"/>
              </w:rPr>
              <w:t xml:space="preserve">State of commitments </w:t>
            </w:r>
          </w:p>
        </w:tc>
        <w:tc>
          <w:tcPr>
            <w:tcW w:w="3948" w:type="dxa"/>
          </w:tcPr>
          <w:p w:rsidR="004D1867" w:rsidRPr="00E26ED6" w:rsidRDefault="004D1867" w:rsidP="00C267A0">
            <w:pPr>
              <w:keepNext/>
              <w:keepLines/>
              <w:ind w:left="11"/>
              <w:contextualSpacing/>
              <w:jc w:val="center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 w:rsidRPr="00E26ED6">
              <w:rPr>
                <w:rFonts w:eastAsiaTheme="minorHAnsi"/>
                <w:i/>
                <w:sz w:val="20"/>
                <w:lang w:eastAsia="en-US"/>
              </w:rPr>
              <w:t>Amounts in Swiss francs</w:t>
            </w:r>
          </w:p>
        </w:tc>
      </w:tr>
      <w:tr w:rsidR="004D1867" w:rsidRPr="003959AD" w:rsidTr="00C267A0">
        <w:trPr>
          <w:trHeight w:val="307"/>
        </w:trPr>
        <w:tc>
          <w:tcPr>
            <w:tcW w:w="4536" w:type="dxa"/>
          </w:tcPr>
          <w:p w:rsidR="004D1867" w:rsidRPr="00E26ED6" w:rsidRDefault="004D1867" w:rsidP="00E26ED6">
            <w:pPr>
              <w:keepNext/>
              <w:keepLines/>
              <w:ind w:left="33" w:right="34"/>
              <w:contextualSpacing/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26ED6">
              <w:rPr>
                <w:rFonts w:eastAsiaTheme="minorHAnsi"/>
                <w:sz w:val="20"/>
                <w:lang w:eastAsia="en-US"/>
              </w:rPr>
              <w:t>Amounts committed by WIPO</w:t>
            </w:r>
          </w:p>
        </w:tc>
        <w:tc>
          <w:tcPr>
            <w:tcW w:w="3948" w:type="dxa"/>
          </w:tcPr>
          <w:p w:rsidR="004D1867" w:rsidRPr="00E26ED6" w:rsidRDefault="004D1867" w:rsidP="009569CB">
            <w:pPr>
              <w:keepNext/>
              <w:keepLines/>
              <w:ind w:left="720"/>
              <w:contextualSpacing/>
              <w:jc w:val="right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E26ED6">
              <w:rPr>
                <w:rFonts w:eastAsiaTheme="minorHAnsi"/>
                <w:b/>
                <w:sz w:val="20"/>
                <w:lang w:eastAsia="en-US"/>
              </w:rPr>
              <w:t>7,533,2</w:t>
            </w:r>
            <w:r w:rsidR="009569CB">
              <w:rPr>
                <w:rFonts w:eastAsiaTheme="minorHAnsi"/>
                <w:b/>
                <w:sz w:val="20"/>
                <w:lang w:eastAsia="en-US"/>
              </w:rPr>
              <w:t>08</w:t>
            </w:r>
          </w:p>
        </w:tc>
      </w:tr>
      <w:tr w:rsidR="004D1867" w:rsidRPr="00AE465F" w:rsidTr="00C267A0">
        <w:trPr>
          <w:trHeight w:val="314"/>
        </w:trPr>
        <w:tc>
          <w:tcPr>
            <w:tcW w:w="4536" w:type="dxa"/>
          </w:tcPr>
          <w:p w:rsidR="004D1867" w:rsidRPr="00E26ED6" w:rsidRDefault="004D1867" w:rsidP="00E26ED6">
            <w:pPr>
              <w:keepNext/>
              <w:keepLines/>
              <w:ind w:left="33" w:right="34"/>
              <w:contextualSpacing/>
              <w:jc w:val="right"/>
              <w:rPr>
                <w:rFonts w:eastAsiaTheme="minorHAnsi"/>
                <w:sz w:val="20"/>
                <w:szCs w:val="20"/>
                <w:highlight w:val="green"/>
                <w:lang w:val="en-US" w:eastAsia="en-US"/>
              </w:rPr>
            </w:pPr>
            <w:r w:rsidRPr="00E7095A">
              <w:rPr>
                <w:rFonts w:eastAsiaTheme="minorHAnsi"/>
                <w:sz w:val="20"/>
                <w:lang w:val="en-US" w:eastAsia="en-US"/>
              </w:rPr>
              <w:t>Amounts committed by the Host Country</w:t>
            </w:r>
          </w:p>
        </w:tc>
        <w:tc>
          <w:tcPr>
            <w:tcW w:w="3948" w:type="dxa"/>
          </w:tcPr>
          <w:p w:rsidR="004D1867" w:rsidRPr="00E26ED6" w:rsidRDefault="00E7095A" w:rsidP="00E7095A">
            <w:pPr>
              <w:keepNext/>
              <w:keepLines/>
              <w:ind w:left="720"/>
              <w:contextualSpacing/>
              <w:jc w:val="right"/>
              <w:rPr>
                <w:rFonts w:eastAsiaTheme="minorHAnsi"/>
                <w:b/>
                <w:sz w:val="20"/>
                <w:szCs w:val="20"/>
                <w:highlight w:val="green"/>
                <w:lang w:val="en-US" w:eastAsia="en-US"/>
              </w:rPr>
            </w:pPr>
            <w:r w:rsidRPr="00E7095A">
              <w:rPr>
                <w:rFonts w:eastAsiaTheme="minorHAnsi"/>
                <w:b/>
                <w:sz w:val="20"/>
                <w:lang w:eastAsia="en-US"/>
              </w:rPr>
              <w:t>4,867,000</w:t>
            </w:r>
          </w:p>
        </w:tc>
      </w:tr>
      <w:tr w:rsidR="004D1867" w:rsidRPr="003959AD" w:rsidTr="00C267A0">
        <w:trPr>
          <w:trHeight w:val="319"/>
        </w:trPr>
        <w:tc>
          <w:tcPr>
            <w:tcW w:w="4536" w:type="dxa"/>
          </w:tcPr>
          <w:p w:rsidR="004D1867" w:rsidRPr="00E26ED6" w:rsidRDefault="004D1867" w:rsidP="00E26ED6">
            <w:pPr>
              <w:keepNext/>
              <w:keepLines/>
              <w:ind w:left="33" w:right="34"/>
              <w:contextualSpacing/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26ED6">
              <w:rPr>
                <w:rFonts w:eastAsiaTheme="minorHAnsi"/>
                <w:sz w:val="20"/>
                <w:lang w:eastAsia="en-US"/>
              </w:rPr>
              <w:t>Total amount committed</w:t>
            </w:r>
          </w:p>
        </w:tc>
        <w:tc>
          <w:tcPr>
            <w:tcW w:w="3948" w:type="dxa"/>
          </w:tcPr>
          <w:p w:rsidR="004D1867" w:rsidRPr="00E26ED6" w:rsidRDefault="00E7095A" w:rsidP="00E26ED6">
            <w:pPr>
              <w:keepNext/>
              <w:keepLines/>
              <w:ind w:left="720"/>
              <w:contextualSpacing/>
              <w:jc w:val="right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>12,400,208</w:t>
            </w:r>
          </w:p>
        </w:tc>
      </w:tr>
    </w:tbl>
    <w:p w:rsidR="004D1867" w:rsidRPr="00E26ED6" w:rsidRDefault="004D1867" w:rsidP="00E26ED6">
      <w:pPr>
        <w:jc w:val="right"/>
        <w:rPr>
          <w:rFonts w:eastAsiaTheme="minorHAnsi"/>
          <w:b/>
          <w:sz w:val="20"/>
          <w:lang w:eastAsia="en-US"/>
        </w:rPr>
      </w:pPr>
    </w:p>
    <w:tbl>
      <w:tblPr>
        <w:tblStyle w:val="TableGrid"/>
        <w:tblW w:w="8484" w:type="dxa"/>
        <w:tblInd w:w="534" w:type="dxa"/>
        <w:tblLook w:val="04A0" w:firstRow="1" w:lastRow="0" w:firstColumn="1" w:lastColumn="0" w:noHBand="0" w:noVBand="1"/>
      </w:tblPr>
      <w:tblGrid>
        <w:gridCol w:w="4536"/>
        <w:gridCol w:w="3948"/>
      </w:tblGrid>
      <w:tr w:rsidR="004D1867" w:rsidRPr="003959AD" w:rsidTr="00E26ED6">
        <w:trPr>
          <w:trHeight w:val="295"/>
        </w:trPr>
        <w:tc>
          <w:tcPr>
            <w:tcW w:w="4536" w:type="dxa"/>
          </w:tcPr>
          <w:p w:rsidR="004D1867" w:rsidRPr="00E26ED6" w:rsidRDefault="004D1867" w:rsidP="00E26ED6">
            <w:pPr>
              <w:ind w:left="33" w:right="34"/>
              <w:contextualSpacing/>
              <w:jc w:val="right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E26ED6">
              <w:rPr>
                <w:rFonts w:eastAsiaTheme="minorHAnsi"/>
                <w:b/>
                <w:sz w:val="20"/>
                <w:lang w:eastAsia="en-US"/>
              </w:rPr>
              <w:t xml:space="preserve">Balance of commitments </w:t>
            </w:r>
          </w:p>
        </w:tc>
        <w:tc>
          <w:tcPr>
            <w:tcW w:w="3948" w:type="dxa"/>
          </w:tcPr>
          <w:p w:rsidR="004D1867" w:rsidRPr="00E26ED6" w:rsidRDefault="004D1867" w:rsidP="00E26ED6">
            <w:pPr>
              <w:ind w:left="33"/>
              <w:contextualSpacing/>
              <w:jc w:val="center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 w:rsidRPr="00E26ED6">
              <w:rPr>
                <w:rFonts w:eastAsiaTheme="minorHAnsi"/>
                <w:i/>
                <w:sz w:val="20"/>
                <w:lang w:eastAsia="en-US"/>
              </w:rPr>
              <w:t>Amounts in Swiss francs</w:t>
            </w:r>
          </w:p>
        </w:tc>
      </w:tr>
      <w:tr w:rsidR="004D1867" w:rsidRPr="003959AD" w:rsidTr="00E26ED6">
        <w:trPr>
          <w:trHeight w:val="296"/>
        </w:trPr>
        <w:tc>
          <w:tcPr>
            <w:tcW w:w="4536" w:type="dxa"/>
          </w:tcPr>
          <w:p w:rsidR="004D1867" w:rsidRPr="00E26ED6" w:rsidRDefault="004D1867" w:rsidP="00E26ED6">
            <w:pPr>
              <w:ind w:left="33" w:right="34"/>
              <w:contextualSpacing/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26ED6">
              <w:rPr>
                <w:rFonts w:eastAsiaTheme="minorHAnsi"/>
                <w:sz w:val="20"/>
                <w:lang w:eastAsia="en-US"/>
              </w:rPr>
              <w:t>Available WIPO balance</w:t>
            </w:r>
          </w:p>
        </w:tc>
        <w:tc>
          <w:tcPr>
            <w:tcW w:w="3948" w:type="dxa"/>
          </w:tcPr>
          <w:p w:rsidR="004D1867" w:rsidRPr="00E26ED6" w:rsidRDefault="004D1867" w:rsidP="00E7095A">
            <w:pPr>
              <w:ind w:left="720"/>
              <w:contextualSpacing/>
              <w:jc w:val="right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E26ED6">
              <w:rPr>
                <w:rFonts w:eastAsiaTheme="minorHAnsi"/>
                <w:b/>
                <w:sz w:val="20"/>
                <w:lang w:eastAsia="en-US"/>
              </w:rPr>
              <w:t>66,7</w:t>
            </w:r>
            <w:r w:rsidR="00E7095A">
              <w:rPr>
                <w:rFonts w:eastAsiaTheme="minorHAnsi"/>
                <w:b/>
                <w:sz w:val="20"/>
                <w:lang w:eastAsia="en-US"/>
              </w:rPr>
              <w:t>92</w:t>
            </w:r>
          </w:p>
        </w:tc>
      </w:tr>
      <w:tr w:rsidR="004D1867" w:rsidRPr="003959AD" w:rsidTr="00E26ED6">
        <w:trPr>
          <w:trHeight w:val="257"/>
        </w:trPr>
        <w:tc>
          <w:tcPr>
            <w:tcW w:w="4536" w:type="dxa"/>
          </w:tcPr>
          <w:p w:rsidR="004D1867" w:rsidRPr="00E26ED6" w:rsidRDefault="004D1867" w:rsidP="00E26ED6">
            <w:pPr>
              <w:ind w:left="33" w:right="34"/>
              <w:contextualSpacing/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26ED6">
              <w:rPr>
                <w:rFonts w:eastAsiaTheme="minorHAnsi"/>
                <w:sz w:val="20"/>
                <w:lang w:eastAsia="en-US"/>
              </w:rPr>
              <w:t>Available Host Country balance</w:t>
            </w:r>
          </w:p>
        </w:tc>
        <w:tc>
          <w:tcPr>
            <w:tcW w:w="3948" w:type="dxa"/>
          </w:tcPr>
          <w:p w:rsidR="004D1867" w:rsidRPr="00E26ED6" w:rsidRDefault="00E7095A" w:rsidP="00E26ED6">
            <w:pPr>
              <w:ind w:left="720"/>
              <w:contextualSpacing/>
              <w:jc w:val="right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>133,000</w:t>
            </w:r>
          </w:p>
        </w:tc>
      </w:tr>
      <w:tr w:rsidR="004D1867" w:rsidRPr="003959AD" w:rsidTr="00E26ED6">
        <w:trPr>
          <w:trHeight w:val="248"/>
        </w:trPr>
        <w:tc>
          <w:tcPr>
            <w:tcW w:w="4536" w:type="dxa"/>
          </w:tcPr>
          <w:p w:rsidR="004D1867" w:rsidRPr="00E26ED6" w:rsidRDefault="004D1867" w:rsidP="00E26ED6">
            <w:pPr>
              <w:ind w:left="33" w:right="34"/>
              <w:contextualSpacing/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26ED6">
              <w:rPr>
                <w:rFonts w:eastAsiaTheme="minorHAnsi"/>
                <w:sz w:val="20"/>
                <w:lang w:eastAsia="en-US"/>
              </w:rPr>
              <w:t>Total available balance</w:t>
            </w:r>
          </w:p>
        </w:tc>
        <w:tc>
          <w:tcPr>
            <w:tcW w:w="3948" w:type="dxa"/>
          </w:tcPr>
          <w:p w:rsidR="004D1867" w:rsidRPr="00E26ED6" w:rsidRDefault="00E7095A" w:rsidP="00E26ED6">
            <w:pPr>
              <w:ind w:left="720"/>
              <w:contextualSpacing/>
              <w:jc w:val="right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>199,792</w:t>
            </w:r>
          </w:p>
        </w:tc>
      </w:tr>
    </w:tbl>
    <w:p w:rsidR="004D1867" w:rsidRDefault="004D1867">
      <w:pPr>
        <w:ind w:left="5613"/>
        <w:rPr>
          <w:i/>
        </w:rPr>
      </w:pPr>
    </w:p>
    <w:p w:rsidR="003959AD" w:rsidRPr="00E26ED6" w:rsidRDefault="003959AD" w:rsidP="000A274B">
      <w:pPr>
        <w:pStyle w:val="ListParagraph"/>
        <w:numPr>
          <w:ilvl w:val="0"/>
          <w:numId w:val="8"/>
        </w:numPr>
        <w:tabs>
          <w:tab w:val="left" w:pos="567"/>
        </w:tabs>
        <w:outlineLvl w:val="1"/>
      </w:pPr>
      <w:r w:rsidRPr="00E26ED6">
        <w:t>The following decision paragraph is proposed.</w:t>
      </w:r>
    </w:p>
    <w:p w:rsidR="003959AD" w:rsidRPr="00E26ED6" w:rsidRDefault="003959AD" w:rsidP="00E26ED6">
      <w:pPr>
        <w:ind w:left="90"/>
        <w:outlineLvl w:val="1"/>
        <w:rPr>
          <w:i/>
        </w:rPr>
      </w:pPr>
    </w:p>
    <w:p w:rsidR="004D1867" w:rsidRPr="003959AD" w:rsidRDefault="004D1867" w:rsidP="00AE465F">
      <w:pPr>
        <w:pStyle w:val="ListParagraph"/>
        <w:numPr>
          <w:ilvl w:val="0"/>
          <w:numId w:val="8"/>
        </w:numPr>
        <w:tabs>
          <w:tab w:val="left" w:pos="567"/>
        </w:tabs>
        <w:ind w:left="5533" w:firstLine="0"/>
        <w:outlineLvl w:val="1"/>
        <w:rPr>
          <w:i/>
        </w:rPr>
      </w:pPr>
      <w:r w:rsidRPr="00EA5440">
        <w:rPr>
          <w:i/>
        </w:rPr>
        <w:t xml:space="preserve">The Program and Budget Committee </w:t>
      </w:r>
      <w:r w:rsidR="003959AD" w:rsidRPr="00EA5440">
        <w:rPr>
          <w:i/>
        </w:rPr>
        <w:t>took note of the Progress Report o</w:t>
      </w:r>
      <w:r w:rsidR="003959AD" w:rsidRPr="00EA5440">
        <w:rPr>
          <w:i/>
          <w:szCs w:val="22"/>
        </w:rPr>
        <w:t>n the Project to Upgrade the Safety and Security Standards for the Existing WIPO Buildings (document WO/PBC/22/13).</w:t>
      </w:r>
    </w:p>
    <w:p w:rsidR="004D1867" w:rsidRDefault="004D1867" w:rsidP="00EA5440">
      <w:pPr>
        <w:pStyle w:val="Endofdocument-Annex"/>
        <w:rPr>
          <w:lang w:eastAsia="en-US"/>
        </w:rPr>
      </w:pPr>
    </w:p>
    <w:p w:rsidR="003959AD" w:rsidRDefault="003959AD" w:rsidP="00AE465F">
      <w:pPr>
        <w:pStyle w:val="Endofdocument-Annex"/>
        <w:rPr>
          <w:lang w:eastAsia="en-US"/>
        </w:rPr>
      </w:pPr>
    </w:p>
    <w:p w:rsidR="00AE465F" w:rsidRDefault="00AE465F" w:rsidP="00AE465F">
      <w:pPr>
        <w:pStyle w:val="Endofdocument-Annex"/>
        <w:rPr>
          <w:lang w:eastAsia="en-US"/>
        </w:rPr>
      </w:pPr>
    </w:p>
    <w:p w:rsidR="002928D3" w:rsidRDefault="004D1867" w:rsidP="00AE465F">
      <w:pPr>
        <w:pStyle w:val="Endofdocument-Annex"/>
      </w:pPr>
      <w:r w:rsidRPr="00C75CB8">
        <w:t>[End of document]</w:t>
      </w:r>
    </w:p>
    <w:sectPr w:rsidR="002928D3" w:rsidSect="00EC2C8E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32" w:rsidRDefault="00B40432">
      <w:r>
        <w:separator/>
      </w:r>
    </w:p>
  </w:endnote>
  <w:endnote w:type="continuationSeparator" w:id="0">
    <w:p w:rsidR="00B40432" w:rsidRDefault="00B40432" w:rsidP="003B38C1">
      <w:r>
        <w:separator/>
      </w:r>
    </w:p>
    <w:p w:rsidR="00B40432" w:rsidRPr="003B38C1" w:rsidRDefault="00B4043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40432" w:rsidRPr="003B38C1" w:rsidRDefault="00B4043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32" w:rsidRDefault="00B40432">
      <w:r>
        <w:separator/>
      </w:r>
    </w:p>
  </w:footnote>
  <w:footnote w:type="continuationSeparator" w:id="0">
    <w:p w:rsidR="00B40432" w:rsidRDefault="00B40432" w:rsidP="008B60B2">
      <w:r>
        <w:separator/>
      </w:r>
    </w:p>
    <w:p w:rsidR="00B40432" w:rsidRPr="00ED77FB" w:rsidRDefault="00B4043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40432" w:rsidRPr="00ED77FB" w:rsidRDefault="00B4043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4D1867" w:rsidP="00477D6B">
    <w:pPr>
      <w:jc w:val="right"/>
    </w:pPr>
    <w:bookmarkStart w:id="6" w:name="Code2"/>
    <w:bookmarkEnd w:id="6"/>
    <w:r>
      <w:t>WO/PBC/22/13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61690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5674F77"/>
    <w:multiLevelType w:val="hybridMultilevel"/>
    <w:tmpl w:val="571A0976"/>
    <w:lvl w:ilvl="0" w:tplc="8550DCD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5F805FA"/>
    <w:multiLevelType w:val="hybridMultilevel"/>
    <w:tmpl w:val="58763010"/>
    <w:lvl w:ilvl="0" w:tplc="8AE62D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AE62D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67"/>
    <w:rsid w:val="00020D0D"/>
    <w:rsid w:val="00043CAA"/>
    <w:rsid w:val="00075432"/>
    <w:rsid w:val="000968ED"/>
    <w:rsid w:val="000A274B"/>
    <w:rsid w:val="000E7C2A"/>
    <w:rsid w:val="000F5E56"/>
    <w:rsid w:val="001362EE"/>
    <w:rsid w:val="00147246"/>
    <w:rsid w:val="00163996"/>
    <w:rsid w:val="001832A6"/>
    <w:rsid w:val="0024553B"/>
    <w:rsid w:val="00263429"/>
    <w:rsid w:val="002634C4"/>
    <w:rsid w:val="00284C3A"/>
    <w:rsid w:val="002928D3"/>
    <w:rsid w:val="002F1FE6"/>
    <w:rsid w:val="002F4E68"/>
    <w:rsid w:val="00312F7F"/>
    <w:rsid w:val="00361450"/>
    <w:rsid w:val="003673CF"/>
    <w:rsid w:val="003845C1"/>
    <w:rsid w:val="003959AD"/>
    <w:rsid w:val="003A6F89"/>
    <w:rsid w:val="003B38C1"/>
    <w:rsid w:val="003C080D"/>
    <w:rsid w:val="00423E3E"/>
    <w:rsid w:val="00427AF4"/>
    <w:rsid w:val="0043537B"/>
    <w:rsid w:val="004647DA"/>
    <w:rsid w:val="00474062"/>
    <w:rsid w:val="00477D6B"/>
    <w:rsid w:val="004C1B07"/>
    <w:rsid w:val="004D1867"/>
    <w:rsid w:val="005019FF"/>
    <w:rsid w:val="0053057A"/>
    <w:rsid w:val="00553D91"/>
    <w:rsid w:val="00560A29"/>
    <w:rsid w:val="005C6649"/>
    <w:rsid w:val="00605827"/>
    <w:rsid w:val="006174AF"/>
    <w:rsid w:val="00646050"/>
    <w:rsid w:val="00651B54"/>
    <w:rsid w:val="006713CA"/>
    <w:rsid w:val="00676C5C"/>
    <w:rsid w:val="00747027"/>
    <w:rsid w:val="00787FF4"/>
    <w:rsid w:val="007A003A"/>
    <w:rsid w:val="007C02A9"/>
    <w:rsid w:val="007D1613"/>
    <w:rsid w:val="00821693"/>
    <w:rsid w:val="008B2CC1"/>
    <w:rsid w:val="008B60B2"/>
    <w:rsid w:val="008D58B9"/>
    <w:rsid w:val="0090731E"/>
    <w:rsid w:val="00916EE2"/>
    <w:rsid w:val="00930196"/>
    <w:rsid w:val="009569CB"/>
    <w:rsid w:val="00966A22"/>
    <w:rsid w:val="0096722F"/>
    <w:rsid w:val="00980843"/>
    <w:rsid w:val="009922BF"/>
    <w:rsid w:val="009C4662"/>
    <w:rsid w:val="009C4FC9"/>
    <w:rsid w:val="009E2791"/>
    <w:rsid w:val="009E3F6F"/>
    <w:rsid w:val="009F0581"/>
    <w:rsid w:val="009F499F"/>
    <w:rsid w:val="00A40716"/>
    <w:rsid w:val="00A42DAF"/>
    <w:rsid w:val="00A45BD8"/>
    <w:rsid w:val="00A869B7"/>
    <w:rsid w:val="00A9490F"/>
    <w:rsid w:val="00AC205C"/>
    <w:rsid w:val="00AE465F"/>
    <w:rsid w:val="00AF0A6B"/>
    <w:rsid w:val="00B05A69"/>
    <w:rsid w:val="00B40432"/>
    <w:rsid w:val="00B9734B"/>
    <w:rsid w:val="00BE656F"/>
    <w:rsid w:val="00C11BFE"/>
    <w:rsid w:val="00C267A0"/>
    <w:rsid w:val="00C46087"/>
    <w:rsid w:val="00CB7C30"/>
    <w:rsid w:val="00D45252"/>
    <w:rsid w:val="00D71B4D"/>
    <w:rsid w:val="00D93D55"/>
    <w:rsid w:val="00DE40DA"/>
    <w:rsid w:val="00DE675C"/>
    <w:rsid w:val="00E26ED6"/>
    <w:rsid w:val="00E335FE"/>
    <w:rsid w:val="00E7095A"/>
    <w:rsid w:val="00EA5440"/>
    <w:rsid w:val="00EC2C8E"/>
    <w:rsid w:val="00EC4E49"/>
    <w:rsid w:val="00ED77FB"/>
    <w:rsid w:val="00EE45FA"/>
    <w:rsid w:val="00F61690"/>
    <w:rsid w:val="00F66152"/>
    <w:rsid w:val="00F9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table" w:styleId="TableGrid">
    <w:name w:val="Table Grid"/>
    <w:basedOn w:val="TableNormal"/>
    <w:uiPriority w:val="59"/>
    <w:rsid w:val="004D1867"/>
    <w:rPr>
      <w:rFonts w:asciiTheme="minorHAnsi" w:eastAsiaTheme="minorHAnsi" w:hAnsiTheme="minorHAnsi" w:cstheme="minorBidi"/>
      <w:sz w:val="22"/>
      <w:szCs w:val="22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8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46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6087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table" w:styleId="TableGrid">
    <w:name w:val="Table Grid"/>
    <w:basedOn w:val="TableNormal"/>
    <w:uiPriority w:val="59"/>
    <w:rsid w:val="004D1867"/>
    <w:rPr>
      <w:rFonts w:asciiTheme="minorHAnsi" w:eastAsiaTheme="minorHAnsi" w:hAnsiTheme="minorHAnsi" w:cstheme="minorBidi"/>
      <w:sz w:val="22"/>
      <w:szCs w:val="22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8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46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608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EA13F-EB91-43EC-87D7-C9A9C1D8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22 (E)</Template>
  <TotalTime>0</TotalTime>
  <Pages>3</Pages>
  <Words>972</Words>
  <Characters>5622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WO/PBC/22/</vt:lpstr>
    </vt:vector>
  </TitlesOfParts>
  <Company>WIPO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WO/PBC/22/</dc:title>
  <dc:creator>NETTER Iza</dc:creator>
  <cp:lastModifiedBy>DOYON Geneviève</cp:lastModifiedBy>
  <cp:revision>2</cp:revision>
  <cp:lastPrinted>2014-08-06T11:24:00Z</cp:lastPrinted>
  <dcterms:created xsi:type="dcterms:W3CDTF">2014-08-07T07:26:00Z</dcterms:created>
  <dcterms:modified xsi:type="dcterms:W3CDTF">2014-08-07T07:26:00Z</dcterms:modified>
</cp:coreProperties>
</file>