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E199D" w:rsidRPr="008B2CC1" w:rsidTr="007A4088">
        <w:tc>
          <w:tcPr>
            <w:tcW w:w="4513" w:type="dxa"/>
            <w:tcBorders>
              <w:bottom w:val="single" w:sz="4" w:space="0" w:color="auto"/>
            </w:tcBorders>
            <w:tcMar>
              <w:bottom w:w="170" w:type="dxa"/>
            </w:tcMar>
          </w:tcPr>
          <w:p w:rsidR="00FE199D" w:rsidRPr="008B2CC1" w:rsidRDefault="00FE199D" w:rsidP="00FE199D">
            <w:pPr>
              <w:pStyle w:val="ONUME"/>
              <w:numPr>
                <w:ilvl w:val="0"/>
                <w:numId w:val="0"/>
              </w:numPr>
            </w:pPr>
          </w:p>
        </w:tc>
        <w:tc>
          <w:tcPr>
            <w:tcW w:w="4337" w:type="dxa"/>
            <w:tcBorders>
              <w:bottom w:val="single" w:sz="4" w:space="0" w:color="auto"/>
            </w:tcBorders>
            <w:tcMar>
              <w:left w:w="0" w:type="dxa"/>
              <w:right w:w="0" w:type="dxa"/>
            </w:tcMar>
          </w:tcPr>
          <w:p w:rsidR="00FE199D" w:rsidRPr="008B2CC1" w:rsidRDefault="00FE199D" w:rsidP="007A4088">
            <w:r>
              <w:rPr>
                <w:noProof/>
                <w:lang w:eastAsia="en-US"/>
              </w:rPr>
              <w:drawing>
                <wp:inline distT="0" distB="0" distL="0" distR="0" wp14:anchorId="3682DAE2" wp14:editId="5513F2E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E199D" w:rsidRPr="008B2CC1" w:rsidRDefault="00FE199D" w:rsidP="007A4088">
            <w:pPr>
              <w:jc w:val="right"/>
            </w:pPr>
            <w:r w:rsidRPr="00605827">
              <w:rPr>
                <w:b/>
                <w:sz w:val="40"/>
                <w:szCs w:val="40"/>
              </w:rPr>
              <w:t>E</w:t>
            </w:r>
          </w:p>
        </w:tc>
      </w:tr>
      <w:tr w:rsidR="00FE199D" w:rsidRPr="001832A6" w:rsidTr="007A4088">
        <w:trPr>
          <w:trHeight w:hRule="exact" w:val="357"/>
        </w:trPr>
        <w:tc>
          <w:tcPr>
            <w:tcW w:w="9356" w:type="dxa"/>
            <w:gridSpan w:val="3"/>
            <w:tcBorders>
              <w:top w:val="single" w:sz="4" w:space="0" w:color="auto"/>
            </w:tcBorders>
            <w:tcMar>
              <w:top w:w="170" w:type="dxa"/>
              <w:left w:w="0" w:type="dxa"/>
              <w:right w:w="0" w:type="dxa"/>
            </w:tcMar>
            <w:vAlign w:val="bottom"/>
          </w:tcPr>
          <w:p w:rsidR="00FE199D" w:rsidRPr="0090731E" w:rsidRDefault="00FE199D" w:rsidP="007A4088">
            <w:pPr>
              <w:jc w:val="right"/>
              <w:rPr>
                <w:rFonts w:ascii="Arial Black" w:hAnsi="Arial Black"/>
                <w:caps/>
                <w:sz w:val="15"/>
              </w:rPr>
            </w:pPr>
            <w:r>
              <w:rPr>
                <w:rFonts w:ascii="Arial Black" w:hAnsi="Arial Black"/>
                <w:caps/>
                <w:sz w:val="15"/>
              </w:rPr>
              <w:t>WO/GA/49/</w:t>
            </w:r>
            <w:bookmarkStart w:id="0" w:name="Code"/>
            <w:bookmarkEnd w:id="0"/>
            <w:r>
              <w:rPr>
                <w:rFonts w:ascii="Arial Black" w:hAnsi="Arial Black"/>
                <w:caps/>
                <w:sz w:val="15"/>
              </w:rPr>
              <w:t>3</w:t>
            </w:r>
          </w:p>
        </w:tc>
      </w:tr>
      <w:tr w:rsidR="00FE199D" w:rsidRPr="001832A6" w:rsidTr="007A4088">
        <w:trPr>
          <w:trHeight w:hRule="exact" w:val="170"/>
        </w:trPr>
        <w:tc>
          <w:tcPr>
            <w:tcW w:w="9356" w:type="dxa"/>
            <w:gridSpan w:val="3"/>
            <w:noWrap/>
            <w:tcMar>
              <w:left w:w="0" w:type="dxa"/>
              <w:right w:w="0" w:type="dxa"/>
            </w:tcMar>
            <w:vAlign w:val="bottom"/>
          </w:tcPr>
          <w:p w:rsidR="00FE199D" w:rsidRPr="0090731E" w:rsidRDefault="00FE199D" w:rsidP="007A408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bookmarkStart w:id="1" w:name="Original"/>
            <w:bookmarkEnd w:id="1"/>
            <w:r>
              <w:rPr>
                <w:rFonts w:ascii="Arial Black" w:hAnsi="Arial Black"/>
                <w:caps/>
                <w:sz w:val="15"/>
              </w:rPr>
              <w:t>English</w:t>
            </w:r>
            <w:r w:rsidRPr="0090731E">
              <w:rPr>
                <w:rFonts w:ascii="Arial Black" w:hAnsi="Arial Black"/>
                <w:caps/>
                <w:sz w:val="15"/>
              </w:rPr>
              <w:t xml:space="preserve"> </w:t>
            </w:r>
          </w:p>
        </w:tc>
      </w:tr>
      <w:tr w:rsidR="00FE199D" w:rsidRPr="001832A6" w:rsidTr="007A4088">
        <w:trPr>
          <w:trHeight w:hRule="exact" w:val="198"/>
        </w:trPr>
        <w:tc>
          <w:tcPr>
            <w:tcW w:w="9356" w:type="dxa"/>
            <w:gridSpan w:val="3"/>
            <w:tcMar>
              <w:left w:w="0" w:type="dxa"/>
              <w:right w:w="0" w:type="dxa"/>
            </w:tcMar>
            <w:vAlign w:val="bottom"/>
          </w:tcPr>
          <w:p w:rsidR="00FE199D" w:rsidRPr="0090731E" w:rsidRDefault="00FE199D" w:rsidP="007A4088">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2" w:name="Date"/>
            <w:bookmarkEnd w:id="2"/>
            <w:r>
              <w:rPr>
                <w:rFonts w:ascii="Arial Black" w:hAnsi="Arial Black"/>
                <w:caps/>
                <w:sz w:val="15"/>
              </w:rPr>
              <w:t>August 2, 2017</w:t>
            </w:r>
            <w:r w:rsidRPr="0090731E">
              <w:rPr>
                <w:rFonts w:ascii="Arial Black" w:hAnsi="Arial Black"/>
                <w:caps/>
                <w:sz w:val="15"/>
              </w:rPr>
              <w:t xml:space="preserve"> </w:t>
            </w:r>
          </w:p>
        </w:tc>
      </w:tr>
    </w:tbl>
    <w:p w:rsidR="00FE199D" w:rsidRPr="008B2CC1" w:rsidRDefault="00FE199D" w:rsidP="00FE199D"/>
    <w:p w:rsidR="00FE199D" w:rsidRPr="008B2CC1" w:rsidRDefault="00FE199D" w:rsidP="00FE199D"/>
    <w:p w:rsidR="00FE199D" w:rsidRPr="008B2CC1" w:rsidRDefault="00FE199D" w:rsidP="00FE199D"/>
    <w:p w:rsidR="00FE199D" w:rsidRPr="008B2CC1" w:rsidRDefault="00FE199D" w:rsidP="00FE199D"/>
    <w:p w:rsidR="00FE199D" w:rsidRPr="008B2CC1" w:rsidRDefault="00FE199D" w:rsidP="00FE199D"/>
    <w:p w:rsidR="00FE199D" w:rsidRPr="003845C1" w:rsidRDefault="00FE199D" w:rsidP="00FE199D">
      <w:pPr>
        <w:rPr>
          <w:b/>
          <w:sz w:val="28"/>
          <w:szCs w:val="28"/>
        </w:rPr>
      </w:pPr>
      <w:r w:rsidRPr="00CA5DC5">
        <w:rPr>
          <w:b/>
          <w:sz w:val="28"/>
          <w:szCs w:val="28"/>
        </w:rPr>
        <w:t>WIPO General Assembly</w:t>
      </w:r>
    </w:p>
    <w:p w:rsidR="00FE199D" w:rsidRDefault="00FE199D" w:rsidP="00FE199D"/>
    <w:p w:rsidR="00FE199D" w:rsidRDefault="00FE199D" w:rsidP="00FE199D"/>
    <w:p w:rsidR="00FE199D" w:rsidRPr="00CA5DC5" w:rsidRDefault="00FE199D" w:rsidP="00FE199D">
      <w:pPr>
        <w:rPr>
          <w:b/>
          <w:sz w:val="24"/>
          <w:szCs w:val="24"/>
        </w:rPr>
      </w:pPr>
      <w:r w:rsidRPr="00CA5DC5">
        <w:rPr>
          <w:b/>
          <w:sz w:val="24"/>
          <w:szCs w:val="24"/>
        </w:rPr>
        <w:t>Forty-Ninth (23</w:t>
      </w:r>
      <w:r w:rsidRPr="00CA5DC5">
        <w:rPr>
          <w:b/>
          <w:sz w:val="24"/>
          <w:szCs w:val="24"/>
          <w:vertAlign w:val="superscript"/>
        </w:rPr>
        <w:t>rd</w:t>
      </w:r>
      <w:r w:rsidRPr="00CA5DC5">
        <w:rPr>
          <w:b/>
          <w:sz w:val="24"/>
          <w:szCs w:val="24"/>
        </w:rPr>
        <w:t xml:space="preserve"> Ordinary) Session</w:t>
      </w:r>
    </w:p>
    <w:p w:rsidR="00FE199D" w:rsidRPr="003845C1" w:rsidRDefault="00FE199D" w:rsidP="00FE199D">
      <w:pPr>
        <w:rPr>
          <w:b/>
          <w:sz w:val="24"/>
          <w:szCs w:val="24"/>
        </w:rPr>
      </w:pPr>
      <w:r w:rsidRPr="00CA5DC5">
        <w:rPr>
          <w:b/>
          <w:sz w:val="24"/>
          <w:szCs w:val="24"/>
        </w:rPr>
        <w:t>Geneva, October 2 to 11, 2017</w:t>
      </w:r>
    </w:p>
    <w:p w:rsidR="00FE199D" w:rsidRPr="008B2CC1" w:rsidRDefault="00FE199D" w:rsidP="00FE199D"/>
    <w:p w:rsidR="00FE199D" w:rsidRPr="008B2CC1" w:rsidRDefault="00FE199D" w:rsidP="00FE199D"/>
    <w:p w:rsidR="00FE199D" w:rsidRPr="008B2CC1" w:rsidRDefault="00FE199D" w:rsidP="00FE199D"/>
    <w:p w:rsidR="00FE199D" w:rsidRPr="003845C1" w:rsidRDefault="00FE199D" w:rsidP="00FE199D">
      <w:pPr>
        <w:rPr>
          <w:caps/>
          <w:sz w:val="24"/>
        </w:rPr>
      </w:pPr>
      <w:bookmarkStart w:id="3" w:name="TitleOfDoc"/>
      <w:bookmarkEnd w:id="3"/>
      <w:r>
        <w:rPr>
          <w:caps/>
          <w:sz w:val="24"/>
        </w:rPr>
        <w:t>ANNUAL REPORT BY THE DIRECTOR OF THE INTERNAL OVERSIGHT DIVISION (IOD)</w:t>
      </w:r>
    </w:p>
    <w:p w:rsidR="00FE199D" w:rsidRPr="008B2CC1" w:rsidRDefault="00FE199D" w:rsidP="00FE199D"/>
    <w:p w:rsidR="00FE199D" w:rsidRPr="008B2CC1" w:rsidRDefault="00757E8E" w:rsidP="00FE199D">
      <w:pPr>
        <w:rPr>
          <w:i/>
        </w:rPr>
      </w:pPr>
      <w:bookmarkStart w:id="4" w:name="Prepared"/>
      <w:bookmarkEnd w:id="4"/>
      <w:proofErr w:type="gramStart"/>
      <w:r>
        <w:rPr>
          <w:i/>
        </w:rPr>
        <w:t>prepared</w:t>
      </w:r>
      <w:proofErr w:type="gramEnd"/>
      <w:r>
        <w:rPr>
          <w:i/>
        </w:rPr>
        <w:t xml:space="preserve"> by the S</w:t>
      </w:r>
      <w:r w:rsidR="00FE199D">
        <w:rPr>
          <w:i/>
        </w:rPr>
        <w:t>ecretariat</w:t>
      </w:r>
    </w:p>
    <w:p w:rsidR="00FE199D" w:rsidRDefault="00FE199D" w:rsidP="00FE199D"/>
    <w:p w:rsidR="00FE199D" w:rsidRDefault="00FE199D" w:rsidP="00FE199D"/>
    <w:p w:rsidR="00FE199D" w:rsidRDefault="00FE199D" w:rsidP="00FE199D"/>
    <w:p w:rsidR="00FE199D" w:rsidRDefault="00FE199D" w:rsidP="00FE199D"/>
    <w:p w:rsidR="00FE199D" w:rsidRDefault="00FE199D" w:rsidP="00FE199D"/>
    <w:p w:rsidR="004B6701" w:rsidRDefault="004B6701" w:rsidP="006923C8">
      <w:pPr>
        <w:pStyle w:val="ONUME"/>
      </w:pPr>
      <w:r>
        <w:t xml:space="preserve">The present document contains the </w:t>
      </w:r>
      <w:r w:rsidR="00C42A85">
        <w:t>“</w:t>
      </w:r>
      <w:r>
        <w:t xml:space="preserve">Annual Report </w:t>
      </w:r>
      <w:r w:rsidR="00757E8E">
        <w:t>by</w:t>
      </w:r>
      <w:r w:rsidR="004B5ABF">
        <w:t xml:space="preserve"> </w:t>
      </w:r>
      <w:r>
        <w:t>the Director of the</w:t>
      </w:r>
      <w:r w:rsidR="004D6A1C">
        <w:t xml:space="preserve"> Internal Oversight Division (I</w:t>
      </w:r>
      <w:r>
        <w:t>OD)</w:t>
      </w:r>
      <w:r w:rsidR="00C42A85">
        <w:t>”</w:t>
      </w:r>
      <w:r>
        <w:t xml:space="preserve"> </w:t>
      </w:r>
      <w:r w:rsidR="004B5ABF">
        <w:t xml:space="preserve">(document </w:t>
      </w:r>
      <w:r w:rsidR="00FE199D">
        <w:t>WO/PBC/27</w:t>
      </w:r>
      <w:r w:rsidR="004B5ABF" w:rsidRPr="00621AB2">
        <w:t>/</w:t>
      </w:r>
      <w:r w:rsidR="002278BC">
        <w:t>4</w:t>
      </w:r>
      <w:r w:rsidRPr="00AD25E7">
        <w:t>),</w:t>
      </w:r>
      <w:r>
        <w:t xml:space="preserve"> which is being submitted to the WIPO Program and</w:t>
      </w:r>
      <w:r w:rsidR="006923C8">
        <w:t xml:space="preserve"> Budget Committee (PBC) at its </w:t>
      </w:r>
      <w:r w:rsidR="00503543">
        <w:t>Twenty-</w:t>
      </w:r>
      <w:r w:rsidR="00F13049">
        <w:t>Seventh</w:t>
      </w:r>
      <w:r w:rsidR="00503543">
        <w:t xml:space="preserve"> Session (</w:t>
      </w:r>
      <w:r w:rsidR="00F13049">
        <w:t>September</w:t>
      </w:r>
      <w:r w:rsidR="00520B9C">
        <w:t> </w:t>
      </w:r>
      <w:r w:rsidR="00F13049">
        <w:t>11 to 15</w:t>
      </w:r>
      <w:r w:rsidR="00503543" w:rsidRPr="006923C8">
        <w:t>, 201</w:t>
      </w:r>
      <w:r w:rsidR="00F13049">
        <w:t>7</w:t>
      </w:r>
      <w:r w:rsidR="00503543">
        <w:t>).</w:t>
      </w:r>
    </w:p>
    <w:p w:rsidR="004B6701" w:rsidRDefault="004B6701" w:rsidP="004B6701">
      <w:pPr>
        <w:pStyle w:val="ONUME"/>
      </w:pPr>
      <w:r>
        <w:t xml:space="preserve">Any decisions of the PBC in respect of that document will appear in the </w:t>
      </w:r>
      <w:r w:rsidR="00C42A85">
        <w:t>“</w:t>
      </w:r>
      <w:r>
        <w:t xml:space="preserve">List of Decisions </w:t>
      </w:r>
      <w:r w:rsidR="00C42A85">
        <w:t>adopted</w:t>
      </w:r>
      <w:r>
        <w:t xml:space="preserve"> by the Program and Budget Committee</w:t>
      </w:r>
      <w:r w:rsidR="00C42A85">
        <w:t>”</w:t>
      </w:r>
      <w:r>
        <w:t xml:space="preserve"> </w:t>
      </w:r>
      <w:r w:rsidR="00757E8E">
        <w:t>(d</w:t>
      </w:r>
      <w:r w:rsidR="001118B4">
        <w:t xml:space="preserve">ocument </w:t>
      </w:r>
      <w:r w:rsidR="00F13049">
        <w:t>A/57</w:t>
      </w:r>
      <w:r w:rsidR="00503543" w:rsidRPr="00503543">
        <w:t>/</w:t>
      </w:r>
      <w:r w:rsidR="00F13049">
        <w:t>5</w:t>
      </w:r>
      <w:r w:rsidR="001118B4">
        <w:t>)</w:t>
      </w:r>
      <w:r>
        <w:t xml:space="preserve">. </w:t>
      </w:r>
    </w:p>
    <w:p w:rsidR="004B6701" w:rsidRDefault="004B6701" w:rsidP="004B6701">
      <w:pPr>
        <w:pStyle w:val="ONUME"/>
        <w:numPr>
          <w:ilvl w:val="0"/>
          <w:numId w:val="0"/>
        </w:numPr>
        <w:tabs>
          <w:tab w:val="left" w:pos="6096"/>
        </w:tabs>
        <w:spacing w:after="0"/>
        <w:ind w:left="5533"/>
        <w:rPr>
          <w:i/>
        </w:rPr>
      </w:pPr>
    </w:p>
    <w:p w:rsidR="004B6701" w:rsidRDefault="004B6701" w:rsidP="004B6701">
      <w:pPr>
        <w:pStyle w:val="Endofdocument-Annex"/>
      </w:pPr>
      <w:r>
        <w:t>[</w:t>
      </w:r>
      <w:r w:rsidRPr="00AD25E7">
        <w:t>Document WO</w:t>
      </w:r>
      <w:r w:rsidRPr="00621AB2">
        <w:t>/PBC/2</w:t>
      </w:r>
      <w:r w:rsidR="00F13049">
        <w:t>7</w:t>
      </w:r>
      <w:r w:rsidR="00621AB2" w:rsidRPr="00621AB2">
        <w:t>/</w:t>
      </w:r>
      <w:r w:rsidR="002278BC">
        <w:t>4</w:t>
      </w:r>
      <w:r>
        <w:t xml:space="preserve"> </w:t>
      </w:r>
      <w:r w:rsidRPr="00AD25E7">
        <w:t>follows</w:t>
      </w:r>
      <w:r>
        <w:t>]</w:t>
      </w:r>
    </w:p>
    <w:p w:rsidR="004B6701" w:rsidRDefault="004B6701" w:rsidP="004B6701">
      <w:pPr>
        <w:pStyle w:val="ONUME"/>
        <w:numPr>
          <w:ilvl w:val="0"/>
          <w:numId w:val="0"/>
        </w:numPr>
        <w:tabs>
          <w:tab w:val="left" w:pos="6096"/>
        </w:tabs>
        <w:spacing w:after="0"/>
        <w:ind w:left="5533"/>
        <w:rPr>
          <w:i/>
        </w:rPr>
      </w:pPr>
    </w:p>
    <w:p w:rsidR="004B6701" w:rsidRDefault="004B6701" w:rsidP="004B6701">
      <w:pPr>
        <w:pStyle w:val="ONUME"/>
        <w:numPr>
          <w:ilvl w:val="0"/>
          <w:numId w:val="0"/>
        </w:numPr>
        <w:tabs>
          <w:tab w:val="left" w:pos="6096"/>
        </w:tabs>
        <w:spacing w:after="0"/>
        <w:ind w:left="5533"/>
        <w:sectPr w:rsidR="004B6701" w:rsidSect="004B6701">
          <w:headerReference w:type="default" r:id="rId10"/>
          <w:endnotePr>
            <w:numFmt w:val="decimal"/>
          </w:endnotePr>
          <w:pgSz w:w="11907" w:h="16840" w:code="9"/>
          <w:pgMar w:top="567" w:right="1134" w:bottom="1418" w:left="1418" w:header="510" w:footer="1021" w:gutter="0"/>
          <w:cols w:space="720"/>
          <w:titlePg/>
          <w:docGrid w:linePitch="299"/>
        </w:sectPr>
      </w:pPr>
    </w:p>
    <w:p w:rsidR="004B6701" w:rsidRDefault="004B6701">
      <w:pPr>
        <w:sectPr w:rsidR="004B6701" w:rsidSect="004B6701">
          <w:headerReference w:type="first" r:id="rId11"/>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4D040E" w:rsidRPr="008B2CC1" w:rsidTr="007A4088">
        <w:tc>
          <w:tcPr>
            <w:tcW w:w="4513" w:type="dxa"/>
            <w:tcBorders>
              <w:bottom w:val="single" w:sz="4" w:space="0" w:color="auto"/>
            </w:tcBorders>
            <w:tcMar>
              <w:bottom w:w="170" w:type="dxa"/>
            </w:tcMar>
          </w:tcPr>
          <w:p w:rsidR="004D040E" w:rsidRPr="008B2CC1" w:rsidRDefault="004D040E" w:rsidP="004D040E">
            <w:pPr>
              <w:pStyle w:val="ONUME"/>
              <w:numPr>
                <w:ilvl w:val="0"/>
                <w:numId w:val="0"/>
              </w:numPr>
            </w:pPr>
          </w:p>
        </w:tc>
        <w:tc>
          <w:tcPr>
            <w:tcW w:w="4337" w:type="dxa"/>
            <w:tcBorders>
              <w:bottom w:val="single" w:sz="4" w:space="0" w:color="auto"/>
            </w:tcBorders>
            <w:tcMar>
              <w:left w:w="0" w:type="dxa"/>
              <w:right w:w="0" w:type="dxa"/>
            </w:tcMar>
          </w:tcPr>
          <w:p w:rsidR="004D040E" w:rsidRPr="008B2CC1" w:rsidRDefault="004D040E" w:rsidP="007A4088">
            <w:r>
              <w:rPr>
                <w:noProof/>
                <w:lang w:eastAsia="en-US"/>
              </w:rPr>
              <w:drawing>
                <wp:inline distT="0" distB="0" distL="0" distR="0" wp14:anchorId="795B84B3" wp14:editId="46FECAFA">
                  <wp:extent cx="1856105" cy="1323975"/>
                  <wp:effectExtent l="0" t="0" r="0" b="9525"/>
                  <wp:docPr id="5" name="Picture 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D040E" w:rsidRPr="008B2CC1" w:rsidRDefault="004D040E" w:rsidP="007A4088">
            <w:pPr>
              <w:jc w:val="right"/>
            </w:pPr>
            <w:r w:rsidRPr="00605827">
              <w:rPr>
                <w:b/>
                <w:sz w:val="40"/>
                <w:szCs w:val="40"/>
              </w:rPr>
              <w:t>E</w:t>
            </w:r>
          </w:p>
        </w:tc>
      </w:tr>
      <w:tr w:rsidR="004D040E" w:rsidRPr="001832A6" w:rsidTr="007A4088">
        <w:trPr>
          <w:trHeight w:hRule="exact" w:val="357"/>
        </w:trPr>
        <w:tc>
          <w:tcPr>
            <w:tcW w:w="9356" w:type="dxa"/>
            <w:gridSpan w:val="3"/>
            <w:tcBorders>
              <w:top w:val="single" w:sz="4" w:space="0" w:color="auto"/>
            </w:tcBorders>
            <w:tcMar>
              <w:top w:w="170" w:type="dxa"/>
              <w:left w:w="0" w:type="dxa"/>
              <w:right w:w="0" w:type="dxa"/>
            </w:tcMar>
            <w:vAlign w:val="bottom"/>
          </w:tcPr>
          <w:p w:rsidR="004D040E" w:rsidRPr="0090731E" w:rsidRDefault="004D040E" w:rsidP="002278BC">
            <w:pPr>
              <w:jc w:val="right"/>
              <w:rPr>
                <w:rFonts w:ascii="Arial Black" w:hAnsi="Arial Black"/>
                <w:caps/>
                <w:sz w:val="15"/>
              </w:rPr>
            </w:pPr>
            <w:r>
              <w:rPr>
                <w:rFonts w:ascii="Arial Black" w:hAnsi="Arial Black"/>
                <w:caps/>
                <w:sz w:val="15"/>
              </w:rPr>
              <w:t>WO/PBC/27/</w:t>
            </w:r>
            <w:r w:rsidR="002278BC">
              <w:rPr>
                <w:rFonts w:ascii="Arial Black" w:hAnsi="Arial Black"/>
                <w:caps/>
                <w:sz w:val="15"/>
              </w:rPr>
              <w:t>4</w:t>
            </w:r>
          </w:p>
        </w:tc>
      </w:tr>
      <w:tr w:rsidR="004D040E" w:rsidRPr="001832A6" w:rsidTr="007A4088">
        <w:trPr>
          <w:trHeight w:hRule="exact" w:val="170"/>
        </w:trPr>
        <w:tc>
          <w:tcPr>
            <w:tcW w:w="9356" w:type="dxa"/>
            <w:gridSpan w:val="3"/>
            <w:noWrap/>
            <w:tcMar>
              <w:left w:w="0" w:type="dxa"/>
              <w:right w:w="0" w:type="dxa"/>
            </w:tcMar>
            <w:vAlign w:val="bottom"/>
          </w:tcPr>
          <w:p w:rsidR="004D040E" w:rsidRPr="0090731E" w:rsidRDefault="004D040E" w:rsidP="007A408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w:t>
            </w:r>
            <w:r w:rsidRPr="0090731E">
              <w:rPr>
                <w:rFonts w:ascii="Arial Black" w:hAnsi="Arial Black"/>
                <w:caps/>
                <w:sz w:val="15"/>
              </w:rPr>
              <w:t xml:space="preserve"> </w:t>
            </w:r>
          </w:p>
        </w:tc>
      </w:tr>
      <w:tr w:rsidR="004D040E" w:rsidRPr="001832A6" w:rsidTr="007A4088">
        <w:trPr>
          <w:trHeight w:hRule="exact" w:val="198"/>
        </w:trPr>
        <w:tc>
          <w:tcPr>
            <w:tcW w:w="9356" w:type="dxa"/>
            <w:gridSpan w:val="3"/>
            <w:tcMar>
              <w:left w:w="0" w:type="dxa"/>
              <w:right w:w="0" w:type="dxa"/>
            </w:tcMar>
            <w:vAlign w:val="bottom"/>
          </w:tcPr>
          <w:p w:rsidR="004D040E" w:rsidRPr="0090731E" w:rsidRDefault="004D040E" w:rsidP="00757E8E">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009D15E7">
              <w:rPr>
                <w:rFonts w:ascii="Arial Black" w:hAnsi="Arial Black"/>
                <w:caps/>
                <w:sz w:val="15"/>
              </w:rPr>
              <w:t>august 2</w:t>
            </w:r>
            <w:r>
              <w:rPr>
                <w:rFonts w:ascii="Arial Black" w:hAnsi="Arial Black"/>
                <w:caps/>
                <w:sz w:val="15"/>
              </w:rPr>
              <w:t>, 2017</w:t>
            </w:r>
            <w:r w:rsidRPr="0090731E">
              <w:rPr>
                <w:rFonts w:ascii="Arial Black" w:hAnsi="Arial Black"/>
                <w:caps/>
                <w:sz w:val="15"/>
              </w:rPr>
              <w:t xml:space="preserve"> </w:t>
            </w:r>
          </w:p>
        </w:tc>
      </w:tr>
    </w:tbl>
    <w:p w:rsidR="004D040E" w:rsidRPr="008B2CC1" w:rsidRDefault="004D040E" w:rsidP="004D040E"/>
    <w:p w:rsidR="004D040E" w:rsidRPr="008B2CC1" w:rsidRDefault="004D040E" w:rsidP="004D040E"/>
    <w:p w:rsidR="004D040E" w:rsidRPr="008B2CC1" w:rsidRDefault="004D040E" w:rsidP="004D040E"/>
    <w:p w:rsidR="004D040E" w:rsidRPr="008B2CC1" w:rsidRDefault="004D040E" w:rsidP="004D040E"/>
    <w:p w:rsidR="004D040E" w:rsidRPr="008B2CC1" w:rsidRDefault="004D040E" w:rsidP="004D040E"/>
    <w:p w:rsidR="004D040E" w:rsidRPr="003845C1" w:rsidRDefault="004D040E" w:rsidP="004D040E">
      <w:pPr>
        <w:rPr>
          <w:b/>
          <w:sz w:val="28"/>
          <w:szCs w:val="28"/>
        </w:rPr>
      </w:pPr>
      <w:r w:rsidRPr="00853625">
        <w:rPr>
          <w:b/>
          <w:sz w:val="28"/>
          <w:szCs w:val="28"/>
        </w:rPr>
        <w:t>Program and Budget Committee</w:t>
      </w:r>
    </w:p>
    <w:p w:rsidR="004D040E" w:rsidRDefault="004D040E" w:rsidP="004D040E"/>
    <w:p w:rsidR="004D040E" w:rsidRDefault="004D040E" w:rsidP="004D040E"/>
    <w:p w:rsidR="004D040E" w:rsidRPr="003845C1" w:rsidRDefault="004D040E" w:rsidP="004D040E">
      <w:pPr>
        <w:rPr>
          <w:b/>
          <w:sz w:val="24"/>
          <w:szCs w:val="24"/>
        </w:rPr>
      </w:pPr>
      <w:r w:rsidRPr="00853625">
        <w:rPr>
          <w:b/>
          <w:sz w:val="24"/>
          <w:szCs w:val="24"/>
        </w:rPr>
        <w:t>Twenty-</w:t>
      </w:r>
      <w:r>
        <w:rPr>
          <w:b/>
          <w:sz w:val="24"/>
          <w:szCs w:val="24"/>
        </w:rPr>
        <w:t>Seventh</w:t>
      </w:r>
      <w:r w:rsidRPr="00853625">
        <w:rPr>
          <w:b/>
          <w:sz w:val="24"/>
          <w:szCs w:val="24"/>
        </w:rPr>
        <w:t xml:space="preserve"> </w:t>
      </w:r>
      <w:proofErr w:type="gramStart"/>
      <w:r w:rsidRPr="00853625">
        <w:rPr>
          <w:b/>
          <w:sz w:val="24"/>
          <w:szCs w:val="24"/>
        </w:rPr>
        <w:t>Session</w:t>
      </w:r>
      <w:proofErr w:type="gramEnd"/>
    </w:p>
    <w:p w:rsidR="004D040E" w:rsidRPr="003845C1" w:rsidRDefault="004D040E" w:rsidP="004D040E">
      <w:pPr>
        <w:rPr>
          <w:b/>
          <w:sz w:val="24"/>
          <w:szCs w:val="24"/>
        </w:rPr>
      </w:pPr>
      <w:r>
        <w:rPr>
          <w:b/>
          <w:sz w:val="24"/>
          <w:szCs w:val="24"/>
        </w:rPr>
        <w:t>Geneva, September 11 to 15</w:t>
      </w:r>
      <w:r w:rsidRPr="00853625">
        <w:rPr>
          <w:b/>
          <w:sz w:val="24"/>
          <w:szCs w:val="24"/>
        </w:rPr>
        <w:t>, 2017</w:t>
      </w:r>
    </w:p>
    <w:p w:rsidR="004D040E" w:rsidRPr="008B2CC1" w:rsidRDefault="004D040E" w:rsidP="004D040E"/>
    <w:p w:rsidR="004D040E" w:rsidRPr="008B2CC1" w:rsidRDefault="004D040E" w:rsidP="004D040E"/>
    <w:p w:rsidR="004D040E" w:rsidRPr="008B2CC1" w:rsidRDefault="004D040E" w:rsidP="004D040E"/>
    <w:p w:rsidR="004D040E" w:rsidRPr="003845C1" w:rsidRDefault="004D040E" w:rsidP="004D040E">
      <w:pPr>
        <w:rPr>
          <w:caps/>
          <w:sz w:val="24"/>
        </w:rPr>
      </w:pPr>
      <w:r>
        <w:rPr>
          <w:caps/>
          <w:sz w:val="24"/>
        </w:rPr>
        <w:t>ANNUAL REPORT BY THE DIRECTOR OF THE INTERNAL OVERSIGHT DIVISION (IOD)</w:t>
      </w:r>
    </w:p>
    <w:p w:rsidR="004D040E" w:rsidRPr="008B2CC1" w:rsidRDefault="004D040E" w:rsidP="004D040E"/>
    <w:p w:rsidR="004D040E" w:rsidRPr="008B2CC1" w:rsidRDefault="00757E8E" w:rsidP="004D040E">
      <w:pPr>
        <w:rPr>
          <w:i/>
        </w:rPr>
      </w:pPr>
      <w:proofErr w:type="gramStart"/>
      <w:r>
        <w:rPr>
          <w:i/>
        </w:rPr>
        <w:t>prepared</w:t>
      </w:r>
      <w:proofErr w:type="gramEnd"/>
      <w:r>
        <w:rPr>
          <w:i/>
        </w:rPr>
        <w:t xml:space="preserve"> by the S</w:t>
      </w:r>
      <w:r w:rsidR="004D040E">
        <w:rPr>
          <w:i/>
        </w:rPr>
        <w:t>ecretariat</w:t>
      </w:r>
    </w:p>
    <w:p w:rsidR="004D040E" w:rsidRDefault="004D040E" w:rsidP="004D040E"/>
    <w:p w:rsidR="004D040E" w:rsidRDefault="004D040E" w:rsidP="004D040E"/>
    <w:p w:rsidR="004D040E" w:rsidRDefault="004D040E" w:rsidP="004D040E"/>
    <w:p w:rsidR="004D040E" w:rsidRDefault="004D040E" w:rsidP="004D040E"/>
    <w:p w:rsidR="004D040E" w:rsidRDefault="004D040E" w:rsidP="004D040E"/>
    <w:p w:rsidR="004B6701" w:rsidRPr="00C765F0" w:rsidRDefault="004B6701" w:rsidP="004D4463">
      <w:pPr>
        <w:pStyle w:val="ONUME"/>
        <w:numPr>
          <w:ilvl w:val="0"/>
          <w:numId w:val="7"/>
        </w:numPr>
      </w:pPr>
      <w:r w:rsidRPr="00C765F0">
        <w:t xml:space="preserve">In accordance with </w:t>
      </w:r>
      <w:r w:rsidRPr="000F04D4">
        <w:t xml:space="preserve">paragraph </w:t>
      </w:r>
      <w:r w:rsidR="004D040E">
        <w:t>44</w:t>
      </w:r>
      <w:r w:rsidRPr="00C765F0">
        <w:t xml:space="preserve"> of the Internal Oversight Charter</w:t>
      </w:r>
      <w:r w:rsidR="004D6A1C">
        <w:t xml:space="preserve"> (IOC)</w:t>
      </w:r>
      <w:r w:rsidRPr="00C765F0">
        <w:t xml:space="preserve">, the Director, Internal Oversight Division (IOD), shall </w:t>
      </w:r>
      <w:r w:rsidR="00277318">
        <w:t>submit, on an annual basis, a summary report to the WIPO General Assembly, through</w:t>
      </w:r>
      <w:r w:rsidRPr="00C765F0">
        <w:t xml:space="preserve"> the Program and Budget Committee (PBC).  The report </w:t>
      </w:r>
      <w:r w:rsidR="00277318">
        <w:t>shall give an overview on the internal oversight activities conducted during the reporting period</w:t>
      </w:r>
      <w:r w:rsidRPr="00A87220">
        <w:t xml:space="preserve"> </w:t>
      </w:r>
      <w:r w:rsidRPr="000F04D4">
        <w:t>July</w:t>
      </w:r>
      <w:r w:rsidR="0043332A">
        <w:t> </w:t>
      </w:r>
      <w:r w:rsidRPr="000F04D4">
        <w:t xml:space="preserve">1, </w:t>
      </w:r>
      <w:r w:rsidR="004D040E">
        <w:t>2016</w:t>
      </w:r>
      <w:r w:rsidRPr="000F04D4">
        <w:t xml:space="preserve"> </w:t>
      </w:r>
      <w:r w:rsidR="00277318">
        <w:t>to</w:t>
      </w:r>
      <w:r w:rsidRPr="000F04D4">
        <w:t xml:space="preserve"> June 30, 201</w:t>
      </w:r>
      <w:r w:rsidR="004D040E">
        <w:t>7</w:t>
      </w:r>
      <w:r w:rsidRPr="000F04D4">
        <w:t>.</w:t>
      </w:r>
    </w:p>
    <w:p w:rsidR="004B6701" w:rsidRPr="00136900" w:rsidRDefault="004B6701" w:rsidP="004B6701">
      <w:pPr>
        <w:pStyle w:val="ONUME"/>
        <w:rPr>
          <w:i/>
        </w:rPr>
      </w:pPr>
      <w:r>
        <w:t>The following decision paragraph is proposed.</w:t>
      </w:r>
    </w:p>
    <w:p w:rsidR="004B6701" w:rsidRPr="00B929E3" w:rsidRDefault="004B6701" w:rsidP="004B6701">
      <w:pPr>
        <w:spacing w:after="220"/>
        <w:ind w:left="5533"/>
        <w:rPr>
          <w:i/>
        </w:rPr>
      </w:pPr>
      <w:r>
        <w:rPr>
          <w:i/>
        </w:rPr>
        <w:t>3</w:t>
      </w:r>
      <w:r w:rsidRPr="00B929E3">
        <w:rPr>
          <w:i/>
        </w:rPr>
        <w:t>.</w:t>
      </w:r>
      <w:r w:rsidRPr="00B929E3">
        <w:rPr>
          <w:i/>
        </w:rPr>
        <w:tab/>
        <w:t xml:space="preserve">The Program and Budget Committee </w:t>
      </w:r>
      <w:r w:rsidR="00913903">
        <w:rPr>
          <w:i/>
        </w:rPr>
        <w:t xml:space="preserve">(PBC) </w:t>
      </w:r>
      <w:r>
        <w:rPr>
          <w:i/>
        </w:rPr>
        <w:t>took</w:t>
      </w:r>
      <w:r w:rsidRPr="00B929E3">
        <w:rPr>
          <w:i/>
        </w:rPr>
        <w:t xml:space="preserve"> note of the </w:t>
      </w:r>
      <w:r w:rsidR="009D15E7">
        <w:rPr>
          <w:i/>
        </w:rPr>
        <w:t>“</w:t>
      </w:r>
      <w:r w:rsidR="00757E8E">
        <w:rPr>
          <w:i/>
        </w:rPr>
        <w:t>Annual Report by</w:t>
      </w:r>
      <w:r w:rsidRPr="00136900">
        <w:rPr>
          <w:i/>
        </w:rPr>
        <w:t xml:space="preserve"> the Director of the Internal Oversi</w:t>
      </w:r>
      <w:r w:rsidR="00791391">
        <w:rPr>
          <w:i/>
        </w:rPr>
        <w:t>ght Division (I</w:t>
      </w:r>
      <w:r w:rsidRPr="00136900">
        <w:rPr>
          <w:i/>
        </w:rPr>
        <w:t>OD)</w:t>
      </w:r>
      <w:r w:rsidR="009D15E7">
        <w:rPr>
          <w:i/>
        </w:rPr>
        <w:t>”</w:t>
      </w:r>
      <w:r w:rsidRPr="00136900">
        <w:rPr>
          <w:i/>
        </w:rPr>
        <w:t xml:space="preserve"> (document</w:t>
      </w:r>
      <w:r w:rsidR="000F14DE">
        <w:rPr>
          <w:i/>
        </w:rPr>
        <w:t> </w:t>
      </w:r>
      <w:r w:rsidRPr="00621AB2">
        <w:rPr>
          <w:i/>
        </w:rPr>
        <w:t>WO/PBC/2</w:t>
      </w:r>
      <w:r w:rsidR="004D040E">
        <w:rPr>
          <w:i/>
        </w:rPr>
        <w:t>7</w:t>
      </w:r>
      <w:r w:rsidRPr="00621AB2">
        <w:rPr>
          <w:i/>
        </w:rPr>
        <w:t>/</w:t>
      </w:r>
      <w:r w:rsidR="002278BC">
        <w:rPr>
          <w:i/>
        </w:rPr>
        <w:t>4</w:t>
      </w:r>
      <w:r w:rsidRPr="00136900">
        <w:rPr>
          <w:i/>
        </w:rPr>
        <w:t>)</w:t>
      </w:r>
      <w:r>
        <w:rPr>
          <w:i/>
        </w:rPr>
        <w:t>.</w:t>
      </w:r>
    </w:p>
    <w:p w:rsidR="004B6701" w:rsidRPr="00B929E3" w:rsidRDefault="004B6701" w:rsidP="004B6701">
      <w:pPr>
        <w:spacing w:after="220"/>
        <w:rPr>
          <w:i/>
        </w:rPr>
      </w:pPr>
    </w:p>
    <w:p w:rsidR="00907F45" w:rsidRDefault="004B6701" w:rsidP="00907F45">
      <w:pPr>
        <w:ind w:left="5534"/>
      </w:pPr>
      <w:r w:rsidRPr="00B929E3">
        <w:t>[</w:t>
      </w:r>
      <w:r w:rsidR="00791391">
        <w:t>Annual Report by Director, I</w:t>
      </w:r>
      <w:r w:rsidRPr="00B929E3">
        <w:t>OD follows]</w:t>
      </w:r>
    </w:p>
    <w:p w:rsidR="00907F45" w:rsidRDefault="00907F45">
      <w:pPr>
        <w:rPr>
          <w:b/>
        </w:rPr>
      </w:pPr>
      <w:r>
        <w:br w:type="page"/>
      </w:r>
      <w:bookmarkStart w:id="6" w:name="_Toc392160658"/>
      <w:bookmarkStart w:id="7" w:name="_Toc392160685"/>
      <w:bookmarkStart w:id="8" w:name="_Toc392160701"/>
      <w:bookmarkStart w:id="9" w:name="_Toc392160738"/>
      <w:bookmarkStart w:id="10" w:name="_Toc420931135"/>
      <w:bookmarkStart w:id="11" w:name="_Toc423530307"/>
      <w:bookmarkStart w:id="12" w:name="_Toc423533363"/>
      <w:bookmarkStart w:id="13" w:name="_Toc423533507"/>
      <w:bookmarkStart w:id="14" w:name="_Toc452648466"/>
    </w:p>
    <w:p w:rsidR="00907F45" w:rsidRPr="001D2703" w:rsidRDefault="00757E8E" w:rsidP="00907F45">
      <w:pPr>
        <w:jc w:val="center"/>
        <w:rPr>
          <w:b/>
        </w:rPr>
      </w:pPr>
      <w:r>
        <w:rPr>
          <w:b/>
        </w:rPr>
        <w:lastRenderedPageBreak/>
        <w:t>ANNUAL REPORT BY</w:t>
      </w:r>
      <w:r w:rsidR="00907F45" w:rsidRPr="001D2703">
        <w:rPr>
          <w:b/>
        </w:rPr>
        <w:t xml:space="preserve"> THE DIRECTOR OF </w:t>
      </w:r>
      <w:r w:rsidR="00907F45" w:rsidRPr="001D2703">
        <w:rPr>
          <w:rStyle w:val="Heading2Char"/>
          <w:b/>
          <w:iCs w:val="0"/>
        </w:rPr>
        <w:t>INTERNAL OVERSIGHT DIVISION</w:t>
      </w:r>
    </w:p>
    <w:p w:rsidR="00907F45" w:rsidRPr="00DA5DBB" w:rsidRDefault="00907F45" w:rsidP="00907F45">
      <w:pPr>
        <w:keepLines/>
      </w:pPr>
    </w:p>
    <w:p w:rsidR="00907F45" w:rsidRDefault="00907F45" w:rsidP="0043332A">
      <w:pPr>
        <w:keepLines/>
        <w:jc w:val="center"/>
      </w:pPr>
      <w:r w:rsidRPr="00DA5DBB">
        <w:t>July 1, 201</w:t>
      </w:r>
      <w:r w:rsidR="004D040E">
        <w:t>6</w:t>
      </w:r>
      <w:r w:rsidRPr="00DA5DBB">
        <w:t xml:space="preserve"> to June 30, 201</w:t>
      </w:r>
      <w:r w:rsidR="004D040E">
        <w:t>7</w:t>
      </w:r>
    </w:p>
    <w:p w:rsidR="0043332A" w:rsidRPr="00DA5DBB" w:rsidRDefault="0043332A" w:rsidP="0043332A">
      <w:pPr>
        <w:keepLines/>
        <w:jc w:val="center"/>
      </w:pPr>
    </w:p>
    <w:p w:rsidR="00907F45" w:rsidRDefault="00907F45" w:rsidP="00907F45"/>
    <w:p w:rsidR="00907F45" w:rsidRDefault="00907F45" w:rsidP="001D2703">
      <w:pPr>
        <w:jc w:val="center"/>
        <w:rPr>
          <w:b/>
        </w:rPr>
      </w:pPr>
    </w:p>
    <w:p w:rsidR="004B6701" w:rsidRPr="001D2703" w:rsidRDefault="004B6701" w:rsidP="001D2703">
      <w:pPr>
        <w:jc w:val="center"/>
        <w:rPr>
          <w:b/>
        </w:rPr>
      </w:pPr>
      <w:r w:rsidRPr="001D2703">
        <w:rPr>
          <w:b/>
        </w:rPr>
        <w:t>TABLE OF CONTENT</w:t>
      </w:r>
      <w:bookmarkEnd w:id="6"/>
      <w:bookmarkEnd w:id="7"/>
      <w:bookmarkEnd w:id="8"/>
      <w:bookmarkEnd w:id="9"/>
      <w:bookmarkEnd w:id="10"/>
      <w:r w:rsidR="00A010A4" w:rsidRPr="001D2703">
        <w:rPr>
          <w:b/>
        </w:rPr>
        <w:t>S</w:t>
      </w:r>
      <w:bookmarkEnd w:id="11"/>
      <w:bookmarkEnd w:id="12"/>
      <w:bookmarkEnd w:id="13"/>
      <w:bookmarkEnd w:id="14"/>
    </w:p>
    <w:p w:rsidR="004B6701" w:rsidRPr="00DA5DBB" w:rsidRDefault="004B6701" w:rsidP="004B6701">
      <w:pPr>
        <w:keepLines/>
      </w:pPr>
    </w:p>
    <w:p w:rsidR="00194341" w:rsidRDefault="004B6701">
      <w:pPr>
        <w:pStyle w:val="TOC1"/>
        <w:rPr>
          <w:rFonts w:asciiTheme="minorHAnsi" w:eastAsiaTheme="minorEastAsia" w:hAnsiTheme="minorHAnsi" w:cstheme="minorBidi"/>
          <w:noProof/>
          <w:szCs w:val="22"/>
          <w:lang w:eastAsia="en-US"/>
        </w:rPr>
      </w:pPr>
      <w:r>
        <w:fldChar w:fldCharType="begin"/>
      </w:r>
      <w:r>
        <w:instrText xml:space="preserve"> TOC \o "1-1" \h \z \u </w:instrText>
      </w:r>
      <w:r>
        <w:fldChar w:fldCharType="separate"/>
      </w:r>
      <w:hyperlink w:anchor="_Toc487462075" w:history="1">
        <w:r w:rsidR="00194341" w:rsidRPr="006E370E">
          <w:rPr>
            <w:rStyle w:val="Hyperlink"/>
            <w:noProof/>
          </w:rPr>
          <w:t>LIST OF ACRONYMS</w:t>
        </w:r>
        <w:r w:rsidR="00194341">
          <w:rPr>
            <w:noProof/>
            <w:webHidden/>
          </w:rPr>
          <w:tab/>
        </w:r>
        <w:r w:rsidR="00194341">
          <w:rPr>
            <w:noProof/>
            <w:webHidden/>
          </w:rPr>
          <w:fldChar w:fldCharType="begin"/>
        </w:r>
        <w:r w:rsidR="00194341">
          <w:rPr>
            <w:noProof/>
            <w:webHidden/>
          </w:rPr>
          <w:instrText xml:space="preserve"> PAGEREF _Toc487462075 \h </w:instrText>
        </w:r>
        <w:r w:rsidR="00194341">
          <w:rPr>
            <w:noProof/>
            <w:webHidden/>
          </w:rPr>
        </w:r>
        <w:r w:rsidR="00194341">
          <w:rPr>
            <w:noProof/>
            <w:webHidden/>
          </w:rPr>
          <w:fldChar w:fldCharType="separate"/>
        </w:r>
        <w:r w:rsidR="00525A9E">
          <w:rPr>
            <w:noProof/>
            <w:webHidden/>
          </w:rPr>
          <w:t>3</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76" w:history="1">
        <w:r w:rsidR="00194341" w:rsidRPr="006E370E">
          <w:rPr>
            <w:rStyle w:val="Hyperlink"/>
            <w:noProof/>
          </w:rPr>
          <w:t>BACKGROUND</w:t>
        </w:r>
        <w:r w:rsidR="00194341">
          <w:rPr>
            <w:noProof/>
            <w:webHidden/>
          </w:rPr>
          <w:tab/>
        </w:r>
        <w:r w:rsidR="00194341">
          <w:rPr>
            <w:noProof/>
            <w:webHidden/>
          </w:rPr>
          <w:fldChar w:fldCharType="begin"/>
        </w:r>
        <w:r w:rsidR="00194341">
          <w:rPr>
            <w:noProof/>
            <w:webHidden/>
          </w:rPr>
          <w:instrText xml:space="preserve"> PAGEREF _Toc487462076 \h </w:instrText>
        </w:r>
        <w:r w:rsidR="00194341">
          <w:rPr>
            <w:noProof/>
            <w:webHidden/>
          </w:rPr>
        </w:r>
        <w:r w:rsidR="00194341">
          <w:rPr>
            <w:noProof/>
            <w:webHidden/>
          </w:rPr>
          <w:fldChar w:fldCharType="separate"/>
        </w:r>
        <w:r>
          <w:rPr>
            <w:noProof/>
            <w:webHidden/>
          </w:rPr>
          <w:t>4</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77" w:history="1">
        <w:r w:rsidR="00194341" w:rsidRPr="006E370E">
          <w:rPr>
            <w:rStyle w:val="Hyperlink"/>
            <w:noProof/>
          </w:rPr>
          <w:t>PLANNING PRINCIPLES</w:t>
        </w:r>
        <w:r w:rsidR="00194341">
          <w:rPr>
            <w:noProof/>
            <w:webHidden/>
          </w:rPr>
          <w:tab/>
        </w:r>
        <w:r w:rsidR="00194341">
          <w:rPr>
            <w:noProof/>
            <w:webHidden/>
          </w:rPr>
          <w:fldChar w:fldCharType="begin"/>
        </w:r>
        <w:r w:rsidR="00194341">
          <w:rPr>
            <w:noProof/>
            <w:webHidden/>
          </w:rPr>
          <w:instrText xml:space="preserve"> PAGEREF _Toc487462077 \h </w:instrText>
        </w:r>
        <w:r w:rsidR="00194341">
          <w:rPr>
            <w:noProof/>
            <w:webHidden/>
          </w:rPr>
        </w:r>
        <w:r w:rsidR="00194341">
          <w:rPr>
            <w:noProof/>
            <w:webHidden/>
          </w:rPr>
          <w:fldChar w:fldCharType="separate"/>
        </w:r>
        <w:r>
          <w:rPr>
            <w:noProof/>
            <w:webHidden/>
          </w:rPr>
          <w:t>4</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78" w:history="1">
        <w:r w:rsidR="00194341" w:rsidRPr="006E370E">
          <w:rPr>
            <w:rStyle w:val="Hyperlink"/>
            <w:noProof/>
          </w:rPr>
          <w:t>PROFESSIONAL STANDARDS</w:t>
        </w:r>
        <w:r w:rsidR="00194341">
          <w:rPr>
            <w:noProof/>
            <w:webHidden/>
          </w:rPr>
          <w:tab/>
        </w:r>
        <w:r w:rsidR="00194341">
          <w:rPr>
            <w:noProof/>
            <w:webHidden/>
          </w:rPr>
          <w:fldChar w:fldCharType="begin"/>
        </w:r>
        <w:r w:rsidR="00194341">
          <w:rPr>
            <w:noProof/>
            <w:webHidden/>
          </w:rPr>
          <w:instrText xml:space="preserve"> PAGEREF _Toc487462078 \h </w:instrText>
        </w:r>
        <w:r w:rsidR="00194341">
          <w:rPr>
            <w:noProof/>
            <w:webHidden/>
          </w:rPr>
        </w:r>
        <w:r w:rsidR="00194341">
          <w:rPr>
            <w:noProof/>
            <w:webHidden/>
          </w:rPr>
          <w:fldChar w:fldCharType="separate"/>
        </w:r>
        <w:r>
          <w:rPr>
            <w:noProof/>
            <w:webHidden/>
          </w:rPr>
          <w:t>4</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79" w:history="1">
        <w:r w:rsidR="00194341" w:rsidRPr="006E370E">
          <w:rPr>
            <w:rStyle w:val="Hyperlink"/>
            <w:noProof/>
          </w:rPr>
          <w:t>SIGNIFICANT ISSUES AND HIGH PRIORITY OVERSIGHT RECOMMENDATIONS</w:t>
        </w:r>
        <w:r w:rsidR="00194341">
          <w:rPr>
            <w:noProof/>
            <w:webHidden/>
          </w:rPr>
          <w:tab/>
        </w:r>
        <w:r w:rsidR="00194341">
          <w:rPr>
            <w:noProof/>
            <w:webHidden/>
          </w:rPr>
          <w:fldChar w:fldCharType="begin"/>
        </w:r>
        <w:r w:rsidR="00194341">
          <w:rPr>
            <w:noProof/>
            <w:webHidden/>
          </w:rPr>
          <w:instrText xml:space="preserve"> PAGEREF _Toc487462079 \h </w:instrText>
        </w:r>
        <w:r w:rsidR="00194341">
          <w:rPr>
            <w:noProof/>
            <w:webHidden/>
          </w:rPr>
        </w:r>
        <w:r w:rsidR="00194341">
          <w:rPr>
            <w:noProof/>
            <w:webHidden/>
          </w:rPr>
          <w:fldChar w:fldCharType="separate"/>
        </w:r>
        <w:r>
          <w:rPr>
            <w:noProof/>
            <w:webHidden/>
          </w:rPr>
          <w:t>5</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80" w:history="1">
        <w:r w:rsidR="00194341" w:rsidRPr="006E370E">
          <w:rPr>
            <w:rStyle w:val="Hyperlink"/>
            <w:noProof/>
          </w:rPr>
          <w:t>INVESTIGATIVE ACTIVITIES</w:t>
        </w:r>
        <w:r w:rsidR="00194341">
          <w:rPr>
            <w:noProof/>
            <w:webHidden/>
          </w:rPr>
          <w:tab/>
        </w:r>
        <w:r w:rsidR="00194341">
          <w:rPr>
            <w:noProof/>
            <w:webHidden/>
          </w:rPr>
          <w:fldChar w:fldCharType="begin"/>
        </w:r>
        <w:r w:rsidR="00194341">
          <w:rPr>
            <w:noProof/>
            <w:webHidden/>
          </w:rPr>
          <w:instrText xml:space="preserve"> PAGEREF _Toc487462080 \h </w:instrText>
        </w:r>
        <w:r w:rsidR="00194341">
          <w:rPr>
            <w:noProof/>
            <w:webHidden/>
          </w:rPr>
        </w:r>
        <w:r w:rsidR="00194341">
          <w:rPr>
            <w:noProof/>
            <w:webHidden/>
          </w:rPr>
          <w:fldChar w:fldCharType="separate"/>
        </w:r>
        <w:r>
          <w:rPr>
            <w:noProof/>
            <w:webHidden/>
          </w:rPr>
          <w:t>9</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81" w:history="1">
        <w:r w:rsidR="00194341" w:rsidRPr="006E370E">
          <w:rPr>
            <w:rStyle w:val="Hyperlink"/>
            <w:noProof/>
          </w:rPr>
          <w:t>INSTANCES WHERE INFORMATION OR ASSISTANCE WAS REFUSED</w:t>
        </w:r>
        <w:r w:rsidR="00194341">
          <w:rPr>
            <w:noProof/>
            <w:webHidden/>
          </w:rPr>
          <w:tab/>
        </w:r>
        <w:r w:rsidR="00194341">
          <w:rPr>
            <w:noProof/>
            <w:webHidden/>
          </w:rPr>
          <w:fldChar w:fldCharType="begin"/>
        </w:r>
        <w:r w:rsidR="00194341">
          <w:rPr>
            <w:noProof/>
            <w:webHidden/>
          </w:rPr>
          <w:instrText xml:space="preserve"> PAGEREF _Toc487462081 \h </w:instrText>
        </w:r>
        <w:r w:rsidR="00194341">
          <w:rPr>
            <w:noProof/>
            <w:webHidden/>
          </w:rPr>
        </w:r>
        <w:r w:rsidR="00194341">
          <w:rPr>
            <w:noProof/>
            <w:webHidden/>
          </w:rPr>
          <w:fldChar w:fldCharType="separate"/>
        </w:r>
        <w:r>
          <w:rPr>
            <w:noProof/>
            <w:webHidden/>
          </w:rPr>
          <w:t>12</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82" w:history="1">
        <w:r w:rsidR="00194341" w:rsidRPr="006E370E">
          <w:rPr>
            <w:rStyle w:val="Hyperlink"/>
            <w:noProof/>
          </w:rPr>
          <w:t>STATUS OF IMPLEMENTATION OF OVERSIGHT RECOMMENDATIONS</w:t>
        </w:r>
        <w:r w:rsidR="00194341">
          <w:rPr>
            <w:noProof/>
            <w:webHidden/>
          </w:rPr>
          <w:tab/>
        </w:r>
        <w:r w:rsidR="00194341">
          <w:rPr>
            <w:noProof/>
            <w:webHidden/>
          </w:rPr>
          <w:fldChar w:fldCharType="begin"/>
        </w:r>
        <w:r w:rsidR="00194341">
          <w:rPr>
            <w:noProof/>
            <w:webHidden/>
          </w:rPr>
          <w:instrText xml:space="preserve"> PAGEREF _Toc487462082 \h </w:instrText>
        </w:r>
        <w:r w:rsidR="00194341">
          <w:rPr>
            <w:noProof/>
            <w:webHidden/>
          </w:rPr>
        </w:r>
        <w:r w:rsidR="00194341">
          <w:rPr>
            <w:noProof/>
            <w:webHidden/>
          </w:rPr>
          <w:fldChar w:fldCharType="separate"/>
        </w:r>
        <w:r>
          <w:rPr>
            <w:noProof/>
            <w:webHidden/>
          </w:rPr>
          <w:t>12</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83" w:history="1">
        <w:r w:rsidR="00194341" w:rsidRPr="006E370E">
          <w:rPr>
            <w:rStyle w:val="Hyperlink"/>
            <w:noProof/>
          </w:rPr>
          <w:t>EXTERNAL QUALITY ASSESSMENT (EQA) OF THE INVESTIGATION FUNCTION</w:t>
        </w:r>
        <w:r w:rsidR="00194341">
          <w:rPr>
            <w:noProof/>
            <w:webHidden/>
          </w:rPr>
          <w:tab/>
        </w:r>
        <w:r w:rsidR="00194341">
          <w:rPr>
            <w:noProof/>
            <w:webHidden/>
          </w:rPr>
          <w:fldChar w:fldCharType="begin"/>
        </w:r>
        <w:r w:rsidR="00194341">
          <w:rPr>
            <w:noProof/>
            <w:webHidden/>
          </w:rPr>
          <w:instrText xml:space="preserve"> PAGEREF _Toc487462083 \h </w:instrText>
        </w:r>
        <w:r w:rsidR="00194341">
          <w:rPr>
            <w:noProof/>
            <w:webHidden/>
          </w:rPr>
        </w:r>
        <w:r w:rsidR="00194341">
          <w:rPr>
            <w:noProof/>
            <w:webHidden/>
          </w:rPr>
          <w:fldChar w:fldCharType="separate"/>
        </w:r>
        <w:r>
          <w:rPr>
            <w:noProof/>
            <w:webHidden/>
          </w:rPr>
          <w:t>14</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84" w:history="1">
        <w:r w:rsidR="00194341" w:rsidRPr="006E370E">
          <w:rPr>
            <w:rStyle w:val="Hyperlink"/>
            <w:noProof/>
          </w:rPr>
          <w:t>CONSULTATIVE AND ADVISORY OVERSIGHT WORK</w:t>
        </w:r>
        <w:r w:rsidR="00194341">
          <w:rPr>
            <w:noProof/>
            <w:webHidden/>
          </w:rPr>
          <w:tab/>
        </w:r>
        <w:r w:rsidR="00194341">
          <w:rPr>
            <w:noProof/>
            <w:webHidden/>
          </w:rPr>
          <w:fldChar w:fldCharType="begin"/>
        </w:r>
        <w:r w:rsidR="00194341">
          <w:rPr>
            <w:noProof/>
            <w:webHidden/>
          </w:rPr>
          <w:instrText xml:space="preserve"> PAGEREF _Toc487462084 \h </w:instrText>
        </w:r>
        <w:r w:rsidR="00194341">
          <w:rPr>
            <w:noProof/>
            <w:webHidden/>
          </w:rPr>
        </w:r>
        <w:r w:rsidR="00194341">
          <w:rPr>
            <w:noProof/>
            <w:webHidden/>
          </w:rPr>
          <w:fldChar w:fldCharType="separate"/>
        </w:r>
        <w:r>
          <w:rPr>
            <w:noProof/>
            <w:webHidden/>
          </w:rPr>
          <w:t>14</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85" w:history="1">
        <w:r w:rsidR="00194341" w:rsidRPr="006E370E">
          <w:rPr>
            <w:rStyle w:val="Hyperlink"/>
            <w:noProof/>
          </w:rPr>
          <w:t>COOPERATION WITH EXTERNAL OVERSIGHT BODIES</w:t>
        </w:r>
        <w:r w:rsidR="00194341">
          <w:rPr>
            <w:noProof/>
            <w:webHidden/>
          </w:rPr>
          <w:tab/>
        </w:r>
        <w:r w:rsidR="00194341">
          <w:rPr>
            <w:noProof/>
            <w:webHidden/>
          </w:rPr>
          <w:fldChar w:fldCharType="begin"/>
        </w:r>
        <w:r w:rsidR="00194341">
          <w:rPr>
            <w:noProof/>
            <w:webHidden/>
          </w:rPr>
          <w:instrText xml:space="preserve"> PAGEREF _Toc487462085 \h </w:instrText>
        </w:r>
        <w:r w:rsidR="00194341">
          <w:rPr>
            <w:noProof/>
            <w:webHidden/>
          </w:rPr>
        </w:r>
        <w:r w:rsidR="00194341">
          <w:rPr>
            <w:noProof/>
            <w:webHidden/>
          </w:rPr>
          <w:fldChar w:fldCharType="separate"/>
        </w:r>
        <w:r>
          <w:rPr>
            <w:noProof/>
            <w:webHidden/>
          </w:rPr>
          <w:t>15</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86" w:history="1">
        <w:r w:rsidR="00194341" w:rsidRPr="006E370E">
          <w:rPr>
            <w:rStyle w:val="Hyperlink"/>
            <w:noProof/>
          </w:rPr>
          <w:t>COOPERATION WITH THE OMBUDSPERSON AND THE ETHICS OFFICE</w:t>
        </w:r>
        <w:r w:rsidR="00194341">
          <w:rPr>
            <w:noProof/>
            <w:webHidden/>
          </w:rPr>
          <w:tab/>
        </w:r>
        <w:r w:rsidR="00194341">
          <w:rPr>
            <w:noProof/>
            <w:webHidden/>
          </w:rPr>
          <w:fldChar w:fldCharType="begin"/>
        </w:r>
        <w:r w:rsidR="00194341">
          <w:rPr>
            <w:noProof/>
            <w:webHidden/>
          </w:rPr>
          <w:instrText xml:space="preserve"> PAGEREF _Toc487462086 \h </w:instrText>
        </w:r>
        <w:r w:rsidR="00194341">
          <w:rPr>
            <w:noProof/>
            <w:webHidden/>
          </w:rPr>
        </w:r>
        <w:r w:rsidR="00194341">
          <w:rPr>
            <w:noProof/>
            <w:webHidden/>
          </w:rPr>
          <w:fldChar w:fldCharType="separate"/>
        </w:r>
        <w:r>
          <w:rPr>
            <w:noProof/>
            <w:webHidden/>
          </w:rPr>
          <w:t>15</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87" w:history="1">
        <w:r w:rsidR="00194341" w:rsidRPr="006E370E">
          <w:rPr>
            <w:rStyle w:val="Hyperlink"/>
            <w:noProof/>
          </w:rPr>
          <w:t>OTHER OVERSIGHT WORK</w:t>
        </w:r>
        <w:r w:rsidR="00194341">
          <w:rPr>
            <w:noProof/>
            <w:webHidden/>
          </w:rPr>
          <w:tab/>
        </w:r>
        <w:r w:rsidR="00194341">
          <w:rPr>
            <w:noProof/>
            <w:webHidden/>
          </w:rPr>
          <w:fldChar w:fldCharType="begin"/>
        </w:r>
        <w:r w:rsidR="00194341">
          <w:rPr>
            <w:noProof/>
            <w:webHidden/>
          </w:rPr>
          <w:instrText xml:space="preserve"> PAGEREF _Toc487462087 \h </w:instrText>
        </w:r>
        <w:r w:rsidR="00194341">
          <w:rPr>
            <w:noProof/>
            <w:webHidden/>
          </w:rPr>
        </w:r>
        <w:r w:rsidR="00194341">
          <w:rPr>
            <w:noProof/>
            <w:webHidden/>
          </w:rPr>
          <w:fldChar w:fldCharType="separate"/>
        </w:r>
        <w:r>
          <w:rPr>
            <w:noProof/>
            <w:webHidden/>
          </w:rPr>
          <w:t>15</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88" w:history="1">
        <w:r w:rsidR="00194341" w:rsidRPr="006E370E">
          <w:rPr>
            <w:rStyle w:val="Hyperlink"/>
            <w:noProof/>
          </w:rPr>
          <w:t>OPERATIONAL INDEPENDENCE OF IOD</w:t>
        </w:r>
        <w:r w:rsidR="00194341">
          <w:rPr>
            <w:noProof/>
            <w:webHidden/>
          </w:rPr>
          <w:tab/>
        </w:r>
        <w:r w:rsidR="00194341">
          <w:rPr>
            <w:noProof/>
            <w:webHidden/>
          </w:rPr>
          <w:fldChar w:fldCharType="begin"/>
        </w:r>
        <w:r w:rsidR="00194341">
          <w:rPr>
            <w:noProof/>
            <w:webHidden/>
          </w:rPr>
          <w:instrText xml:space="preserve"> PAGEREF _Toc487462088 \h </w:instrText>
        </w:r>
        <w:r w:rsidR="00194341">
          <w:rPr>
            <w:noProof/>
            <w:webHidden/>
          </w:rPr>
        </w:r>
        <w:r w:rsidR="00194341">
          <w:rPr>
            <w:noProof/>
            <w:webHidden/>
          </w:rPr>
          <w:fldChar w:fldCharType="separate"/>
        </w:r>
        <w:r>
          <w:rPr>
            <w:noProof/>
            <w:webHidden/>
          </w:rPr>
          <w:t>16</w:t>
        </w:r>
        <w:r w:rsidR="00194341">
          <w:rPr>
            <w:noProof/>
            <w:webHidden/>
          </w:rPr>
          <w:fldChar w:fldCharType="end"/>
        </w:r>
      </w:hyperlink>
    </w:p>
    <w:p w:rsidR="00194341" w:rsidRDefault="00525A9E">
      <w:pPr>
        <w:pStyle w:val="TOC1"/>
        <w:rPr>
          <w:rFonts w:asciiTheme="minorHAnsi" w:eastAsiaTheme="minorEastAsia" w:hAnsiTheme="minorHAnsi" w:cstheme="minorBidi"/>
          <w:noProof/>
          <w:szCs w:val="22"/>
          <w:lang w:eastAsia="en-US"/>
        </w:rPr>
      </w:pPr>
      <w:hyperlink w:anchor="_Toc487462089" w:history="1">
        <w:r w:rsidR="00194341" w:rsidRPr="006E370E">
          <w:rPr>
            <w:rStyle w:val="Hyperlink"/>
            <w:noProof/>
          </w:rPr>
          <w:t>OVERSIGHT RESOURCES</w:t>
        </w:r>
        <w:r w:rsidR="00194341">
          <w:rPr>
            <w:noProof/>
            <w:webHidden/>
          </w:rPr>
          <w:tab/>
        </w:r>
        <w:r w:rsidR="00194341">
          <w:rPr>
            <w:noProof/>
            <w:webHidden/>
          </w:rPr>
          <w:fldChar w:fldCharType="begin"/>
        </w:r>
        <w:r w:rsidR="00194341">
          <w:rPr>
            <w:noProof/>
            <w:webHidden/>
          </w:rPr>
          <w:instrText xml:space="preserve"> PAGEREF _Toc487462089 \h </w:instrText>
        </w:r>
        <w:r w:rsidR="00194341">
          <w:rPr>
            <w:noProof/>
            <w:webHidden/>
          </w:rPr>
        </w:r>
        <w:r w:rsidR="00194341">
          <w:rPr>
            <w:noProof/>
            <w:webHidden/>
          </w:rPr>
          <w:fldChar w:fldCharType="separate"/>
        </w:r>
        <w:r>
          <w:rPr>
            <w:noProof/>
            <w:webHidden/>
          </w:rPr>
          <w:t>16</w:t>
        </w:r>
        <w:r w:rsidR="00194341">
          <w:rPr>
            <w:noProof/>
            <w:webHidden/>
          </w:rPr>
          <w:fldChar w:fldCharType="end"/>
        </w:r>
      </w:hyperlink>
    </w:p>
    <w:p w:rsidR="004B6701" w:rsidRDefault="004B6701" w:rsidP="004B6701">
      <w:pPr>
        <w:keepLines/>
        <w:tabs>
          <w:tab w:val="left" w:leader="dot" w:pos="8910"/>
        </w:tabs>
        <w:spacing w:before="240" w:after="120" w:line="360" w:lineRule="auto"/>
      </w:pPr>
      <w:r>
        <w:fldChar w:fldCharType="end"/>
      </w:r>
    </w:p>
    <w:p w:rsidR="004B6701" w:rsidRPr="00DA5DBB" w:rsidRDefault="004B6701" w:rsidP="004B6701">
      <w:pPr>
        <w:keepLines/>
        <w:tabs>
          <w:tab w:val="left" w:leader="dot" w:pos="8910"/>
        </w:tabs>
        <w:spacing w:before="240" w:after="120" w:line="360" w:lineRule="auto"/>
        <w:rPr>
          <w:b/>
          <w:noProof/>
        </w:rPr>
      </w:pPr>
      <w:r w:rsidRPr="00DA5DBB">
        <w:rPr>
          <w:b/>
          <w:noProof/>
        </w:rPr>
        <w:t>ANNEXES</w:t>
      </w:r>
    </w:p>
    <w:p w:rsidR="00A010A4" w:rsidRDefault="00A010A4" w:rsidP="00A010A4">
      <w:pPr>
        <w:keepLines/>
        <w:tabs>
          <w:tab w:val="left" w:pos="1134"/>
          <w:tab w:val="left" w:pos="1560"/>
        </w:tabs>
        <w:rPr>
          <w:noProof/>
        </w:rPr>
      </w:pPr>
      <w:r>
        <w:rPr>
          <w:noProof/>
        </w:rPr>
        <w:t>ANNEX I</w:t>
      </w:r>
      <w:r>
        <w:rPr>
          <w:noProof/>
        </w:rPr>
        <w:tab/>
      </w:r>
      <w:r w:rsidRPr="00DA5DBB">
        <w:rPr>
          <w:noProof/>
        </w:rPr>
        <w:t xml:space="preserve">– </w:t>
      </w:r>
      <w:r>
        <w:rPr>
          <w:noProof/>
        </w:rPr>
        <w:tab/>
      </w:r>
      <w:r w:rsidR="00880153">
        <w:rPr>
          <w:noProof/>
        </w:rPr>
        <w:t>List of IOD r</w:t>
      </w:r>
      <w:r w:rsidR="00880153" w:rsidRPr="00DA5DBB">
        <w:rPr>
          <w:noProof/>
        </w:rPr>
        <w:t>eports</w:t>
      </w:r>
      <w:r w:rsidR="00880153">
        <w:rPr>
          <w:noProof/>
        </w:rPr>
        <w:t xml:space="preserve"> </w:t>
      </w:r>
    </w:p>
    <w:p w:rsidR="00A010A4" w:rsidRPr="00DA5DBB" w:rsidRDefault="00A010A4" w:rsidP="00A010A4">
      <w:pPr>
        <w:keepLines/>
        <w:tabs>
          <w:tab w:val="left" w:pos="1134"/>
          <w:tab w:val="left" w:pos="1560"/>
        </w:tabs>
        <w:rPr>
          <w:noProof/>
        </w:rPr>
      </w:pPr>
      <w:r w:rsidRPr="00DA5DBB">
        <w:rPr>
          <w:noProof/>
        </w:rPr>
        <w:t>ANNEX I</w:t>
      </w:r>
      <w:r>
        <w:rPr>
          <w:noProof/>
        </w:rPr>
        <w:t>I</w:t>
      </w:r>
      <w:r w:rsidRPr="00DA5DBB">
        <w:rPr>
          <w:noProof/>
        </w:rPr>
        <w:t xml:space="preserve"> </w:t>
      </w:r>
      <w:r>
        <w:rPr>
          <w:noProof/>
        </w:rPr>
        <w:tab/>
      </w:r>
      <w:r w:rsidRPr="00DA5DBB">
        <w:rPr>
          <w:noProof/>
        </w:rPr>
        <w:t xml:space="preserve">– </w:t>
      </w:r>
      <w:r>
        <w:rPr>
          <w:noProof/>
        </w:rPr>
        <w:tab/>
      </w:r>
      <w:r w:rsidR="00880153" w:rsidRPr="00DA5DBB">
        <w:rPr>
          <w:noProof/>
        </w:rPr>
        <w:t xml:space="preserve">List of </w:t>
      </w:r>
      <w:r w:rsidR="00880153">
        <w:rPr>
          <w:noProof/>
        </w:rPr>
        <w:t>IOD</w:t>
      </w:r>
      <w:r w:rsidR="00880153" w:rsidRPr="00DA5DBB">
        <w:rPr>
          <w:noProof/>
        </w:rPr>
        <w:t xml:space="preserve"> consulting and advisory activities</w:t>
      </w:r>
    </w:p>
    <w:p w:rsidR="004B6701" w:rsidRDefault="004B6701" w:rsidP="004B6701">
      <w:pPr>
        <w:keepLines/>
        <w:tabs>
          <w:tab w:val="left" w:pos="1134"/>
          <w:tab w:val="left" w:pos="1560"/>
        </w:tabs>
        <w:rPr>
          <w:noProof/>
        </w:rPr>
      </w:pPr>
    </w:p>
    <w:p w:rsidR="00907F45" w:rsidRDefault="00907F45">
      <w:pPr>
        <w:rPr>
          <w:b/>
          <w:bCs/>
          <w:caps/>
          <w:kern w:val="32"/>
          <w:szCs w:val="32"/>
        </w:rPr>
      </w:pPr>
      <w:r>
        <w:br w:type="page"/>
      </w:r>
    </w:p>
    <w:p w:rsidR="002928D3" w:rsidRDefault="006A0D3F" w:rsidP="00A24569">
      <w:pPr>
        <w:pStyle w:val="Heading1"/>
      </w:pPr>
      <w:bookmarkStart w:id="15" w:name="_Toc487462075"/>
      <w:r>
        <w:lastRenderedPageBreak/>
        <w:t>LIST OF ACRONYMS</w:t>
      </w:r>
      <w:bookmarkEnd w:id="15"/>
    </w:p>
    <w:tbl>
      <w:tblPr>
        <w:tblStyle w:val="TableGrid"/>
        <w:tblW w:w="9605" w:type="dxa"/>
        <w:tblInd w:w="0" w:type="dxa"/>
        <w:tblLook w:val="01E0" w:firstRow="1" w:lastRow="1" w:firstColumn="1" w:lastColumn="1" w:noHBand="0" w:noVBand="0"/>
      </w:tblPr>
      <w:tblGrid>
        <w:gridCol w:w="1526"/>
        <w:gridCol w:w="8079"/>
      </w:tblGrid>
      <w:tr w:rsidR="009D1993" w:rsidRPr="00DF27E3" w:rsidTr="009D1993">
        <w:trPr>
          <w:trHeight w:val="340"/>
        </w:trPr>
        <w:tc>
          <w:tcPr>
            <w:tcW w:w="1526" w:type="dxa"/>
            <w:vAlign w:val="center"/>
          </w:tcPr>
          <w:p w:rsidR="009D1993" w:rsidRPr="00DF27E3" w:rsidRDefault="009D1993" w:rsidP="00E613EE">
            <w:pPr>
              <w:ind w:hanging="737"/>
              <w:jc w:val="both"/>
              <w:rPr>
                <w:b/>
                <w:bCs/>
                <w:szCs w:val="22"/>
              </w:rPr>
            </w:pPr>
            <w:r>
              <w:rPr>
                <w:b/>
                <w:bCs/>
                <w:szCs w:val="22"/>
              </w:rPr>
              <w:t>AIMS HR</w:t>
            </w:r>
          </w:p>
        </w:tc>
        <w:tc>
          <w:tcPr>
            <w:tcW w:w="8079" w:type="dxa"/>
            <w:vAlign w:val="center"/>
          </w:tcPr>
          <w:p w:rsidR="009D1993" w:rsidRPr="00DF27E3" w:rsidRDefault="009D1993" w:rsidP="005D7F4E">
            <w:pPr>
              <w:tabs>
                <w:tab w:val="right" w:pos="6880"/>
              </w:tabs>
              <w:ind w:left="43"/>
              <w:rPr>
                <w:szCs w:val="22"/>
              </w:rPr>
            </w:pPr>
            <w:r>
              <w:t>Administrative and Information Management Systems</w:t>
            </w:r>
            <w:r w:rsidR="00B324A9">
              <w:t>’</w:t>
            </w:r>
            <w:r>
              <w:t xml:space="preserve"> Human Resource</w:t>
            </w:r>
          </w:p>
        </w:tc>
      </w:tr>
      <w:tr w:rsidR="00F119C5" w:rsidRPr="00DF27E3" w:rsidTr="009D1993">
        <w:trPr>
          <w:trHeight w:val="340"/>
        </w:trPr>
        <w:tc>
          <w:tcPr>
            <w:tcW w:w="1526" w:type="dxa"/>
            <w:vAlign w:val="center"/>
          </w:tcPr>
          <w:p w:rsidR="00F119C5" w:rsidRPr="00DF27E3" w:rsidRDefault="00F119C5" w:rsidP="00E613EE">
            <w:pPr>
              <w:ind w:hanging="737"/>
              <w:jc w:val="both"/>
              <w:rPr>
                <w:b/>
                <w:bCs/>
                <w:szCs w:val="22"/>
              </w:rPr>
            </w:pPr>
            <w:r w:rsidRPr="00DF27E3">
              <w:rPr>
                <w:b/>
                <w:bCs/>
                <w:szCs w:val="22"/>
              </w:rPr>
              <w:t>CDIP</w:t>
            </w:r>
          </w:p>
        </w:tc>
        <w:tc>
          <w:tcPr>
            <w:tcW w:w="8079" w:type="dxa"/>
            <w:vAlign w:val="center"/>
          </w:tcPr>
          <w:p w:rsidR="00F119C5" w:rsidRPr="00DF27E3" w:rsidRDefault="00F119C5" w:rsidP="005D7F4E">
            <w:pPr>
              <w:tabs>
                <w:tab w:val="right" w:pos="6880"/>
              </w:tabs>
              <w:ind w:left="43"/>
              <w:rPr>
                <w:szCs w:val="22"/>
              </w:rPr>
            </w:pPr>
            <w:r w:rsidRPr="00DF27E3">
              <w:rPr>
                <w:szCs w:val="22"/>
              </w:rPr>
              <w:t>Committee on Development and Intellectual Property</w:t>
            </w:r>
          </w:p>
        </w:tc>
      </w:tr>
      <w:tr w:rsidR="00963387" w:rsidRPr="00DF27E3" w:rsidTr="009D1993">
        <w:trPr>
          <w:trHeight w:val="340"/>
        </w:trPr>
        <w:tc>
          <w:tcPr>
            <w:tcW w:w="1526" w:type="dxa"/>
            <w:vAlign w:val="center"/>
          </w:tcPr>
          <w:p w:rsidR="00963387" w:rsidRPr="00DF27E3" w:rsidRDefault="00963387" w:rsidP="00E613EE">
            <w:pPr>
              <w:ind w:hanging="737"/>
              <w:jc w:val="both"/>
              <w:rPr>
                <w:b/>
                <w:bCs/>
                <w:szCs w:val="22"/>
              </w:rPr>
            </w:pPr>
            <w:r w:rsidRPr="00DF27E3">
              <w:rPr>
                <w:b/>
                <w:bCs/>
                <w:szCs w:val="22"/>
              </w:rPr>
              <w:t>CII</w:t>
            </w:r>
          </w:p>
        </w:tc>
        <w:tc>
          <w:tcPr>
            <w:tcW w:w="8079" w:type="dxa"/>
            <w:vAlign w:val="center"/>
          </w:tcPr>
          <w:p w:rsidR="00963387" w:rsidRPr="00DF27E3" w:rsidRDefault="00963387" w:rsidP="005D7F4E">
            <w:pPr>
              <w:tabs>
                <w:tab w:val="right" w:pos="6880"/>
              </w:tabs>
              <w:ind w:left="43"/>
              <w:rPr>
                <w:szCs w:val="22"/>
              </w:rPr>
            </w:pPr>
            <w:r w:rsidRPr="00DF27E3">
              <w:rPr>
                <w:szCs w:val="22"/>
              </w:rPr>
              <w:t>Conference of International Investigators</w:t>
            </w:r>
          </w:p>
        </w:tc>
      </w:tr>
      <w:tr w:rsidR="00023B92" w:rsidRPr="00DF27E3" w:rsidTr="009D1993">
        <w:trPr>
          <w:trHeight w:val="340"/>
        </w:trPr>
        <w:tc>
          <w:tcPr>
            <w:tcW w:w="1526" w:type="dxa"/>
            <w:vAlign w:val="center"/>
          </w:tcPr>
          <w:p w:rsidR="00023B92" w:rsidRDefault="00023B92" w:rsidP="00E613EE">
            <w:pPr>
              <w:ind w:hanging="737"/>
              <w:jc w:val="both"/>
              <w:rPr>
                <w:b/>
                <w:bCs/>
                <w:szCs w:val="22"/>
              </w:rPr>
            </w:pPr>
            <w:r>
              <w:rPr>
                <w:b/>
                <w:bCs/>
                <w:szCs w:val="22"/>
              </w:rPr>
              <w:t>ER</w:t>
            </w:r>
          </w:p>
        </w:tc>
        <w:tc>
          <w:tcPr>
            <w:tcW w:w="8079" w:type="dxa"/>
            <w:vAlign w:val="center"/>
          </w:tcPr>
          <w:p w:rsidR="00023B92" w:rsidRDefault="00023B92" w:rsidP="005D7F4E">
            <w:pPr>
              <w:ind w:left="43"/>
            </w:pPr>
            <w:r>
              <w:t>Expected Results</w:t>
            </w:r>
          </w:p>
        </w:tc>
      </w:tr>
      <w:tr w:rsidR="007A4088" w:rsidRPr="00DF27E3" w:rsidTr="009D1993">
        <w:trPr>
          <w:trHeight w:val="340"/>
        </w:trPr>
        <w:tc>
          <w:tcPr>
            <w:tcW w:w="1526" w:type="dxa"/>
            <w:vAlign w:val="center"/>
          </w:tcPr>
          <w:p w:rsidR="007A4088" w:rsidRPr="00DF27E3" w:rsidRDefault="007A4088" w:rsidP="00E613EE">
            <w:pPr>
              <w:ind w:hanging="737"/>
              <w:jc w:val="both"/>
              <w:rPr>
                <w:b/>
                <w:bCs/>
                <w:szCs w:val="22"/>
              </w:rPr>
            </w:pPr>
            <w:r>
              <w:rPr>
                <w:b/>
                <w:bCs/>
                <w:szCs w:val="22"/>
              </w:rPr>
              <w:t>ERM</w:t>
            </w:r>
          </w:p>
        </w:tc>
        <w:tc>
          <w:tcPr>
            <w:tcW w:w="8079" w:type="dxa"/>
            <w:vAlign w:val="center"/>
          </w:tcPr>
          <w:p w:rsidR="007A4088" w:rsidRPr="00DF27E3" w:rsidRDefault="007A4088" w:rsidP="005D7F4E">
            <w:pPr>
              <w:ind w:left="43"/>
              <w:rPr>
                <w:szCs w:val="22"/>
              </w:rPr>
            </w:pPr>
            <w:r>
              <w:t>Enterprise Risk Management</w:t>
            </w:r>
          </w:p>
        </w:tc>
      </w:tr>
      <w:tr w:rsidR="001E3E19" w:rsidRPr="00DF27E3" w:rsidTr="009D1993">
        <w:trPr>
          <w:trHeight w:val="340"/>
        </w:trPr>
        <w:tc>
          <w:tcPr>
            <w:tcW w:w="1526" w:type="dxa"/>
            <w:vAlign w:val="center"/>
          </w:tcPr>
          <w:p w:rsidR="001E3E19" w:rsidRPr="00DF27E3" w:rsidRDefault="001E3E19" w:rsidP="00E613EE">
            <w:pPr>
              <w:ind w:hanging="737"/>
              <w:jc w:val="both"/>
              <w:rPr>
                <w:b/>
                <w:bCs/>
                <w:szCs w:val="22"/>
              </w:rPr>
            </w:pPr>
            <w:r w:rsidRPr="00DF27E3">
              <w:rPr>
                <w:b/>
                <w:bCs/>
                <w:szCs w:val="22"/>
              </w:rPr>
              <w:t>EQA</w:t>
            </w:r>
          </w:p>
        </w:tc>
        <w:tc>
          <w:tcPr>
            <w:tcW w:w="8079" w:type="dxa"/>
            <w:vAlign w:val="center"/>
          </w:tcPr>
          <w:p w:rsidR="001E3E19" w:rsidRPr="00DF27E3" w:rsidRDefault="001E3E19" w:rsidP="005D7F4E">
            <w:pPr>
              <w:ind w:left="43"/>
              <w:rPr>
                <w:szCs w:val="22"/>
              </w:rPr>
            </w:pPr>
            <w:r w:rsidRPr="00DF27E3">
              <w:rPr>
                <w:szCs w:val="22"/>
              </w:rPr>
              <w:t>External Quality Assessment</w:t>
            </w:r>
          </w:p>
        </w:tc>
      </w:tr>
      <w:tr w:rsidR="00EF72F8" w:rsidRPr="00DF27E3" w:rsidTr="009D1993">
        <w:trPr>
          <w:trHeight w:val="340"/>
        </w:trPr>
        <w:tc>
          <w:tcPr>
            <w:tcW w:w="1526" w:type="dxa"/>
            <w:vAlign w:val="center"/>
          </w:tcPr>
          <w:p w:rsidR="00EF72F8" w:rsidRPr="00DF27E3" w:rsidRDefault="00EF72F8" w:rsidP="00E613EE">
            <w:pPr>
              <w:ind w:hanging="737"/>
              <w:jc w:val="both"/>
              <w:rPr>
                <w:b/>
                <w:bCs/>
                <w:szCs w:val="22"/>
              </w:rPr>
            </w:pPr>
            <w:r>
              <w:rPr>
                <w:b/>
                <w:bCs/>
                <w:szCs w:val="22"/>
              </w:rPr>
              <w:t>FRR</w:t>
            </w:r>
          </w:p>
        </w:tc>
        <w:tc>
          <w:tcPr>
            <w:tcW w:w="8079" w:type="dxa"/>
            <w:vAlign w:val="center"/>
          </w:tcPr>
          <w:p w:rsidR="00EF72F8" w:rsidRPr="00DF27E3" w:rsidRDefault="00EF72F8" w:rsidP="005D7F4E">
            <w:pPr>
              <w:ind w:left="43"/>
              <w:rPr>
                <w:szCs w:val="22"/>
              </w:rPr>
            </w:pPr>
            <w:r>
              <w:rPr>
                <w:szCs w:val="22"/>
              </w:rPr>
              <w:t xml:space="preserve">Financial </w:t>
            </w:r>
            <w:r w:rsidR="00B324A9">
              <w:rPr>
                <w:szCs w:val="22"/>
              </w:rPr>
              <w:t>Regulations and Rules</w:t>
            </w:r>
          </w:p>
        </w:tc>
      </w:tr>
      <w:tr w:rsidR="00E534BA" w:rsidRPr="00DF27E3" w:rsidTr="009D1993">
        <w:trPr>
          <w:trHeight w:val="340"/>
        </w:trPr>
        <w:tc>
          <w:tcPr>
            <w:tcW w:w="1526" w:type="dxa"/>
            <w:vAlign w:val="center"/>
          </w:tcPr>
          <w:p w:rsidR="00E534BA" w:rsidRPr="00DF27E3" w:rsidRDefault="00E534BA" w:rsidP="00E613EE">
            <w:pPr>
              <w:ind w:hanging="737"/>
              <w:jc w:val="both"/>
              <w:rPr>
                <w:b/>
                <w:bCs/>
                <w:szCs w:val="22"/>
              </w:rPr>
            </w:pPr>
            <w:r w:rsidRPr="00DF27E3">
              <w:rPr>
                <w:b/>
                <w:bCs/>
                <w:szCs w:val="22"/>
              </w:rPr>
              <w:t>HOIA</w:t>
            </w:r>
          </w:p>
        </w:tc>
        <w:tc>
          <w:tcPr>
            <w:tcW w:w="8079" w:type="dxa"/>
            <w:vAlign w:val="center"/>
          </w:tcPr>
          <w:p w:rsidR="00E534BA" w:rsidRPr="00DF27E3" w:rsidRDefault="00E534BA" w:rsidP="00E534BA">
            <w:pPr>
              <w:ind w:left="43"/>
              <w:rPr>
                <w:szCs w:val="22"/>
              </w:rPr>
            </w:pPr>
            <w:r w:rsidRPr="00DF27E3">
              <w:rPr>
                <w:szCs w:val="22"/>
              </w:rPr>
              <w:t xml:space="preserve">Heads of Internal Audit in International Organizations in Europe </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HRMD</w:t>
            </w:r>
          </w:p>
        </w:tc>
        <w:tc>
          <w:tcPr>
            <w:tcW w:w="8079" w:type="dxa"/>
            <w:vAlign w:val="center"/>
          </w:tcPr>
          <w:p w:rsidR="00CE2815" w:rsidRPr="00DF27E3" w:rsidRDefault="00CE2815" w:rsidP="005D7F4E">
            <w:pPr>
              <w:ind w:left="43"/>
              <w:rPr>
                <w:szCs w:val="22"/>
              </w:rPr>
            </w:pPr>
            <w:r w:rsidRPr="00DF27E3">
              <w:rPr>
                <w:szCs w:val="22"/>
              </w:rPr>
              <w:t>Human Resources Management Department</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IAOC</w:t>
            </w:r>
          </w:p>
        </w:tc>
        <w:tc>
          <w:tcPr>
            <w:tcW w:w="8079" w:type="dxa"/>
            <w:vAlign w:val="center"/>
          </w:tcPr>
          <w:p w:rsidR="00CE2815" w:rsidRPr="00DF27E3" w:rsidRDefault="00CE2815" w:rsidP="005D7F4E">
            <w:pPr>
              <w:ind w:left="43"/>
              <w:rPr>
                <w:szCs w:val="22"/>
              </w:rPr>
            </w:pPr>
            <w:r w:rsidRPr="00DF27E3">
              <w:rPr>
                <w:szCs w:val="22"/>
              </w:rPr>
              <w:t>Independent Advisory Oversight Committee</w:t>
            </w:r>
          </w:p>
        </w:tc>
      </w:tr>
      <w:tr w:rsidR="001C3954" w:rsidRPr="00DF27E3" w:rsidTr="009D1993">
        <w:tblPrEx>
          <w:tblLook w:val="04A0" w:firstRow="1" w:lastRow="0" w:firstColumn="1" w:lastColumn="0" w:noHBand="0" w:noVBand="1"/>
        </w:tblPrEx>
        <w:trPr>
          <w:trHeight w:val="340"/>
        </w:trPr>
        <w:tc>
          <w:tcPr>
            <w:tcW w:w="1526" w:type="dxa"/>
          </w:tcPr>
          <w:p w:rsidR="001C3954" w:rsidRPr="00DF27E3" w:rsidRDefault="001C3954" w:rsidP="00E613EE">
            <w:pPr>
              <w:ind w:hanging="737"/>
              <w:jc w:val="both"/>
              <w:rPr>
                <w:b/>
                <w:bCs/>
                <w:szCs w:val="22"/>
              </w:rPr>
            </w:pPr>
            <w:r>
              <w:rPr>
                <w:b/>
                <w:bCs/>
                <w:szCs w:val="22"/>
              </w:rPr>
              <w:t>ICT</w:t>
            </w:r>
          </w:p>
        </w:tc>
        <w:tc>
          <w:tcPr>
            <w:tcW w:w="8079" w:type="dxa"/>
          </w:tcPr>
          <w:p w:rsidR="001C3954" w:rsidRPr="00DF27E3" w:rsidRDefault="001C3954" w:rsidP="0048012B">
            <w:pPr>
              <w:ind w:left="43"/>
              <w:rPr>
                <w:szCs w:val="22"/>
              </w:rPr>
            </w:pPr>
            <w:r w:rsidRPr="001305E9">
              <w:rPr>
                <w:szCs w:val="22"/>
              </w:rPr>
              <w:t>Information and Communication Technology</w:t>
            </w:r>
          </w:p>
        </w:tc>
      </w:tr>
      <w:tr w:rsidR="00F119C5" w:rsidRPr="00DF27E3" w:rsidTr="009D1993">
        <w:tblPrEx>
          <w:tblLook w:val="04A0" w:firstRow="1" w:lastRow="0" w:firstColumn="1" w:lastColumn="0" w:noHBand="0" w:noVBand="1"/>
        </w:tblPrEx>
        <w:trPr>
          <w:trHeight w:val="340"/>
        </w:trPr>
        <w:tc>
          <w:tcPr>
            <w:tcW w:w="1526" w:type="dxa"/>
          </w:tcPr>
          <w:p w:rsidR="00F119C5" w:rsidRPr="00DF27E3" w:rsidRDefault="00F119C5" w:rsidP="00E613EE">
            <w:pPr>
              <w:ind w:hanging="737"/>
              <w:jc w:val="both"/>
              <w:rPr>
                <w:b/>
                <w:bCs/>
                <w:szCs w:val="22"/>
              </w:rPr>
            </w:pPr>
            <w:r w:rsidRPr="00DF27E3">
              <w:rPr>
                <w:b/>
                <w:bCs/>
                <w:szCs w:val="22"/>
              </w:rPr>
              <w:t>IIA</w:t>
            </w:r>
          </w:p>
        </w:tc>
        <w:tc>
          <w:tcPr>
            <w:tcW w:w="8079" w:type="dxa"/>
          </w:tcPr>
          <w:p w:rsidR="00F119C5" w:rsidRPr="00DF27E3" w:rsidRDefault="00F119C5" w:rsidP="0048012B">
            <w:pPr>
              <w:ind w:left="43"/>
              <w:rPr>
                <w:szCs w:val="22"/>
              </w:rPr>
            </w:pPr>
            <w:r w:rsidRPr="00DF27E3">
              <w:rPr>
                <w:szCs w:val="22"/>
              </w:rPr>
              <w:t>Institute of Internal Auditors</w:t>
            </w:r>
          </w:p>
        </w:tc>
      </w:tr>
      <w:tr w:rsidR="00F119C5" w:rsidRPr="00DF27E3" w:rsidTr="009D1993">
        <w:tblPrEx>
          <w:tblLook w:val="04A0" w:firstRow="1" w:lastRow="0" w:firstColumn="1" w:lastColumn="0" w:noHBand="0" w:noVBand="1"/>
        </w:tblPrEx>
        <w:trPr>
          <w:trHeight w:val="340"/>
        </w:trPr>
        <w:tc>
          <w:tcPr>
            <w:tcW w:w="1526" w:type="dxa"/>
          </w:tcPr>
          <w:p w:rsidR="00F119C5" w:rsidRPr="00DF27E3" w:rsidRDefault="00F119C5" w:rsidP="00E613EE">
            <w:pPr>
              <w:ind w:hanging="737"/>
              <w:jc w:val="both"/>
              <w:rPr>
                <w:b/>
                <w:bCs/>
                <w:szCs w:val="22"/>
              </w:rPr>
            </w:pPr>
            <w:r w:rsidRPr="00DF27E3">
              <w:rPr>
                <w:b/>
                <w:bCs/>
                <w:szCs w:val="22"/>
              </w:rPr>
              <w:t>IOC</w:t>
            </w:r>
          </w:p>
        </w:tc>
        <w:tc>
          <w:tcPr>
            <w:tcW w:w="8079" w:type="dxa"/>
          </w:tcPr>
          <w:p w:rsidR="00F119C5" w:rsidRPr="00DF27E3" w:rsidRDefault="00F119C5" w:rsidP="0048012B">
            <w:pPr>
              <w:ind w:left="43"/>
              <w:rPr>
                <w:szCs w:val="22"/>
              </w:rPr>
            </w:pPr>
            <w:r w:rsidRPr="00DF27E3">
              <w:rPr>
                <w:szCs w:val="22"/>
              </w:rPr>
              <w:t>Internal Oversight Charter</w:t>
            </w:r>
          </w:p>
        </w:tc>
      </w:tr>
      <w:tr w:rsidR="00CE2815" w:rsidRPr="00DF27E3" w:rsidTr="009D1993">
        <w:trPr>
          <w:trHeight w:val="340"/>
        </w:trPr>
        <w:tc>
          <w:tcPr>
            <w:tcW w:w="1526" w:type="dxa"/>
            <w:vAlign w:val="center"/>
          </w:tcPr>
          <w:p w:rsidR="00CE2815" w:rsidRPr="00DF27E3" w:rsidRDefault="004D6A1C" w:rsidP="00E613EE">
            <w:pPr>
              <w:ind w:hanging="737"/>
              <w:jc w:val="both"/>
              <w:rPr>
                <w:b/>
                <w:bCs/>
                <w:szCs w:val="22"/>
              </w:rPr>
            </w:pPr>
            <w:r w:rsidRPr="00DF27E3">
              <w:rPr>
                <w:b/>
                <w:bCs/>
                <w:szCs w:val="22"/>
              </w:rPr>
              <w:t>I</w:t>
            </w:r>
            <w:r w:rsidR="00CE2815" w:rsidRPr="00DF27E3">
              <w:rPr>
                <w:b/>
                <w:bCs/>
                <w:szCs w:val="22"/>
              </w:rPr>
              <w:t>OD</w:t>
            </w:r>
          </w:p>
        </w:tc>
        <w:tc>
          <w:tcPr>
            <w:tcW w:w="8079" w:type="dxa"/>
            <w:vAlign w:val="center"/>
          </w:tcPr>
          <w:p w:rsidR="00CE2815" w:rsidRPr="00DF27E3" w:rsidRDefault="00CE2815" w:rsidP="004D6A1C">
            <w:pPr>
              <w:ind w:left="43"/>
              <w:rPr>
                <w:szCs w:val="22"/>
              </w:rPr>
            </w:pPr>
            <w:r w:rsidRPr="00DF27E3">
              <w:rPr>
                <w:szCs w:val="22"/>
              </w:rPr>
              <w:t>Internal Oversight Division</w:t>
            </w:r>
          </w:p>
        </w:tc>
      </w:tr>
      <w:tr w:rsidR="00871CAE" w:rsidRPr="00DF27E3" w:rsidTr="009D1993">
        <w:trPr>
          <w:trHeight w:val="340"/>
        </w:trPr>
        <w:tc>
          <w:tcPr>
            <w:tcW w:w="1526" w:type="dxa"/>
            <w:vAlign w:val="center"/>
          </w:tcPr>
          <w:p w:rsidR="00871CAE" w:rsidRPr="00DF27E3" w:rsidRDefault="00871CAE" w:rsidP="00E613EE">
            <w:pPr>
              <w:ind w:hanging="737"/>
              <w:jc w:val="both"/>
              <w:rPr>
                <w:b/>
                <w:bCs/>
                <w:szCs w:val="22"/>
              </w:rPr>
            </w:pPr>
            <w:r w:rsidRPr="00DF27E3">
              <w:rPr>
                <w:b/>
                <w:bCs/>
                <w:szCs w:val="22"/>
              </w:rPr>
              <w:t>IP</w:t>
            </w:r>
          </w:p>
        </w:tc>
        <w:tc>
          <w:tcPr>
            <w:tcW w:w="8079" w:type="dxa"/>
            <w:vAlign w:val="center"/>
          </w:tcPr>
          <w:p w:rsidR="00871CAE" w:rsidRPr="00DF27E3" w:rsidRDefault="00871CAE" w:rsidP="005D7F4E">
            <w:pPr>
              <w:ind w:left="43"/>
              <w:rPr>
                <w:szCs w:val="22"/>
              </w:rPr>
            </w:pPr>
            <w:r w:rsidRPr="00DF27E3">
              <w:rPr>
                <w:szCs w:val="22"/>
              </w:rPr>
              <w:t>Intellectual Property</w:t>
            </w:r>
          </w:p>
        </w:tc>
      </w:tr>
      <w:tr w:rsidR="009D1993" w:rsidRPr="00DF27E3" w:rsidTr="009D1993">
        <w:trPr>
          <w:trHeight w:val="340"/>
        </w:trPr>
        <w:tc>
          <w:tcPr>
            <w:tcW w:w="1526" w:type="dxa"/>
            <w:vAlign w:val="center"/>
          </w:tcPr>
          <w:p w:rsidR="009D1993" w:rsidRPr="00DF27E3" w:rsidRDefault="009D1993" w:rsidP="00E613EE">
            <w:pPr>
              <w:ind w:hanging="737"/>
              <w:jc w:val="both"/>
              <w:rPr>
                <w:b/>
                <w:bCs/>
                <w:szCs w:val="22"/>
              </w:rPr>
            </w:pPr>
            <w:r>
              <w:rPr>
                <w:b/>
                <w:bCs/>
                <w:szCs w:val="22"/>
              </w:rPr>
              <w:t>ISO</w:t>
            </w:r>
          </w:p>
        </w:tc>
        <w:tc>
          <w:tcPr>
            <w:tcW w:w="8079" w:type="dxa"/>
            <w:vAlign w:val="center"/>
          </w:tcPr>
          <w:p w:rsidR="009D1993" w:rsidRPr="00DF27E3" w:rsidRDefault="009D1993" w:rsidP="005D7F4E">
            <w:pPr>
              <w:ind w:left="43"/>
              <w:rPr>
                <w:szCs w:val="22"/>
              </w:rPr>
            </w:pPr>
            <w:r>
              <w:t>International Standards Organization</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IT</w:t>
            </w:r>
          </w:p>
        </w:tc>
        <w:tc>
          <w:tcPr>
            <w:tcW w:w="8079" w:type="dxa"/>
            <w:vAlign w:val="center"/>
          </w:tcPr>
          <w:p w:rsidR="00CE2815" w:rsidRPr="00DF27E3" w:rsidRDefault="00CE2815" w:rsidP="005D7F4E">
            <w:pPr>
              <w:ind w:left="43"/>
              <w:rPr>
                <w:szCs w:val="22"/>
              </w:rPr>
            </w:pPr>
            <w:r w:rsidRPr="00DF27E3">
              <w:rPr>
                <w:szCs w:val="22"/>
              </w:rPr>
              <w:t>Information Technology</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JIU</w:t>
            </w:r>
          </w:p>
        </w:tc>
        <w:tc>
          <w:tcPr>
            <w:tcW w:w="8079" w:type="dxa"/>
            <w:vAlign w:val="center"/>
          </w:tcPr>
          <w:p w:rsidR="00CE2815" w:rsidRPr="00DF27E3" w:rsidRDefault="00CE2815" w:rsidP="005D7F4E">
            <w:pPr>
              <w:ind w:left="43"/>
              <w:rPr>
                <w:szCs w:val="22"/>
              </w:rPr>
            </w:pPr>
            <w:r w:rsidRPr="00DF27E3">
              <w:rPr>
                <w:szCs w:val="22"/>
              </w:rPr>
              <w:t>Joint Inspection Unit</w:t>
            </w:r>
          </w:p>
        </w:tc>
      </w:tr>
      <w:tr w:rsidR="00E07818" w:rsidRPr="00DF27E3" w:rsidTr="009D1993">
        <w:trPr>
          <w:trHeight w:val="340"/>
        </w:trPr>
        <w:tc>
          <w:tcPr>
            <w:tcW w:w="1526" w:type="dxa"/>
            <w:vAlign w:val="center"/>
          </w:tcPr>
          <w:p w:rsidR="00E07818" w:rsidRPr="00DF27E3" w:rsidRDefault="00E07818" w:rsidP="00E613EE">
            <w:pPr>
              <w:ind w:hanging="737"/>
              <w:jc w:val="both"/>
              <w:rPr>
                <w:b/>
                <w:bCs/>
                <w:szCs w:val="22"/>
              </w:rPr>
            </w:pPr>
            <w:r w:rsidRPr="00DF27E3">
              <w:rPr>
                <w:b/>
                <w:bCs/>
                <w:szCs w:val="22"/>
              </w:rPr>
              <w:t>MIR</w:t>
            </w:r>
          </w:p>
        </w:tc>
        <w:tc>
          <w:tcPr>
            <w:tcW w:w="8079" w:type="dxa"/>
            <w:vAlign w:val="center"/>
          </w:tcPr>
          <w:p w:rsidR="00E07818" w:rsidRPr="00DF27E3" w:rsidRDefault="00E07818" w:rsidP="00E07818">
            <w:pPr>
              <w:ind w:left="43"/>
              <w:rPr>
                <w:szCs w:val="22"/>
              </w:rPr>
            </w:pPr>
            <w:r w:rsidRPr="00DF27E3">
              <w:rPr>
                <w:szCs w:val="22"/>
              </w:rPr>
              <w:t>Management Implication Report</w:t>
            </w:r>
          </w:p>
        </w:tc>
      </w:tr>
      <w:tr w:rsidR="009D1993" w:rsidRPr="00DF27E3" w:rsidTr="009D1993">
        <w:trPr>
          <w:trHeight w:val="340"/>
        </w:trPr>
        <w:tc>
          <w:tcPr>
            <w:tcW w:w="1526" w:type="dxa"/>
            <w:vAlign w:val="center"/>
          </w:tcPr>
          <w:p w:rsidR="009D1993" w:rsidRPr="00DF27E3" w:rsidRDefault="009D1993" w:rsidP="00E613EE">
            <w:pPr>
              <w:ind w:hanging="737"/>
              <w:jc w:val="both"/>
              <w:rPr>
                <w:b/>
                <w:bCs/>
                <w:szCs w:val="22"/>
              </w:rPr>
            </w:pPr>
            <w:r>
              <w:rPr>
                <w:b/>
                <w:bCs/>
                <w:szCs w:val="22"/>
              </w:rPr>
              <w:t>MIRIS</w:t>
            </w:r>
          </w:p>
        </w:tc>
        <w:tc>
          <w:tcPr>
            <w:tcW w:w="8079" w:type="dxa"/>
            <w:vAlign w:val="center"/>
          </w:tcPr>
          <w:p w:rsidR="009D1993" w:rsidRPr="00DF27E3" w:rsidRDefault="009D1993" w:rsidP="00E534BA">
            <w:pPr>
              <w:ind w:left="43"/>
              <w:rPr>
                <w:szCs w:val="22"/>
              </w:rPr>
            </w:pPr>
            <w:r>
              <w:t>Madrid International Registrations Information System</w:t>
            </w:r>
          </w:p>
        </w:tc>
      </w:tr>
      <w:tr w:rsidR="009D1993" w:rsidRPr="00DF27E3" w:rsidTr="009D1993">
        <w:trPr>
          <w:trHeight w:val="340"/>
        </w:trPr>
        <w:tc>
          <w:tcPr>
            <w:tcW w:w="1526" w:type="dxa"/>
            <w:vAlign w:val="center"/>
          </w:tcPr>
          <w:p w:rsidR="009D1993" w:rsidRPr="00DF27E3" w:rsidRDefault="009D1993" w:rsidP="00E613EE">
            <w:pPr>
              <w:ind w:hanging="737"/>
              <w:jc w:val="both"/>
              <w:rPr>
                <w:b/>
                <w:bCs/>
                <w:szCs w:val="22"/>
              </w:rPr>
            </w:pPr>
            <w:r>
              <w:rPr>
                <w:b/>
                <w:bCs/>
                <w:szCs w:val="22"/>
              </w:rPr>
              <w:t>OI</w:t>
            </w:r>
          </w:p>
        </w:tc>
        <w:tc>
          <w:tcPr>
            <w:tcW w:w="8079" w:type="dxa"/>
            <w:vAlign w:val="center"/>
          </w:tcPr>
          <w:p w:rsidR="009D1993" w:rsidRPr="00DF27E3" w:rsidRDefault="009D1993" w:rsidP="005D7F4E">
            <w:pPr>
              <w:ind w:left="43"/>
              <w:rPr>
                <w:szCs w:val="22"/>
              </w:rPr>
            </w:pPr>
            <w:r w:rsidRPr="000B377F">
              <w:t>Office Instructions</w:t>
            </w:r>
          </w:p>
        </w:tc>
      </w:tr>
      <w:tr w:rsidR="00871CAE" w:rsidRPr="00DF27E3" w:rsidTr="009D1993">
        <w:trPr>
          <w:trHeight w:val="340"/>
        </w:trPr>
        <w:tc>
          <w:tcPr>
            <w:tcW w:w="1526" w:type="dxa"/>
            <w:vAlign w:val="center"/>
          </w:tcPr>
          <w:p w:rsidR="00871CAE" w:rsidRPr="00DF27E3" w:rsidRDefault="00871CAE" w:rsidP="00E613EE">
            <w:pPr>
              <w:ind w:hanging="737"/>
              <w:jc w:val="both"/>
              <w:rPr>
                <w:b/>
                <w:bCs/>
                <w:szCs w:val="22"/>
              </w:rPr>
            </w:pPr>
            <w:r w:rsidRPr="00DF27E3">
              <w:rPr>
                <w:b/>
                <w:bCs/>
                <w:szCs w:val="22"/>
              </w:rPr>
              <w:t>PBC</w:t>
            </w:r>
          </w:p>
        </w:tc>
        <w:tc>
          <w:tcPr>
            <w:tcW w:w="8079" w:type="dxa"/>
            <w:vAlign w:val="center"/>
          </w:tcPr>
          <w:p w:rsidR="00871CAE" w:rsidRPr="00DF27E3" w:rsidRDefault="00871CAE" w:rsidP="005D7F4E">
            <w:pPr>
              <w:ind w:left="43"/>
              <w:rPr>
                <w:szCs w:val="22"/>
              </w:rPr>
            </w:pPr>
            <w:r w:rsidRPr="00DF27E3">
              <w:rPr>
                <w:szCs w:val="22"/>
              </w:rPr>
              <w:t>Program and Budget Committee</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RIAS</w:t>
            </w:r>
          </w:p>
        </w:tc>
        <w:tc>
          <w:tcPr>
            <w:tcW w:w="8079" w:type="dxa"/>
            <w:vAlign w:val="center"/>
          </w:tcPr>
          <w:p w:rsidR="00CE2815" w:rsidRPr="00DF27E3" w:rsidRDefault="00CE2815" w:rsidP="005D7F4E">
            <w:pPr>
              <w:ind w:left="43"/>
              <w:rPr>
                <w:szCs w:val="22"/>
              </w:rPr>
            </w:pPr>
            <w:r w:rsidRPr="00DF27E3">
              <w:rPr>
                <w:szCs w:val="22"/>
              </w:rPr>
              <w:t>Representatives of Internal Audit Services</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UN</w:t>
            </w:r>
          </w:p>
        </w:tc>
        <w:tc>
          <w:tcPr>
            <w:tcW w:w="8079" w:type="dxa"/>
            <w:vAlign w:val="center"/>
          </w:tcPr>
          <w:p w:rsidR="00CE2815" w:rsidRPr="00DF27E3" w:rsidRDefault="00CE2815" w:rsidP="005D7F4E">
            <w:pPr>
              <w:ind w:left="43"/>
              <w:rPr>
                <w:szCs w:val="22"/>
              </w:rPr>
            </w:pPr>
            <w:r w:rsidRPr="00DF27E3">
              <w:rPr>
                <w:szCs w:val="22"/>
              </w:rPr>
              <w:t>United Nations</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UNEG</w:t>
            </w:r>
          </w:p>
        </w:tc>
        <w:tc>
          <w:tcPr>
            <w:tcW w:w="8079" w:type="dxa"/>
            <w:vAlign w:val="center"/>
          </w:tcPr>
          <w:p w:rsidR="00CE2815" w:rsidRPr="00DF27E3" w:rsidRDefault="001C1E16" w:rsidP="005D7F4E">
            <w:pPr>
              <w:ind w:left="43"/>
              <w:rPr>
                <w:szCs w:val="22"/>
              </w:rPr>
            </w:pPr>
            <w:r w:rsidRPr="00DF27E3">
              <w:rPr>
                <w:szCs w:val="22"/>
              </w:rPr>
              <w:t xml:space="preserve">United Nations </w:t>
            </w:r>
            <w:r w:rsidR="00CE2815" w:rsidRPr="00DF27E3">
              <w:rPr>
                <w:szCs w:val="22"/>
              </w:rPr>
              <w:t>Evaluation Group</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UNRIS</w:t>
            </w:r>
          </w:p>
        </w:tc>
        <w:tc>
          <w:tcPr>
            <w:tcW w:w="8079" w:type="dxa"/>
            <w:vAlign w:val="center"/>
          </w:tcPr>
          <w:p w:rsidR="00CE2815" w:rsidRPr="00DF27E3" w:rsidRDefault="001C1E16" w:rsidP="005D7F4E">
            <w:pPr>
              <w:ind w:left="43"/>
              <w:rPr>
                <w:szCs w:val="22"/>
              </w:rPr>
            </w:pPr>
            <w:r w:rsidRPr="00DF27E3">
              <w:rPr>
                <w:szCs w:val="22"/>
              </w:rPr>
              <w:t>United Nations</w:t>
            </w:r>
            <w:r w:rsidR="00CE2815" w:rsidRPr="00DF27E3">
              <w:rPr>
                <w:szCs w:val="22"/>
              </w:rPr>
              <w:t xml:space="preserve"> Representatives of Investigation Services</w:t>
            </w:r>
          </w:p>
        </w:tc>
      </w:tr>
      <w:tr w:rsidR="007A4088" w:rsidRPr="00DF27E3" w:rsidTr="009D1993">
        <w:trPr>
          <w:trHeight w:val="340"/>
        </w:trPr>
        <w:tc>
          <w:tcPr>
            <w:tcW w:w="1526" w:type="dxa"/>
            <w:vAlign w:val="center"/>
          </w:tcPr>
          <w:p w:rsidR="007A4088" w:rsidRPr="00DF27E3" w:rsidRDefault="007A4088" w:rsidP="00E613EE">
            <w:pPr>
              <w:ind w:hanging="737"/>
              <w:jc w:val="both"/>
              <w:rPr>
                <w:b/>
                <w:bCs/>
                <w:szCs w:val="22"/>
              </w:rPr>
            </w:pPr>
            <w:r w:rsidRPr="007A4088">
              <w:rPr>
                <w:b/>
                <w:bCs/>
                <w:szCs w:val="22"/>
              </w:rPr>
              <w:t>UPOV</w:t>
            </w:r>
          </w:p>
        </w:tc>
        <w:tc>
          <w:tcPr>
            <w:tcW w:w="8079" w:type="dxa"/>
            <w:vAlign w:val="center"/>
          </w:tcPr>
          <w:p w:rsidR="007A4088" w:rsidRPr="00DF27E3" w:rsidRDefault="007A4088" w:rsidP="007A4088">
            <w:pPr>
              <w:ind w:left="43"/>
              <w:rPr>
                <w:szCs w:val="22"/>
              </w:rPr>
            </w:pPr>
            <w:r w:rsidRPr="007A4088">
              <w:rPr>
                <w:szCs w:val="22"/>
              </w:rPr>
              <w:t>International Union for the Protect</w:t>
            </w:r>
            <w:r>
              <w:rPr>
                <w:szCs w:val="22"/>
              </w:rPr>
              <w:t>ion of New Varieties of Plants</w:t>
            </w:r>
          </w:p>
        </w:tc>
      </w:tr>
      <w:tr w:rsidR="00C72F9D" w:rsidRPr="00DF27E3" w:rsidTr="009D1993">
        <w:trPr>
          <w:trHeight w:val="340"/>
        </w:trPr>
        <w:tc>
          <w:tcPr>
            <w:tcW w:w="1526" w:type="dxa"/>
            <w:vAlign w:val="center"/>
          </w:tcPr>
          <w:p w:rsidR="00C72F9D" w:rsidRPr="00DF27E3" w:rsidRDefault="00C72F9D" w:rsidP="00E613EE">
            <w:pPr>
              <w:ind w:hanging="737"/>
              <w:jc w:val="both"/>
              <w:rPr>
                <w:b/>
                <w:bCs/>
                <w:szCs w:val="22"/>
              </w:rPr>
            </w:pPr>
            <w:r>
              <w:rPr>
                <w:b/>
                <w:bCs/>
                <w:szCs w:val="22"/>
              </w:rPr>
              <w:t>WFP</w:t>
            </w:r>
          </w:p>
        </w:tc>
        <w:tc>
          <w:tcPr>
            <w:tcW w:w="8079" w:type="dxa"/>
            <w:vAlign w:val="center"/>
          </w:tcPr>
          <w:p w:rsidR="00C72F9D" w:rsidRPr="00DF27E3" w:rsidRDefault="00C72F9D" w:rsidP="005D7F4E">
            <w:pPr>
              <w:ind w:left="43"/>
              <w:rPr>
                <w:szCs w:val="22"/>
              </w:rPr>
            </w:pPr>
            <w:r>
              <w:t xml:space="preserve">World Food </w:t>
            </w:r>
            <w:proofErr w:type="spellStart"/>
            <w:r>
              <w:t>Programme</w:t>
            </w:r>
            <w:proofErr w:type="spellEnd"/>
          </w:p>
        </w:tc>
      </w:tr>
      <w:tr w:rsidR="001C1E16" w:rsidRPr="00DF27E3" w:rsidTr="009D1993">
        <w:trPr>
          <w:trHeight w:val="340"/>
        </w:trPr>
        <w:tc>
          <w:tcPr>
            <w:tcW w:w="1526" w:type="dxa"/>
            <w:vAlign w:val="center"/>
          </w:tcPr>
          <w:p w:rsidR="001C1E16" w:rsidRPr="00DF27E3" w:rsidRDefault="001C1E16" w:rsidP="00E613EE">
            <w:pPr>
              <w:ind w:hanging="737"/>
              <w:jc w:val="both"/>
              <w:rPr>
                <w:b/>
                <w:bCs/>
                <w:szCs w:val="22"/>
              </w:rPr>
            </w:pPr>
            <w:r w:rsidRPr="00DF27E3">
              <w:rPr>
                <w:b/>
                <w:bCs/>
                <w:szCs w:val="22"/>
              </w:rPr>
              <w:t>WIPO</w:t>
            </w:r>
          </w:p>
        </w:tc>
        <w:tc>
          <w:tcPr>
            <w:tcW w:w="8079" w:type="dxa"/>
            <w:vAlign w:val="center"/>
          </w:tcPr>
          <w:p w:rsidR="001C1E16" w:rsidRPr="00DF27E3" w:rsidRDefault="001C1E16" w:rsidP="005D7F4E">
            <w:pPr>
              <w:ind w:left="43"/>
              <w:rPr>
                <w:szCs w:val="22"/>
              </w:rPr>
            </w:pPr>
            <w:r w:rsidRPr="00DF27E3">
              <w:rPr>
                <w:szCs w:val="22"/>
              </w:rPr>
              <w:t>World Intellectual Property Organization</w:t>
            </w:r>
          </w:p>
        </w:tc>
      </w:tr>
    </w:tbl>
    <w:p w:rsidR="003651AC" w:rsidRDefault="003651AC">
      <w:pPr>
        <w:rPr>
          <w:b/>
        </w:rPr>
      </w:pPr>
      <w:bookmarkStart w:id="16" w:name="_Toc392160703"/>
      <w:bookmarkStart w:id="17" w:name="_Toc392160740"/>
      <w:bookmarkStart w:id="18" w:name="_Toc423530309"/>
      <w:bookmarkStart w:id="19" w:name="_Toc423533365"/>
      <w:bookmarkStart w:id="20" w:name="_Toc423533509"/>
      <w:bookmarkStart w:id="21" w:name="_Toc452648468"/>
      <w:r>
        <w:rPr>
          <w:b/>
        </w:rPr>
        <w:br w:type="page"/>
      </w:r>
    </w:p>
    <w:p w:rsidR="00E32ADE" w:rsidRPr="00E32ADE" w:rsidRDefault="00E32ADE" w:rsidP="00317621">
      <w:pPr>
        <w:pStyle w:val="Heading1"/>
      </w:pPr>
      <w:bookmarkStart w:id="22" w:name="_Toc420663565"/>
      <w:bookmarkStart w:id="23" w:name="_Toc487462076"/>
      <w:bookmarkEnd w:id="16"/>
      <w:bookmarkEnd w:id="17"/>
      <w:bookmarkEnd w:id="18"/>
      <w:bookmarkEnd w:id="19"/>
      <w:bookmarkEnd w:id="20"/>
      <w:bookmarkEnd w:id="21"/>
      <w:r w:rsidRPr="00E32ADE">
        <w:lastRenderedPageBreak/>
        <w:t>BACKGROUND</w:t>
      </w:r>
      <w:bookmarkEnd w:id="22"/>
      <w:bookmarkEnd w:id="23"/>
    </w:p>
    <w:p w:rsidR="0056383E" w:rsidRDefault="00E32ADE" w:rsidP="0056383E">
      <w:pPr>
        <w:pStyle w:val="ONUME"/>
        <w:numPr>
          <w:ilvl w:val="0"/>
          <w:numId w:val="6"/>
        </w:numPr>
      </w:pPr>
      <w:r w:rsidRPr="00E32ADE">
        <w:t>The purpose of WIPO</w:t>
      </w:r>
      <w:r w:rsidR="00B324A9">
        <w:t>’</w:t>
      </w:r>
      <w:r w:rsidRPr="00E32ADE">
        <w:t xml:space="preserve">s Internal Oversight Division (IOD) is to provide independent and effective internal oversight for WIPO, in </w:t>
      </w:r>
      <w:r w:rsidR="00B35165">
        <w:t>line</w:t>
      </w:r>
      <w:r w:rsidR="00B35165" w:rsidRPr="00E32ADE">
        <w:t xml:space="preserve"> </w:t>
      </w:r>
      <w:r w:rsidRPr="00E32ADE">
        <w:t xml:space="preserve">with the provisions </w:t>
      </w:r>
      <w:r w:rsidR="00B35165">
        <w:t>of</w:t>
      </w:r>
      <w:r w:rsidR="00EC02FD">
        <w:t xml:space="preserve"> </w:t>
      </w:r>
      <w:r w:rsidRPr="00E32ADE">
        <w:t>the Internal Oversight Charter</w:t>
      </w:r>
      <w:r w:rsidR="006E5D14">
        <w:t> </w:t>
      </w:r>
      <w:r w:rsidR="0056383E">
        <w:t>(IOC).</w:t>
      </w:r>
    </w:p>
    <w:p w:rsidR="00F73A5E" w:rsidRPr="0056383E" w:rsidRDefault="00E32ADE" w:rsidP="0056383E">
      <w:pPr>
        <w:pStyle w:val="ONUME"/>
        <w:numPr>
          <w:ilvl w:val="0"/>
          <w:numId w:val="6"/>
        </w:numPr>
      </w:pPr>
      <w:r w:rsidRPr="00E32ADE">
        <w:t>The IOC requires</w:t>
      </w:r>
      <w:r w:rsidR="001C0542">
        <w:rPr>
          <w:rStyle w:val="FootnoteReference"/>
        </w:rPr>
        <w:footnoteReference w:id="2"/>
      </w:r>
      <w:r w:rsidRPr="00E32ADE">
        <w:t xml:space="preserve"> the Director, IOD to </w:t>
      </w:r>
      <w:r w:rsidR="00B1779C">
        <w:t>submit</w:t>
      </w:r>
      <w:r w:rsidR="00277318">
        <w:t>, on an annual basis,</w:t>
      </w:r>
      <w:r w:rsidR="00B1779C" w:rsidRPr="00E32ADE">
        <w:t xml:space="preserve"> </w:t>
      </w:r>
      <w:r w:rsidRPr="00E32ADE">
        <w:t>a</w:t>
      </w:r>
      <w:r w:rsidR="00B1779C">
        <w:t xml:space="preserve"> summary</w:t>
      </w:r>
      <w:r w:rsidRPr="00E32ADE">
        <w:t xml:space="preserve"> </w:t>
      </w:r>
      <w:r w:rsidR="006E5D14">
        <w:t>r</w:t>
      </w:r>
      <w:r w:rsidR="006E5D14" w:rsidRPr="00E32ADE">
        <w:t>eport</w:t>
      </w:r>
      <w:r w:rsidR="00B1779C">
        <w:t xml:space="preserve"> </w:t>
      </w:r>
      <w:r w:rsidRPr="00E32ADE">
        <w:t xml:space="preserve">to the </w:t>
      </w:r>
      <w:r w:rsidR="00164C2D">
        <w:t>WIPO General Assembly</w:t>
      </w:r>
      <w:r w:rsidR="00B1779C">
        <w:t>,</w:t>
      </w:r>
      <w:r w:rsidR="00164C2D">
        <w:t xml:space="preserve"> through the </w:t>
      </w:r>
      <w:r w:rsidR="005E6584">
        <w:t>P</w:t>
      </w:r>
      <w:r w:rsidR="00B1779C">
        <w:t>rogram and Budget Committee (P</w:t>
      </w:r>
      <w:r w:rsidR="005E6584">
        <w:t>BC</w:t>
      </w:r>
      <w:r w:rsidR="009D15E7">
        <w:t>)</w:t>
      </w:r>
      <w:r w:rsidR="00604F9D">
        <w:t>.</w:t>
      </w:r>
      <w:r w:rsidR="0056383E">
        <w:t xml:space="preserve"> </w:t>
      </w:r>
      <w:r w:rsidR="00B1779C">
        <w:t xml:space="preserve"> The Annual Report </w:t>
      </w:r>
      <w:r w:rsidR="00277318">
        <w:t>shall give</w:t>
      </w:r>
      <w:r w:rsidR="00B1779C">
        <w:t xml:space="preserve"> an overview</w:t>
      </w:r>
      <w:r w:rsidRPr="00E32ADE">
        <w:t xml:space="preserve"> of </w:t>
      </w:r>
      <w:r w:rsidR="00604F9D">
        <w:t xml:space="preserve">the internal </w:t>
      </w:r>
      <w:r w:rsidR="00B1779C">
        <w:t xml:space="preserve">oversight </w:t>
      </w:r>
      <w:r w:rsidRPr="00E32ADE">
        <w:t xml:space="preserve">activities </w:t>
      </w:r>
      <w:r w:rsidR="00604F9D">
        <w:t>conducted during the reporting period</w:t>
      </w:r>
      <w:r w:rsidRPr="00E32ADE">
        <w:t xml:space="preserve">, including </w:t>
      </w:r>
      <w:r w:rsidR="00604F9D">
        <w:t>the</w:t>
      </w:r>
      <w:r w:rsidRPr="00E32ADE">
        <w:t xml:space="preserve"> scope </w:t>
      </w:r>
      <w:r w:rsidR="00604F9D">
        <w:t xml:space="preserve">and objectives </w:t>
      </w:r>
      <w:r w:rsidRPr="00E32ADE">
        <w:t xml:space="preserve">of such activities, the schedule of work </w:t>
      </w:r>
      <w:r w:rsidR="00604F9D">
        <w:t xml:space="preserve">undertaken </w:t>
      </w:r>
      <w:r w:rsidR="006E5D14">
        <w:t>and</w:t>
      </w:r>
      <w:r w:rsidRPr="00E32ADE">
        <w:t xml:space="preserve"> progress on the implementation of </w:t>
      </w:r>
      <w:r w:rsidR="00604F9D">
        <w:t>internal</w:t>
      </w:r>
      <w:r w:rsidR="00B1779C">
        <w:t xml:space="preserve"> oversight</w:t>
      </w:r>
      <w:r w:rsidR="00B1779C" w:rsidRPr="00E32ADE">
        <w:t xml:space="preserve"> </w:t>
      </w:r>
      <w:r w:rsidRPr="00E32ADE">
        <w:t>recommendations.</w:t>
      </w:r>
      <w:bookmarkStart w:id="24" w:name="_Toc420663566"/>
      <w:bookmarkStart w:id="25" w:name="_Toc328920434"/>
    </w:p>
    <w:p w:rsidR="00604F9D" w:rsidRPr="00F73A5E" w:rsidRDefault="00604F9D" w:rsidP="00B10E74">
      <w:pPr>
        <w:pStyle w:val="ONUME"/>
        <w:rPr>
          <w:b/>
          <w:bCs/>
          <w:caps/>
          <w:kern w:val="32"/>
          <w:szCs w:val="32"/>
        </w:rPr>
      </w:pPr>
      <w:r>
        <w:t xml:space="preserve">In accordance with the IOC, a draft version of the Annual Report has been provided </w:t>
      </w:r>
      <w:r w:rsidRPr="00E32ADE">
        <w:t>to the Director General and the Independent Advisory Oversight Committee (IAOC)</w:t>
      </w:r>
      <w:r>
        <w:t xml:space="preserve"> for their comments</w:t>
      </w:r>
      <w:proofErr w:type="gramStart"/>
      <w:r>
        <w:t>;</w:t>
      </w:r>
      <w:r w:rsidR="0056383E">
        <w:t xml:space="preserve"> </w:t>
      </w:r>
      <w:r>
        <w:t xml:space="preserve"> comments</w:t>
      </w:r>
      <w:proofErr w:type="gramEnd"/>
      <w:r>
        <w:t xml:space="preserve"> received have been taken into account in finalizing the report.</w:t>
      </w:r>
    </w:p>
    <w:p w:rsidR="00E32ADE" w:rsidRPr="00F73A5E" w:rsidRDefault="00E32ADE" w:rsidP="00317621">
      <w:pPr>
        <w:pStyle w:val="Heading1"/>
      </w:pPr>
      <w:bookmarkStart w:id="26" w:name="_Toc487462077"/>
      <w:r w:rsidRPr="00F73A5E">
        <w:t xml:space="preserve">PLANNING </w:t>
      </w:r>
      <w:r w:rsidR="001D2703" w:rsidRPr="00F73A5E">
        <w:t>PRINCIPLES</w:t>
      </w:r>
      <w:bookmarkEnd w:id="24"/>
      <w:bookmarkEnd w:id="25"/>
      <w:bookmarkEnd w:id="26"/>
    </w:p>
    <w:p w:rsidR="00E32ADE" w:rsidRPr="00E32ADE" w:rsidRDefault="00411FE7" w:rsidP="00B10E74">
      <w:pPr>
        <w:pStyle w:val="ONUME"/>
      </w:pPr>
      <w:r>
        <w:t>I</w:t>
      </w:r>
      <w:r w:rsidR="00E32ADE" w:rsidRPr="00E32ADE">
        <w:t xml:space="preserve">n developing its </w:t>
      </w:r>
      <w:r w:rsidR="00B1779C">
        <w:t xml:space="preserve">oversight work </w:t>
      </w:r>
      <w:r w:rsidR="00E32ADE" w:rsidRPr="00E32ADE">
        <w:t xml:space="preserve">plan, IOD considered </w:t>
      </w:r>
      <w:r w:rsidR="00B1779C">
        <w:t>a number of</w:t>
      </w:r>
      <w:r w:rsidR="00E32ADE" w:rsidRPr="00E32ADE">
        <w:t xml:space="preserve"> factors</w:t>
      </w:r>
      <w:r w:rsidR="00B1779C">
        <w:t xml:space="preserve"> including</w:t>
      </w:r>
      <w:r w:rsidR="00E32ADE" w:rsidRPr="00E32ADE">
        <w:t xml:space="preserve"> risk </w:t>
      </w:r>
      <w:r w:rsidR="00B1779C">
        <w:t>ratings</w:t>
      </w:r>
      <w:r w:rsidR="00E32ADE" w:rsidRPr="00E32ADE">
        <w:t xml:space="preserve">, relevance, country impact, </w:t>
      </w:r>
      <w:r w:rsidR="00B1779C" w:rsidRPr="00E32ADE">
        <w:t>oversight</w:t>
      </w:r>
      <w:r w:rsidR="00E32ADE" w:rsidRPr="00E32ADE">
        <w:t xml:space="preserve"> cycle, </w:t>
      </w:r>
      <w:r w:rsidR="00FB6A25" w:rsidRPr="00E32ADE">
        <w:t>and</w:t>
      </w:r>
      <w:r w:rsidR="00FB6A25">
        <w:t xml:space="preserve"> </w:t>
      </w:r>
      <w:r>
        <w:t>feedback received</w:t>
      </w:r>
      <w:r w:rsidR="00E32ADE" w:rsidRPr="00E32ADE">
        <w:t xml:space="preserve"> </w:t>
      </w:r>
      <w:r>
        <w:t>from</w:t>
      </w:r>
      <w:r w:rsidR="00E32ADE" w:rsidRPr="00E32ADE">
        <w:t xml:space="preserve"> WIPO </w:t>
      </w:r>
      <w:r w:rsidR="00604F9D">
        <w:t>M</w:t>
      </w:r>
      <w:r w:rsidR="00E32ADE" w:rsidRPr="00E32ADE">
        <w:t>anagement</w:t>
      </w:r>
      <w:r w:rsidR="00F73A5E">
        <w:t xml:space="preserve">, </w:t>
      </w:r>
      <w:r w:rsidR="00E32ADE" w:rsidRPr="00E32ADE">
        <w:t>Member States</w:t>
      </w:r>
      <w:r w:rsidR="00A26B19">
        <w:t>, and</w:t>
      </w:r>
      <w:r w:rsidR="00E32ADE" w:rsidRPr="00E32ADE">
        <w:t xml:space="preserve"> available resources.</w:t>
      </w:r>
      <w:r w:rsidRPr="00411FE7">
        <w:t xml:space="preserve"> </w:t>
      </w:r>
      <w:r w:rsidR="00E204EC">
        <w:t xml:space="preserve"> </w:t>
      </w:r>
      <w:r>
        <w:t xml:space="preserve">Prior to its finalization, the draft </w:t>
      </w:r>
      <w:r w:rsidR="00B1779C">
        <w:t>O</w:t>
      </w:r>
      <w:r>
        <w:t xml:space="preserve">versight </w:t>
      </w:r>
      <w:r w:rsidR="00B1779C">
        <w:t>Work P</w:t>
      </w:r>
      <w:r>
        <w:t xml:space="preserve">lan was also submitted to the </w:t>
      </w:r>
      <w:r w:rsidRPr="00E32ADE">
        <w:t xml:space="preserve">IAOC, </w:t>
      </w:r>
      <w:r>
        <w:t>for its review and advice</w:t>
      </w:r>
      <w:r w:rsidRPr="00411FE7">
        <w:t xml:space="preserve"> </w:t>
      </w:r>
      <w:r>
        <w:t xml:space="preserve">as per </w:t>
      </w:r>
      <w:r w:rsidRPr="00E32ADE">
        <w:t>IOC</w:t>
      </w:r>
      <w:r w:rsidR="007A4088">
        <w:t xml:space="preserve"> paragraph 26</w:t>
      </w:r>
      <w:r>
        <w:t>(a)</w:t>
      </w:r>
      <w:r w:rsidRPr="00E32ADE">
        <w:t>.</w:t>
      </w:r>
    </w:p>
    <w:p w:rsidR="00E32ADE" w:rsidRPr="00E32ADE" w:rsidRDefault="00411FE7" w:rsidP="00B10E74">
      <w:pPr>
        <w:pStyle w:val="ONUME"/>
      </w:pPr>
      <w:r>
        <w:t xml:space="preserve">In order to </w:t>
      </w:r>
      <w:r w:rsidR="00EC02FD">
        <w:t>provide effective</w:t>
      </w:r>
      <w:r w:rsidR="00F73A5E">
        <w:t xml:space="preserve"> oversight coverage</w:t>
      </w:r>
      <w:r w:rsidR="00EC02FD">
        <w:t xml:space="preserve"> with the efficient use of limited resources, </w:t>
      </w:r>
      <w:r w:rsidR="00F73A5E">
        <w:t xml:space="preserve"> </w:t>
      </w:r>
      <w:r w:rsidR="00EC02FD">
        <w:t>while avoiding potential overlaps</w:t>
      </w:r>
      <w:r>
        <w:t>,</w:t>
      </w:r>
      <w:r w:rsidR="00E32ADE" w:rsidRPr="00E32ADE">
        <w:t xml:space="preserve"> IOD also </w:t>
      </w:r>
      <w:r w:rsidR="00C9704E">
        <w:t>considered</w:t>
      </w:r>
      <w:r w:rsidR="00E32ADE" w:rsidRPr="00E32ADE">
        <w:t xml:space="preserve"> the work done by the External Auditor</w:t>
      </w:r>
      <w:r w:rsidR="00EC02FD">
        <w:t xml:space="preserve"> and other oversight bodies such as</w:t>
      </w:r>
      <w:r w:rsidR="00E32ADE" w:rsidRPr="00E32ADE">
        <w:t xml:space="preserve"> the Joint Inspection Unit (JIU) </w:t>
      </w:r>
      <w:r w:rsidR="00963387">
        <w:t>and</w:t>
      </w:r>
      <w:r w:rsidR="00963387" w:rsidRPr="00E32ADE">
        <w:t xml:space="preserve"> </w:t>
      </w:r>
      <w:r w:rsidR="00E32ADE" w:rsidRPr="00E32ADE">
        <w:t xml:space="preserve">evaluations commissioned by the Committee on Development and Intellectual Property (CDIP).  </w:t>
      </w:r>
    </w:p>
    <w:p w:rsidR="0056383E" w:rsidRDefault="009D15E7" w:rsidP="007F4181">
      <w:pPr>
        <w:pStyle w:val="ONUME"/>
      </w:pPr>
      <w:r>
        <w:t xml:space="preserve">The </w:t>
      </w:r>
      <w:r w:rsidR="007A4088">
        <w:t>2017</w:t>
      </w:r>
      <w:r w:rsidR="00EC02FD" w:rsidRPr="00E32ADE">
        <w:t xml:space="preserve"> </w:t>
      </w:r>
      <w:r w:rsidR="00E32ADE" w:rsidRPr="00E32ADE">
        <w:t xml:space="preserve">Oversight </w:t>
      </w:r>
      <w:r w:rsidR="00B10E74">
        <w:t>P</w:t>
      </w:r>
      <w:r w:rsidR="00E32ADE" w:rsidRPr="00E32ADE">
        <w:t>lan w</w:t>
      </w:r>
      <w:r w:rsidR="00544A7D">
        <w:t>as</w:t>
      </w:r>
      <w:r w:rsidR="00E32ADE" w:rsidRPr="00E32ADE">
        <w:t xml:space="preserve"> issued to </w:t>
      </w:r>
      <w:r w:rsidR="00246BD1">
        <w:t xml:space="preserve">all </w:t>
      </w:r>
      <w:r w:rsidR="00E32ADE" w:rsidRPr="00E32ADE">
        <w:t xml:space="preserve">Program Managers and shared with WIPO staff </w:t>
      </w:r>
      <w:r w:rsidR="00544A7D">
        <w:t xml:space="preserve">on </w:t>
      </w:r>
      <w:r w:rsidR="00E32ADE" w:rsidRPr="00E32ADE">
        <w:t>WIP</w:t>
      </w:r>
      <w:r w:rsidR="00A6502F">
        <w:t>O</w:t>
      </w:r>
      <w:r w:rsidR="00B324A9">
        <w:t>’</w:t>
      </w:r>
      <w:r w:rsidR="00A6502F">
        <w:t xml:space="preserve">s Intranet.  </w:t>
      </w:r>
      <w:r>
        <w:t xml:space="preserve">The </w:t>
      </w:r>
      <w:r w:rsidR="007A4088">
        <w:t>2016</w:t>
      </w:r>
      <w:r w:rsidR="00EC02FD">
        <w:t xml:space="preserve"> Oversight P</w:t>
      </w:r>
      <w:r w:rsidR="00A6502F">
        <w:t xml:space="preserve">lan </w:t>
      </w:r>
      <w:r w:rsidR="00E32ADE" w:rsidRPr="00E32ADE">
        <w:t>was completed on time and w</w:t>
      </w:r>
      <w:r w:rsidR="00A6502F">
        <w:t xml:space="preserve">ithin budget.  </w:t>
      </w:r>
    </w:p>
    <w:p w:rsidR="00E32ADE" w:rsidRPr="00E32ADE" w:rsidRDefault="00E32ADE" w:rsidP="00317621">
      <w:pPr>
        <w:pStyle w:val="Heading1"/>
      </w:pPr>
      <w:bookmarkStart w:id="27" w:name="_Toc420663567"/>
      <w:bookmarkStart w:id="28" w:name="_Toc487462078"/>
      <w:r w:rsidRPr="00E32ADE">
        <w:t>PROFESSIONAL STANDARDS</w:t>
      </w:r>
      <w:bookmarkEnd w:id="27"/>
      <w:bookmarkEnd w:id="28"/>
    </w:p>
    <w:p w:rsidR="00A51ED7" w:rsidRDefault="00E32ADE" w:rsidP="00B10E74">
      <w:pPr>
        <w:pStyle w:val="ONUME"/>
      </w:pPr>
      <w:r w:rsidRPr="00E32ADE">
        <w:t xml:space="preserve">For its audit activities, IOD adheres to the International Professional Practices Framework promulgated by the Institute of Internal Auditors (IIA).  Similarly, </w:t>
      </w:r>
      <w:r w:rsidR="00B10E74" w:rsidRPr="00E32ADE">
        <w:t>IOD</w:t>
      </w:r>
      <w:r w:rsidR="00B324A9">
        <w:t>’</w:t>
      </w:r>
      <w:r w:rsidR="00B10E74">
        <w:t>s</w:t>
      </w:r>
      <w:r w:rsidR="00B10E74" w:rsidRPr="00E32ADE" w:rsidDel="00B10E74">
        <w:t xml:space="preserve"> </w:t>
      </w:r>
      <w:r w:rsidRPr="00E32ADE">
        <w:t>investigative work</w:t>
      </w:r>
      <w:r w:rsidR="00B10E74">
        <w:t xml:space="preserve"> is conducted in line with</w:t>
      </w:r>
      <w:r w:rsidRPr="00E32ADE">
        <w:t xml:space="preserve"> the Uniform </w:t>
      </w:r>
      <w:r w:rsidR="00604F9D">
        <w:t xml:space="preserve">Principles and </w:t>
      </w:r>
      <w:r w:rsidRPr="00E32ADE">
        <w:t xml:space="preserve">Guidelines for Investigations endorsed by the Conference of International Investigators </w:t>
      </w:r>
      <w:r w:rsidR="00FD2537">
        <w:t>(CII)</w:t>
      </w:r>
      <w:r w:rsidRPr="00E32ADE">
        <w:t xml:space="preserve">.  </w:t>
      </w:r>
      <w:r w:rsidR="00F73A5E">
        <w:t>For evaluation activities, IOD</w:t>
      </w:r>
      <w:r w:rsidRPr="00E32ADE">
        <w:t xml:space="preserve"> follows </w:t>
      </w:r>
      <w:r w:rsidR="009D15E7">
        <w:t xml:space="preserve">the </w:t>
      </w:r>
      <w:r w:rsidR="000A00F5">
        <w:t>International S</w:t>
      </w:r>
      <w:r w:rsidRPr="00E32ADE">
        <w:t xml:space="preserve">tandards in </w:t>
      </w:r>
      <w:r w:rsidR="000A00F5">
        <w:t>E</w:t>
      </w:r>
      <w:r w:rsidRPr="00E32ADE">
        <w:t xml:space="preserve">valuation </w:t>
      </w:r>
      <w:r w:rsidR="000A00F5">
        <w:t>P</w:t>
      </w:r>
      <w:r w:rsidRPr="00E32ADE">
        <w:t>ractice as set out by the United Nations Evaluation Group (UNEG).</w:t>
      </w:r>
    </w:p>
    <w:p w:rsidR="0023557C" w:rsidRPr="00AA2753" w:rsidRDefault="0023557C" w:rsidP="0023557C">
      <w:pPr>
        <w:pStyle w:val="ONUME"/>
      </w:pPr>
      <w:r>
        <w:t>Following the revision of the IOC</w:t>
      </w:r>
      <w:r w:rsidR="00261946">
        <w:t xml:space="preserve"> on October 11, 2016</w:t>
      </w:r>
      <w:r>
        <w:t xml:space="preserve">, the Investigation Policy and Manual </w:t>
      </w:r>
      <w:r w:rsidR="009D15E7">
        <w:t>were</w:t>
      </w:r>
      <w:r>
        <w:t xml:space="preserve"> subject to further adjustments to be aligned with the amended IOC.  Both documents </w:t>
      </w:r>
      <w:r w:rsidR="009D15E7">
        <w:t>were</w:t>
      </w:r>
      <w:r>
        <w:t xml:space="preserve"> adopted on February 28, 2017.</w:t>
      </w:r>
    </w:p>
    <w:p w:rsidR="0023557C" w:rsidRPr="00FD13B6" w:rsidRDefault="009D15E7" w:rsidP="0023557C">
      <w:pPr>
        <w:pStyle w:val="ONUME"/>
      </w:pPr>
      <w:r>
        <w:t xml:space="preserve">The </w:t>
      </w:r>
      <w:r w:rsidR="0023557C">
        <w:t xml:space="preserve">IOD Report Publication Policy </w:t>
      </w:r>
      <w:r>
        <w:t>was</w:t>
      </w:r>
      <w:r w:rsidR="0023557C">
        <w:t xml:space="preserve"> published on June 7, 2017 after addressing comments from Member States.</w:t>
      </w:r>
    </w:p>
    <w:p w:rsidR="00E32ADE" w:rsidRPr="00E32ADE" w:rsidRDefault="00E32ADE" w:rsidP="00317621">
      <w:pPr>
        <w:pStyle w:val="Heading1"/>
      </w:pPr>
      <w:bookmarkStart w:id="29" w:name="_Toc420663568"/>
      <w:bookmarkStart w:id="30" w:name="_Toc487462079"/>
      <w:r w:rsidRPr="00E32ADE">
        <w:lastRenderedPageBreak/>
        <w:t xml:space="preserve">SIGNIFICANT </w:t>
      </w:r>
      <w:r w:rsidR="00604F9D">
        <w:t>ISSUES</w:t>
      </w:r>
      <w:r w:rsidRPr="00E32ADE">
        <w:t xml:space="preserve"> AND </w:t>
      </w:r>
      <w:r w:rsidR="00604F9D">
        <w:t xml:space="preserve">HIGH PRIORITY OVERSIGHT </w:t>
      </w:r>
      <w:r w:rsidRPr="00E32ADE">
        <w:t>RECOMMENDATIONS</w:t>
      </w:r>
      <w:bookmarkEnd w:id="29"/>
      <w:bookmarkEnd w:id="30"/>
    </w:p>
    <w:p w:rsidR="00E204EC" w:rsidRPr="00F812A1" w:rsidRDefault="00E32ADE" w:rsidP="00F812A1">
      <w:pPr>
        <w:pStyle w:val="ONUME"/>
      </w:pPr>
      <w:r w:rsidRPr="00F812A1">
        <w:t xml:space="preserve">This section </w:t>
      </w:r>
      <w:r w:rsidR="00AF4A4E" w:rsidRPr="00F812A1">
        <w:t>contains information on</w:t>
      </w:r>
      <w:r w:rsidRPr="00F812A1">
        <w:t xml:space="preserve"> </w:t>
      </w:r>
      <w:r w:rsidR="00AF4A4E" w:rsidRPr="00F812A1">
        <w:t>key</w:t>
      </w:r>
      <w:r w:rsidR="009F0C09" w:rsidRPr="00F812A1">
        <w:t xml:space="preserve"> findings and</w:t>
      </w:r>
      <w:r w:rsidRPr="00F812A1">
        <w:t xml:space="preserve"> recommendations</w:t>
      </w:r>
      <w:r w:rsidR="00AF4A4E" w:rsidRPr="00F812A1">
        <w:t>,</w:t>
      </w:r>
      <w:r w:rsidRPr="00F812A1">
        <w:t xml:space="preserve"> </w:t>
      </w:r>
      <w:r w:rsidR="00FE4CE5">
        <w:t>addressing high</w:t>
      </w:r>
      <w:r w:rsidR="00FE4CE5">
        <w:noBreakHyphen/>
      </w:r>
      <w:r w:rsidR="00F73A5E" w:rsidRPr="00F812A1">
        <w:t>priority</w:t>
      </w:r>
      <w:r w:rsidR="009F0C09" w:rsidRPr="00F812A1">
        <w:t xml:space="preserve"> risks, </w:t>
      </w:r>
      <w:r w:rsidR="00AF4A4E" w:rsidRPr="00F812A1">
        <w:t>included</w:t>
      </w:r>
      <w:r w:rsidRPr="00F812A1">
        <w:t xml:space="preserve"> in </w:t>
      </w:r>
      <w:r w:rsidR="009F0C09" w:rsidRPr="00F812A1">
        <w:t>internal oversight reports, (</w:t>
      </w:r>
      <w:r w:rsidR="00C72F9D">
        <w:t>A</w:t>
      </w:r>
      <w:r w:rsidRPr="00F812A1">
        <w:t>udi</w:t>
      </w:r>
      <w:r w:rsidR="009F0C09" w:rsidRPr="00F812A1">
        <w:t xml:space="preserve">ts, </w:t>
      </w:r>
      <w:r w:rsidR="00C72F9D">
        <w:t>E</w:t>
      </w:r>
      <w:r w:rsidR="009F0C09" w:rsidRPr="00F812A1">
        <w:t xml:space="preserve">valuations and </w:t>
      </w:r>
      <w:r w:rsidR="00C72F9D">
        <w:t>M</w:t>
      </w:r>
      <w:r w:rsidR="009F0C09" w:rsidRPr="004D7376">
        <w:t xml:space="preserve">anagement </w:t>
      </w:r>
      <w:r w:rsidR="00C72F9D">
        <w:t>I</w:t>
      </w:r>
      <w:r w:rsidR="009F0C09" w:rsidRPr="004D7376">
        <w:t xml:space="preserve">mplication </w:t>
      </w:r>
      <w:r w:rsidR="00C72F9D">
        <w:t>R</w:t>
      </w:r>
      <w:r w:rsidRPr="004D7376">
        <w:t>eports</w:t>
      </w:r>
      <w:r w:rsidR="009D15E7">
        <w:t xml:space="preserve">, </w:t>
      </w:r>
      <w:r w:rsidR="0096577B">
        <w:t>MIR</w:t>
      </w:r>
      <w:r w:rsidR="00C72F9D">
        <w:t>s</w:t>
      </w:r>
      <w:r w:rsidR="009F0C09" w:rsidRPr="004D7376">
        <w:t>)</w:t>
      </w:r>
      <w:r w:rsidR="009F0C09" w:rsidRPr="00F812A1">
        <w:t xml:space="preserve"> </w:t>
      </w:r>
      <w:r w:rsidRPr="00F812A1">
        <w:t>issued during the reporting period.</w:t>
      </w:r>
    </w:p>
    <w:p w:rsidR="00E204EC" w:rsidRPr="00F812A1" w:rsidRDefault="00544A7D" w:rsidP="00F812A1">
      <w:pPr>
        <w:pStyle w:val="ONUME"/>
      </w:pPr>
      <w:r w:rsidRPr="00F812A1">
        <w:t xml:space="preserve">The </w:t>
      </w:r>
      <w:r w:rsidR="00AF4A4E" w:rsidRPr="00F812A1">
        <w:t>key</w:t>
      </w:r>
      <w:r w:rsidR="000D0188" w:rsidRPr="00F812A1">
        <w:t xml:space="preserve"> </w:t>
      </w:r>
      <w:r w:rsidR="009F0C09" w:rsidRPr="00F812A1">
        <w:t>findings</w:t>
      </w:r>
      <w:r w:rsidR="000D0188" w:rsidRPr="00F812A1">
        <w:t xml:space="preserve"> and recommendations </w:t>
      </w:r>
      <w:r w:rsidRPr="00F812A1">
        <w:t xml:space="preserve">are related to the following </w:t>
      </w:r>
      <w:r w:rsidR="00604F9D">
        <w:t>reports issued during the reporting period</w:t>
      </w:r>
      <w:r w:rsidR="000D0188" w:rsidRPr="00E04B15">
        <w:rPr>
          <w:rStyle w:val="FootnoteReference"/>
        </w:rPr>
        <w:footnoteReference w:id="3"/>
      </w:r>
      <w:r w:rsidR="00E204EC" w:rsidRPr="00C101FD">
        <w:t>:</w:t>
      </w:r>
      <w:r w:rsidR="00E204EC" w:rsidRPr="00F812A1">
        <w:t xml:space="preserve"> </w:t>
      </w:r>
    </w:p>
    <w:p w:rsidR="00B10E74" w:rsidRPr="00F812A1" w:rsidRDefault="007A4088" w:rsidP="00B10E74">
      <w:pPr>
        <w:pStyle w:val="ONUME"/>
        <w:numPr>
          <w:ilvl w:val="1"/>
          <w:numId w:val="3"/>
        </w:numPr>
      </w:pPr>
      <w:r>
        <w:t>WIPO Lex</w:t>
      </w:r>
      <w:r w:rsidR="00B10E74" w:rsidRPr="00F812A1">
        <w:t>;</w:t>
      </w:r>
    </w:p>
    <w:p w:rsidR="00B10E74" w:rsidRDefault="007A4088" w:rsidP="00B10E74">
      <w:pPr>
        <w:pStyle w:val="ONUME"/>
        <w:numPr>
          <w:ilvl w:val="1"/>
          <w:numId w:val="3"/>
        </w:numPr>
      </w:pPr>
      <w:r>
        <w:t xml:space="preserve">Project </w:t>
      </w:r>
      <w:r w:rsidR="00B10E74" w:rsidRPr="00D7575C">
        <w:t>Management</w:t>
      </w:r>
      <w:r w:rsidR="00B10E74" w:rsidRPr="00F812A1">
        <w:t xml:space="preserve">; </w:t>
      </w:r>
    </w:p>
    <w:p w:rsidR="00B10E74" w:rsidRPr="00F812A1" w:rsidRDefault="007A4088" w:rsidP="00B10E74">
      <w:pPr>
        <w:pStyle w:val="ONUME"/>
        <w:numPr>
          <w:ilvl w:val="1"/>
          <w:numId w:val="3"/>
        </w:numPr>
      </w:pPr>
      <w:r>
        <w:t>Enterprise Risk Management (ERM)</w:t>
      </w:r>
      <w:r w:rsidR="00B10E74">
        <w:t>;</w:t>
      </w:r>
    </w:p>
    <w:p w:rsidR="00B10E74" w:rsidRDefault="007D6FF0" w:rsidP="00B10E74">
      <w:pPr>
        <w:pStyle w:val="ONUME"/>
        <w:numPr>
          <w:ilvl w:val="1"/>
          <w:numId w:val="3"/>
        </w:numPr>
      </w:pPr>
      <w:r>
        <w:t>WIPO</w:t>
      </w:r>
      <w:r w:rsidR="00B324A9">
        <w:t>’</w:t>
      </w:r>
      <w:r>
        <w:t>s Ethics Framework</w:t>
      </w:r>
      <w:r w:rsidR="00EB06DD">
        <w:t>;</w:t>
      </w:r>
    </w:p>
    <w:p w:rsidR="00E204EC" w:rsidRDefault="007D6FF0" w:rsidP="004D4463">
      <w:pPr>
        <w:pStyle w:val="ONUME"/>
        <w:numPr>
          <w:ilvl w:val="1"/>
          <w:numId w:val="3"/>
        </w:numPr>
      </w:pPr>
      <w:r>
        <w:t>Madrid Registry</w:t>
      </w:r>
      <w:r w:rsidR="001D59E5" w:rsidRPr="00F812A1">
        <w:t>;</w:t>
      </w:r>
    </w:p>
    <w:p w:rsidR="007D6FF0" w:rsidRDefault="007D6FF0" w:rsidP="004D4463">
      <w:pPr>
        <w:pStyle w:val="ONUME"/>
        <w:numPr>
          <w:ilvl w:val="1"/>
          <w:numId w:val="3"/>
        </w:numPr>
      </w:pPr>
      <w:r>
        <w:t>Payroll;</w:t>
      </w:r>
    </w:p>
    <w:p w:rsidR="006C33EA" w:rsidRDefault="007E1F14" w:rsidP="006C33EA">
      <w:pPr>
        <w:pStyle w:val="ONUME"/>
        <w:numPr>
          <w:ilvl w:val="1"/>
          <w:numId w:val="3"/>
        </w:numPr>
      </w:pPr>
      <w:r>
        <w:t>Review of Procurement Process, Policies and Procedures</w:t>
      </w:r>
      <w:r w:rsidR="006C33EA" w:rsidRPr="006C33EA">
        <w:t xml:space="preserve"> </w:t>
      </w:r>
    </w:p>
    <w:p w:rsidR="006C33EA" w:rsidRDefault="006C33EA" w:rsidP="006C33EA">
      <w:pPr>
        <w:pStyle w:val="ONUME"/>
        <w:numPr>
          <w:ilvl w:val="1"/>
          <w:numId w:val="3"/>
        </w:numPr>
      </w:pPr>
      <w:r w:rsidRPr="007A4088">
        <w:t>International Union for the Protection of New Varieties of Plants (UPOV)</w:t>
      </w:r>
      <w:r w:rsidRPr="00F812A1">
        <w:t xml:space="preserve">; </w:t>
      </w:r>
    </w:p>
    <w:p w:rsidR="006C33EA" w:rsidRDefault="00361369" w:rsidP="006C33EA">
      <w:pPr>
        <w:pStyle w:val="ONUME"/>
        <w:numPr>
          <w:ilvl w:val="1"/>
          <w:numId w:val="3"/>
        </w:numPr>
      </w:pPr>
      <w:r>
        <w:t xml:space="preserve">Program 13: </w:t>
      </w:r>
      <w:r w:rsidR="004D61CD">
        <w:t xml:space="preserve"> </w:t>
      </w:r>
      <w:r w:rsidR="006C33EA">
        <w:t>WIPO Global databases</w:t>
      </w:r>
      <w:r w:rsidR="006C33EA" w:rsidRPr="00F812A1">
        <w:t>;</w:t>
      </w:r>
    </w:p>
    <w:p w:rsidR="006C33EA" w:rsidRDefault="006C33EA" w:rsidP="006C33EA">
      <w:pPr>
        <w:pStyle w:val="ONUME"/>
        <w:numPr>
          <w:ilvl w:val="1"/>
          <w:numId w:val="3"/>
        </w:numPr>
      </w:pPr>
      <w:r>
        <w:t>Program 12:  International Classifications and Standards;</w:t>
      </w:r>
    </w:p>
    <w:p w:rsidR="0096577B" w:rsidRDefault="0096577B" w:rsidP="0096577B">
      <w:pPr>
        <w:pStyle w:val="ONUME"/>
        <w:numPr>
          <w:ilvl w:val="1"/>
          <w:numId w:val="3"/>
        </w:numPr>
      </w:pPr>
      <w:r>
        <w:t>MIR on the Printing Plant;</w:t>
      </w:r>
    </w:p>
    <w:p w:rsidR="0096577B" w:rsidRDefault="0096577B" w:rsidP="0096577B">
      <w:pPr>
        <w:pStyle w:val="ONUME"/>
        <w:numPr>
          <w:ilvl w:val="1"/>
          <w:numId w:val="3"/>
        </w:numPr>
      </w:pPr>
      <w:r>
        <w:t>MIR on Recruitment Procedures;  and</w:t>
      </w:r>
    </w:p>
    <w:p w:rsidR="0096577B" w:rsidRDefault="0096577B" w:rsidP="0096577B">
      <w:pPr>
        <w:pStyle w:val="ONUME"/>
        <w:numPr>
          <w:ilvl w:val="1"/>
          <w:numId w:val="3"/>
        </w:numPr>
      </w:pPr>
      <w:r>
        <w:t>MIR on Home Leave Entitlement.</w:t>
      </w:r>
    </w:p>
    <w:p w:rsidR="00664407" w:rsidRDefault="00B10E74">
      <w:pPr>
        <w:pStyle w:val="ONUME"/>
      </w:pPr>
      <w:r>
        <w:t xml:space="preserve">IOD has continued its dialogue with </w:t>
      </w:r>
      <w:r w:rsidR="000D0188" w:rsidRPr="00F812A1">
        <w:t xml:space="preserve">Management </w:t>
      </w:r>
      <w:r>
        <w:t>to</w:t>
      </w:r>
      <w:r w:rsidRPr="00F812A1">
        <w:t xml:space="preserve"> regularly review and update the status of implementation of open recommendations</w:t>
      </w:r>
      <w:r>
        <w:t xml:space="preserve">.  </w:t>
      </w:r>
      <w:r w:rsidR="009F0C09" w:rsidRPr="00F812A1">
        <w:t xml:space="preserve">All recommendations </w:t>
      </w:r>
      <w:r w:rsidR="000D0188" w:rsidRPr="00F812A1">
        <w:t>are addressed by Management through a</w:t>
      </w:r>
      <w:r w:rsidR="00AF4A4E" w:rsidRPr="00F812A1">
        <w:t>n action</w:t>
      </w:r>
      <w:r w:rsidR="000D0188" w:rsidRPr="00F812A1">
        <w:t xml:space="preserve"> plan with suggested activities, responsible staff and a deadline</w:t>
      </w:r>
      <w:r w:rsidR="009F0C09" w:rsidRPr="00F812A1">
        <w:t xml:space="preserve"> for implementation</w:t>
      </w:r>
      <w:r w:rsidR="000D0188" w:rsidRPr="00F812A1">
        <w:t xml:space="preserve">.  </w:t>
      </w:r>
      <w:r w:rsidRPr="00F812A1">
        <w:t>O</w:t>
      </w:r>
      <w:r>
        <w:t>versight</w:t>
      </w:r>
      <w:r w:rsidRPr="00F812A1">
        <w:t xml:space="preserve"> </w:t>
      </w:r>
      <w:r w:rsidR="000D0188" w:rsidRPr="00F812A1">
        <w:t>recommendations are managed in the TeamCentral</w:t>
      </w:r>
      <w:r w:rsidR="00E04B15" w:rsidRPr="004B2173">
        <w:t>©</w:t>
      </w:r>
      <w:r w:rsidR="009F0C09" w:rsidRPr="00B55F8F">
        <w:rPr>
          <w:vertAlign w:val="superscript"/>
        </w:rPr>
        <w:footnoteReference w:id="4"/>
      </w:r>
      <w:r w:rsidR="000D0188" w:rsidRPr="00F812A1">
        <w:t xml:space="preserve"> system</w:t>
      </w:r>
      <w:r w:rsidR="009F0C09" w:rsidRPr="00F812A1">
        <w:t>,</w:t>
      </w:r>
      <w:r w:rsidR="000D0188" w:rsidRPr="00F812A1">
        <w:t xml:space="preserve"> accessible </w:t>
      </w:r>
      <w:r w:rsidR="009F0C09" w:rsidRPr="00F812A1">
        <w:t>by</w:t>
      </w:r>
      <w:r w:rsidR="000D0188" w:rsidRPr="00F812A1">
        <w:t xml:space="preserve"> IOD, WIPO Management and External Auditors.  </w:t>
      </w:r>
    </w:p>
    <w:p w:rsidR="007E1F14" w:rsidRDefault="007E1F14" w:rsidP="007E1F14">
      <w:pPr>
        <w:pStyle w:val="Heading2"/>
      </w:pPr>
      <w:bookmarkStart w:id="31" w:name="_Toc466452885"/>
      <w:bookmarkStart w:id="32" w:name="_Toc476745977"/>
      <w:r>
        <w:t>Audit of WIPO Lex</w:t>
      </w:r>
      <w:bookmarkEnd w:id="31"/>
    </w:p>
    <w:p w:rsidR="007E1F14" w:rsidRDefault="007E1F14" w:rsidP="007E1F14">
      <w:pPr>
        <w:pStyle w:val="ONUME"/>
      </w:pPr>
      <w:r>
        <w:t>IOD observed that there are some serious concerns about the quality of data contained in the WIPO Lex database.  These data errors, if left uncorrected, have the potential to impact WIPO</w:t>
      </w:r>
      <w:r w:rsidR="00B324A9">
        <w:t>’</w:t>
      </w:r>
      <w:r>
        <w:t xml:space="preserve">s reputation as a provider of high quality </w:t>
      </w:r>
      <w:r w:rsidR="003825EE">
        <w:t>Intellectual Property (</w:t>
      </w:r>
      <w:r>
        <w:t>IP</w:t>
      </w:r>
      <w:r w:rsidR="003825EE">
        <w:t>)</w:t>
      </w:r>
      <w:r>
        <w:t xml:space="preserve"> reference tools.  A systematic time-bound effort must be undertaken to address concerns on data q</w:t>
      </w:r>
      <w:r w:rsidR="003825EE">
        <w:t>uality in the WIPO Lex database.</w:t>
      </w:r>
    </w:p>
    <w:p w:rsidR="007E1F14" w:rsidRDefault="007E1F14" w:rsidP="007E1F14">
      <w:pPr>
        <w:pStyle w:val="ONUME"/>
      </w:pPr>
      <w:r>
        <w:t>Developing a solid quality control function and preparation of standard operating procedures in that regard would enable early detection and resolution of data errors and improve overall data quality</w:t>
      </w:r>
      <w:r w:rsidR="003825EE">
        <w:t>.</w:t>
      </w:r>
    </w:p>
    <w:p w:rsidR="007E1F14" w:rsidRDefault="007E1F14" w:rsidP="007E1F14">
      <w:pPr>
        <w:pStyle w:val="ONUME"/>
      </w:pPr>
      <w:r>
        <w:lastRenderedPageBreak/>
        <w:t>Finally, human resources requirements for the WIPO Lex team need to be assessed with a view to increasing its capacity in line with future work plans.</w:t>
      </w:r>
    </w:p>
    <w:p w:rsidR="007E1F14" w:rsidRDefault="007E1F14" w:rsidP="007E1F14">
      <w:pPr>
        <w:pStyle w:val="Heading2"/>
      </w:pPr>
      <w:r>
        <w:t>Audit of Project Management</w:t>
      </w:r>
      <w:bookmarkEnd w:id="32"/>
    </w:p>
    <w:p w:rsidR="007E1F14" w:rsidRPr="000B377F" w:rsidRDefault="007E1F14" w:rsidP="00CC3861">
      <w:pPr>
        <w:pStyle w:val="ONUME"/>
      </w:pPr>
      <w:r w:rsidRPr="000B377F">
        <w:t xml:space="preserve">The audit underlined the need for establishing a project management framework in WIPO that is aligned with the project management culture, the current </w:t>
      </w:r>
      <w:r w:rsidR="003825EE">
        <w:t>Information Technology (</w:t>
      </w:r>
      <w:r w:rsidRPr="000B377F">
        <w:t>IT</w:t>
      </w:r>
      <w:r w:rsidR="003825EE">
        <w:t>)</w:t>
      </w:r>
      <w:r w:rsidRPr="000B377F">
        <w:t xml:space="preserve"> governance structure, and the results framework of the Organization.  </w:t>
      </w:r>
    </w:p>
    <w:p w:rsidR="007E1F14" w:rsidRPr="000B377F" w:rsidRDefault="007E1F14" w:rsidP="00CC3861">
      <w:pPr>
        <w:pStyle w:val="ONUME"/>
      </w:pPr>
      <w:r w:rsidRPr="000B377F">
        <w:t>Furthermore, identifying the most appropriate structure, such as a</w:t>
      </w:r>
      <w:r w:rsidR="00D20104">
        <w:t xml:space="preserve"> project m</w:t>
      </w:r>
      <w:r w:rsidR="008A0FBE">
        <w:t xml:space="preserve">anagement </w:t>
      </w:r>
      <w:r w:rsidR="009D15E7">
        <w:t>o</w:t>
      </w:r>
      <w:r w:rsidR="008A0FBE">
        <w:t>ffice</w:t>
      </w:r>
      <w:r w:rsidRPr="000B377F">
        <w:t xml:space="preserve">, to support the project management framework, with clearly defined roles and responsibilities, is a business requisite for effective and efficient management of projects across the Organization. </w:t>
      </w:r>
    </w:p>
    <w:p w:rsidR="007E1F14" w:rsidRPr="000B377F" w:rsidRDefault="007E1F14" w:rsidP="00CC3861">
      <w:pPr>
        <w:pStyle w:val="ONUME"/>
      </w:pPr>
      <w:r w:rsidRPr="000B377F">
        <w:t>Finally, success and sustainability of a project management framework would depend on effective communication and a corporate training program tailored to WIPO</w:t>
      </w:r>
      <w:r w:rsidR="00B324A9">
        <w:t>’</w:t>
      </w:r>
      <w:r w:rsidRPr="000B377F">
        <w:t xml:space="preserve">s needs, as well as appropriate systems and tools designed to fully support project management at WIPO. </w:t>
      </w:r>
    </w:p>
    <w:p w:rsidR="007E1F14" w:rsidRPr="000B377F" w:rsidRDefault="007E1F14" w:rsidP="007E1F14">
      <w:pPr>
        <w:pStyle w:val="Heading2"/>
      </w:pPr>
      <w:bookmarkStart w:id="33" w:name="_Toc476745978"/>
      <w:r w:rsidRPr="000B377F">
        <w:t>Audit of Enterprise Risk Management</w:t>
      </w:r>
      <w:bookmarkEnd w:id="33"/>
    </w:p>
    <w:p w:rsidR="007E1F14" w:rsidRPr="000B377F" w:rsidRDefault="007E1F14" w:rsidP="00CC3861">
      <w:pPr>
        <w:pStyle w:val="ONUME"/>
      </w:pPr>
      <w:r w:rsidRPr="000B377F">
        <w:t xml:space="preserve">IOD observed that considerable progress had been made in establishing a formal ERM process in WIPO since the </w:t>
      </w:r>
      <w:r w:rsidR="009D15E7">
        <w:t>redoubling</w:t>
      </w:r>
      <w:r w:rsidR="009D15E7" w:rsidRPr="000B377F">
        <w:t xml:space="preserve"> </w:t>
      </w:r>
      <w:r w:rsidRPr="000B377F">
        <w:t>of efforts in 2014.</w:t>
      </w:r>
    </w:p>
    <w:p w:rsidR="007E1F14" w:rsidRPr="000B377F" w:rsidRDefault="007E1F14" w:rsidP="00CC3861">
      <w:pPr>
        <w:pStyle w:val="ONUME"/>
      </w:pPr>
      <w:r w:rsidRPr="000B377F">
        <w:t xml:space="preserve">The monitoring role of </w:t>
      </w:r>
      <w:r w:rsidR="00B324A9">
        <w:t>“</w:t>
      </w:r>
      <w:r w:rsidRPr="000B377F">
        <w:t>second-line</w:t>
      </w:r>
      <w:r w:rsidR="00B324A9">
        <w:t>”</w:t>
      </w:r>
      <w:r w:rsidRPr="000B377F">
        <w:t xml:space="preserve"> WIPO functions in the assessment of the effectiveness of internal controls can be further enhanced through formal allocat</w:t>
      </w:r>
      <w:r w:rsidR="00D20104">
        <w:t>ion of responsibilities by the R</w:t>
      </w:r>
      <w:r w:rsidRPr="000B377F">
        <w:t>isk Management Group.</w:t>
      </w:r>
    </w:p>
    <w:p w:rsidR="007E1F14" w:rsidRPr="000B377F" w:rsidRDefault="007E1F14" w:rsidP="00CC3861">
      <w:pPr>
        <w:pStyle w:val="ONUME"/>
      </w:pPr>
      <w:r w:rsidRPr="000B377F">
        <w:t>There is a need to conduct a review of all of WIPO</w:t>
      </w:r>
      <w:r w:rsidR="00B324A9">
        <w:t>’</w:t>
      </w:r>
      <w:r w:rsidRPr="000B377F">
        <w:t>s policy framework documents such as the Financ</w:t>
      </w:r>
      <w:r w:rsidR="009D1993">
        <w:t>ial Regulations and Rules</w:t>
      </w:r>
      <w:r w:rsidR="00473D0B">
        <w:t xml:space="preserve"> (FRR)</w:t>
      </w:r>
      <w:r w:rsidR="009D1993">
        <w:t>, Staff Regulations and Rules</w:t>
      </w:r>
      <w:r w:rsidR="00AB2B50">
        <w:t>,</w:t>
      </w:r>
      <w:r w:rsidR="00473D0B">
        <w:t xml:space="preserve"> and Office Instructions </w:t>
      </w:r>
      <w:r w:rsidR="009D1993">
        <w:t xml:space="preserve">(OI) </w:t>
      </w:r>
      <w:r w:rsidRPr="000B377F">
        <w:t>so as to build an inventory of controls.</w:t>
      </w:r>
    </w:p>
    <w:p w:rsidR="007E1F14" w:rsidRPr="000B377F" w:rsidRDefault="007E1F14" w:rsidP="00CC3861">
      <w:pPr>
        <w:pStyle w:val="ONUME"/>
      </w:pPr>
      <w:r w:rsidRPr="000B377F">
        <w:t>In designing the ERM systems to capture controls information, adequate attention should be provided to recording of the attributes of internal controls.</w:t>
      </w:r>
    </w:p>
    <w:p w:rsidR="007E1F14" w:rsidRPr="000B377F" w:rsidRDefault="007E1F14" w:rsidP="00CC3861">
      <w:pPr>
        <w:pStyle w:val="ONUME"/>
      </w:pPr>
      <w:r w:rsidRPr="000B377F">
        <w:t>The results of a benchmarking survey conducted with 32 U</w:t>
      </w:r>
      <w:r w:rsidR="009D1993">
        <w:t xml:space="preserve">nited </w:t>
      </w:r>
      <w:r w:rsidRPr="000B377F">
        <w:t>N</w:t>
      </w:r>
      <w:r w:rsidR="009D1993">
        <w:t>ations (UN)</w:t>
      </w:r>
      <w:r w:rsidRPr="000B377F">
        <w:t xml:space="preserve"> and other International Organizations, showed that WIPO</w:t>
      </w:r>
      <w:r w:rsidR="00B324A9">
        <w:t>’</w:t>
      </w:r>
      <w:r w:rsidRPr="000B377F">
        <w:t xml:space="preserve">s ERM practices are </w:t>
      </w:r>
      <w:r w:rsidR="009D15E7">
        <w:t>on</w:t>
      </w:r>
      <w:r w:rsidRPr="000B377F">
        <w:t xml:space="preserve"> par with the more risk aware organizations.</w:t>
      </w:r>
    </w:p>
    <w:p w:rsidR="007E1F14" w:rsidRPr="000B377F" w:rsidRDefault="007E1F14" w:rsidP="007E1F14">
      <w:pPr>
        <w:pStyle w:val="Heading2"/>
      </w:pPr>
      <w:bookmarkStart w:id="34" w:name="_Toc476745979"/>
      <w:r w:rsidRPr="000B377F">
        <w:t>Review of WIPO</w:t>
      </w:r>
      <w:r w:rsidR="00B324A9">
        <w:t>’</w:t>
      </w:r>
      <w:r w:rsidRPr="000B377F">
        <w:t>s Ethic</w:t>
      </w:r>
      <w:r w:rsidR="009D15E7">
        <w:t>s</w:t>
      </w:r>
      <w:r w:rsidRPr="000B377F">
        <w:t xml:space="preserve"> Framework</w:t>
      </w:r>
      <w:bookmarkEnd w:id="34"/>
    </w:p>
    <w:p w:rsidR="007E1F14" w:rsidRPr="000B377F" w:rsidRDefault="007E1F14" w:rsidP="00CC3861">
      <w:pPr>
        <w:pStyle w:val="ONUME"/>
      </w:pPr>
      <w:r w:rsidRPr="000B377F">
        <w:t>The design and structure of WIPO</w:t>
      </w:r>
      <w:r w:rsidR="00B324A9">
        <w:t>’</w:t>
      </w:r>
      <w:r w:rsidRPr="000B377F">
        <w:t>s Ethics Framework w</w:t>
      </w:r>
      <w:r w:rsidR="009D15E7">
        <w:t>as</w:t>
      </w:r>
      <w:r w:rsidRPr="000B377F">
        <w:t xml:space="preserve"> found to be quite adequate, in terms of the positioning of institutional units, set of internal controls and processes and the robust underlying set of rules, regulations, policies and guidelines.  The survey carried out as part of this audit also showed that the design and structure of WIPO</w:t>
      </w:r>
      <w:r w:rsidR="00B324A9">
        <w:t>’</w:t>
      </w:r>
      <w:r w:rsidRPr="000B377F">
        <w:t xml:space="preserve">s Ethics Framework are consistent with norms in practice among the </w:t>
      </w:r>
      <w:r w:rsidR="009D1993">
        <w:t xml:space="preserve">UN </w:t>
      </w:r>
      <w:r w:rsidRPr="000B377F">
        <w:t xml:space="preserve">System and other International Organizations. </w:t>
      </w:r>
    </w:p>
    <w:p w:rsidR="007E1F14" w:rsidRPr="000B377F" w:rsidRDefault="007E1F14" w:rsidP="00CC3861">
      <w:pPr>
        <w:pStyle w:val="ONUME"/>
      </w:pPr>
      <w:r w:rsidRPr="000B377F">
        <w:t>Among opportunities for enhancement of the Ethics Framework, IOD placed a high priority on the establishment of comprehensive terms of reference for the Ethics Office and the completion of the Office</w:t>
      </w:r>
      <w:r w:rsidR="00B324A9">
        <w:t>’</w:t>
      </w:r>
      <w:r w:rsidRPr="000B377F">
        <w:t>s strategy.  Ethics related risks should also be incorporated into the Organization</w:t>
      </w:r>
      <w:r w:rsidR="00B324A9">
        <w:t>’</w:t>
      </w:r>
      <w:r w:rsidRPr="000B377F">
        <w:t>s corporate risk register, while human and financial resources should be re</w:t>
      </w:r>
      <w:r w:rsidRPr="000B377F">
        <w:noBreakHyphen/>
        <w:t>assessed to enable the Office to achieve its Expected Results</w:t>
      </w:r>
      <w:r w:rsidR="00B324A9">
        <w:t xml:space="preserve"> (ER)</w:t>
      </w:r>
      <w:r w:rsidRPr="000B377F">
        <w:t xml:space="preserve">. </w:t>
      </w:r>
    </w:p>
    <w:p w:rsidR="007E1F14" w:rsidRPr="000B377F" w:rsidRDefault="007E1F14" w:rsidP="00CC3861">
      <w:pPr>
        <w:pStyle w:val="ONUME"/>
      </w:pPr>
      <w:r w:rsidRPr="000B377F">
        <w:t>Furthermore, quality and frequency of training adapted to WIPO</w:t>
      </w:r>
      <w:r w:rsidR="00B324A9">
        <w:t>’</w:t>
      </w:r>
      <w:r w:rsidRPr="000B377F">
        <w:t xml:space="preserve">s specific needs as well as more effective communication would further support the framework. </w:t>
      </w:r>
      <w:r>
        <w:t xml:space="preserve"> </w:t>
      </w:r>
      <w:r w:rsidRPr="000B377F">
        <w:t>Finally, updating the Financial Disclosure Policy and the Policy on Protection against Retaliation</w:t>
      </w:r>
      <w:r w:rsidRPr="00CC3861">
        <w:t xml:space="preserve"> </w:t>
      </w:r>
      <w:r w:rsidRPr="000B377F">
        <w:t>are necessary steps to further enhance the Organization</w:t>
      </w:r>
      <w:r w:rsidR="00B324A9">
        <w:t>’</w:t>
      </w:r>
      <w:r w:rsidRPr="000B377F">
        <w:t xml:space="preserve">s Ethics Framework.  </w:t>
      </w:r>
    </w:p>
    <w:p w:rsidR="00554024" w:rsidRDefault="00554024" w:rsidP="007E1F14">
      <w:pPr>
        <w:pStyle w:val="Heading2"/>
      </w:pPr>
      <w:r>
        <w:lastRenderedPageBreak/>
        <w:t xml:space="preserve">Audit of Compliance in the Madrid Registry </w:t>
      </w:r>
    </w:p>
    <w:p w:rsidR="00554024" w:rsidRDefault="00554024" w:rsidP="00554024">
      <w:pPr>
        <w:pStyle w:val="ONUME"/>
      </w:pPr>
      <w:r>
        <w:t>The Madrid Registry has seen some significant change</w:t>
      </w:r>
      <w:r w:rsidR="00C72F9D">
        <w:t>s in its operations since early </w:t>
      </w:r>
      <w:r>
        <w:t xml:space="preserve">2016.  Most significantly, a new IT platform known as </w:t>
      </w:r>
      <w:r w:rsidR="009D15E7">
        <w:t xml:space="preserve">the </w:t>
      </w:r>
      <w:r>
        <w:t>Madrid International Registrations Information System (MIRIS) was rolled-out in March 2016 after a multi-year implementation effort.  This period also saw changes in the leadership of some key positions within the Madrid Registry as well as changes in the organization structure.</w:t>
      </w:r>
    </w:p>
    <w:p w:rsidR="00554024" w:rsidRDefault="00554024" w:rsidP="00554024">
      <w:pPr>
        <w:pStyle w:val="ONUME"/>
      </w:pPr>
      <w:r>
        <w:t xml:space="preserve">After the roll-out of the MIRIS system in March 2016, several issues were faced in the new system which also contributed to the build-up of a backlog in the stock of transactions to be processed by the Operations Division.  Furthermore, a formal project closure report is yet to be finalized following the roll-out of the new system, potentially impacting effective capture of lessons learned for future projects. </w:t>
      </w:r>
      <w:r w:rsidR="009D1993">
        <w:t xml:space="preserve"> </w:t>
      </w:r>
      <w:r>
        <w:t xml:space="preserve">Finally, the MIRIS project missed a potential opportunity to enable the partial automation of some processes that are currently performed outside </w:t>
      </w:r>
      <w:r w:rsidR="009D15E7">
        <w:t xml:space="preserve">of </w:t>
      </w:r>
      <w:r>
        <w:t xml:space="preserve">the system, such as quality control and certification.  </w:t>
      </w:r>
    </w:p>
    <w:p w:rsidR="00554024" w:rsidRDefault="00554024" w:rsidP="00554024">
      <w:pPr>
        <w:pStyle w:val="ONUME"/>
      </w:pPr>
      <w:r>
        <w:t>Th</w:t>
      </w:r>
      <w:r w:rsidR="009D1993">
        <w:t>ere is a need to rethink human r</w:t>
      </w:r>
      <w:r>
        <w:t>esources planning in the Operations Division, with a view to striking a better balance between fixed and flexible staff contracts, in order to address the current practice of placing more reliance of flexible contracts with relatively high turnover, which could impact the Operations Division</w:t>
      </w:r>
      <w:r w:rsidR="00B324A9">
        <w:t>’</w:t>
      </w:r>
      <w:r>
        <w:t xml:space="preserve">s capacity to deliver in an efficient and effective manner. </w:t>
      </w:r>
    </w:p>
    <w:p w:rsidR="00554024" w:rsidRDefault="00554024" w:rsidP="00554024">
      <w:pPr>
        <w:pStyle w:val="ONUME"/>
      </w:pPr>
      <w:r>
        <w:t>Further improvements within the Madrid Registry can be made by:</w:t>
      </w:r>
      <w:r w:rsidR="009D1993">
        <w:t xml:space="preserve"> </w:t>
      </w:r>
      <w:r>
        <w:t xml:space="preserve"> (</w:t>
      </w:r>
      <w:proofErr w:type="spellStart"/>
      <w:r>
        <w:t>i</w:t>
      </w:r>
      <w:proofErr w:type="spellEnd"/>
      <w:r>
        <w:t>) developing long term plans to mitigate risks related to heavy reliance on certain staff key staff members, whose absence could lead to deterioration in quality of services delivered;</w:t>
      </w:r>
      <w:r w:rsidR="009D1993">
        <w:t xml:space="preserve"> </w:t>
      </w:r>
      <w:r>
        <w:t xml:space="preserve"> (ii) completing the recruitment exercise for the position of the Director, Madrid Registry;  (iii) ensuring that staff who play a role in sample testing for quality control purposes are adequately trained in International Standards Organization (ISO) principles;  and (iv) the documentation of business process flows, the examination manual and other guiding documents are fully aligned. </w:t>
      </w:r>
    </w:p>
    <w:p w:rsidR="007E1F14" w:rsidRDefault="007E1F14" w:rsidP="007E1F14">
      <w:pPr>
        <w:pStyle w:val="Heading2"/>
      </w:pPr>
      <w:r>
        <w:t>Audit of Payroll</w:t>
      </w:r>
    </w:p>
    <w:p w:rsidR="007E1F14" w:rsidRDefault="007E1F14" w:rsidP="007E1F14">
      <w:pPr>
        <w:pStyle w:val="ONUME"/>
      </w:pPr>
      <w:r>
        <w:t>The audit found that WIPO had successfully implemented the revised UN compensation package for staff in the professional and higher categories with no disruption.  IOD</w:t>
      </w:r>
      <w:r w:rsidR="00B324A9">
        <w:t>’</w:t>
      </w:r>
      <w:r>
        <w:t>s review of a sample of employees</w:t>
      </w:r>
      <w:r w:rsidR="00B324A9">
        <w:t>’</w:t>
      </w:r>
      <w:r>
        <w:t xml:space="preserve"> pay for accuracy following the implementation of the revised UN compensation package did not reveal any significant anomalies. </w:t>
      </w:r>
    </w:p>
    <w:p w:rsidR="007E1F14" w:rsidRDefault="007E1F14" w:rsidP="007E1F14">
      <w:pPr>
        <w:pStyle w:val="ONUME"/>
      </w:pPr>
      <w:r>
        <w:t>With regards to payroll operational processes, certain control activities and manual processes put in place for providing assurance were found to be redundant</w:t>
      </w:r>
      <w:proofErr w:type="gramStart"/>
      <w:r>
        <w:t xml:space="preserve">; </w:t>
      </w:r>
      <w:r w:rsidR="00B324A9">
        <w:t xml:space="preserve"> </w:t>
      </w:r>
      <w:r>
        <w:t>hence</w:t>
      </w:r>
      <w:proofErr w:type="gramEnd"/>
      <w:r>
        <w:t xml:space="preserve"> the overall payroll process is not fully benefiting from efficient control functionalities already available in the Administrative and Information Management Systems</w:t>
      </w:r>
      <w:r w:rsidR="00B324A9">
        <w:t>’</w:t>
      </w:r>
      <w:r>
        <w:t xml:space="preserve"> Human Resource tool (AIMS HR). </w:t>
      </w:r>
    </w:p>
    <w:p w:rsidR="007E1F14" w:rsidRDefault="007E1F14" w:rsidP="007E1F14">
      <w:pPr>
        <w:pStyle w:val="ONUME"/>
      </w:pPr>
      <w:r>
        <w:t>Further customization and automation of certain operational processes could help enhance key controls and address some systemic issues</w:t>
      </w:r>
      <w:proofErr w:type="gramStart"/>
      <w:r>
        <w:t xml:space="preserve">; </w:t>
      </w:r>
      <w:r w:rsidR="006C33EA">
        <w:t xml:space="preserve"> </w:t>
      </w:r>
      <w:r>
        <w:t>and</w:t>
      </w:r>
      <w:proofErr w:type="gramEnd"/>
      <w:r>
        <w:t xml:space="preserve"> compliance and alignment of operational processes with respective rules, regulations and office instructions would further increase efficiency and effectiveness of the payroll process. </w:t>
      </w:r>
    </w:p>
    <w:p w:rsidR="007E1F14" w:rsidRDefault="007E1F14" w:rsidP="007E1F14">
      <w:pPr>
        <w:pStyle w:val="Heading2"/>
      </w:pPr>
      <w:r>
        <w:t>Review of Procurement Process, Policies and Procedures</w:t>
      </w:r>
    </w:p>
    <w:p w:rsidR="00C71B45" w:rsidRPr="00C71B45" w:rsidRDefault="00C71B45" w:rsidP="004D61CD">
      <w:pPr>
        <w:pStyle w:val="ONUME"/>
        <w:rPr>
          <w:szCs w:val="22"/>
        </w:rPr>
      </w:pPr>
      <w:r w:rsidRPr="00C71B45">
        <w:rPr>
          <w:szCs w:val="22"/>
        </w:rPr>
        <w:t>The Assemblies of the Member States approved</w:t>
      </w:r>
      <w:r>
        <w:rPr>
          <w:rStyle w:val="FootnoteReference"/>
          <w:szCs w:val="22"/>
        </w:rPr>
        <w:footnoteReference w:id="5"/>
      </w:r>
      <w:r w:rsidRPr="00C71B45">
        <w:rPr>
          <w:szCs w:val="22"/>
        </w:rPr>
        <w:t xml:space="preserve"> the recommendation of the Coordination Committee, made at its session in 2016, which, </w:t>
      </w:r>
      <w:r w:rsidRPr="00C71B45">
        <w:rPr>
          <w:i/>
          <w:szCs w:val="22"/>
        </w:rPr>
        <w:t>inter alia</w:t>
      </w:r>
      <w:r w:rsidRPr="00C71B45">
        <w:rPr>
          <w:szCs w:val="22"/>
        </w:rPr>
        <w:t>, requested “the Director, IOD to review the WIPO’s Procurement Policies and Procedures after the review currently being undertaken by the</w:t>
      </w:r>
      <w:r>
        <w:rPr>
          <w:szCs w:val="22"/>
        </w:rPr>
        <w:t xml:space="preserve"> </w:t>
      </w:r>
      <w:r>
        <w:t xml:space="preserve">Director General, as recommended by the General Assembly and the Coordination </w:t>
      </w:r>
      <w:r>
        <w:lastRenderedPageBreak/>
        <w:t>Committee Chairs, to ensure clarity and transparency in WIPO’s procurement process, so that the conclusions and/or recommendations will be submitted to the PBC for consideration by Member States.”</w:t>
      </w:r>
    </w:p>
    <w:p w:rsidR="00EF72F8" w:rsidRPr="004D61CD" w:rsidRDefault="00EF72F8" w:rsidP="004D61CD">
      <w:pPr>
        <w:pStyle w:val="ONUME"/>
      </w:pPr>
      <w:r w:rsidRPr="004D61CD">
        <w:t>Based on IOD</w:t>
      </w:r>
      <w:r w:rsidR="00B324A9">
        <w:t>’</w:t>
      </w:r>
      <w:r w:rsidRPr="004D61CD">
        <w:t>s</w:t>
      </w:r>
      <w:r w:rsidR="00BE55B5" w:rsidRPr="004D61CD">
        <w:t xml:space="preserve"> comments, </w:t>
      </w:r>
      <w:r w:rsidRPr="004D61CD">
        <w:t xml:space="preserve">the WIPO Management has finalized the changes to the procurement policies as well as FRR. </w:t>
      </w:r>
      <w:r w:rsidR="00913903">
        <w:t xml:space="preserve"> </w:t>
      </w:r>
      <w:r w:rsidRPr="004D61CD">
        <w:t>The</w:t>
      </w:r>
      <w:r w:rsidR="00BE55B5" w:rsidRPr="004D61CD">
        <w:t xml:space="preserve"> proposed amendments to the FRR are being presented to the forthcoming sessions of the PBC and </w:t>
      </w:r>
      <w:r w:rsidR="00BC7865">
        <w:t xml:space="preserve">WIPO </w:t>
      </w:r>
      <w:r w:rsidR="00BE55B5" w:rsidRPr="004D61CD">
        <w:t>G</w:t>
      </w:r>
      <w:r w:rsidR="00E740BE">
        <w:t xml:space="preserve">eneral </w:t>
      </w:r>
      <w:r w:rsidR="00BE55B5" w:rsidRPr="004D61CD">
        <w:t>A</w:t>
      </w:r>
      <w:r w:rsidR="00E740BE">
        <w:t>ssembly</w:t>
      </w:r>
      <w:r w:rsidR="00BE55B5" w:rsidRPr="004D61CD">
        <w:t xml:space="preserve"> for approval. </w:t>
      </w:r>
    </w:p>
    <w:p w:rsidR="007E1F14" w:rsidRDefault="009D1993" w:rsidP="007E1F14">
      <w:pPr>
        <w:pStyle w:val="Heading2"/>
      </w:pPr>
      <w:r>
        <w:t>Other – C</w:t>
      </w:r>
      <w:r w:rsidR="0042259D">
        <w:t xml:space="preserve">ontinuous </w:t>
      </w:r>
      <w:r>
        <w:t>A</w:t>
      </w:r>
      <w:r w:rsidR="0042259D">
        <w:t>uditing</w:t>
      </w:r>
    </w:p>
    <w:p w:rsidR="007E1F14" w:rsidRDefault="007E1F14" w:rsidP="007E1F14">
      <w:pPr>
        <w:pStyle w:val="ONUME"/>
      </w:pPr>
      <w:r>
        <w:t>IOD issued three</w:t>
      </w:r>
      <w:r w:rsidR="00CC3861">
        <w:t xml:space="preserve"> internal memoranda</w:t>
      </w:r>
      <w:r>
        <w:t xml:space="preserve"> summarizing the work done using data analytics as part of its regular continuous audit work</w:t>
      </w:r>
      <w:r w:rsidR="0042259D">
        <w:t>;</w:t>
      </w:r>
      <w:r>
        <w:t xml:space="preserve">  the results </w:t>
      </w:r>
      <w:r w:rsidR="009D15E7">
        <w:t xml:space="preserve">of which </w:t>
      </w:r>
      <w:r>
        <w:t>w</w:t>
      </w:r>
      <w:r w:rsidR="00D20104">
        <w:t>ere shared with M</w:t>
      </w:r>
      <w:r w:rsidR="00CC3861">
        <w:t>anagement.  The</w:t>
      </w:r>
      <w:r>
        <w:t>s</w:t>
      </w:r>
      <w:r w:rsidR="00CC3861">
        <w:t>e memoranda</w:t>
      </w:r>
      <w:r>
        <w:t xml:space="preserve"> focused on internal controls in the areas of, AIMS </w:t>
      </w:r>
      <w:r w:rsidR="00D20104">
        <w:t>Financial and Procurement M</w:t>
      </w:r>
      <w:r w:rsidR="00CC3861">
        <w:t>anagement, T</w:t>
      </w:r>
      <w:r>
        <w:t xml:space="preserve">ravel </w:t>
      </w:r>
      <w:r w:rsidR="00CC3861">
        <w:t xml:space="preserve">Management in the </w:t>
      </w:r>
      <w:proofErr w:type="spellStart"/>
      <w:r w:rsidR="00CC3861">
        <w:t>eWork</w:t>
      </w:r>
      <w:proofErr w:type="spellEnd"/>
      <w:r w:rsidR="00CC3861">
        <w:t xml:space="preserve"> S</w:t>
      </w:r>
      <w:r>
        <w:t xml:space="preserve">ystem, and </w:t>
      </w:r>
      <w:r w:rsidR="00CC3861">
        <w:t xml:space="preserve">Staff Information Management in </w:t>
      </w:r>
      <w:r w:rsidR="00B324A9">
        <w:t>AIMS HR</w:t>
      </w:r>
      <w:r>
        <w:t xml:space="preserve">.  </w:t>
      </w:r>
    </w:p>
    <w:p w:rsidR="007E1F14" w:rsidRDefault="007E1F14" w:rsidP="007E1F14">
      <w:pPr>
        <w:pStyle w:val="ONUME"/>
      </w:pPr>
      <w:r>
        <w:t xml:space="preserve">IOD does not make formal recommendations </w:t>
      </w:r>
      <w:r w:rsidR="009D15E7">
        <w:t>based on the continuous auditing work it undertakes</w:t>
      </w:r>
      <w:r>
        <w:t xml:space="preserve">.  However, a meeting </w:t>
      </w:r>
      <w:r w:rsidR="002A6CA2">
        <w:t>was</w:t>
      </w:r>
      <w:r w:rsidR="00D20104">
        <w:t xml:space="preserve"> held with M</w:t>
      </w:r>
      <w:r>
        <w:t xml:space="preserve">anagement </w:t>
      </w:r>
      <w:r w:rsidR="00D20104">
        <w:t>R</w:t>
      </w:r>
      <w:r>
        <w:t>epresentatives from the Administration and Management Sector and the Human Resources Management Department</w:t>
      </w:r>
      <w:r w:rsidR="00D52C86">
        <w:t xml:space="preserve"> (HRMD)</w:t>
      </w:r>
      <w:r>
        <w:t xml:space="preserve"> to discuss the observations and suggestions made by IOD.  </w:t>
      </w:r>
    </w:p>
    <w:p w:rsidR="007E1F14" w:rsidRDefault="009D15E7" w:rsidP="007E1F14">
      <w:pPr>
        <w:pStyle w:val="ONUME"/>
      </w:pPr>
      <w:r>
        <w:t xml:space="preserve">IOD can report that </w:t>
      </w:r>
      <w:r w:rsidR="007E1F14">
        <w:t xml:space="preserve">Management appreciated the observations </w:t>
      </w:r>
      <w:r>
        <w:t xml:space="preserve">it </w:t>
      </w:r>
      <w:r w:rsidR="007E1F14">
        <w:t>made</w:t>
      </w:r>
      <w:r>
        <w:t>,</w:t>
      </w:r>
      <w:r w:rsidR="007E1F14">
        <w:t xml:space="preserve"> and welcomed the opportunity to make further improvements in internal controls.  </w:t>
      </w:r>
    </w:p>
    <w:p w:rsidR="0016490F" w:rsidRDefault="0016490F" w:rsidP="0016490F">
      <w:pPr>
        <w:pStyle w:val="Heading2"/>
      </w:pPr>
      <w:r>
        <w:t xml:space="preserve">Evaluation </w:t>
      </w:r>
      <w:r w:rsidR="008478F6">
        <w:t>of</w:t>
      </w:r>
      <w:r w:rsidR="00D52C86">
        <w:t xml:space="preserve"> </w:t>
      </w:r>
      <w:r>
        <w:t>the</w:t>
      </w:r>
      <w:r w:rsidRPr="00664407">
        <w:t xml:space="preserve"> </w:t>
      </w:r>
      <w:r>
        <w:t>international U</w:t>
      </w:r>
      <w:r w:rsidR="006C33EA">
        <w:t>nion for the Protection Of New Varieties Of Plants</w:t>
      </w:r>
      <w:r>
        <w:t xml:space="preserve"> (UPOV) </w:t>
      </w:r>
    </w:p>
    <w:p w:rsidR="00E740BE" w:rsidRDefault="00D52C86" w:rsidP="00085B45">
      <w:pPr>
        <w:pStyle w:val="ONUME"/>
      </w:pPr>
      <w:r>
        <w:t>At its Ninetieth S</w:t>
      </w:r>
      <w:r w:rsidR="00E740BE" w:rsidRPr="006F3AAF">
        <w:t xml:space="preserve">ession </w:t>
      </w:r>
      <w:r w:rsidR="00085B45">
        <w:t>(Geneva, October 28 and 29, 2015),</w:t>
      </w:r>
      <w:r w:rsidR="0025317E">
        <w:t xml:space="preserve"> the </w:t>
      </w:r>
      <w:r w:rsidR="00B70D87">
        <w:t xml:space="preserve">UPOV </w:t>
      </w:r>
      <w:r w:rsidR="0025317E">
        <w:t>Consultative Committee,</w:t>
      </w:r>
      <w:r w:rsidR="00E740BE" w:rsidRPr="006F3AAF">
        <w:t xml:space="preserve"> agreed to request IOD to conduct an</w:t>
      </w:r>
      <w:r w:rsidR="0025317E">
        <w:t xml:space="preserve"> evaluation in 2016</w:t>
      </w:r>
      <w:r w:rsidR="0025317E">
        <w:noBreakHyphen/>
        <w:t xml:space="preserve">2017 of the </w:t>
      </w:r>
      <w:r w:rsidR="00E740BE" w:rsidRPr="006F3AAF">
        <w:t>program of activities of UPOV</w:t>
      </w:r>
      <w:r w:rsidR="00085B45">
        <w:t xml:space="preserve">. </w:t>
      </w:r>
      <w:r w:rsidR="00BC7865">
        <w:t xml:space="preserve"> </w:t>
      </w:r>
      <w:r w:rsidR="00085B45">
        <w:t>The evaluation report was presented by IOD in the Fiftieth Ordina</w:t>
      </w:r>
      <w:r>
        <w:t>ry S</w:t>
      </w:r>
      <w:r w:rsidR="00B70D87">
        <w:t>ession of the UPOV Council on October 28, 2016</w:t>
      </w:r>
      <w:r w:rsidR="00085B45">
        <w:t xml:space="preserve">. </w:t>
      </w:r>
    </w:p>
    <w:p w:rsidR="00B23BAA" w:rsidRDefault="0016490F" w:rsidP="00B23BAA">
      <w:pPr>
        <w:pStyle w:val="ONUME"/>
      </w:pPr>
      <w:r w:rsidRPr="00626528">
        <w:t>The main objective of this evaluation was to assess the relevance, effectiveness, efficiency, impact and sustainability of the activit</w:t>
      </w:r>
      <w:r w:rsidR="007A32C5">
        <w:t>ies implemented by the Office of</w:t>
      </w:r>
      <w:r w:rsidRPr="00626528">
        <w:t xml:space="preserve"> the Union with regard to fulfilling its mandate.  The evaluation covered cooperation strategies and implementation practices, including all activities and modalities, during the period 2012-2015</w:t>
      </w:r>
      <w:r>
        <w:t xml:space="preserve">. </w:t>
      </w:r>
    </w:p>
    <w:p w:rsidR="00B23BAA" w:rsidRDefault="00B23BAA" w:rsidP="00B23BAA">
      <w:pPr>
        <w:pStyle w:val="ONUME"/>
      </w:pPr>
      <w:r>
        <w:t>Follow up action on the implementation of the recommendations shall be presented by UPOV to t</w:t>
      </w:r>
      <w:r w:rsidR="00D52C86">
        <w:t>he Council in its October 2017 S</w:t>
      </w:r>
      <w:r>
        <w:t>ession.</w:t>
      </w:r>
    </w:p>
    <w:p w:rsidR="008D5C16" w:rsidRDefault="001C3954" w:rsidP="008D5C16">
      <w:pPr>
        <w:pStyle w:val="Heading2"/>
      </w:pPr>
      <w:r>
        <w:t>Evaluation of</w:t>
      </w:r>
      <w:r w:rsidR="008D5C16">
        <w:t xml:space="preserve"> WIPO G</w:t>
      </w:r>
      <w:r w:rsidR="006C33EA">
        <w:t>lobal Databases Division</w:t>
      </w:r>
      <w:r w:rsidR="008D5C16">
        <w:t xml:space="preserve"> – PROGRAM 13</w:t>
      </w:r>
    </w:p>
    <w:p w:rsidR="00F7489E" w:rsidRDefault="008D5C16" w:rsidP="00F7489E">
      <w:pPr>
        <w:pStyle w:val="ONUME"/>
      </w:pPr>
      <w:r w:rsidRPr="00137082">
        <w:t xml:space="preserve">The main objective of the evaluation was to assess the effectiveness, efficiency, impact and sustainability of the Program 13 (Global Databases Division) with regard to fulfilling its mandate. </w:t>
      </w:r>
    </w:p>
    <w:p w:rsidR="00F7489E" w:rsidRDefault="00B23BAA" w:rsidP="00F7489E">
      <w:pPr>
        <w:pStyle w:val="ONUME"/>
      </w:pPr>
      <w:r w:rsidRPr="00B23BAA">
        <w:t xml:space="preserve">The Program continually invested in developing content and functionalities of the Global </w:t>
      </w:r>
      <w:r w:rsidRPr="00FD4B74">
        <w:t>Databases, which enabled successful achievement of the</w:t>
      </w:r>
      <w:r w:rsidR="002B105E">
        <w:t xml:space="preserve"> WIPO </w:t>
      </w:r>
      <w:r w:rsidR="00B324A9">
        <w:t>ER</w:t>
      </w:r>
      <w:r w:rsidR="002B105E">
        <w:t xml:space="preserve"> IV.2 and </w:t>
      </w:r>
      <w:r w:rsidRPr="00FD4B74">
        <w:t>IV.3.  The content and functionalities of WIPO Global Databases</w:t>
      </w:r>
      <w:r w:rsidR="00B324A9">
        <w:t>’</w:t>
      </w:r>
      <w:r w:rsidRPr="00FD4B74">
        <w:t xml:space="preserve"> (including multilingual support of PATENTSCOPE Database) were positively rated by over 80 per cent of surveyed database customers and the usage of the PATENTSCOPE and Global Brand Databases has been gradually increasing for the past two biennia</w:t>
      </w:r>
      <w:r w:rsidR="00F7489E">
        <w:t>.</w:t>
      </w:r>
    </w:p>
    <w:p w:rsidR="00C72F9D" w:rsidRDefault="00C72F9D">
      <w:r>
        <w:br w:type="page"/>
      </w:r>
    </w:p>
    <w:p w:rsidR="002B105E" w:rsidRDefault="00B311E6" w:rsidP="00B70D87">
      <w:pPr>
        <w:pStyle w:val="ONUME"/>
      </w:pPr>
      <w:r w:rsidRPr="00F7489E">
        <w:lastRenderedPageBreak/>
        <w:t>The Program has carried out a Business Impact Assessment, although, Business Continuity and Disaster Recovery Plans have not yet been developed to ensure the full disaster rec</w:t>
      </w:r>
      <w:r w:rsidR="00D52C86">
        <w:t xml:space="preserve">overy capacity of the Division.  </w:t>
      </w:r>
      <w:r w:rsidRPr="00F7489E">
        <w:t xml:space="preserve">No resources are allocated to track the national data deliveries, or follow up with IP offices in case of necessity which causes information exchange delays. </w:t>
      </w:r>
      <w:r w:rsidR="00D52C86">
        <w:t xml:space="preserve"> </w:t>
      </w:r>
      <w:r w:rsidRPr="00F7489E">
        <w:t>Gender equality indicators have not yet been factored in as part of the Program</w:t>
      </w:r>
      <w:r w:rsidR="00B324A9">
        <w:t>’</w:t>
      </w:r>
      <w:r w:rsidRPr="00F7489E">
        <w:t>s result framework for the period under evaluation.</w:t>
      </w:r>
    </w:p>
    <w:p w:rsidR="008D5C16" w:rsidRDefault="00B311E6" w:rsidP="00F7489E">
      <w:pPr>
        <w:pStyle w:val="ONUME"/>
      </w:pPr>
      <w:r>
        <w:t>Further improvements can be made by</w:t>
      </w:r>
      <w:r w:rsidR="00D52C86">
        <w:t xml:space="preserve">: </w:t>
      </w:r>
      <w:r>
        <w:t xml:space="preserve"> (</w:t>
      </w:r>
      <w:proofErr w:type="spellStart"/>
      <w:r>
        <w:t>i</w:t>
      </w:r>
      <w:proofErr w:type="spellEnd"/>
      <w:r>
        <w:t xml:space="preserve">) </w:t>
      </w:r>
      <w:r w:rsidR="008D5C16" w:rsidRPr="00137082">
        <w:t>revis</w:t>
      </w:r>
      <w:r>
        <w:t>ing</w:t>
      </w:r>
      <w:r w:rsidR="008D5C16" w:rsidRPr="00137082">
        <w:t xml:space="preserve"> its human resource plans to be able to sufficiently address the development needs (including improving the multilingual support functions) of each database and provide a full back up</w:t>
      </w:r>
      <w:r>
        <w:t>;</w:t>
      </w:r>
      <w:r w:rsidR="008D5C16" w:rsidRPr="00137082">
        <w:t xml:space="preserve"> </w:t>
      </w:r>
      <w:r w:rsidR="00F7489E">
        <w:t xml:space="preserve"> </w:t>
      </w:r>
      <w:r>
        <w:t xml:space="preserve">(ii) </w:t>
      </w:r>
      <w:r w:rsidR="008D5C16" w:rsidRPr="00137082">
        <w:t>consider</w:t>
      </w:r>
      <w:r>
        <w:t>ing</w:t>
      </w:r>
      <w:r w:rsidR="008D5C16" w:rsidRPr="00137082">
        <w:t xml:space="preserve"> developing a comprehensive data quality assurance system to equally implement reactive and proactive components of the data quality system through quality at source and monitoring and matching </w:t>
      </w:r>
      <w:r w:rsidR="0005323C" w:rsidRPr="00137082">
        <w:t>approach</w:t>
      </w:r>
      <w:r>
        <w:t xml:space="preserve">; </w:t>
      </w:r>
      <w:r w:rsidR="00F7489E">
        <w:t xml:space="preserve"> </w:t>
      </w:r>
      <w:r>
        <w:t>and (ii</w:t>
      </w:r>
      <w:r w:rsidR="00D52C86">
        <w:t>i</w:t>
      </w:r>
      <w:r>
        <w:t>)</w:t>
      </w:r>
      <w:r w:rsidR="008D5C16" w:rsidRPr="00137082">
        <w:t xml:space="preserve"> address</w:t>
      </w:r>
      <w:r>
        <w:t>ing</w:t>
      </w:r>
      <w:r w:rsidR="008D5C16" w:rsidRPr="00137082">
        <w:t xml:space="preserve"> the service quality component of the Program through synchronizing and enriching multilingual </w:t>
      </w:r>
      <w:r w:rsidR="00B324A9">
        <w:t>“</w:t>
      </w:r>
      <w:r w:rsidR="008D5C16" w:rsidRPr="00137082">
        <w:t>help option</w:t>
      </w:r>
      <w:r w:rsidR="00B324A9">
        <w:t>”</w:t>
      </w:r>
      <w:r w:rsidR="008D5C16" w:rsidRPr="00137082">
        <w:t xml:space="preserve"> of the databases</w:t>
      </w:r>
      <w:r>
        <w:t>.</w:t>
      </w:r>
    </w:p>
    <w:p w:rsidR="00345A77" w:rsidRDefault="00345A77" w:rsidP="00345A77">
      <w:pPr>
        <w:pStyle w:val="Heading2"/>
      </w:pPr>
      <w:r>
        <w:t xml:space="preserve">Evaluation </w:t>
      </w:r>
      <w:r w:rsidR="0016490F">
        <w:t xml:space="preserve">of </w:t>
      </w:r>
      <w:r>
        <w:t>the</w:t>
      </w:r>
      <w:r w:rsidRPr="00664407">
        <w:t xml:space="preserve"> </w:t>
      </w:r>
      <w:r>
        <w:t>international classific</w:t>
      </w:r>
      <w:r w:rsidR="009B5E66">
        <w:t>A</w:t>
      </w:r>
      <w:r w:rsidR="00C71B45">
        <w:t>tions and standards division </w:t>
      </w:r>
      <w:r>
        <w:t>– program 12</w:t>
      </w:r>
    </w:p>
    <w:p w:rsidR="002B105E" w:rsidRDefault="00345A77" w:rsidP="002B105E">
      <w:pPr>
        <w:pStyle w:val="ONUME"/>
      </w:pPr>
      <w:r>
        <w:t>The evaluation of Program 12 was performed between January and June 2017</w:t>
      </w:r>
      <w:r w:rsidR="001A141A">
        <w:t>.</w:t>
      </w:r>
      <w:r>
        <w:t xml:space="preserve"> </w:t>
      </w:r>
      <w:r w:rsidR="002B105E">
        <w:t xml:space="preserve"> </w:t>
      </w:r>
      <w:r w:rsidR="001A141A" w:rsidRPr="001305E9">
        <w:t xml:space="preserve">The main objective of the evaluation was to assess the relevance, effectiveness, efficiency, impact and sustainability of </w:t>
      </w:r>
      <w:r w:rsidR="001A141A">
        <w:t>Program</w:t>
      </w:r>
      <w:r w:rsidR="001A141A" w:rsidRPr="001305E9">
        <w:t xml:space="preserve"> 12 (International Classifications and Standards Division) with regard to fulfilling its mandate in classifications domain and providing eva</w:t>
      </w:r>
      <w:r w:rsidR="00D20104">
        <w:t>luative insights to assist the M</w:t>
      </w:r>
      <w:r w:rsidR="001A141A" w:rsidRPr="001305E9">
        <w:t>anagement in making well informed decisions</w:t>
      </w:r>
      <w:r w:rsidR="002B105E">
        <w:t>.</w:t>
      </w:r>
    </w:p>
    <w:p w:rsidR="00345A77" w:rsidRPr="00D04323" w:rsidRDefault="00F737AB" w:rsidP="002B105E">
      <w:pPr>
        <w:pStyle w:val="ONUME"/>
      </w:pPr>
      <w:r>
        <w:t xml:space="preserve">The program </w:t>
      </w:r>
      <w:r w:rsidR="00345A77" w:rsidRPr="001305E9">
        <w:t>activities addressed the needs and prioritie</w:t>
      </w:r>
      <w:r w:rsidR="009031E7">
        <w:t xml:space="preserve">s of all beneficiary countries.  It </w:t>
      </w:r>
      <w:r w:rsidR="00345A77" w:rsidRPr="001A141A">
        <w:rPr>
          <w:szCs w:val="22"/>
        </w:rPr>
        <w:t xml:space="preserve">contributed </w:t>
      </w:r>
      <w:r w:rsidR="00345A77" w:rsidRPr="00D04323">
        <w:t xml:space="preserve">to achieving </w:t>
      </w:r>
      <w:r w:rsidR="001C3954">
        <w:t>Strategic Goal</w:t>
      </w:r>
      <w:r w:rsidR="00345A77" w:rsidRPr="00D04323">
        <w:t xml:space="preserve"> IV through creating cooperation platforms between IP Offices to enhance voluntary, technical international cooperation on classification matters</w:t>
      </w:r>
      <w:r w:rsidR="00345A77">
        <w:t xml:space="preserve">.  </w:t>
      </w:r>
      <w:r w:rsidR="001A141A" w:rsidRPr="001A141A">
        <w:t xml:space="preserve"> </w:t>
      </w:r>
      <w:r w:rsidR="001A141A" w:rsidRPr="001305E9">
        <w:t xml:space="preserve">The </w:t>
      </w:r>
      <w:r w:rsidR="001A141A">
        <w:t>Program</w:t>
      </w:r>
      <w:r w:rsidR="001A141A" w:rsidRPr="001305E9">
        <w:t xml:space="preserve"> was addressing the training requests from developing countries mainly on an </w:t>
      </w:r>
      <w:r w:rsidR="001A141A" w:rsidRPr="00C3569C">
        <w:rPr>
          <w:i/>
        </w:rPr>
        <w:t>ad hoc</w:t>
      </w:r>
      <w:r w:rsidR="001A141A" w:rsidRPr="001305E9">
        <w:t xml:space="preserve"> basis</w:t>
      </w:r>
      <w:r w:rsidR="001A141A">
        <w:t xml:space="preserve"> and</w:t>
      </w:r>
      <w:r w:rsidR="001A141A" w:rsidRPr="00D04323">
        <w:rPr>
          <w:szCs w:val="22"/>
        </w:rPr>
        <w:t xml:space="preserve"> continuous</w:t>
      </w:r>
      <w:r w:rsidR="007A32C5">
        <w:rPr>
          <w:szCs w:val="22"/>
        </w:rPr>
        <w:t>ly</w:t>
      </w:r>
      <w:r w:rsidR="001A141A" w:rsidRPr="00D04323">
        <w:rPr>
          <w:szCs w:val="22"/>
        </w:rPr>
        <w:t xml:space="preserve"> offering </w:t>
      </w:r>
      <w:r w:rsidR="007A32C5">
        <w:rPr>
          <w:szCs w:val="22"/>
        </w:rPr>
        <w:t xml:space="preserve">the same </w:t>
      </w:r>
      <w:r w:rsidR="001A141A" w:rsidRPr="00D04323">
        <w:rPr>
          <w:szCs w:val="22"/>
        </w:rPr>
        <w:t>static training pattern</w:t>
      </w:r>
      <w:r w:rsidR="007A32C5">
        <w:rPr>
          <w:szCs w:val="22"/>
        </w:rPr>
        <w:t xml:space="preserve"> developed </w:t>
      </w:r>
      <w:r w:rsidR="009D15E7">
        <w:rPr>
          <w:szCs w:val="22"/>
        </w:rPr>
        <w:t>previously</w:t>
      </w:r>
      <w:r w:rsidR="001A141A">
        <w:rPr>
          <w:szCs w:val="22"/>
        </w:rPr>
        <w:t xml:space="preserve">.  </w:t>
      </w:r>
      <w:r w:rsidR="001A141A" w:rsidRPr="001305E9">
        <w:t xml:space="preserve">The </w:t>
      </w:r>
      <w:r w:rsidR="001A141A">
        <w:t>Program</w:t>
      </w:r>
      <w:r w:rsidR="001A141A" w:rsidRPr="001305E9">
        <w:t xml:space="preserve"> allocated the largest share of its budget for contractual services aimed at developing and utilizing digital and </w:t>
      </w:r>
      <w:r w:rsidR="001A141A" w:rsidRPr="001305E9">
        <w:rPr>
          <w:szCs w:val="22"/>
        </w:rPr>
        <w:t xml:space="preserve">Information and Communication Technology </w:t>
      </w:r>
      <w:r w:rsidR="001A141A">
        <w:rPr>
          <w:szCs w:val="22"/>
        </w:rPr>
        <w:t>(</w:t>
      </w:r>
      <w:r w:rsidR="001A141A" w:rsidRPr="001305E9">
        <w:t>ICT</w:t>
      </w:r>
      <w:r w:rsidR="001A141A">
        <w:t>)</w:t>
      </w:r>
      <w:r w:rsidR="001A141A" w:rsidRPr="001305E9">
        <w:t xml:space="preserve"> information sharing tools, though, s</w:t>
      </w:r>
      <w:r w:rsidR="001A141A" w:rsidRPr="00D04323">
        <w:rPr>
          <w:rFonts w:eastAsia="Times New Roman"/>
          <w:szCs w:val="22"/>
          <w:lang w:eastAsia="en-US"/>
        </w:rPr>
        <w:t>ome anticipated ICT projects had been delayed or canceled due to resource limitations</w:t>
      </w:r>
      <w:r w:rsidR="007A32C5">
        <w:rPr>
          <w:rFonts w:eastAsia="Times New Roman"/>
          <w:szCs w:val="22"/>
          <w:lang w:eastAsia="en-US"/>
        </w:rPr>
        <w:t>.</w:t>
      </w:r>
    </w:p>
    <w:p w:rsidR="00345A77" w:rsidRDefault="001A141A" w:rsidP="002B105E">
      <w:pPr>
        <w:pStyle w:val="ONUME"/>
      </w:pPr>
      <w:r>
        <w:t>Further improvements can be made by</w:t>
      </w:r>
      <w:r w:rsidR="00D52C86">
        <w:t xml:space="preserve">: </w:t>
      </w:r>
      <w:r>
        <w:t xml:space="preserve"> (</w:t>
      </w:r>
      <w:proofErr w:type="spellStart"/>
      <w:r>
        <w:t>i</w:t>
      </w:r>
      <w:proofErr w:type="spellEnd"/>
      <w:r>
        <w:t xml:space="preserve">) </w:t>
      </w:r>
      <w:r>
        <w:rPr>
          <w:szCs w:val="22"/>
        </w:rPr>
        <w:t>taking</w:t>
      </w:r>
      <w:r w:rsidRPr="001305E9">
        <w:rPr>
          <w:szCs w:val="22"/>
        </w:rPr>
        <w:t xml:space="preserve"> the lead in addressing the periodicity of the sessions of the Committee of Experts for </w:t>
      </w:r>
      <w:r>
        <w:rPr>
          <w:szCs w:val="22"/>
        </w:rPr>
        <w:t>Locarno and Vienna Classification</w:t>
      </w:r>
      <w:proofErr w:type="gramStart"/>
      <w:r>
        <w:rPr>
          <w:szCs w:val="22"/>
        </w:rPr>
        <w:t xml:space="preserve">; </w:t>
      </w:r>
      <w:r w:rsidR="002B105E">
        <w:rPr>
          <w:szCs w:val="22"/>
        </w:rPr>
        <w:t xml:space="preserve"> </w:t>
      </w:r>
      <w:r>
        <w:rPr>
          <w:szCs w:val="22"/>
        </w:rPr>
        <w:t>(</w:t>
      </w:r>
      <w:proofErr w:type="gramEnd"/>
      <w:r>
        <w:rPr>
          <w:szCs w:val="22"/>
        </w:rPr>
        <w:t>ii) contributing</w:t>
      </w:r>
      <w:r w:rsidRPr="001305E9">
        <w:rPr>
          <w:szCs w:val="22"/>
        </w:rPr>
        <w:t xml:space="preserve"> to the training needs assessment exercise planned in developing a more comprehensive competency framework</w:t>
      </w:r>
      <w:r>
        <w:rPr>
          <w:szCs w:val="22"/>
        </w:rPr>
        <w:t xml:space="preserve">; </w:t>
      </w:r>
      <w:r w:rsidR="002B105E">
        <w:rPr>
          <w:szCs w:val="22"/>
        </w:rPr>
        <w:t xml:space="preserve"> </w:t>
      </w:r>
      <w:r>
        <w:rPr>
          <w:szCs w:val="22"/>
        </w:rPr>
        <w:t xml:space="preserve">and (iii) </w:t>
      </w:r>
      <w:r>
        <w:t>reshaping</w:t>
      </w:r>
      <w:r w:rsidRPr="001305E9">
        <w:t xml:space="preserve"> the </w:t>
      </w:r>
      <w:r>
        <w:t>Program</w:t>
      </w:r>
      <w:r w:rsidR="00B324A9">
        <w:t>’</w:t>
      </w:r>
      <w:r w:rsidRPr="001305E9">
        <w:t xml:space="preserve">s human resource plans to staff the Marks and Design Section through starting the recruitment for the position of the Head of </w:t>
      </w:r>
      <w:r>
        <w:t>S</w:t>
      </w:r>
      <w:r w:rsidRPr="001305E9">
        <w:t>ection.</w:t>
      </w:r>
    </w:p>
    <w:p w:rsidR="004975A1" w:rsidRPr="00DA5DBB" w:rsidRDefault="004975A1" w:rsidP="00317621">
      <w:pPr>
        <w:pStyle w:val="Heading1"/>
      </w:pPr>
      <w:bookmarkStart w:id="35" w:name="_Toc487462080"/>
      <w:bookmarkStart w:id="36" w:name="_Toc328920437"/>
      <w:r w:rsidRPr="00EF631C">
        <w:t>I</w:t>
      </w:r>
      <w:r w:rsidR="00317621">
        <w:t>NVESTIGATIVE ACTIVITIES</w:t>
      </w:r>
      <w:bookmarkEnd w:id="35"/>
    </w:p>
    <w:p w:rsidR="004975A1" w:rsidRDefault="004975A1" w:rsidP="004975A1">
      <w:pPr>
        <w:pStyle w:val="Heading2"/>
      </w:pPr>
      <w:r>
        <w:t>Caseload overview</w:t>
      </w:r>
    </w:p>
    <w:p w:rsidR="00054C7F" w:rsidRDefault="004975A1" w:rsidP="00A7488C">
      <w:pPr>
        <w:pStyle w:val="ONUME"/>
      </w:pPr>
      <w:r w:rsidRPr="00E2643D">
        <w:t xml:space="preserve">During the reporting period, </w:t>
      </w:r>
      <w:r w:rsidR="007D6A22">
        <w:t>24</w:t>
      </w:r>
      <w:r w:rsidR="007D6A22" w:rsidRPr="00E2643D">
        <w:t xml:space="preserve"> </w:t>
      </w:r>
      <w:r w:rsidRPr="00E2643D">
        <w:t xml:space="preserve">new </w:t>
      </w:r>
      <w:r>
        <w:t xml:space="preserve">inquiry </w:t>
      </w:r>
      <w:r w:rsidRPr="00E2643D">
        <w:t xml:space="preserve">cases were registered and </w:t>
      </w:r>
      <w:r w:rsidR="007D6A22">
        <w:t>27</w:t>
      </w:r>
      <w:r w:rsidR="007D6A22" w:rsidRPr="00E2643D">
        <w:t xml:space="preserve"> </w:t>
      </w:r>
      <w:r w:rsidRPr="00E2643D">
        <w:t xml:space="preserve">were closed. </w:t>
      </w:r>
      <w:r>
        <w:t xml:space="preserve"> </w:t>
      </w:r>
      <w:r w:rsidRPr="00E2643D">
        <w:t xml:space="preserve">As of </w:t>
      </w:r>
      <w:r w:rsidR="007C5559" w:rsidRPr="003C08B2">
        <w:t xml:space="preserve">June </w:t>
      </w:r>
      <w:r w:rsidR="00604F9D">
        <w:t>30</w:t>
      </w:r>
      <w:r w:rsidR="007C5559" w:rsidRPr="003C08B2">
        <w:t xml:space="preserve">, </w:t>
      </w:r>
      <w:r w:rsidR="008D7D70">
        <w:t>2017</w:t>
      </w:r>
      <w:r w:rsidRPr="003C08B2">
        <w:t>,</w:t>
      </w:r>
      <w:r w:rsidRPr="00E2643D">
        <w:t xml:space="preserve"> </w:t>
      </w:r>
      <w:r w:rsidR="008D7D70">
        <w:t>14</w:t>
      </w:r>
      <w:r w:rsidR="008D7D70" w:rsidRPr="00E2643D">
        <w:t xml:space="preserve"> </w:t>
      </w:r>
      <w:r w:rsidRPr="00E2643D">
        <w:t xml:space="preserve">cases </w:t>
      </w:r>
      <w:r>
        <w:t>are</w:t>
      </w:r>
      <w:r w:rsidRPr="00E2643D">
        <w:t xml:space="preserve"> pending, including </w:t>
      </w:r>
      <w:r w:rsidR="00EB3B20">
        <w:t>one</w:t>
      </w:r>
      <w:r w:rsidR="00EB3B20" w:rsidRPr="00E2643D">
        <w:t xml:space="preserve"> </w:t>
      </w:r>
      <w:r w:rsidRPr="00E2643D">
        <w:t>at the preliminary evaluation stage</w:t>
      </w:r>
      <w:r w:rsidR="00EB3B20">
        <w:t>,</w:t>
      </w:r>
      <w:r w:rsidRPr="00E2643D">
        <w:t xml:space="preserve"> </w:t>
      </w:r>
      <w:r w:rsidR="00EB3B20">
        <w:t>eight</w:t>
      </w:r>
      <w:r w:rsidR="00EB3B20" w:rsidRPr="00E2643D">
        <w:t xml:space="preserve"> </w:t>
      </w:r>
      <w:r w:rsidRPr="00E2643D">
        <w:t>at the full investigation stage</w:t>
      </w:r>
      <w:r w:rsidR="00EB3B20">
        <w:t xml:space="preserve"> and five on hold because of the prolonged absence of a concerned staff member, or pending action by another entity</w:t>
      </w:r>
      <w:r w:rsidRPr="00E2643D">
        <w:t>.</w:t>
      </w:r>
      <w:r w:rsidR="00565EAF">
        <w:t xml:space="preserve">  </w:t>
      </w:r>
      <w:r w:rsidR="00124878">
        <w:t xml:space="preserve">Of the pending cases, </w:t>
      </w:r>
      <w:r w:rsidR="007D6A22">
        <w:t xml:space="preserve">eight </w:t>
      </w:r>
      <w:r w:rsidR="00311A89">
        <w:t xml:space="preserve">were opened in </w:t>
      </w:r>
      <w:r w:rsidR="00EB3B20">
        <w:t>2017</w:t>
      </w:r>
      <w:r w:rsidR="00311A89">
        <w:t xml:space="preserve">, </w:t>
      </w:r>
      <w:r w:rsidR="007D6A22">
        <w:t xml:space="preserve">five </w:t>
      </w:r>
      <w:r w:rsidR="00311A89">
        <w:t xml:space="preserve">in </w:t>
      </w:r>
      <w:r w:rsidR="00EB3B20">
        <w:t xml:space="preserve">2016 </w:t>
      </w:r>
      <w:r w:rsidR="00311A89">
        <w:t>and one in 2014.</w:t>
      </w:r>
      <w:r w:rsidR="00565EAF">
        <w:t xml:space="preserve">  </w:t>
      </w:r>
      <w:r w:rsidR="00A7488C">
        <w:t xml:space="preserve">As of June </w:t>
      </w:r>
      <w:r w:rsidR="007D6A22">
        <w:t xml:space="preserve">30, </w:t>
      </w:r>
      <w:r w:rsidR="00EB3B20">
        <w:t>2017</w:t>
      </w:r>
      <w:r w:rsidR="00A7488C">
        <w:t xml:space="preserve">, </w:t>
      </w:r>
      <w:r w:rsidR="009D15E7">
        <w:t xml:space="preserve">length of time it takes for cases to be </w:t>
      </w:r>
      <w:r w:rsidR="00A7488C">
        <w:t xml:space="preserve">investigated is </w:t>
      </w:r>
      <w:r w:rsidR="007D6A22">
        <w:t>6.3</w:t>
      </w:r>
      <w:r w:rsidR="00EB3B20">
        <w:t xml:space="preserve"> </w:t>
      </w:r>
      <w:r w:rsidR="00A7488C">
        <w:t>months.</w:t>
      </w:r>
    </w:p>
    <w:p w:rsidR="00054C7F" w:rsidRDefault="00054C7F">
      <w:r>
        <w:br w:type="page"/>
      </w:r>
    </w:p>
    <w:p w:rsidR="004975A1" w:rsidRDefault="004975A1" w:rsidP="004975A1">
      <w:pPr>
        <w:pStyle w:val="ONUME"/>
        <w:numPr>
          <w:ilvl w:val="0"/>
          <w:numId w:val="0"/>
        </w:numPr>
        <w:jc w:val="center"/>
        <w:rPr>
          <w:b/>
          <w:sz w:val="18"/>
          <w:szCs w:val="18"/>
        </w:rPr>
      </w:pPr>
      <w:r w:rsidRPr="00E2643D">
        <w:rPr>
          <w:b/>
          <w:sz w:val="18"/>
          <w:szCs w:val="18"/>
        </w:rPr>
        <w:lastRenderedPageBreak/>
        <w:t xml:space="preserve">Chart </w:t>
      </w:r>
      <w:r>
        <w:rPr>
          <w:b/>
          <w:sz w:val="18"/>
          <w:szCs w:val="18"/>
        </w:rPr>
        <w:t>1</w:t>
      </w:r>
      <w:r w:rsidRPr="00E2643D">
        <w:rPr>
          <w:b/>
          <w:sz w:val="18"/>
          <w:szCs w:val="18"/>
        </w:rPr>
        <w:t xml:space="preserve"> – </w:t>
      </w:r>
      <w:r>
        <w:rPr>
          <w:b/>
          <w:sz w:val="18"/>
          <w:szCs w:val="18"/>
        </w:rPr>
        <w:t xml:space="preserve">Comparative Analysis of </w:t>
      </w:r>
      <w:r w:rsidRPr="00E2643D">
        <w:rPr>
          <w:b/>
          <w:sz w:val="18"/>
          <w:szCs w:val="18"/>
        </w:rPr>
        <w:t xml:space="preserve">Investigative caseload June 30, </w:t>
      </w:r>
      <w:r w:rsidR="0085532A">
        <w:rPr>
          <w:b/>
          <w:sz w:val="18"/>
          <w:szCs w:val="18"/>
        </w:rPr>
        <w:t>2014</w:t>
      </w:r>
      <w:r>
        <w:rPr>
          <w:b/>
          <w:sz w:val="18"/>
          <w:szCs w:val="18"/>
        </w:rPr>
        <w:t xml:space="preserve"> to June 30, </w:t>
      </w:r>
      <w:r w:rsidR="0085532A">
        <w:rPr>
          <w:b/>
          <w:sz w:val="18"/>
          <w:szCs w:val="18"/>
        </w:rPr>
        <w:t>2017</w:t>
      </w:r>
    </w:p>
    <w:p w:rsidR="004975A1" w:rsidRDefault="007D6A22" w:rsidP="004975A1">
      <w:pPr>
        <w:pStyle w:val="ONUME"/>
        <w:numPr>
          <w:ilvl w:val="0"/>
          <w:numId w:val="0"/>
        </w:numPr>
        <w:jc w:val="center"/>
      </w:pPr>
      <w:r>
        <w:rPr>
          <w:noProof/>
          <w:lang w:eastAsia="en-US"/>
        </w:rPr>
        <w:drawing>
          <wp:inline distT="0" distB="0" distL="0" distR="0" wp14:anchorId="0BF411FF" wp14:editId="2D632B32">
            <wp:extent cx="5940425" cy="385366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3853660"/>
                    </a:xfrm>
                    <a:prstGeom prst="rect">
                      <a:avLst/>
                    </a:prstGeom>
                  </pic:spPr>
                </pic:pic>
              </a:graphicData>
            </a:graphic>
          </wp:inline>
        </w:drawing>
      </w:r>
    </w:p>
    <w:p w:rsidR="004975A1" w:rsidRDefault="004975A1" w:rsidP="004975A1">
      <w:pPr>
        <w:pStyle w:val="ONUME"/>
      </w:pPr>
      <w:r w:rsidRPr="00AE5ACD">
        <w:t>Among the cases</w:t>
      </w:r>
      <w:r w:rsidR="00785724">
        <w:t xml:space="preserve"> opened during the reporting period</w:t>
      </w:r>
      <w:r w:rsidRPr="00AE5ACD">
        <w:t xml:space="preserve">, </w:t>
      </w:r>
      <w:r>
        <w:t>four</w:t>
      </w:r>
      <w:r w:rsidRPr="00AE5ACD">
        <w:t xml:space="preserve"> were referred to the IAOC </w:t>
      </w:r>
      <w:r>
        <w:t xml:space="preserve">for its advice </w:t>
      </w:r>
      <w:r w:rsidRPr="00AE5ACD">
        <w:t xml:space="preserve">in accordance with </w:t>
      </w:r>
      <w:r w:rsidR="0085532A">
        <w:t>relevant provisions</w:t>
      </w:r>
      <w:r w:rsidRPr="00AE5ACD">
        <w:t xml:space="preserve"> of</w:t>
      </w:r>
      <w:r>
        <w:t xml:space="preserve"> the IOC</w:t>
      </w:r>
      <w:r w:rsidR="0085532A">
        <w:rPr>
          <w:rStyle w:val="FootnoteReference"/>
        </w:rPr>
        <w:footnoteReference w:id="6"/>
      </w:r>
      <w:r w:rsidRPr="00AE5ACD">
        <w:t xml:space="preserve">.  </w:t>
      </w:r>
    </w:p>
    <w:p w:rsidR="004975A1" w:rsidRDefault="004975A1" w:rsidP="004975A1">
      <w:pPr>
        <w:pStyle w:val="Heading2"/>
      </w:pPr>
      <w:r>
        <w:t>Outcome of Investigative activities</w:t>
      </w:r>
    </w:p>
    <w:p w:rsidR="004975A1" w:rsidRDefault="00A7488C" w:rsidP="004975A1">
      <w:pPr>
        <w:pStyle w:val="ONUME"/>
      </w:pPr>
      <w:r>
        <w:t>According to the IOC, the Annual Report shall include a description of those investigative cases found to be substantiated and their disposition.</w:t>
      </w:r>
      <w:r w:rsidR="004975A1">
        <w:t xml:space="preserve"> </w:t>
      </w:r>
      <w:r w:rsidR="00565EAF">
        <w:t xml:space="preserve"> </w:t>
      </w:r>
      <w:r w:rsidR="004975A1">
        <w:t xml:space="preserve">In </w:t>
      </w:r>
      <w:r w:rsidR="002D3262">
        <w:t xml:space="preserve">five </w:t>
      </w:r>
      <w:r w:rsidR="004975A1">
        <w:t xml:space="preserve">of the cases investigated, IOD found that the allegations were substantiated and recommended disciplinary </w:t>
      </w:r>
      <w:r w:rsidR="00EC2D3E">
        <w:t xml:space="preserve">action </w:t>
      </w:r>
      <w:r w:rsidR="004975A1">
        <w:t>against a staff member.</w:t>
      </w:r>
      <w:r w:rsidR="00E1764A">
        <w:t xml:space="preserve"> </w:t>
      </w:r>
      <w:r w:rsidR="004975A1">
        <w:t xml:space="preserve"> Further:</w:t>
      </w:r>
    </w:p>
    <w:p w:rsidR="004975A1" w:rsidRDefault="004975A1" w:rsidP="004975A1">
      <w:pPr>
        <w:pStyle w:val="ONUME"/>
        <w:numPr>
          <w:ilvl w:val="1"/>
          <w:numId w:val="3"/>
        </w:numPr>
      </w:pPr>
      <w:r>
        <w:t xml:space="preserve">One case resulted in the </w:t>
      </w:r>
      <w:r w:rsidR="00AC514F">
        <w:t>dismissal</w:t>
      </w:r>
      <w:r>
        <w:t xml:space="preserve"> of the staff member from the Organization;</w:t>
      </w:r>
    </w:p>
    <w:p w:rsidR="004975A1" w:rsidRDefault="004975A1" w:rsidP="004975A1">
      <w:pPr>
        <w:pStyle w:val="ONUME"/>
        <w:numPr>
          <w:ilvl w:val="1"/>
          <w:numId w:val="3"/>
        </w:numPr>
      </w:pPr>
      <w:r>
        <w:t>In one case,</w:t>
      </w:r>
      <w:r w:rsidR="00EC2D3E">
        <w:t xml:space="preserve"> the staff member concerned left the Organization before disciplinary</w:t>
      </w:r>
      <w:r w:rsidR="00DD130E">
        <w:t xml:space="preserve"> proceedings could be initiated; </w:t>
      </w:r>
      <w:r w:rsidR="00E871AA">
        <w:t xml:space="preserve"> </w:t>
      </w:r>
      <w:r w:rsidR="00DD130E">
        <w:t>and</w:t>
      </w:r>
      <w:r w:rsidR="00EC2D3E">
        <w:t xml:space="preserve"> </w:t>
      </w:r>
    </w:p>
    <w:p w:rsidR="008022F1" w:rsidRDefault="00A7488C" w:rsidP="004975A1">
      <w:pPr>
        <w:pStyle w:val="ONUME"/>
        <w:numPr>
          <w:ilvl w:val="1"/>
          <w:numId w:val="3"/>
        </w:numPr>
      </w:pPr>
      <w:r>
        <w:t xml:space="preserve">In </w:t>
      </w:r>
      <w:r w:rsidR="00EC2D3E">
        <w:t xml:space="preserve">three </w:t>
      </w:r>
      <w:r w:rsidR="004975A1">
        <w:t>cases</w:t>
      </w:r>
      <w:r>
        <w:t>,</w:t>
      </w:r>
      <w:r w:rsidR="004975A1">
        <w:t xml:space="preserve"> a final decision by </w:t>
      </w:r>
      <w:r>
        <w:t>Management is still pending</w:t>
      </w:r>
      <w:r w:rsidR="006F4C15">
        <w:t xml:space="preserve"> as of June 30, </w:t>
      </w:r>
      <w:r w:rsidR="00EC2D3E">
        <w:t>2017</w:t>
      </w:r>
      <w:r w:rsidR="004975A1">
        <w:t>.</w:t>
      </w:r>
    </w:p>
    <w:p w:rsidR="004975A1" w:rsidRDefault="004975A1" w:rsidP="004975A1">
      <w:pPr>
        <w:pStyle w:val="ONUME"/>
      </w:pPr>
      <w:r>
        <w:t xml:space="preserve">In addition, the investigative activities conducted during the reporting period allowed IOD to draw some lessons.  In particular, </w:t>
      </w:r>
      <w:r w:rsidR="00EA5E97">
        <w:t xml:space="preserve">three </w:t>
      </w:r>
      <w:r>
        <w:t>MIR</w:t>
      </w:r>
      <w:r w:rsidR="0096577B">
        <w:t>s</w:t>
      </w:r>
      <w:r>
        <w:t xml:space="preserve"> were issued providing </w:t>
      </w:r>
      <w:r w:rsidR="0009210D">
        <w:t xml:space="preserve">management </w:t>
      </w:r>
      <w:r>
        <w:t xml:space="preserve">recommendations </w:t>
      </w:r>
      <w:r w:rsidR="000E150E">
        <w:t>regarding:  (</w:t>
      </w:r>
      <w:proofErr w:type="spellStart"/>
      <w:r w:rsidR="000E150E">
        <w:t>i</w:t>
      </w:r>
      <w:proofErr w:type="spellEnd"/>
      <w:r w:rsidR="0009210D">
        <w:t>) verificatio</w:t>
      </w:r>
      <w:r w:rsidR="000E150E">
        <w:t>n of staff benefit entitlements</w:t>
      </w:r>
      <w:proofErr w:type="gramStart"/>
      <w:r w:rsidR="000E150E">
        <w:t>;  (</w:t>
      </w:r>
      <w:proofErr w:type="gramEnd"/>
      <w:r w:rsidR="000E150E">
        <w:t>ii</w:t>
      </w:r>
      <w:r w:rsidR="0009210D">
        <w:t xml:space="preserve">) </w:t>
      </w:r>
      <w:r w:rsidR="00D82B01">
        <w:t>reassignment of staff members whose competencies did not match the requirements of their role</w:t>
      </w:r>
      <w:r w:rsidR="00EA5E97">
        <w:t xml:space="preserve">;  </w:t>
      </w:r>
      <w:r w:rsidR="00054C7F">
        <w:t>and (iii) </w:t>
      </w:r>
      <w:r w:rsidR="0096577B">
        <w:t>clarification of academic requirements in job announcements.</w:t>
      </w:r>
    </w:p>
    <w:p w:rsidR="003F6191" w:rsidRDefault="003F6191">
      <w:r>
        <w:br w:type="page"/>
      </w:r>
    </w:p>
    <w:p w:rsidR="004975A1" w:rsidRDefault="002222ED" w:rsidP="004975A1">
      <w:pPr>
        <w:pStyle w:val="ONUME"/>
      </w:pPr>
      <w:r>
        <w:lastRenderedPageBreak/>
        <w:t xml:space="preserve">A </w:t>
      </w:r>
      <w:r w:rsidR="006F4C15">
        <w:t>c</w:t>
      </w:r>
      <w:r w:rsidR="004975A1">
        <w:t xml:space="preserve">omparative </w:t>
      </w:r>
      <w:r w:rsidR="00A50C12">
        <w:t>analys</w:t>
      </w:r>
      <w:r w:rsidR="00A84B73">
        <w:t>i</w:t>
      </w:r>
      <w:r w:rsidR="00A50C12">
        <w:t xml:space="preserve">s of </w:t>
      </w:r>
      <w:r w:rsidR="00621D9A">
        <w:t xml:space="preserve">cases </w:t>
      </w:r>
      <w:r w:rsidR="00A50C12">
        <w:t>registered for the period J</w:t>
      </w:r>
      <w:r w:rsidR="00E1764A">
        <w:t>u</w:t>
      </w:r>
      <w:r w:rsidR="00621D9A">
        <w:t>ly 1</w:t>
      </w:r>
      <w:r w:rsidR="00A51ED7">
        <w:t xml:space="preserve">, </w:t>
      </w:r>
      <w:r w:rsidR="00FA1093">
        <w:t xml:space="preserve">2014 </w:t>
      </w:r>
      <w:r w:rsidR="00A51ED7">
        <w:t>to June 30, </w:t>
      </w:r>
      <w:r w:rsidR="00FA1093">
        <w:t>2017</w:t>
      </w:r>
      <w:r>
        <w:t xml:space="preserve"> is given in the table below:</w:t>
      </w:r>
    </w:p>
    <w:p w:rsidR="004975A1" w:rsidRDefault="004975A1" w:rsidP="004975A1">
      <w:pPr>
        <w:pStyle w:val="ONUME"/>
        <w:keepNext/>
        <w:numPr>
          <w:ilvl w:val="0"/>
          <w:numId w:val="0"/>
        </w:numPr>
        <w:jc w:val="center"/>
        <w:rPr>
          <w:b/>
          <w:sz w:val="18"/>
          <w:szCs w:val="18"/>
        </w:rPr>
      </w:pPr>
      <w:r w:rsidRPr="004B2173">
        <w:rPr>
          <w:b/>
          <w:sz w:val="18"/>
          <w:szCs w:val="18"/>
        </w:rPr>
        <w:t xml:space="preserve">Table </w:t>
      </w:r>
      <w:r>
        <w:rPr>
          <w:b/>
          <w:sz w:val="18"/>
          <w:szCs w:val="18"/>
        </w:rPr>
        <w:t>1</w:t>
      </w:r>
      <w:r w:rsidRPr="004B2173">
        <w:rPr>
          <w:b/>
          <w:sz w:val="18"/>
          <w:szCs w:val="18"/>
        </w:rPr>
        <w:t xml:space="preserve"> – Analysis of c</w:t>
      </w:r>
      <w:r w:rsidR="007C5559">
        <w:rPr>
          <w:b/>
          <w:sz w:val="18"/>
          <w:szCs w:val="18"/>
        </w:rPr>
        <w:t>omplaints received Ju</w:t>
      </w:r>
      <w:r w:rsidR="00E871AA">
        <w:rPr>
          <w:b/>
          <w:sz w:val="18"/>
          <w:szCs w:val="18"/>
        </w:rPr>
        <w:t>ly 1</w:t>
      </w:r>
      <w:r w:rsidR="007C5559">
        <w:rPr>
          <w:b/>
          <w:sz w:val="18"/>
          <w:szCs w:val="18"/>
        </w:rPr>
        <w:t xml:space="preserve">, </w:t>
      </w:r>
      <w:r w:rsidR="00FA1093">
        <w:rPr>
          <w:b/>
          <w:sz w:val="18"/>
          <w:szCs w:val="18"/>
        </w:rPr>
        <w:t xml:space="preserve">2014 </w:t>
      </w:r>
      <w:r w:rsidR="007C5559">
        <w:rPr>
          <w:b/>
          <w:sz w:val="18"/>
          <w:szCs w:val="18"/>
        </w:rPr>
        <w:t>to June</w:t>
      </w:r>
      <w:r w:rsidR="00E871AA">
        <w:rPr>
          <w:b/>
          <w:sz w:val="18"/>
          <w:szCs w:val="18"/>
        </w:rPr>
        <w:t xml:space="preserve"> 30,</w:t>
      </w:r>
      <w:r w:rsidR="007C5559">
        <w:rPr>
          <w:b/>
          <w:sz w:val="18"/>
          <w:szCs w:val="18"/>
        </w:rPr>
        <w:t xml:space="preserve"> </w:t>
      </w:r>
      <w:r w:rsidR="00E871AA">
        <w:rPr>
          <w:b/>
          <w:sz w:val="18"/>
          <w:szCs w:val="18"/>
        </w:rPr>
        <w:t>2017</w:t>
      </w:r>
    </w:p>
    <w:p w:rsidR="00833F5F" w:rsidRDefault="00F563BB" w:rsidP="004975A1">
      <w:pPr>
        <w:pStyle w:val="ONUME"/>
        <w:numPr>
          <w:ilvl w:val="0"/>
          <w:numId w:val="0"/>
        </w:numPr>
        <w:jc w:val="center"/>
      </w:pPr>
      <w:r w:rsidRPr="00F563BB">
        <w:rPr>
          <w:noProof/>
          <w:lang w:eastAsia="en-US"/>
        </w:rPr>
        <w:drawing>
          <wp:inline distT="0" distB="0" distL="0" distR="0" wp14:anchorId="507CE28C" wp14:editId="620BF657">
            <wp:extent cx="5940425" cy="3173652"/>
            <wp:effectExtent l="0" t="0" r="317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173652"/>
                    </a:xfrm>
                    <a:prstGeom prst="rect">
                      <a:avLst/>
                    </a:prstGeom>
                    <a:noFill/>
                    <a:ln>
                      <a:noFill/>
                    </a:ln>
                  </pic:spPr>
                </pic:pic>
              </a:graphicData>
            </a:graphic>
          </wp:inline>
        </w:drawing>
      </w:r>
    </w:p>
    <w:p w:rsidR="000056C0" w:rsidRDefault="000056C0" w:rsidP="004975A1">
      <w:pPr>
        <w:pStyle w:val="ONUME"/>
        <w:numPr>
          <w:ilvl w:val="0"/>
          <w:numId w:val="0"/>
        </w:numPr>
        <w:jc w:val="center"/>
      </w:pPr>
    </w:p>
    <w:p w:rsidR="004975A1" w:rsidRDefault="004975A1" w:rsidP="004975A1">
      <w:pPr>
        <w:pStyle w:val="ONUME"/>
        <w:keepNext/>
        <w:numPr>
          <w:ilvl w:val="0"/>
          <w:numId w:val="0"/>
        </w:numPr>
        <w:jc w:val="center"/>
        <w:rPr>
          <w:b/>
          <w:sz w:val="18"/>
          <w:szCs w:val="18"/>
        </w:rPr>
      </w:pPr>
      <w:r w:rsidRPr="00274898">
        <w:rPr>
          <w:b/>
          <w:sz w:val="18"/>
          <w:szCs w:val="18"/>
        </w:rPr>
        <w:t xml:space="preserve">Chart </w:t>
      </w:r>
      <w:r>
        <w:rPr>
          <w:b/>
          <w:sz w:val="18"/>
          <w:szCs w:val="18"/>
        </w:rPr>
        <w:t>2</w:t>
      </w:r>
      <w:r w:rsidRPr="00274898">
        <w:rPr>
          <w:b/>
          <w:sz w:val="18"/>
          <w:szCs w:val="18"/>
        </w:rPr>
        <w:t xml:space="preserve"> – </w:t>
      </w:r>
      <w:r>
        <w:rPr>
          <w:b/>
          <w:sz w:val="18"/>
          <w:szCs w:val="18"/>
        </w:rPr>
        <w:t xml:space="preserve">Analysis of </w:t>
      </w:r>
      <w:r w:rsidRPr="00274898">
        <w:rPr>
          <w:b/>
          <w:sz w:val="18"/>
          <w:szCs w:val="18"/>
        </w:rPr>
        <w:t xml:space="preserve">Cases </w:t>
      </w:r>
      <w:r>
        <w:rPr>
          <w:b/>
          <w:sz w:val="18"/>
          <w:szCs w:val="18"/>
        </w:rPr>
        <w:t>C</w:t>
      </w:r>
      <w:r w:rsidRPr="00274898">
        <w:rPr>
          <w:b/>
          <w:sz w:val="18"/>
          <w:szCs w:val="18"/>
        </w:rPr>
        <w:t>losed Ju</w:t>
      </w:r>
      <w:r w:rsidR="00E871AA">
        <w:rPr>
          <w:b/>
          <w:sz w:val="18"/>
          <w:szCs w:val="18"/>
        </w:rPr>
        <w:t>ly 1</w:t>
      </w:r>
      <w:r w:rsidRPr="00274898">
        <w:rPr>
          <w:b/>
          <w:sz w:val="18"/>
          <w:szCs w:val="18"/>
        </w:rPr>
        <w:t xml:space="preserve">, </w:t>
      </w:r>
      <w:r w:rsidR="005243EF">
        <w:rPr>
          <w:b/>
          <w:sz w:val="18"/>
          <w:szCs w:val="18"/>
        </w:rPr>
        <w:t xml:space="preserve">2014 </w:t>
      </w:r>
      <w:r>
        <w:rPr>
          <w:b/>
          <w:sz w:val="18"/>
          <w:szCs w:val="18"/>
        </w:rPr>
        <w:t>to</w:t>
      </w:r>
      <w:r w:rsidR="00E1764A">
        <w:rPr>
          <w:b/>
          <w:sz w:val="18"/>
          <w:szCs w:val="18"/>
        </w:rPr>
        <w:t xml:space="preserve"> June 30, </w:t>
      </w:r>
      <w:r w:rsidR="005243EF">
        <w:rPr>
          <w:b/>
          <w:sz w:val="18"/>
          <w:szCs w:val="18"/>
        </w:rPr>
        <w:t>2017</w:t>
      </w:r>
    </w:p>
    <w:p w:rsidR="005243EF" w:rsidRDefault="00F563BB" w:rsidP="00CE52C9">
      <w:pPr>
        <w:jc w:val="center"/>
      </w:pPr>
      <w:r>
        <w:rPr>
          <w:noProof/>
          <w:lang w:eastAsia="en-US"/>
        </w:rPr>
        <w:drawing>
          <wp:inline distT="0" distB="0" distL="0" distR="0" wp14:anchorId="7FF64D81" wp14:editId="27084F44">
            <wp:extent cx="4095750" cy="2771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95750" cy="2771775"/>
                    </a:xfrm>
                    <a:prstGeom prst="rect">
                      <a:avLst/>
                    </a:prstGeom>
                  </pic:spPr>
                </pic:pic>
              </a:graphicData>
            </a:graphic>
          </wp:inline>
        </w:drawing>
      </w:r>
    </w:p>
    <w:p w:rsidR="00D43B70" w:rsidRDefault="00D43B70">
      <w:pPr>
        <w:rPr>
          <w:b/>
          <w:bCs/>
          <w:caps/>
          <w:kern w:val="32"/>
          <w:szCs w:val="32"/>
        </w:rPr>
      </w:pPr>
      <w:r>
        <w:br w:type="page"/>
      </w:r>
    </w:p>
    <w:p w:rsidR="004975A1" w:rsidRPr="00DA5DBB" w:rsidRDefault="004975A1" w:rsidP="00317621">
      <w:pPr>
        <w:pStyle w:val="Heading1"/>
      </w:pPr>
      <w:bookmarkStart w:id="37" w:name="_Toc487462081"/>
      <w:r w:rsidRPr="00183D2E">
        <w:lastRenderedPageBreak/>
        <w:t>INSTANCES WHERE INFORMATION OR ASSISTANCE WAS REFUSED</w:t>
      </w:r>
      <w:bookmarkEnd w:id="37"/>
    </w:p>
    <w:p w:rsidR="004975A1" w:rsidRDefault="00B50A74" w:rsidP="004975A1">
      <w:pPr>
        <w:pStyle w:val="ONUME"/>
      </w:pPr>
      <w:r>
        <w:t>In accordance with paragraph 45</w:t>
      </w:r>
      <w:r w:rsidR="004975A1" w:rsidRPr="004B2173">
        <w:t xml:space="preserve">(g) of the IOC, the Director, </w:t>
      </w:r>
      <w:proofErr w:type="gramStart"/>
      <w:r w:rsidR="004975A1" w:rsidRPr="004B2173">
        <w:t>IOD</w:t>
      </w:r>
      <w:proofErr w:type="gramEnd"/>
      <w:r w:rsidR="004975A1" w:rsidRPr="004B2173">
        <w:t xml:space="preserve"> should report on any instances where IOD</w:t>
      </w:r>
      <w:r w:rsidR="00B324A9">
        <w:t>’</w:t>
      </w:r>
      <w:r w:rsidR="004975A1" w:rsidRPr="004B2173">
        <w:t>s access to records, personnel and premises was restricted during the reporting period.</w:t>
      </w:r>
    </w:p>
    <w:p w:rsidR="00B50A74" w:rsidRPr="004B2173" w:rsidRDefault="00B50A74" w:rsidP="004975A1">
      <w:pPr>
        <w:pStyle w:val="ONUME"/>
      </w:pPr>
      <w:r>
        <w:t>I</w:t>
      </w:r>
      <w:r w:rsidRPr="00E323C8">
        <w:t xml:space="preserve">OD reports that no staff member refused to </w:t>
      </w:r>
      <w:r>
        <w:t xml:space="preserve">provide information or </w:t>
      </w:r>
      <w:r w:rsidRPr="00E323C8">
        <w:t>assist in an ongoing</w:t>
      </w:r>
      <w:r>
        <w:t xml:space="preserve"> oversight process</w:t>
      </w:r>
      <w:r w:rsidRPr="00E323C8">
        <w:t xml:space="preserve"> during the reporting period.</w:t>
      </w:r>
    </w:p>
    <w:p w:rsidR="008414E9" w:rsidRPr="00EF631C" w:rsidRDefault="008414E9" w:rsidP="008414E9">
      <w:pPr>
        <w:pStyle w:val="Heading1"/>
      </w:pPr>
      <w:bookmarkStart w:id="38" w:name="_Toc487462082"/>
      <w:r w:rsidRPr="00EF631C">
        <w:t xml:space="preserve">STATUS OF IMPLEMENTATION OF </w:t>
      </w:r>
      <w:r w:rsidR="00A010A4" w:rsidRPr="00EF631C">
        <w:t xml:space="preserve">OVERSIGHT </w:t>
      </w:r>
      <w:r w:rsidRPr="00EF631C">
        <w:t>RECOMMENDATIONS</w:t>
      </w:r>
      <w:bookmarkEnd w:id="36"/>
      <w:bookmarkEnd w:id="38"/>
    </w:p>
    <w:p w:rsidR="00D646CA" w:rsidRPr="004B2173" w:rsidRDefault="008414E9" w:rsidP="00503788">
      <w:pPr>
        <w:pStyle w:val="ONUME"/>
      </w:pPr>
      <w:r w:rsidRPr="004B2173">
        <w:t>The Director General is responsible for ensuring that all recommendations made by the Director, IOD and other oversight entities are responded to promptly, indicating actions taken regarding specific report findings and recommendations</w:t>
      </w:r>
      <w:r w:rsidRPr="00E04B15">
        <w:rPr>
          <w:rStyle w:val="FootnoteReference"/>
        </w:rPr>
        <w:footnoteReference w:id="7"/>
      </w:r>
      <w:r w:rsidRPr="004B2173">
        <w:t>.  The Director General discharges this responsibility through Program Managers responsible for specific operational areas within the Organization</w:t>
      </w:r>
      <w:r w:rsidRPr="00E04B15">
        <w:rPr>
          <w:rStyle w:val="FootnoteReference"/>
        </w:rPr>
        <w:footnoteReference w:id="8"/>
      </w:r>
      <w:r w:rsidRPr="004B2173">
        <w:t>.  The implementation of all oversight recommendations by WIPO Program Managers is subject to regular follow-up by IOD</w:t>
      </w:r>
      <w:r w:rsidRPr="00E04B15">
        <w:rPr>
          <w:rStyle w:val="FootnoteReference"/>
        </w:rPr>
        <w:footnoteReference w:id="9"/>
      </w:r>
      <w:r w:rsidRPr="004B2173">
        <w:t>.</w:t>
      </w:r>
    </w:p>
    <w:p w:rsidR="00AC0825" w:rsidRDefault="00AC0825" w:rsidP="00503788">
      <w:pPr>
        <w:pStyle w:val="ONUME"/>
      </w:pPr>
      <w:r w:rsidRPr="004B2173">
        <w:t xml:space="preserve">IOD continues to manage and report on recommendations using the TeamCentral© system, which </w:t>
      </w:r>
      <w:r w:rsidR="0081363B" w:rsidRPr="004B2173">
        <w:t xml:space="preserve">enables </w:t>
      </w:r>
      <w:r w:rsidR="004A0CBF" w:rsidRPr="004B2173">
        <w:t>interactive dialogue</w:t>
      </w:r>
      <w:r w:rsidRPr="004B2173">
        <w:t xml:space="preserve"> with Program Managers and their delegates </w:t>
      </w:r>
      <w:r w:rsidR="0081363B" w:rsidRPr="004B2173">
        <w:t>for an effective follow</w:t>
      </w:r>
      <w:r w:rsidR="00176141" w:rsidRPr="004B2173">
        <w:t>-</w:t>
      </w:r>
      <w:r w:rsidR="0081363B" w:rsidRPr="004B2173">
        <w:t xml:space="preserve">up of </w:t>
      </w:r>
      <w:r w:rsidRPr="004B2173">
        <w:t xml:space="preserve">implementation of </w:t>
      </w:r>
      <w:r w:rsidR="0081363B" w:rsidRPr="004B2173">
        <w:t xml:space="preserve">open </w:t>
      </w:r>
      <w:r w:rsidRPr="004B2173">
        <w:t xml:space="preserve">recommendations. </w:t>
      </w:r>
    </w:p>
    <w:p w:rsidR="00556F0B" w:rsidRDefault="00BF0144" w:rsidP="00556F0B">
      <w:pPr>
        <w:pStyle w:val="ONUME"/>
      </w:pPr>
      <w:r w:rsidRPr="00C620A2">
        <w:t>At the date of t</w:t>
      </w:r>
      <w:r w:rsidR="00E4156D" w:rsidRPr="00C620A2">
        <w:t xml:space="preserve">he present report, there </w:t>
      </w:r>
      <w:r w:rsidR="00422BE0" w:rsidRPr="00C620A2">
        <w:t>are</w:t>
      </w:r>
      <w:r w:rsidR="00DD60F0" w:rsidRPr="00C620A2">
        <w:t xml:space="preserve"> 193</w:t>
      </w:r>
      <w:r w:rsidRPr="00C620A2">
        <w:t xml:space="preserve"> open recommendations inclu</w:t>
      </w:r>
      <w:r w:rsidR="00D751FA" w:rsidRPr="00C620A2">
        <w:t>ding 99</w:t>
      </w:r>
      <w:r w:rsidR="00CD65BE" w:rsidRPr="00C620A2">
        <w:t xml:space="preserve"> of</w:t>
      </w:r>
      <w:r w:rsidR="00C529CB" w:rsidRPr="00C620A2">
        <w:t xml:space="preserve"> high and 9</w:t>
      </w:r>
      <w:r w:rsidR="00D751FA" w:rsidRPr="00C620A2">
        <w:t>4</w:t>
      </w:r>
      <w:r w:rsidR="00383328" w:rsidRPr="00C620A2">
        <w:t xml:space="preserve"> </w:t>
      </w:r>
      <w:r w:rsidR="00CD65BE" w:rsidRPr="00C620A2">
        <w:t xml:space="preserve">of </w:t>
      </w:r>
      <w:r w:rsidR="00383328" w:rsidRPr="00C620A2">
        <w:t xml:space="preserve">medium priorities. </w:t>
      </w:r>
      <w:r w:rsidRPr="00C620A2">
        <w:t xml:space="preserve"> </w:t>
      </w:r>
      <w:r w:rsidR="00EB06DD" w:rsidRPr="00C620A2">
        <w:t>IOD recommendations constitute</w:t>
      </w:r>
      <w:r w:rsidR="00383328" w:rsidRPr="00C620A2">
        <w:t xml:space="preserve"> </w:t>
      </w:r>
      <w:r w:rsidR="00D751FA" w:rsidRPr="00C620A2">
        <w:t>75</w:t>
      </w:r>
      <w:r w:rsidR="00621D9A" w:rsidRPr="00C620A2">
        <w:t xml:space="preserve"> </w:t>
      </w:r>
      <w:r w:rsidR="00383328" w:rsidRPr="00C620A2">
        <w:t xml:space="preserve">per cent of </w:t>
      </w:r>
      <w:r w:rsidR="00556F0B" w:rsidRPr="00C620A2">
        <w:t>all</w:t>
      </w:r>
      <w:r w:rsidR="00383328" w:rsidRPr="00C620A2">
        <w:t xml:space="preserve"> open </w:t>
      </w:r>
      <w:r w:rsidR="00556F0B" w:rsidRPr="00C620A2">
        <w:t xml:space="preserve">oversight </w:t>
      </w:r>
      <w:r w:rsidR="00383328" w:rsidRPr="00C620A2">
        <w:t xml:space="preserve">recommendations. </w:t>
      </w:r>
    </w:p>
    <w:p w:rsidR="00D43B70" w:rsidRDefault="00D43B70" w:rsidP="00B64202">
      <w:pPr>
        <w:pStyle w:val="ONUME"/>
        <w:keepNext/>
        <w:numPr>
          <w:ilvl w:val="0"/>
          <w:numId w:val="0"/>
        </w:numPr>
        <w:jc w:val="center"/>
        <w:rPr>
          <w:b/>
          <w:sz w:val="18"/>
          <w:szCs w:val="18"/>
        </w:rPr>
      </w:pPr>
    </w:p>
    <w:p w:rsidR="00B64202" w:rsidRPr="00C620A2" w:rsidRDefault="00B64202" w:rsidP="00B64202">
      <w:pPr>
        <w:pStyle w:val="ONUME"/>
        <w:keepNext/>
        <w:numPr>
          <w:ilvl w:val="0"/>
          <w:numId w:val="0"/>
        </w:numPr>
        <w:jc w:val="center"/>
        <w:rPr>
          <w:b/>
          <w:sz w:val="18"/>
          <w:szCs w:val="18"/>
        </w:rPr>
      </w:pPr>
      <w:r w:rsidRPr="00C620A2">
        <w:rPr>
          <w:b/>
          <w:sz w:val="18"/>
          <w:szCs w:val="18"/>
        </w:rPr>
        <w:t>Chart 3 – Recommendation by Priority</w:t>
      </w:r>
    </w:p>
    <w:p w:rsidR="00893464" w:rsidRPr="00C620A2" w:rsidRDefault="00D751FA" w:rsidP="00A87CA6">
      <w:pPr>
        <w:pStyle w:val="ONUME"/>
        <w:numPr>
          <w:ilvl w:val="0"/>
          <w:numId w:val="0"/>
        </w:numPr>
        <w:jc w:val="center"/>
      </w:pPr>
      <w:r w:rsidRPr="00C620A2">
        <w:rPr>
          <w:noProof/>
          <w:lang w:eastAsia="en-US"/>
        </w:rPr>
        <w:drawing>
          <wp:inline distT="0" distB="0" distL="0" distR="0" wp14:anchorId="05AA7119" wp14:editId="76C17271">
            <wp:extent cx="4676775" cy="21336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0BB7" w:rsidRDefault="00D80BB7"/>
    <w:p w:rsidR="00D43B70" w:rsidRDefault="00D43B70">
      <w:r>
        <w:br w:type="page"/>
      </w:r>
    </w:p>
    <w:p w:rsidR="00BF0144" w:rsidRPr="00C620A2" w:rsidRDefault="00383328" w:rsidP="005F794E">
      <w:pPr>
        <w:pStyle w:val="ONUME"/>
      </w:pPr>
      <w:r w:rsidRPr="00C620A2">
        <w:lastRenderedPageBreak/>
        <w:t xml:space="preserve">The table below shows the movement of recommendations </w:t>
      </w:r>
      <w:r w:rsidR="00817B79" w:rsidRPr="00C620A2">
        <w:t>by source,</w:t>
      </w:r>
      <w:r w:rsidRPr="00C620A2">
        <w:t xml:space="preserve"> between </w:t>
      </w:r>
      <w:r w:rsidR="00EB06DD" w:rsidRPr="00C620A2">
        <w:t>July </w:t>
      </w:r>
      <w:r w:rsidR="00910E73" w:rsidRPr="00C620A2">
        <w:t>1,</w:t>
      </w:r>
      <w:r w:rsidR="00EB06DD" w:rsidRPr="00C620A2">
        <w:t> </w:t>
      </w:r>
      <w:r w:rsidR="00E871AA" w:rsidRPr="00C620A2">
        <w:t>2016</w:t>
      </w:r>
      <w:r w:rsidRPr="00C620A2">
        <w:t xml:space="preserve"> and June </w:t>
      </w:r>
      <w:r w:rsidR="00DB09C2" w:rsidRPr="00C620A2">
        <w:t>30</w:t>
      </w:r>
      <w:r w:rsidR="00E871AA" w:rsidRPr="00C620A2">
        <w:t>, 2017</w:t>
      </w:r>
      <w:r w:rsidRPr="00C620A2">
        <w:t xml:space="preserve">. </w:t>
      </w:r>
    </w:p>
    <w:p w:rsidR="00E04B15" w:rsidRPr="00C620A2" w:rsidRDefault="00E40F81" w:rsidP="00E04B15">
      <w:pPr>
        <w:pStyle w:val="ONUME"/>
        <w:keepNext/>
        <w:numPr>
          <w:ilvl w:val="0"/>
          <w:numId w:val="0"/>
        </w:numPr>
        <w:jc w:val="center"/>
        <w:rPr>
          <w:b/>
          <w:sz w:val="18"/>
          <w:szCs w:val="18"/>
        </w:rPr>
      </w:pPr>
      <w:r w:rsidRPr="00C620A2">
        <w:rPr>
          <w:b/>
          <w:sz w:val="18"/>
          <w:szCs w:val="18"/>
        </w:rPr>
        <w:t>Table</w:t>
      </w:r>
      <w:r w:rsidR="00E04B15" w:rsidRPr="00C620A2">
        <w:rPr>
          <w:b/>
          <w:sz w:val="18"/>
          <w:szCs w:val="18"/>
        </w:rPr>
        <w:t xml:space="preserve"> </w:t>
      </w:r>
      <w:r w:rsidRPr="00C620A2">
        <w:rPr>
          <w:b/>
          <w:sz w:val="18"/>
          <w:szCs w:val="18"/>
        </w:rPr>
        <w:t>2</w:t>
      </w:r>
      <w:r w:rsidR="00E04B15" w:rsidRPr="00C620A2">
        <w:rPr>
          <w:b/>
          <w:sz w:val="18"/>
          <w:szCs w:val="18"/>
        </w:rPr>
        <w:t xml:space="preserve"> – </w:t>
      </w:r>
      <w:r w:rsidRPr="00C620A2">
        <w:rPr>
          <w:b/>
          <w:sz w:val="18"/>
          <w:szCs w:val="18"/>
        </w:rPr>
        <w:t xml:space="preserve">Movement of Recommendations </w:t>
      </w:r>
      <w:r w:rsidR="00246761" w:rsidRPr="00C620A2">
        <w:rPr>
          <w:b/>
          <w:sz w:val="18"/>
          <w:szCs w:val="18"/>
        </w:rPr>
        <w:t>between July 1, 2016</w:t>
      </w:r>
      <w:r w:rsidR="00383328" w:rsidRPr="00C620A2">
        <w:rPr>
          <w:b/>
          <w:sz w:val="18"/>
          <w:szCs w:val="18"/>
        </w:rPr>
        <w:t xml:space="preserve"> and June </w:t>
      </w:r>
      <w:r w:rsidR="00DB09C2" w:rsidRPr="00C620A2">
        <w:rPr>
          <w:b/>
          <w:sz w:val="18"/>
          <w:szCs w:val="18"/>
        </w:rPr>
        <w:t>30</w:t>
      </w:r>
      <w:r w:rsidR="00246761" w:rsidRPr="00C620A2">
        <w:rPr>
          <w:b/>
          <w:sz w:val="18"/>
          <w:szCs w:val="18"/>
        </w:rPr>
        <w:t>, 2017</w:t>
      </w:r>
    </w:p>
    <w:tbl>
      <w:tblPr>
        <w:tblW w:w="9005" w:type="dxa"/>
        <w:tblInd w:w="103" w:type="dxa"/>
        <w:tblLayout w:type="fixed"/>
        <w:tblLook w:val="04A0" w:firstRow="1" w:lastRow="0" w:firstColumn="1" w:lastColumn="0" w:noHBand="0" w:noVBand="1"/>
      </w:tblPr>
      <w:tblGrid>
        <w:gridCol w:w="1440"/>
        <w:gridCol w:w="1715"/>
        <w:gridCol w:w="1890"/>
        <w:gridCol w:w="1890"/>
        <w:gridCol w:w="2070"/>
      </w:tblGrid>
      <w:tr w:rsidR="00E4156D" w:rsidRPr="00C620A2" w:rsidTr="00F426D1">
        <w:trPr>
          <w:trHeight w:val="567"/>
        </w:trPr>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E4156D" w:rsidRPr="00C620A2" w:rsidRDefault="00E4156D" w:rsidP="00E4156D">
            <w:pPr>
              <w:rPr>
                <w:rFonts w:eastAsia="Times New Roman"/>
                <w:b/>
                <w:bCs/>
                <w:color w:val="000000"/>
                <w:sz w:val="20"/>
                <w:lang w:eastAsia="en-US"/>
              </w:rPr>
            </w:pPr>
            <w:r w:rsidRPr="00C620A2">
              <w:rPr>
                <w:rFonts w:eastAsia="Times New Roman"/>
                <w:b/>
                <w:bCs/>
                <w:color w:val="000000"/>
                <w:sz w:val="20"/>
                <w:lang w:eastAsia="en-US"/>
              </w:rPr>
              <w:t>Source</w:t>
            </w:r>
          </w:p>
        </w:tc>
        <w:tc>
          <w:tcPr>
            <w:tcW w:w="1715" w:type="dxa"/>
            <w:tcBorders>
              <w:top w:val="single" w:sz="4" w:space="0" w:color="auto"/>
              <w:left w:val="nil"/>
              <w:bottom w:val="single" w:sz="4" w:space="0" w:color="auto"/>
              <w:right w:val="single" w:sz="4" w:space="0" w:color="auto"/>
            </w:tcBorders>
            <w:shd w:val="clear" w:color="000000" w:fill="D9D9D9"/>
            <w:vAlign w:val="center"/>
            <w:hideMark/>
          </w:tcPr>
          <w:p w:rsidR="00E4156D" w:rsidRPr="00C620A2" w:rsidRDefault="00C529CB" w:rsidP="00E4156D">
            <w:pPr>
              <w:jc w:val="center"/>
              <w:rPr>
                <w:rFonts w:eastAsia="Times New Roman"/>
                <w:b/>
                <w:bCs/>
                <w:color w:val="000000"/>
                <w:sz w:val="20"/>
                <w:lang w:eastAsia="en-US"/>
              </w:rPr>
            </w:pPr>
            <w:r w:rsidRPr="00C620A2">
              <w:rPr>
                <w:rFonts w:eastAsia="Times New Roman"/>
                <w:b/>
                <w:bCs/>
                <w:color w:val="000000"/>
                <w:sz w:val="20"/>
                <w:lang w:eastAsia="en-US"/>
              </w:rPr>
              <w:t>Open as at July</w:t>
            </w:r>
            <w:r w:rsidR="00554E76" w:rsidRPr="00C620A2">
              <w:rPr>
                <w:rFonts w:eastAsia="Times New Roman"/>
                <w:b/>
                <w:bCs/>
                <w:color w:val="000000"/>
                <w:sz w:val="20"/>
                <w:lang w:eastAsia="en-US"/>
              </w:rPr>
              <w:t> </w:t>
            </w:r>
            <w:r w:rsidRPr="00C620A2">
              <w:rPr>
                <w:rFonts w:eastAsia="Times New Roman"/>
                <w:b/>
                <w:bCs/>
                <w:color w:val="000000"/>
                <w:sz w:val="20"/>
                <w:lang w:eastAsia="en-US"/>
              </w:rPr>
              <w:t>1</w:t>
            </w:r>
            <w:r w:rsidR="00E4156D" w:rsidRPr="00C620A2">
              <w:rPr>
                <w:rFonts w:eastAsia="Times New Roman"/>
                <w:b/>
                <w:bCs/>
                <w:color w:val="000000"/>
                <w:sz w:val="20"/>
                <w:lang w:eastAsia="en-US"/>
              </w:rPr>
              <w:t>, 201</w:t>
            </w:r>
            <w:r w:rsidRPr="00C620A2">
              <w:rPr>
                <w:rFonts w:eastAsia="Times New Roman"/>
                <w:b/>
                <w:bCs/>
                <w:color w:val="000000"/>
                <w:sz w:val="20"/>
                <w:lang w:eastAsia="en-US"/>
              </w:rPr>
              <w:t>6</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E4156D" w:rsidRPr="00C620A2" w:rsidRDefault="00E4156D" w:rsidP="00E4156D">
            <w:pPr>
              <w:jc w:val="center"/>
              <w:rPr>
                <w:rFonts w:eastAsia="Times New Roman"/>
                <w:b/>
                <w:bCs/>
                <w:color w:val="000000"/>
                <w:sz w:val="20"/>
                <w:lang w:eastAsia="en-US"/>
              </w:rPr>
            </w:pPr>
            <w:r w:rsidRPr="00C620A2">
              <w:rPr>
                <w:rFonts w:eastAsia="Times New Roman"/>
                <w:b/>
                <w:bCs/>
                <w:color w:val="000000"/>
                <w:sz w:val="20"/>
                <w:lang w:eastAsia="en-US"/>
              </w:rPr>
              <w:t xml:space="preserve">Added During the </w:t>
            </w:r>
            <w:r w:rsidR="00BD2E40" w:rsidRPr="00C620A2">
              <w:rPr>
                <w:rFonts w:eastAsia="Times New Roman"/>
                <w:b/>
                <w:bCs/>
                <w:color w:val="000000"/>
                <w:sz w:val="20"/>
                <w:lang w:eastAsia="en-US"/>
              </w:rPr>
              <w:t>Year</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E4156D" w:rsidRPr="00C620A2" w:rsidRDefault="00E4156D" w:rsidP="005D5305">
            <w:pPr>
              <w:jc w:val="center"/>
              <w:rPr>
                <w:rFonts w:eastAsia="Times New Roman"/>
                <w:b/>
                <w:bCs/>
                <w:color w:val="000000"/>
                <w:sz w:val="20"/>
                <w:lang w:eastAsia="en-US"/>
              </w:rPr>
            </w:pPr>
            <w:r w:rsidRPr="00C620A2">
              <w:rPr>
                <w:rFonts w:eastAsia="Times New Roman"/>
                <w:b/>
                <w:bCs/>
                <w:color w:val="000000"/>
                <w:sz w:val="20"/>
                <w:lang w:eastAsia="en-US"/>
              </w:rPr>
              <w:t>C</w:t>
            </w:r>
            <w:r w:rsidR="005D5305" w:rsidRPr="00C620A2">
              <w:rPr>
                <w:rFonts w:eastAsia="Times New Roman"/>
                <w:b/>
                <w:bCs/>
                <w:color w:val="000000"/>
                <w:sz w:val="20"/>
                <w:lang w:eastAsia="en-US"/>
              </w:rPr>
              <w:t>losed</w:t>
            </w:r>
            <w:r w:rsidR="00BD2E40" w:rsidRPr="00C620A2">
              <w:rPr>
                <w:rFonts w:eastAsia="Times New Roman"/>
                <w:b/>
                <w:bCs/>
                <w:color w:val="000000"/>
                <w:sz w:val="20"/>
                <w:lang w:eastAsia="en-US"/>
              </w:rPr>
              <w:t xml:space="preserve"> During the Y</w:t>
            </w:r>
            <w:r w:rsidRPr="00C620A2">
              <w:rPr>
                <w:rFonts w:eastAsia="Times New Roman"/>
                <w:b/>
                <w:bCs/>
                <w:color w:val="000000"/>
                <w:sz w:val="20"/>
                <w:lang w:eastAsia="en-US"/>
              </w:rPr>
              <w:t>ear</w:t>
            </w:r>
            <w:r w:rsidR="00383328" w:rsidRPr="00C620A2">
              <w:rPr>
                <w:rStyle w:val="FootnoteReference"/>
                <w:rFonts w:eastAsia="Times New Roman"/>
                <w:b/>
                <w:bCs/>
                <w:color w:val="000000"/>
                <w:sz w:val="20"/>
                <w:lang w:eastAsia="en-US"/>
              </w:rPr>
              <w:footnoteReference w:id="10"/>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rsidR="00E4156D" w:rsidRPr="00C620A2" w:rsidRDefault="00554E76" w:rsidP="00E4156D">
            <w:pPr>
              <w:jc w:val="center"/>
              <w:rPr>
                <w:rFonts w:eastAsia="Times New Roman"/>
                <w:b/>
                <w:bCs/>
                <w:color w:val="000000"/>
                <w:sz w:val="20"/>
                <w:lang w:eastAsia="en-US"/>
              </w:rPr>
            </w:pPr>
            <w:r w:rsidRPr="00C620A2">
              <w:rPr>
                <w:rFonts w:eastAsia="Times New Roman"/>
                <w:b/>
                <w:bCs/>
                <w:color w:val="000000"/>
                <w:sz w:val="20"/>
                <w:lang w:eastAsia="en-US"/>
              </w:rPr>
              <w:t>Open as at June </w:t>
            </w:r>
            <w:r w:rsidR="00DB09C2" w:rsidRPr="00C620A2">
              <w:rPr>
                <w:rFonts w:eastAsia="Times New Roman"/>
                <w:b/>
                <w:bCs/>
                <w:color w:val="000000"/>
                <w:sz w:val="20"/>
                <w:lang w:eastAsia="en-US"/>
              </w:rPr>
              <w:t>30</w:t>
            </w:r>
            <w:r w:rsidR="00E4156D" w:rsidRPr="00C620A2">
              <w:rPr>
                <w:rFonts w:eastAsia="Times New Roman"/>
                <w:b/>
                <w:bCs/>
                <w:color w:val="000000"/>
                <w:sz w:val="20"/>
                <w:lang w:eastAsia="en-US"/>
              </w:rPr>
              <w:t>, 201</w:t>
            </w:r>
            <w:r w:rsidR="00C529CB" w:rsidRPr="00C620A2">
              <w:rPr>
                <w:rFonts w:eastAsia="Times New Roman"/>
                <w:b/>
                <w:bCs/>
                <w:color w:val="000000"/>
                <w:sz w:val="20"/>
                <w:lang w:eastAsia="en-US"/>
              </w:rPr>
              <w:t>7</w:t>
            </w:r>
          </w:p>
        </w:tc>
      </w:tr>
      <w:tr w:rsidR="00DB09C2" w:rsidRPr="00C620A2" w:rsidTr="00F426D1">
        <w:trPr>
          <w:trHeight w:val="567"/>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C620A2" w:rsidRDefault="00DB09C2" w:rsidP="00E4156D">
            <w:pPr>
              <w:rPr>
                <w:rFonts w:eastAsia="Times New Roman"/>
                <w:color w:val="000000"/>
                <w:sz w:val="20"/>
                <w:lang w:eastAsia="en-US"/>
              </w:rPr>
            </w:pPr>
            <w:r w:rsidRPr="00C620A2">
              <w:rPr>
                <w:rFonts w:eastAsia="Times New Roman"/>
                <w:color w:val="000000"/>
                <w:sz w:val="20"/>
                <w:lang w:eastAsia="en-US"/>
              </w:rPr>
              <w:t>IOD</w:t>
            </w:r>
          </w:p>
        </w:tc>
        <w:tc>
          <w:tcPr>
            <w:tcW w:w="1715" w:type="dxa"/>
            <w:tcBorders>
              <w:top w:val="nil"/>
              <w:left w:val="nil"/>
              <w:bottom w:val="single" w:sz="4" w:space="0" w:color="auto"/>
              <w:right w:val="single" w:sz="4" w:space="0" w:color="auto"/>
            </w:tcBorders>
            <w:shd w:val="clear" w:color="auto" w:fill="auto"/>
            <w:noWrap/>
            <w:vAlign w:val="center"/>
            <w:hideMark/>
          </w:tcPr>
          <w:p w:rsidR="00DB09C2" w:rsidRPr="00C620A2" w:rsidRDefault="00DB09C2" w:rsidP="00E4156D">
            <w:pPr>
              <w:jc w:val="center"/>
              <w:rPr>
                <w:rFonts w:eastAsia="Times New Roman"/>
                <w:color w:val="000000"/>
                <w:sz w:val="20"/>
                <w:lang w:eastAsia="en-US"/>
              </w:rPr>
            </w:pPr>
            <w:r w:rsidRPr="00C620A2">
              <w:rPr>
                <w:color w:val="000000"/>
                <w:sz w:val="20"/>
              </w:rPr>
              <w:t>12</w:t>
            </w:r>
            <w:r w:rsidR="00C529CB" w:rsidRPr="00C620A2">
              <w:rPr>
                <w:color w:val="000000"/>
                <w:sz w:val="20"/>
              </w:rPr>
              <w:t>9</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C620A2" w:rsidRDefault="00D751FA" w:rsidP="00E4156D">
            <w:pPr>
              <w:jc w:val="center"/>
              <w:rPr>
                <w:rFonts w:eastAsia="Times New Roman"/>
                <w:color w:val="000000"/>
                <w:sz w:val="20"/>
                <w:lang w:eastAsia="en-US"/>
              </w:rPr>
            </w:pPr>
            <w:r w:rsidRPr="00C620A2">
              <w:rPr>
                <w:color w:val="000000"/>
                <w:sz w:val="20"/>
              </w:rPr>
              <w:t>61</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C620A2" w:rsidRDefault="00D751FA" w:rsidP="00E4156D">
            <w:pPr>
              <w:jc w:val="center"/>
              <w:rPr>
                <w:rFonts w:eastAsia="Times New Roman"/>
                <w:color w:val="000000"/>
                <w:sz w:val="20"/>
                <w:lang w:eastAsia="en-US"/>
              </w:rPr>
            </w:pPr>
            <w:r w:rsidRPr="00C620A2">
              <w:rPr>
                <w:color w:val="000000"/>
                <w:sz w:val="20"/>
              </w:rPr>
              <w:t>45</w:t>
            </w:r>
          </w:p>
        </w:tc>
        <w:tc>
          <w:tcPr>
            <w:tcW w:w="2070" w:type="dxa"/>
            <w:tcBorders>
              <w:top w:val="nil"/>
              <w:left w:val="nil"/>
              <w:bottom w:val="single" w:sz="4" w:space="0" w:color="auto"/>
              <w:right w:val="single" w:sz="4" w:space="0" w:color="auto"/>
            </w:tcBorders>
            <w:shd w:val="clear" w:color="auto" w:fill="auto"/>
            <w:noWrap/>
            <w:vAlign w:val="center"/>
            <w:hideMark/>
          </w:tcPr>
          <w:p w:rsidR="00DB09C2" w:rsidRPr="00C620A2" w:rsidRDefault="001C4B61" w:rsidP="00E4156D">
            <w:pPr>
              <w:jc w:val="center"/>
              <w:rPr>
                <w:rFonts w:eastAsia="Times New Roman"/>
                <w:color w:val="000000"/>
                <w:sz w:val="20"/>
                <w:lang w:eastAsia="en-US"/>
              </w:rPr>
            </w:pPr>
            <w:r w:rsidRPr="00C620A2">
              <w:rPr>
                <w:color w:val="000000"/>
                <w:sz w:val="20"/>
              </w:rPr>
              <w:t>1</w:t>
            </w:r>
            <w:r w:rsidR="00D751FA" w:rsidRPr="00C620A2">
              <w:rPr>
                <w:color w:val="000000"/>
                <w:sz w:val="20"/>
              </w:rPr>
              <w:t>45</w:t>
            </w:r>
          </w:p>
        </w:tc>
      </w:tr>
      <w:tr w:rsidR="00DB09C2" w:rsidRPr="00C620A2" w:rsidTr="00F426D1">
        <w:trPr>
          <w:trHeight w:val="567"/>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C620A2" w:rsidRDefault="00DB09C2" w:rsidP="00E4156D">
            <w:pPr>
              <w:rPr>
                <w:rFonts w:eastAsia="Times New Roman"/>
                <w:color w:val="000000"/>
                <w:sz w:val="20"/>
                <w:lang w:eastAsia="en-US"/>
              </w:rPr>
            </w:pPr>
            <w:r w:rsidRPr="00C620A2">
              <w:rPr>
                <w:rFonts w:eastAsia="Times New Roman"/>
                <w:color w:val="000000"/>
                <w:sz w:val="20"/>
                <w:lang w:eastAsia="en-US"/>
              </w:rPr>
              <w:t>External Auditor</w:t>
            </w:r>
          </w:p>
        </w:tc>
        <w:tc>
          <w:tcPr>
            <w:tcW w:w="1715" w:type="dxa"/>
            <w:tcBorders>
              <w:top w:val="nil"/>
              <w:left w:val="nil"/>
              <w:bottom w:val="single" w:sz="4" w:space="0" w:color="auto"/>
              <w:right w:val="single" w:sz="4" w:space="0" w:color="auto"/>
            </w:tcBorders>
            <w:shd w:val="clear" w:color="auto" w:fill="auto"/>
            <w:noWrap/>
            <w:vAlign w:val="center"/>
            <w:hideMark/>
          </w:tcPr>
          <w:p w:rsidR="00DB09C2" w:rsidRPr="00C620A2" w:rsidRDefault="00C529CB" w:rsidP="00E4156D">
            <w:pPr>
              <w:jc w:val="center"/>
              <w:rPr>
                <w:rFonts w:eastAsia="Times New Roman"/>
                <w:color w:val="000000"/>
                <w:sz w:val="20"/>
                <w:lang w:eastAsia="en-US"/>
              </w:rPr>
            </w:pPr>
            <w:r w:rsidRPr="00C620A2">
              <w:rPr>
                <w:color w:val="000000"/>
                <w:sz w:val="20"/>
              </w:rPr>
              <w:t>31</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C620A2" w:rsidRDefault="001C4B61" w:rsidP="00E4156D">
            <w:pPr>
              <w:jc w:val="center"/>
              <w:rPr>
                <w:rFonts w:eastAsia="Times New Roman"/>
                <w:color w:val="000000"/>
                <w:sz w:val="20"/>
                <w:lang w:eastAsia="en-US"/>
              </w:rPr>
            </w:pPr>
            <w:r w:rsidRPr="00C620A2">
              <w:rPr>
                <w:color w:val="000000"/>
                <w:sz w:val="20"/>
              </w:rPr>
              <w:t>30</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C620A2" w:rsidRDefault="00D751FA" w:rsidP="00E4156D">
            <w:pPr>
              <w:jc w:val="center"/>
              <w:rPr>
                <w:rFonts w:eastAsia="Times New Roman"/>
                <w:color w:val="000000"/>
                <w:sz w:val="20"/>
                <w:lang w:eastAsia="en-US"/>
              </w:rPr>
            </w:pPr>
            <w:r w:rsidRPr="00C620A2">
              <w:rPr>
                <w:color w:val="000000"/>
                <w:sz w:val="20"/>
              </w:rPr>
              <w:t>13</w:t>
            </w:r>
          </w:p>
        </w:tc>
        <w:tc>
          <w:tcPr>
            <w:tcW w:w="2070" w:type="dxa"/>
            <w:tcBorders>
              <w:top w:val="nil"/>
              <w:left w:val="nil"/>
              <w:bottom w:val="single" w:sz="4" w:space="0" w:color="auto"/>
              <w:right w:val="single" w:sz="4" w:space="0" w:color="auto"/>
            </w:tcBorders>
            <w:shd w:val="clear" w:color="auto" w:fill="auto"/>
            <w:noWrap/>
            <w:vAlign w:val="center"/>
            <w:hideMark/>
          </w:tcPr>
          <w:p w:rsidR="00DB09C2" w:rsidRPr="00C620A2" w:rsidRDefault="00D751FA" w:rsidP="00E4156D">
            <w:pPr>
              <w:jc w:val="center"/>
              <w:rPr>
                <w:rFonts w:eastAsia="Times New Roman"/>
                <w:color w:val="000000"/>
                <w:sz w:val="20"/>
                <w:lang w:eastAsia="en-US"/>
              </w:rPr>
            </w:pPr>
            <w:r w:rsidRPr="00C620A2">
              <w:rPr>
                <w:color w:val="000000"/>
                <w:sz w:val="20"/>
              </w:rPr>
              <w:t>48</w:t>
            </w:r>
          </w:p>
        </w:tc>
      </w:tr>
      <w:tr w:rsidR="00DB09C2" w:rsidRPr="00C620A2" w:rsidTr="00F426D1">
        <w:trPr>
          <w:trHeight w:val="567"/>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C620A2" w:rsidRDefault="005D5305" w:rsidP="00E4156D">
            <w:pPr>
              <w:rPr>
                <w:rFonts w:eastAsia="Times New Roman"/>
                <w:color w:val="000000"/>
                <w:sz w:val="20"/>
                <w:lang w:eastAsia="en-US"/>
              </w:rPr>
            </w:pPr>
            <w:r w:rsidRPr="00C620A2">
              <w:rPr>
                <w:rFonts w:eastAsia="Times New Roman"/>
                <w:color w:val="000000"/>
                <w:sz w:val="20"/>
                <w:lang w:eastAsia="en-US"/>
              </w:rPr>
              <w:t>IAOC</w:t>
            </w:r>
          </w:p>
        </w:tc>
        <w:tc>
          <w:tcPr>
            <w:tcW w:w="1715" w:type="dxa"/>
            <w:tcBorders>
              <w:top w:val="nil"/>
              <w:left w:val="nil"/>
              <w:bottom w:val="single" w:sz="4" w:space="0" w:color="auto"/>
              <w:right w:val="single" w:sz="4" w:space="0" w:color="auto"/>
            </w:tcBorders>
            <w:shd w:val="clear" w:color="auto" w:fill="auto"/>
            <w:noWrap/>
            <w:vAlign w:val="center"/>
            <w:hideMark/>
          </w:tcPr>
          <w:p w:rsidR="00DB09C2" w:rsidRPr="00C620A2" w:rsidRDefault="00DB09C2" w:rsidP="00E4156D">
            <w:pPr>
              <w:jc w:val="center"/>
              <w:rPr>
                <w:rFonts w:eastAsia="Times New Roman"/>
                <w:color w:val="000000"/>
                <w:sz w:val="20"/>
                <w:lang w:eastAsia="en-US"/>
              </w:rPr>
            </w:pPr>
            <w:r w:rsidRPr="00C620A2">
              <w:rPr>
                <w:color w:val="000000"/>
                <w:sz w:val="20"/>
              </w:rPr>
              <w:t>1</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C620A2" w:rsidRDefault="00DB09C2" w:rsidP="00E4156D">
            <w:pPr>
              <w:jc w:val="center"/>
              <w:rPr>
                <w:rFonts w:eastAsia="Times New Roman"/>
                <w:color w:val="000000"/>
                <w:sz w:val="20"/>
                <w:lang w:eastAsia="en-US"/>
              </w:rPr>
            </w:pPr>
            <w:r w:rsidRPr="00C620A2">
              <w:rPr>
                <w:color w:val="000000"/>
                <w:sz w:val="20"/>
              </w:rPr>
              <w:t>0</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C620A2" w:rsidRDefault="00DB09C2" w:rsidP="00E4156D">
            <w:pPr>
              <w:jc w:val="center"/>
              <w:rPr>
                <w:rFonts w:eastAsia="Times New Roman"/>
                <w:color w:val="000000"/>
                <w:sz w:val="20"/>
                <w:lang w:eastAsia="en-US"/>
              </w:rPr>
            </w:pPr>
            <w:r w:rsidRPr="00C620A2">
              <w:rPr>
                <w:color w:val="000000"/>
                <w:sz w:val="20"/>
              </w:rPr>
              <w:t>1</w:t>
            </w:r>
          </w:p>
        </w:tc>
        <w:tc>
          <w:tcPr>
            <w:tcW w:w="2070" w:type="dxa"/>
            <w:tcBorders>
              <w:top w:val="nil"/>
              <w:left w:val="nil"/>
              <w:bottom w:val="single" w:sz="4" w:space="0" w:color="auto"/>
              <w:right w:val="single" w:sz="4" w:space="0" w:color="auto"/>
            </w:tcBorders>
            <w:shd w:val="clear" w:color="auto" w:fill="auto"/>
            <w:noWrap/>
            <w:vAlign w:val="center"/>
            <w:hideMark/>
          </w:tcPr>
          <w:p w:rsidR="00DB09C2" w:rsidRPr="00C620A2" w:rsidRDefault="001C4B61" w:rsidP="00E4156D">
            <w:pPr>
              <w:jc w:val="center"/>
              <w:rPr>
                <w:rFonts w:eastAsia="Times New Roman"/>
                <w:color w:val="000000"/>
                <w:sz w:val="20"/>
                <w:lang w:eastAsia="en-US"/>
              </w:rPr>
            </w:pPr>
            <w:r w:rsidRPr="00C620A2">
              <w:rPr>
                <w:color w:val="000000"/>
                <w:sz w:val="20"/>
              </w:rPr>
              <w:t>0</w:t>
            </w:r>
          </w:p>
        </w:tc>
      </w:tr>
      <w:tr w:rsidR="00E4156D" w:rsidRPr="00C620A2" w:rsidTr="00F426D1">
        <w:trPr>
          <w:trHeight w:val="567"/>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E4156D" w:rsidRPr="00C620A2" w:rsidRDefault="00E4156D" w:rsidP="00E4156D">
            <w:pPr>
              <w:rPr>
                <w:rFonts w:eastAsia="Times New Roman"/>
                <w:b/>
                <w:bCs/>
                <w:color w:val="000000"/>
                <w:sz w:val="20"/>
                <w:lang w:eastAsia="en-US"/>
              </w:rPr>
            </w:pPr>
            <w:r w:rsidRPr="00C620A2">
              <w:rPr>
                <w:rFonts w:eastAsia="Times New Roman"/>
                <w:b/>
                <w:bCs/>
                <w:color w:val="000000"/>
                <w:sz w:val="20"/>
                <w:lang w:eastAsia="en-US"/>
              </w:rPr>
              <w:t>Total</w:t>
            </w:r>
          </w:p>
        </w:tc>
        <w:tc>
          <w:tcPr>
            <w:tcW w:w="1715" w:type="dxa"/>
            <w:tcBorders>
              <w:top w:val="nil"/>
              <w:left w:val="nil"/>
              <w:bottom w:val="single" w:sz="4" w:space="0" w:color="auto"/>
              <w:right w:val="single" w:sz="4" w:space="0" w:color="auto"/>
            </w:tcBorders>
            <w:shd w:val="clear" w:color="auto" w:fill="auto"/>
            <w:noWrap/>
            <w:vAlign w:val="center"/>
            <w:hideMark/>
          </w:tcPr>
          <w:p w:rsidR="00E4156D" w:rsidRPr="00C620A2" w:rsidRDefault="00E4156D" w:rsidP="00E4156D">
            <w:pPr>
              <w:jc w:val="center"/>
              <w:rPr>
                <w:rFonts w:eastAsia="Times New Roman"/>
                <w:b/>
                <w:bCs/>
                <w:color w:val="000000"/>
                <w:sz w:val="20"/>
                <w:lang w:eastAsia="en-US"/>
              </w:rPr>
            </w:pPr>
            <w:r w:rsidRPr="00C620A2">
              <w:rPr>
                <w:rFonts w:eastAsia="Times New Roman"/>
                <w:b/>
                <w:bCs/>
                <w:color w:val="000000"/>
                <w:sz w:val="20"/>
                <w:lang w:eastAsia="en-US"/>
              </w:rPr>
              <w:t>1</w:t>
            </w:r>
            <w:r w:rsidR="00246761" w:rsidRPr="00C620A2">
              <w:rPr>
                <w:rFonts w:eastAsia="Times New Roman"/>
                <w:b/>
                <w:bCs/>
                <w:color w:val="000000"/>
                <w:sz w:val="20"/>
                <w:lang w:eastAsia="en-US"/>
              </w:rPr>
              <w:t>61</w:t>
            </w:r>
          </w:p>
        </w:tc>
        <w:tc>
          <w:tcPr>
            <w:tcW w:w="1890" w:type="dxa"/>
            <w:tcBorders>
              <w:top w:val="nil"/>
              <w:left w:val="nil"/>
              <w:bottom w:val="single" w:sz="4" w:space="0" w:color="auto"/>
              <w:right w:val="single" w:sz="4" w:space="0" w:color="auto"/>
            </w:tcBorders>
            <w:shd w:val="clear" w:color="auto" w:fill="auto"/>
            <w:noWrap/>
            <w:vAlign w:val="center"/>
            <w:hideMark/>
          </w:tcPr>
          <w:p w:rsidR="00E4156D" w:rsidRPr="00C620A2" w:rsidRDefault="00D751FA" w:rsidP="00E4156D">
            <w:pPr>
              <w:jc w:val="center"/>
              <w:rPr>
                <w:rFonts w:eastAsia="Times New Roman"/>
                <w:b/>
                <w:bCs/>
                <w:color w:val="000000"/>
                <w:sz w:val="20"/>
                <w:lang w:eastAsia="en-US"/>
              </w:rPr>
            </w:pPr>
            <w:r w:rsidRPr="00C620A2">
              <w:rPr>
                <w:rFonts w:eastAsia="Times New Roman"/>
                <w:b/>
                <w:bCs/>
                <w:color w:val="000000"/>
                <w:sz w:val="20"/>
                <w:lang w:eastAsia="en-US"/>
              </w:rPr>
              <w:t>91</w:t>
            </w:r>
          </w:p>
        </w:tc>
        <w:tc>
          <w:tcPr>
            <w:tcW w:w="1890" w:type="dxa"/>
            <w:tcBorders>
              <w:top w:val="nil"/>
              <w:left w:val="nil"/>
              <w:bottom w:val="single" w:sz="4" w:space="0" w:color="auto"/>
              <w:right w:val="single" w:sz="4" w:space="0" w:color="auto"/>
            </w:tcBorders>
            <w:shd w:val="clear" w:color="auto" w:fill="auto"/>
            <w:noWrap/>
            <w:vAlign w:val="center"/>
            <w:hideMark/>
          </w:tcPr>
          <w:p w:rsidR="00E4156D" w:rsidRPr="00C620A2" w:rsidRDefault="00D751FA" w:rsidP="00E4156D">
            <w:pPr>
              <w:jc w:val="center"/>
              <w:rPr>
                <w:rFonts w:eastAsia="Times New Roman"/>
                <w:b/>
                <w:bCs/>
                <w:color w:val="000000"/>
                <w:sz w:val="20"/>
                <w:lang w:eastAsia="en-US"/>
              </w:rPr>
            </w:pPr>
            <w:r w:rsidRPr="00C620A2">
              <w:rPr>
                <w:rFonts w:eastAsia="Times New Roman"/>
                <w:b/>
                <w:bCs/>
                <w:color w:val="000000"/>
                <w:sz w:val="20"/>
                <w:lang w:eastAsia="en-US"/>
              </w:rPr>
              <w:t>59</w:t>
            </w:r>
          </w:p>
        </w:tc>
        <w:tc>
          <w:tcPr>
            <w:tcW w:w="2070" w:type="dxa"/>
            <w:tcBorders>
              <w:top w:val="nil"/>
              <w:left w:val="nil"/>
              <w:bottom w:val="single" w:sz="4" w:space="0" w:color="auto"/>
              <w:right w:val="single" w:sz="4" w:space="0" w:color="auto"/>
            </w:tcBorders>
            <w:shd w:val="clear" w:color="auto" w:fill="auto"/>
            <w:noWrap/>
            <w:vAlign w:val="center"/>
            <w:hideMark/>
          </w:tcPr>
          <w:p w:rsidR="00E4156D" w:rsidRPr="00C620A2" w:rsidRDefault="00D751FA" w:rsidP="00E4156D">
            <w:pPr>
              <w:jc w:val="center"/>
              <w:rPr>
                <w:rFonts w:eastAsia="Times New Roman"/>
                <w:b/>
                <w:bCs/>
                <w:color w:val="000000"/>
                <w:sz w:val="20"/>
                <w:lang w:eastAsia="en-US"/>
              </w:rPr>
            </w:pPr>
            <w:r w:rsidRPr="00C620A2">
              <w:rPr>
                <w:rFonts w:eastAsia="Times New Roman"/>
                <w:b/>
                <w:bCs/>
                <w:color w:val="000000"/>
                <w:sz w:val="20"/>
                <w:lang w:eastAsia="en-US"/>
              </w:rPr>
              <w:t>193</w:t>
            </w:r>
          </w:p>
        </w:tc>
      </w:tr>
    </w:tbl>
    <w:p w:rsidR="005D5305" w:rsidRPr="00C620A2" w:rsidRDefault="00556F0B" w:rsidP="005D5305">
      <w:pPr>
        <w:pStyle w:val="ONUME"/>
        <w:spacing w:before="240" w:after="360"/>
      </w:pPr>
      <w:r w:rsidRPr="00C620A2">
        <w:t>The Chart below shows the source of open recommendations a</w:t>
      </w:r>
      <w:r w:rsidR="00817B79" w:rsidRPr="00C620A2">
        <w:t xml:space="preserve">s at June </w:t>
      </w:r>
      <w:r w:rsidR="00DB09C2" w:rsidRPr="00C620A2">
        <w:t>30</w:t>
      </w:r>
      <w:r w:rsidR="005D5305" w:rsidRPr="00C620A2">
        <w:t>, 2017</w:t>
      </w:r>
      <w:r w:rsidR="005F794E" w:rsidRPr="00C620A2">
        <w:t>.</w:t>
      </w:r>
    </w:p>
    <w:p w:rsidR="00E4156D" w:rsidRPr="00C620A2" w:rsidRDefault="00E4156D" w:rsidP="00D43B70">
      <w:pPr>
        <w:pStyle w:val="ONUME"/>
        <w:keepNext/>
        <w:numPr>
          <w:ilvl w:val="0"/>
          <w:numId w:val="0"/>
        </w:numPr>
        <w:spacing w:after="0"/>
        <w:jc w:val="center"/>
        <w:rPr>
          <w:b/>
          <w:sz w:val="18"/>
          <w:szCs w:val="18"/>
        </w:rPr>
      </w:pPr>
      <w:r w:rsidRPr="00C620A2">
        <w:rPr>
          <w:b/>
          <w:sz w:val="18"/>
          <w:szCs w:val="18"/>
        </w:rPr>
        <w:t xml:space="preserve">Chart </w:t>
      </w:r>
      <w:r w:rsidR="00B64202" w:rsidRPr="00C620A2">
        <w:rPr>
          <w:b/>
          <w:sz w:val="18"/>
          <w:szCs w:val="18"/>
        </w:rPr>
        <w:t>4</w:t>
      </w:r>
      <w:r w:rsidRPr="00C620A2">
        <w:rPr>
          <w:b/>
          <w:sz w:val="18"/>
          <w:szCs w:val="18"/>
        </w:rPr>
        <w:t xml:space="preserve"> –</w:t>
      </w:r>
      <w:r w:rsidR="00BD2E40" w:rsidRPr="00C620A2">
        <w:rPr>
          <w:b/>
          <w:sz w:val="18"/>
          <w:szCs w:val="18"/>
        </w:rPr>
        <w:t xml:space="preserve"> </w:t>
      </w:r>
      <w:r w:rsidR="00556F0B" w:rsidRPr="00C620A2">
        <w:rPr>
          <w:b/>
          <w:sz w:val="18"/>
          <w:szCs w:val="18"/>
        </w:rPr>
        <w:t xml:space="preserve">Open </w:t>
      </w:r>
      <w:r w:rsidR="00BD2E40" w:rsidRPr="00C620A2">
        <w:rPr>
          <w:b/>
          <w:sz w:val="18"/>
          <w:szCs w:val="18"/>
        </w:rPr>
        <w:t>Oversight Recommendations by S</w:t>
      </w:r>
      <w:r w:rsidRPr="00C620A2">
        <w:rPr>
          <w:b/>
          <w:sz w:val="18"/>
          <w:szCs w:val="18"/>
        </w:rPr>
        <w:t>ource</w:t>
      </w:r>
    </w:p>
    <w:p w:rsidR="00E4156D" w:rsidRPr="00C620A2" w:rsidRDefault="00D751FA" w:rsidP="00E871AA">
      <w:pPr>
        <w:pStyle w:val="ONUME"/>
        <w:keepLines/>
        <w:numPr>
          <w:ilvl w:val="0"/>
          <w:numId w:val="0"/>
        </w:numPr>
        <w:spacing w:after="0"/>
        <w:jc w:val="center"/>
      </w:pPr>
      <w:r w:rsidRPr="00C620A2">
        <w:rPr>
          <w:noProof/>
          <w:lang w:eastAsia="en-US"/>
        </w:rPr>
        <w:drawing>
          <wp:inline distT="0" distB="0" distL="0" distR="0" wp14:anchorId="76505940" wp14:editId="037CE45D">
            <wp:extent cx="3390900" cy="15335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794E" w:rsidRPr="00C620A2" w:rsidRDefault="005F794E" w:rsidP="005F794E">
      <w:pPr>
        <w:pStyle w:val="ONUME"/>
        <w:spacing w:before="240" w:after="360"/>
      </w:pPr>
      <w:r w:rsidRPr="00C620A2">
        <w:t>The table below summarizes the aging of open recommendations as at June 30, 2017.</w:t>
      </w:r>
    </w:p>
    <w:p w:rsidR="00E04B15" w:rsidRPr="00C620A2" w:rsidRDefault="00E04B15" w:rsidP="00D43B70">
      <w:pPr>
        <w:pStyle w:val="ONUME"/>
        <w:keepNext/>
        <w:numPr>
          <w:ilvl w:val="0"/>
          <w:numId w:val="0"/>
        </w:numPr>
        <w:spacing w:after="0"/>
        <w:jc w:val="center"/>
        <w:rPr>
          <w:b/>
          <w:sz w:val="18"/>
          <w:szCs w:val="18"/>
        </w:rPr>
      </w:pPr>
      <w:r w:rsidRPr="00C620A2">
        <w:rPr>
          <w:b/>
          <w:sz w:val="18"/>
          <w:szCs w:val="18"/>
        </w:rPr>
        <w:t xml:space="preserve">Chart </w:t>
      </w:r>
      <w:r w:rsidR="00D457B3" w:rsidRPr="00C620A2">
        <w:rPr>
          <w:b/>
          <w:sz w:val="18"/>
          <w:szCs w:val="18"/>
        </w:rPr>
        <w:t>5</w:t>
      </w:r>
      <w:r w:rsidRPr="00C620A2">
        <w:rPr>
          <w:b/>
          <w:sz w:val="18"/>
          <w:szCs w:val="18"/>
        </w:rPr>
        <w:t xml:space="preserve"> – Aging o</w:t>
      </w:r>
      <w:r w:rsidR="00BD2E40" w:rsidRPr="00C620A2">
        <w:rPr>
          <w:b/>
          <w:sz w:val="18"/>
          <w:szCs w:val="18"/>
        </w:rPr>
        <w:t xml:space="preserve">f </w:t>
      </w:r>
      <w:r w:rsidR="00556F0B" w:rsidRPr="00C620A2">
        <w:rPr>
          <w:b/>
          <w:sz w:val="18"/>
          <w:szCs w:val="18"/>
        </w:rPr>
        <w:t xml:space="preserve">Open </w:t>
      </w:r>
      <w:r w:rsidR="00BD2E40" w:rsidRPr="00C620A2">
        <w:rPr>
          <w:b/>
          <w:sz w:val="18"/>
          <w:szCs w:val="18"/>
        </w:rPr>
        <w:t>Oversight Recommendations by P</w:t>
      </w:r>
      <w:r w:rsidRPr="00C620A2">
        <w:rPr>
          <w:b/>
          <w:sz w:val="18"/>
          <w:szCs w:val="18"/>
        </w:rPr>
        <w:t>riority</w:t>
      </w:r>
    </w:p>
    <w:p w:rsidR="00BF0144" w:rsidRPr="00C620A2" w:rsidRDefault="00D751FA" w:rsidP="00F426D1">
      <w:pPr>
        <w:pStyle w:val="ONUME"/>
        <w:keepLines/>
        <w:numPr>
          <w:ilvl w:val="0"/>
          <w:numId w:val="0"/>
        </w:numPr>
        <w:spacing w:before="240"/>
        <w:jc w:val="center"/>
      </w:pPr>
      <w:r w:rsidRPr="00C620A2">
        <w:rPr>
          <w:noProof/>
          <w:lang w:eastAsia="en-US"/>
        </w:rPr>
        <w:drawing>
          <wp:inline distT="0" distB="0" distL="0" distR="0" wp14:anchorId="10CDF892" wp14:editId="48C5B295">
            <wp:extent cx="5133975" cy="21050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7CA6" w:rsidRPr="00C620A2" w:rsidRDefault="005D5305" w:rsidP="001A243B">
      <w:pPr>
        <w:pStyle w:val="ONUME"/>
      </w:pPr>
      <w:r w:rsidRPr="00C620A2">
        <w:t>One</w:t>
      </w:r>
      <w:r w:rsidR="00BF0144" w:rsidRPr="00C620A2">
        <w:t xml:space="preserve"> high</w:t>
      </w:r>
      <w:r w:rsidR="00A66E51">
        <w:t>,</w:t>
      </w:r>
      <w:r w:rsidR="00BF0144" w:rsidRPr="00C620A2">
        <w:t xml:space="preserve"> </w:t>
      </w:r>
      <w:r w:rsidR="00E40F81" w:rsidRPr="00C620A2">
        <w:t xml:space="preserve">and </w:t>
      </w:r>
      <w:r w:rsidRPr="00C620A2">
        <w:t xml:space="preserve">one </w:t>
      </w:r>
      <w:r w:rsidR="00E40F81" w:rsidRPr="00C620A2">
        <w:t xml:space="preserve">medium </w:t>
      </w:r>
      <w:r w:rsidR="00EF17CB" w:rsidRPr="00C620A2">
        <w:t xml:space="preserve">priority </w:t>
      </w:r>
      <w:r w:rsidR="00BF0144" w:rsidRPr="00C620A2">
        <w:t>recommendations have been open sinc</w:t>
      </w:r>
      <w:r w:rsidR="00E40F81" w:rsidRPr="00C620A2">
        <w:t xml:space="preserve">e 2011, and </w:t>
      </w:r>
      <w:r w:rsidR="00D751FA" w:rsidRPr="00C620A2">
        <w:t>a total of 41</w:t>
      </w:r>
      <w:r w:rsidR="00D16DD9" w:rsidRPr="00C620A2">
        <w:t> </w:t>
      </w:r>
      <w:r w:rsidR="00E40F81" w:rsidRPr="00C620A2">
        <w:t>recommend</w:t>
      </w:r>
      <w:r w:rsidRPr="00C620A2">
        <w:t xml:space="preserve">ations </w:t>
      </w:r>
      <w:r w:rsidR="002B105E" w:rsidRPr="00C620A2">
        <w:t>made between 2011 and 2014 are still pending to date.</w:t>
      </w:r>
    </w:p>
    <w:p w:rsidR="00BD2E40" w:rsidRPr="00C620A2" w:rsidRDefault="00383328" w:rsidP="00BD2E40">
      <w:pPr>
        <w:pStyle w:val="ONUME"/>
        <w:rPr>
          <w:szCs w:val="22"/>
        </w:rPr>
      </w:pPr>
      <w:r w:rsidRPr="00C620A2">
        <w:lastRenderedPageBreak/>
        <w:t xml:space="preserve">As at June </w:t>
      </w:r>
      <w:r w:rsidR="00B15787" w:rsidRPr="00C620A2">
        <w:t>30</w:t>
      </w:r>
      <w:r w:rsidR="005D5305" w:rsidRPr="00C620A2">
        <w:t>, 2017</w:t>
      </w:r>
      <w:r w:rsidR="00A029DD" w:rsidRPr="00C620A2">
        <w:t>, the number of recommendation by WIPO Programs</w:t>
      </w:r>
      <w:r w:rsidR="00A029DD" w:rsidRPr="00C620A2">
        <w:rPr>
          <w:vertAlign w:val="superscript"/>
        </w:rPr>
        <w:footnoteReference w:id="11"/>
      </w:r>
      <w:r w:rsidR="00BD2E40" w:rsidRPr="00C620A2">
        <w:t xml:space="preserve"> </w:t>
      </w:r>
      <w:r w:rsidR="00A029DD" w:rsidRPr="00C620A2">
        <w:t>and by priority are as follows:</w:t>
      </w:r>
      <w:r w:rsidR="00E04B15" w:rsidRPr="00C620A2">
        <w:rPr>
          <w:noProof/>
          <w:lang w:eastAsia="en-US"/>
        </w:rPr>
        <w:t xml:space="preserve"> </w:t>
      </w:r>
    </w:p>
    <w:p w:rsidR="00E04B15" w:rsidRPr="00C620A2" w:rsidRDefault="00E04B15" w:rsidP="00D43B70">
      <w:pPr>
        <w:pStyle w:val="ONUME"/>
        <w:keepNext/>
        <w:numPr>
          <w:ilvl w:val="0"/>
          <w:numId w:val="0"/>
        </w:numPr>
        <w:spacing w:after="0"/>
        <w:jc w:val="center"/>
        <w:rPr>
          <w:b/>
          <w:sz w:val="18"/>
          <w:szCs w:val="18"/>
        </w:rPr>
      </w:pPr>
      <w:r w:rsidRPr="00C620A2">
        <w:rPr>
          <w:b/>
          <w:sz w:val="18"/>
          <w:szCs w:val="18"/>
        </w:rPr>
        <w:t xml:space="preserve">Chart </w:t>
      </w:r>
      <w:r w:rsidR="00D457B3" w:rsidRPr="00C620A2">
        <w:rPr>
          <w:b/>
          <w:sz w:val="18"/>
          <w:szCs w:val="18"/>
        </w:rPr>
        <w:t>6</w:t>
      </w:r>
      <w:r w:rsidRPr="00C620A2">
        <w:rPr>
          <w:b/>
          <w:sz w:val="18"/>
          <w:szCs w:val="18"/>
        </w:rPr>
        <w:t xml:space="preserve"> –</w:t>
      </w:r>
      <w:r w:rsidR="00BD2E40" w:rsidRPr="00C620A2">
        <w:rPr>
          <w:b/>
          <w:sz w:val="18"/>
          <w:szCs w:val="18"/>
        </w:rPr>
        <w:t>Recommendations by Program and P</w:t>
      </w:r>
      <w:r w:rsidRPr="00C620A2">
        <w:rPr>
          <w:b/>
          <w:sz w:val="18"/>
          <w:szCs w:val="18"/>
        </w:rPr>
        <w:t>riority</w:t>
      </w:r>
    </w:p>
    <w:p w:rsidR="00AC0825" w:rsidRPr="00C620A2" w:rsidRDefault="00D751FA" w:rsidP="00D43B70">
      <w:pPr>
        <w:pStyle w:val="ONUME"/>
        <w:keepLines/>
        <w:numPr>
          <w:ilvl w:val="0"/>
          <w:numId w:val="0"/>
        </w:numPr>
        <w:spacing w:after="360"/>
        <w:jc w:val="center"/>
      </w:pPr>
      <w:r w:rsidRPr="00C620A2">
        <w:rPr>
          <w:noProof/>
          <w:lang w:eastAsia="en-US"/>
        </w:rPr>
        <w:drawing>
          <wp:inline distT="0" distB="0" distL="0" distR="0" wp14:anchorId="2570EDA6" wp14:editId="7859C701">
            <wp:extent cx="6067425" cy="27241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3861" w:rsidRPr="00C620A2" w:rsidRDefault="00D751FA" w:rsidP="00F426D1">
      <w:pPr>
        <w:pStyle w:val="ONUME"/>
      </w:pPr>
      <w:r w:rsidRPr="00C620A2">
        <w:t>Five</w:t>
      </w:r>
      <w:r w:rsidR="00621D9A" w:rsidRPr="00C620A2">
        <w:t xml:space="preserve"> </w:t>
      </w:r>
      <w:r w:rsidR="00BF0144" w:rsidRPr="00C620A2">
        <w:t>programs make up</w:t>
      </w:r>
      <w:r w:rsidR="00D457B3" w:rsidRPr="00C620A2">
        <w:t xml:space="preserve"> </w:t>
      </w:r>
      <w:r w:rsidRPr="00C620A2">
        <w:t>48</w:t>
      </w:r>
      <w:r w:rsidR="00621D9A" w:rsidRPr="00C620A2">
        <w:t xml:space="preserve"> </w:t>
      </w:r>
      <w:r w:rsidRPr="00C620A2">
        <w:t>per cent of the 99</w:t>
      </w:r>
      <w:r w:rsidR="00BF0144" w:rsidRPr="00C620A2">
        <w:t xml:space="preserve"> high priority recommendations, and the highest number of </w:t>
      </w:r>
      <w:r w:rsidR="00BD2E40" w:rsidRPr="00C620A2">
        <w:t xml:space="preserve">open </w:t>
      </w:r>
      <w:r w:rsidR="00BF0144" w:rsidRPr="00C620A2">
        <w:t>recommendations</w:t>
      </w:r>
      <w:r w:rsidR="00B23382" w:rsidRPr="00C620A2">
        <w:t xml:space="preserve"> is</w:t>
      </w:r>
      <w:r w:rsidR="00BF0144" w:rsidRPr="00C620A2">
        <w:t xml:space="preserve"> </w:t>
      </w:r>
      <w:r w:rsidR="00BD2E40" w:rsidRPr="00C620A2">
        <w:t>owned by</w:t>
      </w:r>
      <w:r w:rsidR="00BF0144" w:rsidRPr="00C620A2">
        <w:t xml:space="preserve"> </w:t>
      </w:r>
      <w:r w:rsidR="00D457B3" w:rsidRPr="00C620A2">
        <w:t xml:space="preserve">Human Resources Management </w:t>
      </w:r>
      <w:r w:rsidR="00A66E51">
        <w:t>Department</w:t>
      </w:r>
      <w:r w:rsidR="00D457B3" w:rsidRPr="00C620A2">
        <w:t xml:space="preserve"> (Program 23</w:t>
      </w:r>
      <w:r w:rsidR="00B23382" w:rsidRPr="00C620A2">
        <w:t>)</w:t>
      </w:r>
      <w:r w:rsidR="00BD2E40" w:rsidRPr="00C620A2">
        <w:t>, followed by Program and Resource Management (Program 22)</w:t>
      </w:r>
      <w:r w:rsidR="008E3D48" w:rsidRPr="00C620A2">
        <w:t xml:space="preserve"> and Africa, Arab, Asia and the Pacific, Latin America and the Caribbean Countries, and Least Developed Countries (Program 9)</w:t>
      </w:r>
      <w:r w:rsidR="00BD2E40" w:rsidRPr="00C620A2">
        <w:t>.</w:t>
      </w:r>
    </w:p>
    <w:p w:rsidR="004D61CD" w:rsidRDefault="001E3E19" w:rsidP="004D61CD">
      <w:pPr>
        <w:pStyle w:val="Heading1"/>
      </w:pPr>
      <w:bookmarkStart w:id="39" w:name="_Toc487462083"/>
      <w:r w:rsidRPr="00AB4DFA">
        <w:t>E</w:t>
      </w:r>
      <w:r w:rsidR="004D61CD">
        <w:t xml:space="preserve">XTERNAL QUALITY ASSESSMENT </w:t>
      </w:r>
      <w:r w:rsidR="00023B92">
        <w:t xml:space="preserve">(EQA) </w:t>
      </w:r>
      <w:r w:rsidR="004D61CD">
        <w:t>OF THE INVESTIGATION FUNCTION</w:t>
      </w:r>
      <w:bookmarkEnd w:id="39"/>
      <w:r w:rsidR="004D61CD">
        <w:t xml:space="preserve"> </w:t>
      </w:r>
    </w:p>
    <w:p w:rsidR="001E3E19" w:rsidRPr="00E32ADE" w:rsidRDefault="001E3E19" w:rsidP="004D61CD">
      <w:pPr>
        <w:pStyle w:val="ONUME"/>
      </w:pPr>
      <w:r>
        <w:t xml:space="preserve">Out of </w:t>
      </w:r>
      <w:r w:rsidRPr="001733CC">
        <w:t>13</w:t>
      </w:r>
      <w:r>
        <w:t xml:space="preserve"> recommendations from the </w:t>
      </w:r>
      <w:r w:rsidRPr="00824916">
        <w:t>EQA o</w:t>
      </w:r>
      <w:r>
        <w:t xml:space="preserve">f the </w:t>
      </w:r>
      <w:r w:rsidR="001A243B">
        <w:t>i</w:t>
      </w:r>
      <w:r>
        <w:t xml:space="preserve">nvestigation </w:t>
      </w:r>
      <w:r w:rsidR="001A243B">
        <w:t>f</w:t>
      </w:r>
      <w:r>
        <w:t xml:space="preserve">unction, </w:t>
      </w:r>
      <w:r w:rsidR="00976B2B">
        <w:t xml:space="preserve">nine </w:t>
      </w:r>
      <w:r>
        <w:t>have already been implemented.</w:t>
      </w:r>
      <w:r w:rsidR="00A50C12">
        <w:t xml:space="preserve"> </w:t>
      </w:r>
      <w:r>
        <w:t xml:space="preserve"> </w:t>
      </w:r>
      <w:r w:rsidR="00760E95">
        <w:t>Of</w:t>
      </w:r>
      <w:r>
        <w:t xml:space="preserve"> </w:t>
      </w:r>
      <w:r w:rsidR="0011516C">
        <w:t xml:space="preserve">the </w:t>
      </w:r>
      <w:r w:rsidR="00976B2B">
        <w:t xml:space="preserve">four </w:t>
      </w:r>
      <w:r w:rsidR="0011516C">
        <w:t>remaining</w:t>
      </w:r>
      <w:r>
        <w:t xml:space="preserve"> recommendations</w:t>
      </w:r>
      <w:r w:rsidR="00A66E51">
        <w:t>,</w:t>
      </w:r>
      <w:r w:rsidR="00976B2B">
        <w:t xml:space="preserve"> two </w:t>
      </w:r>
      <w:r>
        <w:t xml:space="preserve">will be implemented through the </w:t>
      </w:r>
      <w:r w:rsidR="00976B2B">
        <w:t>development of an online fraud awareness training tool, which will be finalized in t</w:t>
      </w:r>
      <w:r w:rsidR="00581412">
        <w:t>h</w:t>
      </w:r>
      <w:r w:rsidR="00976B2B">
        <w:t xml:space="preserve">e </w:t>
      </w:r>
      <w:r w:rsidR="00A077C3">
        <w:t xml:space="preserve">third </w:t>
      </w:r>
      <w:r w:rsidR="00976B2B">
        <w:t>quarter of 2017</w:t>
      </w:r>
      <w:proofErr w:type="gramStart"/>
      <w:r w:rsidR="00976B2B">
        <w:t xml:space="preserve">; </w:t>
      </w:r>
      <w:r w:rsidR="00581412">
        <w:t xml:space="preserve"> </w:t>
      </w:r>
      <w:r w:rsidR="00976B2B">
        <w:t>and</w:t>
      </w:r>
      <w:proofErr w:type="gramEnd"/>
      <w:r w:rsidR="00976B2B">
        <w:t xml:space="preserve"> two relate to staffing matters which IOD is still discussin</w:t>
      </w:r>
      <w:r w:rsidR="00D20104">
        <w:t>g with M</w:t>
      </w:r>
      <w:r w:rsidR="00976B2B">
        <w:t>anagement</w:t>
      </w:r>
      <w:r w:rsidR="00581412">
        <w:t>.</w:t>
      </w:r>
    </w:p>
    <w:p w:rsidR="00E32ADE" w:rsidRPr="00E32ADE" w:rsidRDefault="00E32ADE" w:rsidP="003C1B55">
      <w:pPr>
        <w:pStyle w:val="Heading1"/>
      </w:pPr>
      <w:bookmarkStart w:id="40" w:name="_Toc487462084"/>
      <w:r w:rsidRPr="00E32ADE">
        <w:t>C</w:t>
      </w:r>
      <w:r w:rsidR="004A0DF7">
        <w:t>ONSULTATIVE AND ADVISORY</w:t>
      </w:r>
      <w:r w:rsidRPr="00E32ADE">
        <w:t xml:space="preserve"> </w:t>
      </w:r>
      <w:r w:rsidR="00AC0825" w:rsidRPr="00E32ADE">
        <w:t>OVERSIGHT WORK</w:t>
      </w:r>
      <w:bookmarkEnd w:id="40"/>
    </w:p>
    <w:p w:rsidR="00E32ADE" w:rsidRPr="00E32ADE" w:rsidRDefault="00E32ADE" w:rsidP="00DD5EA8">
      <w:pPr>
        <w:pStyle w:val="ONUME"/>
      </w:pPr>
      <w:r w:rsidRPr="00E32ADE">
        <w:t xml:space="preserve">In addition to its </w:t>
      </w:r>
      <w:r w:rsidR="007B0574">
        <w:t>planned</w:t>
      </w:r>
      <w:r w:rsidR="004A0CBF">
        <w:t xml:space="preserve"> oversight work</w:t>
      </w:r>
      <w:r w:rsidRPr="00E32ADE">
        <w:t xml:space="preserve">, IOD </w:t>
      </w:r>
      <w:r w:rsidR="007B0574">
        <w:t>continued to provide professional</w:t>
      </w:r>
      <w:r w:rsidRPr="00E32ADE">
        <w:t xml:space="preserve"> advice </w:t>
      </w:r>
      <w:r w:rsidR="007B0574">
        <w:t>on organizational policy and procedures, risk management and internal controls</w:t>
      </w:r>
      <w:r w:rsidRPr="00E32ADE">
        <w:t xml:space="preserve">.  </w:t>
      </w:r>
      <w:r w:rsidR="007B0574">
        <w:t xml:space="preserve">The list of </w:t>
      </w:r>
      <w:r w:rsidR="007B0574" w:rsidRPr="00E32ADE">
        <w:t xml:space="preserve">policy </w:t>
      </w:r>
      <w:r w:rsidR="007B0574">
        <w:t xml:space="preserve">and procedures </w:t>
      </w:r>
      <w:r w:rsidR="00A077C3">
        <w:t xml:space="preserve">in nine areas </w:t>
      </w:r>
      <w:r w:rsidR="007B0574">
        <w:t xml:space="preserve">for which IOD provided </w:t>
      </w:r>
      <w:r w:rsidRPr="00E32ADE">
        <w:t xml:space="preserve">advice </w:t>
      </w:r>
      <w:r w:rsidR="00C37A90">
        <w:t xml:space="preserve">is annexed to this report </w:t>
      </w:r>
      <w:r w:rsidR="00C37A90" w:rsidRPr="00CA196F">
        <w:t>(</w:t>
      </w:r>
      <w:r w:rsidR="00072495">
        <w:t>Annex II</w:t>
      </w:r>
      <w:r w:rsidR="00C37A90">
        <w:t>)</w:t>
      </w:r>
      <w:r w:rsidRPr="00E32ADE">
        <w:t>.</w:t>
      </w:r>
    </w:p>
    <w:p w:rsidR="00E32ADE" w:rsidRPr="00E32ADE" w:rsidRDefault="00E32ADE" w:rsidP="00CA196F">
      <w:pPr>
        <w:pStyle w:val="Heading1"/>
      </w:pPr>
      <w:bookmarkStart w:id="41" w:name="_Toc487462085"/>
      <w:r w:rsidRPr="00DD5EA8">
        <w:lastRenderedPageBreak/>
        <w:t>COOPERATION WITH EXTERNAL OVERSIGHT BODIES</w:t>
      </w:r>
      <w:bookmarkEnd w:id="41"/>
      <w:r w:rsidRPr="00E32ADE">
        <w:t xml:space="preserve"> </w:t>
      </w:r>
    </w:p>
    <w:p w:rsidR="00E32ADE" w:rsidRPr="00E32ADE" w:rsidRDefault="00E32ADE" w:rsidP="00CA196F">
      <w:pPr>
        <w:pStyle w:val="Heading2"/>
      </w:pPr>
      <w:r w:rsidRPr="00E32ADE">
        <w:t xml:space="preserve">The Independent Advisory Oversight Committee </w:t>
      </w:r>
      <w:r w:rsidR="00824916">
        <w:t>(IAOC)</w:t>
      </w:r>
    </w:p>
    <w:p w:rsidR="00E32ADE" w:rsidRPr="00E32ADE" w:rsidRDefault="00E32ADE" w:rsidP="00503788">
      <w:pPr>
        <w:pStyle w:val="ONUME"/>
      </w:pPr>
      <w:r w:rsidRPr="00E32ADE">
        <w:t xml:space="preserve">IOD has regularly </w:t>
      </w:r>
      <w:r w:rsidR="00824916">
        <w:t>attended the s</w:t>
      </w:r>
      <w:r w:rsidR="00730971">
        <w:t>essions of</w:t>
      </w:r>
      <w:r w:rsidRPr="00E32ADE">
        <w:t xml:space="preserve"> the IAOC</w:t>
      </w:r>
      <w:r w:rsidR="00730971">
        <w:t>, reporting on the implementation of the internal oversight plan, discussing oversight results and other aspects</w:t>
      </w:r>
      <w:r w:rsidRPr="00E32ADE">
        <w:t xml:space="preserve"> concerning the work and fu</w:t>
      </w:r>
      <w:r w:rsidR="000921A9">
        <w:t>nctioning of the Division</w:t>
      </w:r>
      <w:r w:rsidR="00A66E51">
        <w:t>,</w:t>
      </w:r>
      <w:r w:rsidR="00730971">
        <w:t xml:space="preserve"> and seeking the IAOC</w:t>
      </w:r>
      <w:r w:rsidR="00B324A9">
        <w:t>’</w:t>
      </w:r>
      <w:r w:rsidR="00730971">
        <w:t>s advice</w:t>
      </w:r>
      <w:r w:rsidR="000921A9">
        <w:t xml:space="preserve">.  </w:t>
      </w:r>
      <w:r w:rsidR="00755DDD">
        <w:t>I</w:t>
      </w:r>
      <w:r w:rsidR="00755DDD" w:rsidRPr="00E32ADE">
        <w:t>n the period covered by this report</w:t>
      </w:r>
      <w:r w:rsidR="00755DDD" w:rsidRPr="00755DDD">
        <w:t xml:space="preserve"> </w:t>
      </w:r>
      <w:r w:rsidR="00755DDD">
        <w:t>t</w:t>
      </w:r>
      <w:r w:rsidR="000921A9">
        <w:t>he </w:t>
      </w:r>
      <w:r w:rsidR="00824916">
        <w:t>Forty-S</w:t>
      </w:r>
      <w:r w:rsidR="00755DDD">
        <w:t>econd</w:t>
      </w:r>
      <w:r w:rsidR="00581412">
        <w:t xml:space="preserve"> </w:t>
      </w:r>
      <w:r w:rsidR="0018495B">
        <w:t xml:space="preserve">through </w:t>
      </w:r>
      <w:r w:rsidR="00824916">
        <w:t>Forty</w:t>
      </w:r>
      <w:r w:rsidR="00824916">
        <w:noBreakHyphen/>
        <w:t>F</w:t>
      </w:r>
      <w:r w:rsidR="00755DDD">
        <w:t>orth</w:t>
      </w:r>
      <w:r w:rsidR="0018495B">
        <w:t xml:space="preserve"> </w:t>
      </w:r>
      <w:r w:rsidR="00824916">
        <w:t>S</w:t>
      </w:r>
      <w:r w:rsidR="00730971">
        <w:t>essions</w:t>
      </w:r>
      <w:r w:rsidRPr="00E32ADE">
        <w:t xml:space="preserve"> of the IAOC</w:t>
      </w:r>
      <w:r w:rsidR="00A077C3" w:rsidRPr="00A077C3">
        <w:t xml:space="preserve"> </w:t>
      </w:r>
      <w:r w:rsidR="00A077C3" w:rsidRPr="00E32ADE">
        <w:t>took place</w:t>
      </w:r>
      <w:r w:rsidRPr="00E32ADE">
        <w:t>.</w:t>
      </w:r>
    </w:p>
    <w:p w:rsidR="00E32ADE" w:rsidRPr="00E32ADE" w:rsidRDefault="00E32ADE" w:rsidP="00CA196F">
      <w:pPr>
        <w:pStyle w:val="Heading2"/>
      </w:pPr>
      <w:r w:rsidRPr="00E32ADE">
        <w:t>The External Auditor</w:t>
      </w:r>
    </w:p>
    <w:p w:rsidR="00E32ADE" w:rsidRPr="00E32ADE" w:rsidRDefault="008D26CB" w:rsidP="00503788">
      <w:pPr>
        <w:pStyle w:val="ONUME"/>
      </w:pPr>
      <w:r>
        <w:t xml:space="preserve">IOD maintained </w:t>
      </w:r>
      <w:r w:rsidR="00F3226B">
        <w:t xml:space="preserve">good </w:t>
      </w:r>
      <w:r w:rsidR="00E32ADE" w:rsidRPr="00E32ADE">
        <w:t xml:space="preserve">working </w:t>
      </w:r>
      <w:r w:rsidR="001A12DA">
        <w:t xml:space="preserve">relations </w:t>
      </w:r>
      <w:r w:rsidR="00E32ADE" w:rsidRPr="00E32ADE">
        <w:t>with the External Auditor</w:t>
      </w:r>
      <w:r>
        <w:t xml:space="preserve"> by </w:t>
      </w:r>
      <w:r w:rsidR="00C37A90">
        <w:t xml:space="preserve">having </w:t>
      </w:r>
      <w:r w:rsidR="00C37A90" w:rsidRPr="00E32ADE">
        <w:t>regular</w:t>
      </w:r>
      <w:r w:rsidR="00E32ADE" w:rsidRPr="00E32ADE">
        <w:t xml:space="preserve"> meetings on audit, internal control and risk management issues.  The External Auditor and IOD shared strategies, annual plans and individual reports with a view to ensuring efficient oversight coverage </w:t>
      </w:r>
      <w:r w:rsidR="00C640F7">
        <w:t>while</w:t>
      </w:r>
      <w:r w:rsidR="00E32ADE" w:rsidRPr="00E32ADE">
        <w:t xml:space="preserve"> avoiding potential duplication</w:t>
      </w:r>
      <w:r w:rsidR="00C640F7">
        <w:t xml:space="preserve"> and oversight fatigue</w:t>
      </w:r>
      <w:r w:rsidR="00E32ADE" w:rsidRPr="00E32ADE">
        <w:t>.</w:t>
      </w:r>
    </w:p>
    <w:p w:rsidR="004A0DF7" w:rsidRDefault="00E32ADE" w:rsidP="004A0DF7">
      <w:pPr>
        <w:pStyle w:val="Heading1"/>
      </w:pPr>
      <w:bookmarkStart w:id="42" w:name="_Toc487462086"/>
      <w:r w:rsidRPr="00DD5EA8">
        <w:t xml:space="preserve">COOPERATION WITH </w:t>
      </w:r>
      <w:r w:rsidR="004A0DF7" w:rsidRPr="00DD5EA8">
        <w:t>THE OMBUDS</w:t>
      </w:r>
      <w:r w:rsidR="00730971">
        <w:t>PERSON</w:t>
      </w:r>
      <w:r w:rsidR="004A0DF7" w:rsidRPr="00DD5EA8">
        <w:t xml:space="preserve"> AND THE ETHICS OFFICE</w:t>
      </w:r>
      <w:bookmarkEnd w:id="42"/>
    </w:p>
    <w:p w:rsidR="00E32ADE" w:rsidRPr="00E32ADE" w:rsidRDefault="00E32ADE" w:rsidP="00503788">
      <w:pPr>
        <w:pStyle w:val="ONUME"/>
      </w:pPr>
      <w:r w:rsidRPr="00E32ADE">
        <w:t>During the reporting period, the Director, IOD met regularly with the Ombuds</w:t>
      </w:r>
      <w:r w:rsidR="00730971">
        <w:t>person</w:t>
      </w:r>
      <w:r w:rsidRPr="00E32ADE">
        <w:t xml:space="preserve"> and</w:t>
      </w:r>
      <w:r w:rsidR="000573E8">
        <w:t xml:space="preserve"> </w:t>
      </w:r>
      <w:r w:rsidR="00730971">
        <w:t xml:space="preserve">with the </w:t>
      </w:r>
      <w:r w:rsidR="000573E8">
        <w:t>Chief</w:t>
      </w:r>
      <w:r w:rsidRPr="00E32ADE">
        <w:t xml:space="preserve"> Ethics </w:t>
      </w:r>
      <w:r w:rsidR="000573E8" w:rsidRPr="00E32ADE">
        <w:t>Office</w:t>
      </w:r>
      <w:r w:rsidR="000573E8">
        <w:t>r to</w:t>
      </w:r>
      <w:r w:rsidRPr="00E32ADE">
        <w:t xml:space="preserve"> ensure </w:t>
      </w:r>
      <w:r w:rsidR="008D26CB">
        <w:t>good coordination</w:t>
      </w:r>
      <w:r w:rsidRPr="00E32ADE">
        <w:t xml:space="preserve"> and </w:t>
      </w:r>
      <w:r w:rsidR="008478F6">
        <w:t>comple</w:t>
      </w:r>
      <w:r w:rsidR="00A077C3">
        <w:t>mentary support</w:t>
      </w:r>
      <w:r w:rsidRPr="00E32ADE">
        <w:t>.</w:t>
      </w:r>
    </w:p>
    <w:p w:rsidR="00E32ADE" w:rsidRPr="00E32ADE" w:rsidRDefault="00E32ADE" w:rsidP="001D2703">
      <w:pPr>
        <w:pStyle w:val="Heading1"/>
      </w:pPr>
      <w:bookmarkStart w:id="43" w:name="_Toc487462087"/>
      <w:r w:rsidRPr="00E32ADE">
        <w:t>OTHER OVERSIGHT WORK</w:t>
      </w:r>
      <w:bookmarkEnd w:id="43"/>
    </w:p>
    <w:p w:rsidR="00E32ADE" w:rsidRPr="00E32ADE" w:rsidRDefault="00E32ADE" w:rsidP="00CA196F">
      <w:pPr>
        <w:pStyle w:val="Heading2"/>
      </w:pPr>
      <w:r w:rsidRPr="00E32ADE">
        <w:t>Outreach activities in the organization</w:t>
      </w:r>
    </w:p>
    <w:p w:rsidR="00E32ADE" w:rsidRPr="00E32ADE" w:rsidRDefault="00C640F7" w:rsidP="00503788">
      <w:pPr>
        <w:pStyle w:val="ONUME"/>
      </w:pPr>
      <w:r>
        <w:t>As part of its ongoing effort t</w:t>
      </w:r>
      <w:r w:rsidR="00E32ADE" w:rsidRPr="00E32ADE">
        <w:t xml:space="preserve">o better explain and advocate for </w:t>
      </w:r>
      <w:r w:rsidR="00730971">
        <w:t>the internal oversight function</w:t>
      </w:r>
      <w:r w:rsidR="00E32ADE" w:rsidRPr="00E32ADE">
        <w:t>, IOD continue</w:t>
      </w:r>
      <w:r w:rsidR="00730971">
        <w:t>d</w:t>
      </w:r>
      <w:r w:rsidR="00E32ADE" w:rsidRPr="00E32ADE">
        <w:t xml:space="preserve"> to reach out to colleagues</w:t>
      </w:r>
      <w:r>
        <w:t xml:space="preserve"> within WIPO through </w:t>
      </w:r>
      <w:r w:rsidR="00F5085B">
        <w:t>presentations given to new staff in the induction training,</w:t>
      </w:r>
      <w:r w:rsidR="00A00E8D">
        <w:t xml:space="preserve"> </w:t>
      </w:r>
      <w:r w:rsidR="00A66E51">
        <w:t xml:space="preserve">the </w:t>
      </w:r>
      <w:r w:rsidR="00A00E8D">
        <w:t>IOD Newsletter</w:t>
      </w:r>
      <w:r w:rsidR="008F00DC">
        <w:t xml:space="preserve">, </w:t>
      </w:r>
      <w:r w:rsidR="00A66E51">
        <w:t xml:space="preserve">the </w:t>
      </w:r>
      <w:r w:rsidR="008F00DC">
        <w:t>IOD Dashboard</w:t>
      </w:r>
      <w:r w:rsidR="00A00E8D">
        <w:t xml:space="preserve"> and p</w:t>
      </w:r>
      <w:r>
        <w:t>resentations to Director</w:t>
      </w:r>
      <w:r w:rsidR="00F5085B">
        <w:t>s</w:t>
      </w:r>
      <w:r>
        <w:t xml:space="preserve"> and Senior Man</w:t>
      </w:r>
      <w:r w:rsidR="00FF6721">
        <w:t>a</w:t>
      </w:r>
      <w:r>
        <w:t xml:space="preserve">gers as and when required. </w:t>
      </w:r>
    </w:p>
    <w:p w:rsidR="00E32ADE" w:rsidRPr="001A12DA" w:rsidRDefault="00E32ADE" w:rsidP="00CA196F">
      <w:pPr>
        <w:pStyle w:val="Heading2"/>
      </w:pPr>
      <w:r w:rsidRPr="001A12DA">
        <w:t>Satisfaction Survey</w:t>
      </w:r>
    </w:p>
    <w:p w:rsidR="005242EE" w:rsidRPr="00C37A90" w:rsidRDefault="006D6866" w:rsidP="006D6866">
      <w:pPr>
        <w:pStyle w:val="ONUME"/>
      </w:pPr>
      <w:r>
        <w:t xml:space="preserve">IOD continued to seek feedback from colleagues of audited/evaluated WIPO Units </w:t>
      </w:r>
      <w:r w:rsidRPr="00C37A90">
        <w:t>through</w:t>
      </w:r>
      <w:r>
        <w:t xml:space="preserve"> </w:t>
      </w:r>
      <w:r w:rsidR="005242EE" w:rsidRPr="00C37A90">
        <w:t>client satisfaction survey</w:t>
      </w:r>
      <w:r>
        <w:t>s</w:t>
      </w:r>
      <w:r w:rsidR="005242EE" w:rsidRPr="00C37A90">
        <w:t xml:space="preserve"> after each assignment</w:t>
      </w:r>
      <w:r>
        <w:t xml:space="preserve">. </w:t>
      </w:r>
      <w:r w:rsidR="00CF1CBF">
        <w:t xml:space="preserve"> </w:t>
      </w:r>
      <w:r>
        <w:t>This aims</w:t>
      </w:r>
      <w:r w:rsidR="005242EE" w:rsidRPr="00C37A90">
        <w:t xml:space="preserve"> </w:t>
      </w:r>
      <w:r>
        <w:t>to effectively receive</w:t>
      </w:r>
      <w:r w:rsidR="00055010">
        <w:t xml:space="preserve"> and</w:t>
      </w:r>
      <w:r>
        <w:t xml:space="preserve"> analyze feedback </w:t>
      </w:r>
      <w:r w:rsidR="005242EE" w:rsidRPr="00C37A90">
        <w:t xml:space="preserve">from colleagues on oversight work.  </w:t>
      </w:r>
      <w:r w:rsidR="00055010">
        <w:t xml:space="preserve">The consolidated analysis of survey results indicates a </w:t>
      </w:r>
      <w:r w:rsidR="005242EE" w:rsidRPr="00C37A90">
        <w:t xml:space="preserve">satisfaction rate </w:t>
      </w:r>
      <w:r w:rsidR="00055010">
        <w:t xml:space="preserve">of </w:t>
      </w:r>
      <w:r w:rsidR="00913903">
        <w:t>86</w:t>
      </w:r>
      <w:r w:rsidR="00055010">
        <w:t> </w:t>
      </w:r>
      <w:r w:rsidR="000921A9">
        <w:t>per cent</w:t>
      </w:r>
      <w:r w:rsidR="00174A63">
        <w:t xml:space="preserve">. </w:t>
      </w:r>
      <w:r w:rsidR="00CA196F">
        <w:t xml:space="preserve"> </w:t>
      </w:r>
    </w:p>
    <w:p w:rsidR="005242EE" w:rsidRPr="00C37A90" w:rsidRDefault="003D7121" w:rsidP="00BF1C77">
      <w:pPr>
        <w:pStyle w:val="ONUME"/>
      </w:pPr>
      <w:r>
        <w:t>The results of surveys</w:t>
      </w:r>
      <w:r w:rsidR="005242EE" w:rsidRPr="00C37A90">
        <w:t xml:space="preserve"> conducted a year after assig</w:t>
      </w:r>
      <w:r w:rsidR="000A646E">
        <w:t>nments which are</w:t>
      </w:r>
      <w:r w:rsidR="006D6866">
        <w:t xml:space="preserve"> </w:t>
      </w:r>
      <w:r>
        <w:t xml:space="preserve">used to </w:t>
      </w:r>
      <w:r w:rsidR="000A646E">
        <w:t>assess</w:t>
      </w:r>
      <w:r>
        <w:t xml:space="preserve"> t</w:t>
      </w:r>
      <w:r w:rsidR="00055010">
        <w:t xml:space="preserve">he </w:t>
      </w:r>
      <w:r w:rsidR="006D6866">
        <w:t xml:space="preserve">impact of oversight work </w:t>
      </w:r>
      <w:r w:rsidR="000A646E">
        <w:t>indicated an</w:t>
      </w:r>
      <w:r w:rsidR="005242EE" w:rsidRPr="00C37A90">
        <w:t xml:space="preserve"> </w:t>
      </w:r>
      <w:r w:rsidR="006D6866">
        <w:t>average satisfaction rate</w:t>
      </w:r>
      <w:r w:rsidR="005242EE" w:rsidRPr="00C37A90">
        <w:t xml:space="preserve"> </w:t>
      </w:r>
      <w:r w:rsidR="000A646E">
        <w:t>of</w:t>
      </w:r>
      <w:r w:rsidR="00F72029">
        <w:t xml:space="preserve"> </w:t>
      </w:r>
      <w:r w:rsidR="00D2056B">
        <w:t>85</w:t>
      </w:r>
      <w:r w:rsidR="000921A9">
        <w:t xml:space="preserve"> per cent</w:t>
      </w:r>
      <w:r>
        <w:t>.</w:t>
      </w:r>
      <w:r w:rsidR="00752430">
        <w:t xml:space="preserve"> </w:t>
      </w:r>
      <w:r w:rsidR="00055010">
        <w:t xml:space="preserve"> </w:t>
      </w:r>
      <w:r w:rsidR="000A646E">
        <w:t>IOD will</w:t>
      </w:r>
      <w:r w:rsidR="00055010">
        <w:t xml:space="preserve"> </w:t>
      </w:r>
      <w:r w:rsidR="000A646E">
        <w:t xml:space="preserve">strive </w:t>
      </w:r>
      <w:r w:rsidR="00055010">
        <w:t>to further improve the impact of its oversight work</w:t>
      </w:r>
      <w:r w:rsidR="000A646E">
        <w:t xml:space="preserve"> based on</w:t>
      </w:r>
      <w:r w:rsidR="000A646E" w:rsidRPr="000A646E">
        <w:t xml:space="preserve"> </w:t>
      </w:r>
      <w:r w:rsidR="000A646E">
        <w:t>the feedback received from colleagues.</w:t>
      </w:r>
    </w:p>
    <w:p w:rsidR="00CA196F" w:rsidRDefault="005242EE" w:rsidP="00503788">
      <w:pPr>
        <w:pStyle w:val="ONUME"/>
      </w:pPr>
      <w:r w:rsidRPr="001A12DA">
        <w:t>The additional comments sent by the audited/evaluated units through the surveys help</w:t>
      </w:r>
      <w:r w:rsidR="006312EC">
        <w:t>ed</w:t>
      </w:r>
      <w:r w:rsidRPr="001A12DA">
        <w:t xml:space="preserve"> IOD identify shortcomings and </w:t>
      </w:r>
      <w:r w:rsidR="00A077C3">
        <w:t>take</w:t>
      </w:r>
      <w:r w:rsidRPr="001A12DA">
        <w:t xml:space="preserve"> corrective actions.  </w:t>
      </w:r>
    </w:p>
    <w:p w:rsidR="00C72F9D" w:rsidRDefault="00C72F9D">
      <w:pPr>
        <w:rPr>
          <w:bCs/>
          <w:iCs/>
          <w:caps/>
          <w:szCs w:val="28"/>
        </w:rPr>
      </w:pPr>
      <w:r>
        <w:br w:type="page"/>
      </w:r>
    </w:p>
    <w:p w:rsidR="00E32ADE" w:rsidRPr="00E32ADE" w:rsidRDefault="00E32ADE" w:rsidP="00CA196F">
      <w:pPr>
        <w:pStyle w:val="Heading2"/>
      </w:pPr>
      <w:r w:rsidRPr="00E32ADE">
        <w:lastRenderedPageBreak/>
        <w:t>Networking with other oversight functions</w:t>
      </w:r>
    </w:p>
    <w:p w:rsidR="00E32ADE" w:rsidRPr="00E32ADE" w:rsidRDefault="00E32ADE" w:rsidP="00503788">
      <w:pPr>
        <w:pStyle w:val="ONUME"/>
      </w:pPr>
      <w:r w:rsidRPr="00E32ADE">
        <w:t xml:space="preserve">The IOC </w:t>
      </w:r>
      <w:r w:rsidR="008D26CB">
        <w:t>includes</w:t>
      </w:r>
      <w:r w:rsidR="008D26CB" w:rsidRPr="00E32ADE">
        <w:t xml:space="preserve"> </w:t>
      </w:r>
      <w:r w:rsidRPr="00E32ADE">
        <w:t>specific provisions</w:t>
      </w:r>
      <w:r w:rsidR="000E2FC8">
        <w:rPr>
          <w:rStyle w:val="FootnoteReference"/>
        </w:rPr>
        <w:footnoteReference w:id="12"/>
      </w:r>
      <w:r w:rsidRPr="00E32ADE">
        <w:t xml:space="preserve"> on </w:t>
      </w:r>
      <w:r w:rsidR="00730971">
        <w:t>liaising and cooperating with the internal oversight services of other organizations of the United Nations system</w:t>
      </w:r>
      <w:r w:rsidR="00E9204A">
        <w:t xml:space="preserve"> and of Multilateral Financial Institutions</w:t>
      </w:r>
      <w:r w:rsidRPr="00E32ADE">
        <w:t xml:space="preserve">.  IOD recognizes the value and importance of developing relationships with its peers.  During the </w:t>
      </w:r>
      <w:r w:rsidR="00E9204A">
        <w:t xml:space="preserve">reporting </w:t>
      </w:r>
      <w:r w:rsidRPr="00E32ADE">
        <w:t>period, IOD continued its active and useful collaboration and networking with other U</w:t>
      </w:r>
      <w:r w:rsidR="00E9204A">
        <w:t xml:space="preserve">nited </w:t>
      </w:r>
      <w:r w:rsidRPr="00E32ADE">
        <w:t>N</w:t>
      </w:r>
      <w:r w:rsidR="00E9204A">
        <w:t>ations system</w:t>
      </w:r>
      <w:r w:rsidRPr="00E32ADE">
        <w:t xml:space="preserve"> organizations and entities.  In particular IOD actively participated in:</w:t>
      </w:r>
    </w:p>
    <w:p w:rsidR="00752430" w:rsidRDefault="00507279" w:rsidP="003655A0">
      <w:pPr>
        <w:pStyle w:val="ONUME"/>
        <w:numPr>
          <w:ilvl w:val="1"/>
          <w:numId w:val="12"/>
        </w:numPr>
        <w:rPr>
          <w:lang w:eastAsia="en-GB"/>
        </w:rPr>
      </w:pPr>
      <w:r>
        <w:rPr>
          <w:lang w:eastAsia="en-GB"/>
        </w:rPr>
        <w:t>The A</w:t>
      </w:r>
      <w:r w:rsidR="00752430">
        <w:rPr>
          <w:lang w:eastAsia="en-GB"/>
        </w:rPr>
        <w:t xml:space="preserve">nnual International Conference and the Public Sector Committee meeting of the </w:t>
      </w:r>
      <w:r w:rsidR="00261946">
        <w:rPr>
          <w:lang w:eastAsia="en-GB"/>
        </w:rPr>
        <w:t>IIA</w:t>
      </w:r>
      <w:r w:rsidR="00752430">
        <w:rPr>
          <w:lang w:eastAsia="en-GB"/>
        </w:rPr>
        <w:t xml:space="preserve"> hosted in </w:t>
      </w:r>
      <w:r w:rsidR="006636E1">
        <w:rPr>
          <w:lang w:eastAsia="en-GB"/>
        </w:rPr>
        <w:t>New York</w:t>
      </w:r>
      <w:r w:rsidR="00752430">
        <w:rPr>
          <w:lang w:eastAsia="en-GB"/>
        </w:rPr>
        <w:t xml:space="preserve">, </w:t>
      </w:r>
      <w:r w:rsidR="006636E1">
        <w:rPr>
          <w:lang w:eastAsia="en-GB"/>
        </w:rPr>
        <w:t>United States of America, from July 17</w:t>
      </w:r>
      <w:r w:rsidR="00752430">
        <w:rPr>
          <w:lang w:eastAsia="en-GB"/>
        </w:rPr>
        <w:t xml:space="preserve"> to </w:t>
      </w:r>
      <w:r w:rsidR="006636E1">
        <w:rPr>
          <w:lang w:eastAsia="en-GB"/>
        </w:rPr>
        <w:t>20</w:t>
      </w:r>
      <w:r w:rsidR="00752430">
        <w:rPr>
          <w:lang w:eastAsia="en-GB"/>
        </w:rPr>
        <w:t>, 201</w:t>
      </w:r>
      <w:r w:rsidR="006636E1">
        <w:rPr>
          <w:lang w:eastAsia="en-GB"/>
        </w:rPr>
        <w:t>6</w:t>
      </w:r>
      <w:r w:rsidR="00752430">
        <w:rPr>
          <w:lang w:eastAsia="en-GB"/>
        </w:rPr>
        <w:t xml:space="preserve">. </w:t>
      </w:r>
    </w:p>
    <w:p w:rsidR="002B105E" w:rsidRDefault="00752430" w:rsidP="00722A93">
      <w:pPr>
        <w:pStyle w:val="ONUME"/>
        <w:numPr>
          <w:ilvl w:val="1"/>
          <w:numId w:val="12"/>
        </w:numPr>
        <w:rPr>
          <w:lang w:eastAsia="en-GB"/>
        </w:rPr>
      </w:pPr>
      <w:r>
        <w:t>The</w:t>
      </w:r>
      <w:r w:rsidR="00E32ADE" w:rsidRPr="00E32ADE">
        <w:t xml:space="preserve"> Annual Meeting of Representatives of Internal Audit Services (RIAS) of the UN, </w:t>
      </w:r>
      <w:r w:rsidR="006636E1">
        <w:rPr>
          <w:lang w:eastAsia="en-GB"/>
        </w:rPr>
        <w:t>held between September 6 and 9, 2016</w:t>
      </w:r>
      <w:r>
        <w:rPr>
          <w:lang w:eastAsia="en-GB"/>
        </w:rPr>
        <w:t xml:space="preserve"> </w:t>
      </w:r>
      <w:r w:rsidR="006636E1">
        <w:rPr>
          <w:lang w:eastAsia="en-GB"/>
        </w:rPr>
        <w:t>in New York, United States of America</w:t>
      </w:r>
      <w:r>
        <w:rPr>
          <w:lang w:eastAsia="en-GB"/>
        </w:rPr>
        <w:t xml:space="preserve">.  </w:t>
      </w:r>
    </w:p>
    <w:p w:rsidR="008E435C" w:rsidRDefault="008E435C" w:rsidP="00722A93">
      <w:pPr>
        <w:pStyle w:val="ONUME"/>
        <w:numPr>
          <w:ilvl w:val="1"/>
          <w:numId w:val="12"/>
        </w:numPr>
        <w:rPr>
          <w:lang w:eastAsia="en-GB"/>
        </w:rPr>
      </w:pPr>
      <w:r>
        <w:rPr>
          <w:lang w:eastAsia="en-GB"/>
        </w:rPr>
        <w:t xml:space="preserve">The </w:t>
      </w:r>
      <w:r w:rsidR="00507279">
        <w:rPr>
          <w:lang w:eastAsia="en-GB"/>
        </w:rPr>
        <w:t>Annual M</w:t>
      </w:r>
      <w:r>
        <w:rPr>
          <w:lang w:eastAsia="en-GB"/>
        </w:rPr>
        <w:t>eeting of UN Representative</w:t>
      </w:r>
      <w:r w:rsidR="00E534BA">
        <w:rPr>
          <w:lang w:eastAsia="en-GB"/>
        </w:rPr>
        <w:t>s of Investigative Services (UN</w:t>
      </w:r>
      <w:r>
        <w:rPr>
          <w:lang w:eastAsia="en-GB"/>
        </w:rPr>
        <w:t xml:space="preserve">RIS) on </w:t>
      </w:r>
      <w:r w:rsidR="006636E1">
        <w:rPr>
          <w:lang w:eastAsia="en-GB"/>
        </w:rPr>
        <w:t>October 4, 2016</w:t>
      </w:r>
      <w:r>
        <w:rPr>
          <w:lang w:eastAsia="en-GB"/>
        </w:rPr>
        <w:t xml:space="preserve"> in </w:t>
      </w:r>
      <w:proofErr w:type="spellStart"/>
      <w:r w:rsidR="006636E1">
        <w:rPr>
          <w:lang w:eastAsia="en-GB"/>
        </w:rPr>
        <w:t>Laxenburg</w:t>
      </w:r>
      <w:proofErr w:type="spellEnd"/>
      <w:r>
        <w:rPr>
          <w:lang w:eastAsia="en-GB"/>
        </w:rPr>
        <w:t>, </w:t>
      </w:r>
      <w:r w:rsidR="006636E1">
        <w:rPr>
          <w:lang w:eastAsia="en-GB"/>
        </w:rPr>
        <w:t>Austria</w:t>
      </w:r>
      <w:r>
        <w:rPr>
          <w:lang w:eastAsia="en-GB"/>
        </w:rPr>
        <w:t xml:space="preserve">. </w:t>
      </w:r>
    </w:p>
    <w:p w:rsidR="008E435C" w:rsidRPr="009D3FDB" w:rsidRDefault="008E435C" w:rsidP="00C32551">
      <w:pPr>
        <w:pStyle w:val="ONUME"/>
        <w:numPr>
          <w:ilvl w:val="1"/>
          <w:numId w:val="12"/>
        </w:numPr>
        <w:rPr>
          <w:lang w:eastAsia="en-GB"/>
        </w:rPr>
      </w:pPr>
      <w:r>
        <w:rPr>
          <w:lang w:eastAsia="en-GB"/>
        </w:rPr>
        <w:t>T</w:t>
      </w:r>
      <w:r w:rsidRPr="009D3FDB">
        <w:rPr>
          <w:lang w:eastAsia="en-GB"/>
        </w:rPr>
        <w:t xml:space="preserve">he </w:t>
      </w:r>
      <w:r>
        <w:rPr>
          <w:lang w:eastAsia="en-GB"/>
        </w:rPr>
        <w:t>Annual meeting of Heads of Internal Audit</w:t>
      </w:r>
      <w:r w:rsidRPr="009D3FDB">
        <w:rPr>
          <w:lang w:eastAsia="en-GB"/>
        </w:rPr>
        <w:t xml:space="preserve"> in International Organizations in Europe</w:t>
      </w:r>
      <w:r>
        <w:rPr>
          <w:lang w:eastAsia="en-GB"/>
        </w:rPr>
        <w:t xml:space="preserve"> </w:t>
      </w:r>
      <w:r w:rsidRPr="009D3FDB">
        <w:rPr>
          <w:lang w:eastAsia="en-GB"/>
        </w:rPr>
        <w:t xml:space="preserve">(HOIA), hosted by the </w:t>
      </w:r>
      <w:r w:rsidR="00C32551" w:rsidRPr="00C32551">
        <w:rPr>
          <w:lang w:eastAsia="en-GB"/>
        </w:rPr>
        <w:t>European Stability Mechanism</w:t>
      </w:r>
      <w:r w:rsidRPr="009D3FDB">
        <w:rPr>
          <w:lang w:eastAsia="en-GB"/>
        </w:rPr>
        <w:t xml:space="preserve"> in </w:t>
      </w:r>
      <w:r w:rsidR="00C32551">
        <w:rPr>
          <w:lang w:eastAsia="en-GB"/>
        </w:rPr>
        <w:t>Luxembourg, between 26</w:t>
      </w:r>
      <w:r w:rsidR="00E73E24">
        <w:rPr>
          <w:lang w:eastAsia="en-GB"/>
        </w:rPr>
        <w:t> </w:t>
      </w:r>
      <w:r w:rsidRPr="009D3FDB">
        <w:rPr>
          <w:lang w:eastAsia="en-GB"/>
        </w:rPr>
        <w:t xml:space="preserve">and </w:t>
      </w:r>
      <w:r w:rsidR="00C32551">
        <w:rPr>
          <w:lang w:eastAsia="en-GB"/>
        </w:rPr>
        <w:t>29</w:t>
      </w:r>
      <w:r w:rsidRPr="009D3FDB">
        <w:rPr>
          <w:lang w:eastAsia="en-GB"/>
        </w:rPr>
        <w:t xml:space="preserve"> April 201</w:t>
      </w:r>
      <w:r w:rsidR="00C32551">
        <w:rPr>
          <w:lang w:eastAsia="en-GB"/>
        </w:rPr>
        <w:t>7</w:t>
      </w:r>
      <w:r w:rsidRPr="009D3FDB">
        <w:rPr>
          <w:lang w:eastAsia="en-GB"/>
        </w:rPr>
        <w:t>.</w:t>
      </w:r>
    </w:p>
    <w:p w:rsidR="008E435C" w:rsidRDefault="008E435C" w:rsidP="003655A0">
      <w:pPr>
        <w:pStyle w:val="ONUME"/>
        <w:numPr>
          <w:ilvl w:val="1"/>
          <w:numId w:val="12"/>
        </w:numPr>
        <w:rPr>
          <w:lang w:eastAsia="en-GB"/>
        </w:rPr>
      </w:pPr>
      <w:r>
        <w:t xml:space="preserve">WIPO </w:t>
      </w:r>
      <w:r w:rsidR="00C32551">
        <w:t>attended</w:t>
      </w:r>
      <w:r>
        <w:t xml:space="preserve"> t</w:t>
      </w:r>
      <w:r w:rsidRPr="000B4DE7">
        <w:t xml:space="preserve">he </w:t>
      </w:r>
      <w:r w:rsidR="00E534BA">
        <w:t>UNEG</w:t>
      </w:r>
      <w:r w:rsidRPr="000B4DE7">
        <w:t xml:space="preserve"> evaluation week</w:t>
      </w:r>
      <w:r>
        <w:t>,</w:t>
      </w:r>
      <w:r w:rsidRPr="008E435C">
        <w:rPr>
          <w:lang w:eastAsia="en-GB"/>
        </w:rPr>
        <w:t xml:space="preserve"> </w:t>
      </w:r>
      <w:r>
        <w:rPr>
          <w:lang w:eastAsia="en-GB"/>
        </w:rPr>
        <w:t xml:space="preserve">held between </w:t>
      </w:r>
      <w:r w:rsidR="00C32551">
        <w:rPr>
          <w:lang w:eastAsia="en-GB"/>
        </w:rPr>
        <w:t>May</w:t>
      </w:r>
      <w:r>
        <w:rPr>
          <w:lang w:eastAsia="en-GB"/>
        </w:rPr>
        <w:t xml:space="preserve"> </w:t>
      </w:r>
      <w:r w:rsidR="00C32551">
        <w:rPr>
          <w:lang w:eastAsia="en-GB"/>
        </w:rPr>
        <w:t>15 and 19, 2017</w:t>
      </w:r>
      <w:r>
        <w:rPr>
          <w:lang w:eastAsia="en-GB"/>
        </w:rPr>
        <w:t xml:space="preserve">, </w:t>
      </w:r>
      <w:r w:rsidR="00C32551">
        <w:t>in Vienna, Austria</w:t>
      </w:r>
      <w:r w:rsidRPr="000B4DE7">
        <w:t>.</w:t>
      </w:r>
    </w:p>
    <w:p w:rsidR="00EC291B" w:rsidRDefault="00EC291B" w:rsidP="003655A0">
      <w:pPr>
        <w:pStyle w:val="ONUME"/>
        <w:numPr>
          <w:ilvl w:val="1"/>
          <w:numId w:val="12"/>
        </w:numPr>
        <w:rPr>
          <w:lang w:eastAsia="en-GB"/>
        </w:rPr>
      </w:pPr>
      <w:r>
        <w:t xml:space="preserve">The </w:t>
      </w:r>
      <w:r w:rsidR="00C72F9D">
        <w:t>EQA</w:t>
      </w:r>
      <w:r>
        <w:t xml:space="preserve"> of the investigation function of the World Food </w:t>
      </w:r>
      <w:proofErr w:type="spellStart"/>
      <w:r>
        <w:t>Programme</w:t>
      </w:r>
      <w:proofErr w:type="spellEnd"/>
      <w:r w:rsidR="00C72F9D">
        <w:t xml:space="preserve"> (WFP)</w:t>
      </w:r>
      <w:r>
        <w:t xml:space="preserve">, which started in June 2017 and is expected to </w:t>
      </w:r>
      <w:r w:rsidR="002355F5">
        <w:t xml:space="preserve">be </w:t>
      </w:r>
      <w:r>
        <w:t>complete</w:t>
      </w:r>
      <w:r w:rsidR="002355F5">
        <w:t>d</w:t>
      </w:r>
      <w:r>
        <w:t xml:space="preserve"> in September 2017.</w:t>
      </w:r>
    </w:p>
    <w:p w:rsidR="009802E1" w:rsidRPr="009802E1" w:rsidRDefault="009802E1" w:rsidP="009802E1">
      <w:pPr>
        <w:pStyle w:val="Heading1"/>
      </w:pPr>
      <w:bookmarkStart w:id="44" w:name="_Toc487462088"/>
      <w:r w:rsidRPr="00FF6721">
        <w:rPr>
          <w:caps w:val="0"/>
        </w:rPr>
        <w:t>OPERATIONAL INDEPENDENCE OF IOD</w:t>
      </w:r>
      <w:bookmarkEnd w:id="44"/>
    </w:p>
    <w:p w:rsidR="00C71B45" w:rsidRDefault="00605540" w:rsidP="00503788">
      <w:pPr>
        <w:pStyle w:val="ONUME"/>
      </w:pPr>
      <w:r>
        <w:t>The</w:t>
      </w:r>
      <w:r w:rsidRPr="00E32ADE">
        <w:t xml:space="preserve"> IOC</w:t>
      </w:r>
      <w:r>
        <w:t xml:space="preserve"> </w:t>
      </w:r>
      <w:r w:rsidR="00E32ADE" w:rsidRPr="00E32ADE">
        <w:t>requires</w:t>
      </w:r>
      <w:r>
        <w:rPr>
          <w:rStyle w:val="FootnoteReference"/>
        </w:rPr>
        <w:footnoteReference w:id="13"/>
      </w:r>
      <w:r w:rsidR="00E32ADE" w:rsidRPr="00E32ADE">
        <w:t xml:space="preserve"> the Director, IOD to co</w:t>
      </w:r>
      <w:r w:rsidR="00E9204A">
        <w:t xml:space="preserve">nfirm </w:t>
      </w:r>
      <w:r w:rsidR="00A66E51">
        <w:t>his/her</w:t>
      </w:r>
      <w:r w:rsidR="00E32ADE" w:rsidRPr="00E32ADE">
        <w:t xml:space="preserve"> </w:t>
      </w:r>
      <w:r w:rsidR="004D2C55">
        <w:t>operational independence</w:t>
      </w:r>
      <w:r w:rsidR="00E9204A">
        <w:t xml:space="preserve"> and to comment on</w:t>
      </w:r>
      <w:r w:rsidR="004D2C55">
        <w:t xml:space="preserve"> </w:t>
      </w:r>
      <w:r>
        <w:t xml:space="preserve">the scope of </w:t>
      </w:r>
      <w:r w:rsidR="00E9204A">
        <w:t xml:space="preserve">its </w:t>
      </w:r>
      <w:r>
        <w:t xml:space="preserve">activities and </w:t>
      </w:r>
      <w:r w:rsidR="00E9204A">
        <w:t xml:space="preserve">the </w:t>
      </w:r>
      <w:r w:rsidR="00E32ADE" w:rsidRPr="00E32ADE">
        <w:t xml:space="preserve">adequacy of resources allocated to </w:t>
      </w:r>
      <w:r w:rsidR="00E9204A">
        <w:t xml:space="preserve">the </w:t>
      </w:r>
      <w:r w:rsidR="00E32ADE" w:rsidRPr="00E32ADE">
        <w:t xml:space="preserve">internal oversight </w:t>
      </w:r>
      <w:r w:rsidR="004D2C55">
        <w:t>function</w:t>
      </w:r>
      <w:r w:rsidR="00E32ADE" w:rsidRPr="00E32ADE">
        <w:t xml:space="preserve">.  </w:t>
      </w:r>
    </w:p>
    <w:p w:rsidR="00AF61EE" w:rsidRPr="00FF6721" w:rsidRDefault="004D2C55" w:rsidP="00FF6721">
      <w:pPr>
        <w:pStyle w:val="ONUME"/>
      </w:pPr>
      <w:r>
        <w:t>D</w:t>
      </w:r>
      <w:r w:rsidR="00605540" w:rsidRPr="00E32ADE">
        <w:t>uring the reporting period, no i</w:t>
      </w:r>
      <w:r w:rsidR="00FF6721">
        <w:t>nstance/activity occurred that c</w:t>
      </w:r>
      <w:r w:rsidR="00605540" w:rsidRPr="00E32ADE">
        <w:t xml:space="preserve">ould </w:t>
      </w:r>
      <w:r w:rsidR="000E2FC8">
        <w:t>be considered as</w:t>
      </w:r>
      <w:r>
        <w:t xml:space="preserve"> </w:t>
      </w:r>
      <w:r w:rsidR="000E2FC8">
        <w:t>jeopardizing</w:t>
      </w:r>
      <w:r w:rsidR="00605540" w:rsidRPr="00E32ADE">
        <w:t xml:space="preserve"> the operational independence of </w:t>
      </w:r>
      <w:r w:rsidR="004D6A1C">
        <w:t>IOD</w:t>
      </w:r>
      <w:r w:rsidR="00605540" w:rsidRPr="00E32ADE">
        <w:t>.</w:t>
      </w:r>
      <w:r>
        <w:t xml:space="preserve"> </w:t>
      </w:r>
      <w:r w:rsidR="004D6A1C">
        <w:t xml:space="preserve"> </w:t>
      </w:r>
      <w:r>
        <w:t xml:space="preserve">The scope of </w:t>
      </w:r>
      <w:r w:rsidR="00FF6721">
        <w:t xml:space="preserve">oversight </w:t>
      </w:r>
      <w:r>
        <w:t>activities has been decided by</w:t>
      </w:r>
      <w:r w:rsidR="005525E8">
        <w:t xml:space="preserve"> the IOD </w:t>
      </w:r>
      <w:r w:rsidR="008F00DC">
        <w:t xml:space="preserve">based on risk assessment, </w:t>
      </w:r>
      <w:r w:rsidR="005525E8">
        <w:t>receiving commen</w:t>
      </w:r>
      <w:r>
        <w:t>ts and feedback from WIPO Management, IAOC and Member States</w:t>
      </w:r>
      <w:r w:rsidR="00FF6721">
        <w:t xml:space="preserve"> as appropriate</w:t>
      </w:r>
      <w:r>
        <w:t>.</w:t>
      </w:r>
      <w:bookmarkStart w:id="45" w:name="_Toc420663573"/>
    </w:p>
    <w:p w:rsidR="009802E1" w:rsidRPr="00EF631C" w:rsidRDefault="009802E1" w:rsidP="009802E1">
      <w:pPr>
        <w:pStyle w:val="Heading1"/>
      </w:pPr>
      <w:bookmarkStart w:id="46" w:name="_Toc487462089"/>
      <w:r w:rsidRPr="00EF631C">
        <w:t>OVERSIGHT RESOURCES</w:t>
      </w:r>
      <w:bookmarkEnd w:id="45"/>
      <w:bookmarkEnd w:id="46"/>
      <w:r w:rsidRPr="00EF631C">
        <w:t xml:space="preserve"> </w:t>
      </w:r>
    </w:p>
    <w:p w:rsidR="00E32ADE" w:rsidRPr="00EF631C" w:rsidRDefault="00E32ADE" w:rsidP="00CA196F">
      <w:pPr>
        <w:pStyle w:val="Heading2"/>
      </w:pPr>
      <w:r w:rsidRPr="00EF631C">
        <w:t>Budget and Staff</w:t>
      </w:r>
    </w:p>
    <w:p w:rsidR="001428AC" w:rsidRPr="00DD03BE" w:rsidRDefault="003E3840" w:rsidP="00DD03BE">
      <w:pPr>
        <w:pStyle w:val="ONUME"/>
        <w:rPr>
          <w:rFonts w:eastAsia="Times New Roman"/>
          <w:b/>
          <w:bCs/>
          <w:sz w:val="18"/>
          <w:szCs w:val="18"/>
          <w:lang w:eastAsia="en-US"/>
        </w:rPr>
      </w:pPr>
      <w:r w:rsidRPr="00EF631C">
        <w:t>To d</w:t>
      </w:r>
      <w:r w:rsidRPr="003E3840">
        <w:t xml:space="preserve">ischarge its mandate, </w:t>
      </w:r>
      <w:r w:rsidR="00E9204A">
        <w:t xml:space="preserve">IOD has been </w:t>
      </w:r>
      <w:r w:rsidR="00422BE0">
        <w:t xml:space="preserve">provided with a </w:t>
      </w:r>
      <w:r w:rsidR="00FC7965">
        <w:t xml:space="preserve">biennial </w:t>
      </w:r>
      <w:r w:rsidR="00422BE0">
        <w:t>budget of</w:t>
      </w:r>
      <w:r w:rsidR="00E9204A">
        <w:t xml:space="preserve"> </w:t>
      </w:r>
      <w:r w:rsidR="00565F7A">
        <w:t>5.45</w:t>
      </w:r>
      <w:r w:rsidR="003D6176">
        <w:t xml:space="preserve"> </w:t>
      </w:r>
      <w:r w:rsidR="00E9204A">
        <w:t>million</w:t>
      </w:r>
      <w:r w:rsidR="003D6176">
        <w:t xml:space="preserve"> Swiss </w:t>
      </w:r>
      <w:r w:rsidR="00422BE0">
        <w:t>francs</w:t>
      </w:r>
      <w:r w:rsidR="00E9204A">
        <w:t>, which</w:t>
      </w:r>
      <w:r w:rsidR="00565F7A">
        <w:t xml:space="preserve"> represents 0.77</w:t>
      </w:r>
      <w:r w:rsidR="00194920">
        <w:t xml:space="preserve"> per cent</w:t>
      </w:r>
      <w:r w:rsidRPr="003E3840">
        <w:t xml:space="preserve"> of WIPO</w:t>
      </w:r>
      <w:r w:rsidR="00B324A9">
        <w:t>’</w:t>
      </w:r>
      <w:r w:rsidRPr="003E3840">
        <w:t xml:space="preserve">s </w:t>
      </w:r>
      <w:r w:rsidR="00E9204A">
        <w:t>b</w:t>
      </w:r>
      <w:r w:rsidR="0002296B">
        <w:t>udget</w:t>
      </w:r>
      <w:r w:rsidR="00FC7965">
        <w:t xml:space="preserve"> for the 2016/2017 biennium</w:t>
      </w:r>
      <w:r w:rsidR="0002296B">
        <w:t>.</w:t>
      </w:r>
      <w:r w:rsidR="00E32ADE" w:rsidRPr="00EF631C">
        <w:t xml:space="preserve">  </w:t>
      </w:r>
      <w:r w:rsidR="00521A52">
        <w:t>Overall</w:t>
      </w:r>
      <w:r w:rsidR="006C25ED" w:rsidRPr="00EF631C">
        <w:t>, t</w:t>
      </w:r>
      <w:r w:rsidR="00E32ADE" w:rsidRPr="00EF631C">
        <w:t xml:space="preserve">he level of </w:t>
      </w:r>
      <w:r w:rsidR="00E65EF4" w:rsidRPr="00EF631C">
        <w:t xml:space="preserve">current </w:t>
      </w:r>
      <w:r w:rsidR="000E2FC8" w:rsidRPr="00EF631C">
        <w:t xml:space="preserve">human and financial </w:t>
      </w:r>
      <w:r w:rsidR="00E32ADE" w:rsidRPr="00EF631C">
        <w:t xml:space="preserve">resources has </w:t>
      </w:r>
      <w:r w:rsidR="005525E8" w:rsidRPr="00EF631C">
        <w:t xml:space="preserve">been adequate for </w:t>
      </w:r>
      <w:r w:rsidR="00E32ADE" w:rsidRPr="00EF631C">
        <w:t xml:space="preserve">IOD to </w:t>
      </w:r>
      <w:r w:rsidR="00E65EF4" w:rsidRPr="00EF631C">
        <w:t xml:space="preserve">effectively </w:t>
      </w:r>
      <w:r w:rsidR="00E32ADE" w:rsidRPr="00EF631C">
        <w:t xml:space="preserve">cover the </w:t>
      </w:r>
      <w:r w:rsidR="00E65EF4" w:rsidRPr="00EF631C">
        <w:t xml:space="preserve">high </w:t>
      </w:r>
      <w:r w:rsidR="006C25ED" w:rsidRPr="00EF631C">
        <w:t>priority</w:t>
      </w:r>
      <w:r w:rsidR="00E65EF4" w:rsidRPr="00EF631C">
        <w:t xml:space="preserve"> </w:t>
      </w:r>
      <w:r w:rsidR="00E32ADE" w:rsidRPr="00EF631C">
        <w:t>areas</w:t>
      </w:r>
      <w:r w:rsidR="00E65EF4" w:rsidRPr="00EF631C">
        <w:t xml:space="preserve"> as</w:t>
      </w:r>
      <w:r w:rsidR="00E32ADE" w:rsidRPr="00EF631C">
        <w:t xml:space="preserve"> identified in its </w:t>
      </w:r>
      <w:r w:rsidR="00E65EF4" w:rsidRPr="00EF631C">
        <w:t>work plans</w:t>
      </w:r>
      <w:r w:rsidR="00E32ADE" w:rsidRPr="00EF631C">
        <w:t xml:space="preserve">. </w:t>
      </w:r>
      <w:r w:rsidR="00CA196F" w:rsidRPr="00EF631C">
        <w:t xml:space="preserve"> </w:t>
      </w:r>
      <w:r w:rsidR="00EF631C">
        <w:t xml:space="preserve">Exchange of Oversight Plans and </w:t>
      </w:r>
      <w:r w:rsidR="00A76884">
        <w:t xml:space="preserve">continuous </w:t>
      </w:r>
      <w:r w:rsidR="00EF631C">
        <w:t>c</w:t>
      </w:r>
      <w:r w:rsidR="006C25ED" w:rsidRPr="00EF631C">
        <w:t>oordination of oversight activities with th</w:t>
      </w:r>
      <w:r w:rsidR="005525E8" w:rsidRPr="00EF631C">
        <w:t xml:space="preserve">e External Auditor </w:t>
      </w:r>
      <w:r w:rsidR="00A76884">
        <w:t>as well as</w:t>
      </w:r>
      <w:r w:rsidR="005525E8" w:rsidRPr="00EF631C">
        <w:t xml:space="preserve"> </w:t>
      </w:r>
      <w:r w:rsidR="00A76884">
        <w:t>effective</w:t>
      </w:r>
      <w:r w:rsidR="006C25ED" w:rsidRPr="00EF631C">
        <w:t xml:space="preserve"> use of </w:t>
      </w:r>
      <w:r w:rsidR="003D6176">
        <w:t>IT</w:t>
      </w:r>
      <w:r w:rsidR="006C25ED" w:rsidRPr="00EF631C">
        <w:t xml:space="preserve"> tools </w:t>
      </w:r>
      <w:r w:rsidR="00A76884">
        <w:t xml:space="preserve">have </w:t>
      </w:r>
      <w:r w:rsidR="00521F24">
        <w:t xml:space="preserve">also </w:t>
      </w:r>
      <w:r w:rsidR="00A76884">
        <w:t>helped achieve more</w:t>
      </w:r>
      <w:r w:rsidR="005525E8" w:rsidRPr="00EF631C">
        <w:t xml:space="preserve"> </w:t>
      </w:r>
      <w:r w:rsidR="006C25ED" w:rsidRPr="00EF631C">
        <w:t xml:space="preserve">efficiency </w:t>
      </w:r>
      <w:r w:rsidR="00521F24">
        <w:t>and effective coverage of risk areas</w:t>
      </w:r>
      <w:r w:rsidR="00352817" w:rsidRPr="00EF631C">
        <w:t>.</w:t>
      </w:r>
      <w:r w:rsidR="001428AC" w:rsidRPr="00DD03BE">
        <w:rPr>
          <w:b/>
          <w:bCs/>
        </w:rPr>
        <w:br w:type="page"/>
      </w:r>
    </w:p>
    <w:p w:rsidR="001040AF" w:rsidRDefault="00E32ADE" w:rsidP="001040AF">
      <w:pPr>
        <w:pStyle w:val="NormalWeb"/>
        <w:keepNext/>
        <w:keepLines/>
        <w:spacing w:before="0" w:beforeAutospacing="0" w:after="0" w:afterAutospacing="0"/>
        <w:jc w:val="center"/>
        <w:rPr>
          <w:b/>
          <w:bCs/>
        </w:rPr>
      </w:pPr>
      <w:r w:rsidRPr="00EF631C">
        <w:rPr>
          <w:b/>
          <w:bCs/>
        </w:rPr>
        <w:lastRenderedPageBreak/>
        <w:t xml:space="preserve">Table </w:t>
      </w:r>
      <w:r w:rsidR="00C622AD">
        <w:rPr>
          <w:b/>
          <w:bCs/>
        </w:rPr>
        <w:t>3</w:t>
      </w:r>
      <w:r w:rsidR="00565F7A">
        <w:rPr>
          <w:b/>
          <w:bCs/>
        </w:rPr>
        <w:t xml:space="preserve"> </w:t>
      </w:r>
      <w:r w:rsidR="003A18B5" w:rsidRPr="00EF631C">
        <w:rPr>
          <w:b/>
          <w:bCs/>
        </w:rPr>
        <w:t xml:space="preserve">- </w:t>
      </w:r>
      <w:r w:rsidR="00565F7A">
        <w:rPr>
          <w:b/>
          <w:bCs/>
        </w:rPr>
        <w:t>2016</w:t>
      </w:r>
      <w:r w:rsidR="001D2703" w:rsidRPr="00EF631C">
        <w:rPr>
          <w:b/>
          <w:bCs/>
        </w:rPr>
        <w:t>/201</w:t>
      </w:r>
      <w:r w:rsidR="00565F7A">
        <w:rPr>
          <w:b/>
          <w:bCs/>
        </w:rPr>
        <w:t>7</w:t>
      </w:r>
      <w:r w:rsidRPr="00EF631C">
        <w:rPr>
          <w:b/>
          <w:bCs/>
        </w:rPr>
        <w:t xml:space="preserve"> IOD Budget and expenditures</w:t>
      </w:r>
      <w:r w:rsidRPr="00EF631C">
        <w:rPr>
          <w:bCs/>
          <w:vertAlign w:val="superscript"/>
        </w:rPr>
        <w:footnoteReference w:id="14"/>
      </w:r>
      <w:r w:rsidRPr="00EF631C">
        <w:rPr>
          <w:b/>
          <w:bCs/>
        </w:rPr>
        <w:t xml:space="preserve"> </w:t>
      </w:r>
    </w:p>
    <w:p w:rsidR="00565F7A" w:rsidRPr="00543FB7" w:rsidRDefault="00565F7A" w:rsidP="001040AF">
      <w:pPr>
        <w:pStyle w:val="NormalWeb"/>
        <w:keepNext/>
        <w:keepLines/>
        <w:spacing w:before="0" w:beforeAutospacing="0" w:after="0" w:afterAutospacing="0"/>
        <w:jc w:val="center"/>
        <w:rPr>
          <w:i/>
          <w:iCs/>
          <w:color w:val="000000"/>
          <w:sz w:val="20"/>
          <w:szCs w:val="20"/>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438"/>
        <w:gridCol w:w="1438"/>
        <w:gridCol w:w="1438"/>
        <w:gridCol w:w="1438"/>
      </w:tblGrid>
      <w:tr w:rsidR="00565F7A" w:rsidRPr="00677942" w:rsidTr="00565F7A">
        <w:trPr>
          <w:trHeight w:val="720"/>
          <w:jc w:val="center"/>
        </w:trPr>
        <w:tc>
          <w:tcPr>
            <w:tcW w:w="2470" w:type="dxa"/>
            <w:shd w:val="clear" w:color="000000" w:fill="CCFFFF"/>
            <w:noWrap/>
            <w:vAlign w:val="center"/>
            <w:hideMark/>
          </w:tcPr>
          <w:p w:rsidR="00565F7A" w:rsidRPr="00677942" w:rsidRDefault="00565F7A" w:rsidP="00565F7A">
            <w:pPr>
              <w:rPr>
                <w:color w:val="000000"/>
                <w:sz w:val="16"/>
                <w:szCs w:val="16"/>
              </w:rPr>
            </w:pPr>
            <w:r w:rsidRPr="00677942">
              <w:rPr>
                <w:color w:val="000000"/>
                <w:sz w:val="16"/>
                <w:szCs w:val="16"/>
              </w:rPr>
              <w:t> </w:t>
            </w:r>
          </w:p>
        </w:tc>
        <w:tc>
          <w:tcPr>
            <w:tcW w:w="1438" w:type="dxa"/>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2016/17 Approved Budget</w:t>
            </w:r>
          </w:p>
        </w:tc>
        <w:tc>
          <w:tcPr>
            <w:tcW w:w="1438" w:type="dxa"/>
            <w:shd w:val="clear" w:color="000000" w:fill="CCFFFF"/>
            <w:vAlign w:val="center"/>
            <w:hideMark/>
          </w:tcPr>
          <w:p w:rsidR="00565F7A" w:rsidRDefault="00565F7A" w:rsidP="00565F7A">
            <w:pPr>
              <w:jc w:val="center"/>
              <w:rPr>
                <w:b/>
                <w:bCs/>
                <w:color w:val="000000"/>
                <w:sz w:val="16"/>
                <w:szCs w:val="16"/>
              </w:rPr>
            </w:pPr>
            <w:r w:rsidRPr="00677942">
              <w:rPr>
                <w:b/>
                <w:bCs/>
                <w:color w:val="000000"/>
                <w:sz w:val="16"/>
                <w:szCs w:val="16"/>
              </w:rPr>
              <w:t xml:space="preserve">2016/17 </w:t>
            </w:r>
          </w:p>
          <w:p w:rsidR="00565F7A" w:rsidRPr="00677942" w:rsidRDefault="00565F7A" w:rsidP="00565F7A">
            <w:pPr>
              <w:jc w:val="center"/>
              <w:rPr>
                <w:b/>
                <w:bCs/>
                <w:color w:val="000000"/>
                <w:sz w:val="16"/>
                <w:szCs w:val="16"/>
              </w:rPr>
            </w:pPr>
            <w:r w:rsidRPr="00677942">
              <w:rPr>
                <w:b/>
                <w:bCs/>
                <w:color w:val="000000"/>
                <w:sz w:val="16"/>
                <w:szCs w:val="16"/>
              </w:rPr>
              <w:t>Budget after Transfers</w:t>
            </w:r>
          </w:p>
        </w:tc>
        <w:tc>
          <w:tcPr>
            <w:tcW w:w="1438" w:type="dxa"/>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2016 Expenditure*</w:t>
            </w:r>
          </w:p>
        </w:tc>
        <w:tc>
          <w:tcPr>
            <w:tcW w:w="1438" w:type="dxa"/>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Utilization rate (%)</w:t>
            </w:r>
          </w:p>
        </w:tc>
      </w:tr>
      <w:tr w:rsidR="00565F7A" w:rsidRPr="00677942" w:rsidTr="00565F7A">
        <w:trPr>
          <w:trHeight w:val="315"/>
          <w:jc w:val="center"/>
        </w:trPr>
        <w:tc>
          <w:tcPr>
            <w:tcW w:w="2470" w:type="dxa"/>
            <w:shd w:val="clear" w:color="auto" w:fill="auto"/>
            <w:noWrap/>
            <w:vAlign w:val="center"/>
            <w:hideMark/>
          </w:tcPr>
          <w:p w:rsidR="00565F7A" w:rsidRPr="00677942" w:rsidRDefault="00565F7A" w:rsidP="00565F7A">
            <w:pPr>
              <w:rPr>
                <w:color w:val="000000"/>
                <w:sz w:val="16"/>
                <w:szCs w:val="16"/>
              </w:rPr>
            </w:pPr>
            <w:r w:rsidRPr="00677942">
              <w:rPr>
                <w:color w:val="000000"/>
                <w:sz w:val="16"/>
                <w:szCs w:val="16"/>
              </w:rPr>
              <w:t xml:space="preserve"> Personnel Resources  </w:t>
            </w:r>
          </w:p>
        </w:tc>
        <w:tc>
          <w:tcPr>
            <w:tcW w:w="1438" w:type="dxa"/>
            <w:shd w:val="clear" w:color="auto" w:fill="auto"/>
            <w:vAlign w:val="center"/>
            <w:hideMark/>
          </w:tcPr>
          <w:p w:rsidR="00565F7A" w:rsidRPr="00677942" w:rsidRDefault="00565F7A" w:rsidP="00565F7A">
            <w:pPr>
              <w:jc w:val="center"/>
              <w:rPr>
                <w:color w:val="000000"/>
                <w:sz w:val="16"/>
                <w:szCs w:val="16"/>
              </w:rPr>
            </w:pPr>
            <w:r w:rsidRPr="00677942">
              <w:rPr>
                <w:color w:val="000000"/>
                <w:sz w:val="16"/>
                <w:szCs w:val="16"/>
              </w:rPr>
              <w:t xml:space="preserve">4,658 </w:t>
            </w:r>
          </w:p>
        </w:tc>
        <w:tc>
          <w:tcPr>
            <w:tcW w:w="1438" w:type="dxa"/>
            <w:shd w:val="clear" w:color="auto" w:fill="auto"/>
            <w:vAlign w:val="center"/>
            <w:hideMark/>
          </w:tcPr>
          <w:p w:rsidR="00565F7A" w:rsidRPr="00677942" w:rsidRDefault="00565F7A" w:rsidP="00565F7A">
            <w:pPr>
              <w:jc w:val="center"/>
              <w:rPr>
                <w:color w:val="000000"/>
                <w:sz w:val="16"/>
                <w:szCs w:val="16"/>
              </w:rPr>
            </w:pPr>
            <w:r w:rsidRPr="00677942">
              <w:rPr>
                <w:color w:val="000000"/>
                <w:sz w:val="16"/>
                <w:szCs w:val="16"/>
              </w:rPr>
              <w:t xml:space="preserve">4,790 </w:t>
            </w:r>
          </w:p>
        </w:tc>
        <w:tc>
          <w:tcPr>
            <w:tcW w:w="1438" w:type="dxa"/>
            <w:shd w:val="clear" w:color="auto" w:fill="auto"/>
            <w:vAlign w:val="center"/>
            <w:hideMark/>
          </w:tcPr>
          <w:p w:rsidR="00565F7A" w:rsidRPr="00677942" w:rsidRDefault="00565F7A" w:rsidP="00565F7A">
            <w:pPr>
              <w:jc w:val="center"/>
              <w:rPr>
                <w:color w:val="000000"/>
                <w:sz w:val="16"/>
                <w:szCs w:val="16"/>
              </w:rPr>
            </w:pPr>
            <w:r w:rsidRPr="00677942">
              <w:rPr>
                <w:color w:val="000000"/>
                <w:sz w:val="16"/>
                <w:szCs w:val="16"/>
              </w:rPr>
              <w:t xml:space="preserve">1,847 </w:t>
            </w:r>
          </w:p>
        </w:tc>
        <w:tc>
          <w:tcPr>
            <w:tcW w:w="1438" w:type="dxa"/>
            <w:shd w:val="clear" w:color="auto" w:fill="auto"/>
            <w:vAlign w:val="center"/>
            <w:hideMark/>
          </w:tcPr>
          <w:p w:rsidR="00565F7A" w:rsidRPr="00677942" w:rsidRDefault="00565F7A" w:rsidP="00565F7A">
            <w:pPr>
              <w:jc w:val="center"/>
              <w:rPr>
                <w:color w:val="000000"/>
                <w:sz w:val="16"/>
                <w:szCs w:val="16"/>
              </w:rPr>
            </w:pPr>
            <w:r w:rsidRPr="00677942">
              <w:rPr>
                <w:color w:val="000000"/>
                <w:sz w:val="16"/>
                <w:szCs w:val="16"/>
              </w:rPr>
              <w:t>39%</w:t>
            </w:r>
          </w:p>
        </w:tc>
      </w:tr>
      <w:tr w:rsidR="00565F7A" w:rsidRPr="00677942" w:rsidTr="00565F7A">
        <w:trPr>
          <w:trHeight w:val="315"/>
          <w:jc w:val="center"/>
        </w:trPr>
        <w:tc>
          <w:tcPr>
            <w:tcW w:w="2470" w:type="dxa"/>
            <w:tcBorders>
              <w:bottom w:val="single" w:sz="4" w:space="0" w:color="auto"/>
            </w:tcBorders>
            <w:shd w:val="clear" w:color="auto" w:fill="auto"/>
            <w:noWrap/>
            <w:vAlign w:val="center"/>
            <w:hideMark/>
          </w:tcPr>
          <w:p w:rsidR="00565F7A" w:rsidRPr="00677942" w:rsidRDefault="00565F7A" w:rsidP="00565F7A">
            <w:pPr>
              <w:rPr>
                <w:color w:val="000000"/>
                <w:sz w:val="16"/>
                <w:szCs w:val="16"/>
              </w:rPr>
            </w:pPr>
            <w:r w:rsidRPr="00677942">
              <w:rPr>
                <w:color w:val="000000"/>
                <w:sz w:val="16"/>
                <w:szCs w:val="16"/>
              </w:rPr>
              <w:t xml:space="preserve"> Non-personnel Resources </w:t>
            </w:r>
          </w:p>
        </w:tc>
        <w:tc>
          <w:tcPr>
            <w:tcW w:w="1438" w:type="dxa"/>
            <w:tcBorders>
              <w:bottom w:val="single" w:sz="4" w:space="0" w:color="auto"/>
            </w:tcBorders>
            <w:shd w:val="clear" w:color="auto" w:fill="auto"/>
            <w:vAlign w:val="center"/>
            <w:hideMark/>
          </w:tcPr>
          <w:p w:rsidR="00565F7A" w:rsidRPr="00677942" w:rsidRDefault="00565F7A" w:rsidP="00565F7A">
            <w:pPr>
              <w:jc w:val="center"/>
              <w:rPr>
                <w:color w:val="000000"/>
                <w:sz w:val="16"/>
                <w:szCs w:val="16"/>
              </w:rPr>
            </w:pPr>
            <w:r w:rsidRPr="00677942">
              <w:rPr>
                <w:color w:val="000000"/>
                <w:sz w:val="16"/>
                <w:szCs w:val="16"/>
              </w:rPr>
              <w:t xml:space="preserve">700 </w:t>
            </w:r>
          </w:p>
        </w:tc>
        <w:tc>
          <w:tcPr>
            <w:tcW w:w="1438" w:type="dxa"/>
            <w:tcBorders>
              <w:bottom w:val="single" w:sz="4" w:space="0" w:color="auto"/>
            </w:tcBorders>
            <w:shd w:val="clear" w:color="auto" w:fill="auto"/>
            <w:vAlign w:val="center"/>
            <w:hideMark/>
          </w:tcPr>
          <w:p w:rsidR="00565F7A" w:rsidRPr="00677942" w:rsidRDefault="00565F7A" w:rsidP="00565F7A">
            <w:pPr>
              <w:jc w:val="center"/>
              <w:rPr>
                <w:color w:val="000000"/>
                <w:sz w:val="16"/>
                <w:szCs w:val="16"/>
              </w:rPr>
            </w:pPr>
            <w:r w:rsidRPr="00677942">
              <w:rPr>
                <w:color w:val="000000"/>
                <w:sz w:val="16"/>
                <w:szCs w:val="16"/>
              </w:rPr>
              <w:t xml:space="preserve">659 </w:t>
            </w:r>
          </w:p>
        </w:tc>
        <w:tc>
          <w:tcPr>
            <w:tcW w:w="1438" w:type="dxa"/>
            <w:tcBorders>
              <w:bottom w:val="single" w:sz="4" w:space="0" w:color="auto"/>
            </w:tcBorders>
            <w:shd w:val="clear" w:color="auto" w:fill="auto"/>
            <w:vAlign w:val="center"/>
            <w:hideMark/>
          </w:tcPr>
          <w:p w:rsidR="00565F7A" w:rsidRPr="00677942" w:rsidRDefault="00565F7A" w:rsidP="00565F7A">
            <w:pPr>
              <w:jc w:val="center"/>
              <w:rPr>
                <w:color w:val="000000"/>
                <w:sz w:val="16"/>
                <w:szCs w:val="16"/>
              </w:rPr>
            </w:pPr>
            <w:r w:rsidRPr="00677942">
              <w:rPr>
                <w:color w:val="000000"/>
                <w:sz w:val="16"/>
                <w:szCs w:val="16"/>
              </w:rPr>
              <w:t xml:space="preserve">202 </w:t>
            </w:r>
          </w:p>
        </w:tc>
        <w:tc>
          <w:tcPr>
            <w:tcW w:w="1438" w:type="dxa"/>
            <w:tcBorders>
              <w:bottom w:val="single" w:sz="4" w:space="0" w:color="auto"/>
            </w:tcBorders>
            <w:shd w:val="clear" w:color="auto" w:fill="auto"/>
            <w:vAlign w:val="center"/>
            <w:hideMark/>
          </w:tcPr>
          <w:p w:rsidR="00565F7A" w:rsidRPr="00677942" w:rsidRDefault="00565F7A" w:rsidP="00565F7A">
            <w:pPr>
              <w:jc w:val="center"/>
              <w:rPr>
                <w:color w:val="000000"/>
                <w:sz w:val="16"/>
                <w:szCs w:val="16"/>
              </w:rPr>
            </w:pPr>
            <w:r w:rsidRPr="00677942">
              <w:rPr>
                <w:color w:val="000000"/>
                <w:sz w:val="16"/>
                <w:szCs w:val="16"/>
              </w:rPr>
              <w:t>31%</w:t>
            </w:r>
          </w:p>
        </w:tc>
      </w:tr>
      <w:tr w:rsidR="00565F7A" w:rsidRPr="00677942" w:rsidTr="00565F7A">
        <w:trPr>
          <w:trHeight w:val="225"/>
          <w:jc w:val="center"/>
        </w:trPr>
        <w:tc>
          <w:tcPr>
            <w:tcW w:w="2470" w:type="dxa"/>
            <w:tcBorders>
              <w:bottom w:val="single" w:sz="4" w:space="0" w:color="auto"/>
            </w:tcBorders>
            <w:shd w:val="clear" w:color="000000" w:fill="CCFFFF"/>
            <w:noWrap/>
            <w:vAlign w:val="center"/>
            <w:hideMark/>
          </w:tcPr>
          <w:p w:rsidR="00565F7A" w:rsidRPr="00677942" w:rsidRDefault="00565F7A" w:rsidP="00565F7A">
            <w:pPr>
              <w:jc w:val="right"/>
              <w:rPr>
                <w:b/>
                <w:bCs/>
                <w:color w:val="000000"/>
                <w:sz w:val="16"/>
                <w:szCs w:val="16"/>
              </w:rPr>
            </w:pPr>
            <w:r w:rsidRPr="00677942">
              <w:rPr>
                <w:b/>
                <w:bCs/>
                <w:color w:val="000000"/>
                <w:sz w:val="16"/>
                <w:szCs w:val="16"/>
              </w:rPr>
              <w:t xml:space="preserve"> Total </w:t>
            </w:r>
          </w:p>
        </w:tc>
        <w:tc>
          <w:tcPr>
            <w:tcW w:w="1438" w:type="dxa"/>
            <w:tcBorders>
              <w:bottom w:val="single" w:sz="4" w:space="0" w:color="auto"/>
            </w:tcBorders>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 xml:space="preserve">5,358 </w:t>
            </w:r>
          </w:p>
        </w:tc>
        <w:tc>
          <w:tcPr>
            <w:tcW w:w="1438" w:type="dxa"/>
            <w:tcBorders>
              <w:bottom w:val="single" w:sz="4" w:space="0" w:color="auto"/>
            </w:tcBorders>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 xml:space="preserve">5,450 </w:t>
            </w:r>
          </w:p>
        </w:tc>
        <w:tc>
          <w:tcPr>
            <w:tcW w:w="1438" w:type="dxa"/>
            <w:tcBorders>
              <w:bottom w:val="single" w:sz="4" w:space="0" w:color="auto"/>
            </w:tcBorders>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 xml:space="preserve">2,049 </w:t>
            </w:r>
          </w:p>
        </w:tc>
        <w:tc>
          <w:tcPr>
            <w:tcW w:w="1438" w:type="dxa"/>
            <w:tcBorders>
              <w:bottom w:val="single" w:sz="4" w:space="0" w:color="auto"/>
            </w:tcBorders>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38%</w:t>
            </w:r>
          </w:p>
        </w:tc>
      </w:tr>
      <w:tr w:rsidR="00565F7A" w:rsidRPr="00677942" w:rsidTr="00565F7A">
        <w:trPr>
          <w:trHeight w:val="300"/>
          <w:jc w:val="center"/>
        </w:trPr>
        <w:tc>
          <w:tcPr>
            <w:tcW w:w="8222" w:type="dxa"/>
            <w:gridSpan w:val="5"/>
            <w:tcBorders>
              <w:left w:val="nil"/>
              <w:bottom w:val="nil"/>
              <w:right w:val="nil"/>
            </w:tcBorders>
            <w:shd w:val="clear" w:color="auto" w:fill="auto"/>
            <w:noWrap/>
            <w:vAlign w:val="center"/>
            <w:hideMark/>
          </w:tcPr>
          <w:p w:rsidR="00565F7A" w:rsidRPr="00677942" w:rsidRDefault="00565F7A" w:rsidP="00565F7A">
            <w:pPr>
              <w:rPr>
                <w:i/>
                <w:iCs/>
                <w:color w:val="000000"/>
                <w:sz w:val="16"/>
                <w:szCs w:val="16"/>
              </w:rPr>
            </w:pPr>
            <w:r w:rsidRPr="00677942">
              <w:rPr>
                <w:i/>
                <w:iCs/>
                <w:color w:val="000000"/>
                <w:sz w:val="16"/>
                <w:szCs w:val="16"/>
              </w:rPr>
              <w:t xml:space="preserve"> *2016 Expenditure numbers are preliminary, subject to audit by External auditors </w:t>
            </w:r>
          </w:p>
        </w:tc>
      </w:tr>
    </w:tbl>
    <w:p w:rsidR="00565F7A" w:rsidRPr="00BD2E61" w:rsidRDefault="00565F7A" w:rsidP="00565F7A">
      <w:pPr>
        <w:rPr>
          <w:sz w:val="20"/>
        </w:rPr>
      </w:pPr>
    </w:p>
    <w:p w:rsidR="00565F7A" w:rsidRPr="00B70960" w:rsidRDefault="00565F7A" w:rsidP="00565F7A">
      <w:pPr>
        <w:keepNext/>
        <w:keepLines/>
        <w:ind w:left="567" w:right="282"/>
        <w:rPr>
          <w:i/>
          <w:sz w:val="16"/>
          <w:szCs w:val="16"/>
        </w:rPr>
      </w:pPr>
      <w:r w:rsidRPr="00B70960">
        <w:rPr>
          <w:i/>
          <w:sz w:val="16"/>
          <w:szCs w:val="16"/>
        </w:rPr>
        <w:t xml:space="preserve">NOTE: </w:t>
      </w:r>
      <w:r w:rsidR="00E73E24">
        <w:rPr>
          <w:i/>
          <w:sz w:val="16"/>
          <w:szCs w:val="16"/>
        </w:rPr>
        <w:t xml:space="preserve"> </w:t>
      </w:r>
      <w:r w:rsidRPr="00B70960">
        <w:rPr>
          <w:i/>
          <w:sz w:val="16"/>
          <w:szCs w:val="16"/>
        </w:rPr>
        <w:t>The 2016/17 Budget after Transfers reflects transfers as of March 8, 2017 to address needs during the 2016/17 biennium in line with Financial Regulation 5.5.</w:t>
      </w:r>
    </w:p>
    <w:p w:rsidR="00B64202" w:rsidRDefault="00B64202" w:rsidP="00B64202">
      <w:pPr>
        <w:pStyle w:val="ONUME"/>
        <w:numPr>
          <w:ilvl w:val="0"/>
          <w:numId w:val="0"/>
        </w:numPr>
      </w:pPr>
    </w:p>
    <w:p w:rsidR="00034D49" w:rsidRDefault="00034D49" w:rsidP="00034D49">
      <w:pPr>
        <w:pStyle w:val="ONUME"/>
      </w:pPr>
      <w:r>
        <w:t xml:space="preserve">The recruitment of the Director, IOD </w:t>
      </w:r>
      <w:r w:rsidR="00A66E51">
        <w:t>was</w:t>
      </w:r>
      <w:r>
        <w:t xml:space="preserve"> finalized, and the selected incumbent </w:t>
      </w:r>
      <w:r w:rsidR="00A66E51">
        <w:t>took</w:t>
      </w:r>
      <w:r>
        <w:t xml:space="preserve"> up office on February 1, 2017.</w:t>
      </w:r>
    </w:p>
    <w:p w:rsidR="00DE54E6" w:rsidRDefault="00DE54E6" w:rsidP="0002296B">
      <w:pPr>
        <w:pStyle w:val="ONUME"/>
      </w:pPr>
      <w:r w:rsidRPr="00FD13B6">
        <w:t xml:space="preserve">The recruitment process for a Head of Evaluation </w:t>
      </w:r>
      <w:r>
        <w:t xml:space="preserve">Section and </w:t>
      </w:r>
      <w:r w:rsidR="00A66E51">
        <w:t xml:space="preserve">an </w:t>
      </w:r>
      <w:r w:rsidR="0025317E">
        <w:t xml:space="preserve">Internal </w:t>
      </w:r>
      <w:r>
        <w:t xml:space="preserve">Auditor has been completed and the selected incumbents are likely to join by </w:t>
      </w:r>
      <w:r w:rsidR="00A077C3">
        <w:t xml:space="preserve">September </w:t>
      </w:r>
      <w:r>
        <w:t>1</w:t>
      </w:r>
      <w:r w:rsidR="00A077C3">
        <w:t>, 2017 and</w:t>
      </w:r>
      <w:r w:rsidR="00C72F9D">
        <w:t xml:space="preserve"> August 1, </w:t>
      </w:r>
      <w:r w:rsidR="00A077C3">
        <w:t>2017 respectively.</w:t>
      </w:r>
    </w:p>
    <w:p w:rsidR="00034D49" w:rsidRDefault="00034D49" w:rsidP="00034D49">
      <w:pPr>
        <w:pStyle w:val="ONUME"/>
      </w:pPr>
      <w:r>
        <w:t xml:space="preserve">Following the movement of </w:t>
      </w:r>
      <w:r w:rsidR="00A66E51">
        <w:t xml:space="preserve">the </w:t>
      </w:r>
      <w:r>
        <w:t>Head of Internal Audit Section to another Int</w:t>
      </w:r>
      <w:r w:rsidR="002355F5">
        <w:t>ernational Organization as Director</w:t>
      </w:r>
      <w:r>
        <w:t xml:space="preserve"> of Internal Oversight, the recruitment process for this post has been initiated.</w:t>
      </w:r>
    </w:p>
    <w:p w:rsidR="00E32ADE" w:rsidRPr="00E32ADE" w:rsidRDefault="001D2703" w:rsidP="00CA196F">
      <w:pPr>
        <w:pStyle w:val="Heading2"/>
      </w:pPr>
      <w:r>
        <w:t>T</w:t>
      </w:r>
      <w:r w:rsidR="00E32ADE" w:rsidRPr="00E32ADE">
        <w:t>raining</w:t>
      </w:r>
    </w:p>
    <w:p w:rsidR="001D2703" w:rsidRDefault="00A66E51" w:rsidP="00503788">
      <w:pPr>
        <w:pStyle w:val="ONUME"/>
      </w:pPr>
      <w:r>
        <w:t>As is e</w:t>
      </w:r>
      <w:r w:rsidR="00E32ADE" w:rsidRPr="00E32ADE">
        <w:t xml:space="preserve">ssential for </w:t>
      </w:r>
      <w:r>
        <w:t xml:space="preserve">the </w:t>
      </w:r>
      <w:r w:rsidR="00E32ADE" w:rsidRPr="00E32ADE">
        <w:t xml:space="preserve">continued professional development of its staff, and in accordance with WIPO training policy, IOD </w:t>
      </w:r>
      <w:r w:rsidR="003A4009">
        <w:t xml:space="preserve">staff attended </w:t>
      </w:r>
      <w:r w:rsidR="00521A52">
        <w:t>various</w:t>
      </w:r>
      <w:r w:rsidR="003A4009">
        <w:t xml:space="preserve"> training activities to acquire new knowledge, technical skills </w:t>
      </w:r>
      <w:r w:rsidR="00E32ADE" w:rsidRPr="00E32ADE">
        <w:t xml:space="preserve">and other competencies </w:t>
      </w:r>
      <w:r w:rsidR="003A4009">
        <w:t>to increase IOD</w:t>
      </w:r>
      <w:r w:rsidR="00B324A9">
        <w:t>’</w:t>
      </w:r>
      <w:r w:rsidR="003A4009">
        <w:t xml:space="preserve">s operational effectiveness and efficiency in undertaking oversight assignments. </w:t>
      </w:r>
      <w:r w:rsidR="00E32ADE" w:rsidRPr="00E32ADE">
        <w:t xml:space="preserve"> </w:t>
      </w:r>
    </w:p>
    <w:p w:rsidR="003E3840" w:rsidRPr="00E32ADE" w:rsidRDefault="00E647AC" w:rsidP="00FF6721">
      <w:pPr>
        <w:pStyle w:val="ONUME"/>
      </w:pPr>
      <w:r>
        <w:t>O</w:t>
      </w:r>
      <w:r w:rsidR="003E3840">
        <w:t xml:space="preserve">n average, </w:t>
      </w:r>
      <w:r w:rsidR="00A66E51">
        <w:t xml:space="preserve">each </w:t>
      </w:r>
      <w:r w:rsidR="003E3840">
        <w:t xml:space="preserve">IOD staff members attended </w:t>
      </w:r>
      <w:r w:rsidR="00507279">
        <w:t>10</w:t>
      </w:r>
      <w:r w:rsidR="003E3840">
        <w:t xml:space="preserve"> days of training including:  </w:t>
      </w:r>
      <w:r w:rsidR="003A4009">
        <w:t xml:space="preserve">management of </w:t>
      </w:r>
      <w:r w:rsidR="00A66E51">
        <w:t xml:space="preserve">the </w:t>
      </w:r>
      <w:r w:rsidR="003A4009">
        <w:t>audit function,</w:t>
      </w:r>
      <w:r w:rsidR="00E32ADE" w:rsidRPr="00E32ADE">
        <w:t xml:space="preserve"> fraud prevention and detection, </w:t>
      </w:r>
      <w:r w:rsidR="001E109C">
        <w:t xml:space="preserve">investigative research techniques, </w:t>
      </w:r>
      <w:r w:rsidR="001D2703">
        <w:t xml:space="preserve">data analytics, </w:t>
      </w:r>
      <w:r w:rsidR="001E109C">
        <w:t xml:space="preserve">root-cause analysis, </w:t>
      </w:r>
      <w:r w:rsidR="00DE54E6">
        <w:t xml:space="preserve">digital data capturing, cyber security, </w:t>
      </w:r>
      <w:r w:rsidR="001D2703">
        <w:t>presentation/facilitations skills and audit planning</w:t>
      </w:r>
      <w:r w:rsidR="00E32ADE" w:rsidRPr="00E32ADE">
        <w:t>.</w:t>
      </w:r>
      <w:r w:rsidR="003E3840" w:rsidRPr="003E3840">
        <w:t xml:space="preserve"> </w:t>
      </w:r>
      <w:r w:rsidR="003E3840">
        <w:t xml:space="preserve"> </w:t>
      </w:r>
    </w:p>
    <w:p w:rsidR="00E32ADE" w:rsidRDefault="00E32ADE" w:rsidP="003E3840">
      <w:pPr>
        <w:pStyle w:val="ONUME"/>
        <w:numPr>
          <w:ilvl w:val="0"/>
          <w:numId w:val="0"/>
        </w:numPr>
      </w:pPr>
    </w:p>
    <w:p w:rsidR="00E32ADE" w:rsidRPr="00E32ADE" w:rsidRDefault="00E32ADE" w:rsidP="00E32ADE">
      <w:pPr>
        <w:keepLines/>
        <w:tabs>
          <w:tab w:val="left" w:pos="5529"/>
        </w:tabs>
        <w:ind w:firstLine="5529"/>
      </w:pPr>
      <w:r w:rsidRPr="00E32ADE">
        <w:t>[Annexes follow]</w:t>
      </w:r>
    </w:p>
    <w:p w:rsidR="00D8524D" w:rsidRDefault="00D8524D" w:rsidP="00846A49">
      <w:pPr>
        <w:keepLines/>
        <w:tabs>
          <w:tab w:val="left" w:pos="5529"/>
        </w:tabs>
        <w:ind w:firstLine="5529"/>
      </w:pPr>
    </w:p>
    <w:p w:rsidR="00C71859" w:rsidRDefault="00C71859" w:rsidP="00C71859">
      <w:pPr>
        <w:keepLines/>
        <w:tabs>
          <w:tab w:val="left" w:pos="5529"/>
        </w:tabs>
      </w:pPr>
    </w:p>
    <w:p w:rsidR="00D8524D" w:rsidRDefault="00D8524D" w:rsidP="00D8524D">
      <w:pPr>
        <w:pStyle w:val="ONUME"/>
        <w:keepLines/>
        <w:numPr>
          <w:ilvl w:val="0"/>
          <w:numId w:val="0"/>
        </w:numPr>
        <w:jc w:val="right"/>
        <w:sectPr w:rsidR="00D8524D" w:rsidSect="005C1F3E">
          <w:headerReference w:type="default" r:id="rId19"/>
          <w:headerReference w:type="first" r:id="rId20"/>
          <w:endnotePr>
            <w:numFmt w:val="decimal"/>
          </w:endnotePr>
          <w:pgSz w:w="11907" w:h="16840" w:code="9"/>
          <w:pgMar w:top="1305" w:right="1134" w:bottom="1418" w:left="1418" w:header="510" w:footer="1021" w:gutter="0"/>
          <w:pgNumType w:start="1"/>
          <w:cols w:space="720"/>
          <w:titlePg/>
          <w:docGrid w:linePitch="299"/>
        </w:sectPr>
      </w:pPr>
    </w:p>
    <w:p w:rsidR="00880153" w:rsidRDefault="00880153" w:rsidP="00880153">
      <w:pPr>
        <w:keepLines/>
        <w:jc w:val="center"/>
        <w:rPr>
          <w:b/>
          <w:bCs/>
        </w:rPr>
      </w:pPr>
      <w:r w:rsidRPr="00DA5DBB">
        <w:rPr>
          <w:b/>
          <w:bCs/>
        </w:rPr>
        <w:lastRenderedPageBreak/>
        <w:t xml:space="preserve">List of </w:t>
      </w:r>
      <w:r>
        <w:rPr>
          <w:b/>
          <w:bCs/>
        </w:rPr>
        <w:t>IOD</w:t>
      </w:r>
      <w:r w:rsidRPr="00DA5DBB">
        <w:rPr>
          <w:b/>
          <w:bCs/>
        </w:rPr>
        <w:t xml:space="preserve"> Reports</w:t>
      </w:r>
      <w:r w:rsidRPr="00DA5DBB">
        <w:rPr>
          <w:b/>
          <w:bCs/>
        </w:rPr>
        <w:br/>
        <w:t>July 1, 201</w:t>
      </w:r>
      <w:r w:rsidR="002D78A6">
        <w:rPr>
          <w:b/>
          <w:bCs/>
        </w:rPr>
        <w:t>6</w:t>
      </w:r>
      <w:r w:rsidRPr="00DA5DBB">
        <w:rPr>
          <w:b/>
          <w:bCs/>
        </w:rPr>
        <w:t xml:space="preserve"> to June 30, 201</w:t>
      </w:r>
      <w:r w:rsidR="002D78A6">
        <w:rPr>
          <w:b/>
          <w:bCs/>
        </w:rPr>
        <w:t>7</w:t>
      </w:r>
    </w:p>
    <w:p w:rsidR="00880153" w:rsidRPr="00DA5DBB" w:rsidRDefault="00880153" w:rsidP="00880153">
      <w:pPr>
        <w:keepLines/>
        <w:jc w:val="center"/>
        <w:rPr>
          <w:b/>
          <w:bCs/>
        </w:rPr>
      </w:pPr>
    </w:p>
    <w:tbl>
      <w:tblPr>
        <w:tblStyle w:val="TableGrid"/>
        <w:tblW w:w="0" w:type="auto"/>
        <w:tblLook w:val="04A0" w:firstRow="1" w:lastRow="0" w:firstColumn="1" w:lastColumn="0" w:noHBand="0" w:noVBand="1"/>
      </w:tblPr>
      <w:tblGrid>
        <w:gridCol w:w="7371"/>
        <w:gridCol w:w="2092"/>
      </w:tblGrid>
      <w:tr w:rsidR="00880153" w:rsidRPr="008D5D49" w:rsidTr="00E73E24">
        <w:trPr>
          <w:trHeight w:val="340"/>
        </w:trPr>
        <w:tc>
          <w:tcPr>
            <w:tcW w:w="7371" w:type="dxa"/>
            <w:vAlign w:val="center"/>
          </w:tcPr>
          <w:p w:rsidR="00880153" w:rsidRPr="00F73A5E" w:rsidRDefault="00880153" w:rsidP="00E73E24">
            <w:pPr>
              <w:keepLines/>
              <w:ind w:left="34"/>
            </w:pPr>
            <w:r w:rsidRPr="00F73A5E">
              <w:t>Audit of</w:t>
            </w:r>
            <w:r>
              <w:t xml:space="preserve"> </w:t>
            </w:r>
            <w:r w:rsidR="002D78A6">
              <w:t>WIPO Lex</w:t>
            </w:r>
          </w:p>
        </w:tc>
        <w:tc>
          <w:tcPr>
            <w:tcW w:w="2092" w:type="dxa"/>
            <w:vAlign w:val="center"/>
          </w:tcPr>
          <w:p w:rsidR="00880153" w:rsidRPr="00F73A5E" w:rsidRDefault="00880153" w:rsidP="002D78A6">
            <w:pPr>
              <w:keepLines/>
              <w:ind w:hanging="845"/>
            </w:pPr>
            <w:r w:rsidRPr="00F73A5E">
              <w:t>IA 201</w:t>
            </w:r>
            <w:r w:rsidR="002D78A6">
              <w:t>6-07</w:t>
            </w:r>
          </w:p>
        </w:tc>
      </w:tr>
      <w:tr w:rsidR="00880153" w:rsidRPr="008D5D49" w:rsidTr="00E73E24">
        <w:trPr>
          <w:trHeight w:val="340"/>
        </w:trPr>
        <w:tc>
          <w:tcPr>
            <w:tcW w:w="7371" w:type="dxa"/>
            <w:vAlign w:val="center"/>
          </w:tcPr>
          <w:p w:rsidR="00880153" w:rsidRPr="00F73A5E" w:rsidRDefault="00880153" w:rsidP="00E73E24">
            <w:pPr>
              <w:keepLines/>
              <w:ind w:left="34"/>
            </w:pPr>
            <w:r w:rsidRPr="00F73A5E">
              <w:t xml:space="preserve">Audit of </w:t>
            </w:r>
            <w:r w:rsidR="002D78A6">
              <w:t>Project Management</w:t>
            </w:r>
          </w:p>
        </w:tc>
        <w:tc>
          <w:tcPr>
            <w:tcW w:w="2092" w:type="dxa"/>
            <w:vAlign w:val="center"/>
          </w:tcPr>
          <w:p w:rsidR="00880153" w:rsidRPr="00F73A5E" w:rsidRDefault="00880153" w:rsidP="002D78A6">
            <w:pPr>
              <w:keepLines/>
              <w:ind w:hanging="845"/>
            </w:pPr>
            <w:r w:rsidRPr="00F73A5E">
              <w:t>IA 201</w:t>
            </w:r>
            <w:r w:rsidR="002D78A6">
              <w:t>6-04</w:t>
            </w:r>
          </w:p>
        </w:tc>
      </w:tr>
      <w:tr w:rsidR="00880153" w:rsidRPr="008D5D49" w:rsidTr="00E73E24">
        <w:trPr>
          <w:trHeight w:val="340"/>
        </w:trPr>
        <w:tc>
          <w:tcPr>
            <w:tcW w:w="7371" w:type="dxa"/>
            <w:vAlign w:val="center"/>
          </w:tcPr>
          <w:p w:rsidR="00880153" w:rsidRPr="00F73A5E" w:rsidRDefault="00880153" w:rsidP="00E73E24">
            <w:pPr>
              <w:keepLines/>
              <w:ind w:left="34"/>
            </w:pPr>
            <w:r w:rsidRPr="00F73A5E">
              <w:t xml:space="preserve">Audit of </w:t>
            </w:r>
            <w:r w:rsidR="002D78A6">
              <w:t>Enterprise Risk Management</w:t>
            </w:r>
          </w:p>
        </w:tc>
        <w:tc>
          <w:tcPr>
            <w:tcW w:w="2092" w:type="dxa"/>
            <w:vAlign w:val="center"/>
          </w:tcPr>
          <w:p w:rsidR="00880153" w:rsidRPr="00F73A5E" w:rsidRDefault="00880153" w:rsidP="002D78A6">
            <w:pPr>
              <w:keepLines/>
              <w:ind w:hanging="845"/>
            </w:pPr>
            <w:r>
              <w:t>IA 201</w:t>
            </w:r>
            <w:r w:rsidR="002D78A6">
              <w:t>6-08</w:t>
            </w:r>
          </w:p>
        </w:tc>
      </w:tr>
      <w:tr w:rsidR="00880153" w:rsidRPr="008D5D49" w:rsidTr="00E73E24">
        <w:trPr>
          <w:trHeight w:val="340"/>
        </w:trPr>
        <w:tc>
          <w:tcPr>
            <w:tcW w:w="7371" w:type="dxa"/>
            <w:vAlign w:val="center"/>
          </w:tcPr>
          <w:p w:rsidR="00880153" w:rsidRPr="00F73A5E" w:rsidRDefault="00880153" w:rsidP="00E73E24">
            <w:pPr>
              <w:keepLines/>
              <w:ind w:left="34"/>
            </w:pPr>
            <w:r w:rsidRPr="00F73A5E">
              <w:t xml:space="preserve">Audit of </w:t>
            </w:r>
            <w:r w:rsidR="002D78A6">
              <w:t>WIPO</w:t>
            </w:r>
            <w:r w:rsidR="00B324A9">
              <w:t>’</w:t>
            </w:r>
            <w:r w:rsidR="002D78A6">
              <w:t>s Ethics Framework</w:t>
            </w:r>
          </w:p>
        </w:tc>
        <w:tc>
          <w:tcPr>
            <w:tcW w:w="2092" w:type="dxa"/>
            <w:vAlign w:val="center"/>
          </w:tcPr>
          <w:p w:rsidR="00880153" w:rsidRPr="00F73A5E" w:rsidRDefault="00880153" w:rsidP="00EC3D5D">
            <w:pPr>
              <w:keepLines/>
              <w:ind w:hanging="845"/>
            </w:pPr>
            <w:r>
              <w:t>IA 2015-04</w:t>
            </w:r>
          </w:p>
        </w:tc>
      </w:tr>
      <w:tr w:rsidR="00880153" w:rsidRPr="008D5D49" w:rsidTr="00E73E24">
        <w:trPr>
          <w:trHeight w:val="340"/>
        </w:trPr>
        <w:tc>
          <w:tcPr>
            <w:tcW w:w="7371" w:type="dxa"/>
            <w:vAlign w:val="center"/>
          </w:tcPr>
          <w:p w:rsidR="00880153" w:rsidRPr="00F73A5E" w:rsidRDefault="002D78A6" w:rsidP="00E73E24">
            <w:pPr>
              <w:keepLines/>
              <w:ind w:left="34"/>
            </w:pPr>
            <w:r>
              <w:t>Audit of Madrid Registry</w:t>
            </w:r>
          </w:p>
        </w:tc>
        <w:tc>
          <w:tcPr>
            <w:tcW w:w="2092" w:type="dxa"/>
            <w:vAlign w:val="center"/>
          </w:tcPr>
          <w:p w:rsidR="00880153" w:rsidRPr="00F73A5E" w:rsidRDefault="00880153" w:rsidP="002D78A6">
            <w:pPr>
              <w:keepLines/>
              <w:ind w:hanging="845"/>
            </w:pPr>
            <w:r>
              <w:t>IA 2016</w:t>
            </w:r>
            <w:r w:rsidRPr="00F73A5E">
              <w:t>-0</w:t>
            </w:r>
            <w:r w:rsidR="002D78A6">
              <w:t>3</w:t>
            </w:r>
          </w:p>
        </w:tc>
      </w:tr>
      <w:tr w:rsidR="00880153" w:rsidRPr="008D5D49" w:rsidTr="00E73E24">
        <w:trPr>
          <w:trHeight w:val="340"/>
        </w:trPr>
        <w:tc>
          <w:tcPr>
            <w:tcW w:w="7371" w:type="dxa"/>
            <w:vAlign w:val="center"/>
          </w:tcPr>
          <w:p w:rsidR="00880153" w:rsidRPr="00F73A5E" w:rsidRDefault="00880153" w:rsidP="00E73E24">
            <w:pPr>
              <w:keepLines/>
              <w:ind w:left="34"/>
            </w:pPr>
            <w:r>
              <w:t xml:space="preserve">Audit of </w:t>
            </w:r>
            <w:r w:rsidR="00286D46">
              <w:t>Payroll</w:t>
            </w:r>
          </w:p>
        </w:tc>
        <w:tc>
          <w:tcPr>
            <w:tcW w:w="2092" w:type="dxa"/>
            <w:vAlign w:val="center"/>
          </w:tcPr>
          <w:p w:rsidR="00880153" w:rsidRPr="00F73A5E" w:rsidRDefault="00880153" w:rsidP="00286D46">
            <w:pPr>
              <w:keepLines/>
              <w:ind w:hanging="845"/>
            </w:pPr>
            <w:r>
              <w:t>IA 201</w:t>
            </w:r>
            <w:r w:rsidR="00286D46">
              <w:t>7-05</w:t>
            </w:r>
          </w:p>
        </w:tc>
      </w:tr>
      <w:tr w:rsidR="00A613D8" w:rsidRPr="008D5D49" w:rsidTr="00EC3D5D">
        <w:trPr>
          <w:trHeight w:val="340"/>
        </w:trPr>
        <w:tc>
          <w:tcPr>
            <w:tcW w:w="7371" w:type="dxa"/>
            <w:vAlign w:val="center"/>
          </w:tcPr>
          <w:p w:rsidR="00A613D8" w:rsidRDefault="00A613D8" w:rsidP="00EC3D5D">
            <w:pPr>
              <w:ind w:left="34"/>
            </w:pPr>
            <w:r>
              <w:t>Review of Procurement Process, Policies and Procedures</w:t>
            </w:r>
          </w:p>
        </w:tc>
        <w:tc>
          <w:tcPr>
            <w:tcW w:w="2092" w:type="dxa"/>
            <w:vAlign w:val="center"/>
          </w:tcPr>
          <w:p w:rsidR="00A613D8" w:rsidRDefault="00A613D8" w:rsidP="00EC3D5D">
            <w:pPr>
              <w:keepLines/>
              <w:ind w:hanging="845"/>
            </w:pPr>
          </w:p>
        </w:tc>
      </w:tr>
      <w:tr w:rsidR="00880153" w:rsidRPr="008D5D49" w:rsidTr="00EC3D5D">
        <w:trPr>
          <w:trHeight w:val="340"/>
        </w:trPr>
        <w:tc>
          <w:tcPr>
            <w:tcW w:w="7371" w:type="dxa"/>
            <w:vAlign w:val="center"/>
          </w:tcPr>
          <w:p w:rsidR="00880153" w:rsidRDefault="00286D46" w:rsidP="00EC3D5D">
            <w:pPr>
              <w:ind w:left="34"/>
            </w:pPr>
            <w:r>
              <w:t>2016 Continuous Auditing Memoranda</w:t>
            </w:r>
          </w:p>
        </w:tc>
        <w:tc>
          <w:tcPr>
            <w:tcW w:w="2092" w:type="dxa"/>
            <w:vAlign w:val="center"/>
          </w:tcPr>
          <w:p w:rsidR="00286D46" w:rsidRDefault="00286D46" w:rsidP="00EC3D5D">
            <w:pPr>
              <w:keepLines/>
              <w:ind w:hanging="845"/>
            </w:pPr>
            <w:r>
              <w:t>CA 2016-01</w:t>
            </w:r>
          </w:p>
          <w:p w:rsidR="00880153" w:rsidRPr="00381AB7" w:rsidRDefault="00286D46" w:rsidP="00EC3D5D">
            <w:pPr>
              <w:keepLines/>
              <w:ind w:hanging="845"/>
            </w:pPr>
            <w:r>
              <w:t>CA 2016-02</w:t>
            </w:r>
          </w:p>
        </w:tc>
      </w:tr>
      <w:tr w:rsidR="00286D46" w:rsidRPr="008D5D49" w:rsidTr="00EC3D5D">
        <w:trPr>
          <w:trHeight w:val="340"/>
        </w:trPr>
        <w:tc>
          <w:tcPr>
            <w:tcW w:w="7371" w:type="dxa"/>
            <w:vAlign w:val="center"/>
          </w:tcPr>
          <w:p w:rsidR="00286D46" w:rsidRDefault="00286D46" w:rsidP="002D78A6">
            <w:pPr>
              <w:ind w:left="34"/>
            </w:pPr>
            <w:r>
              <w:t>2017 Continuous Auditing Memorandum</w:t>
            </w:r>
          </w:p>
        </w:tc>
        <w:tc>
          <w:tcPr>
            <w:tcW w:w="2092" w:type="dxa"/>
            <w:vAlign w:val="center"/>
          </w:tcPr>
          <w:p w:rsidR="00286D46" w:rsidRPr="00381AB7" w:rsidRDefault="00286D46" w:rsidP="002D78A6">
            <w:pPr>
              <w:keepLines/>
              <w:ind w:hanging="845"/>
            </w:pPr>
            <w:r>
              <w:t>CA 2017-01</w:t>
            </w:r>
          </w:p>
        </w:tc>
      </w:tr>
      <w:tr w:rsidR="00880153" w:rsidRPr="008D5D49" w:rsidTr="00EC3D5D">
        <w:trPr>
          <w:trHeight w:val="340"/>
        </w:trPr>
        <w:tc>
          <w:tcPr>
            <w:tcW w:w="7371" w:type="dxa"/>
            <w:vAlign w:val="center"/>
          </w:tcPr>
          <w:p w:rsidR="00880153" w:rsidRPr="00381AB7" w:rsidRDefault="00880153" w:rsidP="002D78A6">
            <w:pPr>
              <w:ind w:left="34"/>
            </w:pPr>
            <w:r>
              <w:t xml:space="preserve">Evaluation of </w:t>
            </w:r>
            <w:r w:rsidR="002D78A6">
              <w:t xml:space="preserve">the </w:t>
            </w:r>
            <w:r w:rsidR="002D78A6" w:rsidRPr="002D78A6">
              <w:t>International Union for the Protection of New Varieties of Plants (UPOV)</w:t>
            </w:r>
          </w:p>
        </w:tc>
        <w:tc>
          <w:tcPr>
            <w:tcW w:w="2092" w:type="dxa"/>
            <w:vAlign w:val="center"/>
          </w:tcPr>
          <w:p w:rsidR="00880153" w:rsidRPr="008D5D49" w:rsidRDefault="00880153" w:rsidP="002D78A6">
            <w:pPr>
              <w:keepLines/>
              <w:ind w:hanging="845"/>
              <w:rPr>
                <w:highlight w:val="yellow"/>
              </w:rPr>
            </w:pPr>
            <w:r w:rsidRPr="00381AB7">
              <w:t>EVAL 201</w:t>
            </w:r>
            <w:r w:rsidR="002D78A6">
              <w:t>6-01</w:t>
            </w:r>
          </w:p>
        </w:tc>
      </w:tr>
      <w:tr w:rsidR="00880153" w:rsidRPr="008D5D49" w:rsidTr="00EC3D5D">
        <w:trPr>
          <w:trHeight w:val="340"/>
        </w:trPr>
        <w:tc>
          <w:tcPr>
            <w:tcW w:w="7371" w:type="dxa"/>
            <w:vAlign w:val="center"/>
          </w:tcPr>
          <w:p w:rsidR="00880153" w:rsidRDefault="00880153" w:rsidP="00A613D8">
            <w:pPr>
              <w:ind w:left="34"/>
            </w:pPr>
            <w:r>
              <w:t>Evaluation of</w:t>
            </w:r>
            <w:r w:rsidR="00A613D8">
              <w:t xml:space="preserve"> Program 13:</w:t>
            </w:r>
            <w:r>
              <w:t xml:space="preserve"> </w:t>
            </w:r>
            <w:r w:rsidR="00D64007">
              <w:t xml:space="preserve"> </w:t>
            </w:r>
            <w:r w:rsidR="002D78A6">
              <w:t xml:space="preserve">WIPO Global Databases </w:t>
            </w:r>
          </w:p>
        </w:tc>
        <w:tc>
          <w:tcPr>
            <w:tcW w:w="2092" w:type="dxa"/>
            <w:vAlign w:val="center"/>
          </w:tcPr>
          <w:p w:rsidR="00880153" w:rsidRPr="008D5D49" w:rsidRDefault="00880153" w:rsidP="002D78A6">
            <w:pPr>
              <w:keepLines/>
              <w:ind w:hanging="845"/>
              <w:rPr>
                <w:highlight w:val="yellow"/>
              </w:rPr>
            </w:pPr>
            <w:r>
              <w:t>EVAL 201</w:t>
            </w:r>
            <w:r w:rsidR="002D78A6">
              <w:t>6-05</w:t>
            </w:r>
          </w:p>
        </w:tc>
      </w:tr>
      <w:tr w:rsidR="00A613D8" w:rsidRPr="008D5D49" w:rsidTr="00EC3D5D">
        <w:trPr>
          <w:trHeight w:val="340"/>
        </w:trPr>
        <w:tc>
          <w:tcPr>
            <w:tcW w:w="7371" w:type="dxa"/>
            <w:vAlign w:val="center"/>
          </w:tcPr>
          <w:p w:rsidR="00A613D8" w:rsidRDefault="00A613D8" w:rsidP="002D78A6">
            <w:pPr>
              <w:ind w:left="34"/>
            </w:pPr>
            <w:r>
              <w:t xml:space="preserve">Evaluation of Program 12: </w:t>
            </w:r>
            <w:r w:rsidR="00D64007">
              <w:t xml:space="preserve"> </w:t>
            </w:r>
            <w:r>
              <w:t>International Classifications and Standards</w:t>
            </w:r>
          </w:p>
        </w:tc>
        <w:tc>
          <w:tcPr>
            <w:tcW w:w="2092" w:type="dxa"/>
            <w:vAlign w:val="center"/>
          </w:tcPr>
          <w:p w:rsidR="00A613D8" w:rsidRDefault="00A613D8" w:rsidP="00A613D8">
            <w:pPr>
              <w:keepLines/>
              <w:ind w:hanging="845"/>
            </w:pPr>
            <w:r>
              <w:t>EVAL 2017-02</w:t>
            </w:r>
          </w:p>
        </w:tc>
      </w:tr>
      <w:tr w:rsidR="00EC3D5D" w:rsidRPr="008D5D49" w:rsidTr="00EC3D5D">
        <w:trPr>
          <w:trHeight w:val="340"/>
        </w:trPr>
        <w:tc>
          <w:tcPr>
            <w:tcW w:w="7371" w:type="dxa"/>
            <w:vAlign w:val="center"/>
          </w:tcPr>
          <w:p w:rsidR="00EC3D5D" w:rsidRDefault="00EC3D5D" w:rsidP="002D78A6">
            <w:pPr>
              <w:ind w:left="34"/>
            </w:pPr>
            <w:r>
              <w:t>MIR</w:t>
            </w:r>
            <w:r w:rsidRPr="00EC3D5D">
              <w:t xml:space="preserve"> </w:t>
            </w:r>
            <w:r w:rsidR="002D78A6">
              <w:t>on the Printing Plant</w:t>
            </w:r>
          </w:p>
        </w:tc>
        <w:tc>
          <w:tcPr>
            <w:tcW w:w="2092" w:type="dxa"/>
            <w:vAlign w:val="center"/>
          </w:tcPr>
          <w:p w:rsidR="00EC3D5D" w:rsidRPr="00FC57A9" w:rsidRDefault="00EC3D5D" w:rsidP="002D78A6">
            <w:pPr>
              <w:keepLines/>
              <w:ind w:hanging="845"/>
            </w:pPr>
            <w:r>
              <w:t>MIR 201</w:t>
            </w:r>
            <w:r w:rsidR="002D78A6">
              <w:t>6-01</w:t>
            </w:r>
          </w:p>
        </w:tc>
      </w:tr>
      <w:tr w:rsidR="00EC3D5D" w:rsidRPr="008D5D49" w:rsidTr="0096577B">
        <w:trPr>
          <w:trHeight w:val="340"/>
        </w:trPr>
        <w:tc>
          <w:tcPr>
            <w:tcW w:w="7371" w:type="dxa"/>
            <w:tcBorders>
              <w:bottom w:val="single" w:sz="4" w:space="0" w:color="auto"/>
            </w:tcBorders>
            <w:vAlign w:val="center"/>
          </w:tcPr>
          <w:p w:rsidR="00EC3D5D" w:rsidRDefault="00EC3D5D" w:rsidP="0096577B">
            <w:pPr>
              <w:ind w:left="34"/>
            </w:pPr>
            <w:r w:rsidRPr="00EC3D5D">
              <w:t xml:space="preserve">MIR on </w:t>
            </w:r>
            <w:r w:rsidR="0096577B">
              <w:t>R</w:t>
            </w:r>
            <w:r w:rsidR="002D78A6">
              <w:t xml:space="preserve">ecruitment </w:t>
            </w:r>
            <w:r w:rsidR="0096577B">
              <w:t>P</w:t>
            </w:r>
            <w:r w:rsidR="002D78A6">
              <w:t>rocedures</w:t>
            </w:r>
          </w:p>
        </w:tc>
        <w:tc>
          <w:tcPr>
            <w:tcW w:w="2092" w:type="dxa"/>
            <w:tcBorders>
              <w:bottom w:val="single" w:sz="4" w:space="0" w:color="auto"/>
            </w:tcBorders>
            <w:vAlign w:val="center"/>
          </w:tcPr>
          <w:p w:rsidR="00EC3D5D" w:rsidRPr="00FC57A9" w:rsidRDefault="00EC3D5D" w:rsidP="002D78A6">
            <w:pPr>
              <w:keepLines/>
              <w:ind w:hanging="845"/>
            </w:pPr>
            <w:r>
              <w:t>MIR 201</w:t>
            </w:r>
            <w:r w:rsidR="002D78A6">
              <w:t>6-09</w:t>
            </w:r>
          </w:p>
        </w:tc>
      </w:tr>
      <w:tr w:rsidR="00EA5E97" w:rsidRPr="008D5D49" w:rsidTr="0096577B">
        <w:trPr>
          <w:trHeight w:val="340"/>
        </w:trPr>
        <w:tc>
          <w:tcPr>
            <w:tcW w:w="7371" w:type="dxa"/>
            <w:shd w:val="clear" w:color="auto" w:fill="auto"/>
            <w:vAlign w:val="center"/>
          </w:tcPr>
          <w:p w:rsidR="00EA5E97" w:rsidRPr="00EC3D5D" w:rsidRDefault="00EA5E97" w:rsidP="00EA5E97">
            <w:pPr>
              <w:ind w:left="34"/>
            </w:pPr>
            <w:r>
              <w:t>MIR on Home Leave Entitlement</w:t>
            </w:r>
          </w:p>
        </w:tc>
        <w:tc>
          <w:tcPr>
            <w:tcW w:w="2092" w:type="dxa"/>
            <w:shd w:val="clear" w:color="auto" w:fill="auto"/>
            <w:vAlign w:val="center"/>
          </w:tcPr>
          <w:p w:rsidR="00EA5E97" w:rsidRDefault="00EA5E97" w:rsidP="002D78A6">
            <w:pPr>
              <w:keepLines/>
              <w:ind w:hanging="845"/>
            </w:pPr>
            <w:r>
              <w:t>MIR 2017-01</w:t>
            </w:r>
          </w:p>
        </w:tc>
      </w:tr>
    </w:tbl>
    <w:p w:rsidR="00880153" w:rsidRDefault="00880153" w:rsidP="00880153">
      <w:pPr>
        <w:keepLines/>
        <w:ind w:left="5533"/>
        <w:jc w:val="right"/>
      </w:pPr>
    </w:p>
    <w:p w:rsidR="00880153" w:rsidRDefault="00880153" w:rsidP="00880153">
      <w:pPr>
        <w:keepLines/>
        <w:ind w:left="5533"/>
      </w:pPr>
    </w:p>
    <w:p w:rsidR="00DF27E3" w:rsidRDefault="00DF27E3" w:rsidP="00DF27E3">
      <w:pPr>
        <w:keepLines/>
      </w:pPr>
    </w:p>
    <w:p w:rsidR="00DF27E3" w:rsidRDefault="00DF27E3" w:rsidP="00DF27E3">
      <w:pPr>
        <w:keepLines/>
        <w:ind w:left="5533"/>
      </w:pPr>
    </w:p>
    <w:p w:rsidR="00DF27E3" w:rsidRDefault="00DF27E3" w:rsidP="00DF27E3">
      <w:pPr>
        <w:keepLines/>
        <w:ind w:left="5533"/>
      </w:pPr>
      <w:r w:rsidRPr="00DA5DBB">
        <w:t>[Annex II follows]</w:t>
      </w:r>
    </w:p>
    <w:p w:rsidR="00DF27E3" w:rsidRDefault="00DF27E3" w:rsidP="00DF27E3">
      <w:pPr>
        <w:keepLines/>
      </w:pPr>
    </w:p>
    <w:p w:rsidR="00DF27E3" w:rsidRDefault="00DF27E3" w:rsidP="00DF27E3">
      <w:pPr>
        <w:keepLines/>
        <w:sectPr w:rsidR="00DF27E3" w:rsidSect="00E365E6">
          <w:headerReference w:type="first" r:id="rId21"/>
          <w:footnotePr>
            <w:numRestart w:val="eachPage"/>
          </w:footnotePr>
          <w:endnotePr>
            <w:numFmt w:val="decimal"/>
          </w:endnotePr>
          <w:pgSz w:w="11907" w:h="16840" w:code="9"/>
          <w:pgMar w:top="1305" w:right="1134" w:bottom="1418" w:left="1418" w:header="510" w:footer="1021" w:gutter="0"/>
          <w:cols w:space="720"/>
          <w:titlePg/>
          <w:docGrid w:linePitch="299"/>
        </w:sectPr>
      </w:pPr>
    </w:p>
    <w:p w:rsidR="00880153" w:rsidRPr="00DA5DBB" w:rsidRDefault="00880153" w:rsidP="00880153">
      <w:pPr>
        <w:keepLines/>
        <w:jc w:val="center"/>
        <w:rPr>
          <w:b/>
          <w:bCs/>
        </w:rPr>
      </w:pPr>
      <w:r w:rsidRPr="00DA5DBB">
        <w:rPr>
          <w:b/>
          <w:bCs/>
        </w:rPr>
        <w:lastRenderedPageBreak/>
        <w:t xml:space="preserve">LIST OF </w:t>
      </w:r>
      <w:r>
        <w:rPr>
          <w:b/>
          <w:bCs/>
        </w:rPr>
        <w:t>IOD</w:t>
      </w:r>
      <w:r w:rsidRPr="00DA5DBB">
        <w:rPr>
          <w:b/>
          <w:bCs/>
        </w:rPr>
        <w:t xml:space="preserve"> CONSULTING AND ADVISORY ACTIVITIES</w:t>
      </w:r>
    </w:p>
    <w:p w:rsidR="00880153" w:rsidRPr="00DA5DBB" w:rsidRDefault="00880153" w:rsidP="00880153">
      <w:pPr>
        <w:keepLines/>
        <w:jc w:val="center"/>
        <w:rPr>
          <w:b/>
          <w:bCs/>
        </w:rPr>
      </w:pPr>
    </w:p>
    <w:p w:rsidR="00880153" w:rsidRDefault="00880153" w:rsidP="00880153">
      <w:pPr>
        <w:keepLines/>
        <w:tabs>
          <w:tab w:val="left" w:pos="1134"/>
        </w:tabs>
        <w:spacing w:line="360" w:lineRule="auto"/>
      </w:pPr>
    </w:p>
    <w:p w:rsidR="00286D46" w:rsidRDefault="00286D46" w:rsidP="00880153">
      <w:pPr>
        <w:keepLines/>
        <w:numPr>
          <w:ilvl w:val="0"/>
          <w:numId w:val="4"/>
        </w:numPr>
        <w:tabs>
          <w:tab w:val="left" w:pos="1134"/>
        </w:tabs>
        <w:spacing w:line="360" w:lineRule="auto"/>
      </w:pPr>
      <w:r>
        <w:t>Office Instruction on Events and Hospitality</w:t>
      </w:r>
    </w:p>
    <w:p w:rsidR="00880153" w:rsidRDefault="00286D46" w:rsidP="00880153">
      <w:pPr>
        <w:keepLines/>
        <w:numPr>
          <w:ilvl w:val="0"/>
          <w:numId w:val="4"/>
        </w:numPr>
        <w:tabs>
          <w:tab w:val="left" w:pos="1134"/>
        </w:tabs>
        <w:spacing w:line="360" w:lineRule="auto"/>
      </w:pPr>
      <w:r>
        <w:t>Changes to WIPO Contracts</w:t>
      </w:r>
    </w:p>
    <w:p w:rsidR="00880153" w:rsidRDefault="00286D46" w:rsidP="00880153">
      <w:pPr>
        <w:keepLines/>
        <w:numPr>
          <w:ilvl w:val="0"/>
          <w:numId w:val="4"/>
        </w:numPr>
        <w:tabs>
          <w:tab w:val="left" w:pos="1134"/>
        </w:tabs>
        <w:spacing w:line="360" w:lineRule="auto"/>
      </w:pPr>
      <w:r>
        <w:t>Security Strategic Review</w:t>
      </w:r>
    </w:p>
    <w:p w:rsidR="00880153" w:rsidRPr="00DA5DBB" w:rsidRDefault="00286D46" w:rsidP="00880153">
      <w:pPr>
        <w:keepLines/>
        <w:numPr>
          <w:ilvl w:val="0"/>
          <w:numId w:val="4"/>
        </w:numPr>
        <w:tabs>
          <w:tab w:val="left" w:pos="1134"/>
        </w:tabs>
        <w:spacing w:line="360" w:lineRule="auto"/>
      </w:pPr>
      <w:r>
        <w:t>Control Assessment Procedure</w:t>
      </w:r>
    </w:p>
    <w:p w:rsidR="00457615" w:rsidRDefault="00457615" w:rsidP="00457615">
      <w:pPr>
        <w:keepLines/>
        <w:numPr>
          <w:ilvl w:val="0"/>
          <w:numId w:val="4"/>
        </w:numPr>
        <w:tabs>
          <w:tab w:val="left" w:pos="1134"/>
        </w:tabs>
        <w:spacing w:line="360" w:lineRule="auto"/>
      </w:pPr>
      <w:r w:rsidRPr="00457615">
        <w:t>Definition of Fraud and Presumptive Fraud</w:t>
      </w:r>
    </w:p>
    <w:p w:rsidR="00457615" w:rsidRDefault="00457615" w:rsidP="00457615">
      <w:pPr>
        <w:keepLines/>
        <w:numPr>
          <w:ilvl w:val="0"/>
          <w:numId w:val="4"/>
        </w:numPr>
        <w:tabs>
          <w:tab w:val="left" w:pos="1134"/>
        </w:tabs>
        <w:spacing w:line="360" w:lineRule="auto"/>
      </w:pPr>
      <w:r>
        <w:t>Office Instruction on Harmonious Workplace</w:t>
      </w:r>
    </w:p>
    <w:p w:rsidR="00457615" w:rsidRDefault="00457615" w:rsidP="00457615">
      <w:pPr>
        <w:keepLines/>
        <w:numPr>
          <w:ilvl w:val="0"/>
          <w:numId w:val="4"/>
        </w:numPr>
        <w:tabs>
          <w:tab w:val="left" w:pos="1134"/>
        </w:tabs>
        <w:spacing w:line="360" w:lineRule="auto"/>
      </w:pPr>
      <w:r>
        <w:t>Vendor Sanction Policy</w:t>
      </w:r>
    </w:p>
    <w:p w:rsidR="00581412" w:rsidRDefault="00581412" w:rsidP="00457615">
      <w:pPr>
        <w:keepLines/>
        <w:numPr>
          <w:ilvl w:val="0"/>
          <w:numId w:val="4"/>
        </w:numPr>
        <w:tabs>
          <w:tab w:val="left" w:pos="1134"/>
        </w:tabs>
        <w:spacing w:line="360" w:lineRule="auto"/>
      </w:pPr>
      <w:r>
        <w:t>Revision of the Information Classification Policy</w:t>
      </w:r>
    </w:p>
    <w:p w:rsidR="00581412" w:rsidRDefault="00581412" w:rsidP="00457615">
      <w:pPr>
        <w:keepLines/>
        <w:numPr>
          <w:ilvl w:val="0"/>
          <w:numId w:val="4"/>
        </w:numPr>
        <w:tabs>
          <w:tab w:val="left" w:pos="1134"/>
        </w:tabs>
        <w:spacing w:line="360" w:lineRule="auto"/>
      </w:pPr>
      <w:r>
        <w:t>Fraud Maturity Model for WIPO</w:t>
      </w:r>
    </w:p>
    <w:p w:rsidR="000921A9" w:rsidRDefault="000921A9" w:rsidP="00E32ADE">
      <w:pPr>
        <w:keepLines/>
        <w:tabs>
          <w:tab w:val="left" w:pos="1134"/>
        </w:tabs>
        <w:spacing w:line="360" w:lineRule="auto"/>
      </w:pPr>
    </w:p>
    <w:p w:rsidR="00E32ADE" w:rsidRPr="000B6226" w:rsidRDefault="00E32ADE" w:rsidP="00E32ADE">
      <w:pPr>
        <w:keepLines/>
        <w:ind w:left="5533"/>
      </w:pPr>
      <w:r>
        <w:t>[End of Annex</w:t>
      </w:r>
      <w:r w:rsidR="00880153">
        <w:t xml:space="preserve"> II</w:t>
      </w:r>
      <w:r w:rsidRPr="00DA5DBB">
        <w:t xml:space="preserve"> and of document]</w:t>
      </w:r>
    </w:p>
    <w:p w:rsidR="00E412BD" w:rsidRDefault="00E412BD" w:rsidP="00E412BD">
      <w:pPr>
        <w:keepLines/>
        <w:spacing w:before="240"/>
        <w:ind w:left="2832" w:firstLine="708"/>
        <w:jc w:val="right"/>
        <w:rPr>
          <w:szCs w:val="22"/>
        </w:rPr>
      </w:pPr>
      <w:bookmarkStart w:id="47" w:name="_GoBack"/>
      <w:bookmarkEnd w:id="47"/>
    </w:p>
    <w:sectPr w:rsidR="00E412BD" w:rsidSect="001E2D32">
      <w:headerReference w:type="first" r:id="rId22"/>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D32C7" w15:done="0"/>
  <w15:commentEx w15:paraId="6541E26B" w15:done="0"/>
  <w15:commentEx w15:paraId="2B9812D1" w15:done="0"/>
  <w15:commentEx w15:paraId="04169DA4" w15:done="0"/>
  <w15:commentEx w15:paraId="0C85C6F9" w15:done="0"/>
  <w15:commentEx w15:paraId="032F0737" w15:done="0"/>
  <w15:commentEx w15:paraId="3E348AC5" w15:done="0"/>
  <w15:commentEx w15:paraId="00BC6D7B" w15:done="0"/>
  <w15:commentEx w15:paraId="57C0BDDB" w15:done="0"/>
  <w15:commentEx w15:paraId="19DC558F" w15:done="0"/>
  <w15:commentEx w15:paraId="034B4EEE" w15:done="0"/>
  <w15:commentEx w15:paraId="615F5E9E" w15:done="0"/>
  <w15:commentEx w15:paraId="184060EA" w15:done="0"/>
  <w15:commentEx w15:paraId="78D2B497" w15:done="0"/>
  <w15:commentEx w15:paraId="4666FEEA" w15:done="0"/>
  <w15:commentEx w15:paraId="784E2CCC" w15:done="0"/>
  <w15:commentEx w15:paraId="6A198D7C" w15:done="0"/>
  <w15:commentEx w15:paraId="7155C627" w15:done="0"/>
  <w15:commentEx w15:paraId="47841115" w15:done="0"/>
  <w15:commentEx w15:paraId="7B60F774" w15:paraIdParent="47841115" w15:done="0"/>
  <w15:commentEx w15:paraId="30902CB2" w15:done="0"/>
  <w15:commentEx w15:paraId="3BA9C510" w15:done="0"/>
  <w15:commentEx w15:paraId="7AF9C6FC" w15:done="0"/>
  <w15:commentEx w15:paraId="5B539906" w15:done="0"/>
  <w15:commentEx w15:paraId="31224F2D" w15:done="0"/>
  <w15:commentEx w15:paraId="0C443C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E7" w:rsidRDefault="009D15E7">
      <w:r>
        <w:separator/>
      </w:r>
    </w:p>
  </w:endnote>
  <w:endnote w:type="continuationSeparator" w:id="0">
    <w:p w:rsidR="009D15E7" w:rsidRDefault="009D15E7" w:rsidP="003B38C1">
      <w:r>
        <w:separator/>
      </w:r>
    </w:p>
    <w:p w:rsidR="009D15E7" w:rsidRPr="003B38C1" w:rsidRDefault="009D15E7" w:rsidP="003B38C1">
      <w:pPr>
        <w:spacing w:after="60"/>
        <w:rPr>
          <w:sz w:val="17"/>
        </w:rPr>
      </w:pPr>
      <w:r>
        <w:rPr>
          <w:sz w:val="17"/>
        </w:rPr>
        <w:t>[Endnote continued from previous page]</w:t>
      </w:r>
    </w:p>
  </w:endnote>
  <w:endnote w:type="continuationNotice" w:id="1">
    <w:p w:rsidR="009D15E7" w:rsidRPr="003B38C1" w:rsidRDefault="009D15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E7" w:rsidRDefault="009D15E7">
      <w:r>
        <w:separator/>
      </w:r>
    </w:p>
  </w:footnote>
  <w:footnote w:type="continuationSeparator" w:id="0">
    <w:p w:rsidR="009D15E7" w:rsidRDefault="009D15E7" w:rsidP="008B60B2">
      <w:r>
        <w:separator/>
      </w:r>
    </w:p>
    <w:p w:rsidR="009D15E7" w:rsidRPr="00ED77FB" w:rsidRDefault="009D15E7" w:rsidP="008B60B2">
      <w:pPr>
        <w:spacing w:after="60"/>
        <w:rPr>
          <w:sz w:val="17"/>
          <w:szCs w:val="17"/>
        </w:rPr>
      </w:pPr>
      <w:r w:rsidRPr="00ED77FB">
        <w:rPr>
          <w:sz w:val="17"/>
          <w:szCs w:val="17"/>
        </w:rPr>
        <w:t>[Footnote continued from previous page]</w:t>
      </w:r>
    </w:p>
  </w:footnote>
  <w:footnote w:type="continuationNotice" w:id="1">
    <w:p w:rsidR="009D15E7" w:rsidRPr="00ED77FB" w:rsidRDefault="009D15E7" w:rsidP="008B60B2">
      <w:pPr>
        <w:spacing w:before="60"/>
        <w:jc w:val="right"/>
        <w:rPr>
          <w:sz w:val="17"/>
          <w:szCs w:val="17"/>
        </w:rPr>
      </w:pPr>
      <w:r w:rsidRPr="00ED77FB">
        <w:rPr>
          <w:sz w:val="17"/>
          <w:szCs w:val="17"/>
        </w:rPr>
        <w:t>[Footnote continued on next page]</w:t>
      </w:r>
    </w:p>
  </w:footnote>
  <w:footnote w:id="2">
    <w:p w:rsidR="009D15E7" w:rsidRPr="001C0542" w:rsidRDefault="009D15E7">
      <w:pPr>
        <w:pStyle w:val="FootnoteText"/>
      </w:pPr>
      <w:r>
        <w:rPr>
          <w:rStyle w:val="FootnoteReference"/>
        </w:rPr>
        <w:footnoteRef/>
      </w:r>
      <w:r>
        <w:t xml:space="preserve">  Refer to IOC paragraphs 44 and 45.</w:t>
      </w:r>
    </w:p>
  </w:footnote>
  <w:footnote w:id="3">
    <w:p w:rsidR="009D15E7" w:rsidRDefault="009D15E7" w:rsidP="000D0188">
      <w:pPr>
        <w:pStyle w:val="FootnoteText"/>
      </w:pPr>
      <w:r>
        <w:rPr>
          <w:rStyle w:val="FootnoteReference"/>
        </w:rPr>
        <w:footnoteRef/>
      </w:r>
      <w:r>
        <w:t xml:space="preserve">  The list of reports features in Annex I.</w:t>
      </w:r>
    </w:p>
  </w:footnote>
  <w:footnote w:id="4">
    <w:p w:rsidR="009D15E7" w:rsidRDefault="009D15E7">
      <w:pPr>
        <w:pStyle w:val="FootnoteText"/>
      </w:pPr>
      <w:r>
        <w:rPr>
          <w:rStyle w:val="FootnoteReference"/>
        </w:rPr>
        <w:footnoteRef/>
      </w:r>
      <w:r>
        <w:t xml:space="preserve">  TeamCentral</w:t>
      </w:r>
      <w:r w:rsidRPr="004B2173">
        <w:t>©</w:t>
      </w:r>
      <w:r>
        <w:t xml:space="preserve"> is a module of TeamMate which is a specialized software for audit assignments which includes various modules such as electronic working papers;  follow up of recommendations, risk assessment and time scheduling.</w:t>
      </w:r>
    </w:p>
  </w:footnote>
  <w:footnote w:id="5">
    <w:p w:rsidR="009D15E7" w:rsidRPr="00C71B45" w:rsidRDefault="009D15E7" w:rsidP="00C71B45">
      <w:pPr>
        <w:pStyle w:val="FootnoteText"/>
      </w:pPr>
      <w:r>
        <w:rPr>
          <w:rStyle w:val="FootnoteReference"/>
        </w:rPr>
        <w:footnoteRef/>
      </w:r>
      <w:r>
        <w:t xml:space="preserve"> </w:t>
      </w:r>
      <w:r w:rsidRPr="00C71B45">
        <w:t xml:space="preserve"> </w:t>
      </w:r>
      <w:proofErr w:type="gramStart"/>
      <w:r>
        <w:t>A/56/13 (Proposal for the Inclusion of a Supplementary Agenda Item entitled “Review of the Office of Internal Oversight Services (OIOS) Report”) and WO/GA/48/15 (Decisions taken by the WIPO Coordination Committee).</w:t>
      </w:r>
      <w:proofErr w:type="gramEnd"/>
    </w:p>
  </w:footnote>
  <w:footnote w:id="6">
    <w:p w:rsidR="009D15E7" w:rsidRPr="002278BC" w:rsidRDefault="009D15E7">
      <w:pPr>
        <w:pStyle w:val="FootnoteText"/>
        <w:rPr>
          <w:lang w:val="fr-FR"/>
        </w:rPr>
      </w:pPr>
      <w:r>
        <w:rPr>
          <w:rStyle w:val="FootnoteReference"/>
        </w:rPr>
        <w:footnoteRef/>
      </w:r>
      <w:r w:rsidRPr="002278BC">
        <w:rPr>
          <w:lang w:val="fr-FR"/>
        </w:rPr>
        <w:t xml:space="preserve"> IOC paragraphs 18, 19, 21, 22 and 23.</w:t>
      </w:r>
    </w:p>
  </w:footnote>
  <w:footnote w:id="7">
    <w:p w:rsidR="009D15E7" w:rsidRPr="002278BC" w:rsidRDefault="009D15E7" w:rsidP="0081363B">
      <w:pPr>
        <w:pStyle w:val="FootnoteText"/>
        <w:spacing w:after="20"/>
        <w:rPr>
          <w:lang w:val="fr-FR"/>
        </w:rPr>
      </w:pPr>
      <w:r w:rsidRPr="00AE32CE">
        <w:rPr>
          <w:rStyle w:val="FootnoteReference"/>
          <w:szCs w:val="18"/>
        </w:rPr>
        <w:footnoteRef/>
      </w:r>
      <w:r w:rsidRPr="002278BC">
        <w:rPr>
          <w:szCs w:val="18"/>
          <w:lang w:val="fr-FR"/>
        </w:rPr>
        <w:t xml:space="preserve">  IOC paragraph 36.</w:t>
      </w:r>
    </w:p>
  </w:footnote>
  <w:footnote w:id="8">
    <w:p w:rsidR="009D15E7" w:rsidRPr="002278BC" w:rsidRDefault="009D15E7" w:rsidP="008414E9">
      <w:pPr>
        <w:pStyle w:val="FootnoteText"/>
        <w:spacing w:after="20"/>
        <w:rPr>
          <w:lang w:val="fr-FR"/>
        </w:rPr>
      </w:pPr>
      <w:r w:rsidRPr="003F279E">
        <w:rPr>
          <w:rStyle w:val="FootnoteReference"/>
          <w:szCs w:val="18"/>
        </w:rPr>
        <w:footnoteRef/>
      </w:r>
      <w:r w:rsidRPr="002278BC">
        <w:rPr>
          <w:szCs w:val="18"/>
          <w:lang w:val="fr-FR"/>
        </w:rPr>
        <w:t xml:space="preserve">  OI 16/2010, paragraph 7.</w:t>
      </w:r>
    </w:p>
  </w:footnote>
  <w:footnote w:id="9">
    <w:p w:rsidR="009D15E7" w:rsidRPr="00DD03BE" w:rsidRDefault="009D15E7" w:rsidP="0081363B">
      <w:pPr>
        <w:spacing w:after="20"/>
      </w:pPr>
      <w:r w:rsidRPr="003F279E">
        <w:rPr>
          <w:rStyle w:val="FootnoteReference"/>
          <w:sz w:val="18"/>
          <w:szCs w:val="18"/>
        </w:rPr>
        <w:footnoteRef/>
      </w:r>
      <w:r w:rsidRPr="00DD03BE">
        <w:rPr>
          <w:sz w:val="18"/>
          <w:szCs w:val="18"/>
        </w:rPr>
        <w:t xml:space="preserve">  OI 16/2010 paragraph 8.</w:t>
      </w:r>
    </w:p>
  </w:footnote>
  <w:footnote w:id="10">
    <w:p w:rsidR="009D15E7" w:rsidRDefault="009D15E7">
      <w:pPr>
        <w:pStyle w:val="FootnoteText"/>
      </w:pPr>
      <w:r>
        <w:rPr>
          <w:rStyle w:val="FootnoteReference"/>
        </w:rPr>
        <w:footnoteRef/>
      </w:r>
      <w:r>
        <w:t xml:space="preserve">  One recommendation from IOD was closed with Management accepting the risk (INV 2017-01 Home leave entitlement).</w:t>
      </w:r>
    </w:p>
  </w:footnote>
  <w:footnote w:id="11">
    <w:p w:rsidR="009D15E7" w:rsidRPr="00C70269" w:rsidRDefault="009D15E7" w:rsidP="00A029DD">
      <w:pPr>
        <w:pStyle w:val="FootnoteText"/>
      </w:pPr>
      <w:r>
        <w:rPr>
          <w:rStyle w:val="FootnoteReference"/>
        </w:rPr>
        <w:footnoteRef/>
      </w:r>
      <w:r>
        <w:t xml:space="preserve">  </w:t>
      </w:r>
      <w:r w:rsidRPr="00694CBF">
        <w:rPr>
          <w:b/>
        </w:rPr>
        <w:t>Program 1</w:t>
      </w:r>
      <w:r>
        <w:t xml:space="preserve"> Patent Law, </w:t>
      </w:r>
      <w:r w:rsidRPr="00694CBF">
        <w:rPr>
          <w:b/>
        </w:rPr>
        <w:t>Program 3</w:t>
      </w:r>
      <w:r>
        <w:t xml:space="preserve"> Copyright and Related Rights, </w:t>
      </w:r>
      <w:r w:rsidRPr="00694CBF">
        <w:rPr>
          <w:b/>
        </w:rPr>
        <w:t>Program 5</w:t>
      </w:r>
      <w:r>
        <w:t xml:space="preserve"> The PCT System, </w:t>
      </w:r>
      <w:r w:rsidRPr="00694CBF">
        <w:rPr>
          <w:b/>
        </w:rPr>
        <w:t>Program</w:t>
      </w:r>
      <w:r>
        <w:rPr>
          <w:b/>
        </w:rPr>
        <w:t> </w:t>
      </w:r>
      <w:r w:rsidRPr="00694CBF">
        <w:rPr>
          <w:b/>
        </w:rPr>
        <w:t>6</w:t>
      </w:r>
      <w:r>
        <w:t xml:space="preserve"> Madrid System, </w:t>
      </w:r>
      <w:r w:rsidRPr="00F426D1">
        <w:rPr>
          <w:b/>
        </w:rPr>
        <w:t>Program 7</w:t>
      </w:r>
      <w:r>
        <w:t xml:space="preserve"> WIPO Arbitration and Mediation Center, </w:t>
      </w:r>
      <w:r w:rsidRPr="00694CBF">
        <w:rPr>
          <w:b/>
        </w:rPr>
        <w:t>Program 9</w:t>
      </w:r>
      <w:r>
        <w:t xml:space="preserve"> Africa, Arab, Asia and the Pacific, Latin America and the Caribbean Countries, Least Developed Countries, </w:t>
      </w:r>
      <w:r w:rsidRPr="00694CBF">
        <w:rPr>
          <w:b/>
        </w:rPr>
        <w:t>Program 11</w:t>
      </w:r>
      <w:r>
        <w:t xml:space="preserve"> The WIPO Academy, </w:t>
      </w:r>
      <w:r w:rsidRPr="00F426D1">
        <w:rPr>
          <w:b/>
        </w:rPr>
        <w:t>Program 13</w:t>
      </w:r>
      <w:r>
        <w:t xml:space="preserve"> Global Databases Services, </w:t>
      </w:r>
      <w:r w:rsidRPr="00694CBF">
        <w:rPr>
          <w:b/>
        </w:rPr>
        <w:t>Program 15</w:t>
      </w:r>
      <w:r>
        <w:t xml:space="preserve"> Business Solutions for IP offices, </w:t>
      </w:r>
      <w:r w:rsidRPr="00694CBF">
        <w:rPr>
          <w:b/>
        </w:rPr>
        <w:t>Program 19</w:t>
      </w:r>
      <w:r>
        <w:t xml:space="preserve"> Communications, </w:t>
      </w:r>
      <w:r w:rsidRPr="00694CBF">
        <w:rPr>
          <w:b/>
        </w:rPr>
        <w:t>Program 21</w:t>
      </w:r>
      <w:r>
        <w:t xml:space="preserve"> Executive Management, </w:t>
      </w:r>
      <w:r w:rsidRPr="00694CBF">
        <w:rPr>
          <w:b/>
        </w:rPr>
        <w:t>Program 22</w:t>
      </w:r>
      <w:r>
        <w:t xml:space="preserve"> Program and Resource Management, </w:t>
      </w:r>
      <w:r w:rsidRPr="00694CBF">
        <w:rPr>
          <w:b/>
        </w:rPr>
        <w:t>Program 23</w:t>
      </w:r>
      <w:r>
        <w:t xml:space="preserve"> Human Resources Management </w:t>
      </w:r>
      <w:r w:rsidR="00A66E51">
        <w:t>Department</w:t>
      </w:r>
      <w:r>
        <w:t xml:space="preserve">, </w:t>
      </w:r>
      <w:r w:rsidRPr="00694CBF">
        <w:rPr>
          <w:b/>
        </w:rPr>
        <w:t>Program 24</w:t>
      </w:r>
      <w:r>
        <w:t xml:space="preserve"> General Support Services, </w:t>
      </w:r>
      <w:r w:rsidRPr="00694CBF">
        <w:rPr>
          <w:b/>
        </w:rPr>
        <w:t>Program 25</w:t>
      </w:r>
      <w:r>
        <w:t xml:space="preserve"> Information and Communication Technology, </w:t>
      </w:r>
      <w:r w:rsidRPr="00694CBF">
        <w:rPr>
          <w:b/>
        </w:rPr>
        <w:t>Program 27</w:t>
      </w:r>
      <w:r>
        <w:t xml:space="preserve"> Conference and Language Services, </w:t>
      </w:r>
      <w:r w:rsidRPr="00694CBF">
        <w:rPr>
          <w:b/>
        </w:rPr>
        <w:t>Program 28</w:t>
      </w:r>
      <w:r>
        <w:t xml:space="preserve"> Information Assurance, Safety and Security, </w:t>
      </w:r>
      <w:r w:rsidRPr="00694CBF">
        <w:rPr>
          <w:b/>
        </w:rPr>
        <w:t>Program 30</w:t>
      </w:r>
      <w:r>
        <w:t xml:space="preserve"> Small and Medium-Sized Enterprises (SMEs) and Entrepreneurship support, </w:t>
      </w:r>
      <w:r w:rsidRPr="00694CBF">
        <w:rPr>
          <w:b/>
        </w:rPr>
        <w:t>Program 31</w:t>
      </w:r>
      <w:r>
        <w:t xml:space="preserve"> The Hague System.</w:t>
      </w:r>
    </w:p>
  </w:footnote>
  <w:footnote w:id="12">
    <w:p w:rsidR="009D15E7" w:rsidRPr="00072495" w:rsidRDefault="009D15E7">
      <w:pPr>
        <w:pStyle w:val="FootnoteText"/>
      </w:pPr>
      <w:r>
        <w:rPr>
          <w:rStyle w:val="FootnoteReference"/>
        </w:rPr>
        <w:footnoteRef/>
      </w:r>
      <w:r w:rsidRPr="00072495">
        <w:t xml:space="preserve">  </w:t>
      </w:r>
      <w:proofErr w:type="gramStart"/>
      <w:r w:rsidRPr="00072495">
        <w:t>IOC paragraph 2</w:t>
      </w:r>
      <w:r>
        <w:t>6</w:t>
      </w:r>
      <w:r w:rsidRPr="00072495">
        <w:t xml:space="preserve"> (g)</w:t>
      </w:r>
      <w:r>
        <w:t>.</w:t>
      </w:r>
      <w:proofErr w:type="gramEnd"/>
    </w:p>
  </w:footnote>
  <w:footnote w:id="13">
    <w:p w:rsidR="009D15E7" w:rsidRDefault="009D15E7">
      <w:pPr>
        <w:pStyle w:val="FootnoteText"/>
      </w:pPr>
      <w:r>
        <w:rPr>
          <w:rStyle w:val="FootnoteReference"/>
        </w:rPr>
        <w:footnoteRef/>
      </w:r>
      <w:r>
        <w:t xml:space="preserve">  </w:t>
      </w:r>
      <w:proofErr w:type="gramStart"/>
      <w:r>
        <w:t>The IOC paragraph 45 (</w:t>
      </w:r>
      <w:proofErr w:type="spellStart"/>
      <w:r>
        <w:t>i</w:t>
      </w:r>
      <w:proofErr w:type="spellEnd"/>
      <w:r>
        <w:t>).</w:t>
      </w:r>
      <w:proofErr w:type="gramEnd"/>
    </w:p>
  </w:footnote>
  <w:footnote w:id="14">
    <w:p w:rsidR="009D15E7" w:rsidRDefault="009D15E7" w:rsidP="00E32ADE">
      <w:pPr>
        <w:spacing w:after="40"/>
      </w:pPr>
      <w:r w:rsidRPr="002C6407">
        <w:rPr>
          <w:rStyle w:val="FootnoteReference"/>
          <w:sz w:val="16"/>
          <w:szCs w:val="16"/>
        </w:rPr>
        <w:footnoteRef/>
      </w:r>
      <w:r>
        <w:rPr>
          <w:sz w:val="18"/>
          <w:szCs w:val="18"/>
        </w:rPr>
        <w:t xml:space="preserve">  </w:t>
      </w:r>
      <w:r w:rsidRPr="00543FB7">
        <w:rPr>
          <w:sz w:val="18"/>
          <w:szCs w:val="18"/>
        </w:rPr>
        <w:t xml:space="preserve">Source:  </w:t>
      </w:r>
      <w:r>
        <w:rPr>
          <w:sz w:val="18"/>
          <w:szCs w:val="18"/>
        </w:rPr>
        <w:t xml:space="preserve">Figures from </w:t>
      </w:r>
      <w:r w:rsidRPr="00C72F9D">
        <w:rPr>
          <w:sz w:val="18"/>
          <w:szCs w:val="18"/>
        </w:rPr>
        <w:t xml:space="preserve">Program Performance Report (PPR) </w:t>
      </w:r>
      <w:r>
        <w:rPr>
          <w:sz w:val="18"/>
          <w:szCs w:val="18"/>
        </w:rPr>
        <w:t>report 2016</w:t>
      </w:r>
      <w:r w:rsidRPr="00543FB7">
        <w:rPr>
          <w:sz w:val="18"/>
          <w:szCs w:val="18"/>
        </w:rPr>
        <w:t xml:space="preserve">.  </w:t>
      </w:r>
      <w:proofErr w:type="gramStart"/>
      <w:r w:rsidRPr="00543FB7">
        <w:rPr>
          <w:sz w:val="18"/>
          <w:szCs w:val="18"/>
        </w:rPr>
        <w:t>Figures in thousands of Swiss francs.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E7" w:rsidRDefault="009D15E7" w:rsidP="00477D6B">
    <w:pPr>
      <w:jc w:val="right"/>
    </w:pPr>
    <w:bookmarkStart w:id="5" w:name="Code2"/>
    <w:bookmarkEnd w:id="5"/>
    <w:r>
      <w:t>WO/GA/46/</w:t>
    </w:r>
  </w:p>
  <w:p w:rsidR="009D15E7" w:rsidRDefault="009D15E7" w:rsidP="00477D6B">
    <w:pPr>
      <w:jc w:val="right"/>
    </w:pPr>
    <w:proofErr w:type="gramStart"/>
    <w:r>
      <w:t>page</w:t>
    </w:r>
    <w:proofErr w:type="gramEnd"/>
    <w:r>
      <w:t xml:space="preserve"> </w:t>
    </w:r>
    <w:r>
      <w:fldChar w:fldCharType="begin"/>
    </w:r>
    <w:r>
      <w:instrText xml:space="preserve"> PAGE  \* MERGEFORMAT </w:instrText>
    </w:r>
    <w:r>
      <w:fldChar w:fldCharType="separate"/>
    </w:r>
    <w:r w:rsidR="00525A9E">
      <w:rPr>
        <w:noProof/>
      </w:rPr>
      <w:t>16</w:t>
    </w:r>
    <w:r>
      <w:fldChar w:fldCharType="end"/>
    </w:r>
  </w:p>
  <w:p w:rsidR="009D15E7" w:rsidRDefault="009D15E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E7" w:rsidRDefault="009D15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E7" w:rsidRPr="00F87303" w:rsidRDefault="009D15E7" w:rsidP="00E365E6">
    <w:pPr>
      <w:jc w:val="right"/>
    </w:pPr>
    <w:r>
      <w:t>WO/PBC/27</w:t>
    </w:r>
    <w:r w:rsidRPr="00E204EC">
      <w:t>/</w:t>
    </w:r>
    <w:r>
      <w:t>4</w:t>
    </w:r>
  </w:p>
  <w:p w:rsidR="009D15E7" w:rsidRPr="00E365E6" w:rsidRDefault="009D15E7" w:rsidP="001B5644">
    <w:pPr>
      <w:pStyle w:val="Header"/>
      <w:jc w:val="right"/>
    </w:pPr>
    <w:proofErr w:type="gramStart"/>
    <w:r>
      <w:t>page</w:t>
    </w:r>
    <w:proofErr w:type="gramEnd"/>
    <w:r>
      <w:t xml:space="preserve"> </w:t>
    </w:r>
    <w:r>
      <w:fldChar w:fldCharType="begin"/>
    </w:r>
    <w:r>
      <w:instrText xml:space="preserve"> PAGE   \* MERGEFORMAT </w:instrText>
    </w:r>
    <w:r>
      <w:fldChar w:fldCharType="separate"/>
    </w:r>
    <w:r w:rsidR="00525A9E">
      <w:rPr>
        <w:noProof/>
      </w:rPr>
      <w:t>17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E7" w:rsidRPr="003651AC" w:rsidRDefault="009D15E7" w:rsidP="003651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E7" w:rsidRPr="00F87303" w:rsidRDefault="009D15E7" w:rsidP="004B6701">
    <w:pPr>
      <w:jc w:val="right"/>
    </w:pPr>
    <w:r>
      <w:t>WO/PBC/27/4</w:t>
    </w:r>
  </w:p>
  <w:p w:rsidR="009D15E7" w:rsidRDefault="009D15E7" w:rsidP="004B6701">
    <w:pPr>
      <w:pStyle w:val="Header"/>
      <w:jc w:val="right"/>
    </w:pPr>
    <w:r>
      <w:t>ANNEX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E7" w:rsidRPr="00524915" w:rsidRDefault="009D15E7" w:rsidP="001E2D32">
    <w:pPr>
      <w:jc w:val="right"/>
      <w:rPr>
        <w:lang w:val="fr-FR"/>
      </w:rPr>
    </w:pPr>
    <w:r>
      <w:rPr>
        <w:lang w:val="fr-FR"/>
      </w:rPr>
      <w:t>WO/PBC/27</w:t>
    </w:r>
    <w:r w:rsidRPr="00CA196F">
      <w:rPr>
        <w:lang w:val="fr-FR"/>
      </w:rPr>
      <w:t>/</w:t>
    </w:r>
    <w:r>
      <w:rPr>
        <w:lang w:val="fr-FR"/>
      </w:rPr>
      <w:t>4</w:t>
    </w:r>
  </w:p>
  <w:p w:rsidR="009D15E7" w:rsidRPr="00524915" w:rsidRDefault="009D15E7" w:rsidP="001E2D32">
    <w:pPr>
      <w:pStyle w:val="Header"/>
      <w:jc w:val="right"/>
      <w:rPr>
        <w:lang w:val="fr-FR"/>
      </w:rPr>
    </w:pPr>
    <w:r>
      <w:rPr>
        <w:lang w:val="fr-FR"/>
      </w:rPr>
      <w:t>ANNEX II</w:t>
    </w:r>
  </w:p>
  <w:p w:rsidR="009D15E7" w:rsidRPr="00524915" w:rsidRDefault="009D15E7" w:rsidP="001E2D32">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A5F"/>
    <w:multiLevelType w:val="multilevel"/>
    <w:tmpl w:val="1032A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CD29E3"/>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8A0C23"/>
    <w:multiLevelType w:val="hybridMultilevel"/>
    <w:tmpl w:val="87381990"/>
    <w:lvl w:ilvl="0" w:tplc="F07EB8DA">
      <w:start w:val="1"/>
      <w:numFmt w:val="lowerLetter"/>
      <w:lvlText w:val="(%1)"/>
      <w:lvlJc w:val="left"/>
      <w:pPr>
        <w:ind w:left="720" w:hanging="360"/>
      </w:pPr>
      <w:rPr>
        <w:rFonts w:ascii="Arial" w:hAnsi="Arial" w:hint="default"/>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D3BE7"/>
    <w:multiLevelType w:val="hybridMultilevel"/>
    <w:tmpl w:val="85DA6CBC"/>
    <w:lvl w:ilvl="0" w:tplc="F07EB8DA">
      <w:start w:val="1"/>
      <w:numFmt w:val="lowerLetter"/>
      <w:lvlText w:val="(%1)"/>
      <w:lvlJc w:val="left"/>
      <w:pPr>
        <w:ind w:left="644" w:hanging="360"/>
      </w:pPr>
      <w:rPr>
        <w:rFonts w:ascii="Arial" w:hAnsi="Arial" w:hint="default"/>
        <w:sz w:val="22"/>
        <w:szCs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7DB0FF2"/>
    <w:multiLevelType w:val="multilevel"/>
    <w:tmpl w:val="0D444DD4"/>
    <w:lvl w:ilvl="0">
      <w:start w:val="1"/>
      <w:numFmt w:val="decimal"/>
      <w:lvlRestart w:val="0"/>
      <w:pStyle w:val="ONUME"/>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68DC08B8"/>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74D15747"/>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6"/>
  </w:num>
  <w:num w:numId="2">
    <w:abstractNumId w:val="3"/>
  </w:num>
  <w:num w:numId="3">
    <w:abstractNumId w:val="8"/>
  </w:num>
  <w:num w:numId="4">
    <w:abstractNumId w:val="5"/>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
  </w:num>
  <w:num w:numId="11">
    <w:abstractNumId w:val="0"/>
  </w:num>
  <w:num w:numId="12">
    <w:abstractNumId w:val="4"/>
  </w:num>
  <w:num w:numId="13">
    <w:abstractNumId w:val="8"/>
  </w:num>
  <w:num w:numId="14">
    <w:abstractNumId w:val="8"/>
  </w:num>
  <w:num w:numId="15">
    <w:abstractNumId w:val="8"/>
  </w:num>
  <w:num w:numId="16">
    <w:abstractNumId w:val="8"/>
  </w:num>
  <w:num w:numId="17">
    <w:abstractNumId w:val="9"/>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10"/>
  </w:num>
  <w:num w:numId="37">
    <w:abstractNumId w:val="8"/>
  </w:num>
  <w:num w:numId="38">
    <w:abstractNumId w:val="8"/>
  </w:num>
  <w:num w:numId="39">
    <w:abstractNumId w:val="8"/>
  </w:num>
  <w:num w:numId="4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e Sam">
    <w15:presenceInfo w15:providerId="Windows Live" w15:userId="09a8aa9967347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01"/>
    <w:rsid w:val="000003AE"/>
    <w:rsid w:val="000056C0"/>
    <w:rsid w:val="00013805"/>
    <w:rsid w:val="0002296B"/>
    <w:rsid w:val="00023B92"/>
    <w:rsid w:val="00027B5D"/>
    <w:rsid w:val="000307E4"/>
    <w:rsid w:val="000348C4"/>
    <w:rsid w:val="00034D49"/>
    <w:rsid w:val="00037502"/>
    <w:rsid w:val="00042A50"/>
    <w:rsid w:val="00043795"/>
    <w:rsid w:val="00043CAA"/>
    <w:rsid w:val="000526EA"/>
    <w:rsid w:val="0005323C"/>
    <w:rsid w:val="00054C7F"/>
    <w:rsid w:val="00055010"/>
    <w:rsid w:val="000573E8"/>
    <w:rsid w:val="00072495"/>
    <w:rsid w:val="00074C9A"/>
    <w:rsid w:val="00075432"/>
    <w:rsid w:val="000802B5"/>
    <w:rsid w:val="00085B45"/>
    <w:rsid w:val="00091C15"/>
    <w:rsid w:val="0009210D"/>
    <w:rsid w:val="000921A9"/>
    <w:rsid w:val="00096403"/>
    <w:rsid w:val="0009671F"/>
    <w:rsid w:val="000968ED"/>
    <w:rsid w:val="000A00F5"/>
    <w:rsid w:val="000A2FB8"/>
    <w:rsid w:val="000A646E"/>
    <w:rsid w:val="000B0098"/>
    <w:rsid w:val="000B0A9C"/>
    <w:rsid w:val="000C4448"/>
    <w:rsid w:val="000D0188"/>
    <w:rsid w:val="000E150E"/>
    <w:rsid w:val="000E2FC8"/>
    <w:rsid w:val="000E713C"/>
    <w:rsid w:val="000E787F"/>
    <w:rsid w:val="000F04D4"/>
    <w:rsid w:val="000F14DE"/>
    <w:rsid w:val="000F3F26"/>
    <w:rsid w:val="000F5A9D"/>
    <w:rsid w:val="000F5E56"/>
    <w:rsid w:val="001040AF"/>
    <w:rsid w:val="0011018F"/>
    <w:rsid w:val="001118B4"/>
    <w:rsid w:val="00113834"/>
    <w:rsid w:val="00113C89"/>
    <w:rsid w:val="0011516C"/>
    <w:rsid w:val="00124878"/>
    <w:rsid w:val="00124918"/>
    <w:rsid w:val="0012688E"/>
    <w:rsid w:val="00126C5A"/>
    <w:rsid w:val="0013256A"/>
    <w:rsid w:val="0013389F"/>
    <w:rsid w:val="001362EE"/>
    <w:rsid w:val="00137082"/>
    <w:rsid w:val="00140A13"/>
    <w:rsid w:val="00141877"/>
    <w:rsid w:val="001428AC"/>
    <w:rsid w:val="0014516E"/>
    <w:rsid w:val="00154A6C"/>
    <w:rsid w:val="001625B3"/>
    <w:rsid w:val="00163813"/>
    <w:rsid w:val="0016490F"/>
    <w:rsid w:val="00164C2D"/>
    <w:rsid w:val="00170578"/>
    <w:rsid w:val="00173108"/>
    <w:rsid w:val="0017311D"/>
    <w:rsid w:val="001733CC"/>
    <w:rsid w:val="00174A63"/>
    <w:rsid w:val="00176141"/>
    <w:rsid w:val="001811CF"/>
    <w:rsid w:val="001832A6"/>
    <w:rsid w:val="0018495B"/>
    <w:rsid w:val="001858C9"/>
    <w:rsid w:val="0019399A"/>
    <w:rsid w:val="00194341"/>
    <w:rsid w:val="00194920"/>
    <w:rsid w:val="001962C0"/>
    <w:rsid w:val="00196956"/>
    <w:rsid w:val="001A00E9"/>
    <w:rsid w:val="001A12DA"/>
    <w:rsid w:val="001A141A"/>
    <w:rsid w:val="001A243B"/>
    <w:rsid w:val="001A39ED"/>
    <w:rsid w:val="001A56A8"/>
    <w:rsid w:val="001B314B"/>
    <w:rsid w:val="001B5644"/>
    <w:rsid w:val="001B7B59"/>
    <w:rsid w:val="001C0542"/>
    <w:rsid w:val="001C1E16"/>
    <w:rsid w:val="001C3690"/>
    <w:rsid w:val="001C3954"/>
    <w:rsid w:val="001C3C72"/>
    <w:rsid w:val="001C4B61"/>
    <w:rsid w:val="001D1C20"/>
    <w:rsid w:val="001D2703"/>
    <w:rsid w:val="001D28C2"/>
    <w:rsid w:val="001D59E5"/>
    <w:rsid w:val="001E109C"/>
    <w:rsid w:val="001E2D32"/>
    <w:rsid w:val="001E3E19"/>
    <w:rsid w:val="001E429A"/>
    <w:rsid w:val="001F25F0"/>
    <w:rsid w:val="00202EAB"/>
    <w:rsid w:val="00214569"/>
    <w:rsid w:val="002172DD"/>
    <w:rsid w:val="002222ED"/>
    <w:rsid w:val="00222EE0"/>
    <w:rsid w:val="0022315B"/>
    <w:rsid w:val="002278BC"/>
    <w:rsid w:val="0023557C"/>
    <w:rsid w:val="002355F5"/>
    <w:rsid w:val="00240678"/>
    <w:rsid w:val="00246761"/>
    <w:rsid w:val="00246BD1"/>
    <w:rsid w:val="002527CE"/>
    <w:rsid w:val="0025317E"/>
    <w:rsid w:val="002539F1"/>
    <w:rsid w:val="00261946"/>
    <w:rsid w:val="00263055"/>
    <w:rsid w:val="002634C4"/>
    <w:rsid w:val="00272E85"/>
    <w:rsid w:val="00273442"/>
    <w:rsid w:val="00274518"/>
    <w:rsid w:val="00274898"/>
    <w:rsid w:val="00277318"/>
    <w:rsid w:val="00277898"/>
    <w:rsid w:val="00280C9A"/>
    <w:rsid w:val="002813D0"/>
    <w:rsid w:val="00283187"/>
    <w:rsid w:val="002861F4"/>
    <w:rsid w:val="00286D46"/>
    <w:rsid w:val="00287160"/>
    <w:rsid w:val="002918FE"/>
    <w:rsid w:val="002928D3"/>
    <w:rsid w:val="00294DD2"/>
    <w:rsid w:val="00294F58"/>
    <w:rsid w:val="00296563"/>
    <w:rsid w:val="002A3468"/>
    <w:rsid w:val="002A5FC3"/>
    <w:rsid w:val="002A6CA2"/>
    <w:rsid w:val="002A77D9"/>
    <w:rsid w:val="002B05D3"/>
    <w:rsid w:val="002B0C17"/>
    <w:rsid w:val="002B105E"/>
    <w:rsid w:val="002B1D11"/>
    <w:rsid w:val="002C535F"/>
    <w:rsid w:val="002D3262"/>
    <w:rsid w:val="002D78A6"/>
    <w:rsid w:val="002E3B12"/>
    <w:rsid w:val="002F1FE6"/>
    <w:rsid w:val="002F33DE"/>
    <w:rsid w:val="002F4E68"/>
    <w:rsid w:val="00303667"/>
    <w:rsid w:val="00311117"/>
    <w:rsid w:val="00311A89"/>
    <w:rsid w:val="00312F7F"/>
    <w:rsid w:val="00317621"/>
    <w:rsid w:val="003228B7"/>
    <w:rsid w:val="0033099D"/>
    <w:rsid w:val="0034349C"/>
    <w:rsid w:val="0034511F"/>
    <w:rsid w:val="00345A77"/>
    <w:rsid w:val="00345ACB"/>
    <w:rsid w:val="00352817"/>
    <w:rsid w:val="00353977"/>
    <w:rsid w:val="00356B4A"/>
    <w:rsid w:val="00356D2C"/>
    <w:rsid w:val="0036105F"/>
    <w:rsid w:val="00361369"/>
    <w:rsid w:val="00364DFA"/>
    <w:rsid w:val="003651AC"/>
    <w:rsid w:val="003655A0"/>
    <w:rsid w:val="003673CF"/>
    <w:rsid w:val="00382453"/>
    <w:rsid w:val="003825EE"/>
    <w:rsid w:val="00383328"/>
    <w:rsid w:val="003845C1"/>
    <w:rsid w:val="00390583"/>
    <w:rsid w:val="00392212"/>
    <w:rsid w:val="00392CD6"/>
    <w:rsid w:val="003A0F03"/>
    <w:rsid w:val="003A18B5"/>
    <w:rsid w:val="003A38B8"/>
    <w:rsid w:val="003A4009"/>
    <w:rsid w:val="003A6F89"/>
    <w:rsid w:val="003B1DC0"/>
    <w:rsid w:val="003B38C1"/>
    <w:rsid w:val="003B3A6F"/>
    <w:rsid w:val="003B5424"/>
    <w:rsid w:val="003B75C2"/>
    <w:rsid w:val="003C08B2"/>
    <w:rsid w:val="003C1B55"/>
    <w:rsid w:val="003D2D3F"/>
    <w:rsid w:val="003D3C87"/>
    <w:rsid w:val="003D48BB"/>
    <w:rsid w:val="003D6176"/>
    <w:rsid w:val="003D7121"/>
    <w:rsid w:val="003E2852"/>
    <w:rsid w:val="003E3840"/>
    <w:rsid w:val="003F279E"/>
    <w:rsid w:val="003F2B38"/>
    <w:rsid w:val="003F6191"/>
    <w:rsid w:val="00400A50"/>
    <w:rsid w:val="00403514"/>
    <w:rsid w:val="00411FE7"/>
    <w:rsid w:val="0042259D"/>
    <w:rsid w:val="00422BE0"/>
    <w:rsid w:val="00423E3E"/>
    <w:rsid w:val="00427AF4"/>
    <w:rsid w:val="00432034"/>
    <w:rsid w:val="0043332A"/>
    <w:rsid w:val="00435704"/>
    <w:rsid w:val="004400E2"/>
    <w:rsid w:val="00442DAA"/>
    <w:rsid w:val="00444503"/>
    <w:rsid w:val="00447F00"/>
    <w:rsid w:val="00450E42"/>
    <w:rsid w:val="00451660"/>
    <w:rsid w:val="0045744D"/>
    <w:rsid w:val="00457615"/>
    <w:rsid w:val="004647DA"/>
    <w:rsid w:val="00464E49"/>
    <w:rsid w:val="00470AE4"/>
    <w:rsid w:val="00473D0B"/>
    <w:rsid w:val="00474062"/>
    <w:rsid w:val="004744AC"/>
    <w:rsid w:val="00477D6B"/>
    <w:rsid w:val="0048012B"/>
    <w:rsid w:val="00480D6E"/>
    <w:rsid w:val="004826DB"/>
    <w:rsid w:val="00482E6D"/>
    <w:rsid w:val="00486BDE"/>
    <w:rsid w:val="0048750A"/>
    <w:rsid w:val="00491DF6"/>
    <w:rsid w:val="004934E6"/>
    <w:rsid w:val="00494D02"/>
    <w:rsid w:val="004974F2"/>
    <w:rsid w:val="004975A1"/>
    <w:rsid w:val="004A0CBF"/>
    <w:rsid w:val="004A0DF7"/>
    <w:rsid w:val="004A40CC"/>
    <w:rsid w:val="004B2173"/>
    <w:rsid w:val="004B5ABF"/>
    <w:rsid w:val="004B5E7B"/>
    <w:rsid w:val="004B6701"/>
    <w:rsid w:val="004C18BD"/>
    <w:rsid w:val="004C21B1"/>
    <w:rsid w:val="004C3B1D"/>
    <w:rsid w:val="004C43F9"/>
    <w:rsid w:val="004C58F9"/>
    <w:rsid w:val="004D040E"/>
    <w:rsid w:val="004D2C55"/>
    <w:rsid w:val="004D4463"/>
    <w:rsid w:val="004D51EE"/>
    <w:rsid w:val="004D61CD"/>
    <w:rsid w:val="004D66A2"/>
    <w:rsid w:val="004D6A1C"/>
    <w:rsid w:val="004D7376"/>
    <w:rsid w:val="004E146D"/>
    <w:rsid w:val="004E6D94"/>
    <w:rsid w:val="004F2207"/>
    <w:rsid w:val="004F4929"/>
    <w:rsid w:val="004F7D58"/>
    <w:rsid w:val="00503543"/>
    <w:rsid w:val="00503788"/>
    <w:rsid w:val="00507279"/>
    <w:rsid w:val="00520B9C"/>
    <w:rsid w:val="00521A52"/>
    <w:rsid w:val="00521F24"/>
    <w:rsid w:val="005242EE"/>
    <w:rsid w:val="005243EF"/>
    <w:rsid w:val="00525A9E"/>
    <w:rsid w:val="0053057A"/>
    <w:rsid w:val="00537B8D"/>
    <w:rsid w:val="005402FC"/>
    <w:rsid w:val="00543F36"/>
    <w:rsid w:val="00543FB7"/>
    <w:rsid w:val="00544A7D"/>
    <w:rsid w:val="005455F1"/>
    <w:rsid w:val="005525E8"/>
    <w:rsid w:val="00553DFF"/>
    <w:rsid w:val="00554024"/>
    <w:rsid w:val="00554E76"/>
    <w:rsid w:val="00556F0B"/>
    <w:rsid w:val="00560A29"/>
    <w:rsid w:val="0056383E"/>
    <w:rsid w:val="00565EAF"/>
    <w:rsid w:val="00565F1D"/>
    <w:rsid w:val="00565F7A"/>
    <w:rsid w:val="005737F8"/>
    <w:rsid w:val="0057775C"/>
    <w:rsid w:val="00580EE4"/>
    <w:rsid w:val="00581412"/>
    <w:rsid w:val="0058548F"/>
    <w:rsid w:val="005A5FB1"/>
    <w:rsid w:val="005B1EB4"/>
    <w:rsid w:val="005B5683"/>
    <w:rsid w:val="005B76E1"/>
    <w:rsid w:val="005C1F3E"/>
    <w:rsid w:val="005C2D6D"/>
    <w:rsid w:val="005D08C1"/>
    <w:rsid w:val="005D5305"/>
    <w:rsid w:val="005D7088"/>
    <w:rsid w:val="005D7F4E"/>
    <w:rsid w:val="005E23AC"/>
    <w:rsid w:val="005E6584"/>
    <w:rsid w:val="005F4F3A"/>
    <w:rsid w:val="005F794E"/>
    <w:rsid w:val="00604F9D"/>
    <w:rsid w:val="00605540"/>
    <w:rsid w:val="00605827"/>
    <w:rsid w:val="0061246C"/>
    <w:rsid w:val="00615416"/>
    <w:rsid w:val="006177CA"/>
    <w:rsid w:val="00621AB2"/>
    <w:rsid w:val="00621D9A"/>
    <w:rsid w:val="006220DA"/>
    <w:rsid w:val="00627867"/>
    <w:rsid w:val="006303BE"/>
    <w:rsid w:val="006312EC"/>
    <w:rsid w:val="006355AD"/>
    <w:rsid w:val="00637708"/>
    <w:rsid w:val="0064277F"/>
    <w:rsid w:val="00646050"/>
    <w:rsid w:val="00654751"/>
    <w:rsid w:val="00660925"/>
    <w:rsid w:val="006636E1"/>
    <w:rsid w:val="00664407"/>
    <w:rsid w:val="00671015"/>
    <w:rsid w:val="006713CA"/>
    <w:rsid w:val="00674A65"/>
    <w:rsid w:val="00676C5C"/>
    <w:rsid w:val="00677F67"/>
    <w:rsid w:val="006850DA"/>
    <w:rsid w:val="00685DC4"/>
    <w:rsid w:val="006873F1"/>
    <w:rsid w:val="006923BC"/>
    <w:rsid w:val="006923C8"/>
    <w:rsid w:val="00694CBF"/>
    <w:rsid w:val="00697C6E"/>
    <w:rsid w:val="00697E35"/>
    <w:rsid w:val="006A0D3F"/>
    <w:rsid w:val="006A6EDF"/>
    <w:rsid w:val="006B1D7D"/>
    <w:rsid w:val="006B2AFA"/>
    <w:rsid w:val="006C25ED"/>
    <w:rsid w:val="006C33EA"/>
    <w:rsid w:val="006D08AA"/>
    <w:rsid w:val="006D6866"/>
    <w:rsid w:val="006E1A95"/>
    <w:rsid w:val="006E5C22"/>
    <w:rsid w:val="006E5D14"/>
    <w:rsid w:val="006E6DAD"/>
    <w:rsid w:val="006E7669"/>
    <w:rsid w:val="006F0553"/>
    <w:rsid w:val="006F2073"/>
    <w:rsid w:val="006F23BA"/>
    <w:rsid w:val="006F4C15"/>
    <w:rsid w:val="006F517F"/>
    <w:rsid w:val="006F6B4A"/>
    <w:rsid w:val="007058FB"/>
    <w:rsid w:val="007168AC"/>
    <w:rsid w:val="00722A93"/>
    <w:rsid w:val="00723B24"/>
    <w:rsid w:val="00730971"/>
    <w:rsid w:val="00745A6E"/>
    <w:rsid w:val="00750446"/>
    <w:rsid w:val="00752430"/>
    <w:rsid w:val="0075596C"/>
    <w:rsid w:val="00755DDD"/>
    <w:rsid w:val="00757E8E"/>
    <w:rsid w:val="00760E95"/>
    <w:rsid w:val="00767B72"/>
    <w:rsid w:val="00770E2E"/>
    <w:rsid w:val="00777C41"/>
    <w:rsid w:val="007830CB"/>
    <w:rsid w:val="00785724"/>
    <w:rsid w:val="007874B0"/>
    <w:rsid w:val="007875E8"/>
    <w:rsid w:val="00787E03"/>
    <w:rsid w:val="00791391"/>
    <w:rsid w:val="00795104"/>
    <w:rsid w:val="007A32C5"/>
    <w:rsid w:val="007A4088"/>
    <w:rsid w:val="007B0574"/>
    <w:rsid w:val="007B19BA"/>
    <w:rsid w:val="007B2EFB"/>
    <w:rsid w:val="007B38D4"/>
    <w:rsid w:val="007B6A58"/>
    <w:rsid w:val="007C20E0"/>
    <w:rsid w:val="007C234D"/>
    <w:rsid w:val="007C30B5"/>
    <w:rsid w:val="007C5559"/>
    <w:rsid w:val="007C6C2E"/>
    <w:rsid w:val="007D1613"/>
    <w:rsid w:val="007D1669"/>
    <w:rsid w:val="007D2421"/>
    <w:rsid w:val="007D5A9A"/>
    <w:rsid w:val="007D6A22"/>
    <w:rsid w:val="007D6FF0"/>
    <w:rsid w:val="007D746C"/>
    <w:rsid w:val="007E1F14"/>
    <w:rsid w:val="007E687F"/>
    <w:rsid w:val="007E70D8"/>
    <w:rsid w:val="007F16F9"/>
    <w:rsid w:val="007F4181"/>
    <w:rsid w:val="00800194"/>
    <w:rsid w:val="00801AB1"/>
    <w:rsid w:val="008022F1"/>
    <w:rsid w:val="008052E6"/>
    <w:rsid w:val="0081363B"/>
    <w:rsid w:val="00817B79"/>
    <w:rsid w:val="00817DBF"/>
    <w:rsid w:val="00824916"/>
    <w:rsid w:val="00833F5F"/>
    <w:rsid w:val="008400D1"/>
    <w:rsid w:val="008404B7"/>
    <w:rsid w:val="00840A87"/>
    <w:rsid w:val="008414E9"/>
    <w:rsid w:val="00846A49"/>
    <w:rsid w:val="00847021"/>
    <w:rsid w:val="008478F6"/>
    <w:rsid w:val="00851762"/>
    <w:rsid w:val="00853C67"/>
    <w:rsid w:val="0085532A"/>
    <w:rsid w:val="00862FFA"/>
    <w:rsid w:val="008676BD"/>
    <w:rsid w:val="0087184D"/>
    <w:rsid w:val="00871CAE"/>
    <w:rsid w:val="00880153"/>
    <w:rsid w:val="00881C5C"/>
    <w:rsid w:val="00882C1D"/>
    <w:rsid w:val="00893464"/>
    <w:rsid w:val="008954E3"/>
    <w:rsid w:val="008A0FBE"/>
    <w:rsid w:val="008A7961"/>
    <w:rsid w:val="008B2CC1"/>
    <w:rsid w:val="008B60B2"/>
    <w:rsid w:val="008C3DED"/>
    <w:rsid w:val="008C74E8"/>
    <w:rsid w:val="008C7722"/>
    <w:rsid w:val="008D26CB"/>
    <w:rsid w:val="008D3C31"/>
    <w:rsid w:val="008D55B2"/>
    <w:rsid w:val="008D5C16"/>
    <w:rsid w:val="008D7D70"/>
    <w:rsid w:val="008E3D48"/>
    <w:rsid w:val="008E435C"/>
    <w:rsid w:val="008E7480"/>
    <w:rsid w:val="008F00DC"/>
    <w:rsid w:val="008F3B49"/>
    <w:rsid w:val="008F7EBD"/>
    <w:rsid w:val="009031E7"/>
    <w:rsid w:val="009071A9"/>
    <w:rsid w:val="0090731E"/>
    <w:rsid w:val="00907451"/>
    <w:rsid w:val="00907F45"/>
    <w:rsid w:val="00907F8E"/>
    <w:rsid w:val="00910E73"/>
    <w:rsid w:val="00913903"/>
    <w:rsid w:val="00914A26"/>
    <w:rsid w:val="00916269"/>
    <w:rsid w:val="00916A9B"/>
    <w:rsid w:val="00916EE2"/>
    <w:rsid w:val="00920E74"/>
    <w:rsid w:val="00923496"/>
    <w:rsid w:val="00924E1D"/>
    <w:rsid w:val="00935C1C"/>
    <w:rsid w:val="00942C01"/>
    <w:rsid w:val="00953FF5"/>
    <w:rsid w:val="00962758"/>
    <w:rsid w:val="00963387"/>
    <w:rsid w:val="0096577B"/>
    <w:rsid w:val="00966A22"/>
    <w:rsid w:val="0096722F"/>
    <w:rsid w:val="00976B2B"/>
    <w:rsid w:val="009802E1"/>
    <w:rsid w:val="00980843"/>
    <w:rsid w:val="009819BE"/>
    <w:rsid w:val="00981D2A"/>
    <w:rsid w:val="00987739"/>
    <w:rsid w:val="009910F7"/>
    <w:rsid w:val="00995A2D"/>
    <w:rsid w:val="009A12FE"/>
    <w:rsid w:val="009B13E1"/>
    <w:rsid w:val="009B182D"/>
    <w:rsid w:val="009B5E66"/>
    <w:rsid w:val="009C37FB"/>
    <w:rsid w:val="009C3BD4"/>
    <w:rsid w:val="009C6F7D"/>
    <w:rsid w:val="009D15E7"/>
    <w:rsid w:val="009D1993"/>
    <w:rsid w:val="009D4121"/>
    <w:rsid w:val="009D59E5"/>
    <w:rsid w:val="009E0EA2"/>
    <w:rsid w:val="009E2791"/>
    <w:rsid w:val="009E3F6F"/>
    <w:rsid w:val="009E56F9"/>
    <w:rsid w:val="009F0C09"/>
    <w:rsid w:val="009F499F"/>
    <w:rsid w:val="00A00E8D"/>
    <w:rsid w:val="00A010A4"/>
    <w:rsid w:val="00A01236"/>
    <w:rsid w:val="00A029DD"/>
    <w:rsid w:val="00A070CA"/>
    <w:rsid w:val="00A077C3"/>
    <w:rsid w:val="00A10659"/>
    <w:rsid w:val="00A122D2"/>
    <w:rsid w:val="00A12BF4"/>
    <w:rsid w:val="00A24569"/>
    <w:rsid w:val="00A2657B"/>
    <w:rsid w:val="00A26B19"/>
    <w:rsid w:val="00A30B9C"/>
    <w:rsid w:val="00A35CE7"/>
    <w:rsid w:val="00A35E3C"/>
    <w:rsid w:val="00A36303"/>
    <w:rsid w:val="00A36E63"/>
    <w:rsid w:val="00A41DD8"/>
    <w:rsid w:val="00A42DAF"/>
    <w:rsid w:val="00A45BD8"/>
    <w:rsid w:val="00A50C12"/>
    <w:rsid w:val="00A50EE0"/>
    <w:rsid w:val="00A51ED7"/>
    <w:rsid w:val="00A52D34"/>
    <w:rsid w:val="00A57AE4"/>
    <w:rsid w:val="00A613D8"/>
    <w:rsid w:val="00A61FE3"/>
    <w:rsid w:val="00A6502F"/>
    <w:rsid w:val="00A66E51"/>
    <w:rsid w:val="00A74323"/>
    <w:rsid w:val="00A7488C"/>
    <w:rsid w:val="00A75E8D"/>
    <w:rsid w:val="00A76884"/>
    <w:rsid w:val="00A77BA6"/>
    <w:rsid w:val="00A8346E"/>
    <w:rsid w:val="00A84B73"/>
    <w:rsid w:val="00A85B8E"/>
    <w:rsid w:val="00A87220"/>
    <w:rsid w:val="00A87CA6"/>
    <w:rsid w:val="00AA228C"/>
    <w:rsid w:val="00AA321B"/>
    <w:rsid w:val="00AA57A9"/>
    <w:rsid w:val="00AB2B50"/>
    <w:rsid w:val="00AB3585"/>
    <w:rsid w:val="00AB7EB2"/>
    <w:rsid w:val="00AC0349"/>
    <w:rsid w:val="00AC0825"/>
    <w:rsid w:val="00AC205C"/>
    <w:rsid w:val="00AC514F"/>
    <w:rsid w:val="00AC5DA6"/>
    <w:rsid w:val="00AD3A61"/>
    <w:rsid w:val="00AD6512"/>
    <w:rsid w:val="00AE00DB"/>
    <w:rsid w:val="00AE5ACD"/>
    <w:rsid w:val="00AE7BE4"/>
    <w:rsid w:val="00AF3F18"/>
    <w:rsid w:val="00AF4A4E"/>
    <w:rsid w:val="00AF61EE"/>
    <w:rsid w:val="00B05A69"/>
    <w:rsid w:val="00B10E74"/>
    <w:rsid w:val="00B14DE4"/>
    <w:rsid w:val="00B15787"/>
    <w:rsid w:val="00B1779C"/>
    <w:rsid w:val="00B2126A"/>
    <w:rsid w:val="00B21ACA"/>
    <w:rsid w:val="00B23382"/>
    <w:rsid w:val="00B23BAA"/>
    <w:rsid w:val="00B277A4"/>
    <w:rsid w:val="00B311E6"/>
    <w:rsid w:val="00B324A9"/>
    <w:rsid w:val="00B34E17"/>
    <w:rsid w:val="00B35165"/>
    <w:rsid w:val="00B36A98"/>
    <w:rsid w:val="00B44123"/>
    <w:rsid w:val="00B50A74"/>
    <w:rsid w:val="00B532CB"/>
    <w:rsid w:val="00B55F8F"/>
    <w:rsid w:val="00B56438"/>
    <w:rsid w:val="00B570D2"/>
    <w:rsid w:val="00B64202"/>
    <w:rsid w:val="00B66F63"/>
    <w:rsid w:val="00B70D87"/>
    <w:rsid w:val="00B74E9E"/>
    <w:rsid w:val="00B77ADE"/>
    <w:rsid w:val="00B92B50"/>
    <w:rsid w:val="00B93272"/>
    <w:rsid w:val="00B95ADC"/>
    <w:rsid w:val="00B96DD9"/>
    <w:rsid w:val="00B9734B"/>
    <w:rsid w:val="00BA43CF"/>
    <w:rsid w:val="00BA45A3"/>
    <w:rsid w:val="00BB08EC"/>
    <w:rsid w:val="00BB22C4"/>
    <w:rsid w:val="00BB29B9"/>
    <w:rsid w:val="00BB6D15"/>
    <w:rsid w:val="00BC209B"/>
    <w:rsid w:val="00BC39C3"/>
    <w:rsid w:val="00BC5DBD"/>
    <w:rsid w:val="00BC7865"/>
    <w:rsid w:val="00BD2E40"/>
    <w:rsid w:val="00BD52CD"/>
    <w:rsid w:val="00BD6396"/>
    <w:rsid w:val="00BE4D05"/>
    <w:rsid w:val="00BE55B5"/>
    <w:rsid w:val="00BE57CA"/>
    <w:rsid w:val="00BE6712"/>
    <w:rsid w:val="00BF0144"/>
    <w:rsid w:val="00BF10AA"/>
    <w:rsid w:val="00BF1C77"/>
    <w:rsid w:val="00C101FD"/>
    <w:rsid w:val="00C11BFE"/>
    <w:rsid w:val="00C1232B"/>
    <w:rsid w:val="00C15F00"/>
    <w:rsid w:val="00C17856"/>
    <w:rsid w:val="00C32551"/>
    <w:rsid w:val="00C37A90"/>
    <w:rsid w:val="00C42A85"/>
    <w:rsid w:val="00C46641"/>
    <w:rsid w:val="00C519A8"/>
    <w:rsid w:val="00C5214B"/>
    <w:rsid w:val="00C529CB"/>
    <w:rsid w:val="00C535B2"/>
    <w:rsid w:val="00C555B4"/>
    <w:rsid w:val="00C55A7B"/>
    <w:rsid w:val="00C5679F"/>
    <w:rsid w:val="00C606E6"/>
    <w:rsid w:val="00C620A2"/>
    <w:rsid w:val="00C622AD"/>
    <w:rsid w:val="00C640F7"/>
    <w:rsid w:val="00C66FD6"/>
    <w:rsid w:val="00C71859"/>
    <w:rsid w:val="00C71B45"/>
    <w:rsid w:val="00C72F9D"/>
    <w:rsid w:val="00C73263"/>
    <w:rsid w:val="00C744B3"/>
    <w:rsid w:val="00C765F0"/>
    <w:rsid w:val="00C76638"/>
    <w:rsid w:val="00C76D8B"/>
    <w:rsid w:val="00C77961"/>
    <w:rsid w:val="00C86B27"/>
    <w:rsid w:val="00C86C3E"/>
    <w:rsid w:val="00C916F9"/>
    <w:rsid w:val="00C94629"/>
    <w:rsid w:val="00C9704E"/>
    <w:rsid w:val="00CA0611"/>
    <w:rsid w:val="00CA0EC1"/>
    <w:rsid w:val="00CA196F"/>
    <w:rsid w:val="00CB3F81"/>
    <w:rsid w:val="00CB556C"/>
    <w:rsid w:val="00CB6AED"/>
    <w:rsid w:val="00CC11C5"/>
    <w:rsid w:val="00CC2A95"/>
    <w:rsid w:val="00CC3861"/>
    <w:rsid w:val="00CD65BE"/>
    <w:rsid w:val="00CD66D6"/>
    <w:rsid w:val="00CE033F"/>
    <w:rsid w:val="00CE0AF5"/>
    <w:rsid w:val="00CE2815"/>
    <w:rsid w:val="00CE4629"/>
    <w:rsid w:val="00CE52C9"/>
    <w:rsid w:val="00CF1116"/>
    <w:rsid w:val="00CF1A6B"/>
    <w:rsid w:val="00CF1CBF"/>
    <w:rsid w:val="00CF286F"/>
    <w:rsid w:val="00CF3B66"/>
    <w:rsid w:val="00D05F94"/>
    <w:rsid w:val="00D067C8"/>
    <w:rsid w:val="00D12A8F"/>
    <w:rsid w:val="00D14130"/>
    <w:rsid w:val="00D14B75"/>
    <w:rsid w:val="00D16DD9"/>
    <w:rsid w:val="00D20104"/>
    <w:rsid w:val="00D2056B"/>
    <w:rsid w:val="00D27037"/>
    <w:rsid w:val="00D304AD"/>
    <w:rsid w:val="00D43B70"/>
    <w:rsid w:val="00D45252"/>
    <w:rsid w:val="00D457B3"/>
    <w:rsid w:val="00D510AC"/>
    <w:rsid w:val="00D516E7"/>
    <w:rsid w:val="00D52C86"/>
    <w:rsid w:val="00D54476"/>
    <w:rsid w:val="00D575A5"/>
    <w:rsid w:val="00D64007"/>
    <w:rsid w:val="00D646CA"/>
    <w:rsid w:val="00D65E5F"/>
    <w:rsid w:val="00D71B4D"/>
    <w:rsid w:val="00D741E5"/>
    <w:rsid w:val="00D7508D"/>
    <w:rsid w:val="00D751FA"/>
    <w:rsid w:val="00D7575C"/>
    <w:rsid w:val="00D80BB7"/>
    <w:rsid w:val="00D82B01"/>
    <w:rsid w:val="00D830F1"/>
    <w:rsid w:val="00D8524D"/>
    <w:rsid w:val="00D93D55"/>
    <w:rsid w:val="00DA6ADF"/>
    <w:rsid w:val="00DA77DB"/>
    <w:rsid w:val="00DB0525"/>
    <w:rsid w:val="00DB09C2"/>
    <w:rsid w:val="00DB76B2"/>
    <w:rsid w:val="00DC48E2"/>
    <w:rsid w:val="00DD03BE"/>
    <w:rsid w:val="00DD130E"/>
    <w:rsid w:val="00DD5EA8"/>
    <w:rsid w:val="00DD60F0"/>
    <w:rsid w:val="00DE390D"/>
    <w:rsid w:val="00DE4AA9"/>
    <w:rsid w:val="00DE54E6"/>
    <w:rsid w:val="00DF27E3"/>
    <w:rsid w:val="00DF7C4C"/>
    <w:rsid w:val="00E019B0"/>
    <w:rsid w:val="00E03902"/>
    <w:rsid w:val="00E0398F"/>
    <w:rsid w:val="00E04B15"/>
    <w:rsid w:val="00E07818"/>
    <w:rsid w:val="00E14B47"/>
    <w:rsid w:val="00E16E2A"/>
    <w:rsid w:val="00E1764A"/>
    <w:rsid w:val="00E204EC"/>
    <w:rsid w:val="00E218C9"/>
    <w:rsid w:val="00E2310A"/>
    <w:rsid w:val="00E2643D"/>
    <w:rsid w:val="00E32ADE"/>
    <w:rsid w:val="00E32C97"/>
    <w:rsid w:val="00E335FE"/>
    <w:rsid w:val="00E365E6"/>
    <w:rsid w:val="00E40F81"/>
    <w:rsid w:val="00E412BD"/>
    <w:rsid w:val="00E4156D"/>
    <w:rsid w:val="00E5021F"/>
    <w:rsid w:val="00E534BA"/>
    <w:rsid w:val="00E54B0B"/>
    <w:rsid w:val="00E613EE"/>
    <w:rsid w:val="00E6391F"/>
    <w:rsid w:val="00E647AC"/>
    <w:rsid w:val="00E65EF4"/>
    <w:rsid w:val="00E71E89"/>
    <w:rsid w:val="00E73E24"/>
    <w:rsid w:val="00E740BE"/>
    <w:rsid w:val="00E763B9"/>
    <w:rsid w:val="00E871AA"/>
    <w:rsid w:val="00E87B71"/>
    <w:rsid w:val="00E9204A"/>
    <w:rsid w:val="00E9606C"/>
    <w:rsid w:val="00E975E7"/>
    <w:rsid w:val="00EA2EF2"/>
    <w:rsid w:val="00EA4F60"/>
    <w:rsid w:val="00EA5E97"/>
    <w:rsid w:val="00EB06DD"/>
    <w:rsid w:val="00EB3B20"/>
    <w:rsid w:val="00EC02FD"/>
    <w:rsid w:val="00EC0EAE"/>
    <w:rsid w:val="00EC291B"/>
    <w:rsid w:val="00EC2D3E"/>
    <w:rsid w:val="00EC3D5D"/>
    <w:rsid w:val="00EC4E49"/>
    <w:rsid w:val="00ED1829"/>
    <w:rsid w:val="00ED1AFE"/>
    <w:rsid w:val="00ED25C9"/>
    <w:rsid w:val="00ED2D59"/>
    <w:rsid w:val="00ED77FB"/>
    <w:rsid w:val="00EE1950"/>
    <w:rsid w:val="00EE2819"/>
    <w:rsid w:val="00EE5737"/>
    <w:rsid w:val="00EE7BCE"/>
    <w:rsid w:val="00EF17CB"/>
    <w:rsid w:val="00EF524D"/>
    <w:rsid w:val="00EF631C"/>
    <w:rsid w:val="00EF72F8"/>
    <w:rsid w:val="00F021A6"/>
    <w:rsid w:val="00F028B6"/>
    <w:rsid w:val="00F102B3"/>
    <w:rsid w:val="00F119C5"/>
    <w:rsid w:val="00F13049"/>
    <w:rsid w:val="00F154F9"/>
    <w:rsid w:val="00F15737"/>
    <w:rsid w:val="00F21A32"/>
    <w:rsid w:val="00F321BB"/>
    <w:rsid w:val="00F3226B"/>
    <w:rsid w:val="00F410AE"/>
    <w:rsid w:val="00F415B1"/>
    <w:rsid w:val="00F426D1"/>
    <w:rsid w:val="00F45986"/>
    <w:rsid w:val="00F505DD"/>
    <w:rsid w:val="00F5085B"/>
    <w:rsid w:val="00F50E35"/>
    <w:rsid w:val="00F55836"/>
    <w:rsid w:val="00F563BB"/>
    <w:rsid w:val="00F57BF6"/>
    <w:rsid w:val="00F64205"/>
    <w:rsid w:val="00F64B45"/>
    <w:rsid w:val="00F66152"/>
    <w:rsid w:val="00F72029"/>
    <w:rsid w:val="00F737AB"/>
    <w:rsid w:val="00F73A5E"/>
    <w:rsid w:val="00F7489E"/>
    <w:rsid w:val="00F76F40"/>
    <w:rsid w:val="00F812A1"/>
    <w:rsid w:val="00F82B5B"/>
    <w:rsid w:val="00F9030B"/>
    <w:rsid w:val="00FA1093"/>
    <w:rsid w:val="00FB11DF"/>
    <w:rsid w:val="00FB238F"/>
    <w:rsid w:val="00FB6A25"/>
    <w:rsid w:val="00FB70C5"/>
    <w:rsid w:val="00FC42F8"/>
    <w:rsid w:val="00FC7965"/>
    <w:rsid w:val="00FD2537"/>
    <w:rsid w:val="00FD5B85"/>
    <w:rsid w:val="00FD7E68"/>
    <w:rsid w:val="00FE199D"/>
    <w:rsid w:val="00FE1F9A"/>
    <w:rsid w:val="00FE2EAA"/>
    <w:rsid w:val="00FE4CE5"/>
    <w:rsid w:val="00FE591A"/>
    <w:rsid w:val="00FF43B6"/>
    <w:rsid w:val="00FF6721"/>
    <w:rsid w:val="00FF7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723B24"/>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uiPriority w:val="99"/>
    <w:locked/>
    <w:rsid w:val="002C535F"/>
    <w:rPr>
      <w:rFonts w:ascii="Arial" w:hAnsi="Arial"/>
      <w:sz w:val="22"/>
      <w:lang w:val="x-none" w:eastAsia="x-none"/>
    </w:rPr>
  </w:style>
  <w:style w:type="paragraph" w:styleId="Revision">
    <w:name w:val="Revision"/>
    <w:hidden/>
    <w:uiPriority w:val="99"/>
    <w:semiHidden/>
    <w:rsid w:val="00B10E74"/>
    <w:rPr>
      <w:rFonts w:ascii="Arial" w:eastAsia="SimSun" w:hAnsi="Arial" w:cs="Arial"/>
      <w:sz w:val="22"/>
      <w:lang w:eastAsia="zh-CN"/>
    </w:rPr>
  </w:style>
  <w:style w:type="character" w:customStyle="1" w:styleId="apple-converted-space">
    <w:name w:val="apple-converted-space"/>
    <w:basedOn w:val="DefaultParagraphFont"/>
    <w:rsid w:val="0016490F"/>
  </w:style>
  <w:style w:type="paragraph" w:customStyle="1" w:styleId="Default">
    <w:name w:val="Default"/>
    <w:rsid w:val="008D5C1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723B24"/>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uiPriority w:val="99"/>
    <w:locked/>
    <w:rsid w:val="002C535F"/>
    <w:rPr>
      <w:rFonts w:ascii="Arial" w:hAnsi="Arial"/>
      <w:sz w:val="22"/>
      <w:lang w:val="x-none" w:eastAsia="x-none"/>
    </w:rPr>
  </w:style>
  <w:style w:type="paragraph" w:styleId="Revision">
    <w:name w:val="Revision"/>
    <w:hidden/>
    <w:uiPriority w:val="99"/>
    <w:semiHidden/>
    <w:rsid w:val="00B10E74"/>
    <w:rPr>
      <w:rFonts w:ascii="Arial" w:eastAsia="SimSun" w:hAnsi="Arial" w:cs="Arial"/>
      <w:sz w:val="22"/>
      <w:lang w:eastAsia="zh-CN"/>
    </w:rPr>
  </w:style>
  <w:style w:type="character" w:customStyle="1" w:styleId="apple-converted-space">
    <w:name w:val="apple-converted-space"/>
    <w:basedOn w:val="DefaultParagraphFont"/>
    <w:rsid w:val="0016490F"/>
  </w:style>
  <w:style w:type="paragraph" w:customStyle="1" w:styleId="Default">
    <w:name w:val="Default"/>
    <w:rsid w:val="008D5C1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2810">
      <w:bodyDiv w:val="1"/>
      <w:marLeft w:val="0"/>
      <w:marRight w:val="0"/>
      <w:marTop w:val="0"/>
      <w:marBottom w:val="0"/>
      <w:divBdr>
        <w:top w:val="none" w:sz="0" w:space="0" w:color="auto"/>
        <w:left w:val="none" w:sz="0" w:space="0" w:color="auto"/>
        <w:bottom w:val="none" w:sz="0" w:space="0" w:color="auto"/>
        <w:right w:val="none" w:sz="0" w:space="0" w:color="auto"/>
      </w:divBdr>
    </w:div>
    <w:div w:id="248387329">
      <w:bodyDiv w:val="1"/>
      <w:marLeft w:val="0"/>
      <w:marRight w:val="0"/>
      <w:marTop w:val="0"/>
      <w:marBottom w:val="0"/>
      <w:divBdr>
        <w:top w:val="none" w:sz="0" w:space="0" w:color="auto"/>
        <w:left w:val="none" w:sz="0" w:space="0" w:color="auto"/>
        <w:bottom w:val="none" w:sz="0" w:space="0" w:color="auto"/>
        <w:right w:val="none" w:sz="0" w:space="0" w:color="auto"/>
      </w:divBdr>
    </w:div>
    <w:div w:id="456996221">
      <w:bodyDiv w:val="1"/>
      <w:marLeft w:val="0"/>
      <w:marRight w:val="0"/>
      <w:marTop w:val="0"/>
      <w:marBottom w:val="0"/>
      <w:divBdr>
        <w:top w:val="none" w:sz="0" w:space="0" w:color="auto"/>
        <w:left w:val="none" w:sz="0" w:space="0" w:color="auto"/>
        <w:bottom w:val="none" w:sz="0" w:space="0" w:color="auto"/>
        <w:right w:val="none" w:sz="0" w:space="0" w:color="auto"/>
      </w:divBdr>
    </w:div>
    <w:div w:id="555356643">
      <w:bodyDiv w:val="1"/>
      <w:marLeft w:val="0"/>
      <w:marRight w:val="0"/>
      <w:marTop w:val="0"/>
      <w:marBottom w:val="0"/>
      <w:divBdr>
        <w:top w:val="none" w:sz="0" w:space="0" w:color="auto"/>
        <w:left w:val="none" w:sz="0" w:space="0" w:color="auto"/>
        <w:bottom w:val="none" w:sz="0" w:space="0" w:color="auto"/>
        <w:right w:val="none" w:sz="0" w:space="0" w:color="auto"/>
      </w:divBdr>
    </w:div>
    <w:div w:id="591934274">
      <w:bodyDiv w:val="1"/>
      <w:marLeft w:val="0"/>
      <w:marRight w:val="0"/>
      <w:marTop w:val="0"/>
      <w:marBottom w:val="0"/>
      <w:divBdr>
        <w:top w:val="none" w:sz="0" w:space="0" w:color="auto"/>
        <w:left w:val="none" w:sz="0" w:space="0" w:color="auto"/>
        <w:bottom w:val="none" w:sz="0" w:space="0" w:color="auto"/>
        <w:right w:val="none" w:sz="0" w:space="0" w:color="auto"/>
      </w:divBdr>
    </w:div>
    <w:div w:id="641692350">
      <w:bodyDiv w:val="1"/>
      <w:marLeft w:val="0"/>
      <w:marRight w:val="0"/>
      <w:marTop w:val="0"/>
      <w:marBottom w:val="0"/>
      <w:divBdr>
        <w:top w:val="none" w:sz="0" w:space="0" w:color="auto"/>
        <w:left w:val="none" w:sz="0" w:space="0" w:color="auto"/>
        <w:bottom w:val="none" w:sz="0" w:space="0" w:color="auto"/>
        <w:right w:val="none" w:sz="0" w:space="0" w:color="auto"/>
      </w:divBdr>
    </w:div>
    <w:div w:id="815689020">
      <w:bodyDiv w:val="1"/>
      <w:marLeft w:val="0"/>
      <w:marRight w:val="0"/>
      <w:marTop w:val="0"/>
      <w:marBottom w:val="0"/>
      <w:divBdr>
        <w:top w:val="none" w:sz="0" w:space="0" w:color="auto"/>
        <w:left w:val="none" w:sz="0" w:space="0" w:color="auto"/>
        <w:bottom w:val="none" w:sz="0" w:space="0" w:color="auto"/>
        <w:right w:val="none" w:sz="0" w:space="0" w:color="auto"/>
      </w:divBdr>
    </w:div>
    <w:div w:id="1075279655">
      <w:bodyDiv w:val="1"/>
      <w:marLeft w:val="0"/>
      <w:marRight w:val="0"/>
      <w:marTop w:val="0"/>
      <w:marBottom w:val="0"/>
      <w:divBdr>
        <w:top w:val="none" w:sz="0" w:space="0" w:color="auto"/>
        <w:left w:val="none" w:sz="0" w:space="0" w:color="auto"/>
        <w:bottom w:val="none" w:sz="0" w:space="0" w:color="auto"/>
        <w:right w:val="none" w:sz="0" w:space="0" w:color="auto"/>
      </w:divBdr>
    </w:div>
    <w:div w:id="1260063137">
      <w:bodyDiv w:val="1"/>
      <w:marLeft w:val="0"/>
      <w:marRight w:val="0"/>
      <w:marTop w:val="0"/>
      <w:marBottom w:val="0"/>
      <w:divBdr>
        <w:top w:val="none" w:sz="0" w:space="0" w:color="auto"/>
        <w:left w:val="none" w:sz="0" w:space="0" w:color="auto"/>
        <w:bottom w:val="none" w:sz="0" w:space="0" w:color="auto"/>
        <w:right w:val="none" w:sz="0" w:space="0" w:color="auto"/>
      </w:divBdr>
    </w:div>
    <w:div w:id="1386181304">
      <w:bodyDiv w:val="1"/>
      <w:marLeft w:val="0"/>
      <w:marRight w:val="0"/>
      <w:marTop w:val="0"/>
      <w:marBottom w:val="0"/>
      <w:divBdr>
        <w:top w:val="none" w:sz="0" w:space="0" w:color="auto"/>
        <w:left w:val="none" w:sz="0" w:space="0" w:color="auto"/>
        <w:bottom w:val="none" w:sz="0" w:space="0" w:color="auto"/>
        <w:right w:val="none" w:sz="0" w:space="0" w:color="auto"/>
      </w:divBdr>
    </w:div>
    <w:div w:id="1424183143">
      <w:bodyDiv w:val="1"/>
      <w:marLeft w:val="0"/>
      <w:marRight w:val="0"/>
      <w:marTop w:val="0"/>
      <w:marBottom w:val="0"/>
      <w:divBdr>
        <w:top w:val="none" w:sz="0" w:space="0" w:color="auto"/>
        <w:left w:val="none" w:sz="0" w:space="0" w:color="auto"/>
        <w:bottom w:val="none" w:sz="0" w:space="0" w:color="auto"/>
        <w:right w:val="none" w:sz="0" w:space="0" w:color="auto"/>
      </w:divBdr>
    </w:div>
    <w:div w:id="1440367529">
      <w:bodyDiv w:val="1"/>
      <w:marLeft w:val="0"/>
      <w:marRight w:val="0"/>
      <w:marTop w:val="0"/>
      <w:marBottom w:val="0"/>
      <w:divBdr>
        <w:top w:val="none" w:sz="0" w:space="0" w:color="auto"/>
        <w:left w:val="none" w:sz="0" w:space="0" w:color="auto"/>
        <w:bottom w:val="none" w:sz="0" w:space="0" w:color="auto"/>
        <w:right w:val="none" w:sz="0" w:space="0" w:color="auto"/>
      </w:divBdr>
    </w:div>
    <w:div w:id="1524519728">
      <w:bodyDiv w:val="1"/>
      <w:marLeft w:val="0"/>
      <w:marRight w:val="0"/>
      <w:marTop w:val="0"/>
      <w:marBottom w:val="0"/>
      <w:divBdr>
        <w:top w:val="none" w:sz="0" w:space="0" w:color="auto"/>
        <w:left w:val="none" w:sz="0" w:space="0" w:color="auto"/>
        <w:bottom w:val="none" w:sz="0" w:space="0" w:color="auto"/>
        <w:right w:val="none" w:sz="0" w:space="0" w:color="auto"/>
      </w:divBdr>
    </w:div>
    <w:div w:id="1864594365">
      <w:bodyDiv w:val="1"/>
      <w:marLeft w:val="0"/>
      <w:marRight w:val="0"/>
      <w:marTop w:val="0"/>
      <w:marBottom w:val="0"/>
      <w:divBdr>
        <w:top w:val="none" w:sz="0" w:space="0" w:color="auto"/>
        <w:left w:val="none" w:sz="0" w:space="0" w:color="auto"/>
        <w:bottom w:val="none" w:sz="0" w:space="0" w:color="auto"/>
        <w:right w:val="none" w:sz="0" w:space="0" w:color="auto"/>
      </w:divBdr>
    </w:div>
    <w:div w:id="19779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6.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garba\Desktop\2017\Recommendations\IAOC%20June%202017\TeamCentral%20Analysis%20_June_1_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garba\Desktop\2017\Recommendations\IAOC%20June%202017\TeamCentral%20Analysis%20_June_1_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garba\Desktop\2017\Recommendations\IAOC%20June%202017\TeamCentral%20Analysis%20_June_1_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garba\Desktop\2017\Recommendations\IAOC%20June%202017\TeamCentral%20Analysis%20_June_1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pivotSource>
    <c:name>[TeamCentral Analysis _June_30_2017.xlsx]by priority!PivotTable2</c:name>
    <c:fmtId val="-1"/>
  </c:pivotSource>
  <c:chart>
    <c:autoTitleDeleted val="1"/>
    <c:pivotFmts>
      <c:pivotFmt>
        <c:idx val="0"/>
        <c:marker>
          <c:symbol val="none"/>
        </c:marker>
        <c:dLbl>
          <c:idx val="0"/>
          <c:showLegendKey val="0"/>
          <c:showVal val="1"/>
          <c:showCatName val="0"/>
          <c:showSerName val="0"/>
          <c:showPercent val="0"/>
          <c:showBubbleSize val="0"/>
        </c:dLbl>
      </c:pivotFmt>
      <c:pivotFmt>
        <c:idx val="1"/>
        <c:spPr>
          <a:solidFill>
            <a:schemeClr val="accent3"/>
          </a:solidFill>
        </c:spPr>
      </c:pivotFmt>
      <c:pivotFmt>
        <c:idx val="2"/>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3"/>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
        <c:idx val="4"/>
        <c:marker>
          <c:symbol val="none"/>
        </c:marker>
        <c:dLbl>
          <c:idx val="0"/>
          <c:spPr/>
          <c:txPr>
            <a:bodyPr/>
            <a:lstStyle/>
            <a:p>
              <a:pPr>
                <a:defRPr/>
              </a:pPr>
              <a:endParaRPr lang="en-US"/>
            </a:p>
          </c:txPr>
          <c:showLegendKey val="0"/>
          <c:showVal val="1"/>
          <c:showCatName val="0"/>
          <c:showSerName val="0"/>
          <c:showPercent val="0"/>
          <c:showBubbleSize val="0"/>
        </c:dLbl>
      </c:pivotFmt>
      <c:pivotFmt>
        <c:idx val="5"/>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6"/>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
        <c:idx val="7"/>
        <c:marker>
          <c:symbol val="none"/>
        </c:marker>
        <c:dLbl>
          <c:idx val="0"/>
          <c:spPr/>
          <c:txPr>
            <a:bodyPr/>
            <a:lstStyle/>
            <a:p>
              <a:pPr>
                <a:defRPr/>
              </a:pPr>
              <a:endParaRPr lang="en-US"/>
            </a:p>
          </c:txPr>
          <c:showLegendKey val="0"/>
          <c:showVal val="1"/>
          <c:showCatName val="0"/>
          <c:showSerName val="0"/>
          <c:showPercent val="0"/>
          <c:showBubbleSize val="0"/>
        </c:dLbl>
      </c:pivotFmt>
      <c:pivotFmt>
        <c:idx val="8"/>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9"/>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s>
    <c:view3D>
      <c:rotX val="15"/>
      <c:rotY val="20"/>
      <c:rAngAx val="1"/>
    </c:view3D>
    <c:floor>
      <c:thickness val="0"/>
    </c:floor>
    <c:sideWall>
      <c:thickness val="0"/>
    </c:sideWall>
    <c:backWall>
      <c:thickness val="0"/>
    </c:backWall>
    <c:plotArea>
      <c:layout>
        <c:manualLayout>
          <c:layoutTarget val="inner"/>
          <c:xMode val="edge"/>
          <c:yMode val="edge"/>
          <c:x val="0.13545716621487888"/>
          <c:y val="0.12703014018982223"/>
          <c:w val="0.8164554020911321"/>
          <c:h val="0.71466557201676806"/>
        </c:manualLayout>
      </c:layout>
      <c:bar3DChart>
        <c:barDir val="col"/>
        <c:grouping val="clustered"/>
        <c:varyColors val="0"/>
        <c:ser>
          <c:idx val="0"/>
          <c:order val="0"/>
          <c:tx>
            <c:strRef>
              <c:f>'by priority'!$B$3</c:f>
              <c:strCache>
                <c:ptCount val="1"/>
                <c:pt idx="0">
                  <c:v>Total</c:v>
                </c:pt>
              </c:strCache>
            </c:strRef>
          </c:tx>
          <c:invertIfNegative val="0"/>
          <c:dPt>
            <c:idx val="0"/>
            <c:invertIfNegative val="0"/>
            <c:bubble3D val="0"/>
            <c:spPr>
              <a:solidFill>
                <a:schemeClr val="accent1"/>
              </a:solidFill>
            </c:spPr>
          </c:dPt>
          <c:dPt>
            <c:idx val="1"/>
            <c:invertIfNegative val="0"/>
            <c:bubble3D val="0"/>
            <c:spPr>
              <a:solidFill>
                <a:schemeClr val="accent2"/>
              </a:solidFill>
            </c:spPr>
          </c:dPt>
          <c:dPt>
            <c:idx val="2"/>
            <c:invertIfNegative val="0"/>
            <c:bubble3D val="0"/>
          </c:dPt>
          <c:dLbls>
            <c:dLbl>
              <c:idx val="0"/>
              <c:layout>
                <c:manualLayout>
                  <c:x val="3.0889589505537159E-2"/>
                  <c:y val="-7.1162305585164301E-2"/>
                </c:manualLayout>
              </c:layout>
              <c:showLegendKey val="0"/>
              <c:showVal val="1"/>
              <c:showCatName val="0"/>
              <c:showSerName val="0"/>
              <c:showPercent val="0"/>
              <c:showBubbleSize val="0"/>
            </c:dLbl>
            <c:dLbl>
              <c:idx val="1"/>
              <c:layout>
                <c:manualLayout>
                  <c:x val="4.2924211938296444E-2"/>
                  <c:y val="-8.2982727595731706E-2"/>
                </c:manualLayout>
              </c:layout>
              <c:showLegendKey val="0"/>
              <c:showVal val="1"/>
              <c:showCatName val="0"/>
              <c:showSerName val="0"/>
              <c:showPercent val="0"/>
              <c:showBubbleSize val="0"/>
            </c:dLbl>
            <c:txPr>
              <a:bodyPr/>
              <a:lstStyle/>
              <a:p>
                <a:pPr>
                  <a:defRPr/>
                </a:pPr>
                <a:endParaRPr lang="en-US"/>
              </a:p>
            </c:txPr>
            <c:showLegendKey val="0"/>
            <c:showVal val="1"/>
            <c:showCatName val="0"/>
            <c:showSerName val="0"/>
            <c:showPercent val="0"/>
            <c:showBubbleSize val="0"/>
            <c:showLeaderLines val="0"/>
          </c:dLbls>
          <c:cat>
            <c:strRef>
              <c:f>'by priority'!$A$4:$A$6</c:f>
              <c:strCache>
                <c:ptCount val="2"/>
                <c:pt idx="0">
                  <c:v>High</c:v>
                </c:pt>
                <c:pt idx="1">
                  <c:v>Medium</c:v>
                </c:pt>
              </c:strCache>
            </c:strRef>
          </c:cat>
          <c:val>
            <c:numRef>
              <c:f>'by priority'!$B$4:$B$6</c:f>
              <c:numCache>
                <c:formatCode>General</c:formatCode>
                <c:ptCount val="2"/>
                <c:pt idx="0">
                  <c:v>99</c:v>
                </c:pt>
                <c:pt idx="1">
                  <c:v>94</c:v>
                </c:pt>
              </c:numCache>
            </c:numRef>
          </c:val>
        </c:ser>
        <c:dLbls>
          <c:showLegendKey val="0"/>
          <c:showVal val="1"/>
          <c:showCatName val="0"/>
          <c:showSerName val="0"/>
          <c:showPercent val="0"/>
          <c:showBubbleSize val="0"/>
        </c:dLbls>
        <c:gapWidth val="75"/>
        <c:shape val="box"/>
        <c:axId val="54645504"/>
        <c:axId val="59043200"/>
        <c:axId val="0"/>
      </c:bar3DChart>
      <c:catAx>
        <c:axId val="54645504"/>
        <c:scaling>
          <c:orientation val="minMax"/>
        </c:scaling>
        <c:delete val="0"/>
        <c:axPos val="b"/>
        <c:majorTickMark val="none"/>
        <c:minorTickMark val="none"/>
        <c:tickLblPos val="nextTo"/>
        <c:crossAx val="59043200"/>
        <c:crosses val="autoZero"/>
        <c:auto val="1"/>
        <c:lblAlgn val="ctr"/>
        <c:lblOffset val="100"/>
        <c:noMultiLvlLbl val="0"/>
      </c:catAx>
      <c:valAx>
        <c:axId val="59043200"/>
        <c:scaling>
          <c:orientation val="minMax"/>
        </c:scaling>
        <c:delete val="0"/>
        <c:axPos val="l"/>
        <c:numFmt formatCode="General" sourceLinked="1"/>
        <c:majorTickMark val="none"/>
        <c:minorTickMark val="none"/>
        <c:tickLblPos val="nextTo"/>
        <c:crossAx val="54645504"/>
        <c:crosses val="autoZero"/>
        <c:crossBetween val="between"/>
      </c:valAx>
    </c:plotArea>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80275480885224"/>
          <c:y val="0.2307529352425253"/>
          <c:w val="0.5555344022108657"/>
          <c:h val="0.70973968111637287"/>
        </c:manualLayout>
      </c:layout>
      <c:pieChart>
        <c:varyColors val="1"/>
        <c:ser>
          <c:idx val="0"/>
          <c:order val="0"/>
          <c:dLbls>
            <c:showLegendKey val="0"/>
            <c:showVal val="1"/>
            <c:showCatName val="1"/>
            <c:showSerName val="0"/>
            <c:showPercent val="0"/>
            <c:showBubbleSize val="0"/>
            <c:showLeaderLines val="1"/>
          </c:dLbls>
          <c:cat>
            <c:strRef>
              <c:f>source!$A$17:$A$18</c:f>
              <c:strCache>
                <c:ptCount val="2"/>
                <c:pt idx="0">
                  <c:v>External Audit</c:v>
                </c:pt>
                <c:pt idx="1">
                  <c:v>IOD</c:v>
                </c:pt>
              </c:strCache>
            </c:strRef>
          </c:cat>
          <c:val>
            <c:numRef>
              <c:f>source!$B$17:$B$18</c:f>
              <c:numCache>
                <c:formatCode>General</c:formatCode>
                <c:ptCount val="2"/>
                <c:pt idx="0">
                  <c:v>48</c:v>
                </c:pt>
                <c:pt idx="1">
                  <c:v>145</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[TeamCentral Analysis _June_30_2017.xlsx]priority by year!PivotTable6</c:name>
    <c:fmtId val="-1"/>
  </c:pivotSource>
  <c:chart>
    <c:autoTitleDeleted val="1"/>
    <c:pivotFmts>
      <c:pivotFmt>
        <c:idx val="0"/>
        <c:spPr>
          <a:solidFill>
            <a:srgbClr val="C00000"/>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
        <c:spPr>
          <a:solidFill>
            <a:schemeClr val="accent1"/>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2"/>
        <c:marker>
          <c:symbol val="none"/>
        </c:marker>
        <c:dLbl>
          <c:idx val="0"/>
          <c:spPr/>
          <c:txPr>
            <a:bodyPr/>
            <a:lstStyle/>
            <a:p>
              <a:pPr>
                <a:defRPr/>
              </a:pPr>
              <a:endParaRPr lang="en-US"/>
            </a:p>
          </c:txPr>
          <c:showLegendKey val="0"/>
          <c:showVal val="1"/>
          <c:showCatName val="0"/>
          <c:showSerName val="0"/>
          <c:showPercent val="0"/>
          <c:showBubbleSize val="0"/>
        </c:dLbl>
      </c:pivotFmt>
      <c:pivotFmt>
        <c:idx val="3"/>
        <c:dLbl>
          <c:idx val="0"/>
          <c:layout>
            <c:manualLayout>
              <c:x val="1.8171493469619535E-2"/>
              <c:y val="0"/>
            </c:manualLayout>
          </c:layout>
          <c:showLegendKey val="0"/>
          <c:showVal val="1"/>
          <c:showCatName val="0"/>
          <c:showSerName val="0"/>
          <c:showPercent val="0"/>
          <c:showBubbleSize val="0"/>
        </c:dLbl>
      </c:pivotFmt>
      <c:pivotFmt>
        <c:idx val="4"/>
        <c:dLbl>
          <c:idx val="0"/>
          <c:layout>
            <c:manualLayout>
              <c:x val="1.3628620102214568E-2"/>
              <c:y val="0"/>
            </c:manualLayout>
          </c:layout>
          <c:showLegendKey val="0"/>
          <c:showVal val="1"/>
          <c:showCatName val="0"/>
          <c:showSerName val="0"/>
          <c:showPercent val="0"/>
          <c:showBubbleSize val="0"/>
        </c:dLbl>
      </c:pivotFmt>
      <c:pivotFmt>
        <c:idx val="5"/>
        <c:dLbl>
          <c:idx val="0"/>
          <c:layout>
            <c:manualLayout>
              <c:x val="6.8143100511073255E-3"/>
              <c:y val="0"/>
            </c:manualLayout>
          </c:layout>
          <c:showLegendKey val="0"/>
          <c:showVal val="1"/>
          <c:showCatName val="0"/>
          <c:showSerName val="0"/>
          <c:showPercent val="0"/>
          <c:showBubbleSize val="0"/>
        </c:dLbl>
      </c:pivotFmt>
      <c:pivotFmt>
        <c:idx val="6"/>
        <c:dLbl>
          <c:idx val="0"/>
          <c:layout>
            <c:manualLayout>
              <c:x val="9.2378752886836026E-3"/>
              <c:y val="-8.8887895983494385E-17"/>
            </c:manualLayout>
          </c:layout>
          <c:showLegendKey val="0"/>
          <c:showVal val="1"/>
          <c:showCatName val="0"/>
          <c:showSerName val="0"/>
          <c:showPercent val="0"/>
          <c:showBubbleSize val="0"/>
        </c:dLbl>
      </c:pivotFmt>
      <c:pivotFmt>
        <c:idx val="7"/>
        <c:dLbl>
          <c:idx val="0"/>
          <c:layout>
            <c:manualLayout>
              <c:x val="9.2378752886836026E-3"/>
              <c:y val="0"/>
            </c:manualLayout>
          </c:layout>
          <c:showLegendKey val="0"/>
          <c:showVal val="1"/>
          <c:showCatName val="0"/>
          <c:showSerName val="0"/>
          <c:showPercent val="0"/>
          <c:showBubbleSize val="0"/>
        </c:dLbl>
      </c:pivotFmt>
      <c:pivotFmt>
        <c:idx val="8"/>
        <c:dLbl>
          <c:idx val="0"/>
          <c:layout>
            <c:manualLayout>
              <c:x val="1.8475750577367205E-2"/>
              <c:y val="0"/>
            </c:manualLayout>
          </c:layout>
          <c:showLegendKey val="0"/>
          <c:showVal val="1"/>
          <c:showCatName val="0"/>
          <c:showSerName val="0"/>
          <c:showPercent val="0"/>
          <c:showBubbleSize val="0"/>
        </c:dLbl>
      </c:pivotFmt>
      <c:pivotFmt>
        <c:idx val="9"/>
        <c:dLbl>
          <c:idx val="0"/>
          <c:layout>
            <c:manualLayout>
              <c:x val="1.5396458814472672E-2"/>
              <c:y val="0"/>
            </c:manualLayout>
          </c:layout>
          <c:showLegendKey val="0"/>
          <c:showVal val="1"/>
          <c:showCatName val="0"/>
          <c:showSerName val="0"/>
          <c:showPercent val="0"/>
          <c:showBubbleSize val="0"/>
        </c:dLbl>
      </c:pivotFmt>
      <c:pivotFmt>
        <c:idx val="10"/>
        <c:spPr>
          <a:solidFill>
            <a:srgbClr val="C00000"/>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1"/>
        <c:spPr>
          <a:solidFill>
            <a:schemeClr val="accent1"/>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2"/>
        <c:dLbl>
          <c:idx val="0"/>
          <c:layout>
            <c:manualLayout>
              <c:x val="9.2378752886836026E-3"/>
              <c:y val="-8.8887895983494385E-17"/>
            </c:manualLayout>
          </c:layout>
          <c:showLegendKey val="0"/>
          <c:showVal val="1"/>
          <c:showCatName val="0"/>
          <c:showSerName val="0"/>
          <c:showPercent val="0"/>
          <c:showBubbleSize val="0"/>
        </c:dLbl>
      </c:pivotFmt>
      <c:pivotFmt>
        <c:idx val="13"/>
        <c:dLbl>
          <c:idx val="0"/>
          <c:layout>
            <c:manualLayout>
              <c:x val="9.2378752886836026E-3"/>
              <c:y val="0"/>
            </c:manualLayout>
          </c:layout>
          <c:showLegendKey val="0"/>
          <c:showVal val="1"/>
          <c:showCatName val="0"/>
          <c:showSerName val="0"/>
          <c:showPercent val="0"/>
          <c:showBubbleSize val="0"/>
        </c:dLbl>
      </c:pivotFmt>
      <c:pivotFmt>
        <c:idx val="14"/>
        <c:dLbl>
          <c:idx val="0"/>
          <c:layout>
            <c:manualLayout>
              <c:x val="1.5396458814472672E-2"/>
              <c:y val="0"/>
            </c:manualLayout>
          </c:layout>
          <c:showLegendKey val="0"/>
          <c:showVal val="1"/>
          <c:showCatName val="0"/>
          <c:showSerName val="0"/>
          <c:showPercent val="0"/>
          <c:showBubbleSize val="0"/>
        </c:dLbl>
      </c:pivotFmt>
      <c:pivotFmt>
        <c:idx val="15"/>
        <c:dLbl>
          <c:idx val="0"/>
          <c:layout>
            <c:manualLayout>
              <c:x val="1.8475750577367205E-2"/>
              <c:y val="0"/>
            </c:manualLayout>
          </c:layout>
          <c:showLegendKey val="0"/>
          <c:showVal val="1"/>
          <c:showCatName val="0"/>
          <c:showSerName val="0"/>
          <c:showPercent val="0"/>
          <c:showBubbleSize val="0"/>
        </c:dLbl>
      </c:pivotFmt>
      <c:pivotFmt>
        <c:idx val="16"/>
        <c:spPr>
          <a:solidFill>
            <a:srgbClr val="C00000"/>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7"/>
        <c:spPr>
          <a:solidFill>
            <a:schemeClr val="accent1"/>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8"/>
        <c:dLbl>
          <c:idx val="0"/>
          <c:layout>
            <c:manualLayout>
              <c:x val="9.2378752886836026E-3"/>
              <c:y val="-8.8887895983494385E-17"/>
            </c:manualLayout>
          </c:layout>
          <c:showLegendKey val="0"/>
          <c:showVal val="1"/>
          <c:showCatName val="0"/>
          <c:showSerName val="0"/>
          <c:showPercent val="0"/>
          <c:showBubbleSize val="0"/>
        </c:dLbl>
      </c:pivotFmt>
      <c:pivotFmt>
        <c:idx val="19"/>
        <c:dLbl>
          <c:idx val="0"/>
          <c:layout>
            <c:manualLayout>
              <c:x val="9.2378752886836026E-3"/>
              <c:y val="0"/>
            </c:manualLayout>
          </c:layout>
          <c:showLegendKey val="0"/>
          <c:showVal val="1"/>
          <c:showCatName val="0"/>
          <c:showSerName val="0"/>
          <c:showPercent val="0"/>
          <c:showBubbleSize val="0"/>
        </c:dLbl>
      </c:pivotFmt>
      <c:pivotFmt>
        <c:idx val="20"/>
        <c:dLbl>
          <c:idx val="0"/>
          <c:layout>
            <c:manualLayout>
              <c:x val="1.5396458814472672E-2"/>
              <c:y val="0"/>
            </c:manualLayout>
          </c:layout>
          <c:showLegendKey val="0"/>
          <c:showVal val="1"/>
          <c:showCatName val="0"/>
          <c:showSerName val="0"/>
          <c:showPercent val="0"/>
          <c:showBubbleSize val="0"/>
        </c:dLbl>
      </c:pivotFmt>
      <c:pivotFmt>
        <c:idx val="21"/>
        <c:dLbl>
          <c:idx val="0"/>
          <c:layout>
            <c:manualLayout>
              <c:x val="1.8475750577367205E-2"/>
              <c:y val="0"/>
            </c:manualLayout>
          </c:layout>
          <c:showLegendKey val="0"/>
          <c:showVal val="1"/>
          <c:showCatName val="0"/>
          <c:showSerName val="0"/>
          <c:showPercent val="0"/>
          <c:showBubbleSize val="0"/>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'priority by year'!$B$3:$B$4</c:f>
              <c:strCache>
                <c:ptCount val="1"/>
                <c:pt idx="0">
                  <c:v>High</c:v>
                </c:pt>
              </c:strCache>
            </c:strRef>
          </c:tx>
          <c:spPr>
            <a:solidFill>
              <a:srgbClr val="C00000"/>
            </a:solidFill>
          </c:spPr>
          <c:invertIfNegative val="0"/>
          <c:cat>
            <c:strRef>
              <c:f>'priority by year'!$A$5:$A$11</c:f>
              <c:strCache>
                <c:ptCount val="6"/>
                <c:pt idx="0">
                  <c:v>2011</c:v>
                </c:pt>
                <c:pt idx="1">
                  <c:v>2013</c:v>
                </c:pt>
                <c:pt idx="2">
                  <c:v>2014</c:v>
                </c:pt>
                <c:pt idx="3">
                  <c:v>2015</c:v>
                </c:pt>
                <c:pt idx="4">
                  <c:v>2016</c:v>
                </c:pt>
                <c:pt idx="5">
                  <c:v>2017</c:v>
                </c:pt>
              </c:strCache>
            </c:strRef>
          </c:cat>
          <c:val>
            <c:numRef>
              <c:f>'priority by year'!$B$5:$B$11</c:f>
              <c:numCache>
                <c:formatCode>General</c:formatCode>
                <c:ptCount val="6"/>
                <c:pt idx="0">
                  <c:v>1</c:v>
                </c:pt>
                <c:pt idx="1">
                  <c:v>10</c:v>
                </c:pt>
                <c:pt idx="2">
                  <c:v>17</c:v>
                </c:pt>
                <c:pt idx="3">
                  <c:v>25</c:v>
                </c:pt>
                <c:pt idx="4">
                  <c:v>18</c:v>
                </c:pt>
                <c:pt idx="5">
                  <c:v>28</c:v>
                </c:pt>
              </c:numCache>
            </c:numRef>
          </c:val>
        </c:ser>
        <c:ser>
          <c:idx val="1"/>
          <c:order val="1"/>
          <c:tx>
            <c:strRef>
              <c:f>'priority by year'!$C$3:$C$4</c:f>
              <c:strCache>
                <c:ptCount val="1"/>
                <c:pt idx="0">
                  <c:v>Medium</c:v>
                </c:pt>
              </c:strCache>
            </c:strRef>
          </c:tx>
          <c:spPr>
            <a:solidFill>
              <a:schemeClr val="accent1"/>
            </a:solidFill>
          </c:spPr>
          <c:invertIfNegative val="0"/>
          <c:dLbls>
            <c:dLbl>
              <c:idx val="1"/>
              <c:layout>
                <c:manualLayout>
                  <c:x val="9.2378752886836026E-3"/>
                  <c:y val="-8.8887895983494385E-17"/>
                </c:manualLayout>
              </c:layout>
              <c:showLegendKey val="0"/>
              <c:showVal val="1"/>
              <c:showCatName val="0"/>
              <c:showSerName val="0"/>
              <c:showPercent val="0"/>
              <c:showBubbleSize val="0"/>
            </c:dLbl>
            <c:dLbl>
              <c:idx val="2"/>
              <c:layout>
                <c:manualLayout>
                  <c:x val="9.2378752886836026E-3"/>
                  <c:y val="0"/>
                </c:manualLayout>
              </c:layout>
              <c:showLegendKey val="0"/>
              <c:showVal val="1"/>
              <c:showCatName val="0"/>
              <c:showSerName val="0"/>
              <c:showPercent val="0"/>
              <c:showBubbleSize val="0"/>
            </c:dLbl>
            <c:dLbl>
              <c:idx val="3"/>
              <c:layout>
                <c:manualLayout>
                  <c:x val="1.5396458814472672E-2"/>
                  <c:y val="0"/>
                </c:manualLayout>
              </c:layout>
              <c:showLegendKey val="0"/>
              <c:showVal val="1"/>
              <c:showCatName val="0"/>
              <c:showSerName val="0"/>
              <c:showPercent val="0"/>
              <c:showBubbleSize val="0"/>
            </c:dLbl>
            <c:dLbl>
              <c:idx val="4"/>
              <c:layout>
                <c:manualLayout>
                  <c:x val="1.8475750577367205E-2"/>
                  <c:y val="0"/>
                </c:manualLayout>
              </c:layout>
              <c:showLegendKey val="0"/>
              <c:showVal val="1"/>
              <c:showCatName val="0"/>
              <c:showSerName val="0"/>
              <c:showPercent val="0"/>
              <c:showBubbleSize val="0"/>
            </c:dLbl>
            <c:txPr>
              <a:bodyPr/>
              <a:lstStyle/>
              <a:p>
                <a:pPr>
                  <a:defRPr/>
                </a:pPr>
                <a:endParaRPr lang="en-US"/>
              </a:p>
            </c:txPr>
            <c:showLegendKey val="0"/>
            <c:showVal val="1"/>
            <c:showCatName val="0"/>
            <c:showSerName val="0"/>
            <c:showPercent val="0"/>
            <c:showBubbleSize val="0"/>
            <c:showLeaderLines val="0"/>
          </c:dLbls>
          <c:cat>
            <c:strRef>
              <c:f>'priority by year'!$A$5:$A$11</c:f>
              <c:strCache>
                <c:ptCount val="6"/>
                <c:pt idx="0">
                  <c:v>2011</c:v>
                </c:pt>
                <c:pt idx="1">
                  <c:v>2013</c:v>
                </c:pt>
                <c:pt idx="2">
                  <c:v>2014</c:v>
                </c:pt>
                <c:pt idx="3">
                  <c:v>2015</c:v>
                </c:pt>
                <c:pt idx="4">
                  <c:v>2016</c:v>
                </c:pt>
                <c:pt idx="5">
                  <c:v>2017</c:v>
                </c:pt>
              </c:strCache>
            </c:strRef>
          </c:cat>
          <c:val>
            <c:numRef>
              <c:f>'priority by year'!$C$5:$C$11</c:f>
              <c:numCache>
                <c:formatCode>General</c:formatCode>
                <c:ptCount val="6"/>
                <c:pt idx="0">
                  <c:v>1</c:v>
                </c:pt>
                <c:pt idx="1">
                  <c:v>3</c:v>
                </c:pt>
                <c:pt idx="2">
                  <c:v>9</c:v>
                </c:pt>
                <c:pt idx="3">
                  <c:v>22</c:v>
                </c:pt>
                <c:pt idx="4">
                  <c:v>21</c:v>
                </c:pt>
                <c:pt idx="5">
                  <c:v>38</c:v>
                </c:pt>
              </c:numCache>
            </c:numRef>
          </c:val>
        </c:ser>
        <c:dLbls>
          <c:showLegendKey val="0"/>
          <c:showVal val="1"/>
          <c:showCatName val="0"/>
          <c:showSerName val="0"/>
          <c:showPercent val="0"/>
          <c:showBubbleSize val="0"/>
        </c:dLbls>
        <c:gapWidth val="150"/>
        <c:shape val="box"/>
        <c:axId val="80885248"/>
        <c:axId val="80963456"/>
        <c:axId val="0"/>
      </c:bar3DChart>
      <c:catAx>
        <c:axId val="80885248"/>
        <c:scaling>
          <c:orientation val="minMax"/>
        </c:scaling>
        <c:delete val="0"/>
        <c:axPos val="b"/>
        <c:majorTickMark val="out"/>
        <c:minorTickMark val="none"/>
        <c:tickLblPos val="nextTo"/>
        <c:crossAx val="80963456"/>
        <c:crosses val="autoZero"/>
        <c:auto val="1"/>
        <c:lblAlgn val="ctr"/>
        <c:lblOffset val="100"/>
        <c:noMultiLvlLbl val="0"/>
      </c:catAx>
      <c:valAx>
        <c:axId val="80963456"/>
        <c:scaling>
          <c:orientation val="minMax"/>
        </c:scaling>
        <c:delete val="0"/>
        <c:axPos val="l"/>
        <c:majorGridlines/>
        <c:numFmt formatCode="General" sourceLinked="1"/>
        <c:majorTickMark val="out"/>
        <c:minorTickMark val="none"/>
        <c:tickLblPos val="nextTo"/>
        <c:crossAx val="80885248"/>
        <c:crosses val="autoZero"/>
        <c:crossBetween val="between"/>
      </c:valAx>
    </c:plotArea>
    <c:legend>
      <c:legendPos val="r"/>
      <c:layout/>
      <c:overlay val="0"/>
    </c:legend>
    <c:plotVisOnly val="1"/>
    <c:dispBlanksAs val="gap"/>
    <c:showDLblsOverMax val="0"/>
  </c:chart>
  <c:spPr>
    <a:noFill/>
    <a:ln>
      <a:noFill/>
    </a:ln>
  </c:sp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[TeamCentral Analysis _June_30_2017.xlsx]by programs by priority!PivotTable5</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dLbl>
      </c:pivotFmt>
      <c:pivotFmt>
        <c:idx val="1"/>
      </c:pivotFmt>
      <c:pivotFmt>
        <c:idx val="2"/>
        <c:marker>
          <c:symbol val="none"/>
        </c:marker>
        <c:dLbl>
          <c:idx val="0"/>
          <c:spPr/>
          <c:txPr>
            <a:bodyPr/>
            <a:lstStyle/>
            <a:p>
              <a:pPr>
                <a:defRPr/>
              </a:pPr>
              <a:endParaRPr lang="en-US"/>
            </a:p>
          </c:txPr>
          <c:showLegendKey val="0"/>
          <c:showVal val="1"/>
          <c:showCatName val="0"/>
          <c:showSerName val="0"/>
          <c:showPercent val="0"/>
          <c:showBubbleSize val="0"/>
        </c:dLbl>
      </c:pivotFmt>
      <c:pivotFmt>
        <c:idx val="3"/>
        <c:marker>
          <c:symbol val="none"/>
        </c:marker>
        <c:dLbl>
          <c:idx val="0"/>
          <c:spPr/>
          <c:txPr>
            <a:bodyPr/>
            <a:lstStyle/>
            <a:p>
              <a:pPr>
                <a:defRPr/>
              </a:pPr>
              <a:endParaRPr lang="en-US"/>
            </a:p>
          </c:txPr>
          <c:showLegendKey val="0"/>
          <c:showVal val="1"/>
          <c:showCatName val="0"/>
          <c:showSerName val="0"/>
          <c:showPercent val="0"/>
          <c:showBubbleSize val="0"/>
        </c:dLbl>
      </c:pivotFmt>
      <c:pivotFmt>
        <c:idx val="4"/>
        <c:marker>
          <c:symbol val="none"/>
        </c:marker>
        <c:dLbl>
          <c:idx val="0"/>
          <c:spPr/>
          <c:txPr>
            <a:bodyPr/>
            <a:lstStyle/>
            <a:p>
              <a:pPr>
                <a:defRPr/>
              </a:pPr>
              <a:endParaRPr lang="en-US"/>
            </a:p>
          </c:txPr>
          <c:showLegendKey val="0"/>
          <c:showVal val="1"/>
          <c:showCatName val="0"/>
          <c:showSerName val="0"/>
          <c:showPercent val="0"/>
          <c:showBubbleSize val="0"/>
        </c:dLbl>
      </c:pivotFmt>
      <c:pivotFmt>
        <c:idx val="5"/>
        <c:marker>
          <c:symbol val="none"/>
        </c:marker>
        <c:dLbl>
          <c:idx val="0"/>
          <c:spPr/>
          <c:txPr>
            <a:bodyPr/>
            <a:lstStyle/>
            <a:p>
              <a:pPr>
                <a:defRPr/>
              </a:pPr>
              <a:endParaRPr lang="en-US"/>
            </a:p>
          </c:txPr>
          <c:showLegendKey val="0"/>
          <c:showVal val="1"/>
          <c:showCatName val="0"/>
          <c:showSerName val="0"/>
          <c:showPercent val="0"/>
          <c:showBubbleSize val="0"/>
        </c:dLbl>
      </c:pivotFmt>
      <c:pivotFmt>
        <c:idx val="6"/>
        <c:marker>
          <c:symbol val="none"/>
        </c:marker>
        <c:dLbl>
          <c:idx val="0"/>
          <c:spPr/>
          <c:txPr>
            <a:bodyPr/>
            <a:lstStyle/>
            <a:p>
              <a:pPr>
                <a:defRPr/>
              </a:pPr>
              <a:endParaRPr lang="en-US"/>
            </a:p>
          </c:txPr>
          <c:showLegendKey val="0"/>
          <c:showVal val="1"/>
          <c:showCatName val="0"/>
          <c:showSerName val="0"/>
          <c:showPercent val="0"/>
          <c:showBubbleSize val="0"/>
        </c:dLbl>
      </c:pivotFmt>
      <c:pivotFmt>
        <c:idx val="7"/>
        <c:marker>
          <c:symbol val="none"/>
        </c:marker>
      </c:pivotFmt>
      <c:pivotFmt>
        <c:idx val="8"/>
        <c:spPr>
          <a:solidFill>
            <a:srgbClr val="C00000"/>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9"/>
        <c:spPr>
          <a:solidFill>
            <a:schemeClr val="accent1"/>
          </a:solidFill>
        </c:spPr>
        <c:marker>
          <c:symbol val="none"/>
        </c:marker>
        <c:dLbl>
          <c:idx val="0"/>
          <c:dLblPos val="outEnd"/>
          <c:showLegendKey val="0"/>
          <c:showVal val="1"/>
          <c:showCatName val="0"/>
          <c:showSerName val="0"/>
          <c:showPercent val="0"/>
          <c:showBubbleSize val="0"/>
        </c:dLbl>
      </c:pivotFmt>
      <c:pivotFmt>
        <c:idx val="10"/>
        <c:spPr>
          <a:solidFill>
            <a:srgbClr val="C00000"/>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11"/>
        <c:spPr>
          <a:solidFill>
            <a:schemeClr val="accent1"/>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12"/>
        <c:spPr>
          <a:solidFill>
            <a:srgbClr val="C00000"/>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13"/>
        <c:spPr>
          <a:solidFill>
            <a:schemeClr val="accent1"/>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s>
    <c:plotArea>
      <c:layout/>
      <c:barChart>
        <c:barDir val="col"/>
        <c:grouping val="clustered"/>
        <c:varyColors val="0"/>
        <c:ser>
          <c:idx val="0"/>
          <c:order val="0"/>
          <c:tx>
            <c:strRef>
              <c:f>'by programs by priority'!$B$3:$B$4</c:f>
              <c:strCache>
                <c:ptCount val="1"/>
                <c:pt idx="0">
                  <c:v>High</c:v>
                </c:pt>
              </c:strCache>
            </c:strRef>
          </c:tx>
          <c:spPr>
            <a:solidFill>
              <a:srgbClr val="C00000"/>
            </a:solidFill>
          </c:spPr>
          <c:invertIfNegative val="0"/>
          <c:cat>
            <c:strRef>
              <c:f>'by programs by priority'!$A$5:$A$26</c:f>
              <c:strCache>
                <c:ptCount val="21"/>
                <c:pt idx="0">
                  <c:v>Program 1</c:v>
                </c:pt>
                <c:pt idx="1">
                  <c:v>Program 11</c:v>
                </c:pt>
                <c:pt idx="2">
                  <c:v>Program 19</c:v>
                </c:pt>
                <c:pt idx="3">
                  <c:v>Program 21</c:v>
                </c:pt>
                <c:pt idx="4">
                  <c:v>Program 22</c:v>
                </c:pt>
                <c:pt idx="5">
                  <c:v>Program 23</c:v>
                </c:pt>
                <c:pt idx="6">
                  <c:v>Program 24</c:v>
                </c:pt>
                <c:pt idx="7">
                  <c:v>Program 25</c:v>
                </c:pt>
                <c:pt idx="8">
                  <c:v>Program 27</c:v>
                </c:pt>
                <c:pt idx="9">
                  <c:v>Program 28</c:v>
                </c:pt>
                <c:pt idx="10">
                  <c:v>Program 31</c:v>
                </c:pt>
                <c:pt idx="11">
                  <c:v>Program 5</c:v>
                </c:pt>
                <c:pt idx="12">
                  <c:v>Program 6&amp;31</c:v>
                </c:pt>
                <c:pt idx="13">
                  <c:v>Program 9</c:v>
                </c:pt>
                <c:pt idx="14">
                  <c:v>Program 30</c:v>
                </c:pt>
                <c:pt idx="15">
                  <c:v>Program 3</c:v>
                </c:pt>
                <c:pt idx="16">
                  <c:v>Program 15</c:v>
                </c:pt>
                <c:pt idx="17">
                  <c:v>Program 6</c:v>
                </c:pt>
                <c:pt idx="18">
                  <c:v>Program 13</c:v>
                </c:pt>
                <c:pt idx="19">
                  <c:v>Program 7</c:v>
                </c:pt>
                <c:pt idx="20">
                  <c:v>Program 12</c:v>
                </c:pt>
              </c:strCache>
            </c:strRef>
          </c:cat>
          <c:val>
            <c:numRef>
              <c:f>'by programs by priority'!$B$5:$B$26</c:f>
              <c:numCache>
                <c:formatCode>General</c:formatCode>
                <c:ptCount val="21"/>
                <c:pt idx="0">
                  <c:v>1</c:v>
                </c:pt>
                <c:pt idx="1">
                  <c:v>3</c:v>
                </c:pt>
                <c:pt idx="2">
                  <c:v>5</c:v>
                </c:pt>
                <c:pt idx="3">
                  <c:v>7</c:v>
                </c:pt>
                <c:pt idx="4">
                  <c:v>11</c:v>
                </c:pt>
                <c:pt idx="5">
                  <c:v>12</c:v>
                </c:pt>
                <c:pt idx="6">
                  <c:v>7</c:v>
                </c:pt>
                <c:pt idx="7">
                  <c:v>4</c:v>
                </c:pt>
                <c:pt idx="8">
                  <c:v>1</c:v>
                </c:pt>
                <c:pt idx="11">
                  <c:v>6</c:v>
                </c:pt>
                <c:pt idx="12">
                  <c:v>3</c:v>
                </c:pt>
                <c:pt idx="13">
                  <c:v>11</c:v>
                </c:pt>
                <c:pt idx="14">
                  <c:v>3</c:v>
                </c:pt>
                <c:pt idx="15">
                  <c:v>3</c:v>
                </c:pt>
                <c:pt idx="16">
                  <c:v>7</c:v>
                </c:pt>
                <c:pt idx="17">
                  <c:v>3</c:v>
                </c:pt>
                <c:pt idx="18">
                  <c:v>4</c:v>
                </c:pt>
                <c:pt idx="19">
                  <c:v>5</c:v>
                </c:pt>
                <c:pt idx="20">
                  <c:v>3</c:v>
                </c:pt>
              </c:numCache>
            </c:numRef>
          </c:val>
        </c:ser>
        <c:ser>
          <c:idx val="1"/>
          <c:order val="1"/>
          <c:tx>
            <c:strRef>
              <c:f>'by programs by priority'!$C$3:$C$4</c:f>
              <c:strCache>
                <c:ptCount val="1"/>
                <c:pt idx="0">
                  <c:v>Medium</c:v>
                </c:pt>
              </c:strCache>
            </c:strRef>
          </c:tx>
          <c:spPr>
            <a:solidFill>
              <a:schemeClr val="accent1"/>
            </a:solidFill>
          </c:spPr>
          <c:invertIfNegative val="0"/>
          <c:cat>
            <c:strRef>
              <c:f>'by programs by priority'!$A$5:$A$26</c:f>
              <c:strCache>
                <c:ptCount val="21"/>
                <c:pt idx="0">
                  <c:v>Program 1</c:v>
                </c:pt>
                <c:pt idx="1">
                  <c:v>Program 11</c:v>
                </c:pt>
                <c:pt idx="2">
                  <c:v>Program 19</c:v>
                </c:pt>
                <c:pt idx="3">
                  <c:v>Program 21</c:v>
                </c:pt>
                <c:pt idx="4">
                  <c:v>Program 22</c:v>
                </c:pt>
                <c:pt idx="5">
                  <c:v>Program 23</c:v>
                </c:pt>
                <c:pt idx="6">
                  <c:v>Program 24</c:v>
                </c:pt>
                <c:pt idx="7">
                  <c:v>Program 25</c:v>
                </c:pt>
                <c:pt idx="8">
                  <c:v>Program 27</c:v>
                </c:pt>
                <c:pt idx="9">
                  <c:v>Program 28</c:v>
                </c:pt>
                <c:pt idx="10">
                  <c:v>Program 31</c:v>
                </c:pt>
                <c:pt idx="11">
                  <c:v>Program 5</c:v>
                </c:pt>
                <c:pt idx="12">
                  <c:v>Program 6&amp;31</c:v>
                </c:pt>
                <c:pt idx="13">
                  <c:v>Program 9</c:v>
                </c:pt>
                <c:pt idx="14">
                  <c:v>Program 30</c:v>
                </c:pt>
                <c:pt idx="15">
                  <c:v>Program 3</c:v>
                </c:pt>
                <c:pt idx="16">
                  <c:v>Program 15</c:v>
                </c:pt>
                <c:pt idx="17">
                  <c:v>Program 6</c:v>
                </c:pt>
                <c:pt idx="18">
                  <c:v>Program 13</c:v>
                </c:pt>
                <c:pt idx="19">
                  <c:v>Program 7</c:v>
                </c:pt>
                <c:pt idx="20">
                  <c:v>Program 12</c:v>
                </c:pt>
              </c:strCache>
            </c:strRef>
          </c:cat>
          <c:val>
            <c:numRef>
              <c:f>'by programs by priority'!$C$5:$C$26</c:f>
              <c:numCache>
                <c:formatCode>General</c:formatCode>
                <c:ptCount val="21"/>
                <c:pt idx="0">
                  <c:v>1</c:v>
                </c:pt>
                <c:pt idx="1">
                  <c:v>3</c:v>
                </c:pt>
                <c:pt idx="2">
                  <c:v>5</c:v>
                </c:pt>
                <c:pt idx="3">
                  <c:v>10</c:v>
                </c:pt>
                <c:pt idx="4">
                  <c:v>6</c:v>
                </c:pt>
                <c:pt idx="5">
                  <c:v>16</c:v>
                </c:pt>
                <c:pt idx="6">
                  <c:v>7</c:v>
                </c:pt>
                <c:pt idx="7">
                  <c:v>3</c:v>
                </c:pt>
                <c:pt idx="9">
                  <c:v>2</c:v>
                </c:pt>
                <c:pt idx="10">
                  <c:v>1</c:v>
                </c:pt>
                <c:pt idx="12">
                  <c:v>1</c:v>
                </c:pt>
                <c:pt idx="13">
                  <c:v>1</c:v>
                </c:pt>
                <c:pt idx="14">
                  <c:v>1</c:v>
                </c:pt>
                <c:pt idx="15">
                  <c:v>1</c:v>
                </c:pt>
                <c:pt idx="16">
                  <c:v>6</c:v>
                </c:pt>
                <c:pt idx="17">
                  <c:v>6</c:v>
                </c:pt>
                <c:pt idx="18">
                  <c:v>13</c:v>
                </c:pt>
                <c:pt idx="19">
                  <c:v>7</c:v>
                </c:pt>
                <c:pt idx="20">
                  <c:v>4</c:v>
                </c:pt>
              </c:numCache>
            </c:numRef>
          </c:val>
        </c:ser>
        <c:dLbls>
          <c:dLblPos val="outEnd"/>
          <c:showLegendKey val="0"/>
          <c:showVal val="1"/>
          <c:showCatName val="0"/>
          <c:showSerName val="0"/>
          <c:showPercent val="0"/>
          <c:showBubbleSize val="0"/>
        </c:dLbls>
        <c:gapWidth val="75"/>
        <c:axId val="57318016"/>
        <c:axId val="57319808"/>
      </c:barChart>
      <c:catAx>
        <c:axId val="57318016"/>
        <c:scaling>
          <c:orientation val="minMax"/>
        </c:scaling>
        <c:delete val="0"/>
        <c:axPos val="b"/>
        <c:majorGridlines/>
        <c:majorTickMark val="none"/>
        <c:minorTickMark val="none"/>
        <c:tickLblPos val="nextTo"/>
        <c:crossAx val="57319808"/>
        <c:crosses val="autoZero"/>
        <c:auto val="1"/>
        <c:lblAlgn val="ctr"/>
        <c:lblOffset val="100"/>
        <c:noMultiLvlLbl val="0"/>
      </c:catAx>
      <c:valAx>
        <c:axId val="57319808"/>
        <c:scaling>
          <c:orientation val="minMax"/>
        </c:scaling>
        <c:delete val="0"/>
        <c:axPos val="l"/>
        <c:majorGridlines/>
        <c:numFmt formatCode="General" sourceLinked="1"/>
        <c:majorTickMark val="none"/>
        <c:minorTickMark val="none"/>
        <c:tickLblPos val="nextTo"/>
        <c:crossAx val="57318016"/>
        <c:crosses val="autoZero"/>
        <c:crossBetween val="between"/>
      </c:valAx>
    </c:plotArea>
    <c:legend>
      <c:legendPos val="r"/>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B739-538F-44B9-A450-9A0035AB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5115</Words>
  <Characters>29922</Characters>
  <Application>Microsoft Office Word</Application>
  <DocSecurity>0</DocSecurity>
  <Lines>249</Lines>
  <Paragraphs>69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WO/GA/46/</vt:lpstr>
      <vt:lpstr>WO/GA/46/</vt:lpstr>
      <vt:lpstr>WO/GA/46/</vt:lpstr>
    </vt:vector>
  </TitlesOfParts>
  <Company>WIPO</Company>
  <LinksUpToDate>false</LinksUpToDate>
  <CharactersWithSpaces>34968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SCHWOB Lise</dc:creator>
  <cp:lastModifiedBy>HÄFLIGER Patience</cp:lastModifiedBy>
  <cp:revision>6</cp:revision>
  <cp:lastPrinted>2017-08-02T11:13:00Z</cp:lastPrinted>
  <dcterms:created xsi:type="dcterms:W3CDTF">2017-08-02T10:13:00Z</dcterms:created>
  <dcterms:modified xsi:type="dcterms:W3CDTF">2017-08-02T11:14:00Z</dcterms:modified>
</cp:coreProperties>
</file>