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94B3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441192">
        <w:trPr>
          <w:trHeight w:val="212"/>
        </w:trPr>
        <w:tc>
          <w:tcPr>
            <w:tcW w:w="9356" w:type="dxa"/>
            <w:gridSpan w:val="3"/>
            <w:tcBorders>
              <w:top w:val="single" w:sz="4" w:space="0" w:color="auto"/>
            </w:tcBorders>
            <w:tcMar>
              <w:top w:w="170" w:type="dxa"/>
              <w:left w:w="0" w:type="dxa"/>
              <w:right w:w="0" w:type="dxa"/>
            </w:tcMar>
            <w:vAlign w:val="bottom"/>
          </w:tcPr>
          <w:p w:rsidR="008B2CC1" w:rsidRPr="0090731E" w:rsidRDefault="00494B30" w:rsidP="003214B1">
            <w:pPr>
              <w:jc w:val="right"/>
              <w:rPr>
                <w:rFonts w:ascii="Arial Black" w:hAnsi="Arial Black"/>
                <w:caps/>
                <w:sz w:val="15"/>
              </w:rPr>
            </w:pPr>
            <w:r>
              <w:rPr>
                <w:rFonts w:ascii="Arial Black" w:hAnsi="Arial Black"/>
                <w:caps/>
                <w:sz w:val="15"/>
              </w:rPr>
              <w:t>WO/G</w:t>
            </w:r>
            <w:bookmarkStart w:id="0" w:name="_GoBack"/>
            <w:bookmarkEnd w:id="0"/>
            <w:r>
              <w:rPr>
                <w:rFonts w:ascii="Arial Black" w:hAnsi="Arial Black"/>
                <w:caps/>
                <w:sz w:val="15"/>
              </w:rPr>
              <w:t>A/4</w:t>
            </w:r>
            <w:r w:rsidR="00DA3E7C">
              <w:rPr>
                <w:rFonts w:ascii="Arial Black" w:hAnsi="Arial Black"/>
                <w:caps/>
                <w:sz w:val="15"/>
              </w:rPr>
              <w:t>9</w:t>
            </w:r>
            <w:r>
              <w:rPr>
                <w:rFonts w:ascii="Arial Black" w:hAnsi="Arial Black"/>
                <w:caps/>
                <w:sz w:val="15"/>
              </w:rPr>
              <w:t>/</w:t>
            </w:r>
            <w:bookmarkStart w:id="1" w:name="Code"/>
            <w:bookmarkEnd w:id="1"/>
            <w:r w:rsidR="00441192">
              <w:rPr>
                <w:rFonts w:ascii="Arial Black" w:hAnsi="Arial Black"/>
                <w:caps/>
                <w:sz w:val="15"/>
              </w:rPr>
              <w:t>1</w:t>
            </w:r>
            <w:r w:rsidR="00DA3E7C">
              <w:rPr>
                <w:rFonts w:ascii="Arial Black" w:hAnsi="Arial Black"/>
                <w:caps/>
                <w:sz w:val="15"/>
              </w:rPr>
              <w:t>3</w:t>
            </w:r>
            <w:r w:rsidR="008B2CC1" w:rsidRPr="0090731E">
              <w:rPr>
                <w:rFonts w:ascii="Arial Black" w:hAnsi="Arial Black"/>
                <w:caps/>
                <w:sz w:val="15"/>
              </w:rPr>
              <w:t xml:space="preserve">  </w:t>
            </w:r>
          </w:p>
        </w:tc>
      </w:tr>
      <w:tr w:rsidR="008B2CC1" w:rsidRPr="001832A6" w:rsidTr="00441192">
        <w:trPr>
          <w:trHeight w:val="212"/>
        </w:trPr>
        <w:tc>
          <w:tcPr>
            <w:tcW w:w="9356" w:type="dxa"/>
            <w:gridSpan w:val="3"/>
            <w:noWrap/>
            <w:tcMar>
              <w:left w:w="0" w:type="dxa"/>
              <w:right w:w="0" w:type="dxa"/>
            </w:tcMar>
            <w:vAlign w:val="bottom"/>
          </w:tcPr>
          <w:p w:rsidR="008B2CC1" w:rsidRPr="0090731E" w:rsidRDefault="008B2CC1" w:rsidP="003214B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441192">
              <w:rPr>
                <w:rFonts w:ascii="Arial Black" w:hAnsi="Arial Black"/>
                <w:caps/>
                <w:sz w:val="15"/>
              </w:rPr>
              <w:t>English</w:t>
            </w:r>
          </w:p>
        </w:tc>
      </w:tr>
      <w:tr w:rsidR="008B2CC1" w:rsidRPr="001832A6" w:rsidTr="00441192">
        <w:trPr>
          <w:trHeight w:val="212"/>
        </w:trPr>
        <w:tc>
          <w:tcPr>
            <w:tcW w:w="9356" w:type="dxa"/>
            <w:gridSpan w:val="3"/>
            <w:tcMar>
              <w:left w:w="0" w:type="dxa"/>
              <w:right w:w="0" w:type="dxa"/>
            </w:tcMar>
            <w:vAlign w:val="bottom"/>
          </w:tcPr>
          <w:p w:rsidR="008B2CC1" w:rsidRPr="0090731E" w:rsidRDefault="008B2CC1" w:rsidP="003214B1">
            <w:pPr>
              <w:jc w:val="right"/>
              <w:rPr>
                <w:rFonts w:ascii="Arial Black" w:hAnsi="Arial Black"/>
                <w:caps/>
                <w:sz w:val="15"/>
              </w:rPr>
            </w:pPr>
            <w:r w:rsidRPr="0090731E">
              <w:rPr>
                <w:rFonts w:ascii="Arial Black" w:hAnsi="Arial Black"/>
                <w:caps/>
                <w:sz w:val="15"/>
              </w:rPr>
              <w:t xml:space="preserve">DATE: </w:t>
            </w:r>
            <w:bookmarkStart w:id="3" w:name="Date"/>
            <w:bookmarkEnd w:id="3"/>
            <w:r w:rsidR="00DA3E7C">
              <w:rPr>
                <w:rFonts w:ascii="Arial Black" w:hAnsi="Arial Black"/>
                <w:caps/>
                <w:sz w:val="15"/>
              </w:rPr>
              <w:t>September</w:t>
            </w:r>
            <w:r w:rsidR="00923587">
              <w:rPr>
                <w:rFonts w:ascii="Arial Black" w:hAnsi="Arial Black"/>
                <w:caps/>
                <w:sz w:val="15"/>
              </w:rPr>
              <w:t xml:space="preserve"> </w:t>
            </w:r>
            <w:r w:rsidR="003F619B">
              <w:rPr>
                <w:rFonts w:ascii="Arial Black" w:hAnsi="Arial Black"/>
                <w:caps/>
                <w:sz w:val="15"/>
              </w:rPr>
              <w:t>25</w:t>
            </w:r>
            <w:r w:rsidR="00441192">
              <w:rPr>
                <w:rFonts w:ascii="Arial Black" w:hAnsi="Arial Black"/>
                <w:caps/>
                <w:sz w:val="15"/>
              </w:rPr>
              <w:t>, 201</w:t>
            </w:r>
            <w:r w:rsidR="00DA3E7C">
              <w:rPr>
                <w:rFonts w:ascii="Arial Black" w:hAnsi="Arial Black"/>
                <w:caps/>
                <w:sz w:val="15"/>
              </w:rPr>
              <w:t>7</w:t>
            </w:r>
          </w:p>
        </w:tc>
      </w:tr>
    </w:tbl>
    <w:p w:rsidR="008B2CC1" w:rsidRPr="008B2CC1" w:rsidRDefault="008B2CC1" w:rsidP="003214B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A3EDA" w:rsidP="008B2CC1">
      <w:pPr>
        <w:rPr>
          <w:b/>
          <w:sz w:val="28"/>
          <w:szCs w:val="28"/>
        </w:rPr>
      </w:pPr>
      <w:r w:rsidRPr="004A3EDA">
        <w:rPr>
          <w:b/>
          <w:sz w:val="28"/>
          <w:szCs w:val="28"/>
        </w:rPr>
        <w:t>WIPO General Assembly</w:t>
      </w:r>
    </w:p>
    <w:p w:rsidR="003845C1" w:rsidRDefault="003845C1" w:rsidP="003845C1"/>
    <w:p w:rsidR="003845C1" w:rsidRDefault="003845C1" w:rsidP="003845C1"/>
    <w:p w:rsidR="008B2CC1" w:rsidRPr="003845C1" w:rsidRDefault="001E745D" w:rsidP="008B2CC1">
      <w:pPr>
        <w:rPr>
          <w:b/>
          <w:sz w:val="24"/>
          <w:szCs w:val="24"/>
        </w:rPr>
      </w:pPr>
      <w:r>
        <w:rPr>
          <w:b/>
          <w:sz w:val="24"/>
          <w:szCs w:val="24"/>
        </w:rPr>
        <w:t>Forty-</w:t>
      </w:r>
      <w:r w:rsidR="00DA3E7C">
        <w:rPr>
          <w:b/>
          <w:sz w:val="24"/>
          <w:szCs w:val="24"/>
        </w:rPr>
        <w:t>Ninth</w:t>
      </w:r>
      <w:r>
        <w:rPr>
          <w:b/>
          <w:sz w:val="24"/>
          <w:szCs w:val="24"/>
        </w:rPr>
        <w:t xml:space="preserve"> (2</w:t>
      </w:r>
      <w:r w:rsidR="00DA3E7C">
        <w:rPr>
          <w:b/>
          <w:sz w:val="24"/>
          <w:szCs w:val="24"/>
        </w:rPr>
        <w:t>3</w:t>
      </w:r>
      <w:r w:rsidR="00DA3E7C" w:rsidRPr="00DA3E7C">
        <w:rPr>
          <w:b/>
          <w:sz w:val="24"/>
          <w:szCs w:val="24"/>
          <w:vertAlign w:val="superscript"/>
        </w:rPr>
        <w:t>rd</w:t>
      </w:r>
      <w:r w:rsidR="00DA3E7C">
        <w:rPr>
          <w:b/>
          <w:sz w:val="24"/>
          <w:szCs w:val="24"/>
        </w:rPr>
        <w:t xml:space="preserve"> O</w:t>
      </w:r>
      <w:r>
        <w:rPr>
          <w:b/>
          <w:sz w:val="24"/>
          <w:szCs w:val="24"/>
        </w:rPr>
        <w:t>rdinary) Session</w:t>
      </w:r>
    </w:p>
    <w:p w:rsidR="008B2CC1" w:rsidRPr="003845C1" w:rsidRDefault="004A3EDA" w:rsidP="008B2CC1">
      <w:pPr>
        <w:rPr>
          <w:b/>
          <w:sz w:val="24"/>
          <w:szCs w:val="24"/>
        </w:rPr>
      </w:pPr>
      <w:r w:rsidRPr="004A3EDA">
        <w:rPr>
          <w:b/>
          <w:sz w:val="24"/>
          <w:szCs w:val="24"/>
        </w:rPr>
        <w:t xml:space="preserve">Geneva, October </w:t>
      </w:r>
      <w:r w:rsidR="00DA3E7C">
        <w:rPr>
          <w:b/>
          <w:sz w:val="24"/>
          <w:szCs w:val="24"/>
        </w:rPr>
        <w:t>2 to 11,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441192" w:rsidP="008B2CC1">
      <w:pPr>
        <w:rPr>
          <w:caps/>
          <w:sz w:val="24"/>
        </w:rPr>
      </w:pPr>
      <w:bookmarkStart w:id="4" w:name="TitleOfDoc"/>
      <w:bookmarkEnd w:id="4"/>
      <w:r>
        <w:rPr>
          <w:caps/>
          <w:sz w:val="24"/>
        </w:rPr>
        <w:t>REPORT ON THE ADVISORY COMMITTEE ON ENFORCEMENT (ACE)</w:t>
      </w:r>
    </w:p>
    <w:p w:rsidR="008B2CC1" w:rsidRPr="008B2CC1" w:rsidRDefault="008B2CC1" w:rsidP="008B2CC1"/>
    <w:p w:rsidR="008B2CC1" w:rsidRPr="008B2CC1" w:rsidRDefault="00441192"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441192" w:rsidRPr="00441192" w:rsidRDefault="00441192" w:rsidP="00441192">
      <w:pPr>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During the period under consideration, the Advisory</w:t>
      </w:r>
      <w:r w:rsidR="00E367EE">
        <w:rPr>
          <w:szCs w:val="22"/>
        </w:rPr>
        <w:t xml:space="preserve"> Committee on Enforcement (ACE) </w:t>
      </w:r>
      <w:r w:rsidRPr="00441192">
        <w:rPr>
          <w:szCs w:val="22"/>
        </w:rPr>
        <w:t xml:space="preserve">held its </w:t>
      </w:r>
      <w:r w:rsidR="00DA3E7C">
        <w:rPr>
          <w:szCs w:val="22"/>
        </w:rPr>
        <w:t>twelfth</w:t>
      </w:r>
      <w:r w:rsidRPr="00441192">
        <w:rPr>
          <w:szCs w:val="22"/>
        </w:rPr>
        <w:t xml:space="preserve"> session</w:t>
      </w:r>
      <w:r w:rsidR="001829CC">
        <w:rPr>
          <w:szCs w:val="22"/>
        </w:rPr>
        <w:t xml:space="preserve"> from </w:t>
      </w:r>
      <w:r w:rsidR="00DA3E7C">
        <w:rPr>
          <w:szCs w:val="22"/>
        </w:rPr>
        <w:t>September 4</w:t>
      </w:r>
      <w:r w:rsidR="001829CC">
        <w:rPr>
          <w:szCs w:val="22"/>
        </w:rPr>
        <w:t> to </w:t>
      </w:r>
      <w:r w:rsidR="00DA3E7C">
        <w:rPr>
          <w:szCs w:val="22"/>
        </w:rPr>
        <w:t>6, 2017</w:t>
      </w:r>
      <w:r w:rsidR="001829CC">
        <w:rPr>
          <w:szCs w:val="22"/>
        </w:rPr>
        <w:t>.  The session</w:t>
      </w:r>
      <w:r w:rsidRPr="00441192">
        <w:rPr>
          <w:szCs w:val="22"/>
        </w:rPr>
        <w:t xml:space="preserve"> w</w:t>
      </w:r>
      <w:r w:rsidR="001829CC">
        <w:rPr>
          <w:szCs w:val="22"/>
        </w:rPr>
        <w:t>as</w:t>
      </w:r>
      <w:r w:rsidRPr="00441192">
        <w:rPr>
          <w:szCs w:val="22"/>
        </w:rPr>
        <w:t xml:space="preserve"> chaired by </w:t>
      </w:r>
      <w:r w:rsidR="00E367EE">
        <w:rPr>
          <w:szCs w:val="22"/>
        </w:rPr>
        <w:t>Mr. </w:t>
      </w:r>
      <w:proofErr w:type="spellStart"/>
      <w:r w:rsidR="00E367EE">
        <w:rPr>
          <w:szCs w:val="22"/>
        </w:rPr>
        <w:t>Héctor</w:t>
      </w:r>
      <w:proofErr w:type="spellEnd"/>
      <w:r w:rsidR="00E367EE">
        <w:rPr>
          <w:szCs w:val="22"/>
        </w:rPr>
        <w:t> </w:t>
      </w:r>
      <w:r w:rsidR="00DA3E7C" w:rsidRPr="005F0732">
        <w:rPr>
          <w:szCs w:val="22"/>
        </w:rPr>
        <w:t xml:space="preserve">Manuel </w:t>
      </w:r>
      <w:proofErr w:type="spellStart"/>
      <w:r w:rsidR="00DA3E7C" w:rsidRPr="005F0732">
        <w:rPr>
          <w:szCs w:val="22"/>
        </w:rPr>
        <w:t>Balmaceda</w:t>
      </w:r>
      <w:proofErr w:type="spellEnd"/>
      <w:r w:rsidR="00DA3E7C" w:rsidRPr="005F0732">
        <w:rPr>
          <w:szCs w:val="22"/>
        </w:rPr>
        <w:t xml:space="preserve"> Godoy </w:t>
      </w:r>
      <w:r w:rsidR="00DA3E7C">
        <w:rPr>
          <w:szCs w:val="22"/>
        </w:rPr>
        <w:t>(</w:t>
      </w:r>
      <w:r w:rsidR="00DA3E7C" w:rsidRPr="005F0732">
        <w:rPr>
          <w:szCs w:val="22"/>
        </w:rPr>
        <w:t>Paraguay</w:t>
      </w:r>
      <w:r w:rsidR="00822934">
        <w:rPr>
          <w:szCs w:val="22"/>
        </w:rPr>
        <w:t>)</w:t>
      </w:r>
      <w:r w:rsidRPr="00441192">
        <w:rPr>
          <w:szCs w:val="22"/>
        </w:rPr>
        <w:t>.</w:t>
      </w:r>
    </w:p>
    <w:p w:rsidR="00441192" w:rsidRPr="00441192" w:rsidRDefault="00441192" w:rsidP="00441192">
      <w:pPr>
        <w:autoSpaceDE w:val="0"/>
        <w:autoSpaceDN w:val="0"/>
        <w:adjustRightInd w:val="0"/>
        <w:rPr>
          <w:szCs w:val="22"/>
        </w:rPr>
      </w:pPr>
    </w:p>
    <w:p w:rsidR="00441192" w:rsidRPr="00441192" w:rsidRDefault="00441192" w:rsidP="00441192">
      <w:pPr>
        <w:tabs>
          <w:tab w:val="num" w:pos="567"/>
        </w:tabs>
        <w:rPr>
          <w:szCs w:val="22"/>
        </w:rPr>
      </w:pPr>
      <w:r>
        <w:rPr>
          <w:szCs w:val="22"/>
        </w:rPr>
        <w:fldChar w:fldCharType="begin"/>
      </w:r>
      <w:r>
        <w:rPr>
          <w:szCs w:val="22"/>
        </w:rPr>
        <w:instrText xml:space="preserve"> AUTONUM  </w:instrText>
      </w:r>
      <w:r>
        <w:rPr>
          <w:szCs w:val="22"/>
        </w:rPr>
        <w:fldChar w:fldCharType="end"/>
      </w:r>
      <w:r>
        <w:rPr>
          <w:szCs w:val="22"/>
        </w:rPr>
        <w:tab/>
      </w:r>
      <w:r w:rsidRPr="00441192">
        <w:rPr>
          <w:szCs w:val="22"/>
        </w:rPr>
        <w:t xml:space="preserve">The </w:t>
      </w:r>
      <w:r w:rsidR="00DA3E7C">
        <w:rPr>
          <w:szCs w:val="22"/>
        </w:rPr>
        <w:t>twelfth</w:t>
      </w:r>
      <w:r w:rsidR="001829CC">
        <w:rPr>
          <w:szCs w:val="22"/>
        </w:rPr>
        <w:t xml:space="preserve"> </w:t>
      </w:r>
      <w:r w:rsidRPr="00441192">
        <w:rPr>
          <w:szCs w:val="22"/>
        </w:rPr>
        <w:t>session addressed the following work program:</w:t>
      </w:r>
    </w:p>
    <w:p w:rsidR="00441192" w:rsidRPr="00441192" w:rsidRDefault="00441192" w:rsidP="00441192">
      <w:pPr>
        <w:rPr>
          <w:szCs w:val="22"/>
        </w:rPr>
      </w:pPr>
    </w:p>
    <w:p w:rsidR="00DA3E7C" w:rsidRDefault="00DA3E7C" w:rsidP="00DA3E7C">
      <w:pPr>
        <w:pStyle w:val="ListParagraph"/>
        <w:ind w:left="1134" w:hanging="567"/>
        <w:rPr>
          <w:szCs w:val="22"/>
        </w:rPr>
      </w:pPr>
      <w:r>
        <w:rPr>
          <w:szCs w:val="22"/>
        </w:rPr>
        <w:t>–</w:t>
      </w:r>
      <w:r w:rsidRPr="00975D72">
        <w:rPr>
          <w:szCs w:val="22"/>
        </w:rPr>
        <w:t xml:space="preserve"> </w:t>
      </w:r>
      <w:r>
        <w:rPr>
          <w:szCs w:val="22"/>
        </w:rPr>
        <w:tab/>
        <w:t>e</w:t>
      </w:r>
      <w:r w:rsidRPr="00975D72">
        <w:rPr>
          <w:szCs w:val="22"/>
        </w:rPr>
        <w:t>xchange of information on national experiences on awareness building activities and</w:t>
      </w:r>
      <w:r>
        <w:rPr>
          <w:szCs w:val="22"/>
        </w:rPr>
        <w:t xml:space="preserve"> </w:t>
      </w:r>
      <w:r w:rsidRPr="00975D72">
        <w:rPr>
          <w:szCs w:val="22"/>
        </w:rPr>
        <w:t>strategic campaigns as a means for building respect for</w:t>
      </w:r>
      <w:r w:rsidR="00324EF3">
        <w:rPr>
          <w:szCs w:val="22"/>
        </w:rPr>
        <w:t xml:space="preserve"> intellectual property (I</w:t>
      </w:r>
      <w:r w:rsidRPr="00975D72">
        <w:rPr>
          <w:szCs w:val="22"/>
        </w:rPr>
        <w:t>P</w:t>
      </w:r>
      <w:r w:rsidR="00324EF3">
        <w:rPr>
          <w:szCs w:val="22"/>
        </w:rPr>
        <w:t>)</w:t>
      </w:r>
      <w:r w:rsidRPr="00975D72">
        <w:rPr>
          <w:szCs w:val="22"/>
        </w:rPr>
        <w:t xml:space="preserve"> among general public, especially</w:t>
      </w:r>
      <w:r>
        <w:rPr>
          <w:szCs w:val="22"/>
        </w:rPr>
        <w:t xml:space="preserve"> </w:t>
      </w:r>
      <w:r w:rsidRPr="00975D72">
        <w:rPr>
          <w:szCs w:val="22"/>
        </w:rPr>
        <w:t>the youth, in accordance with Member States’ educational or any other priorities;</w:t>
      </w:r>
    </w:p>
    <w:p w:rsidR="00DA3E7C" w:rsidRPr="00975D72" w:rsidRDefault="00DA3E7C" w:rsidP="00DA3E7C">
      <w:pPr>
        <w:pStyle w:val="ListParagraph"/>
        <w:ind w:left="1134" w:hanging="567"/>
        <w:rPr>
          <w:szCs w:val="22"/>
        </w:rPr>
      </w:pPr>
    </w:p>
    <w:p w:rsidR="00DA3E7C" w:rsidRDefault="00DA3E7C" w:rsidP="00DA3E7C">
      <w:pPr>
        <w:pStyle w:val="ListParagraph"/>
        <w:ind w:left="1134" w:hanging="567"/>
        <w:rPr>
          <w:szCs w:val="22"/>
        </w:rPr>
      </w:pPr>
      <w:r>
        <w:rPr>
          <w:szCs w:val="22"/>
        </w:rPr>
        <w:t>–</w:t>
      </w:r>
      <w:r w:rsidRPr="00975D72">
        <w:rPr>
          <w:szCs w:val="22"/>
        </w:rPr>
        <w:t xml:space="preserve"> </w:t>
      </w:r>
      <w:r>
        <w:rPr>
          <w:szCs w:val="22"/>
        </w:rPr>
        <w:tab/>
        <w:t>e</w:t>
      </w:r>
      <w:r w:rsidRPr="00975D72">
        <w:rPr>
          <w:szCs w:val="22"/>
        </w:rPr>
        <w:t>xchange of information on national experiences relating to institutional arrangements</w:t>
      </w:r>
      <w:r>
        <w:rPr>
          <w:szCs w:val="22"/>
        </w:rPr>
        <w:t xml:space="preserve"> </w:t>
      </w:r>
      <w:r w:rsidRPr="00975D72">
        <w:rPr>
          <w:szCs w:val="22"/>
        </w:rPr>
        <w:t>concerning IP enforcement policies and regimes, including mechanism to resolve IP</w:t>
      </w:r>
      <w:r>
        <w:rPr>
          <w:szCs w:val="22"/>
        </w:rPr>
        <w:t xml:space="preserve"> </w:t>
      </w:r>
      <w:r w:rsidRPr="00975D72">
        <w:rPr>
          <w:szCs w:val="22"/>
        </w:rPr>
        <w:t>disputes in a balanced, holistic and effective manner;</w:t>
      </w:r>
    </w:p>
    <w:p w:rsidR="00DA3E7C" w:rsidRPr="00975D72" w:rsidRDefault="00DA3E7C" w:rsidP="00DA3E7C">
      <w:pPr>
        <w:pStyle w:val="ListParagraph"/>
        <w:ind w:left="1134" w:hanging="567"/>
        <w:rPr>
          <w:szCs w:val="22"/>
        </w:rPr>
      </w:pPr>
    </w:p>
    <w:p w:rsidR="00DA3E7C" w:rsidRDefault="00DA3E7C" w:rsidP="00DA3E7C">
      <w:pPr>
        <w:pStyle w:val="ListParagraph"/>
        <w:ind w:left="1134" w:hanging="567"/>
        <w:rPr>
          <w:szCs w:val="22"/>
        </w:rPr>
      </w:pPr>
      <w:r>
        <w:rPr>
          <w:szCs w:val="22"/>
        </w:rPr>
        <w:t>–</w:t>
      </w:r>
      <w:r w:rsidRPr="00975D72">
        <w:rPr>
          <w:szCs w:val="22"/>
        </w:rPr>
        <w:t xml:space="preserve"> </w:t>
      </w:r>
      <w:r>
        <w:rPr>
          <w:szCs w:val="22"/>
        </w:rPr>
        <w:tab/>
        <w:t>e</w:t>
      </w:r>
      <w:r w:rsidRPr="00975D72">
        <w:rPr>
          <w:szCs w:val="22"/>
        </w:rPr>
        <w:t xml:space="preserve">xchange of information on national experiences in respect of </w:t>
      </w:r>
      <w:r w:rsidR="003F619B">
        <w:rPr>
          <w:szCs w:val="22"/>
        </w:rPr>
        <w:t>the World Intellectual Property Organization (</w:t>
      </w:r>
      <w:r w:rsidRPr="00975D72">
        <w:rPr>
          <w:szCs w:val="22"/>
        </w:rPr>
        <w:t>WIPO</w:t>
      </w:r>
      <w:r w:rsidR="003F619B">
        <w:rPr>
          <w:szCs w:val="22"/>
        </w:rPr>
        <w:t>)</w:t>
      </w:r>
      <w:r w:rsidRPr="00975D72">
        <w:rPr>
          <w:szCs w:val="22"/>
        </w:rPr>
        <w:t xml:space="preserve"> legislative</w:t>
      </w:r>
      <w:r>
        <w:rPr>
          <w:szCs w:val="22"/>
        </w:rPr>
        <w:t xml:space="preserve"> </w:t>
      </w:r>
      <w:r w:rsidRPr="00975D72">
        <w:rPr>
          <w:szCs w:val="22"/>
        </w:rPr>
        <w:t>assistance, with a focus on drafting national laws of enforcement that take into account the</w:t>
      </w:r>
      <w:r>
        <w:rPr>
          <w:szCs w:val="22"/>
        </w:rPr>
        <w:t xml:space="preserve"> </w:t>
      </w:r>
      <w:r w:rsidRPr="00975D72">
        <w:rPr>
          <w:szCs w:val="22"/>
        </w:rPr>
        <w:t>flexibilities, the level of development, the difference in legal tradition and the possible abuse</w:t>
      </w:r>
      <w:r>
        <w:rPr>
          <w:szCs w:val="22"/>
        </w:rPr>
        <w:t xml:space="preserve"> </w:t>
      </w:r>
      <w:r w:rsidRPr="00975D72">
        <w:rPr>
          <w:szCs w:val="22"/>
        </w:rPr>
        <w:t>of enforcement procedures, bearing in mind the broader societal interest and in accordance</w:t>
      </w:r>
      <w:r>
        <w:rPr>
          <w:szCs w:val="22"/>
        </w:rPr>
        <w:t xml:space="preserve"> </w:t>
      </w:r>
      <w:r w:rsidRPr="00975D72">
        <w:rPr>
          <w:szCs w:val="22"/>
        </w:rPr>
        <w:t>with Member States’ priorities</w:t>
      </w:r>
      <w:proofErr w:type="gramStart"/>
      <w:r w:rsidRPr="00975D72">
        <w:rPr>
          <w:szCs w:val="22"/>
        </w:rPr>
        <w:t xml:space="preserve">; </w:t>
      </w:r>
      <w:r>
        <w:rPr>
          <w:szCs w:val="22"/>
        </w:rPr>
        <w:t xml:space="preserve"> </w:t>
      </w:r>
      <w:r w:rsidRPr="00975D72">
        <w:rPr>
          <w:szCs w:val="22"/>
        </w:rPr>
        <w:t>and</w:t>
      </w:r>
      <w:proofErr w:type="gramEnd"/>
    </w:p>
    <w:p w:rsidR="00DA3E7C" w:rsidRPr="00975D72" w:rsidRDefault="00DA3E7C" w:rsidP="00DA3E7C">
      <w:pPr>
        <w:pStyle w:val="ListParagraph"/>
        <w:ind w:left="1134" w:hanging="567"/>
        <w:rPr>
          <w:szCs w:val="22"/>
        </w:rPr>
      </w:pPr>
    </w:p>
    <w:p w:rsidR="00DA3E7C" w:rsidRDefault="00DA3E7C" w:rsidP="00DA3E7C">
      <w:pPr>
        <w:pStyle w:val="ListParagraph"/>
        <w:keepNext/>
        <w:ind w:left="1134" w:hanging="567"/>
        <w:rPr>
          <w:szCs w:val="22"/>
        </w:rPr>
      </w:pPr>
      <w:r>
        <w:rPr>
          <w:szCs w:val="22"/>
        </w:rPr>
        <w:t>–</w:t>
      </w:r>
      <w:r w:rsidRPr="00975D72">
        <w:rPr>
          <w:szCs w:val="22"/>
        </w:rPr>
        <w:t xml:space="preserve"> </w:t>
      </w:r>
      <w:r>
        <w:rPr>
          <w:szCs w:val="22"/>
        </w:rPr>
        <w:tab/>
        <w:t>e</w:t>
      </w:r>
      <w:r w:rsidRPr="00975D72">
        <w:rPr>
          <w:szCs w:val="22"/>
        </w:rPr>
        <w:t>xchange of success stories on capacity building and support from WIPO for training</w:t>
      </w:r>
      <w:r>
        <w:rPr>
          <w:szCs w:val="22"/>
        </w:rPr>
        <w:t xml:space="preserve"> </w:t>
      </w:r>
      <w:r w:rsidRPr="00975D72">
        <w:rPr>
          <w:szCs w:val="22"/>
        </w:rPr>
        <w:t>activities at national and regional levels for Agencies and national officials in line with</w:t>
      </w:r>
      <w:r>
        <w:rPr>
          <w:szCs w:val="22"/>
        </w:rPr>
        <w:t xml:space="preserve"> </w:t>
      </w:r>
      <w:r w:rsidRPr="00975D72">
        <w:rPr>
          <w:szCs w:val="22"/>
        </w:rPr>
        <w:t>relevant Development Agenda Recommendations and the ACE mandate.</w:t>
      </w:r>
      <w:r w:rsidRPr="00975D72" w:rsidDel="00975D72">
        <w:rPr>
          <w:szCs w:val="22"/>
        </w:rPr>
        <w:t xml:space="preserve"> </w:t>
      </w:r>
    </w:p>
    <w:p w:rsidR="00441192" w:rsidRPr="00441192" w:rsidRDefault="00441192" w:rsidP="00441192">
      <w:pPr>
        <w:ind w:left="720"/>
        <w:rPr>
          <w:szCs w:val="22"/>
        </w:rPr>
      </w:pPr>
    </w:p>
    <w:p w:rsidR="00DA3E7C" w:rsidRPr="00441192" w:rsidRDefault="00DA3E7C" w:rsidP="00DA3E7C">
      <w:pPr>
        <w:tabs>
          <w:tab w:val="num" w:pos="567"/>
        </w:tabs>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Pr="00441192">
        <w:rPr>
          <w:szCs w:val="22"/>
        </w:rPr>
        <w:t xml:space="preserve">The work program was addressed on the basis of </w:t>
      </w:r>
      <w:r>
        <w:rPr>
          <w:szCs w:val="22"/>
        </w:rPr>
        <w:t>3</w:t>
      </w:r>
      <w:r w:rsidR="00571400">
        <w:rPr>
          <w:szCs w:val="22"/>
        </w:rPr>
        <w:t>4</w:t>
      </w:r>
      <w:r w:rsidRPr="008E7E86">
        <w:rPr>
          <w:szCs w:val="22"/>
        </w:rPr>
        <w:t xml:space="preserve"> expert presentations</w:t>
      </w:r>
      <w:r w:rsidR="00571400">
        <w:rPr>
          <w:szCs w:val="22"/>
        </w:rPr>
        <w:t>, one Secretariat presentation and four panel discussions</w:t>
      </w:r>
      <w:r w:rsidRPr="00441192">
        <w:rPr>
          <w:szCs w:val="22"/>
          <w:vertAlign w:val="superscript"/>
        </w:rPr>
        <w:footnoteReference w:id="2"/>
      </w:r>
      <w:r w:rsidR="00324EF3">
        <w:rPr>
          <w:szCs w:val="22"/>
        </w:rPr>
        <w:t>.</w:t>
      </w:r>
    </w:p>
    <w:p w:rsidR="00DA3E7C" w:rsidRDefault="00DA3E7C" w:rsidP="00DA3E7C">
      <w:pPr>
        <w:rPr>
          <w:szCs w:val="22"/>
        </w:rPr>
      </w:pPr>
    </w:p>
    <w:p w:rsidR="00E3501C" w:rsidRDefault="00E3501C" w:rsidP="00E3501C">
      <w:pPr>
        <w:ind w:right="-1"/>
        <w:rPr>
          <w:szCs w:val="22"/>
        </w:rPr>
      </w:pPr>
      <w:r w:rsidRPr="00C055B9">
        <w:rPr>
          <w:szCs w:val="22"/>
        </w:rPr>
        <w:fldChar w:fldCharType="begin"/>
      </w:r>
      <w:r w:rsidRPr="00C055B9">
        <w:rPr>
          <w:szCs w:val="22"/>
        </w:rPr>
        <w:instrText xml:space="preserve"> AUTONUM  </w:instrText>
      </w:r>
      <w:r w:rsidRPr="00C055B9">
        <w:rPr>
          <w:szCs w:val="22"/>
        </w:rPr>
        <w:fldChar w:fldCharType="end"/>
      </w:r>
      <w:r w:rsidRPr="00C055B9">
        <w:rPr>
          <w:szCs w:val="22"/>
        </w:rPr>
        <w:tab/>
        <w:t xml:space="preserve">Under the </w:t>
      </w:r>
      <w:r>
        <w:rPr>
          <w:szCs w:val="22"/>
        </w:rPr>
        <w:t xml:space="preserve">work program </w:t>
      </w:r>
      <w:r w:rsidRPr="00C055B9">
        <w:rPr>
          <w:szCs w:val="22"/>
        </w:rPr>
        <w:t>item “</w:t>
      </w:r>
      <w:r>
        <w:rPr>
          <w:szCs w:val="22"/>
        </w:rPr>
        <w:t>e</w:t>
      </w:r>
      <w:r w:rsidRPr="007A04DB">
        <w:rPr>
          <w:szCs w:val="22"/>
        </w:rPr>
        <w:t>xchange of information on national experiences relating to institutional arrangements concerning IP enforcement policies and regimes, including mechanism to resolve IP disputes in a balanced, holistic and effective manner</w:t>
      </w:r>
      <w:r w:rsidRPr="00C055B9">
        <w:rPr>
          <w:szCs w:val="22"/>
        </w:rPr>
        <w:t xml:space="preserve">”, </w:t>
      </w:r>
      <w:r>
        <w:rPr>
          <w:szCs w:val="22"/>
        </w:rPr>
        <w:t>presentations were grouped into five topics.</w:t>
      </w:r>
    </w:p>
    <w:p w:rsidR="00E3501C" w:rsidRDefault="00E3501C" w:rsidP="00E3501C">
      <w:pPr>
        <w:ind w:right="-1"/>
        <w:rPr>
          <w:szCs w:val="22"/>
        </w:rPr>
      </w:pPr>
    </w:p>
    <w:p w:rsidR="00E3501C" w:rsidRDefault="00E3501C" w:rsidP="00E3501C">
      <w:pPr>
        <w:ind w:right="-1"/>
        <w:rPr>
          <w:szCs w:val="22"/>
        </w:rPr>
      </w:pPr>
      <w:r>
        <w:rPr>
          <w:szCs w:val="22"/>
        </w:rPr>
        <w:fldChar w:fldCharType="begin"/>
      </w:r>
      <w:r>
        <w:rPr>
          <w:szCs w:val="22"/>
        </w:rPr>
        <w:instrText xml:space="preserve"> AUTONUM  </w:instrText>
      </w:r>
      <w:r>
        <w:rPr>
          <w:szCs w:val="22"/>
        </w:rPr>
        <w:fldChar w:fldCharType="end"/>
      </w:r>
      <w:r>
        <w:rPr>
          <w:szCs w:val="22"/>
        </w:rPr>
        <w:tab/>
        <w:t>Under the topic “</w:t>
      </w:r>
      <w:r w:rsidRPr="002E50B9">
        <w:rPr>
          <w:szCs w:val="22"/>
        </w:rPr>
        <w:t>The Environmentally Safe Disposal and Destruction of IP Infringing Goods</w:t>
      </w:r>
      <w:r>
        <w:rPr>
          <w:szCs w:val="22"/>
        </w:rPr>
        <w:t>”, Dr. Martin Guard, I</w:t>
      </w:r>
      <w:r w:rsidRPr="00713AE8">
        <w:rPr>
          <w:szCs w:val="22"/>
        </w:rPr>
        <w:t xml:space="preserve">ndependent </w:t>
      </w:r>
      <w:r>
        <w:rPr>
          <w:szCs w:val="22"/>
        </w:rPr>
        <w:t>E</w:t>
      </w:r>
      <w:r w:rsidRPr="00713AE8">
        <w:rPr>
          <w:szCs w:val="22"/>
        </w:rPr>
        <w:t xml:space="preserve">nvironmental </w:t>
      </w:r>
      <w:r>
        <w:rPr>
          <w:szCs w:val="22"/>
        </w:rPr>
        <w:t>C</w:t>
      </w:r>
      <w:r w:rsidRPr="00713AE8">
        <w:rPr>
          <w:szCs w:val="22"/>
        </w:rPr>
        <w:t>onsultant</w:t>
      </w:r>
      <w:r>
        <w:rPr>
          <w:szCs w:val="22"/>
        </w:rPr>
        <w:t xml:space="preserve">, Geneva, </w:t>
      </w:r>
      <w:r w:rsidRPr="00AD63F0">
        <w:rPr>
          <w:szCs w:val="22"/>
        </w:rPr>
        <w:t>presented</w:t>
      </w:r>
      <w:r>
        <w:rPr>
          <w:szCs w:val="22"/>
        </w:rPr>
        <w:t xml:space="preserve"> the</w:t>
      </w:r>
      <w:r w:rsidRPr="00AD63F0">
        <w:rPr>
          <w:szCs w:val="22"/>
        </w:rPr>
        <w:t xml:space="preserve"> </w:t>
      </w:r>
      <w:r>
        <w:rPr>
          <w:szCs w:val="22"/>
        </w:rPr>
        <w:t>results of the S</w:t>
      </w:r>
      <w:r w:rsidRPr="00AD63F0">
        <w:rPr>
          <w:szCs w:val="22"/>
        </w:rPr>
        <w:t>e</w:t>
      </w:r>
      <w:r>
        <w:rPr>
          <w:szCs w:val="22"/>
        </w:rPr>
        <w:t xml:space="preserve">cretariat commissioned study </w:t>
      </w:r>
      <w:r w:rsidRPr="00AD63F0">
        <w:rPr>
          <w:szCs w:val="22"/>
        </w:rPr>
        <w:t>“The Environmentally Safe Disposal and Destruction of Intellectual Property Infringing Goods”</w:t>
      </w:r>
      <w:r w:rsidR="00E367EE">
        <w:rPr>
          <w:szCs w:val="22"/>
        </w:rPr>
        <w:t>,</w:t>
      </w:r>
      <w:r>
        <w:rPr>
          <w:szCs w:val="22"/>
        </w:rPr>
        <w:t xml:space="preserve"> and experiences were shared by </w:t>
      </w:r>
      <w:r w:rsidR="00F94184">
        <w:rPr>
          <w:szCs w:val="22"/>
        </w:rPr>
        <w:t xml:space="preserve">the </w:t>
      </w:r>
      <w:r w:rsidR="00F94184" w:rsidRPr="00F94184">
        <w:rPr>
          <w:szCs w:val="22"/>
        </w:rPr>
        <w:t xml:space="preserve">Customs and Monopolies Agency of Italy </w:t>
      </w:r>
      <w:r>
        <w:rPr>
          <w:szCs w:val="22"/>
        </w:rPr>
        <w:t xml:space="preserve">and </w:t>
      </w:r>
      <w:r w:rsidR="00F94184">
        <w:rPr>
          <w:szCs w:val="22"/>
        </w:rPr>
        <w:t>the Mexican Institute for Industrial Property (IMPI).</w:t>
      </w:r>
    </w:p>
    <w:p w:rsidR="00E3501C" w:rsidRDefault="00E3501C" w:rsidP="00E3501C">
      <w:pPr>
        <w:ind w:right="-1"/>
        <w:rPr>
          <w:szCs w:val="22"/>
        </w:rPr>
      </w:pPr>
    </w:p>
    <w:p w:rsidR="00E3501C" w:rsidRDefault="00E3501C" w:rsidP="00E3501C">
      <w:pPr>
        <w:ind w:right="-1"/>
        <w:rPr>
          <w:szCs w:val="22"/>
        </w:rPr>
      </w:pPr>
      <w:r>
        <w:rPr>
          <w:szCs w:val="22"/>
        </w:rPr>
        <w:fldChar w:fldCharType="begin"/>
      </w:r>
      <w:r>
        <w:rPr>
          <w:szCs w:val="22"/>
        </w:rPr>
        <w:instrText xml:space="preserve"> AUTONUM  </w:instrText>
      </w:r>
      <w:r>
        <w:rPr>
          <w:szCs w:val="22"/>
        </w:rPr>
        <w:fldChar w:fldCharType="end"/>
      </w:r>
      <w:r>
        <w:rPr>
          <w:szCs w:val="22"/>
        </w:rPr>
        <w:tab/>
        <w:t>Under the topic “</w:t>
      </w:r>
      <w:r w:rsidRPr="007A04DB">
        <w:rPr>
          <w:szCs w:val="22"/>
        </w:rPr>
        <w:t xml:space="preserve">Coordinating </w:t>
      </w:r>
      <w:r>
        <w:rPr>
          <w:szCs w:val="22"/>
        </w:rPr>
        <w:t>Intellectual Property</w:t>
      </w:r>
      <w:r w:rsidRPr="007A04DB">
        <w:rPr>
          <w:szCs w:val="22"/>
        </w:rPr>
        <w:t xml:space="preserve"> Enforcement at the National </w:t>
      </w:r>
      <w:r>
        <w:rPr>
          <w:szCs w:val="22"/>
        </w:rPr>
        <w:t xml:space="preserve">and Regional </w:t>
      </w:r>
      <w:r w:rsidRPr="007A04DB">
        <w:rPr>
          <w:szCs w:val="22"/>
        </w:rPr>
        <w:t>Level</w:t>
      </w:r>
      <w:r>
        <w:rPr>
          <w:szCs w:val="22"/>
        </w:rPr>
        <w:t xml:space="preserve">”, experiences were shared by the </w:t>
      </w:r>
      <w:r w:rsidRPr="00197BB1">
        <w:rPr>
          <w:szCs w:val="22"/>
        </w:rPr>
        <w:t>Intellectual Property Agency of the Republic of Armenia (AIPA)</w:t>
      </w:r>
      <w:r>
        <w:rPr>
          <w:szCs w:val="22"/>
        </w:rPr>
        <w:t xml:space="preserve">, the </w:t>
      </w:r>
      <w:r w:rsidRPr="00197BB1">
        <w:rPr>
          <w:szCs w:val="22"/>
        </w:rPr>
        <w:t xml:space="preserve">National Institute of Industrial Property (INAPI) </w:t>
      </w:r>
      <w:r>
        <w:rPr>
          <w:szCs w:val="22"/>
        </w:rPr>
        <w:t xml:space="preserve">of </w:t>
      </w:r>
      <w:r w:rsidRPr="00197BB1">
        <w:rPr>
          <w:szCs w:val="22"/>
        </w:rPr>
        <w:t>Chile</w:t>
      </w:r>
      <w:r>
        <w:rPr>
          <w:szCs w:val="22"/>
        </w:rPr>
        <w:t>, the</w:t>
      </w:r>
      <w:r w:rsidRPr="00197BB1">
        <w:rPr>
          <w:szCs w:val="22"/>
        </w:rPr>
        <w:t xml:space="preserve"> Shanghai Intellectual Property Administration (SIPA)</w:t>
      </w:r>
      <w:r>
        <w:rPr>
          <w:szCs w:val="22"/>
        </w:rPr>
        <w:t>, the</w:t>
      </w:r>
      <w:r w:rsidRPr="00197BB1">
        <w:rPr>
          <w:szCs w:val="22"/>
        </w:rPr>
        <w:t xml:space="preserve"> Office of the National Leading Group on the Fight Against </w:t>
      </w:r>
      <w:r>
        <w:rPr>
          <w:szCs w:val="22"/>
        </w:rPr>
        <w:t>IPR</w:t>
      </w:r>
      <w:r w:rsidRPr="00197BB1">
        <w:rPr>
          <w:szCs w:val="22"/>
        </w:rPr>
        <w:t xml:space="preserve"> Infringement and Counterfeiting </w:t>
      </w:r>
      <w:r>
        <w:rPr>
          <w:szCs w:val="22"/>
        </w:rPr>
        <w:t>of China, the</w:t>
      </w:r>
      <w:r w:rsidRPr="006C6068">
        <w:rPr>
          <w:szCs w:val="22"/>
        </w:rPr>
        <w:t xml:space="preserve"> Japan Patent Office (JPO)</w:t>
      </w:r>
      <w:r>
        <w:rPr>
          <w:szCs w:val="22"/>
        </w:rPr>
        <w:t xml:space="preserve">, the </w:t>
      </w:r>
      <w:r w:rsidRPr="006C6068">
        <w:rPr>
          <w:szCs w:val="22"/>
        </w:rPr>
        <w:t xml:space="preserve">Business and Intellectual Property Authority (BIPA) </w:t>
      </w:r>
      <w:r>
        <w:rPr>
          <w:szCs w:val="22"/>
        </w:rPr>
        <w:t>of Namibia, the</w:t>
      </w:r>
      <w:r w:rsidRPr="00745799">
        <w:rPr>
          <w:szCs w:val="22"/>
        </w:rPr>
        <w:t xml:space="preserve"> Intellectual Property Office of</w:t>
      </w:r>
      <w:r>
        <w:rPr>
          <w:szCs w:val="22"/>
        </w:rPr>
        <w:t xml:space="preserve"> the Philippines (IPO</w:t>
      </w:r>
      <w:r w:rsidRPr="00745799">
        <w:rPr>
          <w:szCs w:val="22"/>
        </w:rPr>
        <w:t>PHL)</w:t>
      </w:r>
      <w:r>
        <w:rPr>
          <w:szCs w:val="22"/>
        </w:rPr>
        <w:t xml:space="preserve">, the </w:t>
      </w:r>
      <w:r w:rsidRPr="00745799">
        <w:rPr>
          <w:szCs w:val="22"/>
        </w:rPr>
        <w:t>Royal Thai Police</w:t>
      </w:r>
      <w:r>
        <w:rPr>
          <w:szCs w:val="22"/>
        </w:rPr>
        <w:t>, the</w:t>
      </w:r>
      <w:r w:rsidRPr="00745799">
        <w:rPr>
          <w:szCs w:val="22"/>
        </w:rPr>
        <w:t xml:space="preserve"> </w:t>
      </w:r>
      <w:r>
        <w:rPr>
          <w:szCs w:val="22"/>
        </w:rPr>
        <w:t>Directorate General of Copyright</w:t>
      </w:r>
      <w:r w:rsidRPr="00745799">
        <w:rPr>
          <w:szCs w:val="22"/>
        </w:rPr>
        <w:t xml:space="preserve"> </w:t>
      </w:r>
      <w:r>
        <w:rPr>
          <w:szCs w:val="22"/>
        </w:rPr>
        <w:t>of Turkey and the</w:t>
      </w:r>
      <w:r w:rsidRPr="00745799">
        <w:rPr>
          <w:szCs w:val="22"/>
        </w:rPr>
        <w:t xml:space="preserve"> National Office of Intellectual Property of Viet Nam (NOIP)</w:t>
      </w:r>
      <w:r>
        <w:rPr>
          <w:szCs w:val="22"/>
        </w:rPr>
        <w:t>.</w:t>
      </w:r>
      <w:r w:rsidR="00324EF3">
        <w:rPr>
          <w:szCs w:val="22"/>
        </w:rPr>
        <w:t xml:space="preserve">  </w:t>
      </w:r>
      <w:r w:rsidR="00324EF3" w:rsidRPr="00E27780">
        <w:rPr>
          <w:szCs w:val="22"/>
        </w:rPr>
        <w:t xml:space="preserve">A panel discussion took place, moderated by </w:t>
      </w:r>
      <w:r w:rsidR="00324EF3" w:rsidRPr="000A7270">
        <w:rPr>
          <w:szCs w:val="22"/>
        </w:rPr>
        <w:t xml:space="preserve">Mr. Miguel </w:t>
      </w:r>
      <w:proofErr w:type="spellStart"/>
      <w:r w:rsidR="00324EF3" w:rsidRPr="000A7270">
        <w:rPr>
          <w:szCs w:val="22"/>
        </w:rPr>
        <w:t>Ángel</w:t>
      </w:r>
      <w:proofErr w:type="spellEnd"/>
      <w:r w:rsidR="00324EF3" w:rsidRPr="000A7270">
        <w:rPr>
          <w:szCs w:val="22"/>
        </w:rPr>
        <w:t xml:space="preserve"> </w:t>
      </w:r>
      <w:proofErr w:type="spellStart"/>
      <w:r w:rsidR="00324EF3" w:rsidRPr="000A7270">
        <w:rPr>
          <w:szCs w:val="22"/>
        </w:rPr>
        <w:t>Margáin</w:t>
      </w:r>
      <w:proofErr w:type="spellEnd"/>
      <w:r w:rsidR="00324EF3" w:rsidRPr="000A7270">
        <w:rPr>
          <w:szCs w:val="22"/>
        </w:rPr>
        <w:t xml:space="preserve">, Director General, </w:t>
      </w:r>
      <w:r w:rsidR="003F619B">
        <w:rPr>
          <w:szCs w:val="22"/>
        </w:rPr>
        <w:t>Mexican Institute of Industrial Property (</w:t>
      </w:r>
      <w:r w:rsidR="00324EF3" w:rsidRPr="000A7270">
        <w:rPr>
          <w:szCs w:val="22"/>
        </w:rPr>
        <w:t>IMPI</w:t>
      </w:r>
      <w:r w:rsidR="003F619B">
        <w:rPr>
          <w:szCs w:val="22"/>
        </w:rPr>
        <w:t>)</w:t>
      </w:r>
      <w:r w:rsidR="00324EF3">
        <w:rPr>
          <w:szCs w:val="22"/>
        </w:rPr>
        <w:t>.</w:t>
      </w:r>
    </w:p>
    <w:p w:rsidR="00E3501C" w:rsidRDefault="00E3501C" w:rsidP="00E3501C">
      <w:pPr>
        <w:ind w:right="-1"/>
        <w:rPr>
          <w:szCs w:val="22"/>
        </w:rPr>
      </w:pPr>
    </w:p>
    <w:p w:rsidR="00E3501C" w:rsidRDefault="00E3501C" w:rsidP="00E3501C">
      <w:pPr>
        <w:ind w:right="-1"/>
        <w:rPr>
          <w:szCs w:val="22"/>
        </w:rPr>
      </w:pPr>
      <w:r>
        <w:rPr>
          <w:szCs w:val="22"/>
        </w:rPr>
        <w:fldChar w:fldCharType="begin"/>
      </w:r>
      <w:r>
        <w:rPr>
          <w:szCs w:val="22"/>
        </w:rPr>
        <w:instrText xml:space="preserve"> AUTONUM  </w:instrText>
      </w:r>
      <w:r>
        <w:rPr>
          <w:szCs w:val="22"/>
        </w:rPr>
        <w:fldChar w:fldCharType="end"/>
      </w:r>
      <w:r>
        <w:rPr>
          <w:szCs w:val="22"/>
        </w:rPr>
        <w:tab/>
        <w:t>Under the topic “</w:t>
      </w:r>
      <w:r w:rsidRPr="00E33C6D">
        <w:rPr>
          <w:szCs w:val="22"/>
        </w:rPr>
        <w:t>Mechanisms to Resolve Intellectual Property Disputes in a Balanced Holistic and Effective Manner – Efficient Court Procedures</w:t>
      </w:r>
      <w:r>
        <w:rPr>
          <w:szCs w:val="22"/>
        </w:rPr>
        <w:t>”</w:t>
      </w:r>
      <w:r w:rsidR="00F94184">
        <w:rPr>
          <w:szCs w:val="22"/>
        </w:rPr>
        <w:t xml:space="preserve">, experiences were shared by </w:t>
      </w:r>
      <w:r>
        <w:rPr>
          <w:szCs w:val="22"/>
        </w:rPr>
        <w:t>the</w:t>
      </w:r>
      <w:r w:rsidRPr="00D315C7">
        <w:rPr>
          <w:szCs w:val="22"/>
        </w:rPr>
        <w:t xml:space="preserve"> </w:t>
      </w:r>
      <w:r w:rsidRPr="007018C0">
        <w:rPr>
          <w:szCs w:val="22"/>
        </w:rPr>
        <w:t xml:space="preserve">Regional Institute for Intellectual Property, Faculty of Law, </w:t>
      </w:r>
      <w:proofErr w:type="spellStart"/>
      <w:r w:rsidRPr="007018C0">
        <w:rPr>
          <w:szCs w:val="22"/>
        </w:rPr>
        <w:t>Helwan</w:t>
      </w:r>
      <w:proofErr w:type="spellEnd"/>
      <w:r w:rsidRPr="007018C0">
        <w:rPr>
          <w:szCs w:val="22"/>
        </w:rPr>
        <w:t xml:space="preserve"> University, Cairo</w:t>
      </w:r>
      <w:r w:rsidR="00F94184">
        <w:rPr>
          <w:szCs w:val="22"/>
        </w:rPr>
        <w:t xml:space="preserve">, Egypt, </w:t>
      </w:r>
      <w:r>
        <w:rPr>
          <w:szCs w:val="22"/>
        </w:rPr>
        <w:t>the</w:t>
      </w:r>
      <w:r w:rsidRPr="00D315C7">
        <w:rPr>
          <w:szCs w:val="22"/>
        </w:rPr>
        <w:t xml:space="preserve"> Supreme Court of Justice </w:t>
      </w:r>
      <w:r>
        <w:rPr>
          <w:szCs w:val="22"/>
        </w:rPr>
        <w:t xml:space="preserve">of </w:t>
      </w:r>
      <w:r w:rsidRPr="00D315C7">
        <w:rPr>
          <w:szCs w:val="22"/>
        </w:rPr>
        <w:t>Panama</w:t>
      </w:r>
      <w:r w:rsidR="00F94184">
        <w:rPr>
          <w:szCs w:val="22"/>
        </w:rPr>
        <w:t xml:space="preserve"> and </w:t>
      </w:r>
      <w:r w:rsidRPr="00D315C7">
        <w:rPr>
          <w:szCs w:val="22"/>
        </w:rPr>
        <w:t>the Federal Patent Court of Switzerland</w:t>
      </w:r>
      <w:r>
        <w:rPr>
          <w:szCs w:val="22"/>
        </w:rPr>
        <w:t>.</w:t>
      </w:r>
      <w:r w:rsidR="00324EF3">
        <w:rPr>
          <w:szCs w:val="22"/>
        </w:rPr>
        <w:t xml:space="preserve">  </w:t>
      </w:r>
      <w:r w:rsidR="00324EF3" w:rsidRPr="00E27780">
        <w:rPr>
          <w:szCs w:val="22"/>
        </w:rPr>
        <w:t xml:space="preserve">A panel discussion took place, moderated by </w:t>
      </w:r>
      <w:r w:rsidR="00324EF3" w:rsidRPr="00750DD7">
        <w:rPr>
          <w:szCs w:val="22"/>
        </w:rPr>
        <w:t xml:space="preserve">Mr. Sam </w:t>
      </w:r>
      <w:proofErr w:type="spellStart"/>
      <w:r w:rsidR="00324EF3" w:rsidRPr="00750DD7">
        <w:rPr>
          <w:szCs w:val="22"/>
        </w:rPr>
        <w:t>Granata</w:t>
      </w:r>
      <w:proofErr w:type="spellEnd"/>
      <w:r w:rsidR="00324EF3" w:rsidRPr="00750DD7">
        <w:rPr>
          <w:szCs w:val="22"/>
        </w:rPr>
        <w:t>, Judge, Court of Appeal, Antwerp, Belgium, and Benelux Court of Justice, Luxembourg</w:t>
      </w:r>
      <w:r w:rsidR="00324EF3">
        <w:rPr>
          <w:szCs w:val="22"/>
        </w:rPr>
        <w:t>.</w:t>
      </w:r>
    </w:p>
    <w:p w:rsidR="00E3501C" w:rsidRDefault="00E3501C" w:rsidP="00E3501C">
      <w:pPr>
        <w:ind w:right="-1"/>
        <w:rPr>
          <w:szCs w:val="22"/>
        </w:rPr>
      </w:pPr>
    </w:p>
    <w:p w:rsidR="00E3501C" w:rsidRDefault="00E3501C" w:rsidP="00E3501C">
      <w:pPr>
        <w:ind w:right="-1"/>
        <w:rPr>
          <w:szCs w:val="22"/>
        </w:rPr>
      </w:pPr>
      <w:r>
        <w:rPr>
          <w:szCs w:val="22"/>
        </w:rPr>
        <w:fldChar w:fldCharType="begin"/>
      </w:r>
      <w:r>
        <w:rPr>
          <w:szCs w:val="22"/>
        </w:rPr>
        <w:instrText xml:space="preserve"> AUTONUM  </w:instrText>
      </w:r>
      <w:r>
        <w:rPr>
          <w:szCs w:val="22"/>
        </w:rPr>
        <w:fldChar w:fldCharType="end"/>
      </w:r>
      <w:r>
        <w:rPr>
          <w:szCs w:val="22"/>
        </w:rPr>
        <w:tab/>
        <w:t>Under the topic “</w:t>
      </w:r>
      <w:r w:rsidRPr="001A0665">
        <w:rPr>
          <w:szCs w:val="22"/>
        </w:rPr>
        <w:t>IP Enforcement and Private International Law</w:t>
      </w:r>
      <w:r>
        <w:rPr>
          <w:szCs w:val="22"/>
        </w:rPr>
        <w:t xml:space="preserve">”, </w:t>
      </w:r>
      <w:r w:rsidRPr="007018C0">
        <w:rPr>
          <w:szCs w:val="22"/>
        </w:rPr>
        <w:t>Dr. Annabelle Bennett, former Judge, Federal Court of Australia</w:t>
      </w:r>
      <w:r w:rsidR="00324EF3">
        <w:rPr>
          <w:szCs w:val="22"/>
        </w:rPr>
        <w:t>,</w:t>
      </w:r>
      <w:r>
        <w:rPr>
          <w:szCs w:val="22"/>
        </w:rPr>
        <w:t xml:space="preserve"> and</w:t>
      </w:r>
      <w:r w:rsidR="00324EF3">
        <w:rPr>
          <w:szCs w:val="22"/>
        </w:rPr>
        <w:t xml:space="preserve"> Judge</w:t>
      </w:r>
      <w:r w:rsidR="00E367EE" w:rsidRPr="00750DD7">
        <w:rPr>
          <w:szCs w:val="22"/>
        </w:rPr>
        <w:t xml:space="preserve"> Sam </w:t>
      </w:r>
      <w:proofErr w:type="spellStart"/>
      <w:r w:rsidR="00E367EE" w:rsidRPr="00750DD7">
        <w:rPr>
          <w:szCs w:val="22"/>
        </w:rPr>
        <w:t>Granata</w:t>
      </w:r>
      <w:proofErr w:type="spellEnd"/>
      <w:r w:rsidR="00E367EE" w:rsidRPr="00750DD7">
        <w:rPr>
          <w:szCs w:val="22"/>
        </w:rPr>
        <w:t xml:space="preserve"> </w:t>
      </w:r>
      <w:r w:rsidRPr="00C063D1">
        <w:rPr>
          <w:szCs w:val="22"/>
        </w:rPr>
        <w:t>presen</w:t>
      </w:r>
      <w:r>
        <w:rPr>
          <w:szCs w:val="22"/>
        </w:rPr>
        <w:t>ted the draft guide</w:t>
      </w:r>
      <w:r w:rsidRPr="00C063D1">
        <w:rPr>
          <w:szCs w:val="22"/>
        </w:rPr>
        <w:t xml:space="preserve"> </w:t>
      </w:r>
      <w:r w:rsidRPr="00175680">
        <w:rPr>
          <w:szCs w:val="22"/>
        </w:rPr>
        <w:t xml:space="preserve">on “The Intersection Between Intellectual Property Law and Private International Law” </w:t>
      </w:r>
      <w:r>
        <w:rPr>
          <w:szCs w:val="22"/>
        </w:rPr>
        <w:t xml:space="preserve">to be jointly published by the </w:t>
      </w:r>
      <w:r w:rsidRPr="0074700B">
        <w:rPr>
          <w:szCs w:val="22"/>
        </w:rPr>
        <w:t>Hague Conference on Private International Law (HCCH)</w:t>
      </w:r>
      <w:r w:rsidRPr="00175680">
        <w:rPr>
          <w:szCs w:val="22"/>
        </w:rPr>
        <w:t xml:space="preserve"> </w:t>
      </w:r>
      <w:r>
        <w:rPr>
          <w:szCs w:val="22"/>
        </w:rPr>
        <w:t xml:space="preserve">and WIPO.  </w:t>
      </w:r>
      <w:r w:rsidR="00F94184">
        <w:rPr>
          <w:szCs w:val="22"/>
        </w:rPr>
        <w:t xml:space="preserve">In addition, </w:t>
      </w:r>
      <w:r>
        <w:rPr>
          <w:szCs w:val="22"/>
        </w:rPr>
        <w:t xml:space="preserve">HCCH </w:t>
      </w:r>
      <w:r w:rsidR="00F94184">
        <w:rPr>
          <w:szCs w:val="22"/>
        </w:rPr>
        <w:t>shared its experiences.</w:t>
      </w:r>
    </w:p>
    <w:p w:rsidR="00F94184" w:rsidRDefault="00F94184" w:rsidP="00E3501C">
      <w:pPr>
        <w:ind w:right="-1"/>
        <w:rPr>
          <w:szCs w:val="22"/>
        </w:rPr>
      </w:pPr>
    </w:p>
    <w:p w:rsidR="00E3501C" w:rsidRDefault="00E3501C" w:rsidP="00E3501C">
      <w:pPr>
        <w:ind w:right="-1"/>
        <w:rPr>
          <w:szCs w:val="22"/>
        </w:rPr>
      </w:pPr>
      <w:r>
        <w:rPr>
          <w:szCs w:val="22"/>
        </w:rPr>
        <w:fldChar w:fldCharType="begin"/>
      </w:r>
      <w:r>
        <w:rPr>
          <w:szCs w:val="22"/>
        </w:rPr>
        <w:instrText xml:space="preserve"> AUTONUM  </w:instrText>
      </w:r>
      <w:r>
        <w:rPr>
          <w:szCs w:val="22"/>
        </w:rPr>
        <w:fldChar w:fldCharType="end"/>
      </w:r>
      <w:r>
        <w:rPr>
          <w:szCs w:val="22"/>
        </w:rPr>
        <w:tab/>
        <w:t>Under the topic “</w:t>
      </w:r>
      <w:r w:rsidRPr="001D41B5">
        <w:rPr>
          <w:szCs w:val="22"/>
        </w:rPr>
        <w:t>Institutional Arrangements to Address Online IP Infringements</w:t>
      </w:r>
      <w:r>
        <w:rPr>
          <w:szCs w:val="22"/>
        </w:rPr>
        <w:t xml:space="preserve">”, </w:t>
      </w:r>
      <w:r w:rsidRPr="00E27780">
        <w:rPr>
          <w:szCs w:val="22"/>
        </w:rPr>
        <w:t>Dr.</w:t>
      </w:r>
      <w:r>
        <w:rPr>
          <w:szCs w:val="22"/>
        </w:rPr>
        <w:t> </w:t>
      </w:r>
      <w:r w:rsidRPr="00E27780">
        <w:rPr>
          <w:szCs w:val="22"/>
        </w:rPr>
        <w:t xml:space="preserve">Frederick </w:t>
      </w:r>
      <w:proofErr w:type="spellStart"/>
      <w:r w:rsidRPr="00E27780">
        <w:rPr>
          <w:szCs w:val="22"/>
        </w:rPr>
        <w:t>Mostert</w:t>
      </w:r>
      <w:proofErr w:type="spellEnd"/>
      <w:r w:rsidRPr="00E27780">
        <w:rPr>
          <w:szCs w:val="22"/>
        </w:rPr>
        <w:t>, Research Fellow, University of Oxford, United Kingdom</w:t>
      </w:r>
      <w:r>
        <w:rPr>
          <w:szCs w:val="22"/>
        </w:rPr>
        <w:t xml:space="preserve">, presented the Secretariat </w:t>
      </w:r>
      <w:r w:rsidRPr="00175680">
        <w:rPr>
          <w:szCs w:val="22"/>
        </w:rPr>
        <w:t>commissioned “Study on Approaches to Online Trademark Infringements”</w:t>
      </w:r>
      <w:r w:rsidR="00F94184">
        <w:rPr>
          <w:szCs w:val="22"/>
        </w:rPr>
        <w:t>.</w:t>
      </w:r>
      <w:r>
        <w:rPr>
          <w:szCs w:val="22"/>
        </w:rPr>
        <w:t xml:space="preserve"> </w:t>
      </w:r>
      <w:r w:rsidR="00F94184">
        <w:rPr>
          <w:szCs w:val="22"/>
        </w:rPr>
        <w:t xml:space="preserve"> In addition, experiences were shared by </w:t>
      </w:r>
      <w:r>
        <w:rPr>
          <w:szCs w:val="22"/>
        </w:rPr>
        <w:t>the</w:t>
      </w:r>
      <w:r w:rsidRPr="00AA2FF3">
        <w:rPr>
          <w:szCs w:val="22"/>
        </w:rPr>
        <w:t xml:space="preserve"> </w:t>
      </w:r>
      <w:r w:rsidRPr="00EA0E03">
        <w:rPr>
          <w:i/>
          <w:szCs w:val="22"/>
        </w:rPr>
        <w:t xml:space="preserve">Guardia di </w:t>
      </w:r>
      <w:proofErr w:type="spellStart"/>
      <w:r w:rsidRPr="00EA0E03">
        <w:rPr>
          <w:i/>
          <w:szCs w:val="22"/>
        </w:rPr>
        <w:t>Finanza</w:t>
      </w:r>
      <w:proofErr w:type="spellEnd"/>
      <w:r w:rsidR="00E367EE">
        <w:rPr>
          <w:szCs w:val="22"/>
        </w:rPr>
        <w:t>,</w:t>
      </w:r>
      <w:r>
        <w:rPr>
          <w:szCs w:val="22"/>
        </w:rPr>
        <w:t xml:space="preserve"> and the</w:t>
      </w:r>
      <w:r w:rsidRPr="00AA2FF3">
        <w:rPr>
          <w:szCs w:val="22"/>
        </w:rPr>
        <w:t xml:space="preserve"> Central Inspectorate for Quality Protection and Fraud Repression in Agro</w:t>
      </w:r>
      <w:r>
        <w:rPr>
          <w:szCs w:val="22"/>
        </w:rPr>
        <w:noBreakHyphen/>
      </w:r>
      <w:r w:rsidRPr="00AA2FF3">
        <w:rPr>
          <w:szCs w:val="22"/>
        </w:rPr>
        <w:t>food Products Department (ICQRF), Ministry of Agricultural, Food and Forestry Policies</w:t>
      </w:r>
      <w:r w:rsidR="00E367EE">
        <w:rPr>
          <w:szCs w:val="22"/>
        </w:rPr>
        <w:t>,</w:t>
      </w:r>
      <w:r w:rsidRPr="00AA2FF3">
        <w:rPr>
          <w:szCs w:val="22"/>
        </w:rPr>
        <w:t xml:space="preserve"> </w:t>
      </w:r>
      <w:r>
        <w:rPr>
          <w:szCs w:val="22"/>
        </w:rPr>
        <w:t>Italy</w:t>
      </w:r>
      <w:r w:rsidR="00F94184">
        <w:rPr>
          <w:szCs w:val="22"/>
        </w:rPr>
        <w:t xml:space="preserve">, the </w:t>
      </w:r>
      <w:r w:rsidRPr="00AA2FF3">
        <w:rPr>
          <w:szCs w:val="22"/>
        </w:rPr>
        <w:t>Korean Intellectual Property Office (KIPO)</w:t>
      </w:r>
      <w:r w:rsidR="00F94184">
        <w:rPr>
          <w:szCs w:val="22"/>
        </w:rPr>
        <w:t>,</w:t>
      </w:r>
      <w:r>
        <w:rPr>
          <w:szCs w:val="22"/>
        </w:rPr>
        <w:t xml:space="preserve"> the</w:t>
      </w:r>
      <w:r w:rsidRPr="00AA2FF3">
        <w:rPr>
          <w:szCs w:val="22"/>
        </w:rPr>
        <w:t xml:space="preserve"> Office of the Attorney General </w:t>
      </w:r>
      <w:r>
        <w:rPr>
          <w:szCs w:val="22"/>
        </w:rPr>
        <w:t>of Thailand</w:t>
      </w:r>
      <w:r w:rsidR="00F94184">
        <w:rPr>
          <w:szCs w:val="22"/>
        </w:rPr>
        <w:t xml:space="preserve">, the </w:t>
      </w:r>
      <w:r w:rsidRPr="00A15D96">
        <w:t>High Court of Justice of England and Wales</w:t>
      </w:r>
      <w:r w:rsidR="00F94184">
        <w:rPr>
          <w:szCs w:val="22"/>
        </w:rPr>
        <w:t xml:space="preserve">, the </w:t>
      </w:r>
      <w:r w:rsidRPr="00AA2FF3">
        <w:rPr>
          <w:szCs w:val="22"/>
        </w:rPr>
        <w:t>Intellectual Property Crime Coordinated Coalition (IPC</w:t>
      </w:r>
      <w:r w:rsidRPr="0000093E">
        <w:rPr>
          <w:szCs w:val="22"/>
          <w:vertAlign w:val="superscript"/>
        </w:rPr>
        <w:t>3</w:t>
      </w:r>
      <w:r>
        <w:rPr>
          <w:szCs w:val="22"/>
        </w:rPr>
        <w:t>)</w:t>
      </w:r>
      <w:r w:rsidR="00F94184">
        <w:rPr>
          <w:szCs w:val="22"/>
        </w:rPr>
        <w:t xml:space="preserve"> of</w:t>
      </w:r>
      <w:r>
        <w:rPr>
          <w:szCs w:val="22"/>
        </w:rPr>
        <w:t xml:space="preserve"> </w:t>
      </w:r>
      <w:r w:rsidRPr="00AA2FF3">
        <w:rPr>
          <w:szCs w:val="22"/>
        </w:rPr>
        <w:t>Europol</w:t>
      </w:r>
      <w:r w:rsidR="00F94184">
        <w:rPr>
          <w:szCs w:val="22"/>
        </w:rPr>
        <w:t>, and the</w:t>
      </w:r>
      <w:r>
        <w:rPr>
          <w:szCs w:val="22"/>
        </w:rPr>
        <w:t xml:space="preserve"> </w:t>
      </w:r>
      <w:r w:rsidRPr="00AA2FF3">
        <w:rPr>
          <w:szCs w:val="22"/>
        </w:rPr>
        <w:t>Motion Picture Association of America (MPAA)</w:t>
      </w:r>
      <w:r w:rsidR="00F94184">
        <w:rPr>
          <w:szCs w:val="22"/>
        </w:rPr>
        <w:t>.</w:t>
      </w:r>
      <w:r w:rsidR="00324EF3">
        <w:rPr>
          <w:szCs w:val="22"/>
        </w:rPr>
        <w:t xml:space="preserve">  </w:t>
      </w:r>
      <w:r w:rsidR="00324EF3" w:rsidRPr="00E27780">
        <w:rPr>
          <w:szCs w:val="22"/>
        </w:rPr>
        <w:t>A panel discussi</w:t>
      </w:r>
      <w:r w:rsidR="00324EF3">
        <w:rPr>
          <w:szCs w:val="22"/>
        </w:rPr>
        <w:t>on took place, moderated by Dr. </w:t>
      </w:r>
      <w:r w:rsidR="00324EF3" w:rsidRPr="00E27780">
        <w:rPr>
          <w:szCs w:val="22"/>
        </w:rPr>
        <w:t>Frederick</w:t>
      </w:r>
      <w:r w:rsidR="00324EF3">
        <w:rPr>
          <w:szCs w:val="22"/>
        </w:rPr>
        <w:t> </w:t>
      </w:r>
      <w:proofErr w:type="spellStart"/>
      <w:r w:rsidR="00324EF3" w:rsidRPr="00E27780">
        <w:rPr>
          <w:szCs w:val="22"/>
        </w:rPr>
        <w:t>Mostert</w:t>
      </w:r>
      <w:proofErr w:type="spellEnd"/>
      <w:r w:rsidR="00324EF3">
        <w:rPr>
          <w:szCs w:val="22"/>
        </w:rPr>
        <w:t>.</w:t>
      </w:r>
    </w:p>
    <w:p w:rsidR="00E3501C" w:rsidRDefault="00E3501C" w:rsidP="00E3501C">
      <w:pPr>
        <w:tabs>
          <w:tab w:val="left" w:pos="1279"/>
        </w:tabs>
        <w:ind w:right="-1"/>
        <w:rPr>
          <w:szCs w:val="22"/>
        </w:rPr>
      </w:pPr>
    </w:p>
    <w:p w:rsidR="00E3501C" w:rsidRDefault="00E3501C" w:rsidP="00E3501C">
      <w:pPr>
        <w:ind w:right="-1"/>
        <w:rPr>
          <w:szCs w:val="22"/>
        </w:rPr>
      </w:pPr>
      <w:r>
        <w:rPr>
          <w:szCs w:val="22"/>
        </w:rPr>
        <w:fldChar w:fldCharType="begin"/>
      </w:r>
      <w:r>
        <w:rPr>
          <w:szCs w:val="22"/>
        </w:rPr>
        <w:instrText xml:space="preserve"> AUTONUM  </w:instrText>
      </w:r>
      <w:r>
        <w:rPr>
          <w:szCs w:val="22"/>
        </w:rPr>
        <w:fldChar w:fldCharType="end"/>
      </w:r>
      <w:r>
        <w:rPr>
          <w:szCs w:val="22"/>
        </w:rPr>
        <w:tab/>
        <w:t>Under the</w:t>
      </w:r>
      <w:r w:rsidRPr="008E7E86">
        <w:rPr>
          <w:szCs w:val="22"/>
        </w:rPr>
        <w:t xml:space="preserve"> work program item “</w:t>
      </w:r>
      <w:r>
        <w:rPr>
          <w:szCs w:val="22"/>
        </w:rPr>
        <w:t>e</w:t>
      </w:r>
      <w:r w:rsidRPr="007A04DB">
        <w:rPr>
          <w:szCs w:val="22"/>
        </w:rPr>
        <w:t xml:space="preserve">xchange of information on national experiences on awareness building activities and strategic campaigns as a means for building respect for IP </w:t>
      </w:r>
      <w:r w:rsidRPr="007A04DB">
        <w:rPr>
          <w:szCs w:val="22"/>
        </w:rPr>
        <w:lastRenderedPageBreak/>
        <w:t>among general public, especially the youth, in accordance with Member States’ educational or any other priorities</w:t>
      </w:r>
      <w:r w:rsidRPr="008E7E86">
        <w:rPr>
          <w:szCs w:val="22"/>
        </w:rPr>
        <w:t>”</w:t>
      </w:r>
      <w:r>
        <w:rPr>
          <w:szCs w:val="22"/>
        </w:rPr>
        <w:t>,</w:t>
      </w:r>
      <w:r w:rsidRPr="008E7E86">
        <w:rPr>
          <w:szCs w:val="22"/>
        </w:rPr>
        <w:t xml:space="preserve"> </w:t>
      </w:r>
      <w:r>
        <w:rPr>
          <w:szCs w:val="22"/>
        </w:rPr>
        <w:t xml:space="preserve">presentations were grouped into two topics. </w:t>
      </w:r>
    </w:p>
    <w:p w:rsidR="00E3501C" w:rsidRDefault="00E3501C" w:rsidP="00E3501C">
      <w:pPr>
        <w:ind w:right="-1"/>
        <w:rPr>
          <w:szCs w:val="22"/>
        </w:rPr>
      </w:pPr>
    </w:p>
    <w:p w:rsidR="00E3501C" w:rsidRPr="007B5ED6" w:rsidRDefault="00E3501C" w:rsidP="00E3501C">
      <w:pPr>
        <w:ind w:right="-1"/>
        <w:rPr>
          <w:szCs w:val="22"/>
        </w:rPr>
      </w:pPr>
      <w:r>
        <w:rPr>
          <w:szCs w:val="22"/>
        </w:rPr>
        <w:fldChar w:fldCharType="begin"/>
      </w:r>
      <w:r>
        <w:rPr>
          <w:szCs w:val="22"/>
        </w:rPr>
        <w:instrText xml:space="preserve"> AUTONUM  </w:instrText>
      </w:r>
      <w:r>
        <w:rPr>
          <w:szCs w:val="22"/>
        </w:rPr>
        <w:fldChar w:fldCharType="end"/>
      </w:r>
      <w:r>
        <w:rPr>
          <w:szCs w:val="22"/>
        </w:rPr>
        <w:tab/>
        <w:t>Under</w:t>
      </w:r>
      <w:r w:rsidRPr="008E7E86">
        <w:rPr>
          <w:szCs w:val="22"/>
        </w:rPr>
        <w:t xml:space="preserve"> </w:t>
      </w:r>
      <w:r>
        <w:rPr>
          <w:szCs w:val="22"/>
        </w:rPr>
        <w:t xml:space="preserve">the topic </w:t>
      </w:r>
      <w:r w:rsidRPr="00D24846">
        <w:rPr>
          <w:szCs w:val="22"/>
        </w:rPr>
        <w:t>“Consumer Attitudes and Behavior</w:t>
      </w:r>
      <w:r>
        <w:rPr>
          <w:szCs w:val="22"/>
        </w:rPr>
        <w:t>”</w:t>
      </w:r>
      <w:r w:rsidRPr="00D24846">
        <w:rPr>
          <w:szCs w:val="22"/>
        </w:rPr>
        <w:t xml:space="preserve">, </w:t>
      </w:r>
      <w:r w:rsidR="00F94184">
        <w:rPr>
          <w:szCs w:val="22"/>
        </w:rPr>
        <w:t xml:space="preserve">experiences were shared by </w:t>
      </w:r>
      <w:r>
        <w:rPr>
          <w:szCs w:val="22"/>
        </w:rPr>
        <w:t>the</w:t>
      </w:r>
      <w:r w:rsidRPr="00030965">
        <w:rPr>
          <w:szCs w:val="22"/>
        </w:rPr>
        <w:t xml:space="preserve"> </w:t>
      </w:r>
      <w:r w:rsidR="00F94184">
        <w:rPr>
          <w:color w:val="000000" w:themeColor="text1"/>
          <w:szCs w:val="22"/>
          <w:lang w:val="en-GB"/>
        </w:rPr>
        <w:t>European</w:t>
      </w:r>
      <w:r w:rsidR="00F94184" w:rsidRPr="001E3711">
        <w:rPr>
          <w:color w:val="000000" w:themeColor="text1"/>
          <w:szCs w:val="22"/>
          <w:lang w:val="en-GB"/>
        </w:rPr>
        <w:t xml:space="preserve"> Observatory</w:t>
      </w:r>
      <w:r w:rsidR="00F94184">
        <w:rPr>
          <w:color w:val="000000" w:themeColor="text1"/>
          <w:szCs w:val="22"/>
          <w:lang w:val="en-GB"/>
        </w:rPr>
        <w:t xml:space="preserve"> on Infringements of IP</w:t>
      </w:r>
      <w:r w:rsidR="00324EF3">
        <w:rPr>
          <w:color w:val="000000" w:themeColor="text1"/>
          <w:szCs w:val="22"/>
          <w:lang w:val="en-GB"/>
        </w:rPr>
        <w:t xml:space="preserve"> Right</w:t>
      </w:r>
      <w:r w:rsidR="00F94184">
        <w:rPr>
          <w:color w:val="000000" w:themeColor="text1"/>
          <w:szCs w:val="22"/>
          <w:lang w:val="en-GB"/>
        </w:rPr>
        <w:t>s of the E</w:t>
      </w:r>
      <w:r w:rsidR="00324EF3">
        <w:rPr>
          <w:color w:val="000000" w:themeColor="text1"/>
          <w:szCs w:val="22"/>
          <w:lang w:val="en-GB"/>
        </w:rPr>
        <w:t>uropean Union Intellectual Property Office (E</w:t>
      </w:r>
      <w:r w:rsidR="00F94184">
        <w:rPr>
          <w:color w:val="000000" w:themeColor="text1"/>
          <w:szCs w:val="22"/>
          <w:lang w:val="en-GB"/>
        </w:rPr>
        <w:t>UIPO</w:t>
      </w:r>
      <w:r w:rsidR="00324EF3">
        <w:rPr>
          <w:color w:val="000000" w:themeColor="text1"/>
          <w:szCs w:val="22"/>
          <w:lang w:val="en-GB"/>
        </w:rPr>
        <w:t>)</w:t>
      </w:r>
      <w:r w:rsidR="00F94184">
        <w:rPr>
          <w:color w:val="000000" w:themeColor="text1"/>
          <w:szCs w:val="22"/>
          <w:lang w:val="en-GB"/>
        </w:rPr>
        <w:t xml:space="preserve">.  In addition, </w:t>
      </w:r>
      <w:r w:rsidR="00F94184" w:rsidRPr="00291349">
        <w:rPr>
          <w:szCs w:val="22"/>
        </w:rPr>
        <w:t>Mr.</w:t>
      </w:r>
      <w:r w:rsidR="00F94184">
        <w:rPr>
          <w:szCs w:val="22"/>
        </w:rPr>
        <w:t> </w:t>
      </w:r>
      <w:r w:rsidR="00F94184" w:rsidRPr="00291349">
        <w:rPr>
          <w:szCs w:val="22"/>
        </w:rPr>
        <w:t>Mike</w:t>
      </w:r>
      <w:r w:rsidR="00F94184">
        <w:rPr>
          <w:szCs w:val="22"/>
        </w:rPr>
        <w:t> </w:t>
      </w:r>
      <w:proofErr w:type="spellStart"/>
      <w:r w:rsidR="00F94184" w:rsidRPr="00291349">
        <w:rPr>
          <w:szCs w:val="22"/>
        </w:rPr>
        <w:t>Clubbe</w:t>
      </w:r>
      <w:proofErr w:type="spellEnd"/>
      <w:r w:rsidR="00F94184" w:rsidRPr="00291349">
        <w:rPr>
          <w:szCs w:val="22"/>
        </w:rPr>
        <w:t xml:space="preserve">, Independent Consumer Research Consultant and CEO, </w:t>
      </w:r>
      <w:proofErr w:type="spellStart"/>
      <w:r w:rsidR="00F94184" w:rsidRPr="00291349">
        <w:rPr>
          <w:szCs w:val="22"/>
        </w:rPr>
        <w:t>Actualise</w:t>
      </w:r>
      <w:proofErr w:type="spellEnd"/>
      <w:r w:rsidR="00F94184" w:rsidRPr="00291349">
        <w:rPr>
          <w:szCs w:val="22"/>
        </w:rPr>
        <w:t xml:space="preserve"> Research Services, </w:t>
      </w:r>
      <w:proofErr w:type="spellStart"/>
      <w:r w:rsidR="00F94184" w:rsidRPr="00291349">
        <w:rPr>
          <w:szCs w:val="22"/>
        </w:rPr>
        <w:t>Twickenham</w:t>
      </w:r>
      <w:proofErr w:type="spellEnd"/>
      <w:r w:rsidR="00F94184" w:rsidRPr="00291349">
        <w:rPr>
          <w:szCs w:val="22"/>
        </w:rPr>
        <w:t>, United Kingdom</w:t>
      </w:r>
      <w:r w:rsidR="00F94184">
        <w:rPr>
          <w:szCs w:val="22"/>
        </w:rPr>
        <w:t>, presented</w:t>
      </w:r>
      <w:r w:rsidRPr="000A7FEB">
        <w:rPr>
          <w:szCs w:val="22"/>
        </w:rPr>
        <w:t xml:space="preserve"> the </w:t>
      </w:r>
      <w:r>
        <w:rPr>
          <w:szCs w:val="22"/>
        </w:rPr>
        <w:t>S</w:t>
      </w:r>
      <w:r w:rsidRPr="000A7FEB">
        <w:rPr>
          <w:szCs w:val="22"/>
        </w:rPr>
        <w:t>ecretariat commissioned “WIPO Consumer Survey Toolkit on Respect for Intellectual Property – Measuring Attitudes and Assessing the Effectiveness of Communications Campaigns”.</w:t>
      </w:r>
      <w:r>
        <w:rPr>
          <w:szCs w:val="22"/>
        </w:rPr>
        <w:t xml:space="preserve">  </w:t>
      </w:r>
    </w:p>
    <w:p w:rsidR="00E3501C" w:rsidRDefault="00E3501C" w:rsidP="00E3501C">
      <w:pPr>
        <w:tabs>
          <w:tab w:val="left" w:pos="6106"/>
        </w:tabs>
        <w:ind w:right="-1"/>
        <w:rPr>
          <w:szCs w:val="22"/>
        </w:rPr>
      </w:pPr>
    </w:p>
    <w:p w:rsidR="00E3501C" w:rsidRPr="00186A89" w:rsidRDefault="00E3501C" w:rsidP="00324EF3">
      <w:pPr>
        <w:ind w:right="-1"/>
        <w:rPr>
          <w:szCs w:val="22"/>
        </w:rPr>
      </w:pPr>
      <w:r>
        <w:rPr>
          <w:szCs w:val="22"/>
        </w:rPr>
        <w:fldChar w:fldCharType="begin"/>
      </w:r>
      <w:r>
        <w:rPr>
          <w:szCs w:val="22"/>
        </w:rPr>
        <w:instrText xml:space="preserve"> AUTONUM  </w:instrText>
      </w:r>
      <w:r>
        <w:rPr>
          <w:szCs w:val="22"/>
        </w:rPr>
        <w:fldChar w:fldCharType="end"/>
      </w:r>
      <w:r>
        <w:rPr>
          <w:szCs w:val="22"/>
        </w:rPr>
        <w:tab/>
        <w:t>Under the</w:t>
      </w:r>
      <w:r w:rsidRPr="008E7E86">
        <w:rPr>
          <w:szCs w:val="22"/>
        </w:rPr>
        <w:t xml:space="preserve"> </w:t>
      </w:r>
      <w:r>
        <w:rPr>
          <w:szCs w:val="22"/>
        </w:rPr>
        <w:t xml:space="preserve">topic </w:t>
      </w:r>
      <w:r w:rsidRPr="00D24846">
        <w:rPr>
          <w:szCs w:val="22"/>
        </w:rPr>
        <w:t>“Specific Awareness</w:t>
      </w:r>
      <w:r w:rsidRPr="00D24846">
        <w:rPr>
          <w:szCs w:val="22"/>
        </w:rPr>
        <w:noBreakHyphen/>
        <w:t>raising Products or Activities of WIPO Member States”,</w:t>
      </w:r>
      <w:r>
        <w:rPr>
          <w:szCs w:val="22"/>
        </w:rPr>
        <w:t xml:space="preserve"> </w:t>
      </w:r>
      <w:r w:rsidR="00F94184">
        <w:rPr>
          <w:szCs w:val="22"/>
        </w:rPr>
        <w:t xml:space="preserve">experiences were shared by </w:t>
      </w:r>
      <w:r>
        <w:rPr>
          <w:szCs w:val="22"/>
        </w:rPr>
        <w:t>the</w:t>
      </w:r>
      <w:r w:rsidRPr="005E198B">
        <w:rPr>
          <w:szCs w:val="22"/>
        </w:rPr>
        <w:t xml:space="preserve"> Antigua and Barbuda Intellectual Property and Commerce Office (ABIPCO)</w:t>
      </w:r>
      <w:r w:rsidR="00F94184">
        <w:rPr>
          <w:szCs w:val="22"/>
        </w:rPr>
        <w:t>,</w:t>
      </w:r>
      <w:r>
        <w:rPr>
          <w:szCs w:val="22"/>
        </w:rPr>
        <w:t xml:space="preserve"> the</w:t>
      </w:r>
      <w:r w:rsidRPr="005E198B">
        <w:rPr>
          <w:szCs w:val="22"/>
        </w:rPr>
        <w:t xml:space="preserve"> Ethiopian Intellectual Property Office (EIPO)</w:t>
      </w:r>
      <w:r w:rsidR="00F94184">
        <w:rPr>
          <w:szCs w:val="22"/>
        </w:rPr>
        <w:t xml:space="preserve">, </w:t>
      </w:r>
      <w:r>
        <w:rPr>
          <w:szCs w:val="22"/>
        </w:rPr>
        <w:t xml:space="preserve">the </w:t>
      </w:r>
      <w:r w:rsidRPr="005E198B">
        <w:rPr>
          <w:szCs w:val="22"/>
        </w:rPr>
        <w:t>National Intellectual Property Center of Georgia (SAKPATENTI)</w:t>
      </w:r>
      <w:r w:rsidR="00F94184">
        <w:rPr>
          <w:szCs w:val="22"/>
        </w:rPr>
        <w:t xml:space="preserve">, </w:t>
      </w:r>
      <w:r>
        <w:rPr>
          <w:szCs w:val="22"/>
        </w:rPr>
        <w:t>the</w:t>
      </w:r>
      <w:r w:rsidRPr="005E198B">
        <w:rPr>
          <w:szCs w:val="22"/>
        </w:rPr>
        <w:t xml:space="preserve"> Ministry of Education </w:t>
      </w:r>
      <w:r>
        <w:rPr>
          <w:szCs w:val="22"/>
        </w:rPr>
        <w:t>of Oman</w:t>
      </w:r>
      <w:r w:rsidR="00F94184">
        <w:rPr>
          <w:szCs w:val="22"/>
        </w:rPr>
        <w:t xml:space="preserve">, </w:t>
      </w:r>
      <w:r>
        <w:rPr>
          <w:szCs w:val="22"/>
        </w:rPr>
        <w:t>the</w:t>
      </w:r>
      <w:r w:rsidR="00662D4D">
        <w:rPr>
          <w:szCs w:val="22"/>
        </w:rPr>
        <w:t> </w:t>
      </w:r>
      <w:r w:rsidR="00324EF3" w:rsidRPr="00324EF3">
        <w:rPr>
          <w:szCs w:val="22"/>
        </w:rPr>
        <w:t>National</w:t>
      </w:r>
      <w:r w:rsidR="00324EF3">
        <w:rPr>
          <w:szCs w:val="22"/>
        </w:rPr>
        <w:t xml:space="preserve"> </w:t>
      </w:r>
      <w:r w:rsidR="00324EF3" w:rsidRPr="00324EF3">
        <w:rPr>
          <w:szCs w:val="22"/>
        </w:rPr>
        <w:t>Institute for the Defense of Competition and Prot</w:t>
      </w:r>
      <w:r w:rsidR="00662D4D">
        <w:rPr>
          <w:szCs w:val="22"/>
        </w:rPr>
        <w:t>ection of Intellectual Property </w:t>
      </w:r>
      <w:r w:rsidR="00324EF3" w:rsidRPr="00324EF3">
        <w:rPr>
          <w:szCs w:val="22"/>
        </w:rPr>
        <w:t>(INDECOPI)</w:t>
      </w:r>
      <w:r w:rsidR="00002B27">
        <w:rPr>
          <w:szCs w:val="22"/>
        </w:rPr>
        <w:t xml:space="preserve"> of Peru</w:t>
      </w:r>
      <w:r w:rsidR="00324EF3" w:rsidRPr="00324EF3">
        <w:rPr>
          <w:szCs w:val="22"/>
        </w:rPr>
        <w:t xml:space="preserve">, </w:t>
      </w:r>
      <w:r w:rsidR="00F94184">
        <w:rPr>
          <w:szCs w:val="22"/>
        </w:rPr>
        <w:t xml:space="preserve">and </w:t>
      </w:r>
      <w:r w:rsidRPr="005E198B">
        <w:rPr>
          <w:szCs w:val="22"/>
        </w:rPr>
        <w:t>Link Campus University, Rome</w:t>
      </w:r>
      <w:r>
        <w:rPr>
          <w:szCs w:val="22"/>
        </w:rPr>
        <w:t>, Italy</w:t>
      </w:r>
      <w:r w:rsidR="00F94184">
        <w:rPr>
          <w:szCs w:val="22"/>
        </w:rPr>
        <w:t>.</w:t>
      </w:r>
    </w:p>
    <w:p w:rsidR="00E3501C" w:rsidRDefault="00E3501C" w:rsidP="00E3501C">
      <w:pPr>
        <w:ind w:right="-1"/>
        <w:rPr>
          <w:szCs w:val="22"/>
        </w:rPr>
      </w:pPr>
    </w:p>
    <w:p w:rsidR="00E3501C" w:rsidRDefault="00E3501C" w:rsidP="00E3501C">
      <w:pPr>
        <w:ind w:right="-1"/>
      </w:pPr>
      <w:r>
        <w:rPr>
          <w:szCs w:val="22"/>
        </w:rPr>
        <w:fldChar w:fldCharType="begin"/>
      </w:r>
      <w:r>
        <w:rPr>
          <w:szCs w:val="22"/>
        </w:rPr>
        <w:instrText xml:space="preserve"> AUTONUM  </w:instrText>
      </w:r>
      <w:r>
        <w:rPr>
          <w:szCs w:val="22"/>
        </w:rPr>
        <w:fldChar w:fldCharType="end"/>
      </w:r>
      <w:r>
        <w:rPr>
          <w:szCs w:val="22"/>
        </w:rPr>
        <w:tab/>
        <w:t xml:space="preserve">Under the work program item “exchange of information on national experiences in respect of WIPO’s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 priorities”, the Secretariat presented </w:t>
      </w:r>
      <w:r w:rsidR="00F94184">
        <w:rPr>
          <w:szCs w:val="22"/>
        </w:rPr>
        <w:t xml:space="preserve">a report </w:t>
      </w:r>
      <w:r>
        <w:rPr>
          <w:szCs w:val="22"/>
        </w:rPr>
        <w:t xml:space="preserve">on </w:t>
      </w:r>
      <w:r w:rsidR="00EA0E03">
        <w:rPr>
          <w:szCs w:val="22"/>
        </w:rPr>
        <w:t>“The </w:t>
      </w:r>
      <w:r>
        <w:rPr>
          <w:szCs w:val="22"/>
        </w:rPr>
        <w:t>Legislative Assistance Provided by WIPO in the Area of the Enforcement of Intellectual Property Rights”.</w:t>
      </w:r>
      <w:r>
        <w:t xml:space="preserve"> </w:t>
      </w:r>
    </w:p>
    <w:p w:rsidR="00E3501C" w:rsidRDefault="00E3501C" w:rsidP="00E3501C">
      <w:pPr>
        <w:ind w:right="-1"/>
      </w:pPr>
    </w:p>
    <w:p w:rsidR="00E3501C" w:rsidRDefault="00E3501C" w:rsidP="00E3501C">
      <w:pPr>
        <w:ind w:right="-1"/>
        <w:rPr>
          <w:szCs w:val="22"/>
        </w:rPr>
      </w:pPr>
      <w:r>
        <w:rPr>
          <w:szCs w:val="22"/>
        </w:rPr>
        <w:fldChar w:fldCharType="begin"/>
      </w:r>
      <w:r>
        <w:rPr>
          <w:szCs w:val="22"/>
        </w:rPr>
        <w:instrText xml:space="preserve"> AUTONUM  </w:instrText>
      </w:r>
      <w:r>
        <w:rPr>
          <w:szCs w:val="22"/>
        </w:rPr>
        <w:fldChar w:fldCharType="end"/>
      </w:r>
      <w:r>
        <w:rPr>
          <w:szCs w:val="22"/>
        </w:rPr>
        <w:tab/>
        <w:t xml:space="preserve">Under the work program item “exchange of success stories on capacity building and support from WIPO for training activities at national and regional levels for Agencies and national officials in line with relevant Development Agenda Recommendations and the ACE mandate”, a </w:t>
      </w:r>
      <w:r w:rsidRPr="002159FB">
        <w:rPr>
          <w:szCs w:val="22"/>
        </w:rPr>
        <w:t>panel discussion took place,</w:t>
      </w:r>
      <w:r w:rsidR="003F619B">
        <w:rPr>
          <w:szCs w:val="22"/>
        </w:rPr>
        <w:t xml:space="preserve"> with the participation of the d</w:t>
      </w:r>
      <w:r w:rsidRPr="002159FB">
        <w:rPr>
          <w:szCs w:val="22"/>
        </w:rPr>
        <w:t>elegat</w:t>
      </w:r>
      <w:r>
        <w:rPr>
          <w:szCs w:val="22"/>
        </w:rPr>
        <w:t>ions</w:t>
      </w:r>
      <w:r w:rsidRPr="002159FB">
        <w:rPr>
          <w:szCs w:val="22"/>
        </w:rPr>
        <w:t xml:space="preserve"> </w:t>
      </w:r>
      <w:r>
        <w:rPr>
          <w:szCs w:val="22"/>
        </w:rPr>
        <w:t>of</w:t>
      </w:r>
      <w:r w:rsidRPr="002159FB">
        <w:rPr>
          <w:szCs w:val="22"/>
        </w:rPr>
        <w:t xml:space="preserve"> Namibia, </w:t>
      </w:r>
      <w:r w:rsidR="00EA0E03">
        <w:rPr>
          <w:szCs w:val="22"/>
        </w:rPr>
        <w:t xml:space="preserve">the </w:t>
      </w:r>
      <w:r w:rsidRPr="002159FB">
        <w:rPr>
          <w:szCs w:val="22"/>
        </w:rPr>
        <w:t>Philippines,</w:t>
      </w:r>
      <w:r w:rsidR="003F619B">
        <w:rPr>
          <w:szCs w:val="22"/>
        </w:rPr>
        <w:t xml:space="preserve"> </w:t>
      </w:r>
      <w:r w:rsidR="00EA0E03">
        <w:rPr>
          <w:szCs w:val="22"/>
        </w:rPr>
        <w:t xml:space="preserve">the </w:t>
      </w:r>
      <w:r>
        <w:rPr>
          <w:szCs w:val="22"/>
        </w:rPr>
        <w:t>Republic of Moldova and Madagascar.</w:t>
      </w:r>
    </w:p>
    <w:p w:rsidR="00E3501C" w:rsidRDefault="00E3501C" w:rsidP="00E3501C">
      <w:pPr>
        <w:ind w:right="-1"/>
        <w:rPr>
          <w:szCs w:val="22"/>
        </w:rPr>
      </w:pPr>
    </w:p>
    <w:p w:rsidR="00F94184" w:rsidRDefault="00F94184" w:rsidP="00F94184">
      <w:pPr>
        <w:shd w:val="clear" w:color="auto" w:fill="FFFFFF"/>
        <w:rPr>
          <w:szCs w:val="22"/>
        </w:rPr>
      </w:pPr>
      <w:r w:rsidRPr="002867C9">
        <w:rPr>
          <w:szCs w:val="22"/>
        </w:rPr>
        <w:fldChar w:fldCharType="begin"/>
      </w:r>
      <w:r w:rsidRPr="002867C9">
        <w:rPr>
          <w:szCs w:val="22"/>
        </w:rPr>
        <w:instrText xml:space="preserve"> AUTONUM  </w:instrText>
      </w:r>
      <w:r w:rsidRPr="002867C9">
        <w:rPr>
          <w:szCs w:val="22"/>
        </w:rPr>
        <w:fldChar w:fldCharType="end"/>
      </w:r>
      <w:r w:rsidRPr="002867C9">
        <w:tab/>
      </w:r>
      <w:r w:rsidRPr="00441192">
        <w:rPr>
          <w:szCs w:val="22"/>
        </w:rPr>
        <w:t xml:space="preserve">The Committee took note of the presentation by the Secretariat </w:t>
      </w:r>
      <w:r w:rsidRPr="00D35B7E">
        <w:rPr>
          <w:szCs w:val="22"/>
        </w:rPr>
        <w:t>on recent activities of WIPO in the field of building respect for IP, guided by the Program and Budget, Development Agenda Recommendation 45, and WIPO Strategic Goal VI “International Cooperation on Building Respect for IP”</w:t>
      </w:r>
      <w:r w:rsidRPr="00441192">
        <w:rPr>
          <w:szCs w:val="22"/>
          <w:vertAlign w:val="superscript"/>
        </w:rPr>
        <w:footnoteReference w:id="3"/>
      </w:r>
      <w:r w:rsidR="00324EF3">
        <w:rPr>
          <w:szCs w:val="22"/>
        </w:rPr>
        <w:t>.</w:t>
      </w:r>
    </w:p>
    <w:p w:rsidR="00E3501C" w:rsidRDefault="00E3501C" w:rsidP="00DA3E7C">
      <w:pPr>
        <w:rPr>
          <w:szCs w:val="22"/>
        </w:rPr>
      </w:pPr>
    </w:p>
    <w:p w:rsidR="00DA3E7C" w:rsidRPr="00514C09" w:rsidRDefault="00DA3E7C" w:rsidP="00DA3E7C">
      <w:pPr>
        <w:shd w:val="clear" w:color="auto" w:fill="FFFFFF"/>
        <w:rPr>
          <w:rFonts w:eastAsia="Times New Roman"/>
          <w:color w:val="212121"/>
          <w:szCs w:val="22"/>
        </w:rPr>
      </w:pPr>
      <w:r w:rsidRPr="00B91FAC">
        <w:rPr>
          <w:szCs w:val="22"/>
        </w:rPr>
        <w:fldChar w:fldCharType="begin"/>
      </w:r>
      <w:r w:rsidRPr="00514C09">
        <w:rPr>
          <w:szCs w:val="22"/>
        </w:rPr>
        <w:instrText xml:space="preserve"> AUTONUM  </w:instrText>
      </w:r>
      <w:r w:rsidRPr="00B91FAC">
        <w:rPr>
          <w:szCs w:val="22"/>
        </w:rPr>
        <w:fldChar w:fldCharType="end"/>
      </w:r>
      <w:r w:rsidRPr="00514C09">
        <w:rPr>
          <w:szCs w:val="22"/>
        </w:rPr>
        <w:tab/>
      </w:r>
      <w:r>
        <w:rPr>
          <w:szCs w:val="22"/>
        </w:rPr>
        <w:t>With regard to the Committee’s future work, t</w:t>
      </w:r>
      <w:r w:rsidRPr="00514C09">
        <w:rPr>
          <w:rFonts w:eastAsia="Times New Roman"/>
          <w:color w:val="212121"/>
          <w:szCs w:val="22"/>
        </w:rPr>
        <w:t xml:space="preserve">he Committee agreed to continue to consider, at its </w:t>
      </w:r>
      <w:r w:rsidR="00E367EE">
        <w:rPr>
          <w:rFonts w:eastAsia="Times New Roman"/>
          <w:color w:val="212121"/>
          <w:szCs w:val="22"/>
        </w:rPr>
        <w:t>thirteenth</w:t>
      </w:r>
      <w:r w:rsidRPr="00514C09">
        <w:rPr>
          <w:rFonts w:eastAsia="Times New Roman"/>
          <w:color w:val="212121"/>
          <w:szCs w:val="22"/>
        </w:rPr>
        <w:t xml:space="preserve"> session, the</w:t>
      </w:r>
      <w:r w:rsidR="00AA7E7F">
        <w:rPr>
          <w:rFonts w:eastAsia="Times New Roman"/>
          <w:color w:val="212121"/>
          <w:szCs w:val="22"/>
        </w:rPr>
        <w:t xml:space="preserve"> current</w:t>
      </w:r>
      <w:r w:rsidRPr="00514C09">
        <w:rPr>
          <w:rFonts w:eastAsia="Times New Roman"/>
          <w:color w:val="212121"/>
          <w:szCs w:val="22"/>
        </w:rPr>
        <w:t xml:space="preserve"> </w:t>
      </w:r>
      <w:r>
        <w:rPr>
          <w:rFonts w:eastAsia="Times New Roman"/>
          <w:color w:val="212121"/>
          <w:szCs w:val="22"/>
        </w:rPr>
        <w:t>work program</w:t>
      </w:r>
      <w:r w:rsidR="00AA7E7F">
        <w:rPr>
          <w:rFonts w:eastAsia="Times New Roman"/>
          <w:color w:val="212121"/>
          <w:szCs w:val="22"/>
        </w:rPr>
        <w:t xml:space="preserve">, </w:t>
      </w:r>
      <w:r w:rsidR="00E367EE">
        <w:rPr>
          <w:rFonts w:eastAsia="Times New Roman"/>
          <w:color w:val="212121"/>
          <w:szCs w:val="22"/>
        </w:rPr>
        <w:t>as listed in paragraph </w:t>
      </w:r>
      <w:r>
        <w:rPr>
          <w:rFonts w:eastAsia="Times New Roman"/>
          <w:color w:val="212121"/>
          <w:szCs w:val="22"/>
        </w:rPr>
        <w:t xml:space="preserve">2 above.  </w:t>
      </w:r>
    </w:p>
    <w:p w:rsidR="00DA3E7C" w:rsidRPr="00F408E6" w:rsidRDefault="00DA3E7C" w:rsidP="00DA3E7C">
      <w:pPr>
        <w:shd w:val="clear" w:color="auto" w:fill="FFFFFF"/>
        <w:rPr>
          <w:rFonts w:eastAsia="Times New Roman"/>
          <w:color w:val="212121"/>
          <w:szCs w:val="22"/>
        </w:rPr>
      </w:pPr>
    </w:p>
    <w:p w:rsidR="00DA3E7C" w:rsidRPr="00ED5919" w:rsidRDefault="00DA3E7C" w:rsidP="00DA3E7C">
      <w:pPr>
        <w:ind w:left="5533"/>
        <w:rPr>
          <w:i/>
        </w:rPr>
      </w:pPr>
      <w:r>
        <w:rPr>
          <w:i/>
        </w:rPr>
        <w:fldChar w:fldCharType="begin"/>
      </w:r>
      <w:r>
        <w:rPr>
          <w:i/>
        </w:rPr>
        <w:instrText xml:space="preserve"> AUTONUM  </w:instrText>
      </w:r>
      <w:r>
        <w:rPr>
          <w:i/>
        </w:rPr>
        <w:fldChar w:fldCharType="end"/>
      </w:r>
      <w:r>
        <w:rPr>
          <w:i/>
        </w:rPr>
        <w:tab/>
      </w:r>
      <w:r w:rsidRPr="00950366">
        <w:rPr>
          <w:i/>
        </w:rPr>
        <w:t>The</w:t>
      </w:r>
      <w:r>
        <w:rPr>
          <w:i/>
        </w:rPr>
        <w:t xml:space="preserve"> WIPO</w:t>
      </w:r>
      <w:r w:rsidRPr="00950366">
        <w:rPr>
          <w:i/>
        </w:rPr>
        <w:t xml:space="preserve"> General Assembly is invited</w:t>
      </w:r>
      <w:r>
        <w:rPr>
          <w:i/>
        </w:rPr>
        <w:t xml:space="preserve"> </w:t>
      </w:r>
      <w:r w:rsidRPr="00950366">
        <w:rPr>
          <w:i/>
        </w:rPr>
        <w:t xml:space="preserve">to take note of the </w:t>
      </w:r>
      <w:r>
        <w:rPr>
          <w:i/>
        </w:rPr>
        <w:t>“Report on the Advisory Committee on Enforcement (ACE)” (document WO/GA/49/13).</w:t>
      </w:r>
    </w:p>
    <w:p w:rsidR="00DA3E7C" w:rsidRDefault="00DA3E7C" w:rsidP="00DA3E7C"/>
    <w:p w:rsidR="00DA3E7C" w:rsidRDefault="00DA3E7C" w:rsidP="00DA3E7C"/>
    <w:p w:rsidR="00DA3E7C" w:rsidRDefault="00DA3E7C" w:rsidP="00DA3E7C"/>
    <w:p w:rsidR="00DA3E7C" w:rsidRDefault="00DA3E7C" w:rsidP="00DA3E7C"/>
    <w:p w:rsidR="00DA3E7C" w:rsidRDefault="00DA3E7C" w:rsidP="00662D4D">
      <w:pPr>
        <w:ind w:left="5533"/>
      </w:pPr>
      <w:r w:rsidRPr="00441192">
        <w:rPr>
          <w:szCs w:val="22"/>
        </w:rPr>
        <w:t>[End of document]</w:t>
      </w:r>
    </w:p>
    <w:p w:rsidR="002928D3" w:rsidRDefault="002928D3" w:rsidP="00DA3E7C">
      <w:pPr>
        <w:tabs>
          <w:tab w:val="num" w:pos="567"/>
        </w:tabs>
        <w:spacing w:after="220"/>
      </w:pPr>
    </w:p>
    <w:sectPr w:rsidR="002928D3" w:rsidSect="00441192">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92" w:rsidRDefault="00441192">
      <w:r>
        <w:separator/>
      </w:r>
    </w:p>
  </w:endnote>
  <w:endnote w:type="continuationSeparator" w:id="0">
    <w:p w:rsidR="00441192" w:rsidRDefault="00441192" w:rsidP="003B38C1">
      <w:r>
        <w:separator/>
      </w:r>
    </w:p>
    <w:p w:rsidR="00441192" w:rsidRPr="003B38C1" w:rsidRDefault="00441192" w:rsidP="003B38C1">
      <w:pPr>
        <w:spacing w:after="60"/>
        <w:rPr>
          <w:sz w:val="17"/>
        </w:rPr>
      </w:pPr>
      <w:r>
        <w:rPr>
          <w:sz w:val="17"/>
        </w:rPr>
        <w:t>[Endnote continued from previous page]</w:t>
      </w:r>
    </w:p>
  </w:endnote>
  <w:endnote w:type="continuationNotice" w:id="1">
    <w:p w:rsidR="00441192" w:rsidRPr="003B38C1" w:rsidRDefault="004411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92" w:rsidRDefault="00441192">
      <w:r>
        <w:separator/>
      </w:r>
    </w:p>
  </w:footnote>
  <w:footnote w:type="continuationSeparator" w:id="0">
    <w:p w:rsidR="00441192" w:rsidRDefault="00441192" w:rsidP="008B60B2">
      <w:r>
        <w:separator/>
      </w:r>
    </w:p>
    <w:p w:rsidR="00441192" w:rsidRPr="00ED77FB" w:rsidRDefault="00441192" w:rsidP="008B60B2">
      <w:pPr>
        <w:spacing w:after="60"/>
        <w:rPr>
          <w:sz w:val="17"/>
          <w:szCs w:val="17"/>
        </w:rPr>
      </w:pPr>
      <w:r w:rsidRPr="00ED77FB">
        <w:rPr>
          <w:sz w:val="17"/>
          <w:szCs w:val="17"/>
        </w:rPr>
        <w:t>[Footnote continued from previous page]</w:t>
      </w:r>
    </w:p>
  </w:footnote>
  <w:footnote w:type="continuationNotice" w:id="1">
    <w:p w:rsidR="00441192" w:rsidRPr="00ED77FB" w:rsidRDefault="00441192" w:rsidP="008B60B2">
      <w:pPr>
        <w:spacing w:before="60"/>
        <w:jc w:val="right"/>
        <w:rPr>
          <w:sz w:val="17"/>
          <w:szCs w:val="17"/>
        </w:rPr>
      </w:pPr>
      <w:r w:rsidRPr="00ED77FB">
        <w:rPr>
          <w:sz w:val="17"/>
          <w:szCs w:val="17"/>
        </w:rPr>
        <w:t>[Footnote continued on next page]</w:t>
      </w:r>
    </w:p>
  </w:footnote>
  <w:footnote w:id="2">
    <w:p w:rsidR="00DA3E7C" w:rsidRPr="00CC798C" w:rsidRDefault="00DA3E7C" w:rsidP="00DA3E7C">
      <w:pPr>
        <w:pStyle w:val="FootnoteText"/>
        <w:rPr>
          <w:szCs w:val="18"/>
          <w:lang w:val="es-ES_tradnl"/>
        </w:rPr>
      </w:pPr>
      <w:r w:rsidRPr="00CC798C">
        <w:rPr>
          <w:rStyle w:val="FootnoteReference"/>
          <w:szCs w:val="18"/>
        </w:rPr>
        <w:footnoteRef/>
      </w:r>
      <w:r w:rsidRPr="00CC798C">
        <w:rPr>
          <w:szCs w:val="18"/>
          <w:lang w:val="es-ES_tradnl"/>
        </w:rPr>
        <w:t xml:space="preserve"> </w:t>
      </w:r>
      <w:r w:rsidRPr="00CC798C">
        <w:rPr>
          <w:szCs w:val="18"/>
          <w:lang w:val="es-ES_tradnl"/>
        </w:rPr>
        <w:tab/>
        <w:t xml:space="preserve">Documents </w:t>
      </w:r>
      <w:r w:rsidRPr="00634767">
        <w:rPr>
          <w:szCs w:val="18"/>
          <w:lang w:val="es-ES_tradnl"/>
        </w:rPr>
        <w:t>WIPO/ACE/1</w:t>
      </w:r>
      <w:r w:rsidR="00571400">
        <w:rPr>
          <w:szCs w:val="18"/>
          <w:lang w:val="es-ES_tradnl"/>
        </w:rPr>
        <w:t>2</w:t>
      </w:r>
      <w:r w:rsidRPr="00634767">
        <w:rPr>
          <w:szCs w:val="18"/>
          <w:lang w:val="es-ES_tradnl"/>
        </w:rPr>
        <w:t>/</w:t>
      </w:r>
      <w:r w:rsidR="00571400">
        <w:rPr>
          <w:szCs w:val="18"/>
          <w:lang w:val="es-ES_tradnl"/>
        </w:rPr>
        <w:t>3</w:t>
      </w:r>
      <w:r w:rsidRPr="00634767">
        <w:rPr>
          <w:szCs w:val="18"/>
          <w:lang w:val="es-ES_tradnl"/>
        </w:rPr>
        <w:t xml:space="preserve"> to WIPO/ACE/1</w:t>
      </w:r>
      <w:r w:rsidR="00571400">
        <w:rPr>
          <w:szCs w:val="18"/>
          <w:lang w:val="es-ES_tradnl"/>
        </w:rPr>
        <w:t>2</w:t>
      </w:r>
      <w:r w:rsidRPr="00634767">
        <w:rPr>
          <w:szCs w:val="18"/>
          <w:lang w:val="es-ES_tradnl"/>
        </w:rPr>
        <w:t>/1</w:t>
      </w:r>
      <w:r w:rsidR="00571400">
        <w:rPr>
          <w:szCs w:val="18"/>
          <w:lang w:val="es-ES_tradnl"/>
        </w:rPr>
        <w:t>4</w:t>
      </w:r>
      <w:r w:rsidRPr="00CC798C">
        <w:rPr>
          <w:szCs w:val="18"/>
          <w:lang w:val="es-ES_tradnl"/>
        </w:rPr>
        <w:t>.</w:t>
      </w:r>
    </w:p>
  </w:footnote>
  <w:footnote w:id="3">
    <w:p w:rsidR="00F94184" w:rsidRPr="00680752" w:rsidRDefault="00F94184" w:rsidP="00F94184">
      <w:pPr>
        <w:pStyle w:val="FootnoteText"/>
        <w:rPr>
          <w:lang w:val="es-ES_tradnl"/>
        </w:rPr>
      </w:pPr>
      <w:r>
        <w:rPr>
          <w:rStyle w:val="FootnoteReference"/>
        </w:rPr>
        <w:footnoteRef/>
      </w:r>
      <w:r w:rsidRPr="00680752">
        <w:rPr>
          <w:lang w:val="es-ES_tradnl"/>
        </w:rPr>
        <w:t xml:space="preserve"> </w:t>
      </w:r>
      <w:r w:rsidRPr="00680752">
        <w:rPr>
          <w:lang w:val="es-ES_tradnl"/>
        </w:rPr>
        <w:tab/>
      </w:r>
      <w:proofErr w:type="spellStart"/>
      <w:r w:rsidRPr="00680752">
        <w:rPr>
          <w:lang w:val="es-ES_tradnl"/>
        </w:rPr>
        <w:t>Document</w:t>
      </w:r>
      <w:proofErr w:type="spellEnd"/>
      <w:r w:rsidRPr="00680752">
        <w:rPr>
          <w:lang w:val="es-ES_tradnl"/>
        </w:rPr>
        <w:t xml:space="preserve"> WIPO/ACE/</w:t>
      </w:r>
      <w:r>
        <w:rPr>
          <w:lang w:val="es-ES_tradnl"/>
        </w:rPr>
        <w:t>12</w:t>
      </w:r>
      <w:r w:rsidRPr="00680752">
        <w:rPr>
          <w:lang w:val="es-ES_tradnl"/>
        </w:rPr>
        <w:t>/</w:t>
      </w:r>
      <w:r>
        <w:rPr>
          <w:lang w:val="es-ES_tradnl"/>
        </w:rPr>
        <w:t>2</w:t>
      </w:r>
      <w:r w:rsidRPr="00680752">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41192" w:rsidP="00477D6B">
    <w:pPr>
      <w:jc w:val="right"/>
    </w:pPr>
    <w:bookmarkStart w:id="6" w:name="Code2"/>
    <w:bookmarkEnd w:id="6"/>
    <w:r>
      <w:t>WO/GA/4</w:t>
    </w:r>
    <w:r w:rsidR="00DA3E7C">
      <w:t>9</w:t>
    </w:r>
    <w:r>
      <w:t>/1</w:t>
    </w:r>
    <w:r w:rsidR="00DA3E7C">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214B1">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9B1003"/>
    <w:multiLevelType w:val="hybridMultilevel"/>
    <w:tmpl w:val="1FB276FC"/>
    <w:lvl w:ilvl="0" w:tplc="6A362A46">
      <w:start w:val="1"/>
      <w:numFmt w:val="bullet"/>
      <w:lvlText w:val="-"/>
      <w:lvlJc w:val="left"/>
      <w:pPr>
        <w:ind w:left="1197" w:hanging="630"/>
      </w:pPr>
      <w:rPr>
        <w:rFonts w:ascii="Arial" w:hAnsi="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92"/>
    <w:rsid w:val="00002B27"/>
    <w:rsid w:val="00043CAA"/>
    <w:rsid w:val="00075432"/>
    <w:rsid w:val="000968ED"/>
    <w:rsid w:val="000F5E56"/>
    <w:rsid w:val="001362EE"/>
    <w:rsid w:val="001829CC"/>
    <w:rsid w:val="001832A6"/>
    <w:rsid w:val="001E66A2"/>
    <w:rsid w:val="001E745D"/>
    <w:rsid w:val="002634C4"/>
    <w:rsid w:val="002821CE"/>
    <w:rsid w:val="002928D3"/>
    <w:rsid w:val="002F1FE6"/>
    <w:rsid w:val="002F4E68"/>
    <w:rsid w:val="00312F7F"/>
    <w:rsid w:val="003214B1"/>
    <w:rsid w:val="00324EF3"/>
    <w:rsid w:val="00351A27"/>
    <w:rsid w:val="00361450"/>
    <w:rsid w:val="003673CF"/>
    <w:rsid w:val="003845C1"/>
    <w:rsid w:val="003A6F89"/>
    <w:rsid w:val="003B38C1"/>
    <w:rsid w:val="003F619B"/>
    <w:rsid w:val="00423E3E"/>
    <w:rsid w:val="0042539A"/>
    <w:rsid w:val="00427AF4"/>
    <w:rsid w:val="00441192"/>
    <w:rsid w:val="004647DA"/>
    <w:rsid w:val="00474062"/>
    <w:rsid w:val="00477D6B"/>
    <w:rsid w:val="00494B30"/>
    <w:rsid w:val="004A3EDA"/>
    <w:rsid w:val="005019FF"/>
    <w:rsid w:val="00510080"/>
    <w:rsid w:val="0053057A"/>
    <w:rsid w:val="00531FE6"/>
    <w:rsid w:val="00560A29"/>
    <w:rsid w:val="00571400"/>
    <w:rsid w:val="005C6649"/>
    <w:rsid w:val="005F059D"/>
    <w:rsid w:val="00605827"/>
    <w:rsid w:val="00646050"/>
    <w:rsid w:val="00662D4D"/>
    <w:rsid w:val="006713CA"/>
    <w:rsid w:val="00676C5C"/>
    <w:rsid w:val="006F56D0"/>
    <w:rsid w:val="007D1613"/>
    <w:rsid w:val="00811DFC"/>
    <w:rsid w:val="00822934"/>
    <w:rsid w:val="008645ED"/>
    <w:rsid w:val="008B2CC1"/>
    <w:rsid w:val="008B60B2"/>
    <w:rsid w:val="0090731E"/>
    <w:rsid w:val="00916EE2"/>
    <w:rsid w:val="00923587"/>
    <w:rsid w:val="00966A22"/>
    <w:rsid w:val="0096722F"/>
    <w:rsid w:val="00980843"/>
    <w:rsid w:val="00983363"/>
    <w:rsid w:val="009A01EB"/>
    <w:rsid w:val="009C1FC8"/>
    <w:rsid w:val="009E2791"/>
    <w:rsid w:val="009E3F6F"/>
    <w:rsid w:val="009F499F"/>
    <w:rsid w:val="00A42DAF"/>
    <w:rsid w:val="00A45BD8"/>
    <w:rsid w:val="00A869B7"/>
    <w:rsid w:val="00AA7E7F"/>
    <w:rsid w:val="00AC205C"/>
    <w:rsid w:val="00AF0A6B"/>
    <w:rsid w:val="00AF3378"/>
    <w:rsid w:val="00B05A69"/>
    <w:rsid w:val="00B76AF6"/>
    <w:rsid w:val="00B9734B"/>
    <w:rsid w:val="00BA30E2"/>
    <w:rsid w:val="00C029EE"/>
    <w:rsid w:val="00C11BFE"/>
    <w:rsid w:val="00CD04F1"/>
    <w:rsid w:val="00D45252"/>
    <w:rsid w:val="00D60390"/>
    <w:rsid w:val="00D71B4D"/>
    <w:rsid w:val="00D93D55"/>
    <w:rsid w:val="00DA3E7C"/>
    <w:rsid w:val="00DA5572"/>
    <w:rsid w:val="00DD0087"/>
    <w:rsid w:val="00E335FE"/>
    <w:rsid w:val="00E3501C"/>
    <w:rsid w:val="00E367EE"/>
    <w:rsid w:val="00E56CD8"/>
    <w:rsid w:val="00E718BA"/>
    <w:rsid w:val="00EA0E03"/>
    <w:rsid w:val="00EC4E49"/>
    <w:rsid w:val="00ED5919"/>
    <w:rsid w:val="00ED77FB"/>
    <w:rsid w:val="00ED7FB7"/>
    <w:rsid w:val="00EE45FA"/>
    <w:rsid w:val="00F52CBA"/>
    <w:rsid w:val="00F66152"/>
    <w:rsid w:val="00F931AA"/>
    <w:rsid w:val="00F94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character" w:customStyle="1" w:styleId="FootnoteTextChar">
    <w:name w:val="Footnote Text Char"/>
    <w:basedOn w:val="DefaultParagraphFont"/>
    <w:link w:val="FootnoteText"/>
    <w:rsid w:val="00441192"/>
    <w:rPr>
      <w:rFonts w:ascii="Arial" w:eastAsia="SimSun" w:hAnsi="Arial" w:cs="Arial"/>
      <w:sz w:val="18"/>
      <w:lang w:eastAsia="zh-CN"/>
    </w:rPr>
  </w:style>
  <w:style w:type="character" w:styleId="FootnoteReference">
    <w:name w:val="footnote reference"/>
    <w:unhideWhenUsed/>
    <w:rsid w:val="00441192"/>
    <w:rPr>
      <w:vertAlign w:val="superscript"/>
    </w:rPr>
  </w:style>
  <w:style w:type="character" w:styleId="Hyperlink">
    <w:name w:val="Hyperlink"/>
    <w:basedOn w:val="DefaultParagraphFont"/>
    <w:rsid w:val="00441192"/>
    <w:rPr>
      <w:color w:val="0000FF" w:themeColor="hyperlink"/>
      <w:u w:val="single"/>
    </w:rPr>
  </w:style>
  <w:style w:type="character" w:styleId="FollowedHyperlink">
    <w:name w:val="FollowedHyperlink"/>
    <w:basedOn w:val="DefaultParagraphFont"/>
    <w:rsid w:val="00ED5919"/>
    <w:rPr>
      <w:color w:val="800080" w:themeColor="followedHyperlink"/>
      <w:u w:val="single"/>
    </w:rPr>
  </w:style>
  <w:style w:type="character" w:customStyle="1" w:styleId="Heading1Char">
    <w:name w:val="Heading 1 Char"/>
    <w:link w:val="Heading1"/>
    <w:rsid w:val="00ED5919"/>
    <w:rPr>
      <w:rFonts w:ascii="Arial" w:eastAsia="SimSun" w:hAnsi="Arial" w:cs="Arial"/>
      <w:b/>
      <w:bCs/>
      <w:caps/>
      <w:kern w:val="32"/>
      <w:sz w:val="22"/>
      <w:szCs w:val="32"/>
      <w:lang w:eastAsia="zh-CN"/>
    </w:rPr>
  </w:style>
  <w:style w:type="paragraph" w:styleId="ListParagraph">
    <w:name w:val="List Paragraph"/>
    <w:basedOn w:val="Normal"/>
    <w:uiPriority w:val="34"/>
    <w:qFormat/>
    <w:rsid w:val="00822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character" w:customStyle="1" w:styleId="FootnoteTextChar">
    <w:name w:val="Footnote Text Char"/>
    <w:basedOn w:val="DefaultParagraphFont"/>
    <w:link w:val="FootnoteText"/>
    <w:rsid w:val="00441192"/>
    <w:rPr>
      <w:rFonts w:ascii="Arial" w:eastAsia="SimSun" w:hAnsi="Arial" w:cs="Arial"/>
      <w:sz w:val="18"/>
      <w:lang w:eastAsia="zh-CN"/>
    </w:rPr>
  </w:style>
  <w:style w:type="character" w:styleId="FootnoteReference">
    <w:name w:val="footnote reference"/>
    <w:unhideWhenUsed/>
    <w:rsid w:val="00441192"/>
    <w:rPr>
      <w:vertAlign w:val="superscript"/>
    </w:rPr>
  </w:style>
  <w:style w:type="character" w:styleId="Hyperlink">
    <w:name w:val="Hyperlink"/>
    <w:basedOn w:val="DefaultParagraphFont"/>
    <w:rsid w:val="00441192"/>
    <w:rPr>
      <w:color w:val="0000FF" w:themeColor="hyperlink"/>
      <w:u w:val="single"/>
    </w:rPr>
  </w:style>
  <w:style w:type="character" w:styleId="FollowedHyperlink">
    <w:name w:val="FollowedHyperlink"/>
    <w:basedOn w:val="DefaultParagraphFont"/>
    <w:rsid w:val="00ED5919"/>
    <w:rPr>
      <w:color w:val="800080" w:themeColor="followedHyperlink"/>
      <w:u w:val="single"/>
    </w:rPr>
  </w:style>
  <w:style w:type="character" w:customStyle="1" w:styleId="Heading1Char">
    <w:name w:val="Heading 1 Char"/>
    <w:link w:val="Heading1"/>
    <w:rsid w:val="00ED5919"/>
    <w:rPr>
      <w:rFonts w:ascii="Arial" w:eastAsia="SimSun" w:hAnsi="Arial" w:cs="Arial"/>
      <w:b/>
      <w:bCs/>
      <w:caps/>
      <w:kern w:val="32"/>
      <w:sz w:val="22"/>
      <w:szCs w:val="32"/>
      <w:lang w:eastAsia="zh-CN"/>
    </w:rPr>
  </w:style>
  <w:style w:type="paragraph" w:styleId="ListParagraph">
    <w:name w:val="List Paragraph"/>
    <w:basedOn w:val="Normal"/>
    <w:uiPriority w:val="34"/>
    <w:qFormat/>
    <w:rsid w:val="00822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6EF9E-603D-4DF4-9481-B0775A2B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1166</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dc:title>
  <dc:creator>COLIN Isabelle</dc:creator>
  <cp:lastModifiedBy>HÄFLIGER Patience</cp:lastModifiedBy>
  <cp:revision>14</cp:revision>
  <cp:lastPrinted>2017-09-25T12:47:00Z</cp:lastPrinted>
  <dcterms:created xsi:type="dcterms:W3CDTF">2017-09-11T15:07:00Z</dcterms:created>
  <dcterms:modified xsi:type="dcterms:W3CDTF">2017-09-25T12:50:00Z</dcterms:modified>
</cp:coreProperties>
</file>