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542BE" w:rsidRPr="00DA5DBB" w:rsidTr="00770B1B">
        <w:tc>
          <w:tcPr>
            <w:tcW w:w="4513" w:type="dxa"/>
            <w:tcBorders>
              <w:bottom w:val="single" w:sz="4" w:space="0" w:color="auto"/>
            </w:tcBorders>
            <w:tcMar>
              <w:bottom w:w="170" w:type="dxa"/>
            </w:tcMar>
          </w:tcPr>
          <w:p w:rsidR="006542BE" w:rsidRPr="008B2CC1" w:rsidRDefault="006542BE" w:rsidP="00775E00">
            <w:pPr>
              <w:keepLines/>
            </w:pPr>
          </w:p>
        </w:tc>
        <w:tc>
          <w:tcPr>
            <w:tcW w:w="4337" w:type="dxa"/>
            <w:tcBorders>
              <w:bottom w:val="single" w:sz="4" w:space="0" w:color="auto"/>
            </w:tcBorders>
            <w:tcMar>
              <w:left w:w="0" w:type="dxa"/>
              <w:bottom w:w="170" w:type="dxa"/>
              <w:right w:w="0" w:type="dxa"/>
            </w:tcMar>
          </w:tcPr>
          <w:p w:rsidR="006542BE" w:rsidRPr="00DA5DBB" w:rsidRDefault="006542BE" w:rsidP="00775E00">
            <w:pPr>
              <w:keepLines/>
            </w:pPr>
            <w:r w:rsidRPr="00DA5DBB">
              <w:rPr>
                <w:noProof/>
                <w:lang w:eastAsia="en-US"/>
              </w:rPr>
              <w:drawing>
                <wp:inline distT="0" distB="0" distL="0" distR="0" wp14:anchorId="5E5D6ECC" wp14:editId="41705EBA">
                  <wp:extent cx="1809750" cy="1323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6542BE" w:rsidRPr="00DA5DBB" w:rsidRDefault="006542BE" w:rsidP="00775E00">
            <w:pPr>
              <w:keepLines/>
              <w:jc w:val="right"/>
            </w:pPr>
            <w:r w:rsidRPr="00DA5DBB">
              <w:rPr>
                <w:b/>
                <w:sz w:val="40"/>
                <w:szCs w:val="40"/>
              </w:rPr>
              <w:t>E</w:t>
            </w:r>
          </w:p>
        </w:tc>
      </w:tr>
      <w:tr w:rsidR="006542BE" w:rsidRPr="00DA5DBB" w:rsidTr="00770B1B">
        <w:trPr>
          <w:trHeight w:hRule="exact" w:val="340"/>
        </w:trPr>
        <w:tc>
          <w:tcPr>
            <w:tcW w:w="9356" w:type="dxa"/>
            <w:gridSpan w:val="3"/>
            <w:tcBorders>
              <w:top w:val="single" w:sz="4" w:space="0" w:color="auto"/>
            </w:tcBorders>
            <w:tcMar>
              <w:top w:w="170" w:type="dxa"/>
              <w:left w:w="0" w:type="dxa"/>
              <w:right w:w="0" w:type="dxa"/>
            </w:tcMar>
            <w:vAlign w:val="bottom"/>
          </w:tcPr>
          <w:p w:rsidR="006542BE" w:rsidRPr="00DA5DBB" w:rsidRDefault="006542BE" w:rsidP="00D17CD4">
            <w:pPr>
              <w:keepLines/>
              <w:jc w:val="right"/>
              <w:rPr>
                <w:rFonts w:ascii="Arial Black" w:hAnsi="Arial Black"/>
                <w:caps/>
                <w:sz w:val="15"/>
              </w:rPr>
            </w:pPr>
            <w:r w:rsidRPr="00DA5DBB">
              <w:rPr>
                <w:rFonts w:ascii="Arial Black" w:hAnsi="Arial Black"/>
                <w:caps/>
                <w:sz w:val="15"/>
              </w:rPr>
              <w:t>WO/GA/43/</w:t>
            </w:r>
            <w:r w:rsidR="00D17CD4">
              <w:rPr>
                <w:rFonts w:ascii="Arial Black" w:hAnsi="Arial Black"/>
                <w:caps/>
                <w:sz w:val="15"/>
              </w:rPr>
              <w:t>5</w:t>
            </w:r>
            <w:r w:rsidRPr="00DA5DBB">
              <w:rPr>
                <w:rFonts w:ascii="Arial Black" w:hAnsi="Arial Black"/>
                <w:caps/>
                <w:sz w:val="15"/>
              </w:rPr>
              <w:t xml:space="preserve">    </w:t>
            </w:r>
          </w:p>
        </w:tc>
      </w:tr>
      <w:tr w:rsidR="006542BE" w:rsidRPr="00DA5DBB" w:rsidTr="00770B1B">
        <w:trPr>
          <w:trHeight w:hRule="exact" w:val="170"/>
        </w:trPr>
        <w:tc>
          <w:tcPr>
            <w:tcW w:w="9356" w:type="dxa"/>
            <w:gridSpan w:val="3"/>
            <w:noWrap/>
            <w:tcMar>
              <w:left w:w="0" w:type="dxa"/>
              <w:right w:w="0" w:type="dxa"/>
            </w:tcMar>
            <w:vAlign w:val="bottom"/>
          </w:tcPr>
          <w:p w:rsidR="006542BE" w:rsidRPr="00DA5DBB" w:rsidRDefault="006542BE" w:rsidP="00775E00">
            <w:pPr>
              <w:keepLines/>
              <w:jc w:val="right"/>
              <w:rPr>
                <w:rFonts w:ascii="Arial Black" w:hAnsi="Arial Black"/>
                <w:caps/>
                <w:sz w:val="15"/>
              </w:rPr>
            </w:pPr>
            <w:r w:rsidRPr="00DA5DBB">
              <w:rPr>
                <w:rFonts w:ascii="Arial Black" w:hAnsi="Arial Black"/>
                <w:caps/>
                <w:sz w:val="15"/>
              </w:rPr>
              <w:t>ORIGINAL:  ENGLISH</w:t>
            </w:r>
          </w:p>
        </w:tc>
      </w:tr>
      <w:tr w:rsidR="006542BE" w:rsidRPr="00DA5DBB" w:rsidTr="00770B1B">
        <w:trPr>
          <w:trHeight w:hRule="exact" w:val="198"/>
        </w:trPr>
        <w:tc>
          <w:tcPr>
            <w:tcW w:w="9356" w:type="dxa"/>
            <w:gridSpan w:val="3"/>
            <w:tcMar>
              <w:left w:w="0" w:type="dxa"/>
              <w:right w:w="0" w:type="dxa"/>
            </w:tcMar>
            <w:vAlign w:val="bottom"/>
          </w:tcPr>
          <w:p w:rsidR="006542BE" w:rsidRPr="00DA5DBB" w:rsidRDefault="006542BE" w:rsidP="00D17CD4">
            <w:pPr>
              <w:keepLines/>
              <w:jc w:val="right"/>
              <w:rPr>
                <w:rFonts w:ascii="Arial Black" w:hAnsi="Arial Black"/>
                <w:caps/>
                <w:sz w:val="15"/>
              </w:rPr>
            </w:pPr>
            <w:r w:rsidRPr="00DA5DBB">
              <w:rPr>
                <w:rFonts w:ascii="Arial Black" w:hAnsi="Arial Black"/>
                <w:caps/>
                <w:sz w:val="15"/>
              </w:rPr>
              <w:t xml:space="preserve">DATE:  </w:t>
            </w:r>
            <w:r w:rsidR="00D17CD4">
              <w:rPr>
                <w:rFonts w:ascii="Arial Black" w:hAnsi="Arial Black"/>
                <w:caps/>
                <w:sz w:val="15"/>
              </w:rPr>
              <w:t>SEPTEMBER 6</w:t>
            </w:r>
            <w:r w:rsidRPr="00DA5DBB">
              <w:rPr>
                <w:rFonts w:ascii="Arial Black" w:hAnsi="Arial Black"/>
                <w:caps/>
                <w:sz w:val="15"/>
              </w:rPr>
              <w:t>, 2013</w:t>
            </w:r>
          </w:p>
        </w:tc>
      </w:tr>
    </w:tbl>
    <w:p w:rsidR="006542BE" w:rsidRPr="00DA5DBB" w:rsidRDefault="006542BE" w:rsidP="00775E00">
      <w:pPr>
        <w:keepLines/>
      </w:pPr>
      <w:bookmarkStart w:id="0" w:name="TitleOfDoc"/>
      <w:bookmarkEnd w:id="0"/>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rPr>
          <w:b/>
          <w:sz w:val="28"/>
          <w:szCs w:val="28"/>
        </w:rPr>
      </w:pPr>
      <w:r w:rsidRPr="00DA5DBB">
        <w:rPr>
          <w:b/>
          <w:bCs/>
          <w:sz w:val="28"/>
          <w:szCs w:val="28"/>
        </w:rPr>
        <w:t>WIPO General Assembly</w:t>
      </w: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rPr>
          <w:b/>
          <w:sz w:val="24"/>
          <w:szCs w:val="24"/>
        </w:rPr>
      </w:pPr>
      <w:r w:rsidRPr="00DA5DBB">
        <w:rPr>
          <w:b/>
          <w:sz w:val="24"/>
          <w:szCs w:val="24"/>
        </w:rPr>
        <w:t>Forty-Third (21</w:t>
      </w:r>
      <w:r w:rsidRPr="00DA5DBB">
        <w:rPr>
          <w:b/>
          <w:sz w:val="24"/>
          <w:szCs w:val="24"/>
          <w:vertAlign w:val="superscript"/>
        </w:rPr>
        <w:t>st</w:t>
      </w:r>
      <w:r w:rsidRPr="00DA5DBB">
        <w:rPr>
          <w:b/>
          <w:sz w:val="24"/>
          <w:szCs w:val="24"/>
        </w:rPr>
        <w:t xml:space="preserve"> Ordinary) Session</w:t>
      </w:r>
    </w:p>
    <w:p w:rsidR="006542BE" w:rsidRPr="00DA5DBB" w:rsidRDefault="006542BE" w:rsidP="00775E00">
      <w:pPr>
        <w:keepLines/>
        <w:rPr>
          <w:b/>
          <w:sz w:val="24"/>
          <w:szCs w:val="24"/>
        </w:rPr>
      </w:pPr>
      <w:r w:rsidRPr="00DA5DBB">
        <w:rPr>
          <w:b/>
          <w:sz w:val="24"/>
          <w:szCs w:val="24"/>
        </w:rPr>
        <w:t>Geneva, September 23 to October 2, 2013</w:t>
      </w: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17CD4" w:rsidRDefault="00D17CD4" w:rsidP="00D17CD4">
      <w:pPr>
        <w:autoSpaceDE w:val="0"/>
        <w:autoSpaceDN w:val="0"/>
        <w:adjustRightInd w:val="0"/>
        <w:rPr>
          <w:rFonts w:eastAsiaTheme="minorHAnsi"/>
          <w:sz w:val="24"/>
          <w:szCs w:val="24"/>
          <w:lang w:eastAsia="en-US"/>
        </w:rPr>
      </w:pPr>
      <w:r w:rsidRPr="00D17CD4">
        <w:rPr>
          <w:rFonts w:eastAsiaTheme="minorHAnsi"/>
          <w:sz w:val="24"/>
          <w:szCs w:val="24"/>
          <w:lang w:eastAsia="en-US"/>
        </w:rPr>
        <w:t>REPORT BY THE WIPO</w:t>
      </w:r>
      <w:r>
        <w:rPr>
          <w:rFonts w:eastAsiaTheme="minorHAnsi"/>
          <w:sz w:val="24"/>
          <w:szCs w:val="24"/>
          <w:lang w:eastAsia="en-US"/>
        </w:rPr>
        <w:t xml:space="preserve"> INDEPENDENT ADVISORY OVERSIGHT </w:t>
      </w:r>
      <w:r w:rsidRPr="00D17CD4">
        <w:rPr>
          <w:rFonts w:eastAsiaTheme="minorHAnsi"/>
          <w:sz w:val="24"/>
          <w:szCs w:val="24"/>
          <w:lang w:eastAsia="en-US"/>
        </w:rPr>
        <w:t>COMMITTEE</w:t>
      </w:r>
      <w:r>
        <w:rPr>
          <w:rFonts w:eastAsiaTheme="minorHAnsi"/>
          <w:sz w:val="24"/>
          <w:szCs w:val="24"/>
          <w:lang w:eastAsia="en-US"/>
        </w:rPr>
        <w:t> </w:t>
      </w:r>
      <w:r w:rsidRPr="00D17CD4">
        <w:rPr>
          <w:rFonts w:eastAsiaTheme="minorHAnsi"/>
          <w:sz w:val="24"/>
          <w:szCs w:val="24"/>
          <w:lang w:eastAsia="en-US"/>
        </w:rPr>
        <w:t>(IAOC)</w:t>
      </w:r>
    </w:p>
    <w:p w:rsidR="006542BE" w:rsidRPr="00DA5DBB" w:rsidRDefault="006542BE" w:rsidP="00775E00">
      <w:pPr>
        <w:keepLines/>
      </w:pPr>
    </w:p>
    <w:p w:rsidR="006542BE" w:rsidRPr="00DA5DBB" w:rsidRDefault="006542BE" w:rsidP="00775E00">
      <w:pPr>
        <w:keepLines/>
        <w:rPr>
          <w:i/>
        </w:rPr>
      </w:pPr>
      <w:bookmarkStart w:id="1" w:name="Prepared"/>
      <w:bookmarkEnd w:id="1"/>
      <w:proofErr w:type="gramStart"/>
      <w:r w:rsidRPr="00DA5DBB">
        <w:rPr>
          <w:i/>
        </w:rPr>
        <w:t>prepared</w:t>
      </w:r>
      <w:proofErr w:type="gramEnd"/>
      <w:r w:rsidRPr="00DA5DBB">
        <w:rPr>
          <w:i/>
        </w:rPr>
        <w:t xml:space="preserve"> by the Secretariat</w:t>
      </w: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pStyle w:val="ONUME"/>
        <w:keepLines/>
        <w:numPr>
          <w:ilvl w:val="0"/>
          <w:numId w:val="3"/>
        </w:numPr>
        <w:ind w:left="0" w:firstLine="0"/>
      </w:pPr>
      <w:r w:rsidRPr="00DA5DBB">
        <w:t xml:space="preserve">This document presents the </w:t>
      </w:r>
      <w:r w:rsidR="00D17CD4">
        <w:t>Report by the WIPO Independent Advisory Oversight Committee (IAOC)</w:t>
      </w:r>
      <w:r w:rsidRPr="00DA5DBB">
        <w:t>.</w:t>
      </w:r>
    </w:p>
    <w:p w:rsidR="006542BE" w:rsidRPr="00DA5DBB" w:rsidRDefault="006542BE" w:rsidP="005078F8">
      <w:pPr>
        <w:pStyle w:val="ONUME"/>
        <w:keepLines/>
        <w:numPr>
          <w:ilvl w:val="0"/>
          <w:numId w:val="3"/>
        </w:numPr>
        <w:tabs>
          <w:tab w:val="left" w:pos="6096"/>
        </w:tabs>
        <w:spacing w:after="0"/>
        <w:ind w:left="5533" w:firstLine="0"/>
        <w:rPr>
          <w:i/>
        </w:rPr>
      </w:pPr>
      <w:r w:rsidRPr="00DA5DBB">
        <w:rPr>
          <w:i/>
        </w:rPr>
        <w:t>The</w:t>
      </w:r>
      <w:r w:rsidR="0014471C">
        <w:rPr>
          <w:i/>
        </w:rPr>
        <w:t xml:space="preserve"> WIPO</w:t>
      </w:r>
      <w:r w:rsidRPr="00DA5DBB">
        <w:rPr>
          <w:i/>
        </w:rPr>
        <w:t xml:space="preserve"> General Assembly is invited to take note of the </w:t>
      </w:r>
      <w:r w:rsidR="0014471C">
        <w:rPr>
          <w:i/>
        </w:rPr>
        <w:t>contents of this document, taking into consideration any recommendation made in this respect by the Program and Budget Committee as recorded in document A/51/14</w:t>
      </w:r>
      <w:r w:rsidRPr="00DA5DBB">
        <w:rPr>
          <w:i/>
        </w:rPr>
        <w:t>.</w:t>
      </w:r>
    </w:p>
    <w:p w:rsidR="006542BE" w:rsidRPr="00DA5DBB" w:rsidRDefault="006542BE" w:rsidP="00775E00">
      <w:pPr>
        <w:pStyle w:val="ONUME"/>
        <w:keepLines/>
        <w:tabs>
          <w:tab w:val="clear" w:pos="360"/>
        </w:tabs>
        <w:spacing w:after="0"/>
        <w:ind w:left="5528" w:firstLine="0"/>
        <w:rPr>
          <w:i/>
        </w:rPr>
      </w:pPr>
    </w:p>
    <w:p w:rsidR="006542BE" w:rsidRPr="00DA5DBB" w:rsidRDefault="006542BE" w:rsidP="00775E00">
      <w:pPr>
        <w:pStyle w:val="ONUME"/>
        <w:keepLines/>
        <w:tabs>
          <w:tab w:val="clear" w:pos="360"/>
        </w:tabs>
        <w:spacing w:after="0"/>
        <w:ind w:left="5528" w:firstLine="0"/>
        <w:rPr>
          <w:i/>
        </w:rPr>
      </w:pPr>
    </w:p>
    <w:p w:rsidR="006542BE" w:rsidRPr="00DA5DBB" w:rsidRDefault="006542BE" w:rsidP="00775E00">
      <w:pPr>
        <w:pStyle w:val="ONUME"/>
        <w:keepLines/>
        <w:tabs>
          <w:tab w:val="clear" w:pos="360"/>
        </w:tabs>
        <w:spacing w:after="0"/>
        <w:ind w:left="5528" w:firstLine="0"/>
        <w:rPr>
          <w:i/>
        </w:rPr>
      </w:pPr>
    </w:p>
    <w:p w:rsidR="006542BE" w:rsidRDefault="006542BE" w:rsidP="00775E00">
      <w:pPr>
        <w:keepLines/>
        <w:ind w:left="5528"/>
      </w:pPr>
      <w:r w:rsidRPr="00DA5DBB">
        <w:t>[</w:t>
      </w:r>
      <w:r w:rsidR="0014471C">
        <w:t>Document WO/PBC/21/</w:t>
      </w:r>
      <w:r w:rsidR="00D17CD4">
        <w:t>2</w:t>
      </w:r>
      <w:r w:rsidR="002931FA">
        <w:t xml:space="preserve"> follows</w:t>
      </w:r>
      <w:r w:rsidRPr="00DA5DBB">
        <w:t>]</w:t>
      </w:r>
    </w:p>
    <w:p w:rsidR="00E63AAF" w:rsidRDefault="00E63AAF" w:rsidP="00775E00">
      <w:pPr>
        <w:keepLines/>
        <w:ind w:left="5528"/>
        <w:sectPr w:rsidR="00E63AAF" w:rsidSect="00D17CD4">
          <w:headerReference w:type="default" r:id="rId10"/>
          <w:endnotePr>
            <w:numFmt w:val="decimal"/>
          </w:endnotePr>
          <w:pgSz w:w="11907" w:h="16840" w:code="9"/>
          <w:pgMar w:top="567" w:right="1134" w:bottom="1418" w:left="1418" w:header="510" w:footer="1021" w:gutter="0"/>
          <w:cols w:space="720"/>
          <w:titlePg/>
          <w:docGrid w:linePitch="299"/>
        </w:sectPr>
      </w:pPr>
    </w:p>
    <w:p w:rsidR="00E63AAF" w:rsidRDefault="00E63AAF" w:rsidP="00AF0B20">
      <w:pPr>
        <w:pStyle w:val="Caption"/>
        <w:jc w:val="center"/>
        <w:rPr>
          <w:b w:val="0"/>
          <w:sz w:val="22"/>
          <w:szCs w:val="22"/>
        </w:rPr>
      </w:pPr>
    </w:p>
    <w:tbl>
      <w:tblPr>
        <w:tblW w:w="9356" w:type="dxa"/>
        <w:tblInd w:w="108" w:type="dxa"/>
        <w:tblLayout w:type="fixed"/>
        <w:tblLook w:val="01E0" w:firstRow="1" w:lastRow="1" w:firstColumn="1" w:lastColumn="1" w:noHBand="0" w:noVBand="0"/>
      </w:tblPr>
      <w:tblGrid>
        <w:gridCol w:w="4513"/>
        <w:gridCol w:w="4337"/>
        <w:gridCol w:w="506"/>
      </w:tblGrid>
      <w:tr w:rsidR="00E63AAF" w:rsidRPr="00714400" w:rsidTr="00CA00EB">
        <w:tc>
          <w:tcPr>
            <w:tcW w:w="4513" w:type="dxa"/>
            <w:tcBorders>
              <w:bottom w:val="single" w:sz="4" w:space="0" w:color="auto"/>
            </w:tcBorders>
            <w:tcMar>
              <w:bottom w:w="170" w:type="dxa"/>
            </w:tcMar>
          </w:tcPr>
          <w:p w:rsidR="00E63AAF" w:rsidRPr="008B2CC1" w:rsidRDefault="00E63AAF" w:rsidP="00CA00EB"/>
        </w:tc>
        <w:tc>
          <w:tcPr>
            <w:tcW w:w="4337" w:type="dxa"/>
            <w:tcBorders>
              <w:bottom w:val="single" w:sz="4" w:space="0" w:color="auto"/>
            </w:tcBorders>
            <w:tcMar>
              <w:left w:w="0" w:type="dxa"/>
              <w:right w:w="0" w:type="dxa"/>
            </w:tcMar>
          </w:tcPr>
          <w:p w:rsidR="00E63AAF" w:rsidRPr="00714400" w:rsidRDefault="00E741D5" w:rsidP="00CA00E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04pt;mso-position-horizontal-relative:page;mso-position-vertical-relative:line" wrapcoords="-111 0 -111 21445 21600 21445 21600 0 -111 0" o:allowincell="f" o:allowoverlap="f">
                  <v:imagedata r:id="rId11" o:title="WIPO-E"/>
                </v:shape>
              </w:pict>
            </w:r>
          </w:p>
        </w:tc>
        <w:tc>
          <w:tcPr>
            <w:tcW w:w="425" w:type="dxa"/>
            <w:tcBorders>
              <w:bottom w:val="single" w:sz="4" w:space="0" w:color="auto"/>
            </w:tcBorders>
            <w:tcMar>
              <w:left w:w="0" w:type="dxa"/>
              <w:right w:w="0" w:type="dxa"/>
            </w:tcMar>
          </w:tcPr>
          <w:p w:rsidR="00E63AAF" w:rsidRPr="00714400" w:rsidRDefault="00E63AAF" w:rsidP="00CA00EB">
            <w:pPr>
              <w:jc w:val="right"/>
            </w:pPr>
            <w:r w:rsidRPr="00714400">
              <w:rPr>
                <w:b/>
                <w:sz w:val="40"/>
                <w:szCs w:val="40"/>
              </w:rPr>
              <w:t>E</w:t>
            </w:r>
          </w:p>
        </w:tc>
      </w:tr>
      <w:tr w:rsidR="00E63AAF" w:rsidRPr="00714400" w:rsidTr="00CA00EB">
        <w:trPr>
          <w:trHeight w:hRule="exact" w:val="340"/>
        </w:trPr>
        <w:tc>
          <w:tcPr>
            <w:tcW w:w="9356" w:type="dxa"/>
            <w:gridSpan w:val="3"/>
            <w:tcBorders>
              <w:top w:val="single" w:sz="4" w:space="0" w:color="auto"/>
            </w:tcBorders>
            <w:tcMar>
              <w:top w:w="170" w:type="dxa"/>
              <w:left w:w="0" w:type="dxa"/>
              <w:right w:w="0" w:type="dxa"/>
            </w:tcMar>
            <w:vAlign w:val="bottom"/>
          </w:tcPr>
          <w:p w:rsidR="00E63AAF" w:rsidRPr="00714400" w:rsidRDefault="00E63AAF" w:rsidP="001B5B0C">
            <w:pPr>
              <w:jc w:val="right"/>
              <w:rPr>
                <w:rFonts w:ascii="Arial Black" w:hAnsi="Arial Black"/>
                <w:caps/>
                <w:sz w:val="15"/>
              </w:rPr>
            </w:pPr>
            <w:r w:rsidRPr="00714400">
              <w:rPr>
                <w:rFonts w:ascii="Arial Black" w:hAnsi="Arial Black"/>
                <w:caps/>
                <w:sz w:val="15"/>
              </w:rPr>
              <w:t>WO/PBC/21/</w:t>
            </w:r>
            <w:bookmarkStart w:id="2" w:name="Code"/>
            <w:bookmarkEnd w:id="2"/>
            <w:r w:rsidRPr="00714400">
              <w:rPr>
                <w:rFonts w:ascii="Arial Black" w:hAnsi="Arial Black"/>
                <w:caps/>
                <w:sz w:val="15"/>
              </w:rPr>
              <w:t xml:space="preserve">2    </w:t>
            </w:r>
          </w:p>
        </w:tc>
      </w:tr>
      <w:tr w:rsidR="00E63AAF" w:rsidRPr="00714400" w:rsidTr="00CA00EB">
        <w:trPr>
          <w:trHeight w:hRule="exact" w:val="170"/>
        </w:trPr>
        <w:tc>
          <w:tcPr>
            <w:tcW w:w="9356" w:type="dxa"/>
            <w:gridSpan w:val="3"/>
            <w:noWrap/>
            <w:tcMar>
              <w:left w:w="0" w:type="dxa"/>
              <w:right w:w="0" w:type="dxa"/>
            </w:tcMar>
            <w:vAlign w:val="bottom"/>
          </w:tcPr>
          <w:p w:rsidR="00E63AAF" w:rsidRPr="00714400" w:rsidRDefault="00E63AAF" w:rsidP="00CA00EB">
            <w:pPr>
              <w:jc w:val="right"/>
              <w:rPr>
                <w:rFonts w:ascii="Arial Black" w:hAnsi="Arial Black"/>
                <w:caps/>
                <w:sz w:val="15"/>
              </w:rPr>
            </w:pPr>
            <w:r w:rsidRPr="00714400">
              <w:rPr>
                <w:rFonts w:ascii="Arial Black" w:hAnsi="Arial Black"/>
                <w:caps/>
                <w:sz w:val="15"/>
              </w:rPr>
              <w:t xml:space="preserve">ORIGINAL:  </w:t>
            </w:r>
            <w:bookmarkStart w:id="3" w:name="Original"/>
            <w:bookmarkEnd w:id="3"/>
            <w:r w:rsidRPr="00714400">
              <w:rPr>
                <w:rFonts w:ascii="Arial Black" w:hAnsi="Arial Black"/>
                <w:caps/>
                <w:sz w:val="15"/>
              </w:rPr>
              <w:t>ENGLISH</w:t>
            </w:r>
          </w:p>
        </w:tc>
      </w:tr>
      <w:tr w:rsidR="00E63AAF" w:rsidRPr="00714400" w:rsidTr="00CA00EB">
        <w:trPr>
          <w:trHeight w:hRule="exact" w:val="198"/>
        </w:trPr>
        <w:tc>
          <w:tcPr>
            <w:tcW w:w="9356" w:type="dxa"/>
            <w:gridSpan w:val="3"/>
            <w:tcMar>
              <w:left w:w="0" w:type="dxa"/>
              <w:right w:w="0" w:type="dxa"/>
            </w:tcMar>
            <w:vAlign w:val="bottom"/>
          </w:tcPr>
          <w:p w:rsidR="00E63AAF" w:rsidRPr="00714400" w:rsidRDefault="00E63AAF" w:rsidP="001B5B0C">
            <w:pPr>
              <w:jc w:val="right"/>
              <w:rPr>
                <w:rFonts w:ascii="Arial Black" w:hAnsi="Arial Black"/>
                <w:caps/>
                <w:sz w:val="15"/>
              </w:rPr>
            </w:pPr>
            <w:r w:rsidRPr="00714400">
              <w:rPr>
                <w:rFonts w:ascii="Arial Black" w:hAnsi="Arial Black"/>
                <w:caps/>
                <w:sz w:val="15"/>
              </w:rPr>
              <w:t xml:space="preserve">DATE: </w:t>
            </w:r>
            <w:bookmarkStart w:id="4" w:name="Date"/>
            <w:bookmarkEnd w:id="4"/>
            <w:r w:rsidRPr="00714400">
              <w:rPr>
                <w:rFonts w:ascii="Arial Black" w:hAnsi="Arial Black"/>
                <w:caps/>
                <w:sz w:val="15"/>
              </w:rPr>
              <w:t>SEPTEMBER 3, 2013</w:t>
            </w:r>
          </w:p>
        </w:tc>
      </w:tr>
    </w:tbl>
    <w:p w:rsidR="00E63AAF" w:rsidRPr="00714400" w:rsidRDefault="00E63AAF" w:rsidP="001B5B0C"/>
    <w:p w:rsidR="00E63AAF" w:rsidRPr="00714400" w:rsidRDefault="00E63AAF" w:rsidP="001B5B0C"/>
    <w:p w:rsidR="00E63AAF" w:rsidRPr="00714400" w:rsidRDefault="00E63AAF" w:rsidP="001B5B0C"/>
    <w:p w:rsidR="00E63AAF" w:rsidRPr="00714400" w:rsidRDefault="00E63AAF" w:rsidP="001B5B0C"/>
    <w:p w:rsidR="00E63AAF" w:rsidRDefault="00E63AAF" w:rsidP="00D663CB">
      <w:pPr>
        <w:rPr>
          <w:b/>
          <w:sz w:val="28"/>
          <w:szCs w:val="28"/>
        </w:rPr>
      </w:pPr>
      <w:r w:rsidRPr="00837BE6">
        <w:rPr>
          <w:b/>
          <w:sz w:val="28"/>
          <w:szCs w:val="28"/>
        </w:rPr>
        <w:t>Program and Budget Committee</w:t>
      </w:r>
      <w:r>
        <w:rPr>
          <w:b/>
          <w:sz w:val="28"/>
          <w:szCs w:val="28"/>
        </w:rPr>
        <w:t xml:space="preserve"> </w:t>
      </w:r>
    </w:p>
    <w:p w:rsidR="00E63AAF" w:rsidRPr="00837BE6" w:rsidRDefault="00E63AAF" w:rsidP="00D663CB"/>
    <w:p w:rsidR="00E63AAF" w:rsidRPr="00837BE6" w:rsidRDefault="00E63AAF" w:rsidP="00D663CB">
      <w:pPr>
        <w:rPr>
          <w:b/>
          <w:sz w:val="24"/>
          <w:szCs w:val="24"/>
        </w:rPr>
      </w:pPr>
      <w:r>
        <w:rPr>
          <w:b/>
          <w:sz w:val="24"/>
          <w:szCs w:val="24"/>
        </w:rPr>
        <w:t xml:space="preserve">Twenty-first </w:t>
      </w:r>
      <w:r w:rsidRPr="00837BE6">
        <w:rPr>
          <w:b/>
          <w:sz w:val="24"/>
          <w:szCs w:val="24"/>
        </w:rPr>
        <w:t>Session</w:t>
      </w:r>
    </w:p>
    <w:p w:rsidR="00E63AAF" w:rsidRPr="00837BE6" w:rsidRDefault="00E63AAF" w:rsidP="00D663CB">
      <w:pPr>
        <w:rPr>
          <w:b/>
          <w:sz w:val="24"/>
          <w:szCs w:val="24"/>
        </w:rPr>
      </w:pPr>
      <w:r w:rsidRPr="00837BE6">
        <w:rPr>
          <w:b/>
          <w:sz w:val="24"/>
          <w:szCs w:val="24"/>
        </w:rPr>
        <w:t xml:space="preserve">Geneva, September </w:t>
      </w:r>
      <w:r>
        <w:rPr>
          <w:b/>
          <w:sz w:val="24"/>
          <w:szCs w:val="24"/>
        </w:rPr>
        <w:t>9</w:t>
      </w:r>
      <w:r w:rsidRPr="00837BE6">
        <w:rPr>
          <w:b/>
          <w:sz w:val="24"/>
          <w:szCs w:val="24"/>
        </w:rPr>
        <w:t xml:space="preserve"> to 1</w:t>
      </w:r>
      <w:r>
        <w:rPr>
          <w:b/>
          <w:sz w:val="24"/>
          <w:szCs w:val="24"/>
        </w:rPr>
        <w:t>3</w:t>
      </w:r>
      <w:r w:rsidRPr="00837BE6">
        <w:rPr>
          <w:b/>
          <w:sz w:val="24"/>
          <w:szCs w:val="24"/>
        </w:rPr>
        <w:t>, 201</w:t>
      </w:r>
      <w:r>
        <w:rPr>
          <w:b/>
          <w:sz w:val="24"/>
          <w:szCs w:val="24"/>
        </w:rPr>
        <w:t>3</w:t>
      </w:r>
    </w:p>
    <w:p w:rsidR="00E63AAF" w:rsidRPr="00837BE6" w:rsidRDefault="00E63AAF" w:rsidP="00D663CB"/>
    <w:p w:rsidR="00E63AAF" w:rsidRPr="00837BE6" w:rsidRDefault="00E63AAF" w:rsidP="00D663CB"/>
    <w:p w:rsidR="00E63AAF" w:rsidRPr="00837BE6" w:rsidRDefault="00E63AAF" w:rsidP="00D663CB"/>
    <w:p w:rsidR="00E63AAF" w:rsidRPr="00693285" w:rsidRDefault="00E63AAF" w:rsidP="00D663CB">
      <w:pPr>
        <w:rPr>
          <w:sz w:val="24"/>
          <w:szCs w:val="24"/>
        </w:rPr>
      </w:pPr>
      <w:r w:rsidRPr="00693285">
        <w:rPr>
          <w:sz w:val="24"/>
          <w:szCs w:val="24"/>
        </w:rPr>
        <w:t>REPORT BY THE WIPO INDEPENDENT ADVISORY OVERSIGHT COMMITTEE</w:t>
      </w:r>
      <w:r>
        <w:rPr>
          <w:sz w:val="24"/>
          <w:szCs w:val="24"/>
        </w:rPr>
        <w:t> </w:t>
      </w:r>
      <w:r w:rsidRPr="00693285">
        <w:rPr>
          <w:sz w:val="24"/>
          <w:szCs w:val="24"/>
        </w:rPr>
        <w:t>(IAOC)</w:t>
      </w:r>
    </w:p>
    <w:p w:rsidR="00E63AAF" w:rsidRPr="00837BE6" w:rsidRDefault="00E63AAF" w:rsidP="00D663CB">
      <w:pPr>
        <w:rPr>
          <w:i/>
        </w:rPr>
      </w:pPr>
    </w:p>
    <w:p w:rsidR="00E63AAF" w:rsidRPr="00837BE6" w:rsidRDefault="00E63AAF" w:rsidP="00D663CB">
      <w:pPr>
        <w:rPr>
          <w:i/>
        </w:rPr>
      </w:pPr>
      <w:proofErr w:type="gramStart"/>
      <w:r w:rsidRPr="00837BE6">
        <w:rPr>
          <w:i/>
        </w:rPr>
        <w:t>prepared</w:t>
      </w:r>
      <w:proofErr w:type="gramEnd"/>
      <w:r w:rsidRPr="00837BE6">
        <w:rPr>
          <w:i/>
        </w:rPr>
        <w:t xml:space="preserve"> by the Secretariat</w:t>
      </w:r>
    </w:p>
    <w:p w:rsidR="00E63AAF" w:rsidRDefault="00E63AAF" w:rsidP="00D663CB">
      <w:pPr>
        <w:rPr>
          <w:i/>
        </w:rPr>
      </w:pPr>
    </w:p>
    <w:p w:rsidR="00E63AAF" w:rsidRPr="00837BE6" w:rsidRDefault="00E63AAF" w:rsidP="00D663CB">
      <w:pPr>
        <w:ind w:right="-143"/>
        <w:rPr>
          <w:i/>
        </w:rPr>
      </w:pPr>
    </w:p>
    <w:p w:rsidR="00E63AAF" w:rsidRPr="00B61351" w:rsidRDefault="00E63AAF" w:rsidP="00D663CB">
      <w:pPr>
        <w:autoSpaceDE w:val="0"/>
        <w:autoSpaceDN w:val="0"/>
        <w:adjustRightInd w:val="0"/>
        <w:rPr>
          <w:szCs w:val="22"/>
        </w:rPr>
      </w:pPr>
      <w:r w:rsidRPr="001D4872">
        <w:t>1.</w:t>
      </w:r>
      <w:r w:rsidRPr="001D4872">
        <w:tab/>
        <w:t>This document contains the Report by the WIPO Independent Advisory Oversight Committee (IAOC), prepared by the IAOC and covering the period September 1, 2012, to August 31, 2013.</w:t>
      </w:r>
      <w:r>
        <w:rPr>
          <w:szCs w:val="22"/>
        </w:rPr>
        <w:t xml:space="preserve">  </w:t>
      </w:r>
    </w:p>
    <w:p w:rsidR="00E63AAF" w:rsidRPr="00837BE6" w:rsidRDefault="00E63AAF" w:rsidP="00D663CB"/>
    <w:p w:rsidR="00E63AAF" w:rsidRDefault="00E63AAF" w:rsidP="00E741D5">
      <w:pPr>
        <w:pStyle w:val="DecisionInvitationPara"/>
        <w:tabs>
          <w:tab w:val="left" w:pos="6096"/>
        </w:tabs>
      </w:pPr>
      <w:r>
        <w:t>2.</w:t>
      </w:r>
      <w:r>
        <w:tab/>
      </w:r>
      <w:r w:rsidRPr="00837BE6">
        <w:t>The Program and Budget Committee is invited to</w:t>
      </w:r>
      <w:r>
        <w:t xml:space="preserve"> recommend to the WIPO General Assembly to take note of the contents of this document.</w:t>
      </w:r>
    </w:p>
    <w:p w:rsidR="00E63AAF" w:rsidRDefault="00E63AAF" w:rsidP="00D663CB">
      <w:pPr>
        <w:pStyle w:val="DecisionInvitationPara"/>
        <w:tabs>
          <w:tab w:val="left" w:pos="5940"/>
        </w:tabs>
      </w:pPr>
    </w:p>
    <w:p w:rsidR="00E63AAF" w:rsidRDefault="00E63AAF" w:rsidP="00D663CB">
      <w:pPr>
        <w:pStyle w:val="DecisionInvitationPara"/>
        <w:tabs>
          <w:tab w:val="left" w:pos="5940"/>
        </w:tabs>
      </w:pPr>
    </w:p>
    <w:p w:rsidR="00E63AAF" w:rsidRDefault="00E63AAF" w:rsidP="00D663CB">
      <w:pPr>
        <w:pStyle w:val="DecisionInvitationPara"/>
        <w:tabs>
          <w:tab w:val="left" w:pos="5940"/>
        </w:tabs>
      </w:pPr>
    </w:p>
    <w:p w:rsidR="00E63AAF" w:rsidRPr="00837BE6" w:rsidRDefault="00E63AAF" w:rsidP="00D663CB">
      <w:pPr>
        <w:pStyle w:val="Endofdocument-Annex"/>
      </w:pPr>
      <w:r w:rsidRPr="00837BE6">
        <w:t>[</w:t>
      </w:r>
      <w:r>
        <w:t>The Report by the WIPO Independent Advisory Oversight Committee follows</w:t>
      </w:r>
      <w:r w:rsidRPr="00837BE6">
        <w:t>]</w:t>
      </w:r>
    </w:p>
    <w:p w:rsidR="00E63AAF" w:rsidRPr="00837BE6" w:rsidRDefault="00E63AAF" w:rsidP="00D663CB">
      <w:pPr>
        <w:jc w:val="center"/>
      </w:pPr>
    </w:p>
    <w:p w:rsidR="00E63AAF" w:rsidRPr="00714400" w:rsidRDefault="00E63AAF" w:rsidP="00A95AAA">
      <w:pPr>
        <w:jc w:val="center"/>
      </w:pPr>
    </w:p>
    <w:p w:rsidR="00E63AAF" w:rsidRPr="00714400" w:rsidRDefault="00E63AAF" w:rsidP="00A95AAA">
      <w:pPr>
        <w:jc w:val="center"/>
      </w:pPr>
    </w:p>
    <w:p w:rsidR="00E63AAF" w:rsidRPr="00714400" w:rsidRDefault="00E63AAF" w:rsidP="00A95AAA"/>
    <w:p w:rsidR="00E63AAF" w:rsidRPr="00714400" w:rsidRDefault="00E63AAF" w:rsidP="00A95AAA">
      <w:r w:rsidRPr="00714400">
        <w:br w:type="page"/>
      </w:r>
    </w:p>
    <w:p w:rsidR="00E63AAF" w:rsidRPr="00714400" w:rsidRDefault="00E63AAF" w:rsidP="00AF0B20">
      <w:pPr>
        <w:pStyle w:val="Caption"/>
        <w:jc w:val="center"/>
        <w:rPr>
          <w:b w:val="0"/>
          <w:sz w:val="22"/>
          <w:szCs w:val="22"/>
        </w:rPr>
      </w:pPr>
      <w:r w:rsidRPr="00714400">
        <w:rPr>
          <w:b w:val="0"/>
          <w:sz w:val="22"/>
          <w:szCs w:val="22"/>
        </w:rPr>
        <w:lastRenderedPageBreak/>
        <w:t>CONTENTS</w:t>
      </w:r>
    </w:p>
    <w:p w:rsidR="00E63AAF" w:rsidRPr="00714400" w:rsidRDefault="00E63AAF" w:rsidP="00AF0B20"/>
    <w:p w:rsidR="00E63AAF" w:rsidRPr="00714400" w:rsidRDefault="00E63AAF" w:rsidP="00AF0B20"/>
    <w:p w:rsidR="00E63AAF" w:rsidRPr="0001573E" w:rsidRDefault="00E63AAF">
      <w:pPr>
        <w:pStyle w:val="TOC2"/>
        <w:rPr>
          <w:rFonts w:ascii="Calibri" w:hAnsi="Calibri" w:cs="Times New Roman"/>
          <w:iCs/>
        </w:rPr>
      </w:pPr>
      <w:r w:rsidRPr="00714400">
        <w:rPr>
          <w:b/>
          <w:bCs/>
          <w:sz w:val="20"/>
        </w:rPr>
        <w:fldChar w:fldCharType="begin"/>
      </w:r>
      <w:r w:rsidRPr="00714400">
        <w:rPr>
          <w:b/>
          <w:bCs/>
          <w:sz w:val="20"/>
        </w:rPr>
        <w:instrText xml:space="preserve"> TOC \o "1-4" \h \z \u </w:instrText>
      </w:r>
      <w:r w:rsidRPr="00714400">
        <w:rPr>
          <w:b/>
          <w:bCs/>
          <w:sz w:val="20"/>
        </w:rPr>
        <w:fldChar w:fldCharType="separate"/>
      </w:r>
      <w:hyperlink w:anchor="_Toc365988685" w:history="1">
        <w:r w:rsidRPr="00AB3996">
          <w:rPr>
            <w:rStyle w:val="Hyperlink"/>
          </w:rPr>
          <w:t>I.  INTRODUCTION</w:t>
        </w:r>
        <w:r>
          <w:rPr>
            <w:webHidden/>
          </w:rPr>
          <w:tab/>
        </w:r>
        <w:r>
          <w:rPr>
            <w:webHidden/>
          </w:rPr>
          <w:fldChar w:fldCharType="begin"/>
        </w:r>
        <w:r>
          <w:rPr>
            <w:webHidden/>
          </w:rPr>
          <w:instrText xml:space="preserve"> PAGEREF _Toc365988685 \h </w:instrText>
        </w:r>
        <w:r>
          <w:rPr>
            <w:webHidden/>
          </w:rPr>
        </w:r>
        <w:r>
          <w:rPr>
            <w:webHidden/>
          </w:rPr>
          <w:fldChar w:fldCharType="separate"/>
        </w:r>
        <w:r>
          <w:rPr>
            <w:webHidden/>
          </w:rPr>
          <w:t>3</w:t>
        </w:r>
        <w:r>
          <w:rPr>
            <w:webHidden/>
          </w:rPr>
          <w:fldChar w:fldCharType="end"/>
        </w:r>
      </w:hyperlink>
    </w:p>
    <w:p w:rsidR="00E63AAF" w:rsidRPr="0001573E" w:rsidRDefault="00E741D5">
      <w:pPr>
        <w:pStyle w:val="TOC2"/>
        <w:rPr>
          <w:rFonts w:ascii="Calibri" w:hAnsi="Calibri" w:cs="Times New Roman"/>
          <w:iCs/>
        </w:rPr>
      </w:pPr>
      <w:hyperlink w:anchor="_Toc365988686" w:history="1">
        <w:r w:rsidR="00E63AAF" w:rsidRPr="00AB3996">
          <w:rPr>
            <w:rStyle w:val="Hyperlink"/>
          </w:rPr>
          <w:t>II.  MANDATE, WORKING METHODS AND MEMBERSHIP</w:t>
        </w:r>
        <w:r w:rsidR="00E63AAF">
          <w:rPr>
            <w:webHidden/>
          </w:rPr>
          <w:tab/>
        </w:r>
        <w:r w:rsidR="00E63AAF">
          <w:rPr>
            <w:webHidden/>
          </w:rPr>
          <w:fldChar w:fldCharType="begin"/>
        </w:r>
        <w:r w:rsidR="00E63AAF">
          <w:rPr>
            <w:webHidden/>
          </w:rPr>
          <w:instrText xml:space="preserve"> PAGEREF _Toc365988686 \h </w:instrText>
        </w:r>
        <w:r w:rsidR="00E63AAF">
          <w:rPr>
            <w:webHidden/>
          </w:rPr>
        </w:r>
        <w:r w:rsidR="00E63AAF">
          <w:rPr>
            <w:webHidden/>
          </w:rPr>
          <w:fldChar w:fldCharType="separate"/>
        </w:r>
        <w:r w:rsidR="00E63AAF">
          <w:rPr>
            <w:webHidden/>
          </w:rPr>
          <w:t>3</w:t>
        </w:r>
        <w:r w:rsidR="00E63AAF">
          <w:rPr>
            <w:webHidden/>
          </w:rPr>
          <w:fldChar w:fldCharType="end"/>
        </w:r>
      </w:hyperlink>
    </w:p>
    <w:p w:rsidR="00E63AAF" w:rsidRPr="0001573E" w:rsidRDefault="00E741D5">
      <w:pPr>
        <w:pStyle w:val="TOC2"/>
        <w:rPr>
          <w:rFonts w:ascii="Calibri" w:hAnsi="Calibri" w:cs="Times New Roman"/>
          <w:iCs/>
        </w:rPr>
      </w:pPr>
      <w:hyperlink w:anchor="_Toc365988687" w:history="1">
        <w:r w:rsidR="00E63AAF" w:rsidRPr="00AB3996">
          <w:rPr>
            <w:rStyle w:val="Hyperlink"/>
          </w:rPr>
          <w:t>III.  TOPICS REVIEWED BY THE IAOC</w:t>
        </w:r>
        <w:r w:rsidR="00E63AAF">
          <w:rPr>
            <w:webHidden/>
          </w:rPr>
          <w:tab/>
        </w:r>
        <w:r w:rsidR="00E63AAF">
          <w:rPr>
            <w:webHidden/>
          </w:rPr>
          <w:fldChar w:fldCharType="begin"/>
        </w:r>
        <w:r w:rsidR="00E63AAF">
          <w:rPr>
            <w:webHidden/>
          </w:rPr>
          <w:instrText xml:space="preserve"> PAGEREF _Toc365988687 \h </w:instrText>
        </w:r>
        <w:r w:rsidR="00E63AAF">
          <w:rPr>
            <w:webHidden/>
          </w:rPr>
        </w:r>
        <w:r w:rsidR="00E63AAF">
          <w:rPr>
            <w:webHidden/>
          </w:rPr>
          <w:fldChar w:fldCharType="separate"/>
        </w:r>
        <w:r w:rsidR="00E63AAF">
          <w:rPr>
            <w:webHidden/>
          </w:rPr>
          <w:t>4</w:t>
        </w:r>
        <w:r w:rsidR="00E63AAF">
          <w:rPr>
            <w:webHidden/>
          </w:rPr>
          <w:fldChar w:fldCharType="end"/>
        </w:r>
      </w:hyperlink>
    </w:p>
    <w:p w:rsidR="00E63AAF" w:rsidRPr="0001573E" w:rsidRDefault="00E741D5">
      <w:pPr>
        <w:pStyle w:val="TOC3"/>
        <w:rPr>
          <w:rFonts w:ascii="Calibri" w:hAnsi="Calibri"/>
          <w:szCs w:val="22"/>
        </w:rPr>
      </w:pPr>
      <w:hyperlink w:anchor="_Toc365988688" w:history="1">
        <w:r w:rsidR="00E63AAF" w:rsidRPr="00AB3996">
          <w:rPr>
            <w:rStyle w:val="Hyperlink"/>
          </w:rPr>
          <w:t>A.</w:t>
        </w:r>
        <w:r w:rsidR="00E63AAF" w:rsidRPr="0001573E">
          <w:rPr>
            <w:rFonts w:ascii="Calibri" w:hAnsi="Calibri"/>
            <w:szCs w:val="22"/>
          </w:rPr>
          <w:tab/>
        </w:r>
        <w:r w:rsidR="00E63AAF" w:rsidRPr="00AB3996">
          <w:rPr>
            <w:rStyle w:val="Hyperlink"/>
          </w:rPr>
          <w:t>PBC/21 MATTERS</w:t>
        </w:r>
        <w:r w:rsidR="00E63AAF">
          <w:rPr>
            <w:webHidden/>
          </w:rPr>
          <w:tab/>
        </w:r>
        <w:r w:rsidR="00E63AAF">
          <w:rPr>
            <w:webHidden/>
          </w:rPr>
          <w:fldChar w:fldCharType="begin"/>
        </w:r>
        <w:r w:rsidR="00E63AAF">
          <w:rPr>
            <w:webHidden/>
          </w:rPr>
          <w:instrText xml:space="preserve"> PAGEREF _Toc365988688 \h </w:instrText>
        </w:r>
        <w:r w:rsidR="00E63AAF">
          <w:rPr>
            <w:webHidden/>
          </w:rPr>
        </w:r>
        <w:r w:rsidR="00E63AAF">
          <w:rPr>
            <w:webHidden/>
          </w:rPr>
          <w:fldChar w:fldCharType="separate"/>
        </w:r>
        <w:r w:rsidR="00E63AAF">
          <w:rPr>
            <w:webHidden/>
          </w:rPr>
          <w:t>4</w:t>
        </w:r>
        <w:r w:rsidR="00E63AAF">
          <w:rPr>
            <w:webHidden/>
          </w:rPr>
          <w:fldChar w:fldCharType="end"/>
        </w:r>
      </w:hyperlink>
    </w:p>
    <w:p w:rsidR="00E63AAF" w:rsidRPr="0001573E" w:rsidRDefault="00E741D5">
      <w:pPr>
        <w:pStyle w:val="TOC4"/>
        <w:rPr>
          <w:szCs w:val="22"/>
        </w:rPr>
      </w:pPr>
      <w:hyperlink w:anchor="_Toc365988689" w:history="1">
        <w:r w:rsidR="00E63AAF" w:rsidRPr="00AB3996">
          <w:rPr>
            <w:rStyle w:val="Hyperlink"/>
          </w:rPr>
          <w:t>Audit and Oversight</w:t>
        </w:r>
        <w:r w:rsidR="00E63AAF">
          <w:rPr>
            <w:webHidden/>
          </w:rPr>
          <w:tab/>
        </w:r>
        <w:r w:rsidR="00E63AAF">
          <w:rPr>
            <w:webHidden/>
          </w:rPr>
          <w:fldChar w:fldCharType="begin"/>
        </w:r>
        <w:r w:rsidR="00E63AAF">
          <w:rPr>
            <w:webHidden/>
          </w:rPr>
          <w:instrText xml:space="preserve"> PAGEREF _Toc365988689 \h </w:instrText>
        </w:r>
        <w:r w:rsidR="00E63AAF">
          <w:rPr>
            <w:webHidden/>
          </w:rPr>
        </w:r>
        <w:r w:rsidR="00E63AAF">
          <w:rPr>
            <w:webHidden/>
          </w:rPr>
          <w:fldChar w:fldCharType="separate"/>
        </w:r>
        <w:r w:rsidR="00E63AAF">
          <w:rPr>
            <w:webHidden/>
          </w:rPr>
          <w:t>4</w:t>
        </w:r>
        <w:r w:rsidR="00E63AAF">
          <w:rPr>
            <w:webHidden/>
          </w:rPr>
          <w:fldChar w:fldCharType="end"/>
        </w:r>
      </w:hyperlink>
    </w:p>
    <w:p w:rsidR="00E63AAF" w:rsidRPr="0001573E" w:rsidRDefault="00E741D5">
      <w:pPr>
        <w:pStyle w:val="TOC4"/>
        <w:rPr>
          <w:szCs w:val="22"/>
        </w:rPr>
      </w:pPr>
      <w:hyperlink w:anchor="_Toc365988690" w:history="1">
        <w:r w:rsidR="00E63AAF" w:rsidRPr="00AB3996">
          <w:rPr>
            <w:rStyle w:val="Hyperlink"/>
          </w:rPr>
          <w:t>Program Performance and Financial Reviews</w:t>
        </w:r>
        <w:r w:rsidR="00E63AAF">
          <w:rPr>
            <w:webHidden/>
          </w:rPr>
          <w:tab/>
        </w:r>
        <w:r w:rsidR="00E63AAF">
          <w:rPr>
            <w:webHidden/>
          </w:rPr>
          <w:fldChar w:fldCharType="begin"/>
        </w:r>
        <w:r w:rsidR="00E63AAF">
          <w:rPr>
            <w:webHidden/>
          </w:rPr>
          <w:instrText xml:space="preserve"> PAGEREF _Toc365988690 \h </w:instrText>
        </w:r>
        <w:r w:rsidR="00E63AAF">
          <w:rPr>
            <w:webHidden/>
          </w:rPr>
        </w:r>
        <w:r w:rsidR="00E63AAF">
          <w:rPr>
            <w:webHidden/>
          </w:rPr>
          <w:fldChar w:fldCharType="separate"/>
        </w:r>
        <w:r w:rsidR="00E63AAF">
          <w:rPr>
            <w:webHidden/>
          </w:rPr>
          <w:t>6</w:t>
        </w:r>
        <w:r w:rsidR="00E63AAF">
          <w:rPr>
            <w:webHidden/>
          </w:rPr>
          <w:fldChar w:fldCharType="end"/>
        </w:r>
      </w:hyperlink>
    </w:p>
    <w:p w:rsidR="00E63AAF" w:rsidRPr="0001573E" w:rsidRDefault="00E741D5">
      <w:pPr>
        <w:pStyle w:val="TOC4"/>
        <w:rPr>
          <w:szCs w:val="22"/>
        </w:rPr>
      </w:pPr>
      <w:hyperlink w:anchor="_Toc365988691" w:history="1">
        <w:r w:rsidR="00E63AAF" w:rsidRPr="00AB3996">
          <w:rPr>
            <w:rStyle w:val="Hyperlink"/>
          </w:rPr>
          <w:t>Planning and Budgeting</w:t>
        </w:r>
        <w:r w:rsidR="00E63AAF">
          <w:rPr>
            <w:webHidden/>
          </w:rPr>
          <w:tab/>
        </w:r>
        <w:r w:rsidR="00E63AAF">
          <w:rPr>
            <w:webHidden/>
          </w:rPr>
          <w:fldChar w:fldCharType="begin"/>
        </w:r>
        <w:r w:rsidR="00E63AAF">
          <w:rPr>
            <w:webHidden/>
          </w:rPr>
          <w:instrText xml:space="preserve"> PAGEREF _Toc365988691 \h </w:instrText>
        </w:r>
        <w:r w:rsidR="00E63AAF">
          <w:rPr>
            <w:webHidden/>
          </w:rPr>
        </w:r>
        <w:r w:rsidR="00E63AAF">
          <w:rPr>
            <w:webHidden/>
          </w:rPr>
          <w:fldChar w:fldCharType="separate"/>
        </w:r>
        <w:r w:rsidR="00E63AAF">
          <w:rPr>
            <w:webHidden/>
          </w:rPr>
          <w:t>7</w:t>
        </w:r>
        <w:r w:rsidR="00E63AAF">
          <w:rPr>
            <w:webHidden/>
          </w:rPr>
          <w:fldChar w:fldCharType="end"/>
        </w:r>
      </w:hyperlink>
    </w:p>
    <w:p w:rsidR="00E63AAF" w:rsidRPr="0001573E" w:rsidRDefault="00E741D5">
      <w:pPr>
        <w:pStyle w:val="TOC4"/>
        <w:rPr>
          <w:szCs w:val="22"/>
        </w:rPr>
      </w:pPr>
      <w:hyperlink w:anchor="_Toc365988692" w:history="1">
        <w:r w:rsidR="00E63AAF" w:rsidRPr="00AB3996">
          <w:rPr>
            <w:rStyle w:val="Hyperlink"/>
          </w:rPr>
          <w:t>Progress Reports on Major Projects and Administrative Matters</w:t>
        </w:r>
        <w:r w:rsidR="00E63AAF">
          <w:rPr>
            <w:webHidden/>
          </w:rPr>
          <w:tab/>
        </w:r>
        <w:r w:rsidR="00E63AAF">
          <w:rPr>
            <w:webHidden/>
          </w:rPr>
          <w:fldChar w:fldCharType="begin"/>
        </w:r>
        <w:r w:rsidR="00E63AAF">
          <w:rPr>
            <w:webHidden/>
          </w:rPr>
          <w:instrText xml:space="preserve"> PAGEREF _Toc365988692 \h </w:instrText>
        </w:r>
        <w:r w:rsidR="00E63AAF">
          <w:rPr>
            <w:webHidden/>
          </w:rPr>
        </w:r>
        <w:r w:rsidR="00E63AAF">
          <w:rPr>
            <w:webHidden/>
          </w:rPr>
          <w:fldChar w:fldCharType="separate"/>
        </w:r>
        <w:r w:rsidR="00E63AAF">
          <w:rPr>
            <w:webHidden/>
          </w:rPr>
          <w:t>8</w:t>
        </w:r>
        <w:r w:rsidR="00E63AAF">
          <w:rPr>
            <w:webHidden/>
          </w:rPr>
          <w:fldChar w:fldCharType="end"/>
        </w:r>
      </w:hyperlink>
    </w:p>
    <w:p w:rsidR="00E63AAF" w:rsidRPr="0001573E" w:rsidRDefault="00E741D5">
      <w:pPr>
        <w:pStyle w:val="TOC3"/>
        <w:rPr>
          <w:rFonts w:ascii="Calibri" w:hAnsi="Calibri"/>
          <w:szCs w:val="22"/>
        </w:rPr>
      </w:pPr>
      <w:hyperlink w:anchor="_Toc365988693" w:history="1">
        <w:r w:rsidR="00E63AAF" w:rsidRPr="00AB3996">
          <w:rPr>
            <w:rStyle w:val="Hyperlink"/>
          </w:rPr>
          <w:t>B.</w:t>
        </w:r>
        <w:r w:rsidR="00E63AAF" w:rsidRPr="0001573E">
          <w:rPr>
            <w:rFonts w:ascii="Calibri" w:hAnsi="Calibri"/>
            <w:szCs w:val="22"/>
          </w:rPr>
          <w:tab/>
        </w:r>
        <w:r w:rsidR="00E63AAF" w:rsidRPr="00AB3996">
          <w:rPr>
            <w:rStyle w:val="Hyperlink"/>
          </w:rPr>
          <w:t>OTHER MATTERS</w:t>
        </w:r>
        <w:r w:rsidR="00E63AAF">
          <w:rPr>
            <w:webHidden/>
          </w:rPr>
          <w:tab/>
        </w:r>
        <w:r w:rsidR="00E63AAF">
          <w:rPr>
            <w:webHidden/>
          </w:rPr>
          <w:fldChar w:fldCharType="begin"/>
        </w:r>
        <w:r w:rsidR="00E63AAF">
          <w:rPr>
            <w:webHidden/>
          </w:rPr>
          <w:instrText xml:space="preserve"> PAGEREF _Toc365988693 \h </w:instrText>
        </w:r>
        <w:r w:rsidR="00E63AAF">
          <w:rPr>
            <w:webHidden/>
          </w:rPr>
        </w:r>
        <w:r w:rsidR="00E63AAF">
          <w:rPr>
            <w:webHidden/>
          </w:rPr>
          <w:fldChar w:fldCharType="separate"/>
        </w:r>
        <w:r w:rsidR="00E63AAF">
          <w:rPr>
            <w:webHidden/>
          </w:rPr>
          <w:t>10</w:t>
        </w:r>
        <w:r w:rsidR="00E63AAF">
          <w:rPr>
            <w:webHidden/>
          </w:rPr>
          <w:fldChar w:fldCharType="end"/>
        </w:r>
      </w:hyperlink>
    </w:p>
    <w:p w:rsidR="00E63AAF" w:rsidRPr="0001573E" w:rsidRDefault="00E741D5">
      <w:pPr>
        <w:pStyle w:val="TOC2"/>
        <w:rPr>
          <w:rFonts w:ascii="Calibri" w:hAnsi="Calibri" w:cs="Times New Roman"/>
          <w:iCs/>
        </w:rPr>
      </w:pPr>
      <w:hyperlink w:anchor="_Toc365988694" w:history="1">
        <w:r w:rsidR="00E63AAF" w:rsidRPr="00AB3996">
          <w:rPr>
            <w:rStyle w:val="Hyperlink"/>
          </w:rPr>
          <w:t>IV.  CONCLUDING REMARKS</w:t>
        </w:r>
        <w:r w:rsidR="00E63AAF">
          <w:rPr>
            <w:webHidden/>
          </w:rPr>
          <w:tab/>
        </w:r>
        <w:r w:rsidR="00E63AAF">
          <w:rPr>
            <w:webHidden/>
          </w:rPr>
          <w:fldChar w:fldCharType="begin"/>
        </w:r>
        <w:r w:rsidR="00E63AAF">
          <w:rPr>
            <w:webHidden/>
          </w:rPr>
          <w:instrText xml:space="preserve"> PAGEREF _Toc365988694 \h </w:instrText>
        </w:r>
        <w:r w:rsidR="00E63AAF">
          <w:rPr>
            <w:webHidden/>
          </w:rPr>
        </w:r>
        <w:r w:rsidR="00E63AAF">
          <w:rPr>
            <w:webHidden/>
          </w:rPr>
          <w:fldChar w:fldCharType="separate"/>
        </w:r>
        <w:r w:rsidR="00E63AAF">
          <w:rPr>
            <w:webHidden/>
          </w:rPr>
          <w:t>10</w:t>
        </w:r>
        <w:r w:rsidR="00E63AAF">
          <w:rPr>
            <w:webHidden/>
          </w:rPr>
          <w:fldChar w:fldCharType="end"/>
        </w:r>
      </w:hyperlink>
    </w:p>
    <w:p w:rsidR="00E63AAF" w:rsidRPr="00714400" w:rsidRDefault="00E63AAF">
      <w:r w:rsidRPr="00714400">
        <w:rPr>
          <w:b/>
          <w:bCs/>
          <w:noProof/>
          <w:sz w:val="20"/>
        </w:rPr>
        <w:fldChar w:fldCharType="end"/>
      </w:r>
    </w:p>
    <w:p w:rsidR="00E63AAF" w:rsidRPr="00714400" w:rsidRDefault="00E63AAF"/>
    <w:p w:rsidR="00E63AAF" w:rsidRPr="00714400" w:rsidRDefault="00E63AAF" w:rsidP="00DC7AC8">
      <w:pPr>
        <w:jc w:val="center"/>
      </w:pPr>
    </w:p>
    <w:p w:rsidR="00E63AAF" w:rsidRPr="00714400" w:rsidRDefault="00E63AAF" w:rsidP="00DC7AC8">
      <w:pPr>
        <w:jc w:val="center"/>
      </w:pPr>
    </w:p>
    <w:p w:rsidR="00E63AAF" w:rsidRPr="00714400" w:rsidRDefault="00E63AAF" w:rsidP="00DC7AC8">
      <w:pPr>
        <w:jc w:val="center"/>
      </w:pPr>
    </w:p>
    <w:p w:rsidR="00E63AAF" w:rsidRPr="00714400" w:rsidRDefault="00E63AAF" w:rsidP="004E2513"/>
    <w:p w:rsidR="00E63AAF" w:rsidRPr="00714400" w:rsidRDefault="00E63AAF" w:rsidP="004E2513"/>
    <w:p w:rsidR="00E63AAF" w:rsidRPr="00714400" w:rsidRDefault="00E63AAF" w:rsidP="00385B08">
      <w:r w:rsidRPr="00714400">
        <w:t>ACRONYMS</w:t>
      </w:r>
    </w:p>
    <w:p w:rsidR="00E63AAF" w:rsidRPr="00714400" w:rsidRDefault="00E63AAF" w:rsidP="004E2513"/>
    <w:p w:rsidR="00E63AAF" w:rsidRPr="00714400" w:rsidRDefault="00E63AAF" w:rsidP="001F62E1">
      <w:pPr>
        <w:ind w:firstLine="567"/>
      </w:pPr>
      <w:r w:rsidRPr="00714400">
        <w:t>CFO</w:t>
      </w:r>
      <w:r w:rsidRPr="00714400">
        <w:tab/>
      </w:r>
      <w:r w:rsidRPr="00714400">
        <w:tab/>
        <w:t>Chief Financial Officer (Controller)</w:t>
      </w:r>
    </w:p>
    <w:p w:rsidR="00E63AAF" w:rsidRPr="00714400" w:rsidRDefault="00E63AAF" w:rsidP="001F62E1">
      <w:pPr>
        <w:ind w:firstLine="567"/>
      </w:pPr>
      <w:r w:rsidRPr="00714400">
        <w:t>EA</w:t>
      </w:r>
      <w:r w:rsidRPr="00714400">
        <w:tab/>
      </w:r>
      <w:r w:rsidRPr="00714400">
        <w:tab/>
        <w:t>External Auditor</w:t>
      </w:r>
    </w:p>
    <w:p w:rsidR="00E63AAF" w:rsidRPr="00714400" w:rsidRDefault="00E63AAF" w:rsidP="001F62E1">
      <w:pPr>
        <w:ind w:firstLine="567"/>
      </w:pPr>
      <w:r w:rsidRPr="00714400">
        <w:t>ERM</w:t>
      </w:r>
      <w:r w:rsidRPr="00714400">
        <w:tab/>
      </w:r>
      <w:r w:rsidRPr="00714400">
        <w:tab/>
        <w:t>Enterprise Risk Management</w:t>
      </w:r>
    </w:p>
    <w:p w:rsidR="00E63AAF" w:rsidRPr="00714400" w:rsidRDefault="00E63AAF" w:rsidP="001F62E1">
      <w:pPr>
        <w:ind w:firstLine="567"/>
      </w:pPr>
      <w:r w:rsidRPr="00714400">
        <w:t>ERP</w:t>
      </w:r>
      <w:r w:rsidRPr="00714400">
        <w:tab/>
      </w:r>
      <w:r w:rsidRPr="00714400">
        <w:tab/>
        <w:t>Enterprise Resource Planning</w:t>
      </w:r>
    </w:p>
    <w:p w:rsidR="00E63AAF" w:rsidRPr="00714400" w:rsidRDefault="00E63AAF" w:rsidP="001F62E1">
      <w:pPr>
        <w:ind w:firstLine="567"/>
      </w:pPr>
      <w:r w:rsidRPr="00714400">
        <w:t>GA</w:t>
      </w:r>
      <w:r w:rsidRPr="00714400">
        <w:tab/>
      </w:r>
      <w:r w:rsidRPr="00714400">
        <w:tab/>
        <w:t>WIPO General Assembly</w:t>
      </w:r>
    </w:p>
    <w:p w:rsidR="00E63AAF" w:rsidRPr="00714400" w:rsidRDefault="00E63AAF" w:rsidP="001F62E1">
      <w:pPr>
        <w:ind w:firstLine="567"/>
      </w:pPr>
      <w:r w:rsidRPr="00714400">
        <w:t>HRMD</w:t>
      </w:r>
      <w:r w:rsidRPr="00714400">
        <w:tab/>
        <w:t>Human Resources Management Department</w:t>
      </w:r>
    </w:p>
    <w:p w:rsidR="00E63AAF" w:rsidRPr="00714400" w:rsidRDefault="00E63AAF" w:rsidP="001F62E1">
      <w:pPr>
        <w:ind w:firstLine="567"/>
      </w:pPr>
      <w:r w:rsidRPr="00714400">
        <w:t>IAOC</w:t>
      </w:r>
      <w:r w:rsidRPr="00714400">
        <w:tab/>
      </w:r>
      <w:r w:rsidRPr="00714400">
        <w:tab/>
        <w:t>Independent Advisory Oversight Committee</w:t>
      </w:r>
    </w:p>
    <w:p w:rsidR="00E63AAF" w:rsidRPr="00714400" w:rsidRDefault="00E63AAF" w:rsidP="001F62E1">
      <w:pPr>
        <w:ind w:firstLine="567"/>
      </w:pPr>
      <w:r w:rsidRPr="00714400">
        <w:t>IAOD</w:t>
      </w:r>
      <w:r w:rsidRPr="00714400">
        <w:tab/>
      </w:r>
      <w:r w:rsidRPr="00714400">
        <w:tab/>
        <w:t>Internal Audit and Oversight Division</w:t>
      </w:r>
    </w:p>
    <w:p w:rsidR="00E63AAF" w:rsidRPr="00714400" w:rsidRDefault="00E63AAF" w:rsidP="001F62E1">
      <w:pPr>
        <w:ind w:firstLine="567"/>
      </w:pPr>
      <w:r w:rsidRPr="00714400">
        <w:t>IOC</w:t>
      </w:r>
      <w:r w:rsidRPr="00714400">
        <w:tab/>
      </w:r>
      <w:r w:rsidRPr="00714400">
        <w:tab/>
        <w:t>Internal Oversight Charter</w:t>
      </w:r>
    </w:p>
    <w:p w:rsidR="00E63AAF" w:rsidRPr="00714400" w:rsidRDefault="00E63AAF" w:rsidP="001F62E1">
      <w:pPr>
        <w:ind w:firstLine="567"/>
      </w:pPr>
      <w:r w:rsidRPr="00714400">
        <w:t>IPSAS</w:t>
      </w:r>
      <w:r w:rsidRPr="00714400">
        <w:tab/>
        <w:t>International Public Sector Accounting Standards</w:t>
      </w:r>
    </w:p>
    <w:p w:rsidR="00E63AAF" w:rsidRPr="00714400" w:rsidRDefault="00E63AAF" w:rsidP="001F62E1">
      <w:pPr>
        <w:ind w:firstLine="567"/>
      </w:pPr>
      <w:r w:rsidRPr="00714400">
        <w:t>NCHP</w:t>
      </w:r>
      <w:r w:rsidRPr="00714400">
        <w:tab/>
        <w:t>New Conference Hall Project</w:t>
      </w:r>
    </w:p>
    <w:p w:rsidR="00E63AAF" w:rsidRPr="00714400" w:rsidRDefault="00E63AAF" w:rsidP="001F62E1">
      <w:pPr>
        <w:ind w:firstLine="567"/>
      </w:pPr>
      <w:r w:rsidRPr="00714400">
        <w:t>NCPs</w:t>
      </w:r>
      <w:r w:rsidRPr="00714400">
        <w:tab/>
        <w:t>New Construction Projects</w:t>
      </w:r>
    </w:p>
    <w:p w:rsidR="00E63AAF" w:rsidRPr="00714400" w:rsidRDefault="00E63AAF" w:rsidP="001F62E1">
      <w:pPr>
        <w:ind w:firstLine="567"/>
      </w:pPr>
      <w:r w:rsidRPr="00714400">
        <w:t>PBC</w:t>
      </w:r>
      <w:r w:rsidRPr="00714400">
        <w:tab/>
      </w:r>
      <w:r w:rsidRPr="00714400">
        <w:tab/>
        <w:t>Program and Budget Committee</w:t>
      </w:r>
    </w:p>
    <w:p w:rsidR="00E63AAF" w:rsidRPr="00714400" w:rsidRDefault="00E63AAF" w:rsidP="001F62E1">
      <w:pPr>
        <w:ind w:firstLine="567"/>
      </w:pPr>
      <w:r w:rsidRPr="00714400">
        <w:t>PCT</w:t>
      </w:r>
      <w:r w:rsidRPr="00714400">
        <w:tab/>
      </w:r>
      <w:r w:rsidRPr="00714400">
        <w:tab/>
        <w:t>Patent Cooperation Treaty</w:t>
      </w:r>
    </w:p>
    <w:p w:rsidR="00E63AAF" w:rsidRPr="00714400" w:rsidRDefault="00E63AAF" w:rsidP="001F62E1">
      <w:pPr>
        <w:ind w:firstLine="567"/>
      </w:pPr>
      <w:r w:rsidRPr="00714400">
        <w:t>SRP</w:t>
      </w:r>
      <w:r w:rsidRPr="00714400">
        <w:tab/>
      </w:r>
      <w:r w:rsidRPr="00714400">
        <w:tab/>
        <w:t>Strategic Realignment Program</w:t>
      </w:r>
    </w:p>
    <w:p w:rsidR="00E63AAF" w:rsidRPr="00714400" w:rsidRDefault="00E63AAF" w:rsidP="004E2513"/>
    <w:p w:rsidR="00E63AAF" w:rsidRPr="00714400" w:rsidRDefault="00E63AAF" w:rsidP="004E2513">
      <w:pPr>
        <w:jc w:val="center"/>
      </w:pPr>
      <w:r w:rsidRPr="00714400">
        <w:br w:type="page"/>
      </w:r>
    </w:p>
    <w:p w:rsidR="00E63AAF" w:rsidRPr="00714400" w:rsidRDefault="00E63AAF" w:rsidP="004E2513">
      <w:pPr>
        <w:jc w:val="center"/>
      </w:pPr>
      <w:r w:rsidRPr="00714400">
        <w:lastRenderedPageBreak/>
        <w:t>ANNUAL REPORT OF THE</w:t>
      </w:r>
      <w:r w:rsidRPr="00714400">
        <w:br/>
        <w:t>WIPO INDEPENDENT ADVISORY OVERSIGHT COMMITTEE</w:t>
      </w:r>
      <w:r w:rsidRPr="00714400">
        <w:br/>
        <w:t>FOR THE PERIOD SEPTEMBER 1, 2012 to AUGUST 31, 2013</w:t>
      </w:r>
    </w:p>
    <w:p w:rsidR="00E63AAF" w:rsidRPr="00714400" w:rsidRDefault="00E63AAF" w:rsidP="00634C23">
      <w:pPr>
        <w:rPr>
          <w:rStyle w:val="Endofdocument-AnnexChar"/>
          <w:sz w:val="18"/>
          <w:szCs w:val="18"/>
        </w:rPr>
      </w:pPr>
    </w:p>
    <w:p w:rsidR="00E63AAF" w:rsidRPr="00714400" w:rsidRDefault="00E63AAF" w:rsidP="00853D6E">
      <w:pPr>
        <w:jc w:val="center"/>
        <w:rPr>
          <w:rStyle w:val="Endofdocument-AnnexChar"/>
        </w:rPr>
      </w:pPr>
      <w:r w:rsidRPr="00714400">
        <w:rPr>
          <w:rStyle w:val="Endofdocument-AnnexChar"/>
        </w:rPr>
        <w:t>September 3, 2013</w:t>
      </w:r>
    </w:p>
    <w:p w:rsidR="00E63AAF" w:rsidRPr="00714400" w:rsidRDefault="00E63AAF" w:rsidP="00853D6E">
      <w:pPr>
        <w:jc w:val="center"/>
        <w:rPr>
          <w:rStyle w:val="Endofdocument-AnnexChar"/>
        </w:rPr>
      </w:pPr>
    </w:p>
    <w:p w:rsidR="00E63AAF" w:rsidRPr="00714400" w:rsidRDefault="00E63AAF" w:rsidP="00634C23">
      <w:pPr>
        <w:rPr>
          <w:rStyle w:val="Endofdocument-AnnexChar"/>
          <w:sz w:val="16"/>
          <w:szCs w:val="16"/>
        </w:rPr>
      </w:pPr>
    </w:p>
    <w:p w:rsidR="00E63AAF" w:rsidRPr="00714400" w:rsidRDefault="00E63AAF" w:rsidP="00634C23">
      <w:pPr>
        <w:rPr>
          <w:rStyle w:val="Endofdocument-AnnexChar"/>
          <w:sz w:val="16"/>
          <w:szCs w:val="16"/>
        </w:rPr>
      </w:pPr>
    </w:p>
    <w:p w:rsidR="00E63AAF" w:rsidRPr="00714400" w:rsidRDefault="00E63AAF" w:rsidP="00C83E04">
      <w:pPr>
        <w:pStyle w:val="Heading2"/>
        <w:rPr>
          <w:rStyle w:val="Endofdocument-AnnexChar"/>
        </w:rPr>
      </w:pPr>
      <w:bookmarkStart w:id="5" w:name="_Toc362531614"/>
      <w:bookmarkStart w:id="6" w:name="_Toc362531637"/>
      <w:bookmarkStart w:id="7" w:name="_Toc362540294"/>
      <w:bookmarkStart w:id="8" w:name="_Toc362542834"/>
      <w:bookmarkStart w:id="9" w:name="_Toc362542947"/>
      <w:bookmarkStart w:id="10" w:name="_Toc362593340"/>
      <w:bookmarkStart w:id="11" w:name="_Toc365988685"/>
      <w:r w:rsidRPr="00714400">
        <w:rPr>
          <w:rStyle w:val="Endofdocument-AnnexChar"/>
        </w:rPr>
        <w:t xml:space="preserve">I.  </w:t>
      </w:r>
      <w:bookmarkEnd w:id="5"/>
      <w:bookmarkEnd w:id="6"/>
      <w:bookmarkEnd w:id="7"/>
      <w:bookmarkEnd w:id="8"/>
      <w:bookmarkEnd w:id="9"/>
      <w:bookmarkEnd w:id="10"/>
      <w:r w:rsidRPr="00714400">
        <w:rPr>
          <w:rStyle w:val="Endofdocument-AnnexChar"/>
        </w:rPr>
        <w:t>INTRODUCTION</w:t>
      </w:r>
      <w:bookmarkEnd w:id="11"/>
    </w:p>
    <w:p w:rsidR="00E63AAF" w:rsidRPr="00714400" w:rsidRDefault="00E63AAF" w:rsidP="00C83E04">
      <w:pPr>
        <w:tabs>
          <w:tab w:val="left" w:pos="567"/>
        </w:tabs>
      </w:pPr>
    </w:p>
    <w:p w:rsidR="00E63AAF" w:rsidRPr="00714400" w:rsidRDefault="00E63AAF" w:rsidP="00714400">
      <w:pPr>
        <w:pStyle w:val="ONUME"/>
        <w:tabs>
          <w:tab w:val="clear" w:pos="360"/>
        </w:tabs>
        <w:spacing w:after="0"/>
        <w:ind w:left="0" w:firstLine="0"/>
        <w:rPr>
          <w:szCs w:val="22"/>
        </w:rPr>
      </w:pPr>
      <w:r w:rsidRPr="00714400">
        <w:rPr>
          <w:rStyle w:val="Endofdocument-AnnexChar"/>
        </w:rPr>
        <w:fldChar w:fldCharType="begin"/>
      </w:r>
      <w:r w:rsidRPr="00714400">
        <w:rPr>
          <w:rStyle w:val="Endofdocument-AnnexChar"/>
        </w:rPr>
        <w:instrText xml:space="preserve"> AUTONUM  </w:instrText>
      </w:r>
      <w:r w:rsidRPr="00714400">
        <w:rPr>
          <w:rStyle w:val="Endofdocument-AnnexChar"/>
        </w:rPr>
        <w:fldChar w:fldCharType="end"/>
      </w:r>
      <w:r w:rsidRPr="00714400">
        <w:rPr>
          <w:rStyle w:val="Endofdocument-AnnexChar"/>
        </w:rPr>
        <w:tab/>
        <w:t xml:space="preserve">This Annual Report has been prepared by the WIPO Independent Advisory Oversight Committee (IAOC) in line with paragraph E13 of its Terms of Reference, covering </w:t>
      </w:r>
      <w:r w:rsidRPr="00714400">
        <w:t xml:space="preserve">the </w:t>
      </w:r>
      <w:r w:rsidRPr="00714400">
        <w:rPr>
          <w:rStyle w:val="Endofdocument-AnnexChar"/>
        </w:rPr>
        <w:t xml:space="preserve">period from September 1, 2012 to August 31, 2013, which includes the </w:t>
      </w:r>
      <w:r w:rsidRPr="00714400">
        <w:t>27</w:t>
      </w:r>
      <w:r w:rsidRPr="00714400">
        <w:rPr>
          <w:vertAlign w:val="superscript"/>
        </w:rPr>
        <w:t>th</w:t>
      </w:r>
      <w:r w:rsidRPr="00714400">
        <w:t>, 28</w:t>
      </w:r>
      <w:r w:rsidRPr="00714400">
        <w:rPr>
          <w:vertAlign w:val="superscript"/>
        </w:rPr>
        <w:t>th</w:t>
      </w:r>
      <w:r w:rsidRPr="00714400">
        <w:t>, 29</w:t>
      </w:r>
      <w:r w:rsidRPr="00714400">
        <w:rPr>
          <w:vertAlign w:val="superscript"/>
        </w:rPr>
        <w:t>th</w:t>
      </w:r>
      <w:r w:rsidRPr="00714400">
        <w:t xml:space="preserve"> and 30</w:t>
      </w:r>
      <w:r w:rsidRPr="00714400">
        <w:rPr>
          <w:vertAlign w:val="superscript"/>
        </w:rPr>
        <w:t>th</w:t>
      </w:r>
      <w:r w:rsidRPr="00714400">
        <w:t xml:space="preserve"> sessions in December 2012, March, May and August 2013, with the four respective reports issued to keep Member States informed of  its work on a regular basis,</w:t>
      </w:r>
      <w:r w:rsidRPr="00714400">
        <w:rPr>
          <w:rStyle w:val="FootnoteReference"/>
        </w:rPr>
        <w:footnoteReference w:id="1"/>
      </w:r>
      <w:r w:rsidRPr="00714400">
        <w:t xml:space="preserve"> and paragraph E14 which requires the IAOC to provide comments on the reports of the External Auditor (EA) to the</w:t>
      </w:r>
      <w:r>
        <w:t> </w:t>
      </w:r>
      <w:r w:rsidRPr="00714400">
        <w:t>PBC.</w:t>
      </w:r>
      <w:r w:rsidRPr="00714400">
        <w:br/>
      </w:r>
    </w:p>
    <w:p w:rsidR="00E63AAF" w:rsidRPr="00714400" w:rsidRDefault="00E63AAF" w:rsidP="00714400">
      <w:pPr>
        <w:pStyle w:val="BodyText"/>
        <w:tabs>
          <w:tab w:val="left" w:pos="567"/>
        </w:tabs>
      </w:pPr>
      <w:r w:rsidRPr="00714400">
        <w:fldChar w:fldCharType="begin"/>
      </w:r>
      <w:r w:rsidRPr="00714400">
        <w:instrText xml:space="preserve"> AUTONUM  </w:instrText>
      </w:r>
      <w:r w:rsidRPr="00714400">
        <w:fldChar w:fldCharType="end"/>
      </w:r>
      <w:r w:rsidRPr="00714400">
        <w:tab/>
        <w:t>This document is structured in line with</w:t>
      </w:r>
      <w:r>
        <w:t xml:space="preserve"> the Agenda of the PBC’s twenty-</w:t>
      </w:r>
      <w:r w:rsidRPr="00714400">
        <w:t xml:space="preserve">first session. </w:t>
      </w:r>
      <w:r>
        <w:t xml:space="preserve"> </w:t>
      </w:r>
      <w:r w:rsidRPr="00714400">
        <w:t xml:space="preserve">As such, matters directly related to the PBC discussions </w:t>
      </w:r>
      <w:r>
        <w:t>are set out under Section III A</w:t>
      </w:r>
      <w:r w:rsidRPr="00714400">
        <w:t xml:space="preserve"> and other matters dealt with by the</w:t>
      </w:r>
      <w:r>
        <w:t xml:space="preserve"> IAOC are set out in Section III </w:t>
      </w:r>
      <w:r w:rsidRPr="00714400">
        <w:t xml:space="preserve">B of this document.  </w:t>
      </w:r>
    </w:p>
    <w:p w:rsidR="00E63AAF" w:rsidRPr="00714400" w:rsidRDefault="00E63AAF" w:rsidP="008F2275">
      <w:pPr>
        <w:pStyle w:val="BodyText"/>
        <w:tabs>
          <w:tab w:val="left" w:pos="567"/>
        </w:tabs>
        <w:spacing w:after="0"/>
      </w:pPr>
    </w:p>
    <w:p w:rsidR="00E63AAF" w:rsidRPr="00714400" w:rsidRDefault="00E63AAF" w:rsidP="00AC04CF">
      <w:pPr>
        <w:pStyle w:val="Heading2"/>
      </w:pPr>
      <w:bookmarkStart w:id="12" w:name="_Toc365988686"/>
      <w:r w:rsidRPr="00714400">
        <w:t>II</w:t>
      </w:r>
      <w:proofErr w:type="gramStart"/>
      <w:r w:rsidRPr="00714400">
        <w:t>.  MANDATE</w:t>
      </w:r>
      <w:proofErr w:type="gramEnd"/>
      <w:r w:rsidRPr="00714400">
        <w:t>, WORKING METHODS AND MEMBERSHIP</w:t>
      </w:r>
      <w:bookmarkEnd w:id="12"/>
    </w:p>
    <w:p w:rsidR="00E63AAF" w:rsidRPr="00714400" w:rsidRDefault="00E63AAF" w:rsidP="00C37259">
      <w:pPr>
        <w:pStyle w:val="ONUME"/>
        <w:tabs>
          <w:tab w:val="clear" w:pos="360"/>
        </w:tabs>
        <w:spacing w:after="0"/>
        <w:ind w:left="0" w:firstLine="0"/>
      </w:pPr>
    </w:p>
    <w:p w:rsidR="00E63AAF" w:rsidRPr="00714400" w:rsidRDefault="00E63AAF" w:rsidP="0037665C">
      <w:pPr>
        <w:pStyle w:val="ONUME"/>
        <w:tabs>
          <w:tab w:val="clear" w:pos="360"/>
        </w:tabs>
        <w:spacing w:after="0"/>
        <w:ind w:left="0" w:firstLine="0"/>
      </w:pPr>
      <w:r w:rsidRPr="00714400">
        <w:fldChar w:fldCharType="begin"/>
      </w:r>
      <w:r w:rsidRPr="00714400">
        <w:instrText xml:space="preserve"> AUTONUM  </w:instrText>
      </w:r>
      <w:r w:rsidRPr="00714400">
        <w:fldChar w:fldCharType="end"/>
      </w:r>
      <w:r w:rsidRPr="00714400">
        <w:tab/>
        <w:t>As per its mandate, the IAOC “is an independent, expert advisory and external oversight body established to provide assurance to Member States on the appropriateness and effectiveness of internal controls at WIPO.  It aims to assist Member States in their role of oversight and for better exercise of their governance responsibilities with respect to the various operations of WIPO.”</w:t>
      </w:r>
      <w:r w:rsidRPr="00714400">
        <w:rPr>
          <w:vertAlign w:val="superscript"/>
        </w:rPr>
        <w:footnoteReference w:id="2"/>
      </w:r>
      <w:r w:rsidRPr="00714400">
        <w:t xml:space="preserve"> </w:t>
      </w:r>
    </w:p>
    <w:p w:rsidR="00E63AAF" w:rsidRPr="00714400" w:rsidRDefault="00E63AAF" w:rsidP="00C37259">
      <w:pPr>
        <w:pStyle w:val="ONUME"/>
        <w:tabs>
          <w:tab w:val="clear" w:pos="360"/>
        </w:tabs>
        <w:spacing w:after="0"/>
        <w:ind w:left="0" w:firstLine="0"/>
      </w:pPr>
    </w:p>
    <w:p w:rsidR="00E63AAF" w:rsidRPr="00714400" w:rsidRDefault="00E63AAF" w:rsidP="00C37259">
      <w:pPr>
        <w:pStyle w:val="ONUME"/>
        <w:tabs>
          <w:tab w:val="clear" w:pos="360"/>
        </w:tabs>
        <w:spacing w:after="0"/>
        <w:ind w:left="0" w:firstLine="0"/>
      </w:pPr>
      <w:r w:rsidRPr="00714400">
        <w:fldChar w:fldCharType="begin"/>
      </w:r>
      <w:r w:rsidRPr="00714400">
        <w:instrText xml:space="preserve"> AUTONUM  </w:instrText>
      </w:r>
      <w:r w:rsidRPr="00714400">
        <w:fldChar w:fldCharType="end"/>
      </w:r>
      <w:r w:rsidRPr="00714400">
        <w:tab/>
        <w:t xml:space="preserve">The Committee is a non-operational body, exercising its oversight function on the basis of information received from the Secretariat and/or reports of the internal and external auditors.  Its working methods comprise documentation review, discussions with Secretariat officials and with the EA, and internal deliberations to reach consensus.  The IAOC also provides an Information Session and subsequent Report of each quarterly session to keep Member States informed of its work, as it is established in its Term of References paragraph </w:t>
      </w:r>
      <w:r w:rsidRPr="00B05090">
        <w:t>E12</w:t>
      </w:r>
      <w:r w:rsidRPr="00714400">
        <w:t xml:space="preserve">. </w:t>
      </w:r>
    </w:p>
    <w:p w:rsidR="00E63AAF" w:rsidRPr="00714400" w:rsidRDefault="00E63AAF" w:rsidP="00C37259">
      <w:pPr>
        <w:pStyle w:val="ONUME"/>
        <w:tabs>
          <w:tab w:val="clear" w:pos="360"/>
        </w:tabs>
        <w:spacing w:after="0"/>
        <w:ind w:left="0" w:firstLine="0"/>
      </w:pPr>
    </w:p>
    <w:p w:rsidR="00E63AAF" w:rsidRPr="00714400" w:rsidRDefault="00E63AAF" w:rsidP="00C37259">
      <w:pPr>
        <w:tabs>
          <w:tab w:val="num" w:pos="567"/>
          <w:tab w:val="num" w:pos="709"/>
        </w:tabs>
        <w:spacing w:after="220"/>
      </w:pPr>
      <w:r w:rsidRPr="00714400">
        <w:fldChar w:fldCharType="begin"/>
      </w:r>
      <w:r w:rsidRPr="00714400">
        <w:instrText xml:space="preserve"> AUTONUM  </w:instrText>
      </w:r>
      <w:r w:rsidRPr="00714400">
        <w:fldChar w:fldCharType="end"/>
      </w:r>
      <w:r w:rsidRPr="00714400">
        <w:tab/>
        <w:t>In operationalizing activities to fulfill its mandate, the IAOC continues to foll</w:t>
      </w:r>
      <w:r>
        <w:t xml:space="preserve">ow the mission, vision and four-year </w:t>
      </w:r>
      <w:r w:rsidRPr="00714400">
        <w:t>roadmap established in 2011</w:t>
      </w:r>
      <w:r>
        <w:t>,</w:t>
      </w:r>
      <w:r w:rsidRPr="00714400">
        <w:t xml:space="preserve"> prepared by the IAOC in its 21</w:t>
      </w:r>
      <w:r w:rsidRPr="00B24BA1">
        <w:rPr>
          <w:vertAlign w:val="superscript"/>
        </w:rPr>
        <w:t>s</w:t>
      </w:r>
      <w:r w:rsidRPr="00714400">
        <w:t xml:space="preserve">t session.  (See Annex II of document WO/IAOC/21/2). </w:t>
      </w:r>
    </w:p>
    <w:p w:rsidR="00E63AAF" w:rsidRPr="00E63AAF" w:rsidRDefault="00E63AAF" w:rsidP="00E63AAF">
      <w:pPr>
        <w:tabs>
          <w:tab w:val="num" w:pos="567"/>
          <w:tab w:val="num" w:pos="709"/>
        </w:tabs>
        <w:spacing w:after="220"/>
      </w:pPr>
      <w:r w:rsidRPr="00714400">
        <w:fldChar w:fldCharType="begin"/>
      </w:r>
      <w:r w:rsidRPr="00714400">
        <w:instrText xml:space="preserve"> AUTONUM  </w:instrText>
      </w:r>
      <w:r w:rsidRPr="00714400">
        <w:fldChar w:fldCharType="end"/>
      </w:r>
      <w:r w:rsidRPr="00714400">
        <w:tab/>
        <w:t>During this period, the IAOC exercised the annual election of the offices of Chair and Vice</w:t>
      </w:r>
      <w:r>
        <w:t> </w:t>
      </w:r>
      <w:r w:rsidRPr="00714400">
        <w:t xml:space="preserve">Chair as it is established in its Terms of Reference and Rules of Procedure, resulting in the election of Mr. Fernando </w:t>
      </w:r>
      <w:proofErr w:type="spellStart"/>
      <w:r w:rsidRPr="00714400">
        <w:t>Nikitin</w:t>
      </w:r>
      <w:proofErr w:type="spellEnd"/>
      <w:r w:rsidRPr="00714400">
        <w:t xml:space="preserve"> (Uruguay) and </w:t>
      </w:r>
      <w:r>
        <w:t>Ms.</w:t>
      </w:r>
      <w:r w:rsidRPr="00714400">
        <w:t xml:space="preserve"> Mary Ncube (Zambia) respectively. </w:t>
      </w:r>
      <w:r>
        <w:t xml:space="preserve"> </w:t>
      </w:r>
      <w:r>
        <w:br/>
      </w:r>
      <w:r w:rsidRPr="001D4872">
        <w:rPr>
          <w:szCs w:val="22"/>
        </w:rPr>
        <w:t>Mr. </w:t>
      </w:r>
      <w:proofErr w:type="spellStart"/>
      <w:r w:rsidRPr="001D4872">
        <w:rPr>
          <w:szCs w:val="22"/>
        </w:rPr>
        <w:t>Anol</w:t>
      </w:r>
      <w:proofErr w:type="spellEnd"/>
      <w:r w:rsidRPr="001D4872">
        <w:rPr>
          <w:szCs w:val="22"/>
        </w:rPr>
        <w:t xml:space="preserve"> </w:t>
      </w:r>
      <w:proofErr w:type="spellStart"/>
      <w:r w:rsidRPr="001D4872">
        <w:rPr>
          <w:szCs w:val="22"/>
        </w:rPr>
        <w:t>Chatterji</w:t>
      </w:r>
      <w:proofErr w:type="spellEnd"/>
      <w:r w:rsidRPr="001D4872">
        <w:rPr>
          <w:szCs w:val="22"/>
        </w:rPr>
        <w:t xml:space="preserve"> (India), </w:t>
      </w:r>
      <w:proofErr w:type="spellStart"/>
      <w:r w:rsidRPr="001D4872">
        <w:rPr>
          <w:szCs w:val="22"/>
        </w:rPr>
        <w:t>Mr.Nikolay</w:t>
      </w:r>
      <w:proofErr w:type="spellEnd"/>
      <w:r w:rsidRPr="001D4872">
        <w:rPr>
          <w:szCs w:val="22"/>
        </w:rPr>
        <w:t xml:space="preserve"> </w:t>
      </w:r>
      <w:proofErr w:type="spellStart"/>
      <w:r w:rsidRPr="001D4872">
        <w:rPr>
          <w:szCs w:val="22"/>
        </w:rPr>
        <w:t>Lozinskiy</w:t>
      </w:r>
      <w:proofErr w:type="spellEnd"/>
      <w:r w:rsidRPr="001D4872">
        <w:rPr>
          <w:szCs w:val="22"/>
        </w:rPr>
        <w:t xml:space="preserve"> (Russian Federation), Mrs. </w:t>
      </w:r>
      <w:r w:rsidRPr="001D4872">
        <w:t xml:space="preserve">Ms. Mary Ncube (Zambia) and Mr. Fernando </w:t>
      </w:r>
      <w:proofErr w:type="spellStart"/>
      <w:r w:rsidRPr="001D4872">
        <w:t>Nikitin</w:t>
      </w:r>
      <w:proofErr w:type="spellEnd"/>
      <w:r w:rsidRPr="001D4872">
        <w:t xml:space="preserve"> (Uruguay), </w:t>
      </w:r>
      <w:r w:rsidRPr="001D4872">
        <w:rPr>
          <w:szCs w:val="22"/>
        </w:rPr>
        <w:t>will continue to serve the Committee until 2016</w:t>
      </w:r>
      <w:r w:rsidRPr="001D4872">
        <w:t xml:space="preserve">, and Mr. </w:t>
      </w:r>
      <w:proofErr w:type="spellStart"/>
      <w:r w:rsidRPr="001D4872">
        <w:rPr>
          <w:szCs w:val="22"/>
        </w:rPr>
        <w:t>Kjell</w:t>
      </w:r>
      <w:proofErr w:type="spellEnd"/>
      <w:r w:rsidRPr="001D4872">
        <w:rPr>
          <w:szCs w:val="22"/>
        </w:rPr>
        <w:t xml:space="preserve"> Larsson (Sweden), Mr. Ma Fang (China) and </w:t>
      </w:r>
      <w:r w:rsidRPr="001D4872">
        <w:t>Mrs. </w:t>
      </w:r>
      <w:r w:rsidRPr="001D4872">
        <w:rPr>
          <w:szCs w:val="22"/>
        </w:rPr>
        <w:t xml:space="preserve">Maria Beatriz </w:t>
      </w:r>
      <w:r w:rsidRPr="001D4872">
        <w:t>Sanz</w:t>
      </w:r>
      <w:r w:rsidRPr="001D4872">
        <w:noBreakHyphen/>
        <w:t xml:space="preserve">Redrado (Spain) </w:t>
      </w:r>
      <w:r w:rsidRPr="001D4872">
        <w:rPr>
          <w:szCs w:val="22"/>
        </w:rPr>
        <w:t xml:space="preserve">will </w:t>
      </w:r>
      <w:r w:rsidRPr="001D4872">
        <w:t xml:space="preserve">continue to serve until </w:t>
      </w:r>
      <w:r w:rsidRPr="001D4872">
        <w:rPr>
          <w:szCs w:val="22"/>
        </w:rPr>
        <w:t>January 31, 2014</w:t>
      </w:r>
      <w:r w:rsidRPr="001D4872">
        <w:t>.</w:t>
      </w:r>
    </w:p>
    <w:p w:rsidR="00E63AAF" w:rsidRPr="00714400" w:rsidRDefault="00E63AAF" w:rsidP="00AC04CF">
      <w:pPr>
        <w:pStyle w:val="Heading2"/>
      </w:pPr>
      <w:bookmarkStart w:id="13" w:name="_Toc362531616"/>
      <w:bookmarkStart w:id="14" w:name="_Toc362531639"/>
      <w:bookmarkStart w:id="15" w:name="_Toc362540296"/>
      <w:bookmarkStart w:id="16" w:name="_Toc362542836"/>
      <w:bookmarkStart w:id="17" w:name="_Toc362542949"/>
      <w:bookmarkStart w:id="18" w:name="_Toc362593342"/>
      <w:bookmarkStart w:id="19" w:name="_Toc365988687"/>
      <w:r w:rsidRPr="00714400">
        <w:lastRenderedPageBreak/>
        <w:t>III</w:t>
      </w:r>
      <w:proofErr w:type="gramStart"/>
      <w:r w:rsidRPr="00714400">
        <w:t xml:space="preserve">.  </w:t>
      </w:r>
      <w:bookmarkEnd w:id="13"/>
      <w:bookmarkEnd w:id="14"/>
      <w:bookmarkEnd w:id="15"/>
      <w:bookmarkEnd w:id="16"/>
      <w:bookmarkEnd w:id="17"/>
      <w:bookmarkEnd w:id="18"/>
      <w:r>
        <w:t>TOPIC</w:t>
      </w:r>
      <w:r w:rsidRPr="00714400">
        <w:t>S</w:t>
      </w:r>
      <w:proofErr w:type="gramEnd"/>
      <w:r w:rsidRPr="00714400">
        <w:t xml:space="preserve"> REVIEWED BY THE IAOC</w:t>
      </w:r>
      <w:bookmarkEnd w:id="19"/>
    </w:p>
    <w:p w:rsidR="00E63AAF" w:rsidRPr="00714400" w:rsidRDefault="00E63AAF" w:rsidP="008F2275"/>
    <w:p w:rsidR="00E63AAF" w:rsidRPr="00714400" w:rsidRDefault="00E63AAF" w:rsidP="00714400">
      <w:pPr>
        <w:pStyle w:val="BodyText"/>
        <w:tabs>
          <w:tab w:val="left" w:pos="567"/>
        </w:tabs>
      </w:pPr>
      <w:r>
        <w:fldChar w:fldCharType="begin"/>
      </w:r>
      <w:r>
        <w:instrText xml:space="preserve"> AUTONUM  </w:instrText>
      </w:r>
      <w:r>
        <w:fldChar w:fldCharType="end"/>
      </w:r>
      <w:r>
        <w:tab/>
      </w:r>
      <w:r w:rsidRPr="00714400">
        <w:t>The IAOC met with the Director General and with the Director of IAOD at each quarterly session covered in this report.  It also met with the EA and senio</w:t>
      </w:r>
      <w:r>
        <w:t xml:space="preserve">r officials of the Secretariat </w:t>
      </w:r>
      <w:r w:rsidRPr="00714400">
        <w:t>including</w:t>
      </w:r>
      <w:r>
        <w:t>,</w:t>
      </w:r>
      <w:r w:rsidRPr="00714400">
        <w:t xml:space="preserve"> </w:t>
      </w:r>
      <w:r w:rsidRPr="00714400">
        <w:rPr>
          <w:i/>
        </w:rPr>
        <w:t>inter alia</w:t>
      </w:r>
      <w:r w:rsidRPr="00714400">
        <w:t xml:space="preserve">, the Deputy Director General for Innovation and Technology, the Assistant Director General for Administration and Management, the Chief of Staff, the Chief Financial Officer (Controller), the Chief Information Officer, the Director of Human Resources Management, the Chief Ethics Officer and the Ombudsman.  </w:t>
      </w:r>
    </w:p>
    <w:p w:rsidR="00E63AAF" w:rsidRPr="00714400" w:rsidRDefault="00E63AAF" w:rsidP="008F2275">
      <w:r w:rsidRPr="00714400">
        <w:rPr>
          <w:rStyle w:val="BodyTextChar"/>
        </w:rPr>
        <w:fldChar w:fldCharType="begin"/>
      </w:r>
      <w:r w:rsidRPr="00714400">
        <w:rPr>
          <w:rStyle w:val="BodyTextChar"/>
        </w:rPr>
        <w:instrText xml:space="preserve"> AUTONUM  </w:instrText>
      </w:r>
      <w:r w:rsidRPr="00714400">
        <w:rPr>
          <w:rStyle w:val="BodyTextChar"/>
        </w:rPr>
        <w:fldChar w:fldCharType="end"/>
      </w:r>
      <w:r w:rsidRPr="00714400">
        <w:rPr>
          <w:rStyle w:val="BodyTextChar"/>
        </w:rPr>
        <w:tab/>
      </w:r>
      <w:r w:rsidRPr="00714400">
        <w:rPr>
          <w:rStyle w:val="Endofdocument-AnnexChar"/>
        </w:rPr>
        <w:t>While considering its roadmap,</w:t>
      </w:r>
      <w:r w:rsidRPr="00714400">
        <w:rPr>
          <w:rStyle w:val="FootnoteReference"/>
        </w:rPr>
        <w:footnoteReference w:id="3"/>
      </w:r>
      <w:r w:rsidRPr="00714400">
        <w:rPr>
          <w:rStyle w:val="Endofdocument-AnnexChar"/>
        </w:rPr>
        <w:t xml:space="preserve">  the IAOC prioritized five particular matters during the period, namely the New Construction Projects, risk management, follow</w:t>
      </w:r>
      <w:r w:rsidRPr="00714400">
        <w:rPr>
          <w:rStyle w:val="Endofdocument-AnnexChar"/>
        </w:rPr>
        <w:noBreakHyphen/>
        <w:t xml:space="preserve">up on oversight recommendations, financial reporting and Ethics.   A summary of all topics dealt with by the Committee follows. </w:t>
      </w:r>
    </w:p>
    <w:p w:rsidR="00E63AAF" w:rsidRPr="00714400" w:rsidRDefault="00E63AAF" w:rsidP="008F2275">
      <w:pPr>
        <w:rPr>
          <w:sz w:val="18"/>
          <w:szCs w:val="18"/>
        </w:rPr>
      </w:pPr>
    </w:p>
    <w:p w:rsidR="00E63AAF" w:rsidRPr="00714400" w:rsidRDefault="00E63AAF" w:rsidP="008F2275">
      <w:pPr>
        <w:rPr>
          <w:sz w:val="16"/>
          <w:szCs w:val="16"/>
        </w:rPr>
      </w:pPr>
    </w:p>
    <w:p w:rsidR="00E63AAF" w:rsidRPr="00714400" w:rsidRDefault="00E63AAF" w:rsidP="00E63AAF">
      <w:pPr>
        <w:pStyle w:val="Heading3"/>
        <w:numPr>
          <w:ilvl w:val="0"/>
          <w:numId w:val="18"/>
        </w:numPr>
        <w:spacing w:before="60" w:after="180"/>
        <w:ind w:left="0" w:firstLine="0"/>
      </w:pPr>
      <w:bookmarkStart w:id="20" w:name="_Toc365988688"/>
      <w:r w:rsidRPr="00714400">
        <w:t>PBC/21 MATTERS</w:t>
      </w:r>
      <w:bookmarkEnd w:id="20"/>
    </w:p>
    <w:p w:rsidR="00E63AAF" w:rsidRPr="00714400" w:rsidRDefault="00E63AAF" w:rsidP="00AC04CF">
      <w:pPr>
        <w:pStyle w:val="Heading4"/>
      </w:pPr>
      <w:bookmarkStart w:id="21" w:name="_Toc365988689"/>
      <w:r w:rsidRPr="00714400">
        <w:t>Audit and Oversight</w:t>
      </w:r>
      <w:bookmarkEnd w:id="21"/>
    </w:p>
    <w:p w:rsidR="00E63AAF" w:rsidRPr="00714400" w:rsidRDefault="00E63AAF" w:rsidP="009F3B18">
      <w:pPr>
        <w:pStyle w:val="BodyText"/>
        <w:spacing w:after="0"/>
        <w:ind w:left="567" w:right="-1"/>
        <w:rPr>
          <w:u w:val="single"/>
        </w:rPr>
      </w:pPr>
      <w:r w:rsidRPr="00714400">
        <w:rPr>
          <w:u w:val="single"/>
        </w:rPr>
        <w:t>Item 4:  Report of the Selection Panel for the Appointment of the New Members of the WIPO Independent Advisory Oversight Committee (IAOC) (document WO/PBC/21/3)</w:t>
      </w:r>
    </w:p>
    <w:p w:rsidR="00E63AAF" w:rsidRPr="00714400" w:rsidRDefault="00E63AAF" w:rsidP="008F2275">
      <w:pPr>
        <w:pStyle w:val="BodyText"/>
        <w:spacing w:after="0"/>
        <w:ind w:left="567" w:firstLine="567"/>
        <w:rPr>
          <w:i/>
        </w:rPr>
      </w:pPr>
    </w:p>
    <w:p w:rsidR="00E63AAF" w:rsidRPr="00714400" w:rsidRDefault="00E63AAF" w:rsidP="00787A1A">
      <w:pPr>
        <w:pStyle w:val="BodyText"/>
        <w:spacing w:after="0"/>
      </w:pPr>
      <w:r>
        <w:fldChar w:fldCharType="begin"/>
      </w:r>
      <w:r>
        <w:instrText xml:space="preserve"> AUTONUM  </w:instrText>
      </w:r>
      <w:r>
        <w:fldChar w:fldCharType="end"/>
      </w:r>
      <w:r>
        <w:tab/>
      </w:r>
      <w:r w:rsidRPr="00714400">
        <w:t>During the period, the IAOC participated in the process for selection of three new IAOC members as provided for in document WO/GA/39/13 and recorded in document WO/PBC/21/3.  The Committee looks forward to the decision of the PBC and of the GA.</w:t>
      </w:r>
    </w:p>
    <w:p w:rsidR="00E63AAF" w:rsidRPr="00714400" w:rsidRDefault="00E63AAF" w:rsidP="008F2275">
      <w:pPr>
        <w:pStyle w:val="BodyText"/>
        <w:spacing w:after="0"/>
        <w:rPr>
          <w:rStyle w:val="Endofdocument-AnnexChar"/>
        </w:rPr>
      </w:pPr>
    </w:p>
    <w:p w:rsidR="00E63AAF" w:rsidRPr="00714400" w:rsidRDefault="00E63AAF" w:rsidP="009F3B18">
      <w:pPr>
        <w:pStyle w:val="BodyText"/>
        <w:spacing w:before="120"/>
        <w:ind w:left="567" w:right="284"/>
        <w:rPr>
          <w:u w:val="single"/>
        </w:rPr>
      </w:pPr>
      <w:r w:rsidRPr="00714400">
        <w:rPr>
          <w:rStyle w:val="Endofdocument-AnnexChar"/>
          <w:u w:val="single"/>
        </w:rPr>
        <w:t>Item 5:  Report by the External Auditor (document WO/PBC/21/</w:t>
      </w:r>
      <w:r>
        <w:rPr>
          <w:rStyle w:val="Endofdocument-AnnexChar"/>
          <w:u w:val="single"/>
        </w:rPr>
        <w:t>6</w:t>
      </w:r>
      <w:r w:rsidRPr="00714400">
        <w:rPr>
          <w:rStyle w:val="Endofdocument-AnnexChar"/>
          <w:u w:val="single"/>
        </w:rPr>
        <w:t>)</w:t>
      </w:r>
    </w:p>
    <w:p w:rsidR="00E63AAF" w:rsidRPr="00714400" w:rsidRDefault="00E63AAF" w:rsidP="00787A1A">
      <w:pPr>
        <w:pStyle w:val="BodyText"/>
        <w:rPr>
          <w:rFonts w:eastAsia="Cambria"/>
        </w:rPr>
      </w:pPr>
      <w:r>
        <w:rPr>
          <w:rFonts w:eastAsia="Cambria"/>
        </w:rPr>
        <w:fldChar w:fldCharType="begin"/>
      </w:r>
      <w:r>
        <w:rPr>
          <w:rFonts w:eastAsia="Cambria"/>
        </w:rPr>
        <w:instrText xml:space="preserve"> AUTONUM  </w:instrText>
      </w:r>
      <w:r>
        <w:rPr>
          <w:rFonts w:eastAsia="Cambria"/>
        </w:rPr>
        <w:fldChar w:fldCharType="end"/>
      </w:r>
      <w:r>
        <w:rPr>
          <w:rFonts w:eastAsia="Cambria"/>
        </w:rPr>
        <w:tab/>
      </w:r>
      <w:r w:rsidRPr="00714400">
        <w:rPr>
          <w:rFonts w:eastAsia="Cambria"/>
        </w:rPr>
        <w:t xml:space="preserve">Under paragraph </w:t>
      </w:r>
      <w:proofErr w:type="gramStart"/>
      <w:r w:rsidRPr="00714400">
        <w:rPr>
          <w:rFonts w:eastAsia="Cambria"/>
        </w:rPr>
        <w:t>B2(</w:t>
      </w:r>
      <w:proofErr w:type="gramEnd"/>
      <w:r w:rsidRPr="00714400">
        <w:rPr>
          <w:rFonts w:eastAsia="Cambria"/>
        </w:rPr>
        <w:t>b) of its terms of reference, the IAOC exchanges information and views with the EA, including on the EA’s work plan.  Under paragraph E14, it provides comments to the PBC on the EA’s report to facilitate PBC reporting to the GA under Financial Regulation 8.11.</w:t>
      </w:r>
    </w:p>
    <w:p w:rsidR="00E63AAF" w:rsidRPr="00714400" w:rsidRDefault="00E63AAF" w:rsidP="00787A1A">
      <w:pPr>
        <w:pStyle w:val="BodyText"/>
        <w:rPr>
          <w:rFonts w:eastAsia="Cambria"/>
        </w:rPr>
      </w:pPr>
      <w:r>
        <w:rPr>
          <w:rFonts w:eastAsia="Cambria"/>
        </w:rPr>
        <w:fldChar w:fldCharType="begin"/>
      </w:r>
      <w:r>
        <w:rPr>
          <w:rFonts w:eastAsia="Cambria"/>
        </w:rPr>
        <w:instrText xml:space="preserve"> AUTONUM  </w:instrText>
      </w:r>
      <w:r>
        <w:rPr>
          <w:rFonts w:eastAsia="Cambria"/>
        </w:rPr>
        <w:fldChar w:fldCharType="end"/>
      </w:r>
      <w:r>
        <w:rPr>
          <w:rFonts w:eastAsia="Cambria"/>
        </w:rPr>
        <w:tab/>
      </w:r>
      <w:r w:rsidRPr="00714400">
        <w:rPr>
          <w:rFonts w:eastAsia="Cambria"/>
        </w:rPr>
        <w:t>Shortly prior to the reporting period, the IAOC met with the EA and exchanged views, including on the EA’s work plan.  The IAOC met again with the EA at its 30</w:t>
      </w:r>
      <w:r w:rsidRPr="00714400">
        <w:rPr>
          <w:rFonts w:eastAsia="Cambria"/>
          <w:vertAlign w:val="superscript"/>
        </w:rPr>
        <w:t>th</w:t>
      </w:r>
      <w:r w:rsidRPr="00714400">
        <w:rPr>
          <w:rFonts w:eastAsia="Cambria"/>
        </w:rPr>
        <w:t xml:space="preserve"> session to discuss the EA’s report as contained in document WO/PBC/21/</w:t>
      </w:r>
      <w:r>
        <w:rPr>
          <w:rFonts w:eastAsia="Cambria"/>
        </w:rPr>
        <w:t>6</w:t>
      </w:r>
      <w:r w:rsidRPr="00714400">
        <w:rPr>
          <w:rFonts w:eastAsia="Cambria"/>
        </w:rPr>
        <w:t>.  At that session, the IAOC and EA agreed to meet twice a year to discuss the EA’s work plan and the EA’s report.</w:t>
      </w:r>
    </w:p>
    <w:p w:rsidR="00E63AAF" w:rsidRPr="00714400" w:rsidRDefault="00E63AAF" w:rsidP="00787A1A">
      <w:pPr>
        <w:pStyle w:val="BodyText"/>
        <w:rPr>
          <w:rFonts w:eastAsia="Cambria"/>
        </w:rPr>
      </w:pPr>
      <w:r>
        <w:rPr>
          <w:rFonts w:eastAsia="Cambria"/>
        </w:rPr>
        <w:fldChar w:fldCharType="begin"/>
      </w:r>
      <w:r>
        <w:rPr>
          <w:rFonts w:eastAsia="Cambria"/>
        </w:rPr>
        <w:instrText xml:space="preserve"> AUTONUM  </w:instrText>
      </w:r>
      <w:r>
        <w:rPr>
          <w:rFonts w:eastAsia="Cambria"/>
        </w:rPr>
        <w:fldChar w:fldCharType="end"/>
      </w:r>
      <w:r>
        <w:rPr>
          <w:rFonts w:eastAsia="Cambria"/>
        </w:rPr>
        <w:tab/>
      </w:r>
      <w:r w:rsidRPr="00714400">
        <w:rPr>
          <w:rFonts w:eastAsia="Cambria"/>
        </w:rPr>
        <w:t xml:space="preserve">The Committee places on record the work done by the EA.  In this connection, it makes the following observations:  </w:t>
      </w:r>
    </w:p>
    <w:p w:rsidR="00E63AAF" w:rsidRPr="00714400" w:rsidRDefault="00E63AAF" w:rsidP="009643BD">
      <w:pPr>
        <w:pStyle w:val="BodyText"/>
        <w:ind w:firstLine="567"/>
        <w:rPr>
          <w:rFonts w:eastAsia="Cambria"/>
          <w:i/>
        </w:rPr>
      </w:pPr>
      <w:r w:rsidRPr="00714400">
        <w:rPr>
          <w:rFonts w:eastAsia="Cambria"/>
          <w:i/>
        </w:rPr>
        <w:t xml:space="preserve">Recommendation No. 1 </w:t>
      </w:r>
    </w:p>
    <w:p w:rsidR="00E63AAF" w:rsidRPr="00714400" w:rsidRDefault="00E63AAF" w:rsidP="00787A1A">
      <w:pPr>
        <w:pStyle w:val="BodyText"/>
        <w:rPr>
          <w:rFonts w:eastAsia="Cambria"/>
        </w:rPr>
      </w:pPr>
      <w:r>
        <w:rPr>
          <w:rFonts w:eastAsia="Cambria"/>
        </w:rPr>
        <w:fldChar w:fldCharType="begin"/>
      </w:r>
      <w:r>
        <w:rPr>
          <w:rFonts w:eastAsia="Cambria"/>
        </w:rPr>
        <w:instrText xml:space="preserve"> AUTONUM  </w:instrText>
      </w:r>
      <w:r>
        <w:rPr>
          <w:rFonts w:eastAsia="Cambria"/>
        </w:rPr>
        <w:fldChar w:fldCharType="end"/>
      </w:r>
      <w:r>
        <w:rPr>
          <w:rFonts w:eastAsia="Cambria"/>
        </w:rPr>
        <w:tab/>
      </w:r>
      <w:r w:rsidRPr="00714400">
        <w:rPr>
          <w:rFonts w:eastAsia="Cambria"/>
        </w:rPr>
        <w:t>The IAOC is of the view that although the disclosure regarding Reserves made for building projects were made by a Note to the Financial Statements, from next year there should be a clearer depiction as part of the Statements themselves following the creation of a specific Reserve for this purpose.</w:t>
      </w:r>
    </w:p>
    <w:p w:rsidR="00E63AAF" w:rsidRPr="00714400" w:rsidRDefault="00E63AAF" w:rsidP="00254717">
      <w:pPr>
        <w:pStyle w:val="BodyText"/>
        <w:ind w:firstLine="567"/>
        <w:rPr>
          <w:rFonts w:eastAsia="Cambria"/>
          <w:i/>
        </w:rPr>
      </w:pPr>
      <w:r w:rsidRPr="00714400">
        <w:rPr>
          <w:rFonts w:eastAsia="Cambria"/>
          <w:i/>
        </w:rPr>
        <w:t xml:space="preserve">Recommendation No. 2 </w:t>
      </w:r>
    </w:p>
    <w:p w:rsidR="00E63AAF" w:rsidRPr="00714400" w:rsidRDefault="00E63AAF" w:rsidP="00787A1A">
      <w:pPr>
        <w:pStyle w:val="BodyText"/>
        <w:rPr>
          <w:rFonts w:eastAsia="Cambria"/>
        </w:rPr>
      </w:pPr>
      <w:r>
        <w:rPr>
          <w:rFonts w:eastAsia="Cambria"/>
        </w:rPr>
        <w:fldChar w:fldCharType="begin"/>
      </w:r>
      <w:r>
        <w:rPr>
          <w:rFonts w:eastAsia="Cambria"/>
        </w:rPr>
        <w:instrText xml:space="preserve"> AUTONUM  </w:instrText>
      </w:r>
      <w:r>
        <w:rPr>
          <w:rFonts w:eastAsia="Cambria"/>
        </w:rPr>
        <w:fldChar w:fldCharType="end"/>
      </w:r>
      <w:r>
        <w:rPr>
          <w:rFonts w:eastAsia="Cambria"/>
        </w:rPr>
        <w:tab/>
      </w:r>
      <w:r w:rsidRPr="00714400">
        <w:rPr>
          <w:rFonts w:eastAsia="Cambria"/>
        </w:rPr>
        <w:t xml:space="preserve">The IAOC discussed with the Secretariat in-house practices that resulted in the opening of bank accounts without approval of the Controller.  It noted action proposed by the Secretariat in this regard and looks forward to Secretariat action on formulation and implementation of an appropriate Treasury and Cash Management Policy. </w:t>
      </w:r>
    </w:p>
    <w:p w:rsidR="00E63AAF" w:rsidRPr="00714400" w:rsidRDefault="00E63AAF" w:rsidP="00254717">
      <w:pPr>
        <w:pStyle w:val="BodyText"/>
        <w:tabs>
          <w:tab w:val="num" w:pos="567"/>
        </w:tabs>
        <w:ind w:firstLine="567"/>
        <w:rPr>
          <w:rFonts w:eastAsia="Cambria"/>
          <w:i/>
        </w:rPr>
      </w:pPr>
      <w:r w:rsidRPr="00714400">
        <w:rPr>
          <w:rFonts w:eastAsia="Cambria"/>
          <w:i/>
        </w:rPr>
        <w:lastRenderedPageBreak/>
        <w:t>Recommendations Nos. 4, 5 &amp; 6</w:t>
      </w:r>
    </w:p>
    <w:p w:rsidR="00E63AAF" w:rsidRPr="00714400" w:rsidRDefault="00E63AAF" w:rsidP="00787A1A">
      <w:pPr>
        <w:pStyle w:val="BodyText"/>
        <w:rPr>
          <w:rFonts w:eastAsia="Cambria"/>
        </w:rPr>
      </w:pPr>
      <w:r>
        <w:rPr>
          <w:rFonts w:eastAsia="Cambria"/>
        </w:rPr>
        <w:fldChar w:fldCharType="begin"/>
      </w:r>
      <w:r>
        <w:rPr>
          <w:rFonts w:eastAsia="Cambria"/>
        </w:rPr>
        <w:instrText xml:space="preserve"> AUTONUM  </w:instrText>
      </w:r>
      <w:r>
        <w:rPr>
          <w:rFonts w:eastAsia="Cambria"/>
        </w:rPr>
        <w:fldChar w:fldCharType="end"/>
      </w:r>
      <w:r>
        <w:rPr>
          <w:rFonts w:eastAsia="Cambria"/>
        </w:rPr>
        <w:tab/>
      </w:r>
      <w:r w:rsidRPr="00714400">
        <w:rPr>
          <w:rFonts w:eastAsia="Cambria"/>
        </w:rPr>
        <w:t>Regarding the EA’s observations on acquisition of services through Special Service Agreements and</w:t>
      </w:r>
      <w:r>
        <w:rPr>
          <w:rFonts w:eastAsia="Cambria"/>
        </w:rPr>
        <w:t xml:space="preserve"> a</w:t>
      </w:r>
      <w:r w:rsidRPr="00714400">
        <w:rPr>
          <w:rFonts w:eastAsia="Cambria"/>
        </w:rPr>
        <w:t xml:space="preserve"> lack of adequate regulatory framework thereto, this matter was taken up with the Director of Human Resources Management Division (HRMD) at the IAOC’s 30</w:t>
      </w:r>
      <w:r w:rsidRPr="00714400">
        <w:rPr>
          <w:rFonts w:eastAsia="Cambria"/>
          <w:vertAlign w:val="superscript"/>
        </w:rPr>
        <w:t>th</w:t>
      </w:r>
      <w:r w:rsidRPr="00714400">
        <w:rPr>
          <w:rFonts w:eastAsia="Cambria"/>
        </w:rPr>
        <w:t xml:space="preserve"> session (see paragraph 3</w:t>
      </w:r>
      <w:r>
        <w:rPr>
          <w:rFonts w:eastAsia="Cambria"/>
        </w:rPr>
        <w:t>4</w:t>
      </w:r>
      <w:r w:rsidRPr="00714400">
        <w:rPr>
          <w:rFonts w:eastAsia="Cambria"/>
        </w:rPr>
        <w:t xml:space="preserve"> below).  The IAOC expects this recommendation to be acted upon as a matter of top priority and will follow up closely on action plans and their implementation. </w:t>
      </w:r>
    </w:p>
    <w:p w:rsidR="00E63AAF" w:rsidRPr="00714400" w:rsidRDefault="00E63AAF" w:rsidP="008F2275">
      <w:pPr>
        <w:pStyle w:val="BodyText"/>
        <w:ind w:left="567" w:right="424"/>
        <w:rPr>
          <w:u w:val="single"/>
        </w:rPr>
      </w:pPr>
      <w:r w:rsidRPr="00714400">
        <w:rPr>
          <w:rStyle w:val="Endofdocument-AnnexChar"/>
          <w:u w:val="single"/>
        </w:rPr>
        <w:t>Item 6:  Report by the Director of the Internal Audit and Oversight Division (IAOD) (document WO/PBC/21/17)</w:t>
      </w:r>
    </w:p>
    <w:p w:rsidR="00E63AAF" w:rsidRPr="00714400" w:rsidRDefault="00E63AAF" w:rsidP="00787A1A">
      <w:pPr>
        <w:pStyle w:val="BodyText"/>
        <w:rPr>
          <w:rStyle w:val="Endofdocument-AnnexChar"/>
        </w:rPr>
      </w:pPr>
      <w:r>
        <w:rPr>
          <w:rStyle w:val="Endofdocument-AnnexChar"/>
        </w:rPr>
        <w:fldChar w:fldCharType="begin"/>
      </w:r>
      <w:r>
        <w:rPr>
          <w:rStyle w:val="Endofdocument-AnnexChar"/>
        </w:rPr>
        <w:instrText xml:space="preserve"> AUTONUM  </w:instrText>
      </w:r>
      <w:r>
        <w:rPr>
          <w:rStyle w:val="Endofdocument-AnnexChar"/>
        </w:rPr>
        <w:fldChar w:fldCharType="end"/>
      </w:r>
      <w:r>
        <w:rPr>
          <w:rStyle w:val="Endofdocument-AnnexChar"/>
        </w:rPr>
        <w:tab/>
      </w:r>
      <w:r w:rsidRPr="00714400">
        <w:rPr>
          <w:rStyle w:val="Endofdocument-AnnexChar"/>
        </w:rPr>
        <w:t>Under paragraphs B2(b) and (c) of its terms of reference, the IAOC reviews the effectiveness of WIPO’s internal audit function, promotes internal and external audit coordination and monitors implementation of audit recommendations.  Under the Internal Oversight Charter (IOC), it reviews IAOD’s work plans, internal audit and evaluation reports and Division manuals</w:t>
      </w:r>
      <w:proofErr w:type="gramStart"/>
      <w:r w:rsidRPr="00714400">
        <w:rPr>
          <w:rStyle w:val="Endofdocument-AnnexChar"/>
        </w:rPr>
        <w:t>;  advises</w:t>
      </w:r>
      <w:proofErr w:type="gramEnd"/>
      <w:r w:rsidRPr="00714400">
        <w:rPr>
          <w:rStyle w:val="Endofdocument-AnnexChar"/>
        </w:rPr>
        <w:t xml:space="preserve"> in cases of a conflict of interest and on IAOD resource allocation in the draft Program and Budget;  and, ensures appropriate IAOD staffing.</w:t>
      </w:r>
    </w:p>
    <w:p w:rsidR="00E63AAF" w:rsidRPr="00714400" w:rsidRDefault="00E63AAF" w:rsidP="0026060D">
      <w:pPr>
        <w:pStyle w:val="BodyText"/>
        <w:ind w:left="567"/>
        <w:rPr>
          <w:i/>
        </w:rPr>
      </w:pPr>
      <w:r w:rsidRPr="00714400">
        <w:rPr>
          <w:rStyle w:val="Endofdocument-AnnexChar"/>
          <w:i/>
        </w:rPr>
        <w:t>General Observations</w:t>
      </w:r>
    </w:p>
    <w:p w:rsidR="00E63AAF" w:rsidRPr="00714400" w:rsidRDefault="00E63AAF" w:rsidP="00787A1A">
      <w:pPr>
        <w:pStyle w:val="BodyText"/>
        <w:rPr>
          <w:rStyle w:val="Endofdocument-AnnexChar"/>
        </w:rPr>
      </w:pPr>
      <w:r>
        <w:rPr>
          <w:rStyle w:val="Endofdocument-AnnexChar"/>
        </w:rPr>
        <w:fldChar w:fldCharType="begin"/>
      </w:r>
      <w:r>
        <w:rPr>
          <w:rStyle w:val="Endofdocument-AnnexChar"/>
        </w:rPr>
        <w:instrText xml:space="preserve"> AUTONUM  </w:instrText>
      </w:r>
      <w:r>
        <w:rPr>
          <w:rStyle w:val="Endofdocument-AnnexChar"/>
        </w:rPr>
        <w:fldChar w:fldCharType="end"/>
      </w:r>
      <w:r>
        <w:rPr>
          <w:rStyle w:val="Endofdocument-AnnexChar"/>
        </w:rPr>
        <w:tab/>
      </w:r>
      <w:r w:rsidRPr="00714400">
        <w:rPr>
          <w:rStyle w:val="Endofdocument-AnnexChar"/>
        </w:rPr>
        <w:t>The IAOC recognizes improvements in the performance of IAOD since the new Director was appointed</w:t>
      </w:r>
      <w:proofErr w:type="gramStart"/>
      <w:r w:rsidRPr="00714400">
        <w:rPr>
          <w:rStyle w:val="Endofdocument-AnnexChar"/>
        </w:rPr>
        <w:t>..</w:t>
      </w:r>
      <w:proofErr w:type="gramEnd"/>
      <w:r w:rsidRPr="00714400">
        <w:rPr>
          <w:rStyle w:val="Endofdocument-AnnexChar"/>
        </w:rPr>
        <w:t xml:space="preserve">  </w:t>
      </w:r>
    </w:p>
    <w:p w:rsidR="00E63AAF" w:rsidRPr="00714400" w:rsidRDefault="00E63AAF" w:rsidP="00787A1A">
      <w:pPr>
        <w:pStyle w:val="BodyText"/>
      </w:pPr>
      <w:r>
        <w:rPr>
          <w:rStyle w:val="Endofdocument-AnnexChar"/>
        </w:rPr>
        <w:fldChar w:fldCharType="begin"/>
      </w:r>
      <w:r>
        <w:rPr>
          <w:rStyle w:val="Endofdocument-AnnexChar"/>
        </w:rPr>
        <w:instrText xml:space="preserve"> AUTONUM  </w:instrText>
      </w:r>
      <w:r>
        <w:rPr>
          <w:rStyle w:val="Endofdocument-AnnexChar"/>
        </w:rPr>
        <w:fldChar w:fldCharType="end"/>
      </w:r>
      <w:r>
        <w:rPr>
          <w:rStyle w:val="Endofdocument-AnnexChar"/>
        </w:rPr>
        <w:tab/>
      </w:r>
      <w:r w:rsidRPr="00714400">
        <w:rPr>
          <w:rStyle w:val="Endofdocument-AnnexChar"/>
        </w:rPr>
        <w:t>The IAOC also notes the greater</w:t>
      </w:r>
      <w:r w:rsidRPr="00714400">
        <w:t xml:space="preserve"> transparency of IAOD’s work following implementation by IAOD of a mechanism to provide secure online access to Member States, on their request, to audit and evaluation reports in line with revisions made by Member States to the Internal Oversight Charter in October 2012.</w:t>
      </w:r>
    </w:p>
    <w:p w:rsidR="00E63AAF" w:rsidRPr="00714400" w:rsidRDefault="00E63AAF" w:rsidP="00787A1A">
      <w:pPr>
        <w:pStyle w:val="BodyText"/>
      </w:pPr>
      <w:r>
        <w:rPr>
          <w:rStyle w:val="Endofdocument-AnnexChar"/>
        </w:rPr>
        <w:fldChar w:fldCharType="begin"/>
      </w:r>
      <w:r>
        <w:rPr>
          <w:rStyle w:val="Endofdocument-AnnexChar"/>
        </w:rPr>
        <w:instrText xml:space="preserve"> AUTONUM  </w:instrText>
      </w:r>
      <w:r>
        <w:rPr>
          <w:rStyle w:val="Endofdocument-AnnexChar"/>
        </w:rPr>
        <w:fldChar w:fldCharType="end"/>
      </w:r>
      <w:r>
        <w:rPr>
          <w:rStyle w:val="Endofdocument-AnnexChar"/>
        </w:rPr>
        <w:tab/>
      </w:r>
      <w:r w:rsidRPr="00714400">
        <w:rPr>
          <w:rStyle w:val="Endofdocument-AnnexChar"/>
        </w:rPr>
        <w:t xml:space="preserve">As regards implementation of audit recommendations, </w:t>
      </w:r>
      <w:r w:rsidRPr="00714400">
        <w:t xml:space="preserve">the system of recording and tracking recommendations made by auditors was stabilized and a steady rate of resolution of issues was observed.  IAOD introduced a software system that allowed easier and quicker tracking of recommendations by IAOD and functional units.  </w:t>
      </w:r>
    </w:p>
    <w:p w:rsidR="00E63AAF" w:rsidRPr="00714400" w:rsidRDefault="00E63AAF" w:rsidP="00496DF8">
      <w:pPr>
        <w:pStyle w:val="BodyText"/>
        <w:ind w:left="567"/>
        <w:rPr>
          <w:rStyle w:val="Endofdocument-AnnexChar"/>
          <w:i/>
        </w:rPr>
      </w:pPr>
      <w:r w:rsidRPr="00714400">
        <w:rPr>
          <w:rStyle w:val="Endofdocument-AnnexChar"/>
          <w:i/>
        </w:rPr>
        <w:t xml:space="preserve">IAOD </w:t>
      </w:r>
      <w:proofErr w:type="spellStart"/>
      <w:r w:rsidRPr="00714400">
        <w:rPr>
          <w:rStyle w:val="Endofdocument-AnnexChar"/>
          <w:i/>
        </w:rPr>
        <w:t>Workplan</w:t>
      </w:r>
      <w:proofErr w:type="spellEnd"/>
      <w:r w:rsidRPr="00714400">
        <w:rPr>
          <w:rStyle w:val="Endofdocument-AnnexChar"/>
          <w:i/>
        </w:rPr>
        <w:t xml:space="preserve"> </w:t>
      </w:r>
    </w:p>
    <w:p w:rsidR="00E63AAF" w:rsidRPr="00714400" w:rsidRDefault="00E63AAF" w:rsidP="00787A1A">
      <w:pPr>
        <w:pStyle w:val="BodyText"/>
      </w:pPr>
      <w:r>
        <w:rPr>
          <w:rStyle w:val="Endofdocument-AnnexChar"/>
        </w:rPr>
        <w:fldChar w:fldCharType="begin"/>
      </w:r>
      <w:r>
        <w:rPr>
          <w:rStyle w:val="Endofdocument-AnnexChar"/>
        </w:rPr>
        <w:instrText xml:space="preserve"> AUTONUM  </w:instrText>
      </w:r>
      <w:r>
        <w:rPr>
          <w:rStyle w:val="Endofdocument-AnnexChar"/>
        </w:rPr>
        <w:fldChar w:fldCharType="end"/>
      </w:r>
      <w:r>
        <w:rPr>
          <w:rStyle w:val="Endofdocument-AnnexChar"/>
        </w:rPr>
        <w:tab/>
      </w:r>
      <w:r w:rsidRPr="00714400">
        <w:rPr>
          <w:rStyle w:val="Endofdocument-AnnexChar"/>
        </w:rPr>
        <w:t xml:space="preserve">IAOD’s 2012 work plan was implemented to near completion.  </w:t>
      </w:r>
      <w:r w:rsidRPr="00714400">
        <w:t xml:space="preserve">The IAOC saw a need for refinements to the 2013 performance indicators and subsequently noted improved indicators in the proposed 2014/15 Program and Budget.  In response to its recommendation that IAOD should carry out independent ICT vulnerability assessments and system penetration testing, it was informed that follow up would begin with an analysis of the results of tests already conducted. </w:t>
      </w:r>
    </w:p>
    <w:p w:rsidR="00E63AAF" w:rsidRPr="00714400" w:rsidRDefault="00E63AAF" w:rsidP="00496DF8">
      <w:pPr>
        <w:pStyle w:val="BodyText"/>
        <w:ind w:left="567"/>
        <w:rPr>
          <w:i/>
        </w:rPr>
      </w:pPr>
      <w:r w:rsidRPr="00714400">
        <w:rPr>
          <w:i/>
        </w:rPr>
        <w:t>Internal Audit</w:t>
      </w:r>
    </w:p>
    <w:p w:rsidR="00E63AAF" w:rsidRPr="00714400" w:rsidRDefault="00E63AAF" w:rsidP="00787A1A">
      <w:pPr>
        <w:pStyle w:val="ONUME"/>
        <w:tabs>
          <w:tab w:val="clear" w:pos="360"/>
        </w:tabs>
        <w:ind w:left="0" w:firstLine="0"/>
      </w:pPr>
      <w:r>
        <w:fldChar w:fldCharType="begin"/>
      </w:r>
      <w:r>
        <w:instrText xml:space="preserve"> AUTONUM  </w:instrText>
      </w:r>
      <w:r>
        <w:fldChar w:fldCharType="end"/>
      </w:r>
      <w:r>
        <w:tab/>
      </w:r>
      <w:r w:rsidRPr="00714400">
        <w:t xml:space="preserve">Five audit reports were received on, respectively, PCT Revenue Generation, Travel and Mission Support, Payment Process, Conference and Language Services, and the New Construction Projects.  </w:t>
      </w:r>
    </w:p>
    <w:p w:rsidR="00E63AAF" w:rsidRPr="00714400" w:rsidRDefault="00E63AAF" w:rsidP="0026060D">
      <w:pPr>
        <w:pStyle w:val="ONUME"/>
        <w:tabs>
          <w:tab w:val="clear" w:pos="360"/>
        </w:tabs>
        <w:ind w:left="567" w:firstLine="0"/>
        <w:rPr>
          <w:i/>
        </w:rPr>
      </w:pPr>
      <w:r w:rsidRPr="00714400">
        <w:rPr>
          <w:i/>
        </w:rPr>
        <w:t>Evaluation</w:t>
      </w:r>
    </w:p>
    <w:p w:rsidR="00E63AAF" w:rsidRDefault="00E63AAF" w:rsidP="00787A1A">
      <w:pPr>
        <w:pStyle w:val="ONUME"/>
        <w:tabs>
          <w:tab w:val="clear" w:pos="360"/>
        </w:tabs>
        <w:ind w:left="0" w:firstLine="0"/>
      </w:pPr>
      <w:r>
        <w:fldChar w:fldCharType="begin"/>
      </w:r>
      <w:r>
        <w:instrText xml:space="preserve"> AUTONUM  </w:instrText>
      </w:r>
      <w:r>
        <w:fldChar w:fldCharType="end"/>
      </w:r>
      <w:r>
        <w:tab/>
      </w:r>
      <w:r w:rsidRPr="00714400">
        <w:t>Two Evaluation reports were received on improvement of IP Institutional and User Capacity and on Development of Tools for Access to Patent Information.  These and other evaluation reports were discussed at a one-day IAOD Evaluation Seminar in November 2012, in which an IAOC member participated and acted as a speaker.</w:t>
      </w:r>
    </w:p>
    <w:p w:rsidR="00E63AAF" w:rsidRDefault="00E63AAF">
      <w:pPr>
        <w:spacing w:after="200" w:line="276" w:lineRule="auto"/>
      </w:pPr>
      <w:r>
        <w:br w:type="page"/>
      </w:r>
    </w:p>
    <w:p w:rsidR="00E63AAF" w:rsidRPr="00714400" w:rsidRDefault="00E63AAF" w:rsidP="0026060D">
      <w:pPr>
        <w:pStyle w:val="ONUME"/>
        <w:tabs>
          <w:tab w:val="clear" w:pos="360"/>
        </w:tabs>
        <w:ind w:left="0" w:firstLine="0"/>
        <w:rPr>
          <w:i/>
        </w:rPr>
      </w:pPr>
      <w:r w:rsidRPr="00714400">
        <w:lastRenderedPageBreak/>
        <w:tab/>
      </w:r>
      <w:r w:rsidRPr="00714400">
        <w:rPr>
          <w:i/>
        </w:rPr>
        <w:t>Investigation</w:t>
      </w:r>
    </w:p>
    <w:p w:rsidR="00E63AAF" w:rsidRPr="00714400" w:rsidRDefault="00E63AAF" w:rsidP="00787A1A">
      <w:pPr>
        <w:pStyle w:val="BodyText"/>
        <w:tabs>
          <w:tab w:val="left" w:pos="567"/>
        </w:tabs>
        <w:rPr>
          <w:szCs w:val="22"/>
        </w:rPr>
      </w:pPr>
      <w:r>
        <w:rPr>
          <w:szCs w:val="22"/>
        </w:rPr>
        <w:fldChar w:fldCharType="begin"/>
      </w:r>
      <w:r>
        <w:rPr>
          <w:szCs w:val="22"/>
        </w:rPr>
        <w:instrText xml:space="preserve"> AUTONUM  </w:instrText>
      </w:r>
      <w:r>
        <w:rPr>
          <w:szCs w:val="22"/>
        </w:rPr>
        <w:fldChar w:fldCharType="end"/>
      </w:r>
      <w:r>
        <w:rPr>
          <w:szCs w:val="22"/>
        </w:rPr>
        <w:tab/>
      </w:r>
      <w:proofErr w:type="gramStart"/>
      <w:r w:rsidRPr="00714400">
        <w:rPr>
          <w:szCs w:val="22"/>
        </w:rPr>
        <w:t xml:space="preserve">As at August 30, 2012, 11 investigative cases were open, compared to 3 as at </w:t>
      </w:r>
      <w:r w:rsidRPr="00714400">
        <w:rPr>
          <w:szCs w:val="22"/>
        </w:rPr>
        <w:br/>
        <w:t>August 30, 2013.</w:t>
      </w:r>
      <w:proofErr w:type="gramEnd"/>
      <w:r w:rsidRPr="00714400">
        <w:rPr>
          <w:szCs w:val="22"/>
        </w:rPr>
        <w:t xml:space="preserve">  Between August 31, 2012 and August 30, 2013, IAOD registered 16 new cases, as compared to 15 during the previous 12 months.  It also closed 24 cases, as compared to 19 during the previous 12 months.</w:t>
      </w:r>
    </w:p>
    <w:p w:rsidR="00E63AAF" w:rsidRPr="00714400" w:rsidRDefault="00E63AAF" w:rsidP="00787A1A">
      <w:pPr>
        <w:pStyle w:val="BodyText"/>
        <w:rPr>
          <w:szCs w:val="22"/>
        </w:rPr>
      </w:pPr>
      <w:r>
        <w:rPr>
          <w:szCs w:val="22"/>
        </w:rPr>
        <w:fldChar w:fldCharType="begin"/>
      </w:r>
      <w:r>
        <w:rPr>
          <w:szCs w:val="22"/>
        </w:rPr>
        <w:instrText xml:space="preserve"> AUTONUM  </w:instrText>
      </w:r>
      <w:r>
        <w:rPr>
          <w:szCs w:val="22"/>
        </w:rPr>
        <w:fldChar w:fldCharType="end"/>
      </w:r>
      <w:r>
        <w:rPr>
          <w:szCs w:val="22"/>
        </w:rPr>
        <w:tab/>
      </w:r>
      <w:r w:rsidRPr="00714400">
        <w:rPr>
          <w:szCs w:val="22"/>
        </w:rPr>
        <w:t>Two Management Implication Reports, on issues identified in the course of IAOD’s investigative activities, were received.</w:t>
      </w:r>
    </w:p>
    <w:p w:rsidR="00E63AAF" w:rsidRPr="00714400" w:rsidRDefault="00E63AAF" w:rsidP="00787A1A">
      <w:pPr>
        <w:pStyle w:val="BodyText"/>
        <w:tabs>
          <w:tab w:val="left" w:pos="567"/>
        </w:tabs>
      </w:pPr>
      <w:r>
        <w:fldChar w:fldCharType="begin"/>
      </w:r>
      <w:r>
        <w:instrText xml:space="preserve"> AUTONUM  </w:instrText>
      </w:r>
      <w:r>
        <w:fldChar w:fldCharType="end"/>
      </w:r>
      <w:r>
        <w:tab/>
      </w:r>
      <w:r w:rsidRPr="00714400">
        <w:t>The IAOC provided comments to the Director of IAOD on a draft Investigation Policy and revised Investigation Procedure Manual.  It was advised that the draft Policy had been transmitted to Member States in line with paragraph 13(b) of the IOC with comments requested by mid-October.  The Manual will be finalized following issue of the Policy.  Finalization of the Policy and Manual is expected by the end of 2013.</w:t>
      </w:r>
    </w:p>
    <w:p w:rsidR="00E63AAF" w:rsidRPr="00714400" w:rsidRDefault="00E63AAF" w:rsidP="00787A1A">
      <w:pPr>
        <w:pStyle w:val="BodyText"/>
      </w:pPr>
      <w:r>
        <w:fldChar w:fldCharType="begin"/>
      </w:r>
      <w:r>
        <w:instrText xml:space="preserve"> AUTONUM  </w:instrText>
      </w:r>
      <w:r>
        <w:fldChar w:fldCharType="end"/>
      </w:r>
      <w:r>
        <w:tab/>
      </w:r>
      <w:r w:rsidRPr="00714400">
        <w:t>An investigation hotline was implemented and publicized in-house on July 16, 2013.</w:t>
      </w:r>
    </w:p>
    <w:p w:rsidR="00E63AAF" w:rsidRPr="00714400" w:rsidRDefault="00E63AAF" w:rsidP="0026060D">
      <w:pPr>
        <w:pStyle w:val="BodyText"/>
        <w:ind w:firstLine="567"/>
        <w:rPr>
          <w:i/>
        </w:rPr>
      </w:pPr>
      <w:r w:rsidRPr="00714400">
        <w:rPr>
          <w:i/>
        </w:rPr>
        <w:t>Conflict of Interest Reporting</w:t>
      </w:r>
    </w:p>
    <w:p w:rsidR="00E63AAF" w:rsidRPr="00714400" w:rsidRDefault="00E63AAF" w:rsidP="00787A1A">
      <w:pPr>
        <w:pStyle w:val="ONUME"/>
        <w:tabs>
          <w:tab w:val="clear" w:pos="360"/>
        </w:tabs>
        <w:ind w:left="0" w:firstLine="0"/>
      </w:pPr>
      <w:r>
        <w:fldChar w:fldCharType="begin"/>
      </w:r>
      <w:r>
        <w:instrText xml:space="preserve"> AUTONUM  </w:instrText>
      </w:r>
      <w:r>
        <w:fldChar w:fldCharType="end"/>
      </w:r>
      <w:r>
        <w:tab/>
      </w:r>
      <w:r w:rsidRPr="00714400">
        <w:t>In accordance with paragraph 5 of the IOC, the Director of IAOD sought the IAOC’s advice on a possible conflict of interest in respect of two complaints received by him.  He proceeded in line with the IAOC’s recommendation that he carry out preliminary evaluations of the complaints and discuss the matter further with the IAOC at its 28</w:t>
      </w:r>
      <w:r w:rsidRPr="00714400">
        <w:rPr>
          <w:vertAlign w:val="superscript"/>
        </w:rPr>
        <w:t>th</w:t>
      </w:r>
      <w:r w:rsidRPr="00714400">
        <w:t xml:space="preserve"> session.  At that session, the IAOC observed that the preliminary evaluations had been carried out reasonably, in accordance with the IOC and professional standards.  It further advised the Director to proceed in accordance with the proposed course of action outlined in the preliminary evaluation reports presented to the IAOC.</w:t>
      </w:r>
      <w:bookmarkStart w:id="22" w:name="_Toc362542841"/>
      <w:bookmarkStart w:id="23" w:name="_Toc362542961"/>
      <w:bookmarkStart w:id="24" w:name="_Toc362593347"/>
    </w:p>
    <w:bookmarkEnd w:id="22"/>
    <w:bookmarkEnd w:id="23"/>
    <w:bookmarkEnd w:id="24"/>
    <w:p w:rsidR="00E63AAF" w:rsidRPr="00714400" w:rsidRDefault="00E63AAF" w:rsidP="009F3B18">
      <w:pPr>
        <w:pStyle w:val="ONUME"/>
        <w:tabs>
          <w:tab w:val="clear" w:pos="360"/>
        </w:tabs>
        <w:spacing w:before="120"/>
        <w:ind w:left="567" w:right="567" w:firstLine="0"/>
        <w:rPr>
          <w:rStyle w:val="Endofdocument-AnnexChar"/>
          <w:u w:val="single"/>
        </w:rPr>
      </w:pPr>
      <w:r w:rsidRPr="00714400">
        <w:rPr>
          <w:u w:val="single"/>
        </w:rPr>
        <w:t>Item 7:  Progress Report on the Implementation of the Joint Inspection Unit’s (JIU) Recommendations</w:t>
      </w:r>
      <w:r w:rsidRPr="00714400">
        <w:rPr>
          <w:bCs/>
          <w:u w:val="single"/>
        </w:rPr>
        <w:t xml:space="preserve"> </w:t>
      </w:r>
      <w:r>
        <w:rPr>
          <w:bCs/>
          <w:u w:val="single"/>
        </w:rPr>
        <w:t xml:space="preserve">for the Review of WIPO Legislative Bodies </w:t>
      </w:r>
      <w:r w:rsidRPr="00714400">
        <w:rPr>
          <w:u w:val="single"/>
        </w:rPr>
        <w:t>(document WO/PBC/21/16)</w:t>
      </w:r>
    </w:p>
    <w:p w:rsidR="00E63AAF" w:rsidRPr="00714400" w:rsidRDefault="00E63AAF" w:rsidP="00787A1A">
      <w:pPr>
        <w:pStyle w:val="ONUME"/>
        <w:tabs>
          <w:tab w:val="clear" w:pos="360"/>
        </w:tabs>
        <w:ind w:left="0" w:firstLine="0"/>
        <w:rPr>
          <w:rStyle w:val="Endofdocument-AnnexChar"/>
          <w:szCs w:val="22"/>
        </w:rPr>
      </w:pPr>
      <w:r>
        <w:rPr>
          <w:rStyle w:val="Endofdocument-AnnexChar"/>
        </w:rPr>
        <w:fldChar w:fldCharType="begin"/>
      </w:r>
      <w:r>
        <w:rPr>
          <w:rStyle w:val="Endofdocument-AnnexChar"/>
        </w:rPr>
        <w:instrText xml:space="preserve"> AUTONUM  </w:instrText>
      </w:r>
      <w:r>
        <w:rPr>
          <w:rStyle w:val="Endofdocument-AnnexChar"/>
        </w:rPr>
        <w:fldChar w:fldCharType="end"/>
      </w:r>
      <w:r>
        <w:rPr>
          <w:rStyle w:val="Endofdocument-AnnexChar"/>
        </w:rPr>
        <w:tab/>
      </w:r>
      <w:r w:rsidRPr="00714400">
        <w:rPr>
          <w:rStyle w:val="Endofdocument-AnnexChar"/>
        </w:rPr>
        <w:t xml:space="preserve">The IAOC noted the inclusion of this item. </w:t>
      </w:r>
    </w:p>
    <w:p w:rsidR="00E63AAF" w:rsidRPr="00714400" w:rsidRDefault="00E63AAF" w:rsidP="009F3B18">
      <w:pPr>
        <w:pStyle w:val="ONUME"/>
        <w:tabs>
          <w:tab w:val="clear" w:pos="360"/>
        </w:tabs>
        <w:spacing w:before="120"/>
        <w:ind w:left="567" w:right="425" w:firstLine="0"/>
        <w:rPr>
          <w:rStyle w:val="Endofdocument-AnnexChar"/>
          <w:szCs w:val="22"/>
          <w:u w:val="single"/>
        </w:rPr>
      </w:pPr>
      <w:r w:rsidRPr="00714400">
        <w:rPr>
          <w:szCs w:val="22"/>
          <w:u w:val="single"/>
        </w:rPr>
        <w:t>Item 8:  Governance at WIPO</w:t>
      </w:r>
    </w:p>
    <w:p w:rsidR="00E63AAF" w:rsidRPr="00714400" w:rsidRDefault="00E63AAF" w:rsidP="00787A1A">
      <w:pPr>
        <w:pStyle w:val="ONUME"/>
        <w:tabs>
          <w:tab w:val="clear" w:pos="360"/>
        </w:tabs>
        <w:spacing w:after="0"/>
        <w:ind w:left="0" w:firstLine="0"/>
      </w:pPr>
      <w:r>
        <w:fldChar w:fldCharType="begin"/>
      </w:r>
      <w:r>
        <w:instrText xml:space="preserve"> AUTONUM  </w:instrText>
      </w:r>
      <w:r>
        <w:fldChar w:fldCharType="end"/>
      </w:r>
      <w:r>
        <w:tab/>
      </w:r>
      <w:r w:rsidRPr="00714400">
        <w:t>A paper on Governance prepared by the IAOC was presented to the 19</w:t>
      </w:r>
      <w:r w:rsidRPr="00714400">
        <w:rPr>
          <w:vertAlign w:val="superscript"/>
        </w:rPr>
        <w:t>th</w:t>
      </w:r>
      <w:r w:rsidRPr="00714400">
        <w:t xml:space="preserve"> session of the PBC under cover of a report by the Chair of the GA.</w:t>
      </w:r>
      <w:r w:rsidRPr="00714400">
        <w:rPr>
          <w:vertAlign w:val="superscript"/>
        </w:rPr>
        <w:footnoteReference w:id="4"/>
      </w:r>
      <w:r>
        <w:br/>
      </w:r>
    </w:p>
    <w:p w:rsidR="00E63AAF" w:rsidRPr="00714400" w:rsidRDefault="00E63AAF" w:rsidP="000818CD">
      <w:pPr>
        <w:pStyle w:val="Heading4"/>
      </w:pPr>
      <w:bookmarkStart w:id="25" w:name="_Toc365988690"/>
      <w:r w:rsidRPr="00714400">
        <w:t>Program Performance and Financial Reviews</w:t>
      </w:r>
      <w:bookmarkEnd w:id="25"/>
    </w:p>
    <w:p w:rsidR="00E63AAF" w:rsidRPr="00714400" w:rsidRDefault="00E63AAF" w:rsidP="00787A1A">
      <w:pPr>
        <w:pStyle w:val="BodyText"/>
        <w:rPr>
          <w:rStyle w:val="Endofdocument-AnnexChar"/>
        </w:rPr>
      </w:pPr>
      <w:r>
        <w:fldChar w:fldCharType="begin"/>
      </w:r>
      <w:r>
        <w:instrText xml:space="preserve"> AUTONUM  </w:instrText>
      </w:r>
      <w:r>
        <w:fldChar w:fldCharType="end"/>
      </w:r>
      <w:r>
        <w:tab/>
      </w:r>
      <w:r w:rsidRPr="00714400">
        <w:t xml:space="preserve">Under paragraphs </w:t>
      </w:r>
      <w:proofErr w:type="gramStart"/>
      <w:r w:rsidRPr="00714400">
        <w:t>B2(</w:t>
      </w:r>
      <w:proofErr w:type="gramEnd"/>
      <w:r w:rsidRPr="00714400">
        <w:t>a) and (c) of its terms of reference, the IAOC</w:t>
      </w:r>
      <w:r w:rsidRPr="00714400">
        <w:rPr>
          <w:rStyle w:val="Endofdocument-AnnexChar"/>
        </w:rPr>
        <w:t xml:space="preserve"> contributes, through its scrutiny function, to the maintenance of the highest standards of financial management;  reviews the operation and effectiveness of the Financial Regulations;  monitors the delivery and content of financial statements in line with WIPO’s Financial Regulations;  and, monitors the timely, effective and appropriate responses from management to audit recommendations.</w:t>
      </w:r>
    </w:p>
    <w:p w:rsidR="00E63AAF" w:rsidRPr="00714400" w:rsidRDefault="00E63AAF" w:rsidP="009F3B18">
      <w:pPr>
        <w:pStyle w:val="BodyText"/>
        <w:spacing w:before="120"/>
        <w:ind w:left="567"/>
        <w:rPr>
          <w:rStyle w:val="Endofdocument-AnnexChar"/>
          <w:u w:val="single"/>
        </w:rPr>
      </w:pPr>
      <w:r w:rsidRPr="00714400">
        <w:rPr>
          <w:rStyle w:val="Endofdocument-AnnexChar"/>
          <w:u w:val="single"/>
        </w:rPr>
        <w:t xml:space="preserve">Item 9:  Annual Financial </w:t>
      </w:r>
      <w:r>
        <w:rPr>
          <w:rStyle w:val="Endofdocument-AnnexChar"/>
          <w:u w:val="single"/>
        </w:rPr>
        <w:t xml:space="preserve">Report and Financial </w:t>
      </w:r>
      <w:r w:rsidRPr="00714400">
        <w:rPr>
          <w:rStyle w:val="Endofdocument-AnnexChar"/>
          <w:u w:val="single"/>
        </w:rPr>
        <w:t>Statements 2012 (Document</w:t>
      </w:r>
      <w:r>
        <w:rPr>
          <w:rStyle w:val="Endofdocument-AnnexChar"/>
          <w:u w:val="single"/>
        </w:rPr>
        <w:t> </w:t>
      </w:r>
      <w:r w:rsidRPr="00714400">
        <w:rPr>
          <w:rStyle w:val="Endofdocument-AnnexChar"/>
          <w:u w:val="single"/>
        </w:rPr>
        <w:t>WO/PBC/21/4)</w:t>
      </w:r>
    </w:p>
    <w:p w:rsidR="00E63AAF" w:rsidRPr="00714400" w:rsidRDefault="00E63AAF" w:rsidP="00787A1A">
      <w:pPr>
        <w:pStyle w:val="BodyText"/>
        <w:rPr>
          <w:rFonts w:eastAsia="Cambria"/>
        </w:rPr>
      </w:pPr>
      <w:r>
        <w:rPr>
          <w:rFonts w:eastAsia="Cambria"/>
        </w:rPr>
        <w:fldChar w:fldCharType="begin"/>
      </w:r>
      <w:r>
        <w:rPr>
          <w:rFonts w:eastAsia="Cambria"/>
        </w:rPr>
        <w:instrText xml:space="preserve"> AUTONUM  </w:instrText>
      </w:r>
      <w:r>
        <w:rPr>
          <w:rFonts w:eastAsia="Cambria"/>
        </w:rPr>
        <w:fldChar w:fldCharType="end"/>
      </w:r>
      <w:r>
        <w:rPr>
          <w:rFonts w:eastAsia="Cambria"/>
        </w:rPr>
        <w:tab/>
      </w:r>
      <w:r w:rsidRPr="00714400">
        <w:rPr>
          <w:rFonts w:eastAsia="Cambria"/>
        </w:rPr>
        <w:t>The IAOC notes the unqualified opinion of the EA on the 2012 Financial Statements.</w:t>
      </w:r>
    </w:p>
    <w:p w:rsidR="00E63AAF" w:rsidRPr="00714400" w:rsidRDefault="00E63AAF" w:rsidP="009F3B18">
      <w:pPr>
        <w:pStyle w:val="BodyText"/>
        <w:spacing w:before="120"/>
        <w:ind w:left="567"/>
        <w:rPr>
          <w:u w:val="single"/>
        </w:rPr>
      </w:pPr>
      <w:r w:rsidRPr="00714400">
        <w:rPr>
          <w:rStyle w:val="Endofdocument-AnnexChar"/>
          <w:u w:val="single"/>
        </w:rPr>
        <w:t>Item 10:  Status of the Utilization of Reserves (document WO/PBC/21/7)</w:t>
      </w:r>
    </w:p>
    <w:p w:rsidR="00E63AAF" w:rsidRPr="0097129B" w:rsidRDefault="00E63AAF" w:rsidP="0097129B">
      <w:pPr>
        <w:pStyle w:val="BodyText"/>
        <w:rPr>
          <w:rFonts w:eastAsia="Cambria"/>
        </w:rPr>
      </w:pPr>
      <w:r>
        <w:rPr>
          <w:rFonts w:eastAsia="Cambria"/>
        </w:rPr>
        <w:lastRenderedPageBreak/>
        <w:fldChar w:fldCharType="begin"/>
      </w:r>
      <w:r>
        <w:rPr>
          <w:rFonts w:eastAsia="Cambria"/>
        </w:rPr>
        <w:instrText xml:space="preserve"> AUTONUM  </w:instrText>
      </w:r>
      <w:r>
        <w:rPr>
          <w:rFonts w:eastAsia="Cambria"/>
        </w:rPr>
        <w:fldChar w:fldCharType="end"/>
      </w:r>
      <w:r>
        <w:rPr>
          <w:rFonts w:eastAsia="Cambria"/>
        </w:rPr>
        <w:tab/>
      </w:r>
      <w:r w:rsidRPr="00714400">
        <w:rPr>
          <w:rFonts w:eastAsia="Cambria"/>
        </w:rPr>
        <w:t xml:space="preserve">During the reporting period, the IAOC sought clarification on a number of financial reporting issues, including on the use of WIPO Reserves.   It explained its concerns, and those expressed by Member States, to the Chief Financial Officer (Controller) (CFO), in particular on utilization of Reserves for the New Construction Projects.  The CFO outlined procedures followed in line with the WIPO Policy on the Use of Reserves, including approval by the PBC for the incurring of expenditure for capital projects through Reserves.  Detailed discussions included those relating to certain definitions and terminology.  The Secretariat agreed that its reporting format could be modified to facilitate clearer understanding of the use of Reserves and the Secretariat is currently exploring alternatives for separate depiction of the Reserves in the Statements for application for the 2013 Statements.  </w:t>
      </w:r>
      <w:r>
        <w:rPr>
          <w:rFonts w:eastAsia="Cambria"/>
        </w:rPr>
        <w:br/>
      </w:r>
    </w:p>
    <w:p w:rsidR="00E63AAF" w:rsidRPr="00714400" w:rsidRDefault="00E63AAF" w:rsidP="00AC04CF">
      <w:pPr>
        <w:pStyle w:val="BodyText"/>
        <w:ind w:left="567" w:right="566"/>
        <w:rPr>
          <w:rStyle w:val="Endofdocument-AnnexChar"/>
          <w:u w:val="single"/>
        </w:rPr>
      </w:pPr>
      <w:r w:rsidRPr="00714400">
        <w:rPr>
          <w:rStyle w:val="Endofdocument-AnnexChar"/>
          <w:u w:val="single"/>
        </w:rPr>
        <w:t>Item 11:  Annual Report on Human Resources (document WO/PBC/21/13)</w:t>
      </w:r>
    </w:p>
    <w:p w:rsidR="00E63AAF" w:rsidRPr="00714400" w:rsidRDefault="00E63AAF" w:rsidP="00787A1A">
      <w:pPr>
        <w:pStyle w:val="BodyText"/>
        <w:rPr>
          <w:rStyle w:val="Endofdocument-AnnexChar"/>
        </w:rPr>
      </w:pPr>
      <w:r>
        <w:rPr>
          <w:rStyle w:val="Endofdocument-AnnexChar"/>
        </w:rPr>
        <w:fldChar w:fldCharType="begin"/>
      </w:r>
      <w:r>
        <w:rPr>
          <w:rStyle w:val="Endofdocument-AnnexChar"/>
        </w:rPr>
        <w:instrText xml:space="preserve"> AUTONUM  </w:instrText>
      </w:r>
      <w:r>
        <w:rPr>
          <w:rStyle w:val="Endofdocument-AnnexChar"/>
        </w:rPr>
        <w:fldChar w:fldCharType="end"/>
      </w:r>
      <w:r>
        <w:rPr>
          <w:rStyle w:val="Endofdocument-AnnexChar"/>
        </w:rPr>
        <w:tab/>
      </w:r>
      <w:r w:rsidRPr="00714400">
        <w:rPr>
          <w:rStyle w:val="Endofdocument-AnnexChar"/>
        </w:rPr>
        <w:t xml:space="preserve">The Committee puts on record its appreciation of the finalization of the WIPO Human Resources Strategy.  </w:t>
      </w:r>
    </w:p>
    <w:p w:rsidR="00E63AAF" w:rsidRPr="00714400" w:rsidRDefault="00E63AAF" w:rsidP="00787A1A">
      <w:pPr>
        <w:pStyle w:val="BodyText"/>
        <w:rPr>
          <w:rStyle w:val="Endofdocument-AnnexChar"/>
        </w:rPr>
      </w:pPr>
      <w:r>
        <w:rPr>
          <w:rStyle w:val="Endofdocument-AnnexChar"/>
        </w:rPr>
        <w:fldChar w:fldCharType="begin"/>
      </w:r>
      <w:r>
        <w:rPr>
          <w:rStyle w:val="Endofdocument-AnnexChar"/>
        </w:rPr>
        <w:instrText xml:space="preserve"> AUTONUM  </w:instrText>
      </w:r>
      <w:r>
        <w:rPr>
          <w:rStyle w:val="Endofdocument-AnnexChar"/>
        </w:rPr>
        <w:fldChar w:fldCharType="end"/>
      </w:r>
      <w:r>
        <w:rPr>
          <w:rStyle w:val="Endofdocument-AnnexChar"/>
        </w:rPr>
        <w:tab/>
      </w:r>
      <w:r w:rsidRPr="00714400">
        <w:rPr>
          <w:rStyle w:val="Endofdocument-AnnexChar"/>
        </w:rPr>
        <w:t>In its last annual report</w:t>
      </w:r>
      <w:r>
        <w:rPr>
          <w:rStyle w:val="Endofdocument-AnnexChar"/>
        </w:rPr>
        <w:t>,</w:t>
      </w:r>
      <w:r w:rsidRPr="00714400">
        <w:rPr>
          <w:rStyle w:val="Endofdocument-AnnexChar"/>
        </w:rPr>
        <w:t xml:space="preserve"> the IAOC drew Member States attention to the large number of recommendations ranked as being of high risk in IAOD’s internal audit report on human resources management.  The IAOC followed up on the recommendations directly with the Director of HRMD at three meetings during the period.  At its 30</w:t>
      </w:r>
      <w:r w:rsidRPr="00714400">
        <w:rPr>
          <w:rStyle w:val="Endofdocument-AnnexChar"/>
          <w:vertAlign w:val="superscript"/>
        </w:rPr>
        <w:t>th</w:t>
      </w:r>
      <w:r w:rsidRPr="00714400">
        <w:rPr>
          <w:rStyle w:val="Endofdocument-AnnexChar"/>
        </w:rPr>
        <w:t xml:space="preserve"> session, it also raised the recommendations of the EA.  It notes with appreciation the work carried out that has resulted in closure of 39 of</w:t>
      </w:r>
      <w:r w:rsidRPr="00714400">
        <w:t xml:space="preserve"> the 52 open human resources related audit recommendations recorded in July</w:t>
      </w:r>
      <w:r>
        <w:t> </w:t>
      </w:r>
      <w:r w:rsidRPr="00714400">
        <w:t>2012 and that implementation of the remaining recommendations is planned by the end of 2013.  The IAOC will continue to follow up on the recommendations within the context of IAOD’s regular six monthly reporting to the IAOC on the status of implementation of internal and external audit recommendations.</w:t>
      </w:r>
    </w:p>
    <w:p w:rsidR="00E63AAF" w:rsidRPr="00714400" w:rsidRDefault="00E63AAF" w:rsidP="00AC04CF">
      <w:pPr>
        <w:pStyle w:val="BodyText"/>
        <w:spacing w:before="120"/>
        <w:ind w:left="567" w:right="425"/>
        <w:rPr>
          <w:rStyle w:val="Endofdocument-AnnexChar"/>
          <w:u w:val="single"/>
        </w:rPr>
      </w:pPr>
      <w:r w:rsidRPr="00714400">
        <w:rPr>
          <w:rStyle w:val="Endofdocument-AnnexChar"/>
          <w:u w:val="single"/>
        </w:rPr>
        <w:t>Item 12:  Report on the Implementation of Cost Efficiency Measures (document</w:t>
      </w:r>
      <w:r>
        <w:rPr>
          <w:rStyle w:val="Endofdocument-AnnexChar"/>
          <w:u w:val="single"/>
        </w:rPr>
        <w:t> </w:t>
      </w:r>
      <w:r w:rsidRPr="00714400">
        <w:rPr>
          <w:rStyle w:val="Endofdocument-AnnexChar"/>
          <w:u w:val="single"/>
        </w:rPr>
        <w:t>WO/PBC/21/19)</w:t>
      </w:r>
    </w:p>
    <w:p w:rsidR="00E63AAF" w:rsidRPr="00714400" w:rsidRDefault="00E63AAF" w:rsidP="00787A1A">
      <w:pPr>
        <w:pStyle w:val="BodyText"/>
        <w:rPr>
          <w:rStyle w:val="Endofdocument-AnnexChar"/>
          <w:rFonts w:eastAsia="Cambria"/>
        </w:rPr>
      </w:pPr>
      <w:r>
        <w:rPr>
          <w:rStyle w:val="Endofdocument-AnnexChar"/>
        </w:rPr>
        <w:fldChar w:fldCharType="begin"/>
      </w:r>
      <w:r>
        <w:rPr>
          <w:rStyle w:val="Endofdocument-AnnexChar"/>
        </w:rPr>
        <w:instrText xml:space="preserve"> AUTONUM  </w:instrText>
      </w:r>
      <w:r>
        <w:rPr>
          <w:rStyle w:val="Endofdocument-AnnexChar"/>
        </w:rPr>
        <w:fldChar w:fldCharType="end"/>
      </w:r>
      <w:r>
        <w:rPr>
          <w:rStyle w:val="Endofdocument-AnnexChar"/>
        </w:rPr>
        <w:tab/>
      </w:r>
      <w:r w:rsidRPr="00714400">
        <w:rPr>
          <w:rStyle w:val="Endofdocument-AnnexChar"/>
        </w:rPr>
        <w:t xml:space="preserve">The IAOC noted the response of Management to the directives of the PBC to implement cost efficiency measures and took note of document WO/PBC/21/19 which provides details of the efforts taken and the results achieved so far.  The Committee discussed with the Assistant Director General for Administration and Management who stated that ongoing efforts were being made.  The Committee notes that the various measures which have been taken so far, together with any further measures that may be introduced, should form part of the ongoing process to identify activities that can be modified or eliminated, particularly in the light of IT systems being introduced. </w:t>
      </w:r>
    </w:p>
    <w:p w:rsidR="00E63AAF" w:rsidRPr="00714400" w:rsidRDefault="00E63AAF" w:rsidP="00527C51">
      <w:pPr>
        <w:pStyle w:val="Heading4"/>
        <w:rPr>
          <w:rStyle w:val="Endofdocument-AnnexChar"/>
        </w:rPr>
      </w:pPr>
      <w:bookmarkStart w:id="26" w:name="_Toc365988691"/>
      <w:r w:rsidRPr="00714400">
        <w:rPr>
          <w:rStyle w:val="Endofdocument-AnnexChar"/>
        </w:rPr>
        <w:t>Planning and Budgeting</w:t>
      </w:r>
      <w:bookmarkEnd w:id="26"/>
    </w:p>
    <w:p w:rsidR="00E63AAF" w:rsidRPr="00714400" w:rsidRDefault="00E63AAF" w:rsidP="00787A1A">
      <w:pPr>
        <w:pStyle w:val="BodyText"/>
      </w:pPr>
      <w:r>
        <w:fldChar w:fldCharType="begin"/>
      </w:r>
      <w:r>
        <w:instrText xml:space="preserve"> AUTONUM  </w:instrText>
      </w:r>
      <w:r>
        <w:fldChar w:fldCharType="end"/>
      </w:r>
      <w:r>
        <w:tab/>
      </w:r>
      <w:r w:rsidRPr="00714400">
        <w:t xml:space="preserve">Under paragraphs 28 and 29 of the IOC, the IAOC advises on the allocation of resources to IAOD in the proposed Program and Budget, and </w:t>
      </w:r>
      <w:r>
        <w:t>on the adequacy of staffing of</w:t>
      </w:r>
      <w:r w:rsidRPr="00714400">
        <w:t xml:space="preserve"> IAOD.  In this connection, the Committee agrees to the proposed resource allocation for Program 26 in the proposed 2014/15 Program and Budget.</w:t>
      </w:r>
    </w:p>
    <w:p w:rsidR="00E63AAF" w:rsidRPr="00714400" w:rsidRDefault="00E63AAF" w:rsidP="00164B70">
      <w:pPr>
        <w:pStyle w:val="Heading4"/>
        <w:ind w:firstLine="567"/>
      </w:pPr>
      <w:bookmarkStart w:id="27" w:name="_Toc365988692"/>
      <w:r>
        <w:br w:type="page"/>
      </w:r>
      <w:r w:rsidRPr="00714400">
        <w:lastRenderedPageBreak/>
        <w:t>Progress Reports on Major Projects and Administrative Matters</w:t>
      </w:r>
      <w:bookmarkEnd w:id="27"/>
    </w:p>
    <w:p w:rsidR="00E63AAF" w:rsidRPr="00714400" w:rsidRDefault="00E63AAF" w:rsidP="00787A1A">
      <w:pPr>
        <w:pStyle w:val="BodyText"/>
      </w:pPr>
      <w:r>
        <w:fldChar w:fldCharType="begin"/>
      </w:r>
      <w:r>
        <w:instrText xml:space="preserve"> AUTONUM  </w:instrText>
      </w:r>
      <w:r>
        <w:fldChar w:fldCharType="end"/>
      </w:r>
      <w:r>
        <w:tab/>
      </w:r>
      <w:r w:rsidRPr="00714400">
        <w:t xml:space="preserve">Under paragraph </w:t>
      </w:r>
      <w:proofErr w:type="gramStart"/>
      <w:r w:rsidRPr="00714400">
        <w:t>B2(</w:t>
      </w:r>
      <w:proofErr w:type="gramEnd"/>
      <w:r w:rsidRPr="00714400">
        <w:t xml:space="preserve">d) of the IAOC’s terms of reference, the PBC may request the IAOC to review or oversee particular activities and projects.  During the period, the IAOC continued to oversee the WIPO’s Strategic Realignment Program (SRP) and the New Construction Projects.  </w:t>
      </w:r>
    </w:p>
    <w:p w:rsidR="00E63AAF" w:rsidRPr="00714400" w:rsidRDefault="00E63AAF" w:rsidP="00AC04CF">
      <w:pPr>
        <w:pStyle w:val="BodyText"/>
        <w:spacing w:before="120"/>
        <w:ind w:left="567" w:right="284"/>
        <w:rPr>
          <w:u w:val="single"/>
        </w:rPr>
      </w:pPr>
      <w:r w:rsidRPr="00714400">
        <w:rPr>
          <w:u w:val="single"/>
        </w:rPr>
        <w:t>Item 16:  Final Report on the Implementation of the WIPO Strategic Realignment Program (SRP) (document WO/PBC/21/10)</w:t>
      </w:r>
    </w:p>
    <w:p w:rsidR="00E63AAF" w:rsidRPr="00714400" w:rsidRDefault="00E63AAF" w:rsidP="00787A1A">
      <w:pPr>
        <w:pStyle w:val="BodyText"/>
      </w:pPr>
      <w:r>
        <w:fldChar w:fldCharType="begin"/>
      </w:r>
      <w:r>
        <w:instrText xml:space="preserve"> AUTONUM  </w:instrText>
      </w:r>
      <w:r>
        <w:fldChar w:fldCharType="end"/>
      </w:r>
      <w:r>
        <w:tab/>
      </w:r>
      <w:r w:rsidRPr="00714400">
        <w:t>The IAOC reviewed SRP quarterly progress reports and noted receipt of a final SRP quarterly progress report in May.</w:t>
      </w:r>
    </w:p>
    <w:p w:rsidR="00E63AAF" w:rsidRPr="00714400" w:rsidRDefault="00E63AAF" w:rsidP="00787A1A">
      <w:pPr>
        <w:pStyle w:val="BodyText"/>
      </w:pPr>
      <w:r>
        <w:fldChar w:fldCharType="begin"/>
      </w:r>
      <w:r>
        <w:instrText xml:space="preserve"> AUTONUM  </w:instrText>
      </w:r>
      <w:r>
        <w:fldChar w:fldCharType="end"/>
      </w:r>
      <w:r>
        <w:tab/>
      </w:r>
      <w:r w:rsidRPr="00714400">
        <w:t xml:space="preserve">Since 2011, the IAOC has focused on risk management and Ethics within the context of the SRP.  Risk management has also been reviewed within the context of an Enterprise Risk Management (ERM) roadmap prepared by the Secretariat.  </w:t>
      </w:r>
    </w:p>
    <w:p w:rsidR="00E63AAF" w:rsidRPr="00714400" w:rsidRDefault="00E63AAF" w:rsidP="007A0FF1">
      <w:pPr>
        <w:pStyle w:val="BodyText"/>
        <w:tabs>
          <w:tab w:val="num" w:pos="567"/>
        </w:tabs>
        <w:ind w:firstLine="567"/>
        <w:rPr>
          <w:i/>
        </w:rPr>
      </w:pPr>
      <w:r w:rsidRPr="00714400">
        <w:rPr>
          <w:i/>
        </w:rPr>
        <w:t xml:space="preserve">Risk Management </w:t>
      </w:r>
    </w:p>
    <w:p w:rsidR="00E63AAF" w:rsidRPr="00714400" w:rsidRDefault="00E63AAF" w:rsidP="00787A1A">
      <w:pPr>
        <w:pStyle w:val="ONUME"/>
        <w:tabs>
          <w:tab w:val="clear" w:pos="360"/>
        </w:tabs>
        <w:ind w:left="0" w:right="-143" w:firstLine="0"/>
      </w:pPr>
      <w:r>
        <w:rPr>
          <w:szCs w:val="22"/>
        </w:rPr>
        <w:fldChar w:fldCharType="begin"/>
      </w:r>
      <w:r>
        <w:rPr>
          <w:szCs w:val="22"/>
        </w:rPr>
        <w:instrText xml:space="preserve"> AUTONUM  </w:instrText>
      </w:r>
      <w:r>
        <w:rPr>
          <w:szCs w:val="22"/>
        </w:rPr>
        <w:fldChar w:fldCharType="end"/>
      </w:r>
      <w:r>
        <w:rPr>
          <w:szCs w:val="22"/>
        </w:rPr>
        <w:tab/>
      </w:r>
      <w:r w:rsidRPr="00714400">
        <w:rPr>
          <w:szCs w:val="22"/>
        </w:rPr>
        <w:t>During the period, a number of important ERM milestones were reached including:  incorporation of a risk management process into the annual work planning cycle; inclusion of identification of risks and risk mitigation measures in the 2014/15 draft Program and Budget; and, the drafting of a WIPO Risk Policy.  The IAOC also welcomed the establishment of a WIPO Risk Management and Internal Controls Board, chaired by the Director General, issuance of an Office Instruction on Business Continuity Management, and the Secretariat’s decision to seek certification of compliance with the ISO/IEC 27000 series, the latter being an international standard for information technology security techniques and management systems.</w:t>
      </w:r>
      <w:r w:rsidRPr="00714400">
        <w:t xml:space="preserve">  </w:t>
      </w:r>
    </w:p>
    <w:p w:rsidR="00E63AAF" w:rsidRPr="00714400" w:rsidRDefault="00E63AAF" w:rsidP="00787A1A">
      <w:pPr>
        <w:pStyle w:val="ONUME"/>
        <w:tabs>
          <w:tab w:val="clear" w:pos="360"/>
        </w:tabs>
        <w:ind w:left="0" w:right="-143" w:firstLine="0"/>
      </w:pPr>
      <w:r>
        <w:fldChar w:fldCharType="begin"/>
      </w:r>
      <w:r>
        <w:instrText xml:space="preserve"> AUTONUM  </w:instrText>
      </w:r>
      <w:r>
        <w:fldChar w:fldCharType="end"/>
      </w:r>
      <w:r>
        <w:tab/>
      </w:r>
      <w:r w:rsidRPr="00714400">
        <w:t xml:space="preserve">The IAOC looks forward to continued progress on ERM implementation including, for the next period, development of WIPO’s risk appetite, performance reporting on risks to Member States and improvements to risk mitigation controls.  </w:t>
      </w:r>
    </w:p>
    <w:p w:rsidR="00E63AAF" w:rsidRPr="00714400" w:rsidRDefault="00E63AAF" w:rsidP="007A0FF1">
      <w:pPr>
        <w:pStyle w:val="BodyText"/>
        <w:tabs>
          <w:tab w:val="left" w:pos="567"/>
        </w:tabs>
        <w:rPr>
          <w:i/>
        </w:rPr>
      </w:pPr>
      <w:r w:rsidRPr="00714400">
        <w:rPr>
          <w:i/>
        </w:rPr>
        <w:tab/>
        <w:t xml:space="preserve">Ethics </w:t>
      </w:r>
    </w:p>
    <w:p w:rsidR="00E63AAF" w:rsidRPr="00714400" w:rsidRDefault="00E63AAF" w:rsidP="00787A1A">
      <w:pPr>
        <w:pStyle w:val="BodyText"/>
        <w:rPr>
          <w:szCs w:val="22"/>
        </w:rPr>
      </w:pPr>
      <w:r>
        <w:rPr>
          <w:szCs w:val="22"/>
        </w:rPr>
        <w:fldChar w:fldCharType="begin"/>
      </w:r>
      <w:r>
        <w:rPr>
          <w:szCs w:val="22"/>
        </w:rPr>
        <w:instrText xml:space="preserve"> AUTONUM  </w:instrText>
      </w:r>
      <w:r>
        <w:rPr>
          <w:szCs w:val="22"/>
        </w:rPr>
        <w:fldChar w:fldCharType="end"/>
      </w:r>
      <w:r>
        <w:rPr>
          <w:szCs w:val="22"/>
        </w:rPr>
        <w:tab/>
      </w:r>
      <w:r w:rsidRPr="00714400">
        <w:rPr>
          <w:szCs w:val="22"/>
        </w:rPr>
        <w:t xml:space="preserve">During the period, a Whistleblower Protection Policy was issued and classroom based Ethics training took place for WIPO staff.  </w:t>
      </w:r>
      <w:r w:rsidRPr="00714400">
        <w:rPr>
          <w:color w:val="000000"/>
          <w:szCs w:val="22"/>
        </w:rPr>
        <w:t xml:space="preserve">The IAOC was informed that a WIPO Financial Disclosure Policy is expected to be launched by the end of 2013. </w:t>
      </w:r>
      <w:r w:rsidRPr="00714400">
        <w:rPr>
          <w:szCs w:val="22"/>
        </w:rPr>
        <w:t xml:space="preserve"> The IAOC looks forward to a progress report on Ethics-related issues at its 31</w:t>
      </w:r>
      <w:r w:rsidRPr="00714400">
        <w:rPr>
          <w:szCs w:val="22"/>
          <w:vertAlign w:val="superscript"/>
        </w:rPr>
        <w:t>st</w:t>
      </w:r>
      <w:r w:rsidRPr="00714400">
        <w:rPr>
          <w:szCs w:val="22"/>
        </w:rPr>
        <w:t xml:space="preserve"> session in November, at which time the IAOC will also follow up with the Officer on the issue of mitigation of risks related to the commercial value of confidential information handled by staff, an issue that the IAOC raised in 2011.</w:t>
      </w:r>
    </w:p>
    <w:p w:rsidR="00E63AAF" w:rsidRPr="00714400" w:rsidRDefault="00E63AAF" w:rsidP="00AC04CF">
      <w:pPr>
        <w:pStyle w:val="BodyText"/>
        <w:tabs>
          <w:tab w:val="left" w:pos="567"/>
        </w:tabs>
        <w:spacing w:before="120"/>
        <w:ind w:left="567" w:right="567"/>
        <w:rPr>
          <w:u w:val="single"/>
        </w:rPr>
      </w:pPr>
      <w:r w:rsidRPr="00714400">
        <w:rPr>
          <w:u w:val="single"/>
        </w:rPr>
        <w:t xml:space="preserve">Item 17:  Progress Report on the </w:t>
      </w:r>
      <w:r>
        <w:rPr>
          <w:u w:val="single"/>
        </w:rPr>
        <w:t xml:space="preserve">New Conference Hall Project and New </w:t>
      </w:r>
      <w:r w:rsidRPr="00714400">
        <w:rPr>
          <w:u w:val="single"/>
        </w:rPr>
        <w:t>Construction Project (document WO/PBC/21/11)</w:t>
      </w:r>
    </w:p>
    <w:p w:rsidR="00E63AAF" w:rsidRPr="00714400" w:rsidRDefault="00E63AAF" w:rsidP="00787A1A">
      <w:pPr>
        <w:pStyle w:val="BodyText"/>
      </w:pPr>
      <w:r>
        <w:fldChar w:fldCharType="begin"/>
      </w:r>
      <w:r>
        <w:instrText xml:space="preserve"> AUTONUM  </w:instrText>
      </w:r>
      <w:r>
        <w:fldChar w:fldCharType="end"/>
      </w:r>
      <w:r>
        <w:tab/>
      </w:r>
      <w:r w:rsidRPr="00714400">
        <w:t xml:space="preserve">During the period, the IAOC increased its oversight of the NCPs following </w:t>
      </w:r>
      <w:r>
        <w:t xml:space="preserve">the amicable and jointly agreed separation between WIPO and the former general contractor and </w:t>
      </w:r>
      <w:r w:rsidRPr="00714400">
        <w:t>WIPO’s decision to dispense with the services of a general contractor and assume direct responsibility for the Projects.  In addition to monitoring progress, the IAOC provided close guidance for the development of an enhanced monitoring and reporting mechanism commensurate with WIPO’s new responsibilities, and enhanced auditing of the Projects.  Key points from the IAOC’s quarterly session reports follow.</w:t>
      </w:r>
    </w:p>
    <w:p w:rsidR="00E63AAF" w:rsidRPr="00714400" w:rsidRDefault="00E63AAF" w:rsidP="00164B70">
      <w:pPr>
        <w:rPr>
          <w:i/>
        </w:rPr>
      </w:pPr>
      <w:r w:rsidRPr="00714400">
        <w:rPr>
          <w:i/>
        </w:rPr>
        <w:tab/>
        <w:t xml:space="preserve">Progress on the New Conference Hall Project </w:t>
      </w:r>
    </w:p>
    <w:p w:rsidR="00E63AAF" w:rsidRPr="00714400" w:rsidRDefault="00E63AAF" w:rsidP="00164B70"/>
    <w:p w:rsidR="00E63AAF" w:rsidRPr="00714400" w:rsidRDefault="00E63AAF" w:rsidP="00787A1A">
      <w:pPr>
        <w:pStyle w:val="ONUME"/>
        <w:tabs>
          <w:tab w:val="clear" w:pos="360"/>
        </w:tabs>
        <w:ind w:left="0" w:firstLine="0"/>
      </w:pPr>
      <w:r>
        <w:fldChar w:fldCharType="begin"/>
      </w:r>
      <w:r>
        <w:instrText xml:space="preserve"> AUTONUM  </w:instrText>
      </w:r>
      <w:r>
        <w:fldChar w:fldCharType="end"/>
      </w:r>
      <w:r>
        <w:tab/>
      </w:r>
      <w:r w:rsidRPr="00714400">
        <w:t>At its 27</w:t>
      </w:r>
      <w:r w:rsidRPr="00714400">
        <w:rPr>
          <w:vertAlign w:val="superscript"/>
        </w:rPr>
        <w:t>th</w:t>
      </w:r>
      <w:r w:rsidRPr="00714400">
        <w:t xml:space="preserve"> session, the IAOC was informed that the overall situation was expected to become fully stable </w:t>
      </w:r>
      <w:r w:rsidRPr="00714400">
        <w:rPr>
          <w:szCs w:val="22"/>
        </w:rPr>
        <w:t>at the end of January 2013, and that completion within budget was confidently expected.  At that time, a revised provisional timetable was under preparation and the Project Risk Register was being re</w:t>
      </w:r>
      <w:r w:rsidRPr="00714400">
        <w:rPr>
          <w:szCs w:val="22"/>
        </w:rPr>
        <w:noBreakHyphen/>
        <w:t xml:space="preserve">drafted.  </w:t>
      </w:r>
    </w:p>
    <w:p w:rsidR="00E63AAF" w:rsidRPr="00714400" w:rsidRDefault="00E63AAF" w:rsidP="00787A1A">
      <w:pPr>
        <w:pStyle w:val="ONUME"/>
        <w:tabs>
          <w:tab w:val="clear" w:pos="360"/>
        </w:tabs>
        <w:ind w:left="0" w:firstLine="0"/>
      </w:pPr>
      <w:r>
        <w:rPr>
          <w:szCs w:val="22"/>
        </w:rPr>
        <w:lastRenderedPageBreak/>
        <w:fldChar w:fldCharType="begin"/>
      </w:r>
      <w:r>
        <w:rPr>
          <w:szCs w:val="22"/>
        </w:rPr>
        <w:instrText xml:space="preserve"> AUTONUM  </w:instrText>
      </w:r>
      <w:r>
        <w:rPr>
          <w:szCs w:val="22"/>
        </w:rPr>
        <w:fldChar w:fldCharType="end"/>
      </w:r>
      <w:r>
        <w:rPr>
          <w:szCs w:val="22"/>
        </w:rPr>
        <w:tab/>
      </w:r>
      <w:r w:rsidRPr="00714400">
        <w:rPr>
          <w:szCs w:val="22"/>
        </w:rPr>
        <w:t>At its 28</w:t>
      </w:r>
      <w:r w:rsidRPr="00714400">
        <w:rPr>
          <w:szCs w:val="22"/>
          <w:vertAlign w:val="superscript"/>
        </w:rPr>
        <w:t>th</w:t>
      </w:r>
      <w:r w:rsidRPr="00714400">
        <w:rPr>
          <w:szCs w:val="22"/>
        </w:rPr>
        <w:t xml:space="preserve"> session, progress was indicated by the award of some 32 contracts for a total amount of 42.4 million Swiss francs (84.8% of the construction cost) and a revised </w:t>
      </w:r>
      <w:r w:rsidRPr="00714400">
        <w:t>completion date of February 28, 2014, with the Hall expected</w:t>
      </w:r>
      <w:r w:rsidRPr="00714400">
        <w:rPr>
          <w:szCs w:val="22"/>
        </w:rPr>
        <w:t xml:space="preserve"> to become operational by summer 2014.  </w:t>
      </w:r>
    </w:p>
    <w:p w:rsidR="00E63AAF" w:rsidRPr="00714400" w:rsidRDefault="00E63AAF" w:rsidP="00787A1A">
      <w:pPr>
        <w:pStyle w:val="ONUME"/>
        <w:tabs>
          <w:tab w:val="clear" w:pos="360"/>
        </w:tabs>
        <w:ind w:left="0" w:firstLine="0"/>
      </w:pPr>
      <w:r>
        <w:rPr>
          <w:szCs w:val="22"/>
        </w:rPr>
        <w:fldChar w:fldCharType="begin"/>
      </w:r>
      <w:r>
        <w:rPr>
          <w:szCs w:val="22"/>
        </w:rPr>
        <w:instrText xml:space="preserve"> AUTONUM  </w:instrText>
      </w:r>
      <w:r>
        <w:rPr>
          <w:szCs w:val="22"/>
        </w:rPr>
        <w:fldChar w:fldCharType="end"/>
      </w:r>
      <w:r>
        <w:rPr>
          <w:szCs w:val="22"/>
        </w:rPr>
        <w:tab/>
      </w:r>
      <w:r w:rsidRPr="00714400">
        <w:rPr>
          <w:szCs w:val="22"/>
        </w:rPr>
        <w:t>At its 29</w:t>
      </w:r>
      <w:r w:rsidRPr="00714400">
        <w:rPr>
          <w:szCs w:val="22"/>
          <w:vertAlign w:val="superscript"/>
        </w:rPr>
        <w:t>th</w:t>
      </w:r>
      <w:r w:rsidRPr="00714400">
        <w:rPr>
          <w:szCs w:val="22"/>
        </w:rPr>
        <w:t xml:space="preserve"> session, the IAOC </w:t>
      </w:r>
      <w:r w:rsidRPr="00714400">
        <w:rPr>
          <w:color w:val="000000"/>
          <w:szCs w:val="22"/>
        </w:rPr>
        <w:t xml:space="preserve">was informed of </w:t>
      </w:r>
      <w:r w:rsidRPr="00714400">
        <w:t xml:space="preserve">construction delays, the impact of which would be assessed at the end of May.  </w:t>
      </w:r>
      <w:r w:rsidRPr="00714400">
        <w:rPr>
          <w:color w:val="000000"/>
          <w:szCs w:val="22"/>
        </w:rPr>
        <w:t>It noted that, as at April 30, 2013, about 40 contracts had been awarded for a total of 45 million Swiss francs (90% of the construction cost) with the remaining contracts to be awarded representing some 4 to 5 million Swiss francs (less than 10%).  At that session, the IAOC</w:t>
      </w:r>
      <w:r w:rsidRPr="00714400">
        <w:t xml:space="preserve"> was informed that the approved budget and provisions continued to be sufficient to absorb all commitments.  </w:t>
      </w:r>
    </w:p>
    <w:p w:rsidR="00E63AAF" w:rsidRPr="00714400" w:rsidRDefault="00E63AAF" w:rsidP="00787A1A">
      <w:pPr>
        <w:pStyle w:val="ONUME"/>
        <w:tabs>
          <w:tab w:val="clear" w:pos="360"/>
        </w:tabs>
        <w:ind w:left="0" w:firstLine="0"/>
      </w:pPr>
      <w:r>
        <w:fldChar w:fldCharType="begin"/>
      </w:r>
      <w:r>
        <w:instrText xml:space="preserve"> AUTONUM  </w:instrText>
      </w:r>
      <w:r>
        <w:fldChar w:fldCharType="end"/>
      </w:r>
      <w:r>
        <w:tab/>
      </w:r>
      <w:r w:rsidRPr="00714400">
        <w:t>At its 30</w:t>
      </w:r>
      <w:r w:rsidRPr="00714400">
        <w:rPr>
          <w:vertAlign w:val="superscript"/>
        </w:rPr>
        <w:t>th</w:t>
      </w:r>
      <w:r w:rsidRPr="00714400">
        <w:t xml:space="preserve"> session, 50 awards had been made representing a total of 46.5 million Swiss francs (some 93% of the construction costs).  Some 6 to 8 future awards are to be made representing 4 million Swiss francs (some 7% of construction costs).  The Secretariat stated that the construction delays previously reported amounted to only a few weeks and that the exact impact on the overall timetable would shortly be known.</w:t>
      </w:r>
    </w:p>
    <w:p w:rsidR="00E63AAF" w:rsidRPr="00714400" w:rsidRDefault="00E63AAF" w:rsidP="00393FE0">
      <w:pPr>
        <w:rPr>
          <w:i/>
        </w:rPr>
      </w:pPr>
      <w:r w:rsidRPr="00714400">
        <w:rPr>
          <w:i/>
        </w:rPr>
        <w:tab/>
        <w:t xml:space="preserve">Progress on the New Administrative Building </w:t>
      </w:r>
    </w:p>
    <w:p w:rsidR="00E63AAF" w:rsidRPr="00714400" w:rsidRDefault="00E63AAF" w:rsidP="00393FE0">
      <w:pPr>
        <w:tabs>
          <w:tab w:val="left" w:pos="567"/>
        </w:tabs>
      </w:pPr>
    </w:p>
    <w:p w:rsidR="00E63AAF" w:rsidRPr="00714400" w:rsidRDefault="00E63AAF" w:rsidP="00787A1A">
      <w:pPr>
        <w:pStyle w:val="BodyText"/>
      </w:pPr>
      <w:r>
        <w:fldChar w:fldCharType="begin"/>
      </w:r>
      <w:r>
        <w:instrText xml:space="preserve"> AUTONUM  </w:instrText>
      </w:r>
      <w:r>
        <w:fldChar w:fldCharType="end"/>
      </w:r>
      <w:r>
        <w:tab/>
      </w:r>
      <w:r w:rsidRPr="00714400">
        <w:t>The Committee was apprised of the ongoing repair and replacement works for the New Administrative Building.  At its 27</w:t>
      </w:r>
      <w:r w:rsidRPr="00714400">
        <w:rPr>
          <w:vertAlign w:val="superscript"/>
        </w:rPr>
        <w:t>th</w:t>
      </w:r>
      <w:r w:rsidRPr="00714400">
        <w:t xml:space="preserve"> session, completion of works was expected for summer 2013, revised at its 28</w:t>
      </w:r>
      <w:r w:rsidRPr="00714400">
        <w:rPr>
          <w:vertAlign w:val="superscript"/>
        </w:rPr>
        <w:t>th</w:t>
      </w:r>
      <w:r w:rsidRPr="00714400">
        <w:t xml:space="preserve"> session to the end of 2013.  At its 29</w:t>
      </w:r>
      <w:r w:rsidRPr="00714400">
        <w:rPr>
          <w:vertAlign w:val="superscript"/>
        </w:rPr>
        <w:t>th</w:t>
      </w:r>
      <w:r w:rsidRPr="00714400">
        <w:t xml:space="preserve"> session, </w:t>
      </w:r>
      <w:r w:rsidRPr="00714400">
        <w:rPr>
          <w:szCs w:val="22"/>
        </w:rPr>
        <w:t>completion remained on track, except for replacement of certain windows to be completed in the summer 2014, a situation reported as unchanged at the IAOC’s 30</w:t>
      </w:r>
      <w:r w:rsidRPr="00714400">
        <w:rPr>
          <w:szCs w:val="22"/>
          <w:vertAlign w:val="superscript"/>
        </w:rPr>
        <w:t>th</w:t>
      </w:r>
      <w:r w:rsidRPr="00714400">
        <w:rPr>
          <w:szCs w:val="22"/>
        </w:rPr>
        <w:t xml:space="preserve"> session.  The IAOC was informed that all outstanding works continued to be covered through monies retained by WIPO from the balance owed to the general contractor.</w:t>
      </w:r>
      <w:r w:rsidRPr="00714400">
        <w:rPr>
          <w:rStyle w:val="Endofdocument-AnnexChar"/>
        </w:rPr>
        <w:t xml:space="preserve"> </w:t>
      </w:r>
    </w:p>
    <w:p w:rsidR="00E63AAF" w:rsidRPr="00714400" w:rsidRDefault="00E63AAF" w:rsidP="00381BCF">
      <w:pPr>
        <w:pStyle w:val="BodyText"/>
        <w:tabs>
          <w:tab w:val="left" w:pos="567"/>
        </w:tabs>
        <w:ind w:left="567"/>
        <w:rPr>
          <w:i/>
        </w:rPr>
      </w:pPr>
      <w:r w:rsidRPr="00714400">
        <w:rPr>
          <w:i/>
        </w:rPr>
        <w:t>Enhanced NCHP Project monitoring and reporting</w:t>
      </w:r>
    </w:p>
    <w:p w:rsidR="00E63AAF" w:rsidRPr="00714400" w:rsidRDefault="00E63AAF" w:rsidP="00787A1A">
      <w:pPr>
        <w:pStyle w:val="ONUME"/>
        <w:tabs>
          <w:tab w:val="clear" w:pos="360"/>
        </w:tabs>
        <w:ind w:left="0" w:firstLine="0"/>
      </w:pPr>
      <w:r>
        <w:fldChar w:fldCharType="begin"/>
      </w:r>
      <w:r>
        <w:instrText xml:space="preserve"> AUTONUM  </w:instrText>
      </w:r>
      <w:r>
        <w:fldChar w:fldCharType="end"/>
      </w:r>
      <w:r>
        <w:tab/>
      </w:r>
      <w:r w:rsidRPr="00714400">
        <w:t>At its 27</w:t>
      </w:r>
      <w:r w:rsidRPr="00714400">
        <w:rPr>
          <w:vertAlign w:val="superscript"/>
        </w:rPr>
        <w:t>th</w:t>
      </w:r>
      <w:r w:rsidRPr="00714400">
        <w:t xml:space="preserve"> session, the IAOC explained to and agreed with the Secretariat a detailed mechanism that disclosed planned versus actual expenses incurred by all sub-contractors together with information on the timeliness and quality of the expected deliverables.  Following receipt at its 28</w:t>
      </w:r>
      <w:r w:rsidRPr="00714400">
        <w:rPr>
          <w:vertAlign w:val="superscript"/>
        </w:rPr>
        <w:t>th</w:t>
      </w:r>
      <w:r w:rsidRPr="00714400">
        <w:t xml:space="preserve"> session of a more detailed progress report and cost</w:t>
      </w:r>
      <w:r w:rsidRPr="00714400">
        <w:rPr>
          <w:szCs w:val="22"/>
        </w:rPr>
        <w:t xml:space="preserve"> table, and an</w:t>
      </w:r>
      <w:r w:rsidRPr="00714400">
        <w:t xml:space="preserve"> updated Project Risk Register</w:t>
      </w:r>
      <w:r w:rsidRPr="00714400">
        <w:rPr>
          <w:szCs w:val="22"/>
        </w:rPr>
        <w:t>, the</w:t>
      </w:r>
      <w:r w:rsidRPr="00714400">
        <w:t xml:space="preserve"> IAOC asked for an expanded view of all construction elements required to reach the stage at which the Conference Hall would become operational, within the expected timelines, budget and quality attributes.  </w:t>
      </w:r>
    </w:p>
    <w:p w:rsidR="00E63AAF" w:rsidRDefault="00E63AAF" w:rsidP="00787A1A">
      <w:pPr>
        <w:pStyle w:val="ONUME"/>
        <w:widowControl w:val="0"/>
        <w:tabs>
          <w:tab w:val="clear" w:pos="360"/>
        </w:tabs>
        <w:ind w:left="0" w:firstLine="0"/>
        <w:rPr>
          <w:color w:val="000000"/>
          <w:szCs w:val="22"/>
        </w:rPr>
      </w:pPr>
      <w:r>
        <w:fldChar w:fldCharType="begin"/>
      </w:r>
      <w:r>
        <w:instrText xml:space="preserve"> AUTONUM  </w:instrText>
      </w:r>
      <w:r>
        <w:fldChar w:fldCharType="end"/>
      </w:r>
      <w:r>
        <w:tab/>
      </w:r>
      <w:r w:rsidRPr="00714400">
        <w:t>At its 29</w:t>
      </w:r>
      <w:r w:rsidRPr="00714400">
        <w:rPr>
          <w:vertAlign w:val="superscript"/>
        </w:rPr>
        <w:t>th</w:t>
      </w:r>
      <w:r w:rsidRPr="00714400">
        <w:t xml:space="preserve"> session, it received a </w:t>
      </w:r>
      <w:r w:rsidRPr="00714400">
        <w:rPr>
          <w:szCs w:val="22"/>
        </w:rPr>
        <w:t xml:space="preserve">progress report that substantially addressed </w:t>
      </w:r>
      <w:r w:rsidRPr="00714400">
        <w:rPr>
          <w:color w:val="000000"/>
          <w:szCs w:val="22"/>
        </w:rPr>
        <w:t xml:space="preserve">the information requested namely:  an expanded timetable with a critical path leading up to the date at which the Hall was expected to become fully operational;  a progress report of actual versus planned completion of the physical acceptance of the components, complementing the actual expenses versus budgeting information provided;  and, an updated risk register reflecting the points above, and including emerging risks arising from re-delegation of </w:t>
      </w:r>
      <w:r w:rsidRPr="00714400">
        <w:rPr>
          <w:szCs w:val="22"/>
        </w:rPr>
        <w:t>all elements of</w:t>
      </w:r>
      <w:r w:rsidRPr="00714400">
        <w:rPr>
          <w:color w:val="000000"/>
          <w:szCs w:val="22"/>
        </w:rPr>
        <w:t xml:space="preserve"> the mandate of the former general contractor to the various WIPO professional contractors.  At its 30</w:t>
      </w:r>
      <w:r w:rsidRPr="00714400">
        <w:rPr>
          <w:color w:val="000000"/>
          <w:szCs w:val="22"/>
          <w:vertAlign w:val="superscript"/>
        </w:rPr>
        <w:t>th</w:t>
      </w:r>
      <w:r w:rsidRPr="00714400">
        <w:rPr>
          <w:color w:val="000000"/>
          <w:szCs w:val="22"/>
        </w:rPr>
        <w:t xml:space="preserve"> session, the Secretariat requested that the quarterly report include additional information on the quality of the deliverables.</w:t>
      </w:r>
      <w:r>
        <w:rPr>
          <w:color w:val="000000"/>
          <w:szCs w:val="22"/>
        </w:rPr>
        <w:t xml:space="preserve">   The progress report presented to the 21</w:t>
      </w:r>
      <w:r w:rsidRPr="00547F1E">
        <w:rPr>
          <w:color w:val="000000"/>
          <w:szCs w:val="22"/>
          <w:vertAlign w:val="superscript"/>
        </w:rPr>
        <w:t>st</w:t>
      </w:r>
      <w:r>
        <w:rPr>
          <w:color w:val="000000"/>
          <w:szCs w:val="22"/>
        </w:rPr>
        <w:t xml:space="preserve"> session of the PBC (document WO/PBC/21/11) contains an annex which addresses the recommendation made by the PBC, at its 19</w:t>
      </w:r>
      <w:r w:rsidRPr="00547F1E">
        <w:rPr>
          <w:color w:val="000000"/>
          <w:szCs w:val="22"/>
          <w:vertAlign w:val="superscript"/>
        </w:rPr>
        <w:t>th</w:t>
      </w:r>
      <w:r>
        <w:rPr>
          <w:color w:val="000000"/>
          <w:szCs w:val="22"/>
        </w:rPr>
        <w:t xml:space="preserve"> session in September 2012, for a “more detailed explanation of the events that led to the termination of the contract with the former general contractor for historical reference”.</w:t>
      </w:r>
    </w:p>
    <w:p w:rsidR="00E63AAF" w:rsidRDefault="00E63AAF" w:rsidP="00787A1A">
      <w:pPr>
        <w:pStyle w:val="ONUME"/>
        <w:widowControl w:val="0"/>
        <w:tabs>
          <w:tab w:val="clear" w:pos="360"/>
        </w:tabs>
        <w:ind w:left="0" w:firstLine="0"/>
      </w:pPr>
    </w:p>
    <w:p w:rsidR="00E63AAF" w:rsidRDefault="00E63AAF">
      <w:pPr>
        <w:spacing w:after="200" w:line="276" w:lineRule="auto"/>
      </w:pPr>
      <w:r>
        <w:br w:type="page"/>
      </w:r>
    </w:p>
    <w:p w:rsidR="00E63AAF" w:rsidRPr="00714400" w:rsidRDefault="00E63AAF" w:rsidP="00164B70">
      <w:pPr>
        <w:rPr>
          <w:i/>
        </w:rPr>
      </w:pPr>
      <w:r w:rsidRPr="00714400">
        <w:rPr>
          <w:i/>
        </w:rPr>
        <w:lastRenderedPageBreak/>
        <w:tab/>
        <w:t>Enhanced Auditing</w:t>
      </w:r>
    </w:p>
    <w:p w:rsidR="00E63AAF" w:rsidRPr="0097129B" w:rsidRDefault="00E63AAF" w:rsidP="00164B70">
      <w:pPr>
        <w:rPr>
          <w:sz w:val="16"/>
          <w:szCs w:val="16"/>
        </w:rPr>
      </w:pPr>
    </w:p>
    <w:p w:rsidR="00E63AAF" w:rsidRPr="00714400" w:rsidRDefault="00E63AAF" w:rsidP="00787A1A">
      <w:pPr>
        <w:pStyle w:val="ONUME"/>
        <w:widowControl w:val="0"/>
        <w:tabs>
          <w:tab w:val="clear" w:pos="360"/>
        </w:tabs>
        <w:ind w:left="0" w:firstLine="0"/>
        <w:rPr>
          <w:szCs w:val="22"/>
        </w:rPr>
      </w:pPr>
      <w:r>
        <w:fldChar w:fldCharType="begin"/>
      </w:r>
      <w:r>
        <w:instrText xml:space="preserve"> AUTONUM  </w:instrText>
      </w:r>
      <w:r>
        <w:fldChar w:fldCharType="end"/>
      </w:r>
      <w:r>
        <w:tab/>
      </w:r>
      <w:r w:rsidRPr="00714400">
        <w:t>As regards WIPO’s decision to dispense with the services of a general contractor for the Projects, the IAOC observed that “a thorough audit/inspection of the project management from the selection of the general contractor to the mutually agreed separation would provide very reliable information on the issues which led to the current situation and which would have to be taken care of in any attempt to complete the program”.</w:t>
      </w:r>
      <w:r w:rsidRPr="00714400">
        <w:rPr>
          <w:rStyle w:val="FootnoteReference"/>
        </w:rPr>
        <w:footnoteReference w:id="5"/>
      </w:r>
      <w:r w:rsidRPr="00714400">
        <w:t xml:space="preserve"> </w:t>
      </w:r>
      <w:r w:rsidRPr="00714400">
        <w:rPr>
          <w:szCs w:val="22"/>
        </w:rPr>
        <w:t xml:space="preserve"> </w:t>
      </w:r>
      <w:r w:rsidRPr="00714400">
        <w:t>The IAOC wrote to the EA in this regard, and discussed its observations with the Director of IAOD.</w:t>
      </w:r>
      <w:r w:rsidRPr="00714400">
        <w:rPr>
          <w:szCs w:val="22"/>
        </w:rPr>
        <w:t xml:space="preserve">  </w:t>
      </w:r>
    </w:p>
    <w:p w:rsidR="00E63AAF" w:rsidRPr="0097129B" w:rsidRDefault="00E63AAF" w:rsidP="00787A1A">
      <w:pPr>
        <w:pStyle w:val="ONUME"/>
        <w:widowControl w:val="0"/>
        <w:tabs>
          <w:tab w:val="clear" w:pos="360"/>
        </w:tabs>
        <w:ind w:left="0" w:firstLine="0"/>
        <w:rPr>
          <w:sz w:val="16"/>
          <w:szCs w:val="16"/>
        </w:rPr>
      </w:pPr>
      <w:r>
        <w:rPr>
          <w:szCs w:val="22"/>
        </w:rPr>
        <w:fldChar w:fldCharType="begin"/>
      </w:r>
      <w:r>
        <w:rPr>
          <w:szCs w:val="22"/>
        </w:rPr>
        <w:instrText xml:space="preserve"> AUTONUM  </w:instrText>
      </w:r>
      <w:r>
        <w:rPr>
          <w:szCs w:val="22"/>
        </w:rPr>
        <w:fldChar w:fldCharType="end"/>
      </w:r>
      <w:r>
        <w:rPr>
          <w:szCs w:val="22"/>
        </w:rPr>
        <w:tab/>
      </w:r>
      <w:r w:rsidRPr="00714400">
        <w:rPr>
          <w:szCs w:val="22"/>
        </w:rPr>
        <w:t xml:space="preserve">In June 2013, IAOD issued </w:t>
      </w:r>
      <w:r w:rsidRPr="00714400">
        <w:t>an internal audit report on the Projects.  The EA will carry out a compliance audit in March 2014</w:t>
      </w:r>
      <w:r w:rsidRPr="00714400">
        <w:rPr>
          <w:szCs w:val="22"/>
        </w:rPr>
        <w:t xml:space="preserve">.  The IAOC was informed that the JIU has launched a “Review of Good Practices in the Management of Contracts of Capital, Refurbishment, and Construction Projects across the UN System” and has included a large portion on construction projects in its 2013 “Management and Administration Review at WIPO”. </w:t>
      </w:r>
      <w:r>
        <w:rPr>
          <w:szCs w:val="22"/>
        </w:rPr>
        <w:br/>
      </w:r>
      <w:r w:rsidRPr="0097129B">
        <w:rPr>
          <w:sz w:val="16"/>
          <w:szCs w:val="16"/>
        </w:rPr>
        <w:t xml:space="preserve"> </w:t>
      </w:r>
    </w:p>
    <w:p w:rsidR="00E63AAF" w:rsidRPr="00714400" w:rsidRDefault="00E63AAF" w:rsidP="00E63AAF">
      <w:pPr>
        <w:pStyle w:val="Heading3"/>
        <w:numPr>
          <w:ilvl w:val="0"/>
          <w:numId w:val="18"/>
        </w:numPr>
        <w:spacing w:before="60" w:after="180"/>
        <w:ind w:left="0" w:firstLine="0"/>
      </w:pPr>
      <w:bookmarkStart w:id="28" w:name="_Toc365988693"/>
      <w:r w:rsidRPr="00714400">
        <w:t>OTHER MATTERS</w:t>
      </w:r>
      <w:bookmarkEnd w:id="28"/>
    </w:p>
    <w:p w:rsidR="00E63AAF" w:rsidRPr="00714400" w:rsidRDefault="00E63AAF" w:rsidP="0097129B">
      <w:pPr>
        <w:pStyle w:val="ONUME"/>
        <w:tabs>
          <w:tab w:val="clear" w:pos="360"/>
        </w:tabs>
        <w:spacing w:after="0"/>
        <w:ind w:left="426" w:firstLine="0"/>
        <w:rPr>
          <w:i/>
        </w:rPr>
      </w:pPr>
      <w:r>
        <w:rPr>
          <w:i/>
        </w:rPr>
        <w:tab/>
      </w:r>
      <w:r w:rsidRPr="00714400">
        <w:rPr>
          <w:i/>
        </w:rPr>
        <w:t>WIPO Ombudsman</w:t>
      </w:r>
    </w:p>
    <w:p w:rsidR="00E63AAF" w:rsidRPr="0097129B" w:rsidRDefault="00E63AAF" w:rsidP="00AC04CF">
      <w:pPr>
        <w:pStyle w:val="ONUME"/>
        <w:tabs>
          <w:tab w:val="clear" w:pos="360"/>
        </w:tabs>
        <w:spacing w:after="0"/>
        <w:ind w:left="0" w:firstLine="0"/>
        <w:rPr>
          <w:sz w:val="16"/>
          <w:szCs w:val="16"/>
        </w:rPr>
      </w:pPr>
    </w:p>
    <w:p w:rsidR="00E63AAF" w:rsidRPr="00714400" w:rsidRDefault="00E63AAF" w:rsidP="00787A1A">
      <w:pPr>
        <w:pStyle w:val="BodyText"/>
        <w:rPr>
          <w:i/>
        </w:rPr>
      </w:pPr>
      <w:r>
        <w:fldChar w:fldCharType="begin"/>
      </w:r>
      <w:r>
        <w:instrText xml:space="preserve"> AUTONUM  </w:instrText>
      </w:r>
      <w:r>
        <w:fldChar w:fldCharType="end"/>
      </w:r>
      <w:r>
        <w:tab/>
      </w:r>
      <w:r w:rsidRPr="00714400">
        <w:t xml:space="preserve">Under paragraph </w:t>
      </w:r>
      <w:proofErr w:type="gramStart"/>
      <w:r w:rsidRPr="00714400">
        <w:t>B2(</w:t>
      </w:r>
      <w:proofErr w:type="gramEnd"/>
      <w:r w:rsidRPr="00714400">
        <w:t xml:space="preserve">b) of its terms of reference, the IAOC reviews the collective internal oversight coverage of various WIPO functions, which includes the Office of the Ombudsman.  During the period, the Ombudsman briefed the IAOC on the 2012 caseload, and the IAOC followed up on the 2011 Annual Report recommendations with the Director of HRMD in view of their importance, </w:t>
      </w:r>
      <w:r w:rsidRPr="00714400">
        <w:rPr>
          <w:i/>
        </w:rPr>
        <w:t>inter alia</w:t>
      </w:r>
      <w:r w:rsidRPr="00714400">
        <w:t>, for development of WIPO’s Human Resources Strategy.</w:t>
      </w:r>
      <w:r w:rsidRPr="00714400">
        <w:rPr>
          <w:caps/>
        </w:rPr>
        <w:t xml:space="preserve">  </w:t>
      </w:r>
    </w:p>
    <w:p w:rsidR="00E63AAF" w:rsidRPr="00714400" w:rsidRDefault="00E63AAF" w:rsidP="001E2299">
      <w:pPr>
        <w:pStyle w:val="BodyText"/>
        <w:ind w:firstLine="567"/>
        <w:rPr>
          <w:i/>
        </w:rPr>
      </w:pPr>
      <w:r w:rsidRPr="00714400">
        <w:rPr>
          <w:i/>
        </w:rPr>
        <w:t>Presentations, Briefings and Meetings</w:t>
      </w:r>
    </w:p>
    <w:p w:rsidR="00E63AAF" w:rsidRPr="00714400" w:rsidRDefault="00E63AAF" w:rsidP="00787A1A">
      <w:pPr>
        <w:pStyle w:val="ONUME"/>
        <w:tabs>
          <w:tab w:val="clear" w:pos="360"/>
        </w:tabs>
        <w:ind w:left="0" w:firstLine="0"/>
      </w:pPr>
      <w:r>
        <w:fldChar w:fldCharType="begin"/>
      </w:r>
      <w:r>
        <w:instrText xml:space="preserve"> AUTONUM  </w:instrText>
      </w:r>
      <w:r>
        <w:fldChar w:fldCharType="end"/>
      </w:r>
      <w:r>
        <w:tab/>
      </w:r>
      <w:r w:rsidRPr="00714400">
        <w:t xml:space="preserve">The IAOC benefited from a presentation on the </w:t>
      </w:r>
      <w:r w:rsidRPr="00714400">
        <w:rPr>
          <w:szCs w:val="22"/>
        </w:rPr>
        <w:t>International Union for the Protection of New Varieties of Plants (UPOV), which clarified that UPOV does not fall within IAOC’s mandate.   Two IAOC members also attended an “audit and budget” presentation to certain Member States in March, organized in response to a request by those Member States to the Director of IAOD.   The IAOC believes the presentation could benefit all Member States.</w:t>
      </w:r>
    </w:p>
    <w:p w:rsidR="00E63AAF" w:rsidRPr="00714400" w:rsidRDefault="00E63AAF" w:rsidP="00787A1A">
      <w:pPr>
        <w:pStyle w:val="ONUME"/>
        <w:tabs>
          <w:tab w:val="clear" w:pos="360"/>
        </w:tabs>
        <w:ind w:left="0" w:firstLine="0"/>
      </w:pPr>
      <w:r>
        <w:fldChar w:fldCharType="begin"/>
      </w:r>
      <w:r>
        <w:instrText xml:space="preserve"> AUTONUM  </w:instrText>
      </w:r>
      <w:r>
        <w:fldChar w:fldCharType="end"/>
      </w:r>
      <w:r>
        <w:tab/>
      </w:r>
      <w:r w:rsidRPr="00714400">
        <w:t xml:space="preserve">The IAOC </w:t>
      </w:r>
      <w:r w:rsidRPr="00714400">
        <w:rPr>
          <w:szCs w:val="22"/>
        </w:rPr>
        <w:t>met and exchanged views twice</w:t>
      </w:r>
      <w:r w:rsidRPr="00714400">
        <w:rPr>
          <w:color w:val="A6A6A6"/>
          <w:szCs w:val="22"/>
        </w:rPr>
        <w:t xml:space="preserve"> </w:t>
      </w:r>
      <w:r w:rsidRPr="00714400">
        <w:rPr>
          <w:szCs w:val="22"/>
        </w:rPr>
        <w:t>with a J</w:t>
      </w:r>
      <w:r>
        <w:rPr>
          <w:szCs w:val="22"/>
        </w:rPr>
        <w:t>IU</w:t>
      </w:r>
      <w:r w:rsidRPr="00714400">
        <w:rPr>
          <w:szCs w:val="22"/>
        </w:rPr>
        <w:t xml:space="preserve"> team conducting a “Review of Management and Administration in WIPO”.  </w:t>
      </w:r>
    </w:p>
    <w:p w:rsidR="00E63AAF" w:rsidRPr="00714400" w:rsidRDefault="00E63AAF" w:rsidP="00787A1A">
      <w:pPr>
        <w:pStyle w:val="ONUME"/>
        <w:tabs>
          <w:tab w:val="clear" w:pos="360"/>
        </w:tabs>
        <w:spacing w:after="0"/>
        <w:ind w:left="0" w:firstLine="0"/>
      </w:pPr>
      <w:r>
        <w:rPr>
          <w:szCs w:val="22"/>
        </w:rPr>
        <w:fldChar w:fldCharType="begin"/>
      </w:r>
      <w:r>
        <w:rPr>
          <w:szCs w:val="22"/>
        </w:rPr>
        <w:instrText xml:space="preserve"> AUTONUM  </w:instrText>
      </w:r>
      <w:r>
        <w:rPr>
          <w:szCs w:val="22"/>
        </w:rPr>
        <w:fldChar w:fldCharType="end"/>
      </w:r>
      <w:r>
        <w:rPr>
          <w:szCs w:val="22"/>
        </w:rPr>
        <w:tab/>
      </w:r>
      <w:r w:rsidRPr="00714400">
        <w:rPr>
          <w:szCs w:val="22"/>
        </w:rPr>
        <w:t>The IAOC also met with representatives of the WIPO Staff Council, at the Council’s request, who briefed the Committee on matters of concern to the Council.</w:t>
      </w:r>
    </w:p>
    <w:p w:rsidR="00E63AAF" w:rsidRPr="0097129B" w:rsidRDefault="00E63AAF" w:rsidP="00AC04CF">
      <w:pPr>
        <w:pStyle w:val="ONUME"/>
        <w:tabs>
          <w:tab w:val="clear" w:pos="360"/>
        </w:tabs>
        <w:spacing w:after="0"/>
        <w:ind w:left="0" w:firstLine="0"/>
        <w:rPr>
          <w:sz w:val="16"/>
          <w:szCs w:val="16"/>
        </w:rPr>
      </w:pPr>
    </w:p>
    <w:p w:rsidR="00E63AAF" w:rsidRPr="0097129B" w:rsidRDefault="00E63AAF" w:rsidP="00AC04CF">
      <w:pPr>
        <w:pStyle w:val="ONUME"/>
        <w:tabs>
          <w:tab w:val="clear" w:pos="360"/>
        </w:tabs>
        <w:spacing w:after="0"/>
        <w:ind w:left="0" w:firstLine="0"/>
        <w:rPr>
          <w:sz w:val="16"/>
          <w:szCs w:val="16"/>
        </w:rPr>
      </w:pPr>
    </w:p>
    <w:p w:rsidR="00E63AAF" w:rsidRPr="00714400" w:rsidRDefault="00E63AAF" w:rsidP="00AC04CF">
      <w:pPr>
        <w:pStyle w:val="Heading2"/>
      </w:pPr>
      <w:bookmarkStart w:id="29" w:name="_Toc365988694"/>
      <w:r w:rsidRPr="00714400">
        <w:t>IV</w:t>
      </w:r>
      <w:proofErr w:type="gramStart"/>
      <w:r w:rsidRPr="00714400">
        <w:t>.  CONCLUDING</w:t>
      </w:r>
      <w:proofErr w:type="gramEnd"/>
      <w:r w:rsidRPr="00714400">
        <w:t xml:space="preserve"> REMARKS</w:t>
      </w:r>
      <w:bookmarkEnd w:id="29"/>
    </w:p>
    <w:p w:rsidR="00E63AAF" w:rsidRPr="00714400" w:rsidRDefault="00E63AAF" w:rsidP="00AC04CF">
      <w:pPr>
        <w:pStyle w:val="ONUME"/>
        <w:tabs>
          <w:tab w:val="clear" w:pos="360"/>
        </w:tabs>
        <w:spacing w:after="0"/>
        <w:ind w:left="0" w:firstLine="0"/>
      </w:pPr>
    </w:p>
    <w:p w:rsidR="00E63AAF" w:rsidRPr="00714400" w:rsidRDefault="00E63AAF" w:rsidP="00787A1A">
      <w:pPr>
        <w:pStyle w:val="BodyText"/>
      </w:pPr>
      <w:r>
        <w:fldChar w:fldCharType="begin"/>
      </w:r>
      <w:r>
        <w:instrText xml:space="preserve"> AUTONUM  </w:instrText>
      </w:r>
      <w:r>
        <w:fldChar w:fldCharType="end"/>
      </w:r>
      <w:r>
        <w:tab/>
      </w:r>
      <w:r w:rsidRPr="00714400">
        <w:t>Following its existing practices, the Committee met the Director General, the Assistant Director General for Administration and Management, as well as other WIPO officials including the Director of HRMD and the Director of the Conference and Language Department.  It also met with the Director IAOD and the EA.  The salient matters which were discussed and certain conclusions of the Committee are placed below:</w:t>
      </w:r>
    </w:p>
    <w:p w:rsidR="00E63AAF" w:rsidRPr="00714400" w:rsidRDefault="00E63AAF" w:rsidP="00C83E04">
      <w:pPr>
        <w:pStyle w:val="BodyText"/>
        <w:ind w:left="1134" w:hanging="567"/>
      </w:pPr>
      <w:r w:rsidRPr="00714400">
        <w:t>(a)</w:t>
      </w:r>
      <w:r w:rsidRPr="00714400">
        <w:tab/>
        <w:t xml:space="preserve">The EA had conducted performance audits and compliance audits in addition to their audit of the Financial Statements in which they issued an unqualified opinion.    </w:t>
      </w:r>
      <w:r w:rsidRPr="00F60CF7">
        <w:t>However, as indicated in paragraph 1</w:t>
      </w:r>
      <w:r w:rsidRPr="00E74BAC">
        <w:t>3 above, there should be a clearer depiction as part of the Statements themselves following the creation of a specific Reserve for this purpose.</w:t>
      </w:r>
      <w:r>
        <w:t xml:space="preserve">  </w:t>
      </w:r>
      <w:r w:rsidRPr="00714400">
        <w:t xml:space="preserve">During discussions, the Assistant Director General for Administration </w:t>
      </w:r>
      <w:r w:rsidRPr="00714400">
        <w:lastRenderedPageBreak/>
        <w:t xml:space="preserve">and Management stated that he appreciated the concerns of Member States and would address the issue as a priority.  </w:t>
      </w:r>
    </w:p>
    <w:p w:rsidR="00E63AAF" w:rsidRPr="00714400" w:rsidRDefault="00E63AAF" w:rsidP="00C83E04">
      <w:pPr>
        <w:pStyle w:val="BodyText"/>
        <w:ind w:left="1134" w:hanging="567"/>
      </w:pPr>
      <w:r w:rsidRPr="00714400">
        <w:t>(b)</w:t>
      </w:r>
      <w:r w:rsidRPr="00714400">
        <w:tab/>
        <w:t>In their performance audit of Special Service Agreement contracts, the EA had emphasized the need for a proper regulatory framework for entering into such contracts.</w:t>
      </w:r>
    </w:p>
    <w:p w:rsidR="00E63AAF" w:rsidRPr="00714400" w:rsidRDefault="00E63AAF" w:rsidP="00C83E04">
      <w:pPr>
        <w:pStyle w:val="BodyText"/>
        <w:ind w:left="1134" w:hanging="567"/>
      </w:pPr>
      <w:r w:rsidRPr="00714400">
        <w:t>(c)</w:t>
      </w:r>
      <w:r w:rsidRPr="00714400">
        <w:tab/>
        <w:t>IAOD had produced a number of reports including on the New Construction Projects, PCT Revenue Generation, Human Resources Management, and Conference and Language Services.  During his discussions with the IAOC, the Director General stated that the matters raised in these reports were relevant and would be addressed.</w:t>
      </w:r>
    </w:p>
    <w:p w:rsidR="00E63AAF" w:rsidRPr="00714400" w:rsidRDefault="00E63AAF" w:rsidP="00787A1A">
      <w:pPr>
        <w:pStyle w:val="BodyText"/>
        <w:ind w:left="1134" w:hanging="567"/>
      </w:pPr>
      <w:r w:rsidRPr="00714400">
        <w:t>(d)</w:t>
      </w:r>
      <w:r w:rsidRPr="00714400">
        <w:tab/>
        <w:t>The Director of HRMD discussed the matters arising out of the HR Annual Report.  This Report contained a very good quantitative analysis of HR related issues in WIPO.  It was agreed that the geographical distribution of posts needed to be add</w:t>
      </w:r>
      <w:r>
        <w:t xml:space="preserve">ressed as an important matter. </w:t>
      </w:r>
    </w:p>
    <w:p w:rsidR="00E63AAF" w:rsidRPr="00714400" w:rsidRDefault="00E63AAF" w:rsidP="00787A1A">
      <w:pPr>
        <w:pStyle w:val="BodyText"/>
      </w:pPr>
      <w:r>
        <w:fldChar w:fldCharType="begin"/>
      </w:r>
      <w:r>
        <w:instrText xml:space="preserve"> AUTONUM  </w:instrText>
      </w:r>
      <w:r>
        <w:fldChar w:fldCharType="end"/>
      </w:r>
      <w:r>
        <w:tab/>
      </w:r>
      <w:r w:rsidRPr="00714400">
        <w:t>The Committee would like to report that both the internal and external auditors have addressed matters of importance and that the response of Management to their reports, as well as to the advice of the Committee, was positive.</w:t>
      </w:r>
    </w:p>
    <w:p w:rsidR="00E63AAF" w:rsidRPr="00714400" w:rsidRDefault="00E63AAF" w:rsidP="00787A1A">
      <w:pPr>
        <w:pStyle w:val="ONUME"/>
        <w:tabs>
          <w:tab w:val="clear" w:pos="360"/>
        </w:tabs>
        <w:spacing w:after="0"/>
        <w:ind w:left="0" w:firstLine="0"/>
      </w:pPr>
      <w:r>
        <w:fldChar w:fldCharType="begin"/>
      </w:r>
      <w:r>
        <w:instrText xml:space="preserve"> AUTONUM  </w:instrText>
      </w:r>
      <w:r>
        <w:fldChar w:fldCharType="end"/>
      </w:r>
      <w:r>
        <w:tab/>
      </w:r>
      <w:r w:rsidRPr="00714400">
        <w:t xml:space="preserve">In conclusion, the Committee would like to assure the PBC that it will continue to observe the highest standards of professional practice and justify the confidence reposed in it.  </w:t>
      </w:r>
      <w:r w:rsidRPr="00714400">
        <w:br/>
      </w:r>
    </w:p>
    <w:p w:rsidR="00E63AAF" w:rsidRPr="00714400" w:rsidRDefault="00E63AAF" w:rsidP="00787A1A">
      <w:pPr>
        <w:pStyle w:val="ONUME"/>
        <w:tabs>
          <w:tab w:val="clear" w:pos="360"/>
        </w:tabs>
        <w:spacing w:after="0"/>
        <w:ind w:left="0" w:firstLine="0"/>
      </w:pPr>
      <w:r>
        <w:fldChar w:fldCharType="begin"/>
      </w:r>
      <w:r>
        <w:instrText xml:space="preserve"> AUTONUM  </w:instrText>
      </w:r>
      <w:r>
        <w:fldChar w:fldCharType="end"/>
      </w:r>
      <w:r>
        <w:tab/>
      </w:r>
      <w:r w:rsidRPr="00714400">
        <w:t>The IAOC wishes to thank the Director General and all WIPO staff members with whom it has interacted for their availability, openness and timely provision of documents.  It also wishes to thank Member States for sharing their questions and comments at the IAOC Information Sessions and looks forward to continued engagement and dialogue.</w:t>
      </w:r>
    </w:p>
    <w:p w:rsidR="00E63AAF" w:rsidRDefault="00E63AAF" w:rsidP="00BE51B1">
      <w:pPr>
        <w:pStyle w:val="BodyText"/>
      </w:pPr>
    </w:p>
    <w:p w:rsidR="00E63AAF" w:rsidRPr="00714400" w:rsidRDefault="00E63AAF" w:rsidP="00BE51B1">
      <w:pPr>
        <w:pStyle w:val="BodyText"/>
      </w:pPr>
    </w:p>
    <w:p w:rsidR="00E63AAF" w:rsidRDefault="00E63AAF" w:rsidP="00E741D5">
      <w:pPr>
        <w:pStyle w:val="Endofdocument-Annex"/>
        <w:ind w:left="5533"/>
      </w:pPr>
      <w:bookmarkStart w:id="30" w:name="_GoBack"/>
      <w:bookmarkEnd w:id="30"/>
      <w:r w:rsidRPr="00714400">
        <w:t>[End of document]</w:t>
      </w:r>
    </w:p>
    <w:p w:rsidR="00E63AAF" w:rsidRDefault="00E63AAF" w:rsidP="00634C23">
      <w:pPr>
        <w:pStyle w:val="Endofdocument-Annex"/>
      </w:pPr>
    </w:p>
    <w:p w:rsidR="00E63AAF" w:rsidRPr="00DA5DBB" w:rsidRDefault="00E63AAF" w:rsidP="00775E00">
      <w:pPr>
        <w:keepLines/>
        <w:ind w:left="5528"/>
      </w:pPr>
    </w:p>
    <w:sectPr w:rsidR="00E63AAF" w:rsidRPr="00DA5DBB" w:rsidSect="00D62EB9">
      <w:headerReference w:type="even" r:id="rId12"/>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7E" w:rsidRDefault="008D307E" w:rsidP="006542BE">
      <w:r>
        <w:separator/>
      </w:r>
    </w:p>
  </w:endnote>
  <w:endnote w:type="continuationSeparator" w:id="0">
    <w:p w:rsidR="008D307E" w:rsidRDefault="008D307E" w:rsidP="0065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7E" w:rsidRDefault="008D307E" w:rsidP="006542BE">
      <w:r>
        <w:separator/>
      </w:r>
    </w:p>
  </w:footnote>
  <w:footnote w:type="continuationSeparator" w:id="0">
    <w:p w:rsidR="008D307E" w:rsidRDefault="008D307E" w:rsidP="006542BE">
      <w:r>
        <w:continuationSeparator/>
      </w:r>
    </w:p>
  </w:footnote>
  <w:footnote w:id="1">
    <w:p w:rsidR="00E63AAF" w:rsidRPr="00DF5FBE" w:rsidRDefault="00E63AAF" w:rsidP="00C37259">
      <w:pPr>
        <w:pStyle w:val="FootnoteText"/>
        <w:tabs>
          <w:tab w:val="left" w:pos="284"/>
        </w:tabs>
      </w:pPr>
      <w:r>
        <w:rPr>
          <w:rStyle w:val="FootnoteReference"/>
        </w:rPr>
        <w:footnoteRef/>
      </w:r>
      <w:r>
        <w:t xml:space="preserve">  </w:t>
      </w:r>
      <w:r w:rsidRPr="00DF5FBE">
        <w:t>Documents WO/IAOC/27/2, 28/2, 29/2 and 30/2</w:t>
      </w:r>
    </w:p>
  </w:footnote>
  <w:footnote w:id="2">
    <w:p w:rsidR="00E63AAF" w:rsidRPr="00277FEB" w:rsidRDefault="00E63AAF" w:rsidP="00C37259">
      <w:pPr>
        <w:pStyle w:val="FootnoteText"/>
      </w:pPr>
      <w:r>
        <w:rPr>
          <w:rStyle w:val="FootnoteReference"/>
        </w:rPr>
        <w:footnoteRef/>
      </w:r>
      <w:r>
        <w:t xml:space="preserve">  </w:t>
      </w:r>
      <w:r w:rsidRPr="00277FEB">
        <w:t>Article B.2 of the IAOC’s terms of reference</w:t>
      </w:r>
    </w:p>
  </w:footnote>
  <w:footnote w:id="3">
    <w:p w:rsidR="00E63AAF" w:rsidRPr="00F91D39" w:rsidRDefault="00E63AAF" w:rsidP="00C37259">
      <w:pPr>
        <w:pStyle w:val="FootnoteText"/>
      </w:pPr>
      <w:r>
        <w:rPr>
          <w:rStyle w:val="FootnoteReference"/>
        </w:rPr>
        <w:footnoteRef/>
      </w:r>
      <w:r>
        <w:t xml:space="preserve"> </w:t>
      </w:r>
      <w:r w:rsidRPr="00F91D39">
        <w:t>Prepared by the IAOC and annexed to the report of its 21</w:t>
      </w:r>
      <w:r w:rsidRPr="00B24BA1">
        <w:rPr>
          <w:vertAlign w:val="superscript"/>
        </w:rPr>
        <w:t xml:space="preserve">st </w:t>
      </w:r>
      <w:r w:rsidRPr="00F91D39">
        <w:t>session.  See Annex II of document WO/IAOC/21/2.</w:t>
      </w:r>
    </w:p>
  </w:footnote>
  <w:footnote w:id="4">
    <w:p w:rsidR="00E63AAF" w:rsidRPr="00DF5FBE" w:rsidRDefault="00E63AAF" w:rsidP="00025CFC">
      <w:pPr>
        <w:pStyle w:val="FootnoteText"/>
        <w:tabs>
          <w:tab w:val="left" w:pos="142"/>
        </w:tabs>
        <w:ind w:left="142" w:hanging="142"/>
        <w:rPr>
          <w:szCs w:val="18"/>
        </w:rPr>
      </w:pPr>
      <w:r w:rsidRPr="002E1B27">
        <w:rPr>
          <w:rStyle w:val="FootnoteReference"/>
          <w:szCs w:val="18"/>
        </w:rPr>
        <w:footnoteRef/>
      </w:r>
      <w:r w:rsidRPr="00DF5FBE">
        <w:rPr>
          <w:szCs w:val="18"/>
        </w:rPr>
        <w:t xml:space="preserve"> </w:t>
      </w:r>
      <w:r w:rsidRPr="00DF5FBE">
        <w:rPr>
          <w:szCs w:val="18"/>
        </w:rPr>
        <w:tab/>
        <w:t>Document WO/PBC/19/26</w:t>
      </w:r>
    </w:p>
  </w:footnote>
  <w:footnote w:id="5">
    <w:p w:rsidR="00E63AAF" w:rsidRPr="006603ED" w:rsidRDefault="00E63AAF" w:rsidP="007A0FF1">
      <w:pPr>
        <w:pStyle w:val="FootnoteText"/>
      </w:pPr>
      <w:r>
        <w:rPr>
          <w:rStyle w:val="FootnoteReference"/>
        </w:rPr>
        <w:footnoteRef/>
      </w:r>
      <w:r>
        <w:t xml:space="preserve">  Paragraph 23 of document WO/IAOC/26/2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Pr="008137B0" w:rsidRDefault="008D307E" w:rsidP="00770B1B">
    <w:pPr>
      <w:jc w:val="right"/>
      <w:rPr>
        <w:lang w:val="fr-FR"/>
      </w:rPr>
    </w:pPr>
    <w:r w:rsidRPr="008137B0">
      <w:rPr>
        <w:bCs/>
        <w:lang w:val="fr-FR"/>
      </w:rPr>
      <w:t>WO/</w:t>
    </w:r>
    <w:r w:rsidR="006F689A">
      <w:rPr>
        <w:bCs/>
        <w:lang w:val="fr-FR"/>
      </w:rPr>
      <w:t>PBC</w:t>
    </w:r>
    <w:r w:rsidRPr="008137B0">
      <w:rPr>
        <w:bCs/>
        <w:lang w:val="fr-FR"/>
      </w:rPr>
      <w:t>/</w:t>
    </w:r>
    <w:r w:rsidR="006F689A">
      <w:rPr>
        <w:bCs/>
        <w:lang w:val="fr-FR"/>
      </w:rPr>
      <w:t>21</w:t>
    </w:r>
    <w:r>
      <w:rPr>
        <w:lang w:val="fr-FR"/>
      </w:rPr>
      <w:t>/</w:t>
    </w:r>
    <w:r w:rsidR="006F689A">
      <w:rPr>
        <w:lang w:val="fr-FR"/>
      </w:rPr>
      <w:t>1</w:t>
    </w:r>
    <w:r>
      <w:rPr>
        <w:lang w:val="fr-FR"/>
      </w:rPr>
      <w:t>7</w:t>
    </w:r>
  </w:p>
  <w:p w:rsidR="008D307E" w:rsidRPr="00103811" w:rsidRDefault="008D307E" w:rsidP="00770B1B">
    <w:pPr>
      <w:jc w:val="right"/>
      <w:rPr>
        <w:lang w:val="fr-FR"/>
      </w:rPr>
    </w:pPr>
    <w:r>
      <w:rPr>
        <w:lang w:val="fr-FR"/>
      </w:rPr>
      <w:t>ANNEX</w:t>
    </w:r>
    <w:r w:rsidRPr="008137B0">
      <w:rPr>
        <w:lang w:val="fr-FR"/>
      </w:rPr>
      <w:t xml:space="preserve"> </w:t>
    </w:r>
    <w:r>
      <w:rPr>
        <w:lang w:val="fr-FR"/>
      </w:rPr>
      <w:t>IV</w:t>
    </w:r>
    <w:r w:rsidRPr="00ED60EB">
      <w:rPr>
        <w:lang w:val="fr-FR"/>
      </w:rPr>
      <w:t xml:space="preserve"> </w:t>
    </w:r>
  </w:p>
  <w:p w:rsidR="008D307E" w:rsidRPr="00103811" w:rsidRDefault="008D307E">
    <w:pPr>
      <w:pStyle w:val="Header"/>
      <w:rPr>
        <w:lang w:val="fr-FR"/>
      </w:rPr>
    </w:pPr>
  </w:p>
  <w:p w:rsidR="008D307E" w:rsidRPr="00103811" w:rsidRDefault="008D307E">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36" w:rsidRDefault="00E63AAF" w:rsidP="006D1F94">
    <w:pPr>
      <w:pStyle w:val="Header"/>
      <w:jc w:val="right"/>
    </w:pPr>
    <w:r>
      <w:t>WO/PBC/21/2</w:t>
    </w:r>
  </w:p>
  <w:p w:rsidR="00C45336" w:rsidRPr="006D1F94" w:rsidRDefault="00E63AAF" w:rsidP="006D1F94">
    <w:pPr>
      <w:pStyle w:val="Header"/>
      <w:jc w:val="right"/>
      <w:rPr>
        <w:rFonts w:cs="Arial"/>
      </w:rPr>
    </w:pPr>
    <w:proofErr w:type="gramStart"/>
    <w:r>
      <w:rPr>
        <w:rFonts w:cs="Arial"/>
      </w:rPr>
      <w:t>p</w:t>
    </w:r>
    <w:r w:rsidRPr="006D1F94">
      <w:rPr>
        <w:rFonts w:cs="Arial"/>
      </w:rPr>
      <w:t>age</w:t>
    </w:r>
    <w:proofErr w:type="gramEnd"/>
    <w:r w:rsidRPr="006D1F94">
      <w:rPr>
        <w:rFonts w:cs="Arial"/>
      </w:rPr>
      <w:t xml:space="preserve"> </w:t>
    </w:r>
    <w:r w:rsidRPr="006D1F94">
      <w:rPr>
        <w:rFonts w:cs="Arial"/>
      </w:rPr>
      <w:fldChar w:fldCharType="begin"/>
    </w:r>
    <w:r w:rsidRPr="006D1F94">
      <w:rPr>
        <w:rFonts w:cs="Arial"/>
      </w:rPr>
      <w:instrText xml:space="preserve"> PAGE </w:instrText>
    </w:r>
    <w:r w:rsidRPr="006D1F94">
      <w:rPr>
        <w:rFonts w:cs="Arial"/>
      </w:rPr>
      <w:fldChar w:fldCharType="separate"/>
    </w:r>
    <w:r>
      <w:rPr>
        <w:rFonts w:cs="Arial"/>
        <w:noProof/>
      </w:rPr>
      <w:t>10</w:t>
    </w:r>
    <w:r w:rsidRPr="006D1F94">
      <w:rPr>
        <w:rFonts w:cs="Arial"/>
      </w:rPr>
      <w:fldChar w:fldCharType="end"/>
    </w:r>
  </w:p>
  <w:p w:rsidR="00C45336" w:rsidRDefault="00E741D5" w:rsidP="006D1F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36" w:rsidRDefault="00E63AAF" w:rsidP="006D1F94">
    <w:pPr>
      <w:pStyle w:val="Header"/>
      <w:jc w:val="right"/>
    </w:pPr>
    <w:r>
      <w:t>WO/PBC/21/2</w:t>
    </w:r>
  </w:p>
  <w:p w:rsidR="00C45336" w:rsidRPr="006D1F94" w:rsidRDefault="00E63AAF" w:rsidP="006D1F94">
    <w:pPr>
      <w:pStyle w:val="Header"/>
      <w:jc w:val="right"/>
      <w:rPr>
        <w:rFonts w:cs="Arial"/>
      </w:rPr>
    </w:pPr>
    <w:proofErr w:type="gramStart"/>
    <w:r>
      <w:rPr>
        <w:rFonts w:cs="Arial"/>
      </w:rPr>
      <w:t>p</w:t>
    </w:r>
    <w:r w:rsidRPr="006D1F94">
      <w:rPr>
        <w:rFonts w:cs="Arial"/>
      </w:rPr>
      <w:t>age</w:t>
    </w:r>
    <w:proofErr w:type="gramEnd"/>
    <w:r w:rsidRPr="006D1F94">
      <w:rPr>
        <w:rFonts w:cs="Arial"/>
      </w:rPr>
      <w:t xml:space="preserve"> </w:t>
    </w:r>
    <w:r w:rsidRPr="006D1F94">
      <w:rPr>
        <w:rFonts w:cs="Arial"/>
      </w:rPr>
      <w:fldChar w:fldCharType="begin"/>
    </w:r>
    <w:r w:rsidRPr="006D1F94">
      <w:rPr>
        <w:rFonts w:cs="Arial"/>
      </w:rPr>
      <w:instrText xml:space="preserve"> PAGE </w:instrText>
    </w:r>
    <w:r w:rsidRPr="006D1F94">
      <w:rPr>
        <w:rFonts w:cs="Arial"/>
      </w:rPr>
      <w:fldChar w:fldCharType="separate"/>
    </w:r>
    <w:r w:rsidR="00E741D5">
      <w:rPr>
        <w:rFonts w:cs="Arial"/>
        <w:noProof/>
      </w:rPr>
      <w:t>11</w:t>
    </w:r>
    <w:r w:rsidRPr="006D1F94">
      <w:rPr>
        <w:rFonts w:cs="Arial"/>
      </w:rPr>
      <w:fldChar w:fldCharType="end"/>
    </w:r>
  </w:p>
  <w:p w:rsidR="00C45336" w:rsidRDefault="00E741D5" w:rsidP="006428E9">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36" w:rsidRDefault="00E741D5" w:rsidP="0095703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14E442"/>
    <w:lvl w:ilvl="0">
      <w:start w:val="1"/>
      <w:numFmt w:val="decimal"/>
      <w:pStyle w:val="Heading3"/>
      <w:lvlText w:val="%1."/>
      <w:lvlJc w:val="left"/>
      <w:pPr>
        <w:tabs>
          <w:tab w:val="num" w:pos="360"/>
        </w:tabs>
        <w:ind w:left="360" w:hanging="360"/>
      </w:pPr>
      <w:rPr>
        <w:rFonts w:cs="Times New Roman"/>
      </w:rPr>
    </w:lvl>
  </w:abstractNum>
  <w:abstractNum w:abstractNumId="1">
    <w:nsid w:val="0C15466F"/>
    <w:multiLevelType w:val="hybridMultilevel"/>
    <w:tmpl w:val="BFBE525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845A183C"/>
    <w:lvl w:ilvl="0">
      <w:start w:val="6"/>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2F53094"/>
    <w:multiLevelType w:val="hybridMultilevel"/>
    <w:tmpl w:val="76F404EE"/>
    <w:lvl w:ilvl="0" w:tplc="9FBED91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D0E16"/>
    <w:multiLevelType w:val="multilevel"/>
    <w:tmpl w:val="4AC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3533C"/>
    <w:multiLevelType w:val="hybridMultilevel"/>
    <w:tmpl w:val="654477BC"/>
    <w:lvl w:ilvl="0" w:tplc="F5D8125C">
      <w:start w:val="1"/>
      <w:numFmt w:val="decimal"/>
      <w:lvlText w:val="%1."/>
      <w:lvlJc w:val="left"/>
      <w:pPr>
        <w:tabs>
          <w:tab w:val="num" w:pos="680"/>
        </w:tabs>
        <w:ind w:left="1701" w:hanging="680"/>
      </w:pPr>
      <w:rPr>
        <w:rFonts w:ascii="Arial" w:hAnsi="Arial" w:hint="default"/>
        <w:b w:val="0"/>
        <w:i w:val="0"/>
        <w:sz w:val="20"/>
        <w:szCs w:val="20"/>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1260"/>
        </w:tabs>
        <w:ind w:left="1260" w:hanging="360"/>
      </w:pPr>
      <w:rPr>
        <w:rFonts w:ascii="Symbol" w:hAnsi="Symbol" w:hint="default"/>
        <w:b w:val="0"/>
        <w:i w:val="0"/>
        <w:sz w:val="20"/>
        <w:szCs w:val="20"/>
      </w:rPr>
    </w:lvl>
    <w:lvl w:ilvl="4" w:tplc="0409000F">
      <w:start w:val="1"/>
      <w:numFmt w:val="decimal"/>
      <w:lvlText w:val="%5."/>
      <w:lvlJc w:val="left"/>
      <w:pPr>
        <w:tabs>
          <w:tab w:val="num" w:pos="3600"/>
        </w:tabs>
        <w:ind w:left="3600" w:hanging="360"/>
      </w:pPr>
      <w:rPr>
        <w:rFonts w:hint="default"/>
        <w:b w:val="0"/>
        <w:i w:val="0"/>
        <w:sz w:val="20"/>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9175C8"/>
    <w:multiLevelType w:val="hybridMultilevel"/>
    <w:tmpl w:val="7C1E0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2064D36"/>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pStyle w:val="Heading2"/>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D11C28"/>
    <w:multiLevelType w:val="multilevel"/>
    <w:tmpl w:val="84E6DB64"/>
    <w:lvl w:ilvl="0">
      <w:start w:val="1"/>
      <w:numFmt w:val="decimal"/>
      <w:lvlRestart w:val="0"/>
      <w:lvlText w:val="%1."/>
      <w:lvlJc w:val="left"/>
      <w:pPr>
        <w:tabs>
          <w:tab w:val="num" w:pos="709"/>
        </w:tabs>
        <w:ind w:left="142"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nsid w:val="77640CCF"/>
    <w:multiLevelType w:val="multilevel"/>
    <w:tmpl w:val="65341604"/>
    <w:lvl w:ilvl="0">
      <w:start w:val="1"/>
      <w:numFmt w:val="decimal"/>
      <w:lvlRestart w:val="0"/>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7CAA687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9"/>
  </w:num>
  <w:num w:numId="3">
    <w:abstractNumId w:val="10"/>
  </w:num>
  <w:num w:numId="4">
    <w:abstractNumId w:val="3"/>
  </w:num>
  <w:num w:numId="5">
    <w:abstractNumId w:val="11"/>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5"/>
  </w:num>
  <w:num w:numId="12">
    <w:abstractNumId w:val="6"/>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BE"/>
    <w:rsid w:val="000311D5"/>
    <w:rsid w:val="0003269B"/>
    <w:rsid w:val="000424E8"/>
    <w:rsid w:val="000856F3"/>
    <w:rsid w:val="000A39C9"/>
    <w:rsid w:val="000B1634"/>
    <w:rsid w:val="000B5153"/>
    <w:rsid w:val="000E1310"/>
    <w:rsid w:val="000E4EF4"/>
    <w:rsid w:val="000E6361"/>
    <w:rsid w:val="0014471C"/>
    <w:rsid w:val="001505D8"/>
    <w:rsid w:val="001930D6"/>
    <w:rsid w:val="001A65DF"/>
    <w:rsid w:val="001C728C"/>
    <w:rsid w:val="001D526D"/>
    <w:rsid w:val="002060D2"/>
    <w:rsid w:val="00213C4B"/>
    <w:rsid w:val="00221B96"/>
    <w:rsid w:val="00240719"/>
    <w:rsid w:val="00265E5D"/>
    <w:rsid w:val="002931FA"/>
    <w:rsid w:val="002942C5"/>
    <w:rsid w:val="002A05B6"/>
    <w:rsid w:val="002A0AA5"/>
    <w:rsid w:val="002B716C"/>
    <w:rsid w:val="002D3E66"/>
    <w:rsid w:val="003262CD"/>
    <w:rsid w:val="003357F6"/>
    <w:rsid w:val="003475C3"/>
    <w:rsid w:val="0036651B"/>
    <w:rsid w:val="00373ABD"/>
    <w:rsid w:val="0038046C"/>
    <w:rsid w:val="003B423D"/>
    <w:rsid w:val="003F0726"/>
    <w:rsid w:val="003F7F76"/>
    <w:rsid w:val="0048332C"/>
    <w:rsid w:val="004A4C92"/>
    <w:rsid w:val="004C4FEB"/>
    <w:rsid w:val="004D6415"/>
    <w:rsid w:val="004E4FFE"/>
    <w:rsid w:val="004F175A"/>
    <w:rsid w:val="00501BA0"/>
    <w:rsid w:val="005078F8"/>
    <w:rsid w:val="00517F07"/>
    <w:rsid w:val="00546E13"/>
    <w:rsid w:val="00547DA6"/>
    <w:rsid w:val="00587876"/>
    <w:rsid w:val="005A4AB8"/>
    <w:rsid w:val="005C41E3"/>
    <w:rsid w:val="005C4AD4"/>
    <w:rsid w:val="005C6AAD"/>
    <w:rsid w:val="005D3C5B"/>
    <w:rsid w:val="005E6477"/>
    <w:rsid w:val="00612C26"/>
    <w:rsid w:val="00614547"/>
    <w:rsid w:val="00624096"/>
    <w:rsid w:val="0064294D"/>
    <w:rsid w:val="0065053F"/>
    <w:rsid w:val="006542BE"/>
    <w:rsid w:val="0066737B"/>
    <w:rsid w:val="006712AC"/>
    <w:rsid w:val="00683A08"/>
    <w:rsid w:val="00691CC7"/>
    <w:rsid w:val="006A791C"/>
    <w:rsid w:val="006B5387"/>
    <w:rsid w:val="006E3A04"/>
    <w:rsid w:val="006F35BD"/>
    <w:rsid w:val="006F689A"/>
    <w:rsid w:val="007368B0"/>
    <w:rsid w:val="00763E6E"/>
    <w:rsid w:val="00770B1B"/>
    <w:rsid w:val="00775E00"/>
    <w:rsid w:val="007B32F4"/>
    <w:rsid w:val="007C088D"/>
    <w:rsid w:val="00847502"/>
    <w:rsid w:val="00855477"/>
    <w:rsid w:val="008751ED"/>
    <w:rsid w:val="008D307E"/>
    <w:rsid w:val="008D53F1"/>
    <w:rsid w:val="008E780B"/>
    <w:rsid w:val="008F31D3"/>
    <w:rsid w:val="008F5E67"/>
    <w:rsid w:val="0092066A"/>
    <w:rsid w:val="00934B43"/>
    <w:rsid w:val="00957C07"/>
    <w:rsid w:val="00960BCD"/>
    <w:rsid w:val="00965683"/>
    <w:rsid w:val="0098141D"/>
    <w:rsid w:val="00984BA0"/>
    <w:rsid w:val="0099019B"/>
    <w:rsid w:val="009A7C5B"/>
    <w:rsid w:val="009B2936"/>
    <w:rsid w:val="009C5E03"/>
    <w:rsid w:val="009E6275"/>
    <w:rsid w:val="00A02C87"/>
    <w:rsid w:val="00A323C9"/>
    <w:rsid w:val="00A42A1A"/>
    <w:rsid w:val="00A4560C"/>
    <w:rsid w:val="00A826BF"/>
    <w:rsid w:val="00A84386"/>
    <w:rsid w:val="00AB5141"/>
    <w:rsid w:val="00AC7FE2"/>
    <w:rsid w:val="00B21C2F"/>
    <w:rsid w:val="00B62161"/>
    <w:rsid w:val="00B73DCB"/>
    <w:rsid w:val="00B90AAB"/>
    <w:rsid w:val="00B929E3"/>
    <w:rsid w:val="00B96C6B"/>
    <w:rsid w:val="00BD0083"/>
    <w:rsid w:val="00C70657"/>
    <w:rsid w:val="00C72A1B"/>
    <w:rsid w:val="00C80591"/>
    <w:rsid w:val="00CF2AFA"/>
    <w:rsid w:val="00D10593"/>
    <w:rsid w:val="00D17CD4"/>
    <w:rsid w:val="00D25BE7"/>
    <w:rsid w:val="00D3305F"/>
    <w:rsid w:val="00D3410B"/>
    <w:rsid w:val="00D40D30"/>
    <w:rsid w:val="00D62EB9"/>
    <w:rsid w:val="00DA53E2"/>
    <w:rsid w:val="00DA5DBB"/>
    <w:rsid w:val="00E22E3F"/>
    <w:rsid w:val="00E22FC9"/>
    <w:rsid w:val="00E41215"/>
    <w:rsid w:val="00E6378B"/>
    <w:rsid w:val="00E63AAF"/>
    <w:rsid w:val="00E741D5"/>
    <w:rsid w:val="00E7760B"/>
    <w:rsid w:val="00E85C2C"/>
    <w:rsid w:val="00E87CA7"/>
    <w:rsid w:val="00E97283"/>
    <w:rsid w:val="00EB1613"/>
    <w:rsid w:val="00EC5BBB"/>
    <w:rsid w:val="00F1486C"/>
    <w:rsid w:val="00F21866"/>
    <w:rsid w:val="00F547A4"/>
    <w:rsid w:val="00F61BFD"/>
    <w:rsid w:val="00F7797A"/>
    <w:rsid w:val="00F809A3"/>
    <w:rsid w:val="00FB6E14"/>
    <w:rsid w:val="00FC07F5"/>
    <w:rsid w:val="00FC259F"/>
    <w:rsid w:val="00FF3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542BE"/>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1"/>
    <w:uiPriority w:val="99"/>
    <w:qFormat/>
    <w:rsid w:val="006542BE"/>
    <w:pPr>
      <w:keepNext/>
      <w:tabs>
        <w:tab w:val="num" w:pos="567"/>
      </w:tabs>
      <w:spacing w:before="240" w:after="360"/>
      <w:outlineLvl w:val="0"/>
    </w:pPr>
    <w:rPr>
      <w:b/>
      <w:bCs/>
      <w:caps/>
      <w:kern w:val="32"/>
      <w:szCs w:val="32"/>
    </w:rPr>
  </w:style>
  <w:style w:type="paragraph" w:styleId="Heading2">
    <w:name w:val="heading 2"/>
    <w:basedOn w:val="Normal"/>
    <w:next w:val="Normal"/>
    <w:link w:val="Heading2Char1"/>
    <w:qFormat/>
    <w:rsid w:val="006542BE"/>
    <w:pPr>
      <w:keepNext/>
      <w:numPr>
        <w:ilvl w:val="1"/>
        <w:numId w:val="8"/>
      </w:numPr>
      <w:spacing w:before="240" w:after="240"/>
      <w:outlineLvl w:val="1"/>
    </w:pPr>
    <w:rPr>
      <w:rFonts w:cs="Times New Roman"/>
      <w:caps/>
      <w:sz w:val="28"/>
    </w:rPr>
  </w:style>
  <w:style w:type="paragraph" w:styleId="Heading3">
    <w:name w:val="heading 3"/>
    <w:basedOn w:val="Normal"/>
    <w:next w:val="Normal"/>
    <w:link w:val="Heading3Char"/>
    <w:qFormat/>
    <w:rsid w:val="006542BE"/>
    <w:pPr>
      <w:keepNext/>
      <w:numPr>
        <w:numId w:val="1"/>
      </w:numPr>
      <w:tabs>
        <w:tab w:val="clear" w:pos="360"/>
        <w:tab w:val="num" w:pos="1701"/>
      </w:tabs>
      <w:spacing w:before="240" w:after="60"/>
      <w:ind w:left="1134" w:firstLine="0"/>
      <w:outlineLvl w:val="2"/>
    </w:pPr>
    <w:rPr>
      <w:bCs/>
      <w:szCs w:val="26"/>
      <w:u w:val="single"/>
    </w:rPr>
  </w:style>
  <w:style w:type="paragraph" w:styleId="Heading4">
    <w:name w:val="heading 4"/>
    <w:basedOn w:val="Normal"/>
    <w:next w:val="Normal"/>
    <w:link w:val="Heading4Char"/>
    <w:qFormat/>
    <w:rsid w:val="006542B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542BE"/>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rsid w:val="006542BE"/>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rsid w:val="006542BE"/>
    <w:rPr>
      <w:rFonts w:ascii="Arial" w:eastAsia="SimSun" w:hAnsi="Arial" w:cs="Arial"/>
      <w:bCs/>
      <w:szCs w:val="26"/>
      <w:u w:val="single"/>
      <w:lang w:val="en-US" w:eastAsia="zh-CN"/>
    </w:rPr>
  </w:style>
  <w:style w:type="character" w:customStyle="1" w:styleId="Heading4Char">
    <w:name w:val="Heading 4 Char"/>
    <w:basedOn w:val="DefaultParagraphFont"/>
    <w:link w:val="Heading4"/>
    <w:uiPriority w:val="99"/>
    <w:rsid w:val="006542BE"/>
    <w:rPr>
      <w:rFonts w:ascii="Arial" w:eastAsia="SimSun" w:hAnsi="Arial" w:cs="Arial"/>
      <w:bCs/>
      <w:i/>
      <w:szCs w:val="28"/>
      <w:lang w:val="en-US" w:eastAsia="zh-CN"/>
    </w:rPr>
  </w:style>
  <w:style w:type="paragraph" w:styleId="BalloonText">
    <w:name w:val="Balloon Text"/>
    <w:basedOn w:val="Normal"/>
    <w:link w:val="BalloonTextChar1"/>
    <w:uiPriority w:val="99"/>
    <w:semiHidden/>
    <w:rsid w:val="006542BE"/>
    <w:rPr>
      <w:rFonts w:ascii="Tahoma" w:hAnsi="Tahoma" w:cs="Times New Roman"/>
      <w:sz w:val="16"/>
    </w:rPr>
  </w:style>
  <w:style w:type="character" w:customStyle="1" w:styleId="BalloonTextChar">
    <w:name w:val="Balloon Text Char"/>
    <w:basedOn w:val="DefaultParagraphFont"/>
    <w:uiPriority w:val="99"/>
    <w:semiHidden/>
    <w:rsid w:val="006542BE"/>
    <w:rPr>
      <w:rFonts w:ascii="Tahoma" w:eastAsia="SimSun" w:hAnsi="Tahoma" w:cs="Tahoma"/>
      <w:sz w:val="16"/>
      <w:szCs w:val="16"/>
      <w:lang w:val="en-US" w:eastAsia="zh-CN"/>
    </w:rPr>
  </w:style>
  <w:style w:type="character" w:customStyle="1" w:styleId="Heading1Char1">
    <w:name w:val="Heading 1 Char1"/>
    <w:basedOn w:val="DefaultParagraphFont"/>
    <w:link w:val="Heading1"/>
    <w:uiPriority w:val="99"/>
    <w:locked/>
    <w:rsid w:val="006542BE"/>
    <w:rPr>
      <w:rFonts w:ascii="Arial" w:eastAsia="SimSun" w:hAnsi="Arial" w:cs="Arial"/>
      <w:b/>
      <w:bCs/>
      <w:caps/>
      <w:kern w:val="32"/>
      <w:szCs w:val="32"/>
      <w:lang w:val="en-US" w:eastAsia="zh-CN"/>
    </w:rPr>
  </w:style>
  <w:style w:type="paragraph" w:customStyle="1" w:styleId="Endofdocument-Annex">
    <w:name w:val="[End of document - Annex]"/>
    <w:basedOn w:val="Normal"/>
    <w:link w:val="Endofdocument-AnnexChar"/>
    <w:rsid w:val="006542BE"/>
    <w:pPr>
      <w:ind w:left="5534"/>
    </w:pPr>
  </w:style>
  <w:style w:type="paragraph" w:styleId="BodyText">
    <w:name w:val="Body Text"/>
    <w:basedOn w:val="Normal"/>
    <w:link w:val="BodyTextChar"/>
    <w:rsid w:val="006542BE"/>
    <w:pPr>
      <w:spacing w:after="220"/>
    </w:pPr>
  </w:style>
  <w:style w:type="character" w:customStyle="1" w:styleId="BodyTextChar">
    <w:name w:val="Body Text Char"/>
    <w:basedOn w:val="DefaultParagraphFont"/>
    <w:link w:val="BodyText"/>
    <w:rsid w:val="006542BE"/>
    <w:rPr>
      <w:rFonts w:ascii="Arial" w:eastAsia="SimSun" w:hAnsi="Arial" w:cs="Arial"/>
      <w:szCs w:val="20"/>
      <w:lang w:val="en-US" w:eastAsia="zh-CN"/>
    </w:rPr>
  </w:style>
  <w:style w:type="paragraph" w:styleId="Caption">
    <w:name w:val="caption"/>
    <w:basedOn w:val="Normal"/>
    <w:next w:val="Normal"/>
    <w:qFormat/>
    <w:rsid w:val="006542BE"/>
    <w:rPr>
      <w:b/>
      <w:bCs/>
      <w:sz w:val="18"/>
    </w:rPr>
  </w:style>
  <w:style w:type="paragraph" w:styleId="CommentText">
    <w:name w:val="annotation text"/>
    <w:basedOn w:val="Normal"/>
    <w:link w:val="CommentTextChar"/>
    <w:uiPriority w:val="99"/>
    <w:semiHidden/>
    <w:rsid w:val="006542BE"/>
    <w:rPr>
      <w:sz w:val="18"/>
    </w:rPr>
  </w:style>
  <w:style w:type="character" w:customStyle="1" w:styleId="CommentTextChar">
    <w:name w:val="Comment Text Char"/>
    <w:basedOn w:val="DefaultParagraphFont"/>
    <w:link w:val="CommentText"/>
    <w:uiPriority w:val="99"/>
    <w:semiHidden/>
    <w:rsid w:val="006542BE"/>
    <w:rPr>
      <w:rFonts w:ascii="Arial" w:eastAsia="SimSun" w:hAnsi="Arial" w:cs="Arial"/>
      <w:sz w:val="18"/>
      <w:szCs w:val="20"/>
      <w:lang w:val="en-US" w:eastAsia="zh-CN"/>
    </w:rPr>
  </w:style>
  <w:style w:type="paragraph" w:styleId="EndnoteText">
    <w:name w:val="endnote text"/>
    <w:basedOn w:val="Normal"/>
    <w:link w:val="EndnoteTextChar"/>
    <w:uiPriority w:val="99"/>
    <w:semiHidden/>
    <w:rsid w:val="006542BE"/>
    <w:rPr>
      <w:sz w:val="18"/>
    </w:rPr>
  </w:style>
  <w:style w:type="character" w:customStyle="1" w:styleId="EndnoteTextChar">
    <w:name w:val="Endnote Text Char"/>
    <w:basedOn w:val="DefaultParagraphFont"/>
    <w:link w:val="EndnoteText"/>
    <w:uiPriority w:val="99"/>
    <w:semiHidden/>
    <w:rsid w:val="006542BE"/>
    <w:rPr>
      <w:rFonts w:ascii="Arial" w:eastAsia="SimSun" w:hAnsi="Arial" w:cs="Arial"/>
      <w:sz w:val="18"/>
      <w:szCs w:val="20"/>
      <w:lang w:val="en-US" w:eastAsia="zh-CN"/>
    </w:rPr>
  </w:style>
  <w:style w:type="paragraph" w:styleId="Footer">
    <w:name w:val="footer"/>
    <w:basedOn w:val="Normal"/>
    <w:link w:val="FooterChar"/>
    <w:uiPriority w:val="99"/>
    <w:semiHidden/>
    <w:rsid w:val="006542BE"/>
    <w:pPr>
      <w:tabs>
        <w:tab w:val="center" w:pos="4320"/>
        <w:tab w:val="right" w:pos="8640"/>
      </w:tabs>
    </w:pPr>
  </w:style>
  <w:style w:type="character" w:customStyle="1" w:styleId="FooterChar">
    <w:name w:val="Footer Char"/>
    <w:basedOn w:val="DefaultParagraphFont"/>
    <w:link w:val="Footer"/>
    <w:uiPriority w:val="99"/>
    <w:semiHidden/>
    <w:rsid w:val="006542BE"/>
    <w:rPr>
      <w:rFonts w:ascii="Arial" w:eastAsia="SimSun" w:hAnsi="Arial" w:cs="Arial"/>
      <w:szCs w:val="20"/>
      <w:lang w:val="en-US" w:eastAsia="zh-CN"/>
    </w:rPr>
  </w:style>
  <w:style w:type="paragraph" w:styleId="FootnoteText">
    <w:name w:val="footnote text"/>
    <w:aliases w:val="Char"/>
    <w:basedOn w:val="Normal"/>
    <w:link w:val="FootnoteTextChar2"/>
    <w:semiHidden/>
    <w:rsid w:val="003262CD"/>
    <w:pPr>
      <w:tabs>
        <w:tab w:val="left" w:pos="562"/>
      </w:tabs>
    </w:pPr>
    <w:rPr>
      <w:rFonts w:cs="Times New Roman"/>
      <w:sz w:val="18"/>
    </w:rPr>
  </w:style>
  <w:style w:type="character" w:customStyle="1" w:styleId="FootnoteTextChar">
    <w:name w:val="Footnote Text Char"/>
    <w:basedOn w:val="DefaultParagraphFont"/>
    <w:semiHidden/>
    <w:rsid w:val="006542BE"/>
    <w:rPr>
      <w:rFonts w:ascii="Arial" w:eastAsia="SimSun" w:hAnsi="Arial" w:cs="Arial"/>
      <w:sz w:val="20"/>
      <w:szCs w:val="20"/>
      <w:lang w:val="en-US" w:eastAsia="zh-CN"/>
    </w:rPr>
  </w:style>
  <w:style w:type="paragraph" w:styleId="Header">
    <w:name w:val="header"/>
    <w:basedOn w:val="Normal"/>
    <w:link w:val="HeaderChar1"/>
    <w:uiPriority w:val="99"/>
    <w:rsid w:val="006542BE"/>
    <w:pPr>
      <w:tabs>
        <w:tab w:val="center" w:pos="4536"/>
        <w:tab w:val="right" w:pos="9072"/>
      </w:tabs>
    </w:pPr>
    <w:rPr>
      <w:rFonts w:cs="Times New Roman"/>
    </w:rPr>
  </w:style>
  <w:style w:type="character" w:customStyle="1" w:styleId="HeaderChar">
    <w:name w:val="Header Char"/>
    <w:basedOn w:val="DefaultParagraphFont"/>
    <w:uiPriority w:val="99"/>
    <w:rsid w:val="006542BE"/>
    <w:rPr>
      <w:rFonts w:ascii="Arial" w:eastAsia="SimSun" w:hAnsi="Arial" w:cs="Arial"/>
      <w:szCs w:val="20"/>
      <w:lang w:val="en-US" w:eastAsia="zh-CN"/>
    </w:rPr>
  </w:style>
  <w:style w:type="paragraph" w:styleId="ListNumber">
    <w:name w:val="List Number"/>
    <w:basedOn w:val="Normal"/>
    <w:uiPriority w:val="99"/>
    <w:semiHidden/>
    <w:rsid w:val="006542BE"/>
    <w:pPr>
      <w:numPr>
        <w:numId w:val="2"/>
      </w:numPr>
    </w:pPr>
  </w:style>
  <w:style w:type="paragraph" w:customStyle="1" w:styleId="ONUME">
    <w:name w:val="ONUM E"/>
    <w:basedOn w:val="BodyText"/>
    <w:link w:val="ONUMEChar"/>
    <w:rsid w:val="006542BE"/>
    <w:pPr>
      <w:tabs>
        <w:tab w:val="num" w:pos="360"/>
      </w:tabs>
      <w:ind w:left="360" w:hanging="360"/>
    </w:pPr>
  </w:style>
  <w:style w:type="paragraph" w:customStyle="1" w:styleId="ONUMFS">
    <w:name w:val="ONUM FS"/>
    <w:basedOn w:val="BodyText"/>
    <w:uiPriority w:val="99"/>
    <w:rsid w:val="006542BE"/>
    <w:pPr>
      <w:numPr>
        <w:numId w:val="4"/>
      </w:numPr>
    </w:pPr>
  </w:style>
  <w:style w:type="paragraph" w:styleId="Salutation">
    <w:name w:val="Salutation"/>
    <w:basedOn w:val="Normal"/>
    <w:next w:val="Normal"/>
    <w:link w:val="SalutationChar"/>
    <w:uiPriority w:val="99"/>
    <w:semiHidden/>
    <w:rsid w:val="006542BE"/>
  </w:style>
  <w:style w:type="character" w:customStyle="1" w:styleId="SalutationChar">
    <w:name w:val="Salutation Char"/>
    <w:basedOn w:val="DefaultParagraphFont"/>
    <w:link w:val="Salutation"/>
    <w:uiPriority w:val="99"/>
    <w:semiHidden/>
    <w:rsid w:val="006542BE"/>
    <w:rPr>
      <w:rFonts w:ascii="Arial" w:eastAsia="SimSun" w:hAnsi="Arial" w:cs="Arial"/>
      <w:szCs w:val="20"/>
      <w:lang w:val="en-US" w:eastAsia="zh-CN"/>
    </w:rPr>
  </w:style>
  <w:style w:type="paragraph" w:styleId="Signature">
    <w:name w:val="Signature"/>
    <w:basedOn w:val="Normal"/>
    <w:link w:val="SignatureChar1"/>
    <w:uiPriority w:val="99"/>
    <w:semiHidden/>
    <w:rsid w:val="006542BE"/>
    <w:pPr>
      <w:ind w:left="5250"/>
    </w:pPr>
    <w:rPr>
      <w:rFonts w:cs="Times New Roman"/>
    </w:rPr>
  </w:style>
  <w:style w:type="character" w:customStyle="1" w:styleId="SignatureChar">
    <w:name w:val="Signature Char"/>
    <w:basedOn w:val="DefaultParagraphFont"/>
    <w:uiPriority w:val="99"/>
    <w:semiHidden/>
    <w:rsid w:val="006542BE"/>
    <w:rPr>
      <w:rFonts w:ascii="Arial" w:eastAsia="SimSun" w:hAnsi="Arial" w:cs="Arial"/>
      <w:szCs w:val="20"/>
      <w:lang w:val="en-US" w:eastAsia="zh-CN"/>
    </w:rPr>
  </w:style>
  <w:style w:type="character" w:styleId="FootnoteReference">
    <w:name w:val="footnote reference"/>
    <w:basedOn w:val="DefaultParagraphFont"/>
    <w:semiHidden/>
    <w:rsid w:val="006542BE"/>
    <w:rPr>
      <w:rFonts w:cs="Times New Roman"/>
      <w:vertAlign w:val="superscript"/>
    </w:rPr>
  </w:style>
  <w:style w:type="paragraph" w:styleId="PlainText">
    <w:name w:val="Plain Text"/>
    <w:basedOn w:val="Normal"/>
    <w:link w:val="PlainTextChar"/>
    <w:uiPriority w:val="99"/>
    <w:rsid w:val="006542BE"/>
    <w:rPr>
      <w:rFonts w:ascii="Courier New" w:hAnsi="Courier New" w:cs="Courier New"/>
      <w:sz w:val="20"/>
    </w:rPr>
  </w:style>
  <w:style w:type="character" w:customStyle="1" w:styleId="PlainTextChar">
    <w:name w:val="Plain Text Char"/>
    <w:basedOn w:val="DefaultParagraphFont"/>
    <w:link w:val="PlainText"/>
    <w:uiPriority w:val="99"/>
    <w:rsid w:val="006542BE"/>
    <w:rPr>
      <w:rFonts w:ascii="Courier New" w:eastAsia="SimSun" w:hAnsi="Courier New" w:cs="Courier New"/>
      <w:sz w:val="20"/>
      <w:szCs w:val="20"/>
      <w:lang w:val="en-US" w:eastAsia="zh-CN"/>
    </w:rPr>
  </w:style>
  <w:style w:type="character" w:customStyle="1" w:styleId="SignatureChar1">
    <w:name w:val="Signature Char1"/>
    <w:link w:val="Signature"/>
    <w:uiPriority w:val="99"/>
    <w:semiHidden/>
    <w:locked/>
    <w:rsid w:val="006542BE"/>
    <w:rPr>
      <w:rFonts w:ascii="Arial" w:eastAsia="SimSun" w:hAnsi="Arial" w:cs="Times New Roman"/>
      <w:szCs w:val="20"/>
      <w:lang w:val="en-US" w:eastAsia="zh-CN"/>
    </w:rPr>
  </w:style>
  <w:style w:type="character" w:styleId="PageNumber">
    <w:name w:val="page number"/>
    <w:basedOn w:val="DefaultParagraphFont"/>
    <w:uiPriority w:val="99"/>
    <w:rsid w:val="006542BE"/>
    <w:rPr>
      <w:rFonts w:cs="Times New Roman"/>
    </w:rPr>
  </w:style>
  <w:style w:type="paragraph" w:styleId="NormalWeb">
    <w:name w:val="Normal (Web)"/>
    <w:basedOn w:val="Normal"/>
    <w:uiPriority w:val="99"/>
    <w:rsid w:val="006542BE"/>
    <w:pPr>
      <w:spacing w:before="100" w:beforeAutospacing="1" w:after="100" w:afterAutospacing="1"/>
    </w:pPr>
    <w:rPr>
      <w:rFonts w:eastAsia="Times New Roman"/>
      <w:sz w:val="18"/>
      <w:szCs w:val="18"/>
      <w:lang w:eastAsia="en-US"/>
    </w:rPr>
  </w:style>
  <w:style w:type="table" w:styleId="TableGrid">
    <w:name w:val="Table Grid"/>
    <w:basedOn w:val="TableNormal"/>
    <w:uiPriority w:val="99"/>
    <w:rsid w:val="006542BE"/>
    <w:pPr>
      <w:spacing w:after="120" w:line="260" w:lineRule="exact"/>
      <w:ind w:left="1021"/>
    </w:pPr>
    <w:rPr>
      <w:rFonts w:ascii="Times New Roman" w:eastAsia="Times New Roman" w:hAnsi="Times New Roman" w:cs="Times New Roman"/>
      <w:sz w:val="20"/>
      <w:szCs w:val="20"/>
      <w:lang w:val="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basedOn w:val="DefaultParagraphFont"/>
    <w:uiPriority w:val="99"/>
    <w:rsid w:val="006542BE"/>
    <w:rPr>
      <w:rFonts w:cs="Times New Roman"/>
    </w:rPr>
  </w:style>
  <w:style w:type="paragraph" w:customStyle="1" w:styleId="Default">
    <w:name w:val="Default"/>
    <w:uiPriority w:val="99"/>
    <w:rsid w:val="006542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ndnoteReference">
    <w:name w:val="endnote reference"/>
    <w:basedOn w:val="DefaultParagraphFont"/>
    <w:uiPriority w:val="99"/>
    <w:semiHidden/>
    <w:rsid w:val="006542BE"/>
    <w:rPr>
      <w:rFonts w:cs="Times New Roman"/>
      <w:vertAlign w:val="superscript"/>
    </w:rPr>
  </w:style>
  <w:style w:type="paragraph" w:customStyle="1" w:styleId="Style">
    <w:name w:val="Style"/>
    <w:basedOn w:val="Normal"/>
    <w:uiPriority w:val="99"/>
    <w:rsid w:val="006542BE"/>
    <w:pPr>
      <w:spacing w:after="160" w:line="240" w:lineRule="exact"/>
    </w:pPr>
    <w:rPr>
      <w:rFonts w:ascii="Verdana" w:eastAsia="Times New Roman" w:hAnsi="Verdana" w:cs="Times New Roman"/>
      <w:sz w:val="20"/>
      <w:lang w:val="en-GB" w:eastAsia="en-US"/>
    </w:rPr>
  </w:style>
  <w:style w:type="character" w:customStyle="1" w:styleId="Heading2Char1">
    <w:name w:val="Heading 2 Char1"/>
    <w:link w:val="Heading2"/>
    <w:uiPriority w:val="99"/>
    <w:locked/>
    <w:rsid w:val="006542BE"/>
    <w:rPr>
      <w:rFonts w:ascii="Arial" w:eastAsia="SimSun" w:hAnsi="Arial" w:cs="Times New Roman"/>
      <w:caps/>
      <w:sz w:val="28"/>
      <w:szCs w:val="20"/>
      <w:lang w:val="en-US" w:eastAsia="zh-CN"/>
    </w:rPr>
  </w:style>
  <w:style w:type="character" w:styleId="LineNumber">
    <w:name w:val="line number"/>
    <w:basedOn w:val="DefaultParagraphFont"/>
    <w:uiPriority w:val="99"/>
    <w:rsid w:val="006542BE"/>
    <w:rPr>
      <w:rFonts w:cs="Times New Roman"/>
    </w:rPr>
  </w:style>
  <w:style w:type="character" w:customStyle="1" w:styleId="HeaderChar1">
    <w:name w:val="Header Char1"/>
    <w:link w:val="Header"/>
    <w:uiPriority w:val="99"/>
    <w:semiHidden/>
    <w:locked/>
    <w:rsid w:val="006542BE"/>
    <w:rPr>
      <w:rFonts w:ascii="Arial" w:eastAsia="SimSun" w:hAnsi="Arial" w:cs="Times New Roman"/>
      <w:szCs w:val="20"/>
      <w:lang w:val="en-US" w:eastAsia="zh-CN"/>
    </w:rPr>
  </w:style>
  <w:style w:type="paragraph" w:styleId="TOC2">
    <w:name w:val="toc 2"/>
    <w:basedOn w:val="Normal"/>
    <w:next w:val="Normal"/>
    <w:autoRedefine/>
    <w:uiPriority w:val="39"/>
    <w:qFormat/>
    <w:rsid w:val="006542BE"/>
    <w:pPr>
      <w:tabs>
        <w:tab w:val="left" w:pos="709"/>
        <w:tab w:val="right" w:leader="dot" w:pos="9345"/>
      </w:tabs>
      <w:ind w:left="220"/>
    </w:pPr>
  </w:style>
  <w:style w:type="paragraph" w:styleId="TOC1">
    <w:name w:val="toc 1"/>
    <w:basedOn w:val="Normal"/>
    <w:next w:val="Normal"/>
    <w:autoRedefine/>
    <w:uiPriority w:val="39"/>
    <w:rsid w:val="006542BE"/>
  </w:style>
  <w:style w:type="paragraph" w:styleId="TOC3">
    <w:name w:val="toc 3"/>
    <w:basedOn w:val="Normal"/>
    <w:next w:val="Normal"/>
    <w:autoRedefine/>
    <w:uiPriority w:val="39"/>
    <w:qFormat/>
    <w:rsid w:val="006542BE"/>
    <w:pPr>
      <w:ind w:left="440"/>
    </w:pPr>
  </w:style>
  <w:style w:type="character" w:styleId="Hyperlink">
    <w:name w:val="Hyperlink"/>
    <w:basedOn w:val="DefaultParagraphFont"/>
    <w:uiPriority w:val="99"/>
    <w:rsid w:val="006542BE"/>
    <w:rPr>
      <w:rFonts w:cs="Times New Roman"/>
      <w:color w:val="0000FF"/>
      <w:u w:val="single"/>
    </w:rPr>
  </w:style>
  <w:style w:type="character" w:customStyle="1" w:styleId="BalloonTextChar1">
    <w:name w:val="Balloon Text Char1"/>
    <w:link w:val="BalloonText"/>
    <w:uiPriority w:val="99"/>
    <w:semiHidden/>
    <w:locked/>
    <w:rsid w:val="006542BE"/>
    <w:rPr>
      <w:rFonts w:ascii="Tahoma" w:eastAsia="SimSun" w:hAnsi="Tahoma" w:cs="Times New Roman"/>
      <w:sz w:val="16"/>
      <w:szCs w:val="20"/>
      <w:lang w:val="en-US" w:eastAsia="zh-CN"/>
    </w:rPr>
  </w:style>
  <w:style w:type="paragraph" w:customStyle="1" w:styleId="Reporttext">
    <w:name w:val="Report text"/>
    <w:link w:val="ReporttextChar"/>
    <w:uiPriority w:val="99"/>
    <w:rsid w:val="006542BE"/>
    <w:pPr>
      <w:spacing w:before="120" w:after="0" w:line="240" w:lineRule="auto"/>
    </w:pPr>
    <w:rPr>
      <w:rFonts w:ascii="Times New Roman" w:eastAsia="Times New Roman" w:hAnsi="Times New Roman" w:cs="Times New Roman"/>
      <w:lang w:val="en-US"/>
    </w:rPr>
  </w:style>
  <w:style w:type="paragraph" w:customStyle="1" w:styleId="ContentsTitle">
    <w:name w:val="Contents Title"/>
    <w:basedOn w:val="Reporttext"/>
    <w:next w:val="Reporttext"/>
    <w:uiPriority w:val="99"/>
    <w:rsid w:val="006542BE"/>
    <w:pPr>
      <w:keepNext/>
      <w:spacing w:before="240" w:after="240"/>
    </w:pPr>
    <w:rPr>
      <w:spacing w:val="40"/>
      <w:sz w:val="28"/>
    </w:rPr>
  </w:style>
  <w:style w:type="paragraph" w:customStyle="1" w:styleId="Floating">
    <w:name w:val="Floating"/>
    <w:basedOn w:val="Reporttext"/>
    <w:next w:val="Reporttext"/>
    <w:link w:val="FloatingChar"/>
    <w:uiPriority w:val="99"/>
    <w:rsid w:val="006542BE"/>
    <w:pPr>
      <w:keepNext/>
      <w:spacing w:before="240"/>
    </w:pPr>
    <w:rPr>
      <w:b/>
    </w:rPr>
  </w:style>
  <w:style w:type="character" w:customStyle="1" w:styleId="FloatingChar">
    <w:name w:val="Floating Char"/>
    <w:link w:val="Floating"/>
    <w:uiPriority w:val="99"/>
    <w:locked/>
    <w:rsid w:val="006542BE"/>
    <w:rPr>
      <w:rFonts w:ascii="Times New Roman" w:eastAsia="Times New Roman" w:hAnsi="Times New Roman" w:cs="Times New Roman"/>
      <w:b/>
      <w:lang w:val="en-US"/>
    </w:rPr>
  </w:style>
  <w:style w:type="character" w:customStyle="1" w:styleId="ReporttextChar">
    <w:name w:val="Report text Char"/>
    <w:link w:val="Reporttext"/>
    <w:uiPriority w:val="99"/>
    <w:locked/>
    <w:rsid w:val="006542BE"/>
    <w:rPr>
      <w:rFonts w:ascii="Times New Roman" w:eastAsia="Times New Roman" w:hAnsi="Times New Roman" w:cs="Times New Roman"/>
      <w:lang w:val="en-US"/>
    </w:rPr>
  </w:style>
  <w:style w:type="character" w:customStyle="1" w:styleId="FootnoteTextChar2">
    <w:name w:val="Footnote Text Char2"/>
    <w:aliases w:val="Char Char1"/>
    <w:link w:val="FootnoteText"/>
    <w:semiHidden/>
    <w:locked/>
    <w:rsid w:val="003262CD"/>
    <w:rPr>
      <w:rFonts w:ascii="Arial" w:eastAsia="SimSun" w:hAnsi="Arial" w:cs="Times New Roman"/>
      <w:sz w:val="18"/>
      <w:szCs w:val="20"/>
      <w:lang w:val="en-US" w:eastAsia="zh-CN"/>
    </w:rPr>
  </w:style>
  <w:style w:type="character" w:customStyle="1" w:styleId="FootnoteTextChar1">
    <w:name w:val="Footnote Text Char1"/>
    <w:aliases w:val="Char Char"/>
    <w:semiHidden/>
    <w:locked/>
    <w:rsid w:val="006542BE"/>
    <w:rPr>
      <w:rFonts w:ascii="Arial" w:hAnsi="Arial"/>
      <w:sz w:val="18"/>
      <w:lang w:val="en-US" w:eastAsia="en-US"/>
    </w:rPr>
  </w:style>
  <w:style w:type="paragraph" w:styleId="ListParagraph">
    <w:name w:val="List Paragraph"/>
    <w:basedOn w:val="Normal"/>
    <w:uiPriority w:val="99"/>
    <w:qFormat/>
    <w:rsid w:val="006542BE"/>
    <w:pPr>
      <w:ind w:left="720"/>
      <w:contextualSpacing/>
    </w:pPr>
    <w:rPr>
      <w:rFonts w:ascii="Times New Roman" w:eastAsia="Times New Roman" w:hAnsi="Times New Roman" w:cs="Times New Roman"/>
      <w:sz w:val="24"/>
      <w:szCs w:val="24"/>
      <w:lang w:eastAsia="en-US"/>
    </w:rPr>
  </w:style>
  <w:style w:type="paragraph" w:styleId="DocumentMap">
    <w:name w:val="Document Map"/>
    <w:basedOn w:val="Normal"/>
    <w:link w:val="DocumentMapChar"/>
    <w:uiPriority w:val="99"/>
    <w:semiHidden/>
    <w:rsid w:val="006542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542BE"/>
    <w:rPr>
      <w:rFonts w:ascii="Tahoma" w:eastAsia="SimSun" w:hAnsi="Tahoma" w:cs="Tahoma"/>
      <w:sz w:val="20"/>
      <w:szCs w:val="20"/>
      <w:shd w:val="clear" w:color="auto" w:fill="000080"/>
      <w:lang w:val="en-US" w:eastAsia="zh-CN"/>
    </w:rPr>
  </w:style>
  <w:style w:type="paragraph" w:customStyle="1" w:styleId="EndofDocument">
    <w:name w:val="End of Document"/>
    <w:basedOn w:val="Normal"/>
    <w:uiPriority w:val="99"/>
    <w:rsid w:val="006542BE"/>
    <w:pPr>
      <w:ind w:left="4536"/>
      <w:jc w:val="center"/>
    </w:pPr>
    <w:rPr>
      <w:rFonts w:ascii="Times New Roman" w:eastAsia="Times New Roman" w:hAnsi="Times New Roman" w:cs="Times New Roman"/>
      <w:sz w:val="24"/>
      <w:lang w:eastAsia="en-US"/>
    </w:rPr>
  </w:style>
  <w:style w:type="character" w:styleId="CommentReference">
    <w:name w:val="annotation reference"/>
    <w:basedOn w:val="DefaultParagraphFont"/>
    <w:uiPriority w:val="99"/>
    <w:semiHidden/>
    <w:rsid w:val="006542BE"/>
    <w:rPr>
      <w:rFonts w:cs="Times New Roman"/>
      <w:sz w:val="18"/>
    </w:rPr>
  </w:style>
  <w:style w:type="paragraph" w:customStyle="1" w:styleId="CharCharCharChar">
    <w:name w:val="Char Char Char Char"/>
    <w:basedOn w:val="Normal"/>
    <w:uiPriority w:val="99"/>
    <w:rsid w:val="006542BE"/>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Normal"/>
    <w:link w:val="StyleChapterBold1CharChar"/>
    <w:uiPriority w:val="99"/>
    <w:rsid w:val="006542BE"/>
    <w:pPr>
      <w:keepNext/>
      <w:jc w:val="center"/>
      <w:outlineLvl w:val="0"/>
    </w:pPr>
    <w:rPr>
      <w:rFonts w:ascii="Times New Roman Bold" w:eastAsia="Times New Roman" w:hAnsi="Times New Roman Bold" w:cs="Times New Roman"/>
      <w:b/>
      <w:caps/>
      <w:sz w:val="24"/>
      <w:lang w:eastAsia="en-US"/>
    </w:rPr>
  </w:style>
  <w:style w:type="character" w:customStyle="1" w:styleId="StyleChapterBold1CharChar">
    <w:name w:val="Style Chapter + Bold1 Char Char"/>
    <w:link w:val="StyleChapterBold1"/>
    <w:uiPriority w:val="99"/>
    <w:locked/>
    <w:rsid w:val="006542BE"/>
    <w:rPr>
      <w:rFonts w:ascii="Times New Roman Bold" w:eastAsia="Times New Roman" w:hAnsi="Times New Roman Bold" w:cs="Times New Roman"/>
      <w:b/>
      <w:caps/>
      <w:sz w:val="24"/>
      <w:szCs w:val="20"/>
      <w:lang w:val="en-US"/>
    </w:rPr>
  </w:style>
  <w:style w:type="paragraph" w:styleId="TOCHeading">
    <w:name w:val="TOC Heading"/>
    <w:basedOn w:val="Heading1"/>
    <w:next w:val="Normal"/>
    <w:uiPriority w:val="99"/>
    <w:qFormat/>
    <w:rsid w:val="006542BE"/>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CommentSubject">
    <w:name w:val="annotation subject"/>
    <w:basedOn w:val="CommentText"/>
    <w:next w:val="CommentText"/>
    <w:link w:val="CommentSubjectChar"/>
    <w:uiPriority w:val="99"/>
    <w:semiHidden/>
    <w:rsid w:val="006542BE"/>
    <w:rPr>
      <w:b/>
      <w:bCs/>
      <w:sz w:val="20"/>
    </w:rPr>
  </w:style>
  <w:style w:type="character" w:customStyle="1" w:styleId="CommentSubjectChar">
    <w:name w:val="Comment Subject Char"/>
    <w:basedOn w:val="CommentTextChar"/>
    <w:link w:val="CommentSubject"/>
    <w:uiPriority w:val="99"/>
    <w:semiHidden/>
    <w:rsid w:val="006542BE"/>
    <w:rPr>
      <w:rFonts w:ascii="Arial" w:eastAsia="SimSun" w:hAnsi="Arial" w:cs="Arial"/>
      <w:b/>
      <w:bCs/>
      <w:sz w:val="20"/>
      <w:szCs w:val="20"/>
      <w:lang w:val="en-US" w:eastAsia="zh-CN"/>
    </w:rPr>
  </w:style>
  <w:style w:type="paragraph" w:customStyle="1" w:styleId="StyleBoldCentered">
    <w:name w:val="Style Bold Centered"/>
    <w:uiPriority w:val="99"/>
    <w:rsid w:val="006542BE"/>
    <w:pPr>
      <w:spacing w:after="0" w:line="240" w:lineRule="auto"/>
      <w:jc w:val="center"/>
    </w:pPr>
    <w:rPr>
      <w:rFonts w:ascii="Arial" w:eastAsia="Times New Roman" w:hAnsi="Arial" w:cs="Times New Roman"/>
      <w:b/>
      <w:bCs/>
      <w:szCs w:val="20"/>
      <w:lang w:val="en-US" w:eastAsia="zh-CN"/>
    </w:rPr>
  </w:style>
  <w:style w:type="paragraph" w:customStyle="1" w:styleId="dernierpara">
    <w:name w:val="dernierpara"/>
    <w:basedOn w:val="Normal"/>
    <w:uiPriority w:val="99"/>
    <w:rsid w:val="006542BE"/>
    <w:pPr>
      <w:spacing w:after="360"/>
    </w:pPr>
    <w:rPr>
      <w:rFonts w:ascii="Times New Roman" w:eastAsia="Times New Roman" w:hAnsi="Times New Roman" w:cs="Times New Roman"/>
      <w:sz w:val="24"/>
      <w:lang w:val="fr-FR" w:eastAsia="en-US"/>
    </w:rPr>
  </w:style>
  <w:style w:type="character" w:customStyle="1" w:styleId="Endofdocument-AnnexChar">
    <w:name w:val="[End of document - Annex] Char"/>
    <w:link w:val="Endofdocument-Annex"/>
    <w:rsid w:val="00E63AAF"/>
    <w:rPr>
      <w:rFonts w:ascii="Arial" w:eastAsia="SimSun" w:hAnsi="Arial" w:cs="Arial"/>
      <w:szCs w:val="20"/>
      <w:lang w:val="en-US" w:eastAsia="zh-CN"/>
    </w:rPr>
  </w:style>
  <w:style w:type="paragraph" w:customStyle="1" w:styleId="DecisionInvitationPara">
    <w:name w:val="Decision Invitation Para."/>
    <w:basedOn w:val="Normal"/>
    <w:rsid w:val="00E63AAF"/>
    <w:pPr>
      <w:ind w:left="5534"/>
    </w:pPr>
    <w:rPr>
      <w:rFonts w:eastAsia="Times New Roman" w:cs="Times New Roman"/>
      <w:i/>
      <w:lang w:eastAsia="en-US"/>
    </w:rPr>
  </w:style>
  <w:style w:type="character" w:customStyle="1" w:styleId="ONUMEChar">
    <w:name w:val="ONUM E Char"/>
    <w:link w:val="ONUME"/>
    <w:rsid w:val="00E63AAF"/>
    <w:rPr>
      <w:rFonts w:ascii="Arial" w:eastAsia="SimSun" w:hAnsi="Arial" w:cs="Arial"/>
      <w:szCs w:val="20"/>
      <w:lang w:val="en-US" w:eastAsia="zh-CN"/>
    </w:rPr>
  </w:style>
  <w:style w:type="paragraph" w:styleId="TOC4">
    <w:name w:val="toc 4"/>
    <w:basedOn w:val="Normal"/>
    <w:next w:val="Normal"/>
    <w:autoRedefine/>
    <w:uiPriority w:val="39"/>
    <w:rsid w:val="00E63AAF"/>
    <w:pPr>
      <w:tabs>
        <w:tab w:val="right" w:leader="dot" w:pos="9344"/>
      </w:tabs>
      <w:spacing w:before="120" w:after="120"/>
      <w:ind w:left="1134"/>
    </w:pPr>
    <w:rPr>
      <w:rFonts w:ascii="Calibri" w:eastAsia="Times New Roman" w:hAnsi="Calibri" w:cs="Times New Roman"/>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542BE"/>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1"/>
    <w:uiPriority w:val="99"/>
    <w:qFormat/>
    <w:rsid w:val="006542BE"/>
    <w:pPr>
      <w:keepNext/>
      <w:tabs>
        <w:tab w:val="num" w:pos="567"/>
      </w:tabs>
      <w:spacing w:before="240" w:after="360"/>
      <w:outlineLvl w:val="0"/>
    </w:pPr>
    <w:rPr>
      <w:b/>
      <w:bCs/>
      <w:caps/>
      <w:kern w:val="32"/>
      <w:szCs w:val="32"/>
    </w:rPr>
  </w:style>
  <w:style w:type="paragraph" w:styleId="Heading2">
    <w:name w:val="heading 2"/>
    <w:basedOn w:val="Normal"/>
    <w:next w:val="Normal"/>
    <w:link w:val="Heading2Char1"/>
    <w:qFormat/>
    <w:rsid w:val="006542BE"/>
    <w:pPr>
      <w:keepNext/>
      <w:numPr>
        <w:ilvl w:val="1"/>
        <w:numId w:val="8"/>
      </w:numPr>
      <w:spacing w:before="240" w:after="240"/>
      <w:outlineLvl w:val="1"/>
    </w:pPr>
    <w:rPr>
      <w:rFonts w:cs="Times New Roman"/>
      <w:caps/>
      <w:sz w:val="28"/>
    </w:rPr>
  </w:style>
  <w:style w:type="paragraph" w:styleId="Heading3">
    <w:name w:val="heading 3"/>
    <w:basedOn w:val="Normal"/>
    <w:next w:val="Normal"/>
    <w:link w:val="Heading3Char"/>
    <w:qFormat/>
    <w:rsid w:val="006542BE"/>
    <w:pPr>
      <w:keepNext/>
      <w:numPr>
        <w:numId w:val="1"/>
      </w:numPr>
      <w:tabs>
        <w:tab w:val="clear" w:pos="360"/>
        <w:tab w:val="num" w:pos="1701"/>
      </w:tabs>
      <w:spacing w:before="240" w:after="60"/>
      <w:ind w:left="1134" w:firstLine="0"/>
      <w:outlineLvl w:val="2"/>
    </w:pPr>
    <w:rPr>
      <w:bCs/>
      <w:szCs w:val="26"/>
      <w:u w:val="single"/>
    </w:rPr>
  </w:style>
  <w:style w:type="paragraph" w:styleId="Heading4">
    <w:name w:val="heading 4"/>
    <w:basedOn w:val="Normal"/>
    <w:next w:val="Normal"/>
    <w:link w:val="Heading4Char"/>
    <w:qFormat/>
    <w:rsid w:val="006542B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542BE"/>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rsid w:val="006542BE"/>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rsid w:val="006542BE"/>
    <w:rPr>
      <w:rFonts w:ascii="Arial" w:eastAsia="SimSun" w:hAnsi="Arial" w:cs="Arial"/>
      <w:bCs/>
      <w:szCs w:val="26"/>
      <w:u w:val="single"/>
      <w:lang w:val="en-US" w:eastAsia="zh-CN"/>
    </w:rPr>
  </w:style>
  <w:style w:type="character" w:customStyle="1" w:styleId="Heading4Char">
    <w:name w:val="Heading 4 Char"/>
    <w:basedOn w:val="DefaultParagraphFont"/>
    <w:link w:val="Heading4"/>
    <w:uiPriority w:val="99"/>
    <w:rsid w:val="006542BE"/>
    <w:rPr>
      <w:rFonts w:ascii="Arial" w:eastAsia="SimSun" w:hAnsi="Arial" w:cs="Arial"/>
      <w:bCs/>
      <w:i/>
      <w:szCs w:val="28"/>
      <w:lang w:val="en-US" w:eastAsia="zh-CN"/>
    </w:rPr>
  </w:style>
  <w:style w:type="paragraph" w:styleId="BalloonText">
    <w:name w:val="Balloon Text"/>
    <w:basedOn w:val="Normal"/>
    <w:link w:val="BalloonTextChar1"/>
    <w:uiPriority w:val="99"/>
    <w:semiHidden/>
    <w:rsid w:val="006542BE"/>
    <w:rPr>
      <w:rFonts w:ascii="Tahoma" w:hAnsi="Tahoma" w:cs="Times New Roman"/>
      <w:sz w:val="16"/>
    </w:rPr>
  </w:style>
  <w:style w:type="character" w:customStyle="1" w:styleId="BalloonTextChar">
    <w:name w:val="Balloon Text Char"/>
    <w:basedOn w:val="DefaultParagraphFont"/>
    <w:uiPriority w:val="99"/>
    <w:semiHidden/>
    <w:rsid w:val="006542BE"/>
    <w:rPr>
      <w:rFonts w:ascii="Tahoma" w:eastAsia="SimSun" w:hAnsi="Tahoma" w:cs="Tahoma"/>
      <w:sz w:val="16"/>
      <w:szCs w:val="16"/>
      <w:lang w:val="en-US" w:eastAsia="zh-CN"/>
    </w:rPr>
  </w:style>
  <w:style w:type="character" w:customStyle="1" w:styleId="Heading1Char1">
    <w:name w:val="Heading 1 Char1"/>
    <w:basedOn w:val="DefaultParagraphFont"/>
    <w:link w:val="Heading1"/>
    <w:uiPriority w:val="99"/>
    <w:locked/>
    <w:rsid w:val="006542BE"/>
    <w:rPr>
      <w:rFonts w:ascii="Arial" w:eastAsia="SimSun" w:hAnsi="Arial" w:cs="Arial"/>
      <w:b/>
      <w:bCs/>
      <w:caps/>
      <w:kern w:val="32"/>
      <w:szCs w:val="32"/>
      <w:lang w:val="en-US" w:eastAsia="zh-CN"/>
    </w:rPr>
  </w:style>
  <w:style w:type="paragraph" w:customStyle="1" w:styleId="Endofdocument-Annex">
    <w:name w:val="[End of document - Annex]"/>
    <w:basedOn w:val="Normal"/>
    <w:link w:val="Endofdocument-AnnexChar"/>
    <w:rsid w:val="006542BE"/>
    <w:pPr>
      <w:ind w:left="5534"/>
    </w:pPr>
  </w:style>
  <w:style w:type="paragraph" w:styleId="BodyText">
    <w:name w:val="Body Text"/>
    <w:basedOn w:val="Normal"/>
    <w:link w:val="BodyTextChar"/>
    <w:rsid w:val="006542BE"/>
    <w:pPr>
      <w:spacing w:after="220"/>
    </w:pPr>
  </w:style>
  <w:style w:type="character" w:customStyle="1" w:styleId="BodyTextChar">
    <w:name w:val="Body Text Char"/>
    <w:basedOn w:val="DefaultParagraphFont"/>
    <w:link w:val="BodyText"/>
    <w:rsid w:val="006542BE"/>
    <w:rPr>
      <w:rFonts w:ascii="Arial" w:eastAsia="SimSun" w:hAnsi="Arial" w:cs="Arial"/>
      <w:szCs w:val="20"/>
      <w:lang w:val="en-US" w:eastAsia="zh-CN"/>
    </w:rPr>
  </w:style>
  <w:style w:type="paragraph" w:styleId="Caption">
    <w:name w:val="caption"/>
    <w:basedOn w:val="Normal"/>
    <w:next w:val="Normal"/>
    <w:qFormat/>
    <w:rsid w:val="006542BE"/>
    <w:rPr>
      <w:b/>
      <w:bCs/>
      <w:sz w:val="18"/>
    </w:rPr>
  </w:style>
  <w:style w:type="paragraph" w:styleId="CommentText">
    <w:name w:val="annotation text"/>
    <w:basedOn w:val="Normal"/>
    <w:link w:val="CommentTextChar"/>
    <w:uiPriority w:val="99"/>
    <w:semiHidden/>
    <w:rsid w:val="006542BE"/>
    <w:rPr>
      <w:sz w:val="18"/>
    </w:rPr>
  </w:style>
  <w:style w:type="character" w:customStyle="1" w:styleId="CommentTextChar">
    <w:name w:val="Comment Text Char"/>
    <w:basedOn w:val="DefaultParagraphFont"/>
    <w:link w:val="CommentText"/>
    <w:uiPriority w:val="99"/>
    <w:semiHidden/>
    <w:rsid w:val="006542BE"/>
    <w:rPr>
      <w:rFonts w:ascii="Arial" w:eastAsia="SimSun" w:hAnsi="Arial" w:cs="Arial"/>
      <w:sz w:val="18"/>
      <w:szCs w:val="20"/>
      <w:lang w:val="en-US" w:eastAsia="zh-CN"/>
    </w:rPr>
  </w:style>
  <w:style w:type="paragraph" w:styleId="EndnoteText">
    <w:name w:val="endnote text"/>
    <w:basedOn w:val="Normal"/>
    <w:link w:val="EndnoteTextChar"/>
    <w:uiPriority w:val="99"/>
    <w:semiHidden/>
    <w:rsid w:val="006542BE"/>
    <w:rPr>
      <w:sz w:val="18"/>
    </w:rPr>
  </w:style>
  <w:style w:type="character" w:customStyle="1" w:styleId="EndnoteTextChar">
    <w:name w:val="Endnote Text Char"/>
    <w:basedOn w:val="DefaultParagraphFont"/>
    <w:link w:val="EndnoteText"/>
    <w:uiPriority w:val="99"/>
    <w:semiHidden/>
    <w:rsid w:val="006542BE"/>
    <w:rPr>
      <w:rFonts w:ascii="Arial" w:eastAsia="SimSun" w:hAnsi="Arial" w:cs="Arial"/>
      <w:sz w:val="18"/>
      <w:szCs w:val="20"/>
      <w:lang w:val="en-US" w:eastAsia="zh-CN"/>
    </w:rPr>
  </w:style>
  <w:style w:type="paragraph" w:styleId="Footer">
    <w:name w:val="footer"/>
    <w:basedOn w:val="Normal"/>
    <w:link w:val="FooterChar"/>
    <w:uiPriority w:val="99"/>
    <w:semiHidden/>
    <w:rsid w:val="006542BE"/>
    <w:pPr>
      <w:tabs>
        <w:tab w:val="center" w:pos="4320"/>
        <w:tab w:val="right" w:pos="8640"/>
      </w:tabs>
    </w:pPr>
  </w:style>
  <w:style w:type="character" w:customStyle="1" w:styleId="FooterChar">
    <w:name w:val="Footer Char"/>
    <w:basedOn w:val="DefaultParagraphFont"/>
    <w:link w:val="Footer"/>
    <w:uiPriority w:val="99"/>
    <w:semiHidden/>
    <w:rsid w:val="006542BE"/>
    <w:rPr>
      <w:rFonts w:ascii="Arial" w:eastAsia="SimSun" w:hAnsi="Arial" w:cs="Arial"/>
      <w:szCs w:val="20"/>
      <w:lang w:val="en-US" w:eastAsia="zh-CN"/>
    </w:rPr>
  </w:style>
  <w:style w:type="paragraph" w:styleId="FootnoteText">
    <w:name w:val="footnote text"/>
    <w:aliases w:val="Char"/>
    <w:basedOn w:val="Normal"/>
    <w:link w:val="FootnoteTextChar2"/>
    <w:semiHidden/>
    <w:rsid w:val="003262CD"/>
    <w:pPr>
      <w:tabs>
        <w:tab w:val="left" w:pos="562"/>
      </w:tabs>
    </w:pPr>
    <w:rPr>
      <w:rFonts w:cs="Times New Roman"/>
      <w:sz w:val="18"/>
    </w:rPr>
  </w:style>
  <w:style w:type="character" w:customStyle="1" w:styleId="FootnoteTextChar">
    <w:name w:val="Footnote Text Char"/>
    <w:basedOn w:val="DefaultParagraphFont"/>
    <w:semiHidden/>
    <w:rsid w:val="006542BE"/>
    <w:rPr>
      <w:rFonts w:ascii="Arial" w:eastAsia="SimSun" w:hAnsi="Arial" w:cs="Arial"/>
      <w:sz w:val="20"/>
      <w:szCs w:val="20"/>
      <w:lang w:val="en-US" w:eastAsia="zh-CN"/>
    </w:rPr>
  </w:style>
  <w:style w:type="paragraph" w:styleId="Header">
    <w:name w:val="header"/>
    <w:basedOn w:val="Normal"/>
    <w:link w:val="HeaderChar1"/>
    <w:uiPriority w:val="99"/>
    <w:rsid w:val="006542BE"/>
    <w:pPr>
      <w:tabs>
        <w:tab w:val="center" w:pos="4536"/>
        <w:tab w:val="right" w:pos="9072"/>
      </w:tabs>
    </w:pPr>
    <w:rPr>
      <w:rFonts w:cs="Times New Roman"/>
    </w:rPr>
  </w:style>
  <w:style w:type="character" w:customStyle="1" w:styleId="HeaderChar">
    <w:name w:val="Header Char"/>
    <w:basedOn w:val="DefaultParagraphFont"/>
    <w:uiPriority w:val="99"/>
    <w:rsid w:val="006542BE"/>
    <w:rPr>
      <w:rFonts w:ascii="Arial" w:eastAsia="SimSun" w:hAnsi="Arial" w:cs="Arial"/>
      <w:szCs w:val="20"/>
      <w:lang w:val="en-US" w:eastAsia="zh-CN"/>
    </w:rPr>
  </w:style>
  <w:style w:type="paragraph" w:styleId="ListNumber">
    <w:name w:val="List Number"/>
    <w:basedOn w:val="Normal"/>
    <w:uiPriority w:val="99"/>
    <w:semiHidden/>
    <w:rsid w:val="006542BE"/>
    <w:pPr>
      <w:numPr>
        <w:numId w:val="2"/>
      </w:numPr>
    </w:pPr>
  </w:style>
  <w:style w:type="paragraph" w:customStyle="1" w:styleId="ONUME">
    <w:name w:val="ONUM E"/>
    <w:basedOn w:val="BodyText"/>
    <w:link w:val="ONUMEChar"/>
    <w:rsid w:val="006542BE"/>
    <w:pPr>
      <w:tabs>
        <w:tab w:val="num" w:pos="360"/>
      </w:tabs>
      <w:ind w:left="360" w:hanging="360"/>
    </w:pPr>
  </w:style>
  <w:style w:type="paragraph" w:customStyle="1" w:styleId="ONUMFS">
    <w:name w:val="ONUM FS"/>
    <w:basedOn w:val="BodyText"/>
    <w:uiPriority w:val="99"/>
    <w:rsid w:val="006542BE"/>
    <w:pPr>
      <w:numPr>
        <w:numId w:val="4"/>
      </w:numPr>
    </w:pPr>
  </w:style>
  <w:style w:type="paragraph" w:styleId="Salutation">
    <w:name w:val="Salutation"/>
    <w:basedOn w:val="Normal"/>
    <w:next w:val="Normal"/>
    <w:link w:val="SalutationChar"/>
    <w:uiPriority w:val="99"/>
    <w:semiHidden/>
    <w:rsid w:val="006542BE"/>
  </w:style>
  <w:style w:type="character" w:customStyle="1" w:styleId="SalutationChar">
    <w:name w:val="Salutation Char"/>
    <w:basedOn w:val="DefaultParagraphFont"/>
    <w:link w:val="Salutation"/>
    <w:uiPriority w:val="99"/>
    <w:semiHidden/>
    <w:rsid w:val="006542BE"/>
    <w:rPr>
      <w:rFonts w:ascii="Arial" w:eastAsia="SimSun" w:hAnsi="Arial" w:cs="Arial"/>
      <w:szCs w:val="20"/>
      <w:lang w:val="en-US" w:eastAsia="zh-CN"/>
    </w:rPr>
  </w:style>
  <w:style w:type="paragraph" w:styleId="Signature">
    <w:name w:val="Signature"/>
    <w:basedOn w:val="Normal"/>
    <w:link w:val="SignatureChar1"/>
    <w:uiPriority w:val="99"/>
    <w:semiHidden/>
    <w:rsid w:val="006542BE"/>
    <w:pPr>
      <w:ind w:left="5250"/>
    </w:pPr>
    <w:rPr>
      <w:rFonts w:cs="Times New Roman"/>
    </w:rPr>
  </w:style>
  <w:style w:type="character" w:customStyle="1" w:styleId="SignatureChar">
    <w:name w:val="Signature Char"/>
    <w:basedOn w:val="DefaultParagraphFont"/>
    <w:uiPriority w:val="99"/>
    <w:semiHidden/>
    <w:rsid w:val="006542BE"/>
    <w:rPr>
      <w:rFonts w:ascii="Arial" w:eastAsia="SimSun" w:hAnsi="Arial" w:cs="Arial"/>
      <w:szCs w:val="20"/>
      <w:lang w:val="en-US" w:eastAsia="zh-CN"/>
    </w:rPr>
  </w:style>
  <w:style w:type="character" w:styleId="FootnoteReference">
    <w:name w:val="footnote reference"/>
    <w:basedOn w:val="DefaultParagraphFont"/>
    <w:semiHidden/>
    <w:rsid w:val="006542BE"/>
    <w:rPr>
      <w:rFonts w:cs="Times New Roman"/>
      <w:vertAlign w:val="superscript"/>
    </w:rPr>
  </w:style>
  <w:style w:type="paragraph" w:styleId="PlainText">
    <w:name w:val="Plain Text"/>
    <w:basedOn w:val="Normal"/>
    <w:link w:val="PlainTextChar"/>
    <w:uiPriority w:val="99"/>
    <w:rsid w:val="006542BE"/>
    <w:rPr>
      <w:rFonts w:ascii="Courier New" w:hAnsi="Courier New" w:cs="Courier New"/>
      <w:sz w:val="20"/>
    </w:rPr>
  </w:style>
  <w:style w:type="character" w:customStyle="1" w:styleId="PlainTextChar">
    <w:name w:val="Plain Text Char"/>
    <w:basedOn w:val="DefaultParagraphFont"/>
    <w:link w:val="PlainText"/>
    <w:uiPriority w:val="99"/>
    <w:rsid w:val="006542BE"/>
    <w:rPr>
      <w:rFonts w:ascii="Courier New" w:eastAsia="SimSun" w:hAnsi="Courier New" w:cs="Courier New"/>
      <w:sz w:val="20"/>
      <w:szCs w:val="20"/>
      <w:lang w:val="en-US" w:eastAsia="zh-CN"/>
    </w:rPr>
  </w:style>
  <w:style w:type="character" w:customStyle="1" w:styleId="SignatureChar1">
    <w:name w:val="Signature Char1"/>
    <w:link w:val="Signature"/>
    <w:uiPriority w:val="99"/>
    <w:semiHidden/>
    <w:locked/>
    <w:rsid w:val="006542BE"/>
    <w:rPr>
      <w:rFonts w:ascii="Arial" w:eastAsia="SimSun" w:hAnsi="Arial" w:cs="Times New Roman"/>
      <w:szCs w:val="20"/>
      <w:lang w:val="en-US" w:eastAsia="zh-CN"/>
    </w:rPr>
  </w:style>
  <w:style w:type="character" w:styleId="PageNumber">
    <w:name w:val="page number"/>
    <w:basedOn w:val="DefaultParagraphFont"/>
    <w:uiPriority w:val="99"/>
    <w:rsid w:val="006542BE"/>
    <w:rPr>
      <w:rFonts w:cs="Times New Roman"/>
    </w:rPr>
  </w:style>
  <w:style w:type="paragraph" w:styleId="NormalWeb">
    <w:name w:val="Normal (Web)"/>
    <w:basedOn w:val="Normal"/>
    <w:uiPriority w:val="99"/>
    <w:rsid w:val="006542BE"/>
    <w:pPr>
      <w:spacing w:before="100" w:beforeAutospacing="1" w:after="100" w:afterAutospacing="1"/>
    </w:pPr>
    <w:rPr>
      <w:rFonts w:eastAsia="Times New Roman"/>
      <w:sz w:val="18"/>
      <w:szCs w:val="18"/>
      <w:lang w:eastAsia="en-US"/>
    </w:rPr>
  </w:style>
  <w:style w:type="table" w:styleId="TableGrid">
    <w:name w:val="Table Grid"/>
    <w:basedOn w:val="TableNormal"/>
    <w:uiPriority w:val="99"/>
    <w:rsid w:val="006542BE"/>
    <w:pPr>
      <w:spacing w:after="120" w:line="260" w:lineRule="exact"/>
      <w:ind w:left="1021"/>
    </w:pPr>
    <w:rPr>
      <w:rFonts w:ascii="Times New Roman" w:eastAsia="Times New Roman" w:hAnsi="Times New Roman" w:cs="Times New Roman"/>
      <w:sz w:val="20"/>
      <w:szCs w:val="20"/>
      <w:lang w:val="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basedOn w:val="DefaultParagraphFont"/>
    <w:uiPriority w:val="99"/>
    <w:rsid w:val="006542BE"/>
    <w:rPr>
      <w:rFonts w:cs="Times New Roman"/>
    </w:rPr>
  </w:style>
  <w:style w:type="paragraph" w:customStyle="1" w:styleId="Default">
    <w:name w:val="Default"/>
    <w:uiPriority w:val="99"/>
    <w:rsid w:val="006542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ndnoteReference">
    <w:name w:val="endnote reference"/>
    <w:basedOn w:val="DefaultParagraphFont"/>
    <w:uiPriority w:val="99"/>
    <w:semiHidden/>
    <w:rsid w:val="006542BE"/>
    <w:rPr>
      <w:rFonts w:cs="Times New Roman"/>
      <w:vertAlign w:val="superscript"/>
    </w:rPr>
  </w:style>
  <w:style w:type="paragraph" w:customStyle="1" w:styleId="Style">
    <w:name w:val="Style"/>
    <w:basedOn w:val="Normal"/>
    <w:uiPriority w:val="99"/>
    <w:rsid w:val="006542BE"/>
    <w:pPr>
      <w:spacing w:after="160" w:line="240" w:lineRule="exact"/>
    </w:pPr>
    <w:rPr>
      <w:rFonts w:ascii="Verdana" w:eastAsia="Times New Roman" w:hAnsi="Verdana" w:cs="Times New Roman"/>
      <w:sz w:val="20"/>
      <w:lang w:val="en-GB" w:eastAsia="en-US"/>
    </w:rPr>
  </w:style>
  <w:style w:type="character" w:customStyle="1" w:styleId="Heading2Char1">
    <w:name w:val="Heading 2 Char1"/>
    <w:link w:val="Heading2"/>
    <w:uiPriority w:val="99"/>
    <w:locked/>
    <w:rsid w:val="006542BE"/>
    <w:rPr>
      <w:rFonts w:ascii="Arial" w:eastAsia="SimSun" w:hAnsi="Arial" w:cs="Times New Roman"/>
      <w:caps/>
      <w:sz w:val="28"/>
      <w:szCs w:val="20"/>
      <w:lang w:val="en-US" w:eastAsia="zh-CN"/>
    </w:rPr>
  </w:style>
  <w:style w:type="character" w:styleId="LineNumber">
    <w:name w:val="line number"/>
    <w:basedOn w:val="DefaultParagraphFont"/>
    <w:uiPriority w:val="99"/>
    <w:rsid w:val="006542BE"/>
    <w:rPr>
      <w:rFonts w:cs="Times New Roman"/>
    </w:rPr>
  </w:style>
  <w:style w:type="character" w:customStyle="1" w:styleId="HeaderChar1">
    <w:name w:val="Header Char1"/>
    <w:link w:val="Header"/>
    <w:uiPriority w:val="99"/>
    <w:semiHidden/>
    <w:locked/>
    <w:rsid w:val="006542BE"/>
    <w:rPr>
      <w:rFonts w:ascii="Arial" w:eastAsia="SimSun" w:hAnsi="Arial" w:cs="Times New Roman"/>
      <w:szCs w:val="20"/>
      <w:lang w:val="en-US" w:eastAsia="zh-CN"/>
    </w:rPr>
  </w:style>
  <w:style w:type="paragraph" w:styleId="TOC2">
    <w:name w:val="toc 2"/>
    <w:basedOn w:val="Normal"/>
    <w:next w:val="Normal"/>
    <w:autoRedefine/>
    <w:uiPriority w:val="39"/>
    <w:qFormat/>
    <w:rsid w:val="006542BE"/>
    <w:pPr>
      <w:tabs>
        <w:tab w:val="left" w:pos="709"/>
        <w:tab w:val="right" w:leader="dot" w:pos="9345"/>
      </w:tabs>
      <w:ind w:left="220"/>
    </w:pPr>
  </w:style>
  <w:style w:type="paragraph" w:styleId="TOC1">
    <w:name w:val="toc 1"/>
    <w:basedOn w:val="Normal"/>
    <w:next w:val="Normal"/>
    <w:autoRedefine/>
    <w:uiPriority w:val="39"/>
    <w:rsid w:val="006542BE"/>
  </w:style>
  <w:style w:type="paragraph" w:styleId="TOC3">
    <w:name w:val="toc 3"/>
    <w:basedOn w:val="Normal"/>
    <w:next w:val="Normal"/>
    <w:autoRedefine/>
    <w:uiPriority w:val="39"/>
    <w:qFormat/>
    <w:rsid w:val="006542BE"/>
    <w:pPr>
      <w:ind w:left="440"/>
    </w:pPr>
  </w:style>
  <w:style w:type="character" w:styleId="Hyperlink">
    <w:name w:val="Hyperlink"/>
    <w:basedOn w:val="DefaultParagraphFont"/>
    <w:uiPriority w:val="99"/>
    <w:rsid w:val="006542BE"/>
    <w:rPr>
      <w:rFonts w:cs="Times New Roman"/>
      <w:color w:val="0000FF"/>
      <w:u w:val="single"/>
    </w:rPr>
  </w:style>
  <w:style w:type="character" w:customStyle="1" w:styleId="BalloonTextChar1">
    <w:name w:val="Balloon Text Char1"/>
    <w:link w:val="BalloonText"/>
    <w:uiPriority w:val="99"/>
    <w:semiHidden/>
    <w:locked/>
    <w:rsid w:val="006542BE"/>
    <w:rPr>
      <w:rFonts w:ascii="Tahoma" w:eastAsia="SimSun" w:hAnsi="Tahoma" w:cs="Times New Roman"/>
      <w:sz w:val="16"/>
      <w:szCs w:val="20"/>
      <w:lang w:val="en-US" w:eastAsia="zh-CN"/>
    </w:rPr>
  </w:style>
  <w:style w:type="paragraph" w:customStyle="1" w:styleId="Reporttext">
    <w:name w:val="Report text"/>
    <w:link w:val="ReporttextChar"/>
    <w:uiPriority w:val="99"/>
    <w:rsid w:val="006542BE"/>
    <w:pPr>
      <w:spacing w:before="120" w:after="0" w:line="240" w:lineRule="auto"/>
    </w:pPr>
    <w:rPr>
      <w:rFonts w:ascii="Times New Roman" w:eastAsia="Times New Roman" w:hAnsi="Times New Roman" w:cs="Times New Roman"/>
      <w:lang w:val="en-US"/>
    </w:rPr>
  </w:style>
  <w:style w:type="paragraph" w:customStyle="1" w:styleId="ContentsTitle">
    <w:name w:val="Contents Title"/>
    <w:basedOn w:val="Reporttext"/>
    <w:next w:val="Reporttext"/>
    <w:uiPriority w:val="99"/>
    <w:rsid w:val="006542BE"/>
    <w:pPr>
      <w:keepNext/>
      <w:spacing w:before="240" w:after="240"/>
    </w:pPr>
    <w:rPr>
      <w:spacing w:val="40"/>
      <w:sz w:val="28"/>
    </w:rPr>
  </w:style>
  <w:style w:type="paragraph" w:customStyle="1" w:styleId="Floating">
    <w:name w:val="Floating"/>
    <w:basedOn w:val="Reporttext"/>
    <w:next w:val="Reporttext"/>
    <w:link w:val="FloatingChar"/>
    <w:uiPriority w:val="99"/>
    <w:rsid w:val="006542BE"/>
    <w:pPr>
      <w:keepNext/>
      <w:spacing w:before="240"/>
    </w:pPr>
    <w:rPr>
      <w:b/>
    </w:rPr>
  </w:style>
  <w:style w:type="character" w:customStyle="1" w:styleId="FloatingChar">
    <w:name w:val="Floating Char"/>
    <w:link w:val="Floating"/>
    <w:uiPriority w:val="99"/>
    <w:locked/>
    <w:rsid w:val="006542BE"/>
    <w:rPr>
      <w:rFonts w:ascii="Times New Roman" w:eastAsia="Times New Roman" w:hAnsi="Times New Roman" w:cs="Times New Roman"/>
      <w:b/>
      <w:lang w:val="en-US"/>
    </w:rPr>
  </w:style>
  <w:style w:type="character" w:customStyle="1" w:styleId="ReporttextChar">
    <w:name w:val="Report text Char"/>
    <w:link w:val="Reporttext"/>
    <w:uiPriority w:val="99"/>
    <w:locked/>
    <w:rsid w:val="006542BE"/>
    <w:rPr>
      <w:rFonts w:ascii="Times New Roman" w:eastAsia="Times New Roman" w:hAnsi="Times New Roman" w:cs="Times New Roman"/>
      <w:lang w:val="en-US"/>
    </w:rPr>
  </w:style>
  <w:style w:type="character" w:customStyle="1" w:styleId="FootnoteTextChar2">
    <w:name w:val="Footnote Text Char2"/>
    <w:aliases w:val="Char Char1"/>
    <w:link w:val="FootnoteText"/>
    <w:semiHidden/>
    <w:locked/>
    <w:rsid w:val="003262CD"/>
    <w:rPr>
      <w:rFonts w:ascii="Arial" w:eastAsia="SimSun" w:hAnsi="Arial" w:cs="Times New Roman"/>
      <w:sz w:val="18"/>
      <w:szCs w:val="20"/>
      <w:lang w:val="en-US" w:eastAsia="zh-CN"/>
    </w:rPr>
  </w:style>
  <w:style w:type="character" w:customStyle="1" w:styleId="FootnoteTextChar1">
    <w:name w:val="Footnote Text Char1"/>
    <w:aliases w:val="Char Char"/>
    <w:semiHidden/>
    <w:locked/>
    <w:rsid w:val="006542BE"/>
    <w:rPr>
      <w:rFonts w:ascii="Arial" w:hAnsi="Arial"/>
      <w:sz w:val="18"/>
      <w:lang w:val="en-US" w:eastAsia="en-US"/>
    </w:rPr>
  </w:style>
  <w:style w:type="paragraph" w:styleId="ListParagraph">
    <w:name w:val="List Paragraph"/>
    <w:basedOn w:val="Normal"/>
    <w:uiPriority w:val="99"/>
    <w:qFormat/>
    <w:rsid w:val="006542BE"/>
    <w:pPr>
      <w:ind w:left="720"/>
      <w:contextualSpacing/>
    </w:pPr>
    <w:rPr>
      <w:rFonts w:ascii="Times New Roman" w:eastAsia="Times New Roman" w:hAnsi="Times New Roman" w:cs="Times New Roman"/>
      <w:sz w:val="24"/>
      <w:szCs w:val="24"/>
      <w:lang w:eastAsia="en-US"/>
    </w:rPr>
  </w:style>
  <w:style w:type="paragraph" w:styleId="DocumentMap">
    <w:name w:val="Document Map"/>
    <w:basedOn w:val="Normal"/>
    <w:link w:val="DocumentMapChar"/>
    <w:uiPriority w:val="99"/>
    <w:semiHidden/>
    <w:rsid w:val="006542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542BE"/>
    <w:rPr>
      <w:rFonts w:ascii="Tahoma" w:eastAsia="SimSun" w:hAnsi="Tahoma" w:cs="Tahoma"/>
      <w:sz w:val="20"/>
      <w:szCs w:val="20"/>
      <w:shd w:val="clear" w:color="auto" w:fill="000080"/>
      <w:lang w:val="en-US" w:eastAsia="zh-CN"/>
    </w:rPr>
  </w:style>
  <w:style w:type="paragraph" w:customStyle="1" w:styleId="EndofDocument">
    <w:name w:val="End of Document"/>
    <w:basedOn w:val="Normal"/>
    <w:uiPriority w:val="99"/>
    <w:rsid w:val="006542BE"/>
    <w:pPr>
      <w:ind w:left="4536"/>
      <w:jc w:val="center"/>
    </w:pPr>
    <w:rPr>
      <w:rFonts w:ascii="Times New Roman" w:eastAsia="Times New Roman" w:hAnsi="Times New Roman" w:cs="Times New Roman"/>
      <w:sz w:val="24"/>
      <w:lang w:eastAsia="en-US"/>
    </w:rPr>
  </w:style>
  <w:style w:type="character" w:styleId="CommentReference">
    <w:name w:val="annotation reference"/>
    <w:basedOn w:val="DefaultParagraphFont"/>
    <w:uiPriority w:val="99"/>
    <w:semiHidden/>
    <w:rsid w:val="006542BE"/>
    <w:rPr>
      <w:rFonts w:cs="Times New Roman"/>
      <w:sz w:val="18"/>
    </w:rPr>
  </w:style>
  <w:style w:type="paragraph" w:customStyle="1" w:styleId="CharCharCharChar">
    <w:name w:val="Char Char Char Char"/>
    <w:basedOn w:val="Normal"/>
    <w:uiPriority w:val="99"/>
    <w:rsid w:val="006542BE"/>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Normal"/>
    <w:link w:val="StyleChapterBold1CharChar"/>
    <w:uiPriority w:val="99"/>
    <w:rsid w:val="006542BE"/>
    <w:pPr>
      <w:keepNext/>
      <w:jc w:val="center"/>
      <w:outlineLvl w:val="0"/>
    </w:pPr>
    <w:rPr>
      <w:rFonts w:ascii="Times New Roman Bold" w:eastAsia="Times New Roman" w:hAnsi="Times New Roman Bold" w:cs="Times New Roman"/>
      <w:b/>
      <w:caps/>
      <w:sz w:val="24"/>
      <w:lang w:eastAsia="en-US"/>
    </w:rPr>
  </w:style>
  <w:style w:type="character" w:customStyle="1" w:styleId="StyleChapterBold1CharChar">
    <w:name w:val="Style Chapter + Bold1 Char Char"/>
    <w:link w:val="StyleChapterBold1"/>
    <w:uiPriority w:val="99"/>
    <w:locked/>
    <w:rsid w:val="006542BE"/>
    <w:rPr>
      <w:rFonts w:ascii="Times New Roman Bold" w:eastAsia="Times New Roman" w:hAnsi="Times New Roman Bold" w:cs="Times New Roman"/>
      <w:b/>
      <w:caps/>
      <w:sz w:val="24"/>
      <w:szCs w:val="20"/>
      <w:lang w:val="en-US"/>
    </w:rPr>
  </w:style>
  <w:style w:type="paragraph" w:styleId="TOCHeading">
    <w:name w:val="TOC Heading"/>
    <w:basedOn w:val="Heading1"/>
    <w:next w:val="Normal"/>
    <w:uiPriority w:val="99"/>
    <w:qFormat/>
    <w:rsid w:val="006542BE"/>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CommentSubject">
    <w:name w:val="annotation subject"/>
    <w:basedOn w:val="CommentText"/>
    <w:next w:val="CommentText"/>
    <w:link w:val="CommentSubjectChar"/>
    <w:uiPriority w:val="99"/>
    <w:semiHidden/>
    <w:rsid w:val="006542BE"/>
    <w:rPr>
      <w:b/>
      <w:bCs/>
      <w:sz w:val="20"/>
    </w:rPr>
  </w:style>
  <w:style w:type="character" w:customStyle="1" w:styleId="CommentSubjectChar">
    <w:name w:val="Comment Subject Char"/>
    <w:basedOn w:val="CommentTextChar"/>
    <w:link w:val="CommentSubject"/>
    <w:uiPriority w:val="99"/>
    <w:semiHidden/>
    <w:rsid w:val="006542BE"/>
    <w:rPr>
      <w:rFonts w:ascii="Arial" w:eastAsia="SimSun" w:hAnsi="Arial" w:cs="Arial"/>
      <w:b/>
      <w:bCs/>
      <w:sz w:val="20"/>
      <w:szCs w:val="20"/>
      <w:lang w:val="en-US" w:eastAsia="zh-CN"/>
    </w:rPr>
  </w:style>
  <w:style w:type="paragraph" w:customStyle="1" w:styleId="StyleBoldCentered">
    <w:name w:val="Style Bold Centered"/>
    <w:uiPriority w:val="99"/>
    <w:rsid w:val="006542BE"/>
    <w:pPr>
      <w:spacing w:after="0" w:line="240" w:lineRule="auto"/>
      <w:jc w:val="center"/>
    </w:pPr>
    <w:rPr>
      <w:rFonts w:ascii="Arial" w:eastAsia="Times New Roman" w:hAnsi="Arial" w:cs="Times New Roman"/>
      <w:b/>
      <w:bCs/>
      <w:szCs w:val="20"/>
      <w:lang w:val="en-US" w:eastAsia="zh-CN"/>
    </w:rPr>
  </w:style>
  <w:style w:type="paragraph" w:customStyle="1" w:styleId="dernierpara">
    <w:name w:val="dernierpara"/>
    <w:basedOn w:val="Normal"/>
    <w:uiPriority w:val="99"/>
    <w:rsid w:val="006542BE"/>
    <w:pPr>
      <w:spacing w:after="360"/>
    </w:pPr>
    <w:rPr>
      <w:rFonts w:ascii="Times New Roman" w:eastAsia="Times New Roman" w:hAnsi="Times New Roman" w:cs="Times New Roman"/>
      <w:sz w:val="24"/>
      <w:lang w:val="fr-FR" w:eastAsia="en-US"/>
    </w:rPr>
  </w:style>
  <w:style w:type="character" w:customStyle="1" w:styleId="Endofdocument-AnnexChar">
    <w:name w:val="[End of document - Annex] Char"/>
    <w:link w:val="Endofdocument-Annex"/>
    <w:rsid w:val="00E63AAF"/>
    <w:rPr>
      <w:rFonts w:ascii="Arial" w:eastAsia="SimSun" w:hAnsi="Arial" w:cs="Arial"/>
      <w:szCs w:val="20"/>
      <w:lang w:val="en-US" w:eastAsia="zh-CN"/>
    </w:rPr>
  </w:style>
  <w:style w:type="paragraph" w:customStyle="1" w:styleId="DecisionInvitationPara">
    <w:name w:val="Decision Invitation Para."/>
    <w:basedOn w:val="Normal"/>
    <w:rsid w:val="00E63AAF"/>
    <w:pPr>
      <w:ind w:left="5534"/>
    </w:pPr>
    <w:rPr>
      <w:rFonts w:eastAsia="Times New Roman" w:cs="Times New Roman"/>
      <w:i/>
      <w:lang w:eastAsia="en-US"/>
    </w:rPr>
  </w:style>
  <w:style w:type="character" w:customStyle="1" w:styleId="ONUMEChar">
    <w:name w:val="ONUM E Char"/>
    <w:link w:val="ONUME"/>
    <w:rsid w:val="00E63AAF"/>
    <w:rPr>
      <w:rFonts w:ascii="Arial" w:eastAsia="SimSun" w:hAnsi="Arial" w:cs="Arial"/>
      <w:szCs w:val="20"/>
      <w:lang w:val="en-US" w:eastAsia="zh-CN"/>
    </w:rPr>
  </w:style>
  <w:style w:type="paragraph" w:styleId="TOC4">
    <w:name w:val="toc 4"/>
    <w:basedOn w:val="Normal"/>
    <w:next w:val="Normal"/>
    <w:autoRedefine/>
    <w:uiPriority w:val="39"/>
    <w:rsid w:val="00E63AAF"/>
    <w:pPr>
      <w:tabs>
        <w:tab w:val="right" w:leader="dot" w:pos="9344"/>
      </w:tabs>
      <w:spacing w:before="120" w:after="120"/>
      <w:ind w:left="1134"/>
    </w:pPr>
    <w:rPr>
      <w:rFonts w:ascii="Calibri" w:eastAsia="Times New Roman" w:hAnsi="Calibri" w:cs="Times New Roman"/>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92FB-CE6D-492C-AF44-4F45487E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4400</Words>
  <Characters>25084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2013 Summary Annual Report</vt:lpstr>
    </vt:vector>
  </TitlesOfParts>
  <Company>IAOD</Company>
  <LinksUpToDate>false</LinksUpToDate>
  <CharactersWithSpaces>29426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Summary Annual Report</dc:title>
  <dc:creator>Thierry Rajaobelina;tuncay.efendioglu@wipo.int;claude.hilfiker@wipo.int;anne.coutin@wipo.int;joan.connors@wipo.int</dc:creator>
  <cp:lastModifiedBy>MARIN-CUDRAZ DAVI Nicoletta</cp:lastModifiedBy>
  <cp:revision>4</cp:revision>
  <cp:lastPrinted>2013-07-05T10:32:00Z</cp:lastPrinted>
  <dcterms:created xsi:type="dcterms:W3CDTF">2013-09-09T12:53:00Z</dcterms:created>
  <dcterms:modified xsi:type="dcterms:W3CDTF">2013-09-17T13:50:00Z</dcterms:modified>
</cp:coreProperties>
</file>