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A96DE6" w14:paraId="4EA353EB" w14:textId="77777777" w:rsidTr="00361450">
        <w:tc>
          <w:tcPr>
            <w:tcW w:w="4513" w:type="dxa"/>
            <w:tcBorders>
              <w:bottom w:val="single" w:sz="4" w:space="0" w:color="auto"/>
            </w:tcBorders>
            <w:tcMar>
              <w:bottom w:w="170" w:type="dxa"/>
            </w:tcMar>
          </w:tcPr>
          <w:p w14:paraId="703FA6ED" w14:textId="7839F03D" w:rsidR="00387614" w:rsidRPr="00A96DE6" w:rsidRDefault="00387614" w:rsidP="00E90362">
            <w:bookmarkStart w:id="0" w:name="_GoBack"/>
            <w:bookmarkEnd w:id="0"/>
          </w:p>
        </w:tc>
        <w:tc>
          <w:tcPr>
            <w:tcW w:w="4337" w:type="dxa"/>
            <w:tcBorders>
              <w:bottom w:val="single" w:sz="4" w:space="0" w:color="auto"/>
            </w:tcBorders>
            <w:tcMar>
              <w:left w:w="0" w:type="dxa"/>
              <w:right w:w="0" w:type="dxa"/>
            </w:tcMar>
          </w:tcPr>
          <w:p w14:paraId="54F3CFC0" w14:textId="77777777" w:rsidR="00EC4E49" w:rsidRPr="00A96DE6" w:rsidRDefault="00C750CF" w:rsidP="00916EE2">
            <w:r w:rsidRPr="00A96DE6">
              <w:rPr>
                <w:noProof/>
                <w:lang w:eastAsia="en-US"/>
              </w:rPr>
              <w:drawing>
                <wp:inline distT="0" distB="0" distL="0" distR="0" wp14:anchorId="2FD298BF" wp14:editId="3D3AB26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875EA1E" w14:textId="77777777" w:rsidR="00EC4E49" w:rsidRPr="00A96DE6" w:rsidRDefault="00EC4E49" w:rsidP="00916EE2">
            <w:pPr>
              <w:jc w:val="right"/>
            </w:pPr>
            <w:r w:rsidRPr="00A96DE6">
              <w:rPr>
                <w:b/>
                <w:sz w:val="40"/>
                <w:szCs w:val="40"/>
              </w:rPr>
              <w:t>E</w:t>
            </w:r>
          </w:p>
        </w:tc>
      </w:tr>
      <w:tr w:rsidR="008B2CC1" w:rsidRPr="00A96DE6" w14:paraId="5F0FB037"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6AD74219" w14:textId="506FA7EA" w:rsidR="008B2CC1" w:rsidRPr="003C1A93" w:rsidRDefault="00C750CF" w:rsidP="00010FF7">
            <w:pPr>
              <w:jc w:val="right"/>
              <w:rPr>
                <w:rFonts w:ascii="Arial Black" w:hAnsi="Arial Black"/>
                <w:caps/>
                <w:sz w:val="15"/>
              </w:rPr>
            </w:pPr>
            <w:r w:rsidRPr="003C1A93">
              <w:rPr>
                <w:rFonts w:ascii="Arial Black" w:hAnsi="Arial Black"/>
                <w:caps/>
                <w:sz w:val="15"/>
              </w:rPr>
              <w:t>WO/CC/74/</w:t>
            </w:r>
            <w:bookmarkStart w:id="1" w:name="Code"/>
            <w:bookmarkEnd w:id="1"/>
            <w:r w:rsidR="00010FF7" w:rsidRPr="003C1A93">
              <w:rPr>
                <w:rFonts w:ascii="Arial Black" w:hAnsi="Arial Black"/>
                <w:caps/>
                <w:sz w:val="15"/>
              </w:rPr>
              <w:t>7</w:t>
            </w:r>
          </w:p>
        </w:tc>
      </w:tr>
      <w:tr w:rsidR="008B2CC1" w:rsidRPr="00A96DE6" w14:paraId="202C9F2A" w14:textId="77777777" w:rsidTr="00916EE2">
        <w:trPr>
          <w:trHeight w:hRule="exact" w:val="170"/>
        </w:trPr>
        <w:tc>
          <w:tcPr>
            <w:tcW w:w="9356" w:type="dxa"/>
            <w:gridSpan w:val="3"/>
            <w:noWrap/>
            <w:tcMar>
              <w:left w:w="0" w:type="dxa"/>
              <w:right w:w="0" w:type="dxa"/>
            </w:tcMar>
            <w:vAlign w:val="bottom"/>
          </w:tcPr>
          <w:p w14:paraId="77E826FD" w14:textId="77777777" w:rsidR="008B2CC1" w:rsidRPr="003C1A93" w:rsidRDefault="008B2CC1" w:rsidP="00CD04F1">
            <w:pPr>
              <w:jc w:val="right"/>
              <w:rPr>
                <w:rFonts w:ascii="Arial Black" w:hAnsi="Arial Black"/>
                <w:caps/>
                <w:sz w:val="15"/>
              </w:rPr>
            </w:pPr>
            <w:r w:rsidRPr="003C1A93">
              <w:rPr>
                <w:rFonts w:ascii="Arial Black" w:hAnsi="Arial Black"/>
                <w:caps/>
                <w:sz w:val="15"/>
              </w:rPr>
              <w:t>ORIGINAL:</w:t>
            </w:r>
            <w:r w:rsidR="001647D5" w:rsidRPr="003C1A93">
              <w:rPr>
                <w:rFonts w:ascii="Arial Black" w:hAnsi="Arial Black"/>
                <w:caps/>
                <w:sz w:val="15"/>
              </w:rPr>
              <w:t xml:space="preserve">  </w:t>
            </w:r>
            <w:bookmarkStart w:id="2" w:name="Original"/>
            <w:bookmarkEnd w:id="2"/>
            <w:r w:rsidR="00EF69A1" w:rsidRPr="003C1A93">
              <w:rPr>
                <w:rFonts w:ascii="Arial Black" w:hAnsi="Arial Black"/>
                <w:caps/>
                <w:sz w:val="15"/>
              </w:rPr>
              <w:t>ENGLISH</w:t>
            </w:r>
            <w:r w:rsidRPr="003C1A93">
              <w:rPr>
                <w:rFonts w:ascii="Arial Black" w:hAnsi="Arial Black"/>
                <w:caps/>
                <w:sz w:val="15"/>
              </w:rPr>
              <w:t xml:space="preserve"> </w:t>
            </w:r>
          </w:p>
        </w:tc>
      </w:tr>
      <w:tr w:rsidR="008B2CC1" w:rsidRPr="00A96DE6" w14:paraId="19EF86CC" w14:textId="77777777" w:rsidTr="00916EE2">
        <w:trPr>
          <w:trHeight w:hRule="exact" w:val="198"/>
        </w:trPr>
        <w:tc>
          <w:tcPr>
            <w:tcW w:w="9356" w:type="dxa"/>
            <w:gridSpan w:val="3"/>
            <w:tcMar>
              <w:left w:w="0" w:type="dxa"/>
              <w:right w:w="0" w:type="dxa"/>
            </w:tcMar>
            <w:vAlign w:val="bottom"/>
          </w:tcPr>
          <w:p w14:paraId="6AE2CD6C" w14:textId="40C3F256" w:rsidR="008B2CC1" w:rsidRPr="003C1A93" w:rsidRDefault="008B2CC1" w:rsidP="00047493">
            <w:pPr>
              <w:jc w:val="right"/>
              <w:rPr>
                <w:rFonts w:ascii="Arial Black" w:hAnsi="Arial Black"/>
                <w:caps/>
                <w:sz w:val="15"/>
              </w:rPr>
            </w:pPr>
            <w:r w:rsidRPr="003C1A93">
              <w:rPr>
                <w:rFonts w:ascii="Arial Black" w:hAnsi="Arial Black"/>
                <w:caps/>
                <w:sz w:val="15"/>
              </w:rPr>
              <w:t>DATE</w:t>
            </w:r>
            <w:r w:rsidR="00047493" w:rsidRPr="003C1A93">
              <w:rPr>
                <w:rFonts w:ascii="Arial Black" w:hAnsi="Arial Black"/>
                <w:caps/>
                <w:sz w:val="15"/>
              </w:rPr>
              <w:t xml:space="preserve">:  </w:t>
            </w:r>
            <w:r w:rsidR="00047493">
              <w:rPr>
                <w:rFonts w:ascii="Arial Black" w:hAnsi="Arial Black"/>
                <w:caps/>
                <w:sz w:val="15"/>
              </w:rPr>
              <w:t>September 26, 2017</w:t>
            </w:r>
            <w:r w:rsidR="001647D5" w:rsidRPr="003C1A93">
              <w:rPr>
                <w:rFonts w:ascii="Arial Black" w:hAnsi="Arial Black"/>
                <w:caps/>
                <w:sz w:val="15"/>
              </w:rPr>
              <w:t xml:space="preserve">  </w:t>
            </w:r>
            <w:bookmarkStart w:id="3" w:name="Date"/>
            <w:bookmarkEnd w:id="3"/>
          </w:p>
        </w:tc>
      </w:tr>
    </w:tbl>
    <w:p w14:paraId="1512FC94" w14:textId="1F23ACC3" w:rsidR="008B2CC1" w:rsidRPr="00A96DE6" w:rsidRDefault="00047493" w:rsidP="008B2CC1">
      <w:r>
        <w:t xml:space="preserve">  </w:t>
      </w:r>
    </w:p>
    <w:p w14:paraId="147083A6" w14:textId="77777777" w:rsidR="008B2CC1" w:rsidRPr="00A96DE6" w:rsidRDefault="008B2CC1" w:rsidP="008B2CC1"/>
    <w:p w14:paraId="3B772E87" w14:textId="77777777" w:rsidR="008B2CC1" w:rsidRPr="00A96DE6" w:rsidRDefault="008B2CC1" w:rsidP="008B2CC1"/>
    <w:p w14:paraId="6640C5DC" w14:textId="77777777" w:rsidR="008B2CC1" w:rsidRPr="00A96DE6" w:rsidRDefault="008B2CC1" w:rsidP="008B2CC1"/>
    <w:p w14:paraId="5DF37A70" w14:textId="77777777" w:rsidR="008B2CC1" w:rsidRPr="00A96DE6" w:rsidRDefault="008B2CC1" w:rsidP="008B2CC1"/>
    <w:p w14:paraId="60ACFBA5" w14:textId="77777777" w:rsidR="008B2CC1" w:rsidRPr="00A96DE6" w:rsidRDefault="00C750CF" w:rsidP="008B2CC1">
      <w:pPr>
        <w:rPr>
          <w:b/>
          <w:sz w:val="28"/>
          <w:szCs w:val="28"/>
        </w:rPr>
      </w:pPr>
      <w:r w:rsidRPr="00A96DE6">
        <w:rPr>
          <w:b/>
          <w:sz w:val="28"/>
          <w:szCs w:val="28"/>
        </w:rPr>
        <w:t>WIPO Coordination Committee</w:t>
      </w:r>
    </w:p>
    <w:p w14:paraId="673EC46D" w14:textId="77777777" w:rsidR="003845C1" w:rsidRPr="00A96DE6" w:rsidRDefault="003845C1" w:rsidP="003845C1"/>
    <w:p w14:paraId="6E02817B" w14:textId="77777777" w:rsidR="003845C1" w:rsidRPr="00A96DE6" w:rsidRDefault="003845C1" w:rsidP="003845C1"/>
    <w:p w14:paraId="712E3D7F" w14:textId="77777777" w:rsidR="00C750CF" w:rsidRPr="00A96DE6" w:rsidRDefault="00C750CF" w:rsidP="00C750CF">
      <w:pPr>
        <w:rPr>
          <w:b/>
          <w:sz w:val="24"/>
          <w:szCs w:val="24"/>
        </w:rPr>
      </w:pPr>
      <w:r w:rsidRPr="00A96DE6">
        <w:rPr>
          <w:b/>
          <w:sz w:val="24"/>
          <w:szCs w:val="24"/>
        </w:rPr>
        <w:t>Seventy-Fourth (48</w:t>
      </w:r>
      <w:r w:rsidRPr="00A96DE6">
        <w:rPr>
          <w:b/>
          <w:sz w:val="24"/>
          <w:szCs w:val="24"/>
          <w:vertAlign w:val="superscript"/>
        </w:rPr>
        <w:t>th</w:t>
      </w:r>
      <w:r w:rsidRPr="00A96DE6">
        <w:rPr>
          <w:b/>
          <w:sz w:val="24"/>
          <w:szCs w:val="24"/>
        </w:rPr>
        <w:t xml:space="preserve"> Ordinary) Session</w:t>
      </w:r>
    </w:p>
    <w:p w14:paraId="15FA2E0C" w14:textId="77777777" w:rsidR="008B2CC1" w:rsidRPr="00A96DE6" w:rsidRDefault="00C750CF" w:rsidP="00C750CF">
      <w:pPr>
        <w:rPr>
          <w:b/>
          <w:sz w:val="24"/>
          <w:szCs w:val="24"/>
        </w:rPr>
      </w:pPr>
      <w:r w:rsidRPr="00A96DE6">
        <w:rPr>
          <w:b/>
          <w:sz w:val="24"/>
          <w:szCs w:val="24"/>
        </w:rPr>
        <w:t>Geneva, October 2 to 11, 2017</w:t>
      </w:r>
    </w:p>
    <w:p w14:paraId="39C52E0B" w14:textId="77777777" w:rsidR="008B2CC1" w:rsidRPr="00A96DE6" w:rsidRDefault="008B2CC1" w:rsidP="008B2CC1"/>
    <w:p w14:paraId="5C8431DD" w14:textId="77777777" w:rsidR="008B2CC1" w:rsidRPr="00A96DE6" w:rsidRDefault="008B2CC1" w:rsidP="008B2CC1"/>
    <w:p w14:paraId="5679CB44" w14:textId="77777777" w:rsidR="008B2CC1" w:rsidRPr="00A96DE6" w:rsidRDefault="008B2CC1" w:rsidP="008B2CC1"/>
    <w:p w14:paraId="1977E3B2" w14:textId="288214B8" w:rsidR="008B2CC1" w:rsidRPr="00A96DE6" w:rsidRDefault="00010FF7" w:rsidP="008B2CC1">
      <w:pPr>
        <w:rPr>
          <w:caps/>
          <w:sz w:val="24"/>
        </w:rPr>
      </w:pPr>
      <w:bookmarkStart w:id="4" w:name="TitleOfDoc"/>
      <w:bookmarkEnd w:id="4"/>
      <w:r w:rsidRPr="00A96DE6">
        <w:t xml:space="preserve">AMENDMENTS TO STAFF REGULATIONS </w:t>
      </w:r>
      <w:r w:rsidR="007353F8" w:rsidRPr="00A96DE6">
        <w:t xml:space="preserve">PROPOSED BY THE </w:t>
      </w:r>
      <w:r w:rsidR="007353F8" w:rsidRPr="007353F8">
        <w:t>INDEPENDENT ADVISORY OVERSIGHT COMMITTEE (IAOC)</w:t>
      </w:r>
    </w:p>
    <w:p w14:paraId="2766DE09" w14:textId="77777777" w:rsidR="008B2CC1" w:rsidRPr="00A96DE6" w:rsidRDefault="008B2CC1" w:rsidP="008B2CC1"/>
    <w:p w14:paraId="3060C5DA" w14:textId="452C1BE9" w:rsidR="008B2CC1" w:rsidRPr="00A96DE6" w:rsidRDefault="00730D51" w:rsidP="008B2CC1">
      <w:pPr>
        <w:rPr>
          <w:i/>
        </w:rPr>
      </w:pPr>
      <w:bookmarkStart w:id="5" w:name="Prepared"/>
      <w:bookmarkEnd w:id="5"/>
      <w:r w:rsidRPr="00A96DE6">
        <w:rPr>
          <w:i/>
        </w:rPr>
        <w:t>p</w:t>
      </w:r>
      <w:r w:rsidR="00253E4D" w:rsidRPr="00A96DE6">
        <w:rPr>
          <w:i/>
        </w:rPr>
        <w:t>repared</w:t>
      </w:r>
      <w:r w:rsidR="00EF69A1" w:rsidRPr="00A96DE6">
        <w:rPr>
          <w:i/>
        </w:rPr>
        <w:t xml:space="preserve"> by the Independent Advisory Oversight Committee</w:t>
      </w:r>
      <w:r w:rsidR="008B3EBA" w:rsidRPr="00A96DE6">
        <w:rPr>
          <w:i/>
        </w:rPr>
        <w:t xml:space="preserve"> </w:t>
      </w:r>
    </w:p>
    <w:p w14:paraId="0B931A16" w14:textId="77777777" w:rsidR="00AC205C" w:rsidRPr="00A96DE6" w:rsidRDefault="00AC205C"/>
    <w:p w14:paraId="255C61F6" w14:textId="77777777" w:rsidR="000F5E56" w:rsidRPr="00A96DE6" w:rsidRDefault="000F5E56"/>
    <w:p w14:paraId="6426D509" w14:textId="77777777" w:rsidR="002928D3" w:rsidRPr="00A96DE6" w:rsidRDefault="002928D3"/>
    <w:p w14:paraId="40C79CBA" w14:textId="77777777" w:rsidR="002928D3" w:rsidRPr="00A96DE6" w:rsidRDefault="002928D3" w:rsidP="0053057A"/>
    <w:p w14:paraId="44D458F9" w14:textId="711C3686" w:rsidR="008B3EBA" w:rsidRPr="00A96DE6" w:rsidRDefault="008B3EBA" w:rsidP="00593A6E">
      <w:pPr>
        <w:pStyle w:val="ONUME"/>
        <w:tabs>
          <w:tab w:val="clear" w:pos="567"/>
          <w:tab w:val="num" w:pos="0"/>
        </w:tabs>
        <w:rPr>
          <w:szCs w:val="22"/>
        </w:rPr>
      </w:pPr>
      <w:r w:rsidRPr="00A96DE6">
        <w:rPr>
          <w:szCs w:val="22"/>
        </w:rPr>
        <w:t>At its 48</w:t>
      </w:r>
      <w:r w:rsidRPr="00A96DE6">
        <w:rPr>
          <w:szCs w:val="22"/>
          <w:vertAlign w:val="superscript"/>
        </w:rPr>
        <w:t>th</w:t>
      </w:r>
      <w:r w:rsidRPr="00A96DE6">
        <w:rPr>
          <w:szCs w:val="22"/>
        </w:rPr>
        <w:t xml:space="preserve"> session </w:t>
      </w:r>
      <w:r w:rsidR="00F07E17" w:rsidRPr="00A96DE6">
        <w:rPr>
          <w:szCs w:val="22"/>
        </w:rPr>
        <w:t xml:space="preserve">(October 2016) </w:t>
      </w:r>
      <w:r w:rsidRPr="00A96DE6">
        <w:rPr>
          <w:szCs w:val="22"/>
        </w:rPr>
        <w:t>t</w:t>
      </w:r>
      <w:r w:rsidRPr="00A96DE6">
        <w:t xml:space="preserve">he </w:t>
      </w:r>
      <w:r w:rsidR="003B63E3">
        <w:t xml:space="preserve">WIPO </w:t>
      </w:r>
      <w:r w:rsidRPr="00A96DE6">
        <w:t xml:space="preserve">General Assembly decided to: </w:t>
      </w:r>
      <w:r w:rsidR="008E2E8F" w:rsidRPr="00A96DE6">
        <w:t xml:space="preserve"> </w:t>
      </w:r>
    </w:p>
    <w:p w14:paraId="21661449" w14:textId="40F3F6A4" w:rsidR="008B3EBA" w:rsidRPr="00A96DE6" w:rsidRDefault="00F07E17" w:rsidP="00593A6E">
      <w:pPr>
        <w:pStyle w:val="ONUME"/>
        <w:numPr>
          <w:ilvl w:val="0"/>
          <w:numId w:val="0"/>
        </w:numPr>
        <w:ind w:left="567"/>
        <w:rPr>
          <w:i/>
        </w:rPr>
      </w:pPr>
      <w:r w:rsidRPr="00A96DE6">
        <w:rPr>
          <w:i/>
        </w:rPr>
        <w:t xml:space="preserve">“(ii)  </w:t>
      </w:r>
      <w:r w:rsidR="008B3EBA" w:rsidRPr="00A96DE6">
        <w:rPr>
          <w:i/>
        </w:rPr>
        <w:t>request the Independent Advisory and Oversight Committee, to prepare, with technical assistance from the Secretariat and after consultation with Member States, for consideration and adoption by the Coordination Committee at its next session, appropriate modalities and procedures (including any necessary proposed amendments to the Staff regulations) pursuant to the revision of the Internal Oversight Charter, including those applicable to processes undertaken by the Coordination Committee.</w:t>
      </w:r>
      <w:r w:rsidRPr="00A96DE6">
        <w:rPr>
          <w:i/>
        </w:rPr>
        <w:t>”</w:t>
      </w:r>
      <w:r w:rsidR="00C25BB6" w:rsidRPr="00C25BB6">
        <w:rPr>
          <w:szCs w:val="22"/>
        </w:rPr>
        <w:t xml:space="preserve"> </w:t>
      </w:r>
      <w:r w:rsidR="00C25BB6" w:rsidRPr="00A96DE6">
        <w:rPr>
          <w:szCs w:val="22"/>
        </w:rPr>
        <w:t>(A/56/16 para</w:t>
      </w:r>
      <w:r w:rsidR="00C25BB6">
        <w:rPr>
          <w:szCs w:val="22"/>
        </w:rPr>
        <w:t>graph</w:t>
      </w:r>
      <w:r w:rsidR="00C25BB6" w:rsidRPr="00A96DE6">
        <w:rPr>
          <w:szCs w:val="22"/>
        </w:rPr>
        <w:t xml:space="preserve"> 22(ii))</w:t>
      </w:r>
    </w:p>
    <w:p w14:paraId="77678865" w14:textId="38349313" w:rsidR="003647B0" w:rsidRPr="00C25BB6" w:rsidRDefault="00F07E17" w:rsidP="003C7A36">
      <w:pPr>
        <w:pStyle w:val="ONUME"/>
        <w:tabs>
          <w:tab w:val="clear" w:pos="567"/>
          <w:tab w:val="num" w:pos="0"/>
        </w:tabs>
        <w:rPr>
          <w:szCs w:val="22"/>
        </w:rPr>
      </w:pPr>
      <w:r w:rsidRPr="00A96DE6">
        <w:t xml:space="preserve">In accordance with the above decision, the present document contains the amendments to </w:t>
      </w:r>
      <w:r w:rsidR="00A91B9F" w:rsidRPr="00A96DE6">
        <w:t xml:space="preserve">the </w:t>
      </w:r>
      <w:r w:rsidRPr="00A96DE6">
        <w:t xml:space="preserve">Staff Regulations </w:t>
      </w:r>
      <w:r w:rsidR="0056448F" w:rsidRPr="00A96DE6">
        <w:t xml:space="preserve">proposed by the </w:t>
      </w:r>
      <w:r w:rsidR="003B63E3">
        <w:t>Independent Advisory Oversight Committee</w:t>
      </w:r>
      <w:r w:rsidR="00047493">
        <w:t xml:space="preserve"> (IAOC)</w:t>
      </w:r>
      <w:r w:rsidR="008E2E8F" w:rsidRPr="00A96DE6">
        <w:t>.</w:t>
      </w:r>
    </w:p>
    <w:p w14:paraId="4A393886" w14:textId="29AB4460" w:rsidR="003647B0" w:rsidRPr="00A96DE6" w:rsidRDefault="003647B0" w:rsidP="003C7A36">
      <w:pPr>
        <w:pStyle w:val="ONUME"/>
        <w:tabs>
          <w:tab w:val="clear" w:pos="567"/>
          <w:tab w:val="num" w:pos="0"/>
        </w:tabs>
        <w:rPr>
          <w:szCs w:val="22"/>
        </w:rPr>
      </w:pPr>
      <w:r w:rsidRPr="00A96DE6">
        <w:rPr>
          <w:szCs w:val="22"/>
        </w:rPr>
        <w:t>At its 44</w:t>
      </w:r>
      <w:r w:rsidRPr="00A96DE6">
        <w:rPr>
          <w:szCs w:val="22"/>
          <w:vertAlign w:val="superscript"/>
        </w:rPr>
        <w:t>th</w:t>
      </w:r>
      <w:r w:rsidRPr="00A96DE6">
        <w:rPr>
          <w:szCs w:val="22"/>
        </w:rPr>
        <w:t xml:space="preserve"> session in March 2017</w:t>
      </w:r>
      <w:r w:rsidR="00ED2C63" w:rsidRPr="00A96DE6">
        <w:rPr>
          <w:szCs w:val="22"/>
        </w:rPr>
        <w:t xml:space="preserve"> and 45</w:t>
      </w:r>
      <w:r w:rsidR="00ED2C63" w:rsidRPr="00A96DE6">
        <w:rPr>
          <w:szCs w:val="22"/>
          <w:vertAlign w:val="superscript"/>
        </w:rPr>
        <w:t>th</w:t>
      </w:r>
      <w:r w:rsidR="00ED2C63" w:rsidRPr="00A96DE6">
        <w:rPr>
          <w:szCs w:val="22"/>
        </w:rPr>
        <w:t xml:space="preserve"> session in July 2017</w:t>
      </w:r>
      <w:r w:rsidRPr="00A96DE6">
        <w:rPr>
          <w:szCs w:val="22"/>
        </w:rPr>
        <w:t xml:space="preserve">, the IAOC considered the matter in order to identify appropriate or necessary modalities and procedures resulting from the revised Internal Oversight Charter adopted by the </w:t>
      </w:r>
      <w:r w:rsidR="00BC43FD">
        <w:rPr>
          <w:szCs w:val="22"/>
        </w:rPr>
        <w:t xml:space="preserve">WIPO </w:t>
      </w:r>
      <w:r w:rsidRPr="00A96DE6">
        <w:rPr>
          <w:szCs w:val="22"/>
        </w:rPr>
        <w:t>General Assembly.</w:t>
      </w:r>
    </w:p>
    <w:p w14:paraId="25DE576E" w14:textId="1F987B57" w:rsidR="003647B0" w:rsidRPr="00A96DE6" w:rsidRDefault="003647B0" w:rsidP="003C7A36">
      <w:pPr>
        <w:pStyle w:val="ONUME"/>
        <w:tabs>
          <w:tab w:val="clear" w:pos="567"/>
          <w:tab w:val="num" w:pos="0"/>
        </w:tabs>
        <w:rPr>
          <w:szCs w:val="22"/>
        </w:rPr>
      </w:pPr>
      <w:r w:rsidRPr="00A96DE6">
        <w:rPr>
          <w:szCs w:val="22"/>
        </w:rPr>
        <w:t>Para</w:t>
      </w:r>
      <w:r w:rsidR="00A91B9F" w:rsidRPr="00A96DE6">
        <w:rPr>
          <w:szCs w:val="22"/>
        </w:rPr>
        <w:t>graph</w:t>
      </w:r>
      <w:r w:rsidRPr="00A96DE6">
        <w:rPr>
          <w:szCs w:val="22"/>
        </w:rPr>
        <w:t xml:space="preserve"> 39 of the revised Internal Oversight Charter stipulates, </w:t>
      </w:r>
      <w:r w:rsidRPr="00A96DE6">
        <w:rPr>
          <w:i/>
          <w:szCs w:val="22"/>
        </w:rPr>
        <w:t>inter alia,</w:t>
      </w:r>
      <w:r w:rsidRPr="00A96DE6">
        <w:rPr>
          <w:szCs w:val="22"/>
        </w:rPr>
        <w:t xml:space="preserve"> that in cases of final investigation reports concerning the Director General</w:t>
      </w:r>
      <w:r w:rsidR="00F26722" w:rsidRPr="00A96DE6">
        <w:rPr>
          <w:szCs w:val="22"/>
        </w:rPr>
        <w:t xml:space="preserve"> that substantiate some or all of the allegations of misconduct</w:t>
      </w:r>
      <w:r w:rsidRPr="00A96DE6">
        <w:rPr>
          <w:szCs w:val="22"/>
        </w:rPr>
        <w:t xml:space="preserve">, the </w:t>
      </w:r>
      <w:r w:rsidR="00BC43FD">
        <w:rPr>
          <w:szCs w:val="22"/>
        </w:rPr>
        <w:t xml:space="preserve">WIPO </w:t>
      </w:r>
      <w:r w:rsidRPr="00A96DE6">
        <w:rPr>
          <w:szCs w:val="22"/>
        </w:rPr>
        <w:t>Coordination Committee shall “</w:t>
      </w:r>
      <w:r w:rsidRPr="00A96DE6">
        <w:rPr>
          <w:i/>
          <w:szCs w:val="22"/>
        </w:rPr>
        <w:t>decide whether to close the case or initiate and conduct a disciplinary procedure</w:t>
      </w:r>
      <w:r w:rsidRPr="00A96DE6">
        <w:rPr>
          <w:szCs w:val="22"/>
        </w:rPr>
        <w:t xml:space="preserve">”. </w:t>
      </w:r>
      <w:r w:rsidR="00582647" w:rsidRPr="00A96DE6">
        <w:rPr>
          <w:szCs w:val="22"/>
        </w:rPr>
        <w:t xml:space="preserve"> </w:t>
      </w:r>
      <w:r w:rsidRPr="00A96DE6">
        <w:rPr>
          <w:szCs w:val="22"/>
        </w:rPr>
        <w:t xml:space="preserve">While disciplinary measures and related procedures are regulated in Staff Regulation 10.1 and Staff Rules 10.1.1 to 10.1.6, these provisions do not cover disciplinary measures </w:t>
      </w:r>
      <w:r w:rsidR="00F26722" w:rsidRPr="00A96DE6">
        <w:rPr>
          <w:szCs w:val="22"/>
        </w:rPr>
        <w:t xml:space="preserve">and related procedures </w:t>
      </w:r>
      <w:r w:rsidRPr="00A96DE6">
        <w:rPr>
          <w:szCs w:val="22"/>
        </w:rPr>
        <w:t xml:space="preserve">concerning the Director General. </w:t>
      </w:r>
      <w:r w:rsidR="00730D51" w:rsidRPr="00A96DE6">
        <w:rPr>
          <w:szCs w:val="22"/>
        </w:rPr>
        <w:t xml:space="preserve"> </w:t>
      </w:r>
      <w:r w:rsidRPr="00A96DE6">
        <w:rPr>
          <w:szCs w:val="22"/>
        </w:rPr>
        <w:t xml:space="preserve">It is therefore necessary to close this gap by clarifying that the </w:t>
      </w:r>
      <w:r w:rsidR="00BC43FD">
        <w:rPr>
          <w:szCs w:val="22"/>
        </w:rPr>
        <w:t xml:space="preserve">WIPO </w:t>
      </w:r>
      <w:r w:rsidRPr="00A96DE6">
        <w:rPr>
          <w:szCs w:val="22"/>
        </w:rPr>
        <w:t xml:space="preserve">Coordination </w:t>
      </w:r>
      <w:r w:rsidRPr="00A96DE6">
        <w:rPr>
          <w:szCs w:val="22"/>
        </w:rPr>
        <w:lastRenderedPageBreak/>
        <w:t xml:space="preserve">Committee is the competent authority to conduct such </w:t>
      </w:r>
      <w:r w:rsidR="00A91B9F" w:rsidRPr="00A96DE6">
        <w:rPr>
          <w:szCs w:val="22"/>
        </w:rPr>
        <w:t xml:space="preserve">a </w:t>
      </w:r>
      <w:r w:rsidRPr="00A96DE6">
        <w:rPr>
          <w:szCs w:val="22"/>
        </w:rPr>
        <w:t>procedure</w:t>
      </w:r>
      <w:r w:rsidR="00F87F34" w:rsidRPr="00A96DE6">
        <w:rPr>
          <w:szCs w:val="22"/>
        </w:rPr>
        <w:t xml:space="preserve">, and to recommend a disciplinary measure, if any, to the </w:t>
      </w:r>
      <w:r w:rsidR="00BC43FD">
        <w:rPr>
          <w:szCs w:val="22"/>
        </w:rPr>
        <w:t xml:space="preserve">WIPO </w:t>
      </w:r>
      <w:r w:rsidR="00F87F34" w:rsidRPr="00A96DE6">
        <w:rPr>
          <w:szCs w:val="22"/>
        </w:rPr>
        <w:t>General Assembly</w:t>
      </w:r>
      <w:r w:rsidRPr="00A96DE6">
        <w:rPr>
          <w:szCs w:val="22"/>
        </w:rPr>
        <w:t>.</w:t>
      </w:r>
    </w:p>
    <w:p w14:paraId="1944A566" w14:textId="2B5B8223" w:rsidR="003647B0" w:rsidRPr="00A96DE6" w:rsidRDefault="003647B0" w:rsidP="003C7A36">
      <w:pPr>
        <w:pStyle w:val="ONUME"/>
        <w:tabs>
          <w:tab w:val="clear" w:pos="567"/>
          <w:tab w:val="num" w:pos="0"/>
        </w:tabs>
        <w:rPr>
          <w:szCs w:val="22"/>
        </w:rPr>
      </w:pPr>
      <w:r w:rsidRPr="00A96DE6">
        <w:rPr>
          <w:szCs w:val="22"/>
        </w:rPr>
        <w:t>Accordingly, the IAOC recommends</w:t>
      </w:r>
      <w:r w:rsidR="00F87F34" w:rsidRPr="00A96DE6">
        <w:rPr>
          <w:szCs w:val="22"/>
        </w:rPr>
        <w:t xml:space="preserve"> that a new Staff Regulation be introduced at the end of Chapter X</w:t>
      </w:r>
      <w:r w:rsidR="0076246B" w:rsidRPr="00A96DE6">
        <w:rPr>
          <w:szCs w:val="22"/>
        </w:rPr>
        <w:t xml:space="preserve"> to deal with the specific scenario when allegations of misconduct are made against the Director General</w:t>
      </w:r>
      <w:r w:rsidR="00F87F34" w:rsidRPr="00A96DE6">
        <w:rPr>
          <w:szCs w:val="22"/>
        </w:rPr>
        <w:t xml:space="preserve">.  </w:t>
      </w:r>
      <w:r w:rsidR="0076246B" w:rsidRPr="00A96DE6">
        <w:rPr>
          <w:szCs w:val="22"/>
        </w:rPr>
        <w:t xml:space="preserve">It is proposed that </w:t>
      </w:r>
      <w:r w:rsidR="00A72843" w:rsidRPr="003C7A36">
        <w:rPr>
          <w:szCs w:val="22"/>
        </w:rPr>
        <w:t>new</w:t>
      </w:r>
      <w:r w:rsidR="00A72843">
        <w:rPr>
          <w:szCs w:val="22"/>
        </w:rPr>
        <w:t xml:space="preserve"> </w:t>
      </w:r>
      <w:r w:rsidR="00F87F34" w:rsidRPr="00A96DE6">
        <w:rPr>
          <w:szCs w:val="22"/>
        </w:rPr>
        <w:t xml:space="preserve">Staff </w:t>
      </w:r>
      <w:r w:rsidR="0076246B" w:rsidRPr="00A96DE6">
        <w:rPr>
          <w:szCs w:val="22"/>
        </w:rPr>
        <w:t>Regulation 10.2 would read as follows</w:t>
      </w:r>
      <w:r w:rsidRPr="00A96DE6">
        <w:rPr>
          <w:szCs w:val="22"/>
        </w:rPr>
        <w:t>:</w:t>
      </w:r>
      <w:r w:rsidR="008E2E8F" w:rsidRPr="00A96DE6">
        <w:rPr>
          <w:szCs w:val="22"/>
        </w:rPr>
        <w:t xml:space="preserve">  </w:t>
      </w:r>
    </w:p>
    <w:tbl>
      <w:tblPr>
        <w:tblStyle w:val="TableGrid"/>
        <w:tblW w:w="0" w:type="auto"/>
        <w:tblInd w:w="108" w:type="dxa"/>
        <w:tblLook w:val="04A0" w:firstRow="1" w:lastRow="0" w:firstColumn="1" w:lastColumn="0" w:noHBand="0" w:noVBand="1"/>
      </w:tblPr>
      <w:tblGrid>
        <w:gridCol w:w="1268"/>
        <w:gridCol w:w="2910"/>
        <w:gridCol w:w="2910"/>
        <w:gridCol w:w="2375"/>
      </w:tblGrid>
      <w:tr w:rsidR="00D83DB9" w:rsidRPr="00043368" w14:paraId="64304DEF" w14:textId="77777777" w:rsidTr="000D11D1">
        <w:tc>
          <w:tcPr>
            <w:tcW w:w="1268" w:type="dxa"/>
            <w:shd w:val="clear" w:color="auto" w:fill="FBD4B4" w:themeFill="accent6" w:themeFillTint="66"/>
          </w:tcPr>
          <w:p w14:paraId="2E8644DB" w14:textId="16C31E02" w:rsidR="00D83DB9" w:rsidRPr="00043368" w:rsidRDefault="00D83DB9" w:rsidP="00A96DE6">
            <w:pPr>
              <w:tabs>
                <w:tab w:val="left" w:pos="0"/>
              </w:tabs>
              <w:jc w:val="center"/>
              <w:rPr>
                <w:b/>
                <w:sz w:val="18"/>
                <w:szCs w:val="18"/>
              </w:rPr>
            </w:pPr>
            <w:r w:rsidRPr="00043368">
              <w:rPr>
                <w:b/>
                <w:sz w:val="18"/>
                <w:szCs w:val="18"/>
              </w:rPr>
              <w:t>Provision</w:t>
            </w:r>
          </w:p>
        </w:tc>
        <w:tc>
          <w:tcPr>
            <w:tcW w:w="2910" w:type="dxa"/>
            <w:shd w:val="clear" w:color="auto" w:fill="FBD4B4" w:themeFill="accent6" w:themeFillTint="66"/>
          </w:tcPr>
          <w:p w14:paraId="700C49D1" w14:textId="5662E800" w:rsidR="00D83DB9" w:rsidRPr="00043368" w:rsidRDefault="00D83DB9" w:rsidP="00A96DE6">
            <w:pPr>
              <w:tabs>
                <w:tab w:val="left" w:pos="0"/>
              </w:tabs>
              <w:jc w:val="center"/>
              <w:rPr>
                <w:b/>
                <w:sz w:val="18"/>
                <w:szCs w:val="18"/>
              </w:rPr>
            </w:pPr>
            <w:r w:rsidRPr="00043368">
              <w:rPr>
                <w:b/>
                <w:sz w:val="18"/>
                <w:szCs w:val="18"/>
              </w:rPr>
              <w:t>Current Text</w:t>
            </w:r>
          </w:p>
        </w:tc>
        <w:tc>
          <w:tcPr>
            <w:tcW w:w="2910" w:type="dxa"/>
            <w:shd w:val="clear" w:color="auto" w:fill="FBD4B4" w:themeFill="accent6" w:themeFillTint="66"/>
          </w:tcPr>
          <w:p w14:paraId="2278C2F9" w14:textId="2B6B2776" w:rsidR="00D83DB9" w:rsidRPr="00043368" w:rsidRDefault="00D83DB9" w:rsidP="00A96DE6">
            <w:pPr>
              <w:tabs>
                <w:tab w:val="left" w:pos="0"/>
              </w:tabs>
              <w:jc w:val="center"/>
              <w:rPr>
                <w:b/>
                <w:sz w:val="18"/>
                <w:szCs w:val="18"/>
              </w:rPr>
            </w:pPr>
            <w:r w:rsidRPr="00043368">
              <w:rPr>
                <w:b/>
                <w:sz w:val="18"/>
                <w:szCs w:val="18"/>
              </w:rPr>
              <w:t>Proposed New Text</w:t>
            </w:r>
          </w:p>
        </w:tc>
        <w:tc>
          <w:tcPr>
            <w:tcW w:w="2375" w:type="dxa"/>
            <w:shd w:val="clear" w:color="auto" w:fill="FBD4B4" w:themeFill="accent6" w:themeFillTint="66"/>
          </w:tcPr>
          <w:p w14:paraId="0DDCA19A" w14:textId="48D59D14" w:rsidR="00D83DB9" w:rsidRPr="00043368" w:rsidRDefault="00D83DB9" w:rsidP="00A96DE6">
            <w:pPr>
              <w:tabs>
                <w:tab w:val="left" w:pos="0"/>
              </w:tabs>
              <w:jc w:val="center"/>
              <w:rPr>
                <w:b/>
                <w:sz w:val="18"/>
                <w:szCs w:val="18"/>
              </w:rPr>
            </w:pPr>
            <w:r w:rsidRPr="00043368">
              <w:rPr>
                <w:b/>
                <w:sz w:val="18"/>
                <w:szCs w:val="18"/>
              </w:rPr>
              <w:t xml:space="preserve">Purpose/Description </w:t>
            </w:r>
            <w:r w:rsidRPr="00043368">
              <w:rPr>
                <w:b/>
                <w:sz w:val="18"/>
                <w:szCs w:val="18"/>
              </w:rPr>
              <w:br/>
              <w:t>of amendment</w:t>
            </w:r>
          </w:p>
        </w:tc>
      </w:tr>
      <w:tr w:rsidR="00D83DB9" w:rsidRPr="00043368" w14:paraId="6870ADFA" w14:textId="77777777" w:rsidTr="000D11D1">
        <w:tc>
          <w:tcPr>
            <w:tcW w:w="1268" w:type="dxa"/>
          </w:tcPr>
          <w:p w14:paraId="2C2AC47C" w14:textId="5EC11E84" w:rsidR="00D83DB9" w:rsidRPr="00043368" w:rsidRDefault="00191F9D" w:rsidP="00A96DE6">
            <w:pPr>
              <w:tabs>
                <w:tab w:val="left" w:pos="0"/>
              </w:tabs>
              <w:rPr>
                <w:sz w:val="18"/>
                <w:szCs w:val="18"/>
              </w:rPr>
            </w:pPr>
            <w:r w:rsidRPr="00043368">
              <w:rPr>
                <w:b/>
                <w:sz w:val="18"/>
                <w:szCs w:val="18"/>
                <w:u w:val="single"/>
              </w:rPr>
              <w:t>New</w:t>
            </w:r>
            <w:r w:rsidRPr="00043368">
              <w:rPr>
                <w:sz w:val="18"/>
                <w:szCs w:val="18"/>
              </w:rPr>
              <w:t xml:space="preserve"> </w:t>
            </w:r>
            <w:r w:rsidRPr="00043368">
              <w:rPr>
                <w:sz w:val="18"/>
                <w:szCs w:val="18"/>
              </w:rPr>
              <w:br/>
            </w:r>
            <w:r w:rsidR="00D83DB9" w:rsidRPr="00043368">
              <w:rPr>
                <w:sz w:val="18"/>
                <w:szCs w:val="18"/>
              </w:rPr>
              <w:t>Staff Regulation 10.2</w:t>
            </w:r>
          </w:p>
        </w:tc>
        <w:tc>
          <w:tcPr>
            <w:tcW w:w="2910" w:type="dxa"/>
          </w:tcPr>
          <w:p w14:paraId="7FC089C8" w14:textId="77777777" w:rsidR="00D83DB9" w:rsidRPr="00043368" w:rsidRDefault="00D83DB9" w:rsidP="00A96DE6">
            <w:pPr>
              <w:tabs>
                <w:tab w:val="left" w:pos="0"/>
              </w:tabs>
              <w:rPr>
                <w:sz w:val="18"/>
                <w:szCs w:val="18"/>
              </w:rPr>
            </w:pPr>
          </w:p>
        </w:tc>
        <w:tc>
          <w:tcPr>
            <w:tcW w:w="2910" w:type="dxa"/>
          </w:tcPr>
          <w:p w14:paraId="097BC709" w14:textId="569DD8F6" w:rsidR="00D83DB9" w:rsidRPr="00A55521" w:rsidRDefault="00A55521" w:rsidP="00A55521">
            <w:pPr>
              <w:tabs>
                <w:tab w:val="left" w:pos="0"/>
                <w:tab w:val="left" w:pos="93"/>
              </w:tabs>
              <w:rPr>
                <w:b/>
                <w:sz w:val="18"/>
                <w:szCs w:val="18"/>
                <w:u w:val="single"/>
              </w:rPr>
            </w:pPr>
            <w:r w:rsidRPr="00A55521">
              <w:rPr>
                <w:b/>
                <w:sz w:val="18"/>
                <w:szCs w:val="18"/>
                <w:u w:val="single"/>
              </w:rPr>
              <w:t>“Where an investigation substantiates allegations of misconduct against the Director General, the Coordination Committee is the competent authority to institute disciplinary proceedings by issuing a charge letter, to receive the response to the charge letter, and to recommend a disciplinary measure, if any, for application by the General Assembly.  The Coordination Committee has the authority to decide on the timeframe for the submission of the response to the charge letter and for the issuance of its recommendation to the General Assembly.  The Coordination Committee is also the competent authority to decide on a temporary suspension from duty, if any.  In all other respects, the general principles for the disciplinary process in WIPO shall apply, mutatis mutandis, to the Director General, as appropriate.”</w:t>
            </w:r>
          </w:p>
          <w:p w14:paraId="1872BB77" w14:textId="77777777" w:rsidR="00D83DB9" w:rsidRPr="00043368" w:rsidRDefault="00D83DB9" w:rsidP="00A96DE6">
            <w:pPr>
              <w:tabs>
                <w:tab w:val="left" w:pos="0"/>
              </w:tabs>
              <w:jc w:val="both"/>
              <w:rPr>
                <w:sz w:val="18"/>
                <w:szCs w:val="18"/>
              </w:rPr>
            </w:pPr>
          </w:p>
        </w:tc>
        <w:tc>
          <w:tcPr>
            <w:tcW w:w="2375" w:type="dxa"/>
          </w:tcPr>
          <w:p w14:paraId="048E76D0" w14:textId="512B24BF" w:rsidR="00D83DB9" w:rsidRPr="00043368" w:rsidRDefault="00191F9D" w:rsidP="001C3AD2">
            <w:pPr>
              <w:tabs>
                <w:tab w:val="left" w:pos="0"/>
              </w:tabs>
              <w:rPr>
                <w:sz w:val="18"/>
                <w:szCs w:val="18"/>
              </w:rPr>
            </w:pPr>
            <w:r w:rsidRPr="00043368">
              <w:rPr>
                <w:sz w:val="18"/>
                <w:szCs w:val="18"/>
              </w:rPr>
              <w:t>New Staff Regulation 10.2 is being p</w:t>
            </w:r>
            <w:r w:rsidR="00D83DB9" w:rsidRPr="00043368">
              <w:rPr>
                <w:sz w:val="18"/>
                <w:szCs w:val="18"/>
              </w:rPr>
              <w:t>roposed to deal with the specific scenario when allegations of misconduct against the Director General</w:t>
            </w:r>
            <w:r w:rsidR="001C3AD2">
              <w:rPr>
                <w:sz w:val="18"/>
                <w:szCs w:val="18"/>
              </w:rPr>
              <w:t xml:space="preserve"> have been substantiated by an investigation</w:t>
            </w:r>
            <w:r w:rsidR="00D83DB9" w:rsidRPr="00043368">
              <w:rPr>
                <w:sz w:val="18"/>
                <w:szCs w:val="18"/>
              </w:rPr>
              <w:t xml:space="preserve">.  </w:t>
            </w:r>
          </w:p>
        </w:tc>
      </w:tr>
    </w:tbl>
    <w:p w14:paraId="593D05D7" w14:textId="77777777" w:rsidR="00D83DB9" w:rsidRPr="00A96DE6" w:rsidRDefault="00D83DB9" w:rsidP="00A96DE6">
      <w:pPr>
        <w:tabs>
          <w:tab w:val="left" w:pos="0"/>
        </w:tabs>
        <w:rPr>
          <w:b/>
          <w:i/>
          <w:szCs w:val="22"/>
        </w:rPr>
      </w:pPr>
    </w:p>
    <w:p w14:paraId="528591CD" w14:textId="52731DEA" w:rsidR="003647B0" w:rsidRPr="00A96DE6" w:rsidRDefault="003647B0" w:rsidP="003C7A36">
      <w:pPr>
        <w:pStyle w:val="ONUME"/>
        <w:tabs>
          <w:tab w:val="clear" w:pos="567"/>
          <w:tab w:val="num" w:pos="0"/>
        </w:tabs>
        <w:rPr>
          <w:szCs w:val="22"/>
        </w:rPr>
      </w:pPr>
      <w:r w:rsidRPr="00A96DE6">
        <w:rPr>
          <w:szCs w:val="22"/>
        </w:rPr>
        <w:t>The termination of appointments is regulated in Staff Re</w:t>
      </w:r>
      <w:r w:rsidR="000A09B6" w:rsidRPr="00A96DE6">
        <w:rPr>
          <w:szCs w:val="22"/>
        </w:rPr>
        <w:t>gulation 9.2.</w:t>
      </w:r>
      <w:r w:rsidR="006269F9" w:rsidRPr="00A96DE6">
        <w:rPr>
          <w:szCs w:val="22"/>
        </w:rPr>
        <w:t xml:space="preserve"> </w:t>
      </w:r>
      <w:r w:rsidR="000A09B6" w:rsidRPr="00A96DE6">
        <w:rPr>
          <w:szCs w:val="22"/>
        </w:rPr>
        <w:t xml:space="preserve"> </w:t>
      </w:r>
      <w:r w:rsidR="00F96351" w:rsidRPr="00A96DE6">
        <w:rPr>
          <w:szCs w:val="22"/>
        </w:rPr>
        <w:t>Paragraph</w:t>
      </w:r>
      <w:r w:rsidRPr="00A96DE6">
        <w:rPr>
          <w:szCs w:val="22"/>
        </w:rPr>
        <w:t xml:space="preserve"> (</w:t>
      </w:r>
      <w:r w:rsidR="00A42D6F" w:rsidRPr="00A96DE6">
        <w:rPr>
          <w:szCs w:val="22"/>
        </w:rPr>
        <w:t xml:space="preserve">a) thereof applies to the termination of the appointment of a staff member. </w:t>
      </w:r>
      <w:r w:rsidR="00730D51" w:rsidRPr="00A96DE6">
        <w:rPr>
          <w:szCs w:val="22"/>
        </w:rPr>
        <w:t xml:space="preserve"> </w:t>
      </w:r>
      <w:r w:rsidR="00A42D6F" w:rsidRPr="00A96DE6">
        <w:rPr>
          <w:szCs w:val="22"/>
        </w:rPr>
        <w:t xml:space="preserve">Paragraph </w:t>
      </w:r>
      <w:r w:rsidR="00730D51" w:rsidRPr="00A96DE6">
        <w:rPr>
          <w:szCs w:val="22"/>
        </w:rPr>
        <w:t>(</w:t>
      </w:r>
      <w:r w:rsidRPr="00A96DE6">
        <w:rPr>
          <w:szCs w:val="22"/>
        </w:rPr>
        <w:t xml:space="preserve">d) </w:t>
      </w:r>
      <w:r w:rsidR="00F96351" w:rsidRPr="00A96DE6">
        <w:rPr>
          <w:szCs w:val="22"/>
        </w:rPr>
        <w:t xml:space="preserve">thereof </w:t>
      </w:r>
      <w:r w:rsidRPr="00A96DE6">
        <w:rPr>
          <w:szCs w:val="22"/>
        </w:rPr>
        <w:t>contains a special provision for terminating the appointment of the Director General:</w:t>
      </w:r>
      <w:r w:rsidR="00730D51" w:rsidRPr="00A96DE6">
        <w:rPr>
          <w:szCs w:val="22"/>
        </w:rPr>
        <w:t xml:space="preserve"> </w:t>
      </w:r>
      <w:r w:rsidRPr="00A96DE6">
        <w:rPr>
          <w:szCs w:val="22"/>
        </w:rPr>
        <w:t xml:space="preserve"> </w:t>
      </w:r>
    </w:p>
    <w:p w14:paraId="0687BD1E" w14:textId="77777777" w:rsidR="003647B0" w:rsidRPr="00A96DE6" w:rsidRDefault="003647B0" w:rsidP="00A96DE6">
      <w:pPr>
        <w:pStyle w:val="ListParagraph"/>
        <w:tabs>
          <w:tab w:val="left" w:pos="0"/>
          <w:tab w:val="left" w:pos="567"/>
        </w:tabs>
        <w:ind w:left="567"/>
        <w:rPr>
          <w:i/>
          <w:szCs w:val="22"/>
        </w:rPr>
      </w:pPr>
      <w:r w:rsidRPr="00A96DE6">
        <w:rPr>
          <w:i/>
          <w:szCs w:val="22"/>
        </w:rPr>
        <w:t>“On the advice of the Coordination Committee, the General Assembly may terminate the appointment of the Director General if for reasons of health he or she is no longer able to perform his or her duties, if his performance or conduct proves unsatisfactory, or for such other reason as may be specified in his or her letter of appointment.”</w:t>
      </w:r>
    </w:p>
    <w:p w14:paraId="206EEC4F" w14:textId="20E3084E" w:rsidR="003647B0" w:rsidRPr="00A96DE6" w:rsidRDefault="003647B0" w:rsidP="00A96DE6">
      <w:pPr>
        <w:pStyle w:val="ListParagraph"/>
        <w:tabs>
          <w:tab w:val="left" w:pos="0"/>
        </w:tabs>
        <w:ind w:left="567" w:hanging="567"/>
        <w:rPr>
          <w:szCs w:val="22"/>
        </w:rPr>
      </w:pPr>
    </w:p>
    <w:p w14:paraId="71A834B0" w14:textId="3F8EF711" w:rsidR="001C3AD2" w:rsidRPr="00A96DE6" w:rsidRDefault="00A42D6F" w:rsidP="001C3AD2">
      <w:pPr>
        <w:pStyle w:val="ONUME"/>
      </w:pPr>
      <w:r w:rsidRPr="00A96DE6">
        <w:t>T</w:t>
      </w:r>
      <w:r w:rsidR="003647B0" w:rsidRPr="00A96DE6">
        <w:t>he current wording of Staff Regulation 9.2</w:t>
      </w:r>
      <w:r w:rsidRPr="00A96DE6">
        <w:t xml:space="preserve">(a)(3) and </w:t>
      </w:r>
      <w:r w:rsidR="003647B0" w:rsidRPr="00A96DE6">
        <w:t>(d) does not explicitly refer to termination</w:t>
      </w:r>
      <w:r w:rsidR="00F96351" w:rsidRPr="00A96DE6">
        <w:t xml:space="preserve"> </w:t>
      </w:r>
      <w:r w:rsidRPr="00A96DE6">
        <w:t xml:space="preserve">for misconduct, but speaks of “unsatisfactory conduct”, a term which is not used in Staff Regulation 10.1 on Disciplinary Measures and is not used in the WIPO Oversight Charter or related documents. </w:t>
      </w:r>
      <w:r w:rsidR="00730D51" w:rsidRPr="00A96DE6">
        <w:t xml:space="preserve"> </w:t>
      </w:r>
      <w:r w:rsidRPr="00A96DE6">
        <w:t>T</w:t>
      </w:r>
      <w:r w:rsidR="003647B0" w:rsidRPr="00A96DE6">
        <w:t xml:space="preserve">he IAOC </w:t>
      </w:r>
      <w:r w:rsidRPr="00A96DE6">
        <w:t>wishes to point out that the United Nations S</w:t>
      </w:r>
      <w:r w:rsidR="005649D6" w:rsidRPr="00A96DE6">
        <w:t>t</w:t>
      </w:r>
      <w:r w:rsidRPr="00A96DE6">
        <w:t xml:space="preserve">aff </w:t>
      </w:r>
      <w:r w:rsidR="000F2859">
        <w:t xml:space="preserve">(UN) </w:t>
      </w:r>
      <w:r w:rsidRPr="00A96DE6">
        <w:t>Rules a</w:t>
      </w:r>
      <w:r w:rsidR="005649D6" w:rsidRPr="00A96DE6">
        <w:t>nd</w:t>
      </w:r>
      <w:r w:rsidRPr="00A96DE6">
        <w:t xml:space="preserve"> Staff Regulations </w:t>
      </w:r>
      <w:r w:rsidR="005649D6" w:rsidRPr="00A96DE6">
        <w:t>(ST/SGB/201</w:t>
      </w:r>
      <w:r w:rsidR="00C25BB6">
        <w:t>7</w:t>
      </w:r>
      <w:r w:rsidR="005649D6" w:rsidRPr="00A96DE6">
        <w:t xml:space="preserve">/1) make a clear distinction between termination for “unsatisfactory services” and termination for “disciplinary reasons” and </w:t>
      </w:r>
      <w:r w:rsidR="003647B0" w:rsidRPr="00A96DE6">
        <w:t xml:space="preserve">believes that a </w:t>
      </w:r>
      <w:r w:rsidR="005649D6" w:rsidRPr="00A96DE6">
        <w:t xml:space="preserve">similar </w:t>
      </w:r>
      <w:r w:rsidR="003647B0" w:rsidRPr="00A96DE6">
        <w:t xml:space="preserve">clarification </w:t>
      </w:r>
      <w:r w:rsidR="005649D6" w:rsidRPr="00A96DE6">
        <w:t xml:space="preserve">in the WIPO Staff Regulations </w:t>
      </w:r>
      <w:r w:rsidR="003647B0" w:rsidRPr="00A96DE6">
        <w:t>is desirable</w:t>
      </w:r>
      <w:r w:rsidR="005649D6" w:rsidRPr="00A96DE6">
        <w:t xml:space="preserve">. </w:t>
      </w:r>
      <w:r w:rsidR="00730D51" w:rsidRPr="00A96DE6">
        <w:t xml:space="preserve"> </w:t>
      </w:r>
      <w:r w:rsidR="005649D6" w:rsidRPr="00A96DE6">
        <w:t>The IAOC therefore</w:t>
      </w:r>
      <w:r w:rsidR="003647B0" w:rsidRPr="00A96DE6">
        <w:t xml:space="preserve"> recommends </w:t>
      </w:r>
      <w:r w:rsidR="001C3AD2">
        <w:t>amending</w:t>
      </w:r>
      <w:r w:rsidR="005649D6" w:rsidRPr="00A96DE6">
        <w:t xml:space="preserve"> Staff Regulation 9.2(d)</w:t>
      </w:r>
      <w:r w:rsidR="001C3AD2">
        <w:t xml:space="preserve">. </w:t>
      </w:r>
      <w:r w:rsidR="001C3AD2" w:rsidRPr="00A96DE6">
        <w:t xml:space="preserve">A similar clarification is </w:t>
      </w:r>
      <w:r w:rsidR="001C3AD2">
        <w:t>recommended</w:t>
      </w:r>
      <w:r w:rsidR="001C3AD2" w:rsidRPr="00A96DE6">
        <w:t xml:space="preserve"> for Staff Regulation 9.2(a)(3).</w:t>
      </w:r>
    </w:p>
    <w:tbl>
      <w:tblPr>
        <w:tblStyle w:val="TableGrid"/>
        <w:tblW w:w="0" w:type="auto"/>
        <w:tblInd w:w="108" w:type="dxa"/>
        <w:tblLook w:val="04A0" w:firstRow="1" w:lastRow="0" w:firstColumn="1" w:lastColumn="0" w:noHBand="0" w:noVBand="1"/>
      </w:tblPr>
      <w:tblGrid>
        <w:gridCol w:w="1268"/>
        <w:gridCol w:w="2910"/>
        <w:gridCol w:w="2910"/>
        <w:gridCol w:w="2375"/>
      </w:tblGrid>
      <w:tr w:rsidR="008624B9" w:rsidRPr="00043368" w14:paraId="02206346" w14:textId="77777777" w:rsidTr="000D11D1">
        <w:tc>
          <w:tcPr>
            <w:tcW w:w="1268" w:type="dxa"/>
            <w:shd w:val="clear" w:color="auto" w:fill="FBD4B4" w:themeFill="accent6" w:themeFillTint="66"/>
          </w:tcPr>
          <w:p w14:paraId="64A34C7D" w14:textId="77777777" w:rsidR="002A437E" w:rsidRPr="00043368" w:rsidRDefault="002A437E" w:rsidP="00A96DE6">
            <w:pPr>
              <w:tabs>
                <w:tab w:val="left" w:pos="0"/>
              </w:tabs>
              <w:jc w:val="center"/>
              <w:rPr>
                <w:b/>
                <w:sz w:val="18"/>
                <w:szCs w:val="18"/>
              </w:rPr>
            </w:pPr>
            <w:r w:rsidRPr="00043368">
              <w:rPr>
                <w:b/>
                <w:sz w:val="18"/>
                <w:szCs w:val="18"/>
              </w:rPr>
              <w:lastRenderedPageBreak/>
              <w:t>Provision</w:t>
            </w:r>
          </w:p>
        </w:tc>
        <w:tc>
          <w:tcPr>
            <w:tcW w:w="2910" w:type="dxa"/>
            <w:shd w:val="clear" w:color="auto" w:fill="FBD4B4" w:themeFill="accent6" w:themeFillTint="66"/>
          </w:tcPr>
          <w:p w14:paraId="67BA31C6" w14:textId="77777777" w:rsidR="002A437E" w:rsidRPr="00043368" w:rsidRDefault="002A437E" w:rsidP="00A96DE6">
            <w:pPr>
              <w:tabs>
                <w:tab w:val="left" w:pos="0"/>
              </w:tabs>
              <w:jc w:val="center"/>
              <w:rPr>
                <w:b/>
                <w:sz w:val="18"/>
                <w:szCs w:val="18"/>
              </w:rPr>
            </w:pPr>
            <w:r w:rsidRPr="00043368">
              <w:rPr>
                <w:b/>
                <w:sz w:val="18"/>
                <w:szCs w:val="18"/>
              </w:rPr>
              <w:t>Current Text</w:t>
            </w:r>
          </w:p>
        </w:tc>
        <w:tc>
          <w:tcPr>
            <w:tcW w:w="2910" w:type="dxa"/>
            <w:shd w:val="clear" w:color="auto" w:fill="FBD4B4" w:themeFill="accent6" w:themeFillTint="66"/>
          </w:tcPr>
          <w:p w14:paraId="6D145504" w14:textId="77777777" w:rsidR="002A437E" w:rsidRPr="00043368" w:rsidRDefault="002A437E" w:rsidP="00A96DE6">
            <w:pPr>
              <w:tabs>
                <w:tab w:val="left" w:pos="0"/>
              </w:tabs>
              <w:jc w:val="center"/>
              <w:rPr>
                <w:b/>
                <w:sz w:val="18"/>
                <w:szCs w:val="18"/>
              </w:rPr>
            </w:pPr>
            <w:r w:rsidRPr="00043368">
              <w:rPr>
                <w:b/>
                <w:sz w:val="18"/>
                <w:szCs w:val="18"/>
              </w:rPr>
              <w:t>Proposed New Text</w:t>
            </w:r>
          </w:p>
        </w:tc>
        <w:tc>
          <w:tcPr>
            <w:tcW w:w="2375" w:type="dxa"/>
            <w:shd w:val="clear" w:color="auto" w:fill="FBD4B4" w:themeFill="accent6" w:themeFillTint="66"/>
          </w:tcPr>
          <w:p w14:paraId="400E5D5C" w14:textId="77777777" w:rsidR="002A437E" w:rsidRPr="00043368" w:rsidRDefault="002A437E" w:rsidP="00A96DE6">
            <w:pPr>
              <w:tabs>
                <w:tab w:val="left" w:pos="0"/>
              </w:tabs>
              <w:jc w:val="center"/>
              <w:rPr>
                <w:b/>
                <w:sz w:val="18"/>
                <w:szCs w:val="18"/>
              </w:rPr>
            </w:pPr>
            <w:r w:rsidRPr="00043368">
              <w:rPr>
                <w:b/>
                <w:sz w:val="18"/>
                <w:szCs w:val="18"/>
              </w:rPr>
              <w:t xml:space="preserve">Purpose/Description </w:t>
            </w:r>
            <w:r w:rsidRPr="00043368">
              <w:rPr>
                <w:b/>
                <w:sz w:val="18"/>
                <w:szCs w:val="18"/>
              </w:rPr>
              <w:br/>
              <w:t>of amendment</w:t>
            </w:r>
          </w:p>
        </w:tc>
      </w:tr>
      <w:tr w:rsidR="002A437E" w:rsidRPr="00043368" w14:paraId="1E8D2681" w14:textId="77777777" w:rsidTr="000D11D1">
        <w:tc>
          <w:tcPr>
            <w:tcW w:w="1268" w:type="dxa"/>
          </w:tcPr>
          <w:p w14:paraId="4E61243D" w14:textId="77777777" w:rsidR="00C25BB6" w:rsidRDefault="00C25BB6" w:rsidP="00C25BB6">
            <w:pPr>
              <w:tabs>
                <w:tab w:val="left" w:pos="0"/>
              </w:tabs>
              <w:rPr>
                <w:sz w:val="18"/>
                <w:szCs w:val="18"/>
              </w:rPr>
            </w:pPr>
            <w:r>
              <w:rPr>
                <w:sz w:val="18"/>
                <w:szCs w:val="18"/>
              </w:rPr>
              <w:t>Staff Regulation</w:t>
            </w:r>
          </w:p>
          <w:p w14:paraId="5238AB73" w14:textId="77777777" w:rsidR="00C25BB6" w:rsidRDefault="00C25BB6" w:rsidP="00C25BB6">
            <w:pPr>
              <w:tabs>
                <w:tab w:val="left" w:pos="0"/>
              </w:tabs>
              <w:rPr>
                <w:sz w:val="18"/>
                <w:szCs w:val="18"/>
              </w:rPr>
            </w:pPr>
            <w:r>
              <w:rPr>
                <w:sz w:val="18"/>
                <w:szCs w:val="18"/>
              </w:rPr>
              <w:t>9.2(a)(3)</w:t>
            </w:r>
          </w:p>
          <w:p w14:paraId="66775CDC" w14:textId="77777777" w:rsidR="00C25BB6" w:rsidRDefault="00C25BB6" w:rsidP="00C25BB6">
            <w:pPr>
              <w:tabs>
                <w:tab w:val="left" w:pos="0"/>
              </w:tabs>
              <w:rPr>
                <w:sz w:val="18"/>
                <w:szCs w:val="18"/>
              </w:rPr>
            </w:pPr>
          </w:p>
          <w:p w14:paraId="0C325DAF" w14:textId="77777777" w:rsidR="00C25BB6" w:rsidRDefault="00C25BB6" w:rsidP="00C25BB6">
            <w:pPr>
              <w:tabs>
                <w:tab w:val="left" w:pos="0"/>
              </w:tabs>
              <w:rPr>
                <w:sz w:val="18"/>
                <w:szCs w:val="18"/>
              </w:rPr>
            </w:pPr>
          </w:p>
          <w:p w14:paraId="274B7A5D" w14:textId="77777777" w:rsidR="00C25BB6" w:rsidRDefault="00C25BB6" w:rsidP="00C25BB6">
            <w:pPr>
              <w:tabs>
                <w:tab w:val="left" w:pos="0"/>
              </w:tabs>
              <w:rPr>
                <w:sz w:val="18"/>
                <w:szCs w:val="18"/>
              </w:rPr>
            </w:pPr>
          </w:p>
          <w:p w14:paraId="39AC0D3B" w14:textId="63163836" w:rsidR="002A437E" w:rsidRDefault="002A437E" w:rsidP="00C25BB6">
            <w:pPr>
              <w:tabs>
                <w:tab w:val="left" w:pos="0"/>
              </w:tabs>
              <w:rPr>
                <w:sz w:val="18"/>
                <w:szCs w:val="18"/>
              </w:rPr>
            </w:pPr>
            <w:r w:rsidRPr="00043368">
              <w:rPr>
                <w:sz w:val="18"/>
                <w:szCs w:val="18"/>
              </w:rPr>
              <w:t>Staff Regulation 9.2(d)</w:t>
            </w:r>
          </w:p>
          <w:p w14:paraId="18846CF9" w14:textId="77777777" w:rsidR="001C3AD2" w:rsidRDefault="001C3AD2" w:rsidP="00DB04C0">
            <w:pPr>
              <w:tabs>
                <w:tab w:val="left" w:pos="0"/>
              </w:tabs>
              <w:rPr>
                <w:sz w:val="18"/>
                <w:szCs w:val="18"/>
              </w:rPr>
            </w:pPr>
          </w:p>
          <w:p w14:paraId="2B554C73" w14:textId="77777777" w:rsidR="001C3AD2" w:rsidRDefault="001C3AD2" w:rsidP="00DB04C0">
            <w:pPr>
              <w:tabs>
                <w:tab w:val="left" w:pos="0"/>
              </w:tabs>
              <w:rPr>
                <w:sz w:val="18"/>
                <w:szCs w:val="18"/>
              </w:rPr>
            </w:pPr>
          </w:p>
          <w:p w14:paraId="02628FE7" w14:textId="77777777" w:rsidR="001C3AD2" w:rsidRDefault="001C3AD2" w:rsidP="00DB04C0">
            <w:pPr>
              <w:tabs>
                <w:tab w:val="left" w:pos="0"/>
              </w:tabs>
              <w:rPr>
                <w:sz w:val="18"/>
                <w:szCs w:val="18"/>
              </w:rPr>
            </w:pPr>
          </w:p>
          <w:p w14:paraId="1A374645" w14:textId="77777777" w:rsidR="001C3AD2" w:rsidRDefault="001C3AD2" w:rsidP="00DB04C0">
            <w:pPr>
              <w:tabs>
                <w:tab w:val="left" w:pos="0"/>
              </w:tabs>
              <w:rPr>
                <w:sz w:val="18"/>
                <w:szCs w:val="18"/>
              </w:rPr>
            </w:pPr>
          </w:p>
          <w:p w14:paraId="558F8522" w14:textId="77777777" w:rsidR="001C3AD2" w:rsidRDefault="001C3AD2" w:rsidP="00DB04C0">
            <w:pPr>
              <w:tabs>
                <w:tab w:val="left" w:pos="0"/>
              </w:tabs>
              <w:rPr>
                <w:sz w:val="18"/>
                <w:szCs w:val="18"/>
              </w:rPr>
            </w:pPr>
          </w:p>
          <w:p w14:paraId="7DF33F71" w14:textId="77777777" w:rsidR="001C3AD2" w:rsidRDefault="001C3AD2" w:rsidP="00DB04C0">
            <w:pPr>
              <w:tabs>
                <w:tab w:val="left" w:pos="0"/>
              </w:tabs>
              <w:rPr>
                <w:sz w:val="18"/>
                <w:szCs w:val="18"/>
              </w:rPr>
            </w:pPr>
          </w:p>
          <w:p w14:paraId="77D5C6F0" w14:textId="77777777" w:rsidR="001C3AD2" w:rsidRDefault="001C3AD2" w:rsidP="00DB04C0">
            <w:pPr>
              <w:tabs>
                <w:tab w:val="left" w:pos="0"/>
              </w:tabs>
              <w:rPr>
                <w:sz w:val="18"/>
                <w:szCs w:val="18"/>
              </w:rPr>
            </w:pPr>
          </w:p>
          <w:p w14:paraId="5F3DCCD0" w14:textId="77777777" w:rsidR="001C3AD2" w:rsidRDefault="001C3AD2" w:rsidP="00DB04C0">
            <w:pPr>
              <w:tabs>
                <w:tab w:val="left" w:pos="0"/>
              </w:tabs>
              <w:rPr>
                <w:sz w:val="18"/>
                <w:szCs w:val="18"/>
              </w:rPr>
            </w:pPr>
          </w:p>
          <w:p w14:paraId="60E7297E" w14:textId="77777777" w:rsidR="001C3AD2" w:rsidRDefault="001C3AD2" w:rsidP="00DB04C0">
            <w:pPr>
              <w:tabs>
                <w:tab w:val="left" w:pos="0"/>
              </w:tabs>
              <w:rPr>
                <w:sz w:val="18"/>
                <w:szCs w:val="18"/>
              </w:rPr>
            </w:pPr>
          </w:p>
          <w:p w14:paraId="1F2FB020" w14:textId="77777777" w:rsidR="001C3AD2" w:rsidRDefault="001C3AD2" w:rsidP="00DB04C0">
            <w:pPr>
              <w:tabs>
                <w:tab w:val="left" w:pos="0"/>
              </w:tabs>
              <w:rPr>
                <w:sz w:val="18"/>
                <w:szCs w:val="18"/>
              </w:rPr>
            </w:pPr>
          </w:p>
          <w:p w14:paraId="1C12526F" w14:textId="77777777" w:rsidR="001C3AD2" w:rsidRDefault="001C3AD2" w:rsidP="00DB04C0">
            <w:pPr>
              <w:tabs>
                <w:tab w:val="left" w:pos="0"/>
              </w:tabs>
              <w:rPr>
                <w:sz w:val="18"/>
                <w:szCs w:val="18"/>
              </w:rPr>
            </w:pPr>
          </w:p>
          <w:p w14:paraId="05F13B4D" w14:textId="77777777" w:rsidR="001C3AD2" w:rsidRDefault="001C3AD2" w:rsidP="00DB04C0">
            <w:pPr>
              <w:tabs>
                <w:tab w:val="left" w:pos="0"/>
              </w:tabs>
              <w:rPr>
                <w:sz w:val="18"/>
                <w:szCs w:val="18"/>
              </w:rPr>
            </w:pPr>
          </w:p>
          <w:p w14:paraId="127CBDAF" w14:textId="29F80E7E" w:rsidR="001C3AD2" w:rsidRDefault="001C3AD2" w:rsidP="00DB04C0">
            <w:pPr>
              <w:tabs>
                <w:tab w:val="left" w:pos="0"/>
              </w:tabs>
              <w:rPr>
                <w:sz w:val="18"/>
                <w:szCs w:val="18"/>
              </w:rPr>
            </w:pPr>
          </w:p>
          <w:p w14:paraId="2F8D2788" w14:textId="72340CDA" w:rsidR="001C3AD2" w:rsidRPr="00043368" w:rsidRDefault="001C3AD2" w:rsidP="001C3AD2">
            <w:pPr>
              <w:tabs>
                <w:tab w:val="left" w:pos="0"/>
              </w:tabs>
              <w:rPr>
                <w:sz w:val="18"/>
                <w:szCs w:val="18"/>
              </w:rPr>
            </w:pPr>
          </w:p>
        </w:tc>
        <w:tc>
          <w:tcPr>
            <w:tcW w:w="2910" w:type="dxa"/>
          </w:tcPr>
          <w:p w14:paraId="5B65A447" w14:textId="7F4733A4" w:rsidR="00C25BB6" w:rsidRPr="00043368" w:rsidRDefault="00C25BB6" w:rsidP="00C25BB6">
            <w:pPr>
              <w:pStyle w:val="Default"/>
              <w:tabs>
                <w:tab w:val="left" w:pos="0"/>
              </w:tabs>
              <w:rPr>
                <w:sz w:val="18"/>
                <w:szCs w:val="18"/>
              </w:rPr>
            </w:pPr>
            <w:r>
              <w:rPr>
                <w:sz w:val="18"/>
                <w:szCs w:val="18"/>
              </w:rPr>
              <w:t>(3) if the staff member’s performance or conduct prove</w:t>
            </w:r>
            <w:r w:rsidR="000A67B3">
              <w:rPr>
                <w:sz w:val="18"/>
                <w:szCs w:val="18"/>
              </w:rPr>
              <w:t>s</w:t>
            </w:r>
            <w:r>
              <w:rPr>
                <w:sz w:val="18"/>
                <w:szCs w:val="18"/>
              </w:rPr>
              <w:t xml:space="preserve"> unsatisfactory;</w:t>
            </w:r>
          </w:p>
          <w:p w14:paraId="1C4A956B" w14:textId="77777777" w:rsidR="00C25BB6" w:rsidRDefault="00C25BB6" w:rsidP="00C25BB6">
            <w:pPr>
              <w:pStyle w:val="Default"/>
              <w:tabs>
                <w:tab w:val="left" w:pos="0"/>
              </w:tabs>
              <w:rPr>
                <w:sz w:val="18"/>
                <w:szCs w:val="18"/>
              </w:rPr>
            </w:pPr>
            <w:r w:rsidRPr="00043368">
              <w:rPr>
                <w:sz w:val="18"/>
                <w:szCs w:val="18"/>
              </w:rPr>
              <w:t xml:space="preserve"> </w:t>
            </w:r>
          </w:p>
          <w:p w14:paraId="2A2AAF32" w14:textId="77777777" w:rsidR="00C25BB6" w:rsidRDefault="00C25BB6" w:rsidP="00C25BB6">
            <w:pPr>
              <w:pStyle w:val="Default"/>
              <w:tabs>
                <w:tab w:val="left" w:pos="0"/>
              </w:tabs>
              <w:rPr>
                <w:sz w:val="18"/>
                <w:szCs w:val="18"/>
              </w:rPr>
            </w:pPr>
          </w:p>
          <w:p w14:paraId="15A1F6D6" w14:textId="77777777" w:rsidR="00C25BB6" w:rsidRDefault="00C25BB6" w:rsidP="00C25BB6">
            <w:pPr>
              <w:pStyle w:val="Default"/>
              <w:tabs>
                <w:tab w:val="left" w:pos="0"/>
              </w:tabs>
              <w:rPr>
                <w:sz w:val="18"/>
                <w:szCs w:val="18"/>
              </w:rPr>
            </w:pPr>
          </w:p>
          <w:p w14:paraId="5F0A1E29" w14:textId="7452DE65" w:rsidR="002A437E" w:rsidRDefault="002A437E" w:rsidP="00C25BB6">
            <w:pPr>
              <w:pStyle w:val="Default"/>
              <w:tabs>
                <w:tab w:val="left" w:pos="0"/>
              </w:tabs>
              <w:rPr>
                <w:sz w:val="18"/>
                <w:szCs w:val="18"/>
              </w:rPr>
            </w:pPr>
            <w:r w:rsidRPr="00043368">
              <w:rPr>
                <w:sz w:val="18"/>
                <w:szCs w:val="18"/>
              </w:rPr>
              <w:t xml:space="preserve">(d) On the advice of the Coordination Committee, the General Assembly may terminate the appointment of the Director General if for reasons of health he or she is no longer able to perform his or her duties, if his performance or </w:t>
            </w:r>
            <w:proofErr w:type="gramStart"/>
            <w:r w:rsidRPr="00043368">
              <w:rPr>
                <w:sz w:val="18"/>
                <w:szCs w:val="18"/>
              </w:rPr>
              <w:t>conduct prove</w:t>
            </w:r>
            <w:proofErr w:type="gramEnd"/>
            <w:r w:rsidRPr="00043368">
              <w:rPr>
                <w:sz w:val="18"/>
                <w:szCs w:val="18"/>
              </w:rPr>
              <w:t xml:space="preserve"> unsatisfactory, or for such other reason as may be specified in his or her letter of appointment. </w:t>
            </w:r>
          </w:p>
          <w:p w14:paraId="5D02E298" w14:textId="77777777" w:rsidR="001C3AD2" w:rsidRDefault="001C3AD2" w:rsidP="00A96DE6">
            <w:pPr>
              <w:pStyle w:val="Default"/>
              <w:tabs>
                <w:tab w:val="left" w:pos="0"/>
              </w:tabs>
              <w:rPr>
                <w:sz w:val="18"/>
                <w:szCs w:val="18"/>
              </w:rPr>
            </w:pPr>
          </w:p>
          <w:p w14:paraId="52BBBB35" w14:textId="77777777" w:rsidR="001C3AD2" w:rsidRDefault="001C3AD2" w:rsidP="00A96DE6">
            <w:pPr>
              <w:pStyle w:val="Default"/>
              <w:tabs>
                <w:tab w:val="left" w:pos="0"/>
              </w:tabs>
              <w:rPr>
                <w:sz w:val="18"/>
                <w:szCs w:val="18"/>
              </w:rPr>
            </w:pPr>
          </w:p>
          <w:p w14:paraId="0709BFDE" w14:textId="77777777" w:rsidR="001C3AD2" w:rsidRDefault="001C3AD2" w:rsidP="00A96DE6">
            <w:pPr>
              <w:pStyle w:val="Default"/>
              <w:tabs>
                <w:tab w:val="left" w:pos="0"/>
              </w:tabs>
              <w:rPr>
                <w:sz w:val="18"/>
                <w:szCs w:val="18"/>
              </w:rPr>
            </w:pPr>
          </w:p>
          <w:p w14:paraId="4095A05E" w14:textId="77777777" w:rsidR="001C3AD2" w:rsidRDefault="001C3AD2" w:rsidP="00A96DE6">
            <w:pPr>
              <w:pStyle w:val="Default"/>
              <w:tabs>
                <w:tab w:val="left" w:pos="0"/>
              </w:tabs>
              <w:rPr>
                <w:sz w:val="18"/>
                <w:szCs w:val="18"/>
              </w:rPr>
            </w:pPr>
          </w:p>
          <w:p w14:paraId="21D68E2B" w14:textId="77777777" w:rsidR="00B57365" w:rsidRDefault="00B57365" w:rsidP="00A96DE6">
            <w:pPr>
              <w:pStyle w:val="Default"/>
              <w:tabs>
                <w:tab w:val="left" w:pos="0"/>
              </w:tabs>
              <w:rPr>
                <w:sz w:val="18"/>
                <w:szCs w:val="18"/>
              </w:rPr>
            </w:pPr>
          </w:p>
          <w:p w14:paraId="67F54CDD" w14:textId="77777777" w:rsidR="002A437E" w:rsidRPr="00043368" w:rsidRDefault="002A437E" w:rsidP="00A96DE6">
            <w:pPr>
              <w:tabs>
                <w:tab w:val="left" w:pos="0"/>
              </w:tabs>
              <w:rPr>
                <w:sz w:val="18"/>
                <w:szCs w:val="18"/>
              </w:rPr>
            </w:pPr>
          </w:p>
          <w:p w14:paraId="5532619A" w14:textId="77777777" w:rsidR="002A437E" w:rsidRPr="00043368" w:rsidRDefault="002A437E" w:rsidP="00A96DE6">
            <w:pPr>
              <w:tabs>
                <w:tab w:val="left" w:pos="0"/>
              </w:tabs>
              <w:rPr>
                <w:sz w:val="18"/>
                <w:szCs w:val="18"/>
              </w:rPr>
            </w:pPr>
          </w:p>
        </w:tc>
        <w:tc>
          <w:tcPr>
            <w:tcW w:w="2910" w:type="dxa"/>
          </w:tcPr>
          <w:p w14:paraId="423182B4" w14:textId="7ED03D35" w:rsidR="00C25BB6" w:rsidRDefault="00C25BB6" w:rsidP="00C25BB6">
            <w:pPr>
              <w:tabs>
                <w:tab w:val="left" w:pos="0"/>
              </w:tabs>
              <w:rPr>
                <w:b/>
                <w:sz w:val="18"/>
                <w:szCs w:val="18"/>
              </w:rPr>
            </w:pPr>
            <w:r>
              <w:rPr>
                <w:sz w:val="18"/>
                <w:szCs w:val="18"/>
              </w:rPr>
              <w:t xml:space="preserve">(3) if the staff member’s performance </w:t>
            </w:r>
            <w:r w:rsidRPr="00C25BB6">
              <w:rPr>
                <w:strike/>
                <w:sz w:val="18"/>
                <w:szCs w:val="18"/>
              </w:rPr>
              <w:t>or conduct</w:t>
            </w:r>
            <w:r>
              <w:rPr>
                <w:sz w:val="18"/>
                <w:szCs w:val="18"/>
              </w:rPr>
              <w:t xml:space="preserve"> prove</w:t>
            </w:r>
            <w:r w:rsidRPr="000A67B3">
              <w:rPr>
                <w:sz w:val="18"/>
                <w:szCs w:val="18"/>
              </w:rPr>
              <w:t>s</w:t>
            </w:r>
            <w:r w:rsidRPr="00C25BB6">
              <w:rPr>
                <w:b/>
                <w:sz w:val="18"/>
                <w:szCs w:val="18"/>
                <w:u w:val="single"/>
              </w:rPr>
              <w:t xml:space="preserve"> </w:t>
            </w:r>
            <w:r>
              <w:rPr>
                <w:sz w:val="18"/>
                <w:szCs w:val="18"/>
              </w:rPr>
              <w:t xml:space="preserve">unsatisfactory </w:t>
            </w:r>
            <w:r w:rsidRPr="00C25BB6">
              <w:rPr>
                <w:b/>
                <w:sz w:val="18"/>
                <w:szCs w:val="18"/>
                <w:u w:val="single"/>
              </w:rPr>
              <w:t>or</w:t>
            </w:r>
            <w:r w:rsidRPr="00C25BB6">
              <w:rPr>
                <w:sz w:val="18"/>
                <w:szCs w:val="18"/>
                <w:u w:val="single"/>
              </w:rPr>
              <w:t xml:space="preserve"> </w:t>
            </w:r>
            <w:r w:rsidRPr="00C25BB6">
              <w:rPr>
                <w:b/>
                <w:sz w:val="18"/>
                <w:szCs w:val="18"/>
                <w:u w:val="single"/>
              </w:rPr>
              <w:t>if the staff member has been found to have committed misconduct</w:t>
            </w:r>
            <w:r w:rsidRPr="009B73AF">
              <w:rPr>
                <w:b/>
                <w:sz w:val="18"/>
                <w:szCs w:val="18"/>
              </w:rPr>
              <w:t>;</w:t>
            </w:r>
          </w:p>
          <w:p w14:paraId="671CD211" w14:textId="77777777" w:rsidR="00C25BB6" w:rsidRDefault="00C25BB6" w:rsidP="00C25BB6">
            <w:pPr>
              <w:pStyle w:val="Default"/>
              <w:tabs>
                <w:tab w:val="left" w:pos="0"/>
              </w:tabs>
              <w:rPr>
                <w:sz w:val="18"/>
                <w:szCs w:val="18"/>
              </w:rPr>
            </w:pPr>
            <w:r w:rsidRPr="00043368">
              <w:rPr>
                <w:sz w:val="18"/>
                <w:szCs w:val="18"/>
              </w:rPr>
              <w:t xml:space="preserve"> </w:t>
            </w:r>
          </w:p>
          <w:p w14:paraId="08D72F95" w14:textId="065DBE50" w:rsidR="002A437E" w:rsidRPr="00043368" w:rsidRDefault="002A437E" w:rsidP="00C25BB6">
            <w:pPr>
              <w:pStyle w:val="Default"/>
              <w:tabs>
                <w:tab w:val="left" w:pos="0"/>
              </w:tabs>
              <w:rPr>
                <w:sz w:val="18"/>
                <w:szCs w:val="18"/>
              </w:rPr>
            </w:pPr>
            <w:r w:rsidRPr="00043368">
              <w:rPr>
                <w:sz w:val="18"/>
                <w:szCs w:val="18"/>
              </w:rPr>
              <w:t xml:space="preserve">(d) On the advice of the Coordination Committee, the General Assembly may terminate the appointment of the Director General if for reasons of health he or she is no longer able to perform his or her duties, if his </w:t>
            </w:r>
            <w:r w:rsidRPr="00043368">
              <w:rPr>
                <w:b/>
                <w:sz w:val="18"/>
                <w:szCs w:val="18"/>
                <w:u w:val="single"/>
              </w:rPr>
              <w:t>or her</w:t>
            </w:r>
            <w:r w:rsidRPr="00043368">
              <w:rPr>
                <w:sz w:val="18"/>
                <w:szCs w:val="18"/>
              </w:rPr>
              <w:t xml:space="preserve"> performance </w:t>
            </w:r>
            <w:r w:rsidRPr="00043368">
              <w:rPr>
                <w:strike/>
                <w:sz w:val="18"/>
                <w:szCs w:val="18"/>
              </w:rPr>
              <w:t>or conduct</w:t>
            </w:r>
            <w:r w:rsidRPr="00043368">
              <w:rPr>
                <w:sz w:val="18"/>
                <w:szCs w:val="18"/>
              </w:rPr>
              <w:t xml:space="preserve"> prove</w:t>
            </w:r>
            <w:r w:rsidRPr="00043368">
              <w:rPr>
                <w:b/>
                <w:sz w:val="18"/>
                <w:szCs w:val="18"/>
                <w:u w:val="single"/>
              </w:rPr>
              <w:t>s</w:t>
            </w:r>
            <w:r w:rsidRPr="00043368">
              <w:rPr>
                <w:sz w:val="18"/>
                <w:szCs w:val="18"/>
              </w:rPr>
              <w:t xml:space="preserve"> unsatisfactory, </w:t>
            </w:r>
            <w:r w:rsidRPr="00043368">
              <w:rPr>
                <w:b/>
                <w:sz w:val="18"/>
                <w:szCs w:val="18"/>
                <w:u w:val="single"/>
              </w:rPr>
              <w:t xml:space="preserve">if he or she has been found </w:t>
            </w:r>
            <w:r w:rsidR="002971AE">
              <w:rPr>
                <w:b/>
                <w:sz w:val="18"/>
                <w:szCs w:val="18"/>
                <w:u w:val="single"/>
              </w:rPr>
              <w:t xml:space="preserve">to have committed </w:t>
            </w:r>
            <w:r w:rsidRPr="00043368">
              <w:rPr>
                <w:b/>
                <w:sz w:val="18"/>
                <w:szCs w:val="18"/>
                <w:u w:val="single"/>
              </w:rPr>
              <w:t>misconduct</w:t>
            </w:r>
            <w:r w:rsidR="00C25BB6" w:rsidRPr="00C25BB6">
              <w:rPr>
                <w:b/>
                <w:sz w:val="18"/>
                <w:szCs w:val="18"/>
                <w:u w:val="single"/>
              </w:rPr>
              <w:t>,</w:t>
            </w:r>
            <w:r w:rsidRPr="00043368">
              <w:rPr>
                <w:sz w:val="18"/>
                <w:szCs w:val="18"/>
              </w:rPr>
              <w:t xml:space="preserve"> or for such other reason as may be specified in his or her letter of appointment. </w:t>
            </w:r>
          </w:p>
          <w:p w14:paraId="5685ABB4" w14:textId="77777777" w:rsidR="002A437E" w:rsidRDefault="002A437E" w:rsidP="00A96DE6">
            <w:pPr>
              <w:tabs>
                <w:tab w:val="left" w:pos="0"/>
              </w:tabs>
              <w:jc w:val="both"/>
              <w:rPr>
                <w:sz w:val="18"/>
                <w:szCs w:val="18"/>
              </w:rPr>
            </w:pPr>
          </w:p>
          <w:p w14:paraId="6118FD05" w14:textId="77777777" w:rsidR="001C3AD2" w:rsidRDefault="001C3AD2" w:rsidP="00A96DE6">
            <w:pPr>
              <w:tabs>
                <w:tab w:val="left" w:pos="0"/>
              </w:tabs>
              <w:jc w:val="both"/>
              <w:rPr>
                <w:sz w:val="18"/>
                <w:szCs w:val="18"/>
              </w:rPr>
            </w:pPr>
          </w:p>
          <w:p w14:paraId="42492A6A" w14:textId="74F36A2A" w:rsidR="00323A7E" w:rsidRPr="00043368" w:rsidRDefault="00323A7E" w:rsidP="00C25BB6">
            <w:pPr>
              <w:tabs>
                <w:tab w:val="left" w:pos="0"/>
              </w:tabs>
              <w:rPr>
                <w:sz w:val="18"/>
                <w:szCs w:val="18"/>
              </w:rPr>
            </w:pPr>
          </w:p>
        </w:tc>
        <w:tc>
          <w:tcPr>
            <w:tcW w:w="2375" w:type="dxa"/>
          </w:tcPr>
          <w:p w14:paraId="0BED02B2" w14:textId="691C4548" w:rsidR="002A437E" w:rsidRPr="00043368" w:rsidRDefault="00191F9D" w:rsidP="006A635B">
            <w:pPr>
              <w:tabs>
                <w:tab w:val="left" w:pos="0"/>
              </w:tabs>
              <w:rPr>
                <w:sz w:val="18"/>
                <w:szCs w:val="18"/>
              </w:rPr>
            </w:pPr>
            <w:r w:rsidRPr="00043368">
              <w:rPr>
                <w:sz w:val="18"/>
                <w:szCs w:val="18"/>
              </w:rPr>
              <w:t>This is i</w:t>
            </w:r>
            <w:r w:rsidR="002A437E" w:rsidRPr="00043368">
              <w:rPr>
                <w:sz w:val="18"/>
                <w:szCs w:val="18"/>
              </w:rPr>
              <w:t>ntended to make a clear distinction between termination for “unsatisfactory services” and termination for “disciplinary reasons”</w:t>
            </w:r>
            <w:r w:rsidR="001C3AD2">
              <w:rPr>
                <w:sz w:val="18"/>
                <w:szCs w:val="18"/>
              </w:rPr>
              <w:t xml:space="preserve"> and to ensure consistent use of terminology</w:t>
            </w:r>
            <w:r w:rsidR="002A437E" w:rsidRPr="00043368">
              <w:rPr>
                <w:sz w:val="18"/>
                <w:szCs w:val="18"/>
              </w:rPr>
              <w:t xml:space="preserve">. </w:t>
            </w:r>
          </w:p>
        </w:tc>
      </w:tr>
    </w:tbl>
    <w:p w14:paraId="084ED208" w14:textId="77777777" w:rsidR="002A437E" w:rsidRPr="00A96DE6" w:rsidRDefault="002A437E" w:rsidP="00A96DE6">
      <w:pPr>
        <w:pStyle w:val="ListParagraph"/>
        <w:tabs>
          <w:tab w:val="left" w:pos="0"/>
        </w:tabs>
        <w:ind w:hanging="720"/>
        <w:rPr>
          <w:i/>
          <w:szCs w:val="22"/>
        </w:rPr>
      </w:pPr>
    </w:p>
    <w:p w14:paraId="580B0A15" w14:textId="77777777" w:rsidR="00347D72" w:rsidRPr="00A96DE6" w:rsidRDefault="003647B0" w:rsidP="003C7A36">
      <w:pPr>
        <w:pStyle w:val="ONUME"/>
        <w:tabs>
          <w:tab w:val="clear" w:pos="567"/>
          <w:tab w:val="num" w:pos="0"/>
        </w:tabs>
        <w:rPr>
          <w:szCs w:val="22"/>
        </w:rPr>
      </w:pPr>
      <w:r w:rsidRPr="00A96DE6">
        <w:rPr>
          <w:szCs w:val="22"/>
        </w:rPr>
        <w:t xml:space="preserve">The </w:t>
      </w:r>
      <w:r w:rsidR="009D3497" w:rsidRPr="00A96DE6">
        <w:rPr>
          <w:szCs w:val="22"/>
        </w:rPr>
        <w:t>IAOC</w:t>
      </w:r>
      <w:r w:rsidRPr="00A96DE6">
        <w:rPr>
          <w:szCs w:val="22"/>
        </w:rPr>
        <w:t xml:space="preserve"> noted that in a </w:t>
      </w:r>
      <w:r w:rsidR="002A3F41" w:rsidRPr="00A96DE6">
        <w:rPr>
          <w:szCs w:val="22"/>
        </w:rPr>
        <w:t xml:space="preserve">limited </w:t>
      </w:r>
      <w:r w:rsidRPr="00A96DE6">
        <w:rPr>
          <w:szCs w:val="22"/>
        </w:rPr>
        <w:t>number of cases</w:t>
      </w:r>
      <w:r w:rsidR="002A3F41" w:rsidRPr="00A96DE6">
        <w:rPr>
          <w:szCs w:val="22"/>
        </w:rPr>
        <w:t>,</w:t>
      </w:r>
      <w:r w:rsidRPr="00A96DE6">
        <w:rPr>
          <w:szCs w:val="22"/>
        </w:rPr>
        <w:t xml:space="preserve"> disciplinary proceedings were instituted, and disciplinary measures </w:t>
      </w:r>
      <w:r w:rsidR="002A3F41" w:rsidRPr="00A96DE6">
        <w:rPr>
          <w:szCs w:val="22"/>
        </w:rPr>
        <w:t xml:space="preserve">were </w:t>
      </w:r>
      <w:r w:rsidRPr="00A96DE6">
        <w:rPr>
          <w:szCs w:val="22"/>
        </w:rPr>
        <w:t>applied, without a preceding investigation.</w:t>
      </w:r>
    </w:p>
    <w:p w14:paraId="5A6A136B" w14:textId="14CB1277" w:rsidR="00347D72" w:rsidRPr="00A96DE6" w:rsidRDefault="00347D72" w:rsidP="003C7A36">
      <w:pPr>
        <w:pStyle w:val="ONUME"/>
        <w:tabs>
          <w:tab w:val="clear" w:pos="567"/>
          <w:tab w:val="num" w:pos="0"/>
        </w:tabs>
        <w:rPr>
          <w:rStyle w:val="normalchar1"/>
          <w:rFonts w:ascii="Arial" w:hAnsi="Arial"/>
        </w:rPr>
      </w:pPr>
      <w:r w:rsidRPr="00A96DE6">
        <w:rPr>
          <w:rStyle w:val="normalchar1"/>
          <w:rFonts w:ascii="Arial" w:hAnsi="Arial"/>
        </w:rPr>
        <w:t xml:space="preserve">In that regard, Staff Rule 10.1.2(a) stipulates that </w:t>
      </w:r>
      <w:r w:rsidRPr="00A96DE6">
        <w:rPr>
          <w:rStyle w:val="normalchar1"/>
          <w:rFonts w:ascii="Arial" w:hAnsi="Arial"/>
          <w:i/>
        </w:rPr>
        <w:t xml:space="preserve">“…when the Director of HRMD decides to institute disciplinary proceedings, he or she shall send a letter to the staff member concerned (the ‘respondent’) setting out in detail the alleged misconduct, providing the evidentiary basis for the alleged misconduct, </w:t>
      </w:r>
      <w:r w:rsidRPr="00A96DE6">
        <w:rPr>
          <w:rStyle w:val="normalchar1"/>
          <w:rFonts w:ascii="Arial" w:hAnsi="Arial"/>
          <w:i/>
          <w:u w:val="single"/>
        </w:rPr>
        <w:t>including any investigation report</w:t>
      </w:r>
      <w:r w:rsidRPr="00A96DE6">
        <w:rPr>
          <w:rStyle w:val="normalchar1"/>
          <w:rFonts w:ascii="Arial" w:hAnsi="Arial"/>
          <w:i/>
        </w:rPr>
        <w:t>, and inviting him or her to submit a detailed response…”</w:t>
      </w:r>
    </w:p>
    <w:p w14:paraId="1F054847" w14:textId="3F28E9CE" w:rsidR="003647B0" w:rsidRPr="00A96DE6" w:rsidRDefault="00347D72" w:rsidP="003C7A36">
      <w:pPr>
        <w:pStyle w:val="ONUME"/>
        <w:tabs>
          <w:tab w:val="clear" w:pos="567"/>
          <w:tab w:val="num" w:pos="0"/>
        </w:tabs>
        <w:rPr>
          <w:rStyle w:val="normalchar1"/>
          <w:rFonts w:ascii="Arial" w:hAnsi="Arial"/>
        </w:rPr>
      </w:pPr>
      <w:r w:rsidRPr="00A96DE6">
        <w:rPr>
          <w:szCs w:val="22"/>
        </w:rPr>
        <w:t xml:space="preserve">The </w:t>
      </w:r>
      <w:r w:rsidR="00A35E55" w:rsidRPr="00EA35C0">
        <w:rPr>
          <w:rStyle w:val="normalchar1"/>
          <w:rFonts w:ascii="Arial" w:hAnsi="Arial"/>
        </w:rPr>
        <w:t xml:space="preserve">WIPO </w:t>
      </w:r>
      <w:r w:rsidRPr="00EA35C0">
        <w:rPr>
          <w:rStyle w:val="normalchar1"/>
          <w:rFonts w:ascii="Arial" w:hAnsi="Arial"/>
        </w:rPr>
        <w:t>Secretariat</w:t>
      </w:r>
      <w:r w:rsidRPr="00A96DE6">
        <w:rPr>
          <w:rStyle w:val="normalchar1"/>
          <w:rFonts w:ascii="Arial" w:hAnsi="Arial"/>
        </w:rPr>
        <w:t xml:space="preserve"> </w:t>
      </w:r>
      <w:r w:rsidR="003647B0" w:rsidRPr="00A96DE6">
        <w:rPr>
          <w:rStyle w:val="normalchar1"/>
          <w:rFonts w:ascii="Arial" w:hAnsi="Arial"/>
        </w:rPr>
        <w:t xml:space="preserve">holds the view that an investigation is not required </w:t>
      </w:r>
      <w:r w:rsidR="0078224A">
        <w:rPr>
          <w:rStyle w:val="normalchar1"/>
          <w:rFonts w:ascii="Arial" w:hAnsi="Arial"/>
        </w:rPr>
        <w:t>when</w:t>
      </w:r>
      <w:r w:rsidR="003647B0" w:rsidRPr="00A96DE6">
        <w:rPr>
          <w:rStyle w:val="normalchar1"/>
          <w:rFonts w:ascii="Arial" w:hAnsi="Arial"/>
        </w:rPr>
        <w:t xml:space="preserve"> the facts are </w:t>
      </w:r>
      <w:r w:rsidR="0078224A">
        <w:rPr>
          <w:rStyle w:val="normalchar1"/>
          <w:rFonts w:ascii="Arial" w:hAnsi="Arial"/>
        </w:rPr>
        <w:t>already established and not contested by the staff member,</w:t>
      </w:r>
      <w:r w:rsidR="00C25BB6">
        <w:rPr>
          <w:rStyle w:val="normalchar1"/>
          <w:rFonts w:ascii="Arial" w:hAnsi="Arial"/>
        </w:rPr>
        <w:t xml:space="preserve"> and</w:t>
      </w:r>
      <w:r w:rsidR="003647B0" w:rsidRPr="00A96DE6">
        <w:rPr>
          <w:rStyle w:val="normalchar1"/>
          <w:rFonts w:ascii="Arial" w:hAnsi="Arial"/>
        </w:rPr>
        <w:t xml:space="preserve"> that due process is ensured by giving the staff member concerned the opportunity to provide a response to the charge letter.  The </w:t>
      </w:r>
      <w:r w:rsidR="009D3497" w:rsidRPr="00A96DE6">
        <w:rPr>
          <w:rStyle w:val="normalchar1"/>
          <w:rFonts w:ascii="Arial" w:hAnsi="Arial"/>
        </w:rPr>
        <w:t>IAOC</w:t>
      </w:r>
      <w:r w:rsidR="003647B0" w:rsidRPr="00A96DE6">
        <w:rPr>
          <w:rStyle w:val="normalchar1"/>
          <w:rFonts w:ascii="Arial" w:hAnsi="Arial"/>
        </w:rPr>
        <w:t xml:space="preserve"> is convinced that the segregation between the investigative and the disciplinary function</w:t>
      </w:r>
      <w:r w:rsidR="00F3626A" w:rsidRPr="00A96DE6">
        <w:rPr>
          <w:rStyle w:val="normalchar1"/>
          <w:rFonts w:ascii="Arial" w:hAnsi="Arial"/>
        </w:rPr>
        <w:t>s</w:t>
      </w:r>
      <w:r w:rsidR="003647B0" w:rsidRPr="00A96DE6">
        <w:rPr>
          <w:rStyle w:val="normalchar1"/>
          <w:rFonts w:ascii="Arial" w:hAnsi="Arial"/>
        </w:rPr>
        <w:t xml:space="preserve"> is an import</w:t>
      </w:r>
      <w:r w:rsidRPr="00A96DE6">
        <w:rPr>
          <w:rStyle w:val="normalchar1"/>
          <w:rFonts w:ascii="Arial" w:hAnsi="Arial"/>
        </w:rPr>
        <w:t>ant</w:t>
      </w:r>
      <w:r w:rsidR="003647B0" w:rsidRPr="00A96DE6">
        <w:rPr>
          <w:rStyle w:val="normalchar1"/>
          <w:rFonts w:ascii="Arial" w:hAnsi="Arial"/>
        </w:rPr>
        <w:t xml:space="preserve"> element of due process and wishes to highlight that the </w:t>
      </w:r>
      <w:r w:rsidR="00E32B9A" w:rsidRPr="00A96DE6">
        <w:rPr>
          <w:rStyle w:val="normalchar1"/>
          <w:rFonts w:ascii="Arial" w:hAnsi="Arial"/>
        </w:rPr>
        <w:t xml:space="preserve">objective of an </w:t>
      </w:r>
      <w:r w:rsidR="003647B0" w:rsidRPr="00A96DE6">
        <w:rPr>
          <w:rStyle w:val="normalchar1"/>
          <w:rFonts w:ascii="Arial" w:hAnsi="Arial"/>
        </w:rPr>
        <w:t xml:space="preserve">investigation </w:t>
      </w:r>
      <w:r w:rsidR="00E32B9A" w:rsidRPr="00A96DE6">
        <w:rPr>
          <w:rStyle w:val="normalchar1"/>
          <w:rFonts w:ascii="Arial" w:hAnsi="Arial"/>
        </w:rPr>
        <w:t>is to establish the facts, by gathering and reviewing the evidence available,</w:t>
      </w:r>
      <w:r w:rsidR="003647B0" w:rsidRPr="00A96DE6">
        <w:rPr>
          <w:rStyle w:val="normalchar1"/>
          <w:rFonts w:ascii="Arial" w:hAnsi="Arial"/>
        </w:rPr>
        <w:t xml:space="preserve"> both inculpatory and exculpatory evidence.</w:t>
      </w:r>
    </w:p>
    <w:p w14:paraId="431F9E90" w14:textId="4D901E9F" w:rsidR="00F3389E" w:rsidRPr="00A96DE6" w:rsidRDefault="00F3389E" w:rsidP="003C7A36">
      <w:pPr>
        <w:pStyle w:val="ONUME"/>
        <w:tabs>
          <w:tab w:val="clear" w:pos="567"/>
          <w:tab w:val="num" w:pos="0"/>
        </w:tabs>
        <w:rPr>
          <w:rStyle w:val="normalchar1"/>
          <w:rFonts w:ascii="Arial" w:hAnsi="Arial"/>
        </w:rPr>
      </w:pPr>
      <w:r w:rsidRPr="00A96DE6">
        <w:rPr>
          <w:rStyle w:val="normalchar1"/>
          <w:rFonts w:ascii="Arial" w:hAnsi="Arial"/>
        </w:rPr>
        <w:t xml:space="preserve">The IAOC wishes to point out that the </w:t>
      </w:r>
      <w:r w:rsidR="000F2859">
        <w:rPr>
          <w:rStyle w:val="normalchar1"/>
          <w:rFonts w:ascii="Arial" w:hAnsi="Arial"/>
        </w:rPr>
        <w:t>UN</w:t>
      </w:r>
      <w:r w:rsidRPr="00A96DE6">
        <w:rPr>
          <w:rStyle w:val="normalchar1"/>
          <w:rFonts w:ascii="Arial" w:hAnsi="Arial"/>
        </w:rPr>
        <w:t xml:space="preserve"> Staff Rules are much clearer in that regard and consider an investigation as </w:t>
      </w:r>
      <w:r w:rsidR="00153DD0" w:rsidRPr="003C7A36">
        <w:rPr>
          <w:rStyle w:val="normalchar1"/>
          <w:rFonts w:ascii="Arial" w:hAnsi="Arial"/>
        </w:rPr>
        <w:t>a</w:t>
      </w:r>
      <w:r w:rsidR="00153DD0">
        <w:rPr>
          <w:rStyle w:val="normalchar1"/>
          <w:rFonts w:ascii="Arial" w:hAnsi="Arial"/>
        </w:rPr>
        <w:t xml:space="preserve"> </w:t>
      </w:r>
      <w:r w:rsidRPr="00A96DE6">
        <w:rPr>
          <w:rStyle w:val="normalchar1"/>
          <w:rFonts w:ascii="Arial" w:hAnsi="Arial"/>
        </w:rPr>
        <w:t xml:space="preserve">prerequisite for instituting disciplinary proceedings: </w:t>
      </w:r>
      <w:r w:rsidR="00CB20F2" w:rsidRPr="00A96DE6">
        <w:rPr>
          <w:rStyle w:val="normalchar1"/>
          <w:rFonts w:ascii="Arial" w:hAnsi="Arial"/>
        </w:rPr>
        <w:t xml:space="preserve"> </w:t>
      </w:r>
      <w:r w:rsidRPr="00A96DE6">
        <w:rPr>
          <w:rStyle w:val="normalchar1"/>
          <w:rFonts w:ascii="Arial" w:hAnsi="Arial"/>
          <w:i/>
        </w:rPr>
        <w:t xml:space="preserve">“The Secretary-General may initiate the disciplinary process </w:t>
      </w:r>
      <w:r w:rsidRPr="00A96DE6">
        <w:rPr>
          <w:rStyle w:val="normalchar1"/>
          <w:rFonts w:ascii="Arial" w:hAnsi="Arial"/>
          <w:i/>
          <w:u w:val="single"/>
        </w:rPr>
        <w:t>where the findings of an investigation indicate that misconduct may have occurred</w:t>
      </w:r>
      <w:r w:rsidRPr="00A96DE6">
        <w:rPr>
          <w:rStyle w:val="normalchar1"/>
          <w:rFonts w:ascii="Arial" w:hAnsi="Arial"/>
          <w:i/>
        </w:rPr>
        <w:t>.”</w:t>
      </w:r>
      <w:r w:rsidRPr="00A96DE6">
        <w:rPr>
          <w:rStyle w:val="normalchar1"/>
          <w:rFonts w:ascii="Arial" w:hAnsi="Arial"/>
        </w:rPr>
        <w:t xml:space="preserve"> (UN Staff Rule 10.3).</w:t>
      </w:r>
    </w:p>
    <w:p w14:paraId="641F5C59" w14:textId="2CF386DD" w:rsidR="003647B0" w:rsidRPr="00A96DE6" w:rsidRDefault="003647B0" w:rsidP="003C7A36">
      <w:pPr>
        <w:pStyle w:val="ONUME"/>
        <w:tabs>
          <w:tab w:val="clear" w:pos="567"/>
          <w:tab w:val="num" w:pos="0"/>
        </w:tabs>
        <w:rPr>
          <w:szCs w:val="22"/>
        </w:rPr>
      </w:pPr>
      <w:r w:rsidRPr="00A96DE6">
        <w:rPr>
          <w:szCs w:val="22"/>
        </w:rPr>
        <w:t xml:space="preserve">The </w:t>
      </w:r>
      <w:r w:rsidR="009D3497" w:rsidRPr="00A96DE6">
        <w:rPr>
          <w:szCs w:val="22"/>
        </w:rPr>
        <w:t>IAOC</w:t>
      </w:r>
      <w:r w:rsidRPr="00A96DE6">
        <w:rPr>
          <w:szCs w:val="22"/>
        </w:rPr>
        <w:t xml:space="preserve"> therefore </w:t>
      </w:r>
      <w:r w:rsidR="00F3389E" w:rsidRPr="00A96DE6">
        <w:rPr>
          <w:szCs w:val="22"/>
        </w:rPr>
        <w:t>believes that it is desirable to</w:t>
      </w:r>
      <w:r w:rsidRPr="00A96DE6">
        <w:rPr>
          <w:szCs w:val="22"/>
        </w:rPr>
        <w:t xml:space="preserve"> clarify this aspect in the </w:t>
      </w:r>
      <w:r w:rsidR="00F3389E" w:rsidRPr="00A96DE6">
        <w:rPr>
          <w:szCs w:val="22"/>
        </w:rPr>
        <w:t xml:space="preserve">WIPO </w:t>
      </w:r>
      <w:r w:rsidRPr="00A96DE6">
        <w:rPr>
          <w:szCs w:val="22"/>
        </w:rPr>
        <w:t>Staff Rules</w:t>
      </w:r>
      <w:r w:rsidR="00F3389E" w:rsidRPr="00A96DE6">
        <w:rPr>
          <w:szCs w:val="22"/>
        </w:rPr>
        <w:t>.</w:t>
      </w:r>
      <w:r w:rsidR="00CB20F2" w:rsidRPr="00A96DE6">
        <w:rPr>
          <w:szCs w:val="22"/>
        </w:rPr>
        <w:t xml:space="preserve"> </w:t>
      </w:r>
      <w:r w:rsidR="00F3389E" w:rsidRPr="00A96DE6">
        <w:rPr>
          <w:szCs w:val="22"/>
        </w:rPr>
        <w:t xml:space="preserve"> As according to Staff Regulation 12.2 any amendment </w:t>
      </w:r>
      <w:r w:rsidR="00347D72" w:rsidRPr="00A96DE6">
        <w:rPr>
          <w:szCs w:val="22"/>
        </w:rPr>
        <w:t>t</w:t>
      </w:r>
      <w:r w:rsidR="00F3389E" w:rsidRPr="00A96DE6">
        <w:rPr>
          <w:szCs w:val="22"/>
        </w:rPr>
        <w:t>o the Staff Rules is the prerogative of the Director General,</w:t>
      </w:r>
      <w:r w:rsidRPr="00A96DE6">
        <w:rPr>
          <w:szCs w:val="22"/>
        </w:rPr>
        <w:t xml:space="preserve"> </w:t>
      </w:r>
      <w:r w:rsidR="00F3389E" w:rsidRPr="00A96DE6">
        <w:rPr>
          <w:szCs w:val="22"/>
        </w:rPr>
        <w:t xml:space="preserve">the IAOC has recommended to the Director General to consider </w:t>
      </w:r>
      <w:r w:rsidRPr="00A96DE6">
        <w:rPr>
          <w:szCs w:val="22"/>
        </w:rPr>
        <w:t>amending Staff Rule 10.1.2</w:t>
      </w:r>
      <w:r w:rsidR="00347D72" w:rsidRPr="00A96DE6">
        <w:rPr>
          <w:szCs w:val="22"/>
        </w:rPr>
        <w:t xml:space="preserve">(a) </w:t>
      </w:r>
      <w:r w:rsidRPr="00A96DE6">
        <w:rPr>
          <w:szCs w:val="22"/>
        </w:rPr>
        <w:t>as follows:</w:t>
      </w:r>
      <w:r w:rsidR="00CB20F2" w:rsidRPr="00A96DE6">
        <w:rPr>
          <w:szCs w:val="22"/>
        </w:rPr>
        <w:t xml:space="preserve">  </w:t>
      </w:r>
    </w:p>
    <w:p w14:paraId="2226A40A" w14:textId="50DE883F" w:rsidR="003647B0" w:rsidRPr="00A96DE6" w:rsidRDefault="003647B0" w:rsidP="003C7A36">
      <w:pPr>
        <w:pStyle w:val="Normal1"/>
        <w:tabs>
          <w:tab w:val="left" w:pos="0"/>
          <w:tab w:val="left" w:pos="567"/>
        </w:tabs>
        <w:spacing w:after="220" w:line="240" w:lineRule="auto"/>
        <w:ind w:left="567"/>
        <w:rPr>
          <w:rStyle w:val="normalchar1"/>
          <w:rFonts w:ascii="Arial" w:eastAsia="SimSun" w:hAnsi="Arial" w:cs="Arial"/>
          <w:i/>
          <w:lang w:eastAsia="zh-CN"/>
        </w:rPr>
      </w:pPr>
      <w:r w:rsidRPr="00A96DE6">
        <w:rPr>
          <w:rStyle w:val="normalchar1"/>
          <w:rFonts w:ascii="Arial" w:eastAsia="SimSun" w:hAnsi="Arial" w:cs="Arial"/>
          <w:i/>
        </w:rPr>
        <w:t>“</w:t>
      </w:r>
      <w:r w:rsidR="00347D72" w:rsidRPr="00A96DE6">
        <w:rPr>
          <w:rStyle w:val="normalchar1"/>
          <w:rFonts w:ascii="Arial" w:eastAsia="SimSun" w:hAnsi="Arial" w:cs="Arial"/>
          <w:i/>
        </w:rPr>
        <w:t>… when the Director of HRMD decides to institute disciplinary proceedings, he or she</w:t>
      </w:r>
      <w:r w:rsidRPr="00A96DE6">
        <w:rPr>
          <w:rStyle w:val="normalchar1"/>
          <w:rFonts w:ascii="Arial" w:eastAsia="SimSun" w:hAnsi="Arial" w:cs="Arial"/>
          <w:i/>
        </w:rPr>
        <w:t xml:space="preserve"> shall send a letter to the staff member concerned setting out in detail the alleged misconduct, providing the evidentiary basis for the alleged misconduct, </w:t>
      </w:r>
      <w:r w:rsidRPr="00A96DE6">
        <w:rPr>
          <w:rStyle w:val="normalchar1"/>
          <w:rFonts w:ascii="Arial" w:eastAsia="SimSun" w:hAnsi="Arial" w:cs="Arial"/>
          <w:b/>
          <w:bCs/>
          <w:i/>
        </w:rPr>
        <w:t>including in particular the investigation report</w:t>
      </w:r>
      <w:r w:rsidRPr="00A96DE6">
        <w:rPr>
          <w:rStyle w:val="normalchar1"/>
          <w:rFonts w:ascii="Arial" w:eastAsia="SimSun" w:hAnsi="Arial" w:cs="Arial"/>
          <w:i/>
        </w:rPr>
        <w:t>, and inviting him or her to submit a detailed response within 30 calendar days from the date of receipt of the letter.”</w:t>
      </w:r>
    </w:p>
    <w:p w14:paraId="432715F1" w14:textId="31802B24" w:rsidR="003647B0" w:rsidRPr="00A96DE6" w:rsidRDefault="00347D72" w:rsidP="003C7A36">
      <w:pPr>
        <w:pStyle w:val="ONUME"/>
        <w:tabs>
          <w:tab w:val="clear" w:pos="567"/>
          <w:tab w:val="num" w:pos="0"/>
        </w:tabs>
        <w:rPr>
          <w:i/>
          <w:szCs w:val="22"/>
        </w:rPr>
      </w:pPr>
      <w:r w:rsidRPr="00A96DE6">
        <w:rPr>
          <w:szCs w:val="22"/>
        </w:rPr>
        <w:t>In</w:t>
      </w:r>
      <w:r w:rsidR="00534F36" w:rsidRPr="00A96DE6">
        <w:rPr>
          <w:szCs w:val="22"/>
        </w:rPr>
        <w:t xml:space="preserve"> paragraph 16 of</w:t>
      </w:r>
      <w:r w:rsidR="003647B0" w:rsidRPr="00A96DE6">
        <w:rPr>
          <w:szCs w:val="22"/>
        </w:rPr>
        <w:t xml:space="preserve"> its report WO/GA/48/16, the IAOC pointed out that Staff Regulation</w:t>
      </w:r>
      <w:r w:rsidR="000F2859">
        <w:rPr>
          <w:szCs w:val="22"/>
        </w:rPr>
        <w:t> </w:t>
      </w:r>
      <w:r w:rsidR="003647B0" w:rsidRPr="00A96DE6">
        <w:rPr>
          <w:szCs w:val="22"/>
        </w:rPr>
        <w:t>1.7</w:t>
      </w:r>
      <w:r w:rsidR="00534F36" w:rsidRPr="00A96DE6">
        <w:rPr>
          <w:szCs w:val="22"/>
        </w:rPr>
        <w:t>(c)</w:t>
      </w:r>
      <w:r w:rsidR="003647B0" w:rsidRPr="00A96DE6">
        <w:rPr>
          <w:szCs w:val="22"/>
        </w:rPr>
        <w:t xml:space="preserve"> lists the Director of the Internal Oversight Division </w:t>
      </w:r>
      <w:r w:rsidR="00000F5F" w:rsidRPr="00A96DE6">
        <w:rPr>
          <w:szCs w:val="22"/>
        </w:rPr>
        <w:t xml:space="preserve">(IOD) </w:t>
      </w:r>
      <w:r w:rsidR="003647B0" w:rsidRPr="00A96DE6">
        <w:rPr>
          <w:szCs w:val="22"/>
        </w:rPr>
        <w:t>only as one of many channels for reporting allegations of wrongdoing (“</w:t>
      </w:r>
      <w:r w:rsidR="003647B0" w:rsidRPr="00A96DE6">
        <w:rPr>
          <w:i/>
          <w:szCs w:val="22"/>
        </w:rPr>
        <w:t xml:space="preserve">a hierarchical supervisor, the Office of the Director General, the Director of the Internal Oversight Division or the </w:t>
      </w:r>
      <w:r w:rsidR="00CB20F2" w:rsidRPr="00A96DE6">
        <w:rPr>
          <w:i/>
          <w:szCs w:val="22"/>
        </w:rPr>
        <w:t>C</w:t>
      </w:r>
      <w:r w:rsidR="003647B0" w:rsidRPr="00A96DE6">
        <w:rPr>
          <w:i/>
          <w:szCs w:val="22"/>
        </w:rPr>
        <w:t>hair of the Coordination Committee”).</w:t>
      </w:r>
      <w:r w:rsidR="00CB20F2" w:rsidRPr="00A96DE6">
        <w:rPr>
          <w:i/>
          <w:szCs w:val="22"/>
        </w:rPr>
        <w:t xml:space="preserve"> </w:t>
      </w:r>
      <w:r w:rsidR="003647B0" w:rsidRPr="00A96DE6">
        <w:rPr>
          <w:i/>
          <w:szCs w:val="22"/>
        </w:rPr>
        <w:t xml:space="preserve"> </w:t>
      </w:r>
      <w:r w:rsidR="003647B0" w:rsidRPr="00A96DE6">
        <w:rPr>
          <w:szCs w:val="22"/>
        </w:rPr>
        <w:t xml:space="preserve">In line with best practices in </w:t>
      </w:r>
      <w:r w:rsidR="00376BEC" w:rsidRPr="00A96DE6">
        <w:rPr>
          <w:szCs w:val="22"/>
        </w:rPr>
        <w:t>other i</w:t>
      </w:r>
      <w:r w:rsidR="003647B0" w:rsidRPr="00A96DE6">
        <w:rPr>
          <w:szCs w:val="22"/>
        </w:rPr>
        <w:t xml:space="preserve">nternational </w:t>
      </w:r>
      <w:r w:rsidR="00376BEC" w:rsidRPr="00A96DE6">
        <w:rPr>
          <w:szCs w:val="22"/>
        </w:rPr>
        <w:t>o</w:t>
      </w:r>
      <w:r w:rsidR="003647B0" w:rsidRPr="00A96DE6">
        <w:rPr>
          <w:szCs w:val="22"/>
        </w:rPr>
        <w:t>rganizations</w:t>
      </w:r>
      <w:r w:rsidR="00376BEC" w:rsidRPr="00A96DE6">
        <w:rPr>
          <w:szCs w:val="22"/>
        </w:rPr>
        <w:t xml:space="preserve"> forming part of the </w:t>
      </w:r>
      <w:r w:rsidR="000F2859">
        <w:rPr>
          <w:szCs w:val="22"/>
        </w:rPr>
        <w:t>UN</w:t>
      </w:r>
      <w:r w:rsidR="00376BEC" w:rsidRPr="00A96DE6">
        <w:rPr>
          <w:szCs w:val="22"/>
        </w:rPr>
        <w:t xml:space="preserve"> common system</w:t>
      </w:r>
      <w:r w:rsidR="003647B0" w:rsidRPr="00A96DE6">
        <w:rPr>
          <w:szCs w:val="22"/>
        </w:rPr>
        <w:t xml:space="preserve">, the </w:t>
      </w:r>
      <w:r w:rsidR="009D3497" w:rsidRPr="00A96DE6">
        <w:rPr>
          <w:szCs w:val="22"/>
        </w:rPr>
        <w:t>IAOC</w:t>
      </w:r>
      <w:r w:rsidR="003647B0" w:rsidRPr="00A96DE6">
        <w:rPr>
          <w:szCs w:val="22"/>
        </w:rPr>
        <w:t xml:space="preserve"> recommended that the Director, IOD should be designated as the primary and preferred channel of reporting alleged wrongdoing. </w:t>
      </w:r>
      <w:r w:rsidR="00CB20F2" w:rsidRPr="00A96DE6">
        <w:rPr>
          <w:szCs w:val="22"/>
        </w:rPr>
        <w:t xml:space="preserve"> </w:t>
      </w:r>
      <w:r w:rsidR="003647B0" w:rsidRPr="00A96DE6">
        <w:rPr>
          <w:szCs w:val="22"/>
        </w:rPr>
        <w:t xml:space="preserve">This would ensure the timely receipt of all complaints by </w:t>
      </w:r>
      <w:r w:rsidR="00534F36" w:rsidRPr="00A96DE6">
        <w:rPr>
          <w:szCs w:val="22"/>
        </w:rPr>
        <w:t>him or her,</w:t>
      </w:r>
      <w:r w:rsidR="003647B0" w:rsidRPr="00A96DE6">
        <w:rPr>
          <w:szCs w:val="22"/>
        </w:rPr>
        <w:t xml:space="preserve"> </w:t>
      </w:r>
      <w:r w:rsidR="00534F36" w:rsidRPr="00A96DE6">
        <w:rPr>
          <w:szCs w:val="22"/>
        </w:rPr>
        <w:t>having</w:t>
      </w:r>
      <w:r w:rsidR="003647B0" w:rsidRPr="00A96DE6">
        <w:rPr>
          <w:szCs w:val="22"/>
        </w:rPr>
        <w:t xml:space="preserve"> been entrusted with WIPO’s investigation function and mandated, by the Internal Oversight Charter, </w:t>
      </w:r>
      <w:r w:rsidR="00534F36" w:rsidRPr="00A96DE6">
        <w:rPr>
          <w:szCs w:val="22"/>
        </w:rPr>
        <w:t xml:space="preserve">to </w:t>
      </w:r>
      <w:r w:rsidR="003647B0" w:rsidRPr="00A96DE6">
        <w:rPr>
          <w:szCs w:val="22"/>
        </w:rPr>
        <w:t>“</w:t>
      </w:r>
      <w:r w:rsidR="003647B0" w:rsidRPr="00A96DE6">
        <w:rPr>
          <w:i/>
          <w:szCs w:val="22"/>
        </w:rPr>
        <w:t>maintain facilities for the submission of complaints … concerning alleged misconduct, wrongdoing or irregularities”.</w:t>
      </w:r>
    </w:p>
    <w:p w14:paraId="7E27D85C" w14:textId="1D03C0B3" w:rsidR="003647B0" w:rsidRPr="00A96DE6" w:rsidRDefault="003647B0" w:rsidP="003C7A36">
      <w:pPr>
        <w:pStyle w:val="ONUME"/>
        <w:tabs>
          <w:tab w:val="clear" w:pos="567"/>
          <w:tab w:val="num" w:pos="0"/>
        </w:tabs>
        <w:rPr>
          <w:szCs w:val="22"/>
        </w:rPr>
      </w:pPr>
      <w:r w:rsidRPr="00A96DE6">
        <w:rPr>
          <w:szCs w:val="22"/>
        </w:rPr>
        <w:t>The IAOC therefore recommends amending Staff Regulation 1.7(b) and (c) as follows:</w:t>
      </w:r>
      <w:r w:rsidR="00CB20F2" w:rsidRPr="00A96DE6">
        <w:rPr>
          <w:szCs w:val="22"/>
        </w:rPr>
        <w:t xml:space="preserve">  </w:t>
      </w:r>
    </w:p>
    <w:tbl>
      <w:tblPr>
        <w:tblStyle w:val="TableGrid"/>
        <w:tblW w:w="0" w:type="auto"/>
        <w:tblInd w:w="108" w:type="dxa"/>
        <w:tblLook w:val="04A0" w:firstRow="1" w:lastRow="0" w:firstColumn="1" w:lastColumn="0" w:noHBand="0" w:noVBand="1"/>
      </w:tblPr>
      <w:tblGrid>
        <w:gridCol w:w="1268"/>
        <w:gridCol w:w="2910"/>
        <w:gridCol w:w="2910"/>
        <w:gridCol w:w="2375"/>
      </w:tblGrid>
      <w:tr w:rsidR="00A71B04" w:rsidRPr="00043368" w14:paraId="7FA2A63D" w14:textId="77777777" w:rsidTr="000D11D1">
        <w:tc>
          <w:tcPr>
            <w:tcW w:w="1268" w:type="dxa"/>
            <w:shd w:val="clear" w:color="auto" w:fill="FBD4B4" w:themeFill="accent6" w:themeFillTint="66"/>
          </w:tcPr>
          <w:p w14:paraId="5EBF6E79" w14:textId="77777777" w:rsidR="00A71B04" w:rsidRPr="00043368" w:rsidRDefault="00A71B04" w:rsidP="00A96DE6">
            <w:pPr>
              <w:tabs>
                <w:tab w:val="left" w:pos="0"/>
              </w:tabs>
              <w:jc w:val="center"/>
              <w:rPr>
                <w:b/>
                <w:sz w:val="18"/>
                <w:szCs w:val="18"/>
              </w:rPr>
            </w:pPr>
            <w:r w:rsidRPr="00043368">
              <w:rPr>
                <w:b/>
                <w:sz w:val="18"/>
                <w:szCs w:val="18"/>
              </w:rPr>
              <w:t>Provision</w:t>
            </w:r>
          </w:p>
        </w:tc>
        <w:tc>
          <w:tcPr>
            <w:tcW w:w="2910" w:type="dxa"/>
            <w:shd w:val="clear" w:color="auto" w:fill="FBD4B4" w:themeFill="accent6" w:themeFillTint="66"/>
          </w:tcPr>
          <w:p w14:paraId="70FE1010" w14:textId="77777777" w:rsidR="00A71B04" w:rsidRPr="00043368" w:rsidRDefault="00A71B04" w:rsidP="00A96DE6">
            <w:pPr>
              <w:tabs>
                <w:tab w:val="left" w:pos="0"/>
              </w:tabs>
              <w:jc w:val="center"/>
              <w:rPr>
                <w:b/>
                <w:sz w:val="18"/>
                <w:szCs w:val="18"/>
              </w:rPr>
            </w:pPr>
            <w:r w:rsidRPr="00043368">
              <w:rPr>
                <w:b/>
                <w:sz w:val="18"/>
                <w:szCs w:val="18"/>
              </w:rPr>
              <w:t>Current Text</w:t>
            </w:r>
          </w:p>
        </w:tc>
        <w:tc>
          <w:tcPr>
            <w:tcW w:w="2910" w:type="dxa"/>
            <w:shd w:val="clear" w:color="auto" w:fill="FBD4B4" w:themeFill="accent6" w:themeFillTint="66"/>
          </w:tcPr>
          <w:p w14:paraId="5DBB3C88" w14:textId="77777777" w:rsidR="00A71B04" w:rsidRPr="00043368" w:rsidRDefault="00A71B04" w:rsidP="00A96DE6">
            <w:pPr>
              <w:tabs>
                <w:tab w:val="left" w:pos="0"/>
              </w:tabs>
              <w:jc w:val="center"/>
              <w:rPr>
                <w:b/>
                <w:sz w:val="18"/>
                <w:szCs w:val="18"/>
              </w:rPr>
            </w:pPr>
            <w:r w:rsidRPr="00043368">
              <w:rPr>
                <w:b/>
                <w:sz w:val="18"/>
                <w:szCs w:val="18"/>
              </w:rPr>
              <w:t>Proposed New Text</w:t>
            </w:r>
          </w:p>
        </w:tc>
        <w:tc>
          <w:tcPr>
            <w:tcW w:w="2375" w:type="dxa"/>
            <w:shd w:val="clear" w:color="auto" w:fill="FBD4B4" w:themeFill="accent6" w:themeFillTint="66"/>
          </w:tcPr>
          <w:p w14:paraId="730E1E05" w14:textId="77777777" w:rsidR="00A71B04" w:rsidRPr="00043368" w:rsidRDefault="00A71B04" w:rsidP="00A96DE6">
            <w:pPr>
              <w:tabs>
                <w:tab w:val="left" w:pos="0"/>
              </w:tabs>
              <w:jc w:val="center"/>
              <w:rPr>
                <w:b/>
                <w:sz w:val="18"/>
                <w:szCs w:val="18"/>
              </w:rPr>
            </w:pPr>
            <w:r w:rsidRPr="00043368">
              <w:rPr>
                <w:b/>
                <w:sz w:val="18"/>
                <w:szCs w:val="18"/>
              </w:rPr>
              <w:t xml:space="preserve">Purpose/Description </w:t>
            </w:r>
            <w:r w:rsidRPr="00043368">
              <w:rPr>
                <w:b/>
                <w:sz w:val="18"/>
                <w:szCs w:val="18"/>
              </w:rPr>
              <w:br/>
              <w:t>of amendment</w:t>
            </w:r>
          </w:p>
        </w:tc>
      </w:tr>
      <w:tr w:rsidR="00631D94" w:rsidRPr="00043368" w14:paraId="18E8BB9A" w14:textId="77777777" w:rsidTr="000D11D1">
        <w:tc>
          <w:tcPr>
            <w:tcW w:w="1268" w:type="dxa"/>
          </w:tcPr>
          <w:p w14:paraId="1DD07F41" w14:textId="22C3F807" w:rsidR="00A71B04" w:rsidRPr="00043368" w:rsidRDefault="00A71B04" w:rsidP="00DB04C0">
            <w:pPr>
              <w:tabs>
                <w:tab w:val="left" w:pos="0"/>
              </w:tabs>
              <w:rPr>
                <w:sz w:val="18"/>
                <w:szCs w:val="18"/>
              </w:rPr>
            </w:pPr>
            <w:r w:rsidRPr="00043368">
              <w:rPr>
                <w:sz w:val="18"/>
                <w:szCs w:val="18"/>
              </w:rPr>
              <w:t>Staff Regulation 1.7(b)</w:t>
            </w:r>
          </w:p>
        </w:tc>
        <w:tc>
          <w:tcPr>
            <w:tcW w:w="2910" w:type="dxa"/>
          </w:tcPr>
          <w:p w14:paraId="403C7A06" w14:textId="4ACE2951" w:rsidR="00631D94" w:rsidRPr="00043368" w:rsidRDefault="00631D94" w:rsidP="00A96DE6">
            <w:pPr>
              <w:pStyle w:val="Default"/>
              <w:tabs>
                <w:tab w:val="left" w:pos="0"/>
              </w:tabs>
              <w:rPr>
                <w:sz w:val="18"/>
                <w:szCs w:val="18"/>
              </w:rPr>
            </w:pPr>
            <w:r w:rsidRPr="00043368">
              <w:rPr>
                <w:sz w:val="18"/>
                <w:szCs w:val="18"/>
              </w:rPr>
              <w:t xml:space="preserve">(b) A staff member who in good faith reports information concerning the possible existence of wrongdoing in the International Bureau regarding administrative, personnel and other similar matters shall be able to do so anonymously. </w:t>
            </w:r>
            <w:r w:rsidR="00B4451B" w:rsidRPr="00043368">
              <w:rPr>
                <w:sz w:val="18"/>
                <w:szCs w:val="18"/>
              </w:rPr>
              <w:t xml:space="preserve"> </w:t>
            </w:r>
            <w:r w:rsidRPr="00043368">
              <w:rPr>
                <w:sz w:val="18"/>
                <w:szCs w:val="18"/>
              </w:rPr>
              <w:t xml:space="preserve">The International Bureau shall enact provisions for </w:t>
            </w:r>
          </w:p>
          <w:p w14:paraId="6B2217F0" w14:textId="77777777" w:rsidR="00631D94" w:rsidRPr="00043368" w:rsidRDefault="00631D94" w:rsidP="00A96DE6">
            <w:pPr>
              <w:pStyle w:val="Default"/>
              <w:tabs>
                <w:tab w:val="left" w:pos="0"/>
              </w:tabs>
              <w:rPr>
                <w:sz w:val="18"/>
                <w:szCs w:val="18"/>
              </w:rPr>
            </w:pPr>
            <w:r w:rsidRPr="00043368">
              <w:rPr>
                <w:sz w:val="18"/>
                <w:szCs w:val="18"/>
              </w:rPr>
              <w:t xml:space="preserve">protection from retaliatory action such as by way of adverse administrative decision or verbal harassment. </w:t>
            </w:r>
          </w:p>
          <w:p w14:paraId="08CB6C30" w14:textId="77777777" w:rsidR="00A71B04" w:rsidRPr="00043368" w:rsidRDefault="00A71B04" w:rsidP="00A96DE6">
            <w:pPr>
              <w:tabs>
                <w:tab w:val="left" w:pos="0"/>
              </w:tabs>
              <w:rPr>
                <w:sz w:val="18"/>
                <w:szCs w:val="18"/>
              </w:rPr>
            </w:pPr>
          </w:p>
          <w:p w14:paraId="7F021B4A" w14:textId="77777777" w:rsidR="00A71B04" w:rsidRPr="00043368" w:rsidRDefault="00A71B04" w:rsidP="00A96DE6">
            <w:pPr>
              <w:tabs>
                <w:tab w:val="left" w:pos="0"/>
              </w:tabs>
              <w:rPr>
                <w:sz w:val="18"/>
                <w:szCs w:val="18"/>
              </w:rPr>
            </w:pPr>
          </w:p>
        </w:tc>
        <w:tc>
          <w:tcPr>
            <w:tcW w:w="2910" w:type="dxa"/>
          </w:tcPr>
          <w:p w14:paraId="79BF0166" w14:textId="3A6226A1" w:rsidR="00B4451B" w:rsidRPr="00043368" w:rsidRDefault="00B4451B" w:rsidP="00A96DE6">
            <w:pPr>
              <w:pStyle w:val="Default"/>
              <w:tabs>
                <w:tab w:val="left" w:pos="0"/>
              </w:tabs>
              <w:rPr>
                <w:sz w:val="18"/>
                <w:szCs w:val="18"/>
              </w:rPr>
            </w:pPr>
            <w:r w:rsidRPr="00043368">
              <w:rPr>
                <w:sz w:val="18"/>
                <w:szCs w:val="18"/>
              </w:rPr>
              <w:t xml:space="preserve">(b) </w:t>
            </w:r>
            <w:r w:rsidRPr="00043368">
              <w:rPr>
                <w:strike/>
                <w:sz w:val="18"/>
                <w:szCs w:val="18"/>
              </w:rPr>
              <w:t>A staff member who in good faith reports information concerning the possible existence of wrongdoing in the International Bureau regarding administrative, personnel and other similar matters shall be able to do so anonymously</w:t>
            </w:r>
            <w:r w:rsidRPr="00043368">
              <w:rPr>
                <w:sz w:val="18"/>
                <w:szCs w:val="18"/>
              </w:rPr>
              <w:t xml:space="preserve">.  </w:t>
            </w:r>
            <w:r w:rsidR="00A55521" w:rsidRPr="00043368">
              <w:rPr>
                <w:b/>
                <w:sz w:val="18"/>
                <w:szCs w:val="18"/>
              </w:rPr>
              <w:t>Staff members have the duty to report suspected wrongdoing in WIPO and to cooperate with any duly authorized investigation.</w:t>
            </w:r>
            <w:r w:rsidRPr="00043368">
              <w:rPr>
                <w:b/>
                <w:i/>
                <w:sz w:val="18"/>
                <w:szCs w:val="18"/>
              </w:rPr>
              <w:t xml:space="preserve">  </w:t>
            </w:r>
            <w:r w:rsidRPr="00043368">
              <w:rPr>
                <w:sz w:val="18"/>
                <w:szCs w:val="18"/>
              </w:rPr>
              <w:t xml:space="preserve">The International Bureau shall enact provisions for </w:t>
            </w:r>
          </w:p>
          <w:p w14:paraId="2FA5A848" w14:textId="730B9B65" w:rsidR="00B4451B" w:rsidRPr="00043368" w:rsidRDefault="00B4451B" w:rsidP="00A96DE6">
            <w:pPr>
              <w:pStyle w:val="Default"/>
              <w:tabs>
                <w:tab w:val="left" w:pos="0"/>
              </w:tabs>
              <w:rPr>
                <w:sz w:val="18"/>
                <w:szCs w:val="18"/>
              </w:rPr>
            </w:pPr>
            <w:r w:rsidRPr="00043368">
              <w:rPr>
                <w:sz w:val="18"/>
                <w:szCs w:val="18"/>
              </w:rPr>
              <w:t xml:space="preserve">protection from </w:t>
            </w:r>
            <w:r w:rsidRPr="00043368">
              <w:rPr>
                <w:strike/>
                <w:sz w:val="18"/>
                <w:szCs w:val="18"/>
              </w:rPr>
              <w:t>retaliatory action such as by way of adverse administrative decision or verbal harassment</w:t>
            </w:r>
            <w:r w:rsidR="00A55521">
              <w:rPr>
                <w:strike/>
                <w:sz w:val="18"/>
                <w:szCs w:val="18"/>
              </w:rPr>
              <w:t xml:space="preserve"> </w:t>
            </w:r>
            <w:r w:rsidR="00A55521" w:rsidRPr="00043368">
              <w:rPr>
                <w:b/>
                <w:sz w:val="18"/>
                <w:szCs w:val="18"/>
              </w:rPr>
              <w:t>retaliation for complying with such duties</w:t>
            </w:r>
            <w:r w:rsidRPr="00043368">
              <w:rPr>
                <w:sz w:val="18"/>
                <w:szCs w:val="18"/>
              </w:rPr>
              <w:t xml:space="preserve">. </w:t>
            </w:r>
          </w:p>
          <w:p w14:paraId="1C7410D6" w14:textId="2CFA85F7" w:rsidR="00A71B04" w:rsidRPr="00043368" w:rsidRDefault="00A71B04" w:rsidP="00A96DE6">
            <w:pPr>
              <w:pStyle w:val="Default"/>
              <w:tabs>
                <w:tab w:val="left" w:pos="0"/>
              </w:tabs>
              <w:rPr>
                <w:sz w:val="18"/>
                <w:szCs w:val="18"/>
              </w:rPr>
            </w:pPr>
          </w:p>
        </w:tc>
        <w:tc>
          <w:tcPr>
            <w:tcW w:w="2375" w:type="dxa"/>
          </w:tcPr>
          <w:p w14:paraId="2BB6A51B" w14:textId="4A34FA82" w:rsidR="00A71B04" w:rsidRPr="00043368" w:rsidRDefault="006A635B" w:rsidP="006A635B">
            <w:pPr>
              <w:tabs>
                <w:tab w:val="left" w:pos="0"/>
              </w:tabs>
              <w:rPr>
                <w:sz w:val="18"/>
                <w:szCs w:val="18"/>
              </w:rPr>
            </w:pPr>
            <w:r>
              <w:rPr>
                <w:sz w:val="18"/>
                <w:szCs w:val="18"/>
              </w:rPr>
              <w:t>Amendment is proposed to clearly establish duty to report wrongdoing, in line with</w:t>
            </w:r>
            <w:r w:rsidR="00B4451B" w:rsidRPr="00043368">
              <w:rPr>
                <w:sz w:val="18"/>
                <w:szCs w:val="18"/>
              </w:rPr>
              <w:t xml:space="preserve"> best practice </w:t>
            </w:r>
            <w:r w:rsidR="005E6A3B" w:rsidRPr="00043368">
              <w:rPr>
                <w:sz w:val="18"/>
                <w:szCs w:val="18"/>
              </w:rPr>
              <w:t>in the</w:t>
            </w:r>
            <w:r w:rsidR="00B4451B" w:rsidRPr="00043368">
              <w:rPr>
                <w:sz w:val="18"/>
                <w:szCs w:val="18"/>
              </w:rPr>
              <w:t xml:space="preserve"> United Nations system</w:t>
            </w:r>
            <w:r w:rsidR="00043368">
              <w:rPr>
                <w:sz w:val="18"/>
                <w:szCs w:val="18"/>
              </w:rPr>
              <w:t>.</w:t>
            </w:r>
          </w:p>
        </w:tc>
      </w:tr>
      <w:tr w:rsidR="00631D94" w:rsidRPr="00043368" w14:paraId="28B36702" w14:textId="77777777" w:rsidTr="000D11D1">
        <w:tc>
          <w:tcPr>
            <w:tcW w:w="1268" w:type="dxa"/>
          </w:tcPr>
          <w:p w14:paraId="12DEADA0" w14:textId="530EFA1C" w:rsidR="00631D94" w:rsidRPr="00043368" w:rsidRDefault="00A96DE6" w:rsidP="00DB04C0">
            <w:pPr>
              <w:tabs>
                <w:tab w:val="left" w:pos="0"/>
                <w:tab w:val="left" w:pos="567"/>
              </w:tabs>
              <w:rPr>
                <w:sz w:val="18"/>
                <w:szCs w:val="18"/>
              </w:rPr>
            </w:pPr>
            <w:r w:rsidRPr="00043368">
              <w:rPr>
                <w:sz w:val="18"/>
                <w:szCs w:val="18"/>
              </w:rPr>
              <w:t>Staff Regulation 1.7(c)</w:t>
            </w:r>
          </w:p>
        </w:tc>
        <w:tc>
          <w:tcPr>
            <w:tcW w:w="2910" w:type="dxa"/>
          </w:tcPr>
          <w:p w14:paraId="332A47E5" w14:textId="77777777" w:rsidR="00631D94" w:rsidRPr="00043368" w:rsidRDefault="00631D94" w:rsidP="00A96DE6">
            <w:pPr>
              <w:pStyle w:val="Default"/>
              <w:tabs>
                <w:tab w:val="left" w:pos="0"/>
              </w:tabs>
              <w:rPr>
                <w:sz w:val="18"/>
                <w:szCs w:val="18"/>
              </w:rPr>
            </w:pPr>
            <w:r w:rsidRPr="00043368">
              <w:rPr>
                <w:sz w:val="18"/>
                <w:szCs w:val="18"/>
              </w:rPr>
              <w:t xml:space="preserve">(c) Such a report shall be made through any of the following established channels: to a hierarchical supervisor, the Office of the Director General, the Director of the Internal Oversight Division or the chair of the Coordination Committee, who shall preserve the anonymity of the reporting staff member. Provisions for the reporting of wrongdoing shall be enacted by the International Bureau. </w:t>
            </w:r>
          </w:p>
          <w:p w14:paraId="03B79C2F" w14:textId="77777777" w:rsidR="00631D94" w:rsidRPr="00043368" w:rsidRDefault="00631D94" w:rsidP="00A96DE6">
            <w:pPr>
              <w:tabs>
                <w:tab w:val="left" w:pos="0"/>
                <w:tab w:val="left" w:pos="567"/>
              </w:tabs>
              <w:rPr>
                <w:b/>
                <w:sz w:val="18"/>
                <w:szCs w:val="18"/>
                <w:u w:val="single"/>
              </w:rPr>
            </w:pPr>
          </w:p>
        </w:tc>
        <w:tc>
          <w:tcPr>
            <w:tcW w:w="2910" w:type="dxa"/>
          </w:tcPr>
          <w:p w14:paraId="01FB25A0" w14:textId="3FD0370E" w:rsidR="00631D94" w:rsidRPr="00043368" w:rsidRDefault="00631D94" w:rsidP="00A96DE6">
            <w:pPr>
              <w:tabs>
                <w:tab w:val="left" w:pos="0"/>
                <w:tab w:val="left" w:pos="567"/>
              </w:tabs>
              <w:rPr>
                <w:b/>
                <w:sz w:val="18"/>
                <w:szCs w:val="18"/>
                <w:u w:val="single"/>
              </w:rPr>
            </w:pPr>
            <w:r w:rsidRPr="00043368">
              <w:rPr>
                <w:sz w:val="18"/>
                <w:szCs w:val="18"/>
              </w:rPr>
              <w:t xml:space="preserve">(c) </w:t>
            </w:r>
            <w:r w:rsidR="00B4451B" w:rsidRPr="00043368">
              <w:rPr>
                <w:strike/>
                <w:sz w:val="18"/>
                <w:szCs w:val="18"/>
              </w:rPr>
              <w:t>Such a report shall be made through any of the following established channels: to a hierarchical supervisor, the Office of the Director General, the Director of the Internal Oversight Division or the chair of the Coordination Committee, who shall preserve the anonymity of the reporting staff member. Provisions for the reporting of wrongdoing shall be enacted by the International Bureau.</w:t>
            </w:r>
            <w:r w:rsidR="00B4451B" w:rsidRPr="00043368">
              <w:rPr>
                <w:sz w:val="18"/>
                <w:szCs w:val="18"/>
              </w:rPr>
              <w:t xml:space="preserve">  </w:t>
            </w:r>
            <w:r w:rsidRPr="00043368">
              <w:rPr>
                <w:b/>
                <w:sz w:val="18"/>
                <w:szCs w:val="18"/>
                <w:u w:val="single"/>
              </w:rPr>
              <w:t xml:space="preserve">Staff members shall report suspected wrongdoing to the Director of the Internal Oversight Division, or a hierarchical supervisor, who shall immediately inform the Director of the Internal Oversight Division.  Reports to the Director of the Internal Oversight Division shall be received on a confidential basis and may also be made anonymously. </w:t>
            </w:r>
            <w:r w:rsidR="0078224A">
              <w:rPr>
                <w:b/>
                <w:sz w:val="18"/>
                <w:szCs w:val="18"/>
                <w:u w:val="single"/>
              </w:rPr>
              <w:t xml:space="preserve"> Allegations of wrongdoing against</w:t>
            </w:r>
            <w:r w:rsidRPr="00043368">
              <w:rPr>
                <w:b/>
                <w:sz w:val="18"/>
                <w:szCs w:val="18"/>
                <w:u w:val="single"/>
              </w:rPr>
              <w:t xml:space="preserve"> the Director of the Internal Oversight Division shall </w:t>
            </w:r>
            <w:r w:rsidR="0078224A">
              <w:rPr>
                <w:b/>
                <w:sz w:val="18"/>
                <w:szCs w:val="18"/>
                <w:u w:val="single"/>
              </w:rPr>
              <w:t xml:space="preserve">be </w:t>
            </w:r>
            <w:r w:rsidRPr="00043368">
              <w:rPr>
                <w:b/>
                <w:sz w:val="18"/>
                <w:szCs w:val="18"/>
                <w:u w:val="single"/>
              </w:rPr>
              <w:t>report</w:t>
            </w:r>
            <w:r w:rsidR="0078224A">
              <w:rPr>
                <w:b/>
                <w:sz w:val="18"/>
                <w:szCs w:val="18"/>
                <w:u w:val="single"/>
              </w:rPr>
              <w:t>ed</w:t>
            </w:r>
            <w:r w:rsidRPr="00043368">
              <w:rPr>
                <w:b/>
                <w:sz w:val="18"/>
                <w:szCs w:val="18"/>
                <w:u w:val="single"/>
              </w:rPr>
              <w:t xml:space="preserve"> to the Director General.  In cases where the Director of the Internal Oversight Division has not taken action within </w:t>
            </w:r>
            <w:r w:rsidR="0078224A">
              <w:rPr>
                <w:b/>
                <w:sz w:val="18"/>
                <w:szCs w:val="18"/>
                <w:u w:val="single"/>
              </w:rPr>
              <w:t>six</w:t>
            </w:r>
            <w:r w:rsidR="007A0D65">
              <w:rPr>
                <w:b/>
                <w:sz w:val="18"/>
                <w:szCs w:val="18"/>
                <w:u w:val="single"/>
              </w:rPr>
              <w:t xml:space="preserve"> month</w:t>
            </w:r>
            <w:r w:rsidR="0078224A">
              <w:rPr>
                <w:b/>
                <w:sz w:val="18"/>
                <w:szCs w:val="18"/>
                <w:u w:val="single"/>
              </w:rPr>
              <w:t>s</w:t>
            </w:r>
            <w:r w:rsidRPr="00043368">
              <w:rPr>
                <w:b/>
                <w:sz w:val="18"/>
                <w:szCs w:val="18"/>
                <w:u w:val="single"/>
              </w:rPr>
              <w:t>, staff members may also inform the Director General or the Chair of the Coordination Committee.</w:t>
            </w:r>
          </w:p>
          <w:p w14:paraId="35EF6E5F" w14:textId="502A9369" w:rsidR="00E7588F" w:rsidRPr="00043368" w:rsidRDefault="00E7588F" w:rsidP="00A96DE6">
            <w:pPr>
              <w:tabs>
                <w:tab w:val="left" w:pos="0"/>
                <w:tab w:val="left" w:pos="567"/>
              </w:tabs>
              <w:rPr>
                <w:b/>
                <w:sz w:val="18"/>
                <w:szCs w:val="18"/>
                <w:u w:val="single"/>
              </w:rPr>
            </w:pPr>
          </w:p>
        </w:tc>
        <w:tc>
          <w:tcPr>
            <w:tcW w:w="2375" w:type="dxa"/>
          </w:tcPr>
          <w:p w14:paraId="3D6A0E4D" w14:textId="323D1FF1" w:rsidR="00631D94" w:rsidRPr="009B73AF" w:rsidRDefault="006A635B" w:rsidP="006F341F">
            <w:pPr>
              <w:tabs>
                <w:tab w:val="left" w:pos="0"/>
                <w:tab w:val="left" w:pos="567"/>
              </w:tabs>
              <w:rPr>
                <w:sz w:val="18"/>
                <w:szCs w:val="18"/>
              </w:rPr>
            </w:pPr>
            <w:r w:rsidRPr="009B73AF">
              <w:rPr>
                <w:sz w:val="18"/>
                <w:szCs w:val="18"/>
              </w:rPr>
              <w:t xml:space="preserve">Amendment </w:t>
            </w:r>
            <w:r w:rsidR="006F341F">
              <w:rPr>
                <w:sz w:val="18"/>
                <w:szCs w:val="18"/>
              </w:rPr>
              <w:t>i</w:t>
            </w:r>
            <w:r w:rsidRPr="009B73AF">
              <w:rPr>
                <w:sz w:val="18"/>
                <w:szCs w:val="18"/>
              </w:rPr>
              <w:t xml:space="preserve">s proposed to strengthen reporting of wrongdoing by asserting the role of the Internal Oversight Division </w:t>
            </w:r>
            <w:r w:rsidR="006F341F">
              <w:rPr>
                <w:sz w:val="18"/>
                <w:szCs w:val="18"/>
              </w:rPr>
              <w:t>a</w:t>
            </w:r>
            <w:r w:rsidRPr="009B73AF">
              <w:rPr>
                <w:sz w:val="18"/>
                <w:szCs w:val="18"/>
              </w:rPr>
              <w:t xml:space="preserve">s the primary and preferred channel of reporting. </w:t>
            </w:r>
          </w:p>
        </w:tc>
      </w:tr>
    </w:tbl>
    <w:p w14:paraId="4F0930D2" w14:textId="77777777" w:rsidR="003647B0" w:rsidRPr="00A96DE6" w:rsidRDefault="003647B0" w:rsidP="00A96DE6">
      <w:pPr>
        <w:pStyle w:val="ListParagraph"/>
        <w:tabs>
          <w:tab w:val="left" w:pos="0"/>
          <w:tab w:val="left" w:pos="567"/>
        </w:tabs>
        <w:ind w:left="0"/>
        <w:rPr>
          <w:szCs w:val="22"/>
        </w:rPr>
      </w:pPr>
    </w:p>
    <w:p w14:paraId="3580ED4D" w14:textId="36E53FF0" w:rsidR="006F341F" w:rsidRPr="006F341F" w:rsidRDefault="0077146B" w:rsidP="006F341F">
      <w:pPr>
        <w:pStyle w:val="ONUME"/>
        <w:tabs>
          <w:tab w:val="clear" w:pos="567"/>
          <w:tab w:val="num" w:pos="0"/>
        </w:tabs>
        <w:rPr>
          <w:szCs w:val="22"/>
        </w:rPr>
      </w:pPr>
      <w:r>
        <w:rPr>
          <w:szCs w:val="22"/>
        </w:rPr>
        <w:t>T</w:t>
      </w:r>
      <w:r w:rsidR="006F341F">
        <w:t xml:space="preserve">he </w:t>
      </w:r>
      <w:r>
        <w:t xml:space="preserve">WIPO </w:t>
      </w:r>
      <w:r w:rsidR="006F341F">
        <w:t xml:space="preserve">Secretariat has expressed reservations regarding the proposed new text under Staff Regulation 1.7(c), </w:t>
      </w:r>
      <w:r>
        <w:t xml:space="preserve">last sentence, </w:t>
      </w:r>
      <w:r w:rsidR="006F341F">
        <w:t>which reads: “In cases where the Director of the Internal Oversight Division has not taken action within six months, staff members may also info</w:t>
      </w:r>
      <w:r w:rsidR="001A2212">
        <w:t>rm the Director General or the </w:t>
      </w:r>
      <w:r w:rsidR="006F341F">
        <w:t>Chair of the Coordination Committee”.  The Secretariat expressed the view, as indicated in its comments to the IAOC, that the provision is inconsistent with both the Internal Oversight Charter and the Investigation Policy, in so far as the confidentiality of investigative matters is concerned</w:t>
      </w:r>
      <w:r w:rsidR="00CA7C66">
        <w:t>, as</w:t>
      </w:r>
      <w:r w:rsidR="006F341F">
        <w:t xml:space="preserve"> the </w:t>
      </w:r>
      <w:r>
        <w:t xml:space="preserve">proposed </w:t>
      </w:r>
      <w:r w:rsidR="006F341F">
        <w:t>provision is based on the premise that the staff member has to be informed at some stage of the action taken by IOD on a report of misconduct, whereas for confidentiality reasons, the Director of IOD may not be in a position to provide the staff member with such information.</w:t>
      </w:r>
      <w:r>
        <w:t xml:space="preserve">  The Secretariat also holds the view that there is some further inconsistency between this provision and the Internal Oversight Charter, to the extent that the Charter never provides for direct access by the staff to the Chair of the Coordination Committee, even where the allegations of misconduct concern the Director of IOD or the Director General.</w:t>
      </w:r>
    </w:p>
    <w:p w14:paraId="3506DD46" w14:textId="0925156C" w:rsidR="003647B0" w:rsidRDefault="001A2212" w:rsidP="003C7A36">
      <w:pPr>
        <w:pStyle w:val="ONUME"/>
        <w:tabs>
          <w:tab w:val="clear" w:pos="567"/>
          <w:tab w:val="num" w:pos="0"/>
        </w:tabs>
        <w:rPr>
          <w:szCs w:val="22"/>
        </w:rPr>
      </w:pPr>
      <w:r w:rsidRPr="00A96DE6">
        <w:rPr>
          <w:szCs w:val="22"/>
        </w:rPr>
        <w:t>The</w:t>
      </w:r>
      <w:r>
        <w:rPr>
          <w:szCs w:val="22"/>
        </w:rPr>
        <w:t xml:space="preserve"> proposed amendments</w:t>
      </w:r>
      <w:r w:rsidRPr="00A96DE6">
        <w:rPr>
          <w:szCs w:val="22"/>
        </w:rPr>
        <w:t xml:space="preserve"> have been prepared with technical assistance from the </w:t>
      </w:r>
      <w:r>
        <w:rPr>
          <w:szCs w:val="22"/>
        </w:rPr>
        <w:t>WIPO Secretariat</w:t>
      </w:r>
      <w:r w:rsidRPr="00A96DE6">
        <w:rPr>
          <w:szCs w:val="22"/>
        </w:rPr>
        <w:t xml:space="preserve">.  </w:t>
      </w:r>
      <w:r>
        <w:rPr>
          <w:szCs w:val="22"/>
        </w:rPr>
        <w:t>C</w:t>
      </w:r>
      <w:r w:rsidRPr="00A96DE6">
        <w:rPr>
          <w:szCs w:val="22"/>
        </w:rPr>
        <w:t xml:space="preserve">omments received have been considered and </w:t>
      </w:r>
      <w:r>
        <w:rPr>
          <w:szCs w:val="22"/>
        </w:rPr>
        <w:t xml:space="preserve">most of the suggestions have been </w:t>
      </w:r>
      <w:r w:rsidR="0077146B">
        <w:rPr>
          <w:szCs w:val="22"/>
        </w:rPr>
        <w:t>incorporated</w:t>
      </w:r>
      <w:r w:rsidRPr="00A96DE6">
        <w:rPr>
          <w:szCs w:val="22"/>
        </w:rPr>
        <w:t xml:space="preserve"> in this </w:t>
      </w:r>
      <w:r>
        <w:rPr>
          <w:szCs w:val="22"/>
        </w:rPr>
        <w:t xml:space="preserve">final </w:t>
      </w:r>
      <w:r w:rsidRPr="00A96DE6">
        <w:rPr>
          <w:szCs w:val="22"/>
        </w:rPr>
        <w:t xml:space="preserve">report.  </w:t>
      </w:r>
      <w:r w:rsidR="00253E4D" w:rsidRPr="00A96DE6">
        <w:rPr>
          <w:szCs w:val="22"/>
        </w:rPr>
        <w:t>The IAOC wishes to acknowledge the legal advice and assistance received.</w:t>
      </w:r>
      <w:r w:rsidR="0078224A">
        <w:rPr>
          <w:szCs w:val="22"/>
        </w:rPr>
        <w:t xml:space="preserve"> A draft of this report has been shared with the Regional Group Coordinators for consultation with Member States. Comments have been received from two Member States and have been taken into account in finalizing this report</w:t>
      </w:r>
      <w:r w:rsidR="006F341F">
        <w:rPr>
          <w:szCs w:val="22"/>
        </w:rPr>
        <w:t>.</w:t>
      </w:r>
      <w:r w:rsidR="0078224A">
        <w:rPr>
          <w:szCs w:val="22"/>
        </w:rPr>
        <w:t xml:space="preserve"> </w:t>
      </w:r>
    </w:p>
    <w:p w14:paraId="046628A3" w14:textId="5E3195A8" w:rsidR="0078224A" w:rsidRPr="00A96DE6" w:rsidRDefault="0078224A" w:rsidP="003C7A36">
      <w:pPr>
        <w:pStyle w:val="ONUME"/>
        <w:tabs>
          <w:tab w:val="clear" w:pos="567"/>
          <w:tab w:val="num" w:pos="0"/>
        </w:tabs>
        <w:rPr>
          <w:szCs w:val="22"/>
        </w:rPr>
      </w:pPr>
      <w:r w:rsidRPr="00A96DE6">
        <w:rPr>
          <w:szCs w:val="22"/>
        </w:rPr>
        <w:t xml:space="preserve">The proposed amendments are submitted for consideration and adoption by the </w:t>
      </w:r>
      <w:r>
        <w:rPr>
          <w:szCs w:val="22"/>
        </w:rPr>
        <w:t xml:space="preserve">WIPO </w:t>
      </w:r>
      <w:r w:rsidRPr="00A96DE6">
        <w:rPr>
          <w:szCs w:val="22"/>
        </w:rPr>
        <w:t xml:space="preserve">Coordination Committee.  </w:t>
      </w:r>
    </w:p>
    <w:p w14:paraId="35C6E157" w14:textId="48F8DC01" w:rsidR="003B63E3" w:rsidRPr="003C7A36" w:rsidRDefault="003C7A36" w:rsidP="003C7A36">
      <w:pPr>
        <w:pStyle w:val="ONUME"/>
        <w:numPr>
          <w:ilvl w:val="0"/>
          <w:numId w:val="0"/>
        </w:numPr>
        <w:ind w:left="5529"/>
        <w:rPr>
          <w:i/>
          <w:szCs w:val="22"/>
        </w:rPr>
      </w:pPr>
      <w:r>
        <w:rPr>
          <w:i/>
          <w:szCs w:val="22"/>
        </w:rPr>
        <w:t>18.</w:t>
      </w:r>
      <w:r>
        <w:rPr>
          <w:i/>
          <w:szCs w:val="22"/>
        </w:rPr>
        <w:tab/>
      </w:r>
      <w:r w:rsidR="003B63E3" w:rsidRPr="003C7A36">
        <w:rPr>
          <w:i/>
          <w:szCs w:val="22"/>
        </w:rPr>
        <w:t>The WIPO Coordination Committee is invited to consider and adopt the revisions to the Staff Regulations proposed by the IAOC in the present document.</w:t>
      </w:r>
    </w:p>
    <w:p w14:paraId="43FA5880" w14:textId="77777777" w:rsidR="003B63E3" w:rsidRDefault="003B63E3" w:rsidP="003B63E3">
      <w:pPr>
        <w:pStyle w:val="Endofdocument-Annex"/>
        <w:rPr>
          <w:szCs w:val="22"/>
        </w:rPr>
      </w:pPr>
    </w:p>
    <w:p w14:paraId="37D5B9D2" w14:textId="77777777" w:rsidR="00BC43FD" w:rsidRDefault="00BC43FD" w:rsidP="003B63E3">
      <w:pPr>
        <w:pStyle w:val="Endofdocument-Annex"/>
        <w:rPr>
          <w:szCs w:val="22"/>
        </w:rPr>
      </w:pPr>
    </w:p>
    <w:p w14:paraId="7E1CBED9" w14:textId="77777777" w:rsidR="00037159" w:rsidRPr="00A96DE6" w:rsidRDefault="003647B0" w:rsidP="00593A6E">
      <w:pPr>
        <w:pStyle w:val="Endofdocument-Annex"/>
        <w:rPr>
          <w:szCs w:val="22"/>
        </w:rPr>
      </w:pPr>
      <w:r w:rsidRPr="00A96DE6">
        <w:rPr>
          <w:szCs w:val="22"/>
        </w:rPr>
        <w:t>[End of document]</w:t>
      </w:r>
    </w:p>
    <w:sectPr w:rsidR="00037159" w:rsidRPr="00A96DE6" w:rsidSect="00582D3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5B868" w15:done="0"/>
  <w15:commentEx w15:paraId="0438AA22" w15:done="0"/>
  <w15:commentEx w15:paraId="491AAA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B5D3" w14:textId="77777777" w:rsidR="00837A76" w:rsidRDefault="00837A76">
      <w:r>
        <w:separator/>
      </w:r>
    </w:p>
  </w:endnote>
  <w:endnote w:type="continuationSeparator" w:id="0">
    <w:p w14:paraId="313071DF" w14:textId="77777777" w:rsidR="00837A76" w:rsidRDefault="00837A76" w:rsidP="003B38C1">
      <w:r>
        <w:separator/>
      </w:r>
    </w:p>
    <w:p w14:paraId="2A8D44AA" w14:textId="77777777" w:rsidR="00837A76" w:rsidRPr="003B38C1" w:rsidRDefault="00837A76" w:rsidP="003B38C1">
      <w:pPr>
        <w:spacing w:after="60"/>
        <w:rPr>
          <w:sz w:val="17"/>
        </w:rPr>
      </w:pPr>
      <w:r>
        <w:rPr>
          <w:sz w:val="17"/>
        </w:rPr>
        <w:t>[Endnote continued from previous page]</w:t>
      </w:r>
    </w:p>
  </w:endnote>
  <w:endnote w:type="continuationNotice" w:id="1">
    <w:p w14:paraId="1774F649" w14:textId="77777777" w:rsidR="00837A76" w:rsidRPr="003B38C1" w:rsidRDefault="00837A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2FFC3" w14:textId="77777777" w:rsidR="00837A76" w:rsidRDefault="00837A76">
      <w:r>
        <w:separator/>
      </w:r>
    </w:p>
  </w:footnote>
  <w:footnote w:type="continuationSeparator" w:id="0">
    <w:p w14:paraId="3065BFDD" w14:textId="77777777" w:rsidR="00837A76" w:rsidRDefault="00837A76" w:rsidP="008B60B2">
      <w:r>
        <w:separator/>
      </w:r>
    </w:p>
    <w:p w14:paraId="4A7E4459" w14:textId="77777777" w:rsidR="00837A76" w:rsidRPr="00ED77FB" w:rsidRDefault="00837A76" w:rsidP="008B60B2">
      <w:pPr>
        <w:spacing w:after="60"/>
        <w:rPr>
          <w:sz w:val="17"/>
          <w:szCs w:val="17"/>
        </w:rPr>
      </w:pPr>
      <w:r w:rsidRPr="00ED77FB">
        <w:rPr>
          <w:sz w:val="17"/>
          <w:szCs w:val="17"/>
        </w:rPr>
        <w:t>[Footnote continued from previous page]</w:t>
      </w:r>
    </w:p>
  </w:footnote>
  <w:footnote w:type="continuationNotice" w:id="1">
    <w:p w14:paraId="474C3659" w14:textId="77777777" w:rsidR="00837A76" w:rsidRPr="00ED77FB" w:rsidRDefault="00837A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77D1" w14:textId="55C04AFD" w:rsidR="00E50497" w:rsidRDefault="00E50497" w:rsidP="00477D6B">
    <w:pPr>
      <w:jc w:val="right"/>
    </w:pPr>
    <w:bookmarkStart w:id="6" w:name="Code2"/>
    <w:bookmarkEnd w:id="6"/>
    <w:r>
      <w:t>WO/CC/74/</w:t>
    </w:r>
    <w:r w:rsidR="000E4686">
      <w:t>7</w:t>
    </w:r>
  </w:p>
  <w:p w14:paraId="45D48CFA" w14:textId="77777777" w:rsidR="00E50497" w:rsidRDefault="00E50497" w:rsidP="00477D6B">
    <w:pPr>
      <w:jc w:val="right"/>
    </w:pPr>
    <w:r>
      <w:t xml:space="preserve">page </w:t>
    </w:r>
    <w:r>
      <w:fldChar w:fldCharType="begin"/>
    </w:r>
    <w:r>
      <w:instrText xml:space="preserve"> PAGE  \* MERGEFORMAT </w:instrText>
    </w:r>
    <w:r>
      <w:fldChar w:fldCharType="separate"/>
    </w:r>
    <w:r w:rsidR="00145515">
      <w:rPr>
        <w:noProof/>
      </w:rPr>
      <w:t>5</w:t>
    </w:r>
    <w:r>
      <w:fldChar w:fldCharType="end"/>
    </w:r>
  </w:p>
  <w:p w14:paraId="06313CEC" w14:textId="77777777" w:rsidR="00E50497" w:rsidRDefault="00E50497" w:rsidP="00477D6B">
    <w:pPr>
      <w:jc w:val="right"/>
    </w:pPr>
  </w:p>
  <w:p w14:paraId="29FAE501" w14:textId="77777777" w:rsidR="00E50497" w:rsidRDefault="00E5049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4544EB"/>
    <w:multiLevelType w:val="hybridMultilevel"/>
    <w:tmpl w:val="CA74531C"/>
    <w:lvl w:ilvl="0" w:tplc="C1F2DC26">
      <w:start w:val="1"/>
      <w:numFmt w:val="decimal"/>
      <w:lvlText w:val="%1."/>
      <w:lvlJc w:val="left"/>
      <w:pPr>
        <w:ind w:left="603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CD29E3"/>
    <w:multiLevelType w:val="multilevel"/>
    <w:tmpl w:val="DD76B112"/>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82489F"/>
    <w:multiLevelType w:val="hybridMultilevel"/>
    <w:tmpl w:val="A29243C8"/>
    <w:lvl w:ilvl="0" w:tplc="D91CBEC2">
      <w:start w:val="1"/>
      <w:numFmt w:val="decimal"/>
      <w:lvlText w:val="%1."/>
      <w:lvlJc w:val="left"/>
      <w:pPr>
        <w:ind w:left="6239" w:hanging="705"/>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4">
    <w:nsid w:val="0F2D6FA7"/>
    <w:multiLevelType w:val="hybridMultilevel"/>
    <w:tmpl w:val="34D0806A"/>
    <w:lvl w:ilvl="0" w:tplc="B22E03A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44F7059"/>
    <w:multiLevelType w:val="multilevel"/>
    <w:tmpl w:val="7D882750"/>
    <w:lvl w:ilvl="0">
      <w:start w:val="1"/>
      <w:numFmt w:val="none"/>
      <w:lvlText w:val="(i)"/>
      <w:lvlJc w:val="left"/>
      <w:pPr>
        <w:tabs>
          <w:tab w:val="num" w:pos="497"/>
        </w:tabs>
        <w:ind w:left="497" w:hanging="360"/>
      </w:pPr>
      <w:rPr>
        <w:rFonts w:hint="default"/>
      </w:rPr>
    </w:lvl>
    <w:lvl w:ilvl="1">
      <w:start w:val="1"/>
      <w:numFmt w:val="lowerLetter"/>
      <w:lvlText w:val="(%2)"/>
      <w:lvlJc w:val="left"/>
      <w:pPr>
        <w:tabs>
          <w:tab w:val="num" w:pos="1271"/>
        </w:tabs>
        <w:ind w:left="704" w:firstLine="0"/>
      </w:pPr>
    </w:lvl>
    <w:lvl w:ilvl="2">
      <w:start w:val="1"/>
      <w:numFmt w:val="lowerRoman"/>
      <w:lvlText w:val="(%3)"/>
      <w:lvlJc w:val="left"/>
      <w:pPr>
        <w:tabs>
          <w:tab w:val="num" w:pos="1838"/>
        </w:tabs>
        <w:ind w:left="1271" w:firstLine="0"/>
      </w:pPr>
    </w:lvl>
    <w:lvl w:ilvl="3">
      <w:start w:val="1"/>
      <w:numFmt w:val="bullet"/>
      <w:lvlText w:val=""/>
      <w:lvlJc w:val="left"/>
      <w:pPr>
        <w:tabs>
          <w:tab w:val="num" w:pos="2405"/>
        </w:tabs>
        <w:ind w:left="1838" w:firstLine="0"/>
      </w:pPr>
    </w:lvl>
    <w:lvl w:ilvl="4">
      <w:start w:val="1"/>
      <w:numFmt w:val="bullet"/>
      <w:lvlText w:val=""/>
      <w:lvlJc w:val="left"/>
      <w:pPr>
        <w:tabs>
          <w:tab w:val="num" w:pos="2972"/>
        </w:tabs>
        <w:ind w:left="2405" w:firstLine="0"/>
      </w:pPr>
    </w:lvl>
    <w:lvl w:ilvl="5">
      <w:start w:val="1"/>
      <w:numFmt w:val="bullet"/>
      <w:lvlText w:val=""/>
      <w:lvlJc w:val="left"/>
      <w:pPr>
        <w:tabs>
          <w:tab w:val="num" w:pos="3539"/>
        </w:tabs>
        <w:ind w:left="2972" w:firstLine="0"/>
      </w:pPr>
    </w:lvl>
    <w:lvl w:ilvl="6">
      <w:start w:val="1"/>
      <w:numFmt w:val="bullet"/>
      <w:lvlText w:val=""/>
      <w:lvlJc w:val="left"/>
      <w:pPr>
        <w:tabs>
          <w:tab w:val="num" w:pos="4106"/>
        </w:tabs>
        <w:ind w:left="3539" w:firstLine="0"/>
      </w:pPr>
    </w:lvl>
    <w:lvl w:ilvl="7">
      <w:start w:val="1"/>
      <w:numFmt w:val="bullet"/>
      <w:lvlText w:val=""/>
      <w:lvlJc w:val="left"/>
      <w:pPr>
        <w:tabs>
          <w:tab w:val="num" w:pos="4672"/>
        </w:tabs>
        <w:ind w:left="4106" w:firstLine="0"/>
      </w:pPr>
    </w:lvl>
    <w:lvl w:ilvl="8">
      <w:start w:val="1"/>
      <w:numFmt w:val="bullet"/>
      <w:lvlText w:val=""/>
      <w:lvlJc w:val="left"/>
      <w:pPr>
        <w:tabs>
          <w:tab w:val="num" w:pos="5239"/>
        </w:tabs>
        <w:ind w:left="4672" w:firstLine="0"/>
      </w:pPr>
    </w:lvl>
  </w:abstractNum>
  <w:abstractNum w:abstractNumId="8">
    <w:nsid w:val="37A32F68"/>
    <w:multiLevelType w:val="hybridMultilevel"/>
    <w:tmpl w:val="DBEECD28"/>
    <w:lvl w:ilvl="0" w:tplc="04070015">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9">
    <w:nsid w:val="392D30E8"/>
    <w:multiLevelType w:val="hybridMultilevel"/>
    <w:tmpl w:val="C298F6D8"/>
    <w:lvl w:ilvl="0" w:tplc="5818EC6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C013FC"/>
    <w:multiLevelType w:val="hybridMultilevel"/>
    <w:tmpl w:val="CA7CA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1"/>
  </w:num>
  <w:num w:numId="5">
    <w:abstractNumId w:val="2"/>
  </w:num>
  <w:num w:numId="6">
    <w:abstractNumId w:val="6"/>
  </w:num>
  <w:num w:numId="7">
    <w:abstractNumId w:val="7"/>
  </w:num>
  <w:num w:numId="8">
    <w:abstractNumId w:val="2"/>
  </w:num>
  <w:num w:numId="9">
    <w:abstractNumId w:val="1"/>
  </w:num>
  <w:num w:numId="10">
    <w:abstractNumId w:val="8"/>
  </w:num>
  <w:num w:numId="11">
    <w:abstractNumId w:val="4"/>
  </w:num>
  <w:num w:numId="12">
    <w:abstractNumId w:val="9"/>
  </w:num>
  <w:num w:numId="13">
    <w:abstractNumId w:val="12"/>
  </w:num>
  <w:num w:numId="14">
    <w:abstractNumId w:val="3"/>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bert Kaltenbach">
    <w15:presenceInfo w15:providerId="Windows Live" w15:userId="1493409aaad1d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A1"/>
    <w:rsid w:val="00000F5F"/>
    <w:rsid w:val="000107B7"/>
    <w:rsid w:val="00010FF7"/>
    <w:rsid w:val="00012E52"/>
    <w:rsid w:val="00016DEE"/>
    <w:rsid w:val="00026A19"/>
    <w:rsid w:val="00037159"/>
    <w:rsid w:val="0004277C"/>
    <w:rsid w:val="00043368"/>
    <w:rsid w:val="00043CAA"/>
    <w:rsid w:val="000466DD"/>
    <w:rsid w:val="00047404"/>
    <w:rsid w:val="00047493"/>
    <w:rsid w:val="000630DA"/>
    <w:rsid w:val="000651D4"/>
    <w:rsid w:val="00075432"/>
    <w:rsid w:val="00095A03"/>
    <w:rsid w:val="000968ED"/>
    <w:rsid w:val="000A09B6"/>
    <w:rsid w:val="000A67B3"/>
    <w:rsid w:val="000D11D1"/>
    <w:rsid w:val="000E179C"/>
    <w:rsid w:val="000E4686"/>
    <w:rsid w:val="000F19A2"/>
    <w:rsid w:val="000F2859"/>
    <w:rsid w:val="000F4F6F"/>
    <w:rsid w:val="000F5E56"/>
    <w:rsid w:val="000F7B4D"/>
    <w:rsid w:val="00100D09"/>
    <w:rsid w:val="00105E6D"/>
    <w:rsid w:val="00107998"/>
    <w:rsid w:val="001143A6"/>
    <w:rsid w:val="001362EE"/>
    <w:rsid w:val="001373D7"/>
    <w:rsid w:val="00145515"/>
    <w:rsid w:val="0015020A"/>
    <w:rsid w:val="00153DD0"/>
    <w:rsid w:val="001647D5"/>
    <w:rsid w:val="001832A6"/>
    <w:rsid w:val="00185D8B"/>
    <w:rsid w:val="00191F9D"/>
    <w:rsid w:val="001A2212"/>
    <w:rsid w:val="001B767E"/>
    <w:rsid w:val="001C3AD2"/>
    <w:rsid w:val="001F38AA"/>
    <w:rsid w:val="001F56B5"/>
    <w:rsid w:val="001F6E27"/>
    <w:rsid w:val="00201F83"/>
    <w:rsid w:val="0020297E"/>
    <w:rsid w:val="0021217E"/>
    <w:rsid w:val="00242283"/>
    <w:rsid w:val="00246025"/>
    <w:rsid w:val="00253E4D"/>
    <w:rsid w:val="002634C4"/>
    <w:rsid w:val="002928D3"/>
    <w:rsid w:val="002971AE"/>
    <w:rsid w:val="002A3F41"/>
    <w:rsid w:val="002A437E"/>
    <w:rsid w:val="002A5A1F"/>
    <w:rsid w:val="002C0AF0"/>
    <w:rsid w:val="002C57AA"/>
    <w:rsid w:val="002D154B"/>
    <w:rsid w:val="002F1FE6"/>
    <w:rsid w:val="002F4E68"/>
    <w:rsid w:val="00301209"/>
    <w:rsid w:val="00312F7F"/>
    <w:rsid w:val="00323383"/>
    <w:rsid w:val="00323A7E"/>
    <w:rsid w:val="00346C4B"/>
    <w:rsid w:val="00347D72"/>
    <w:rsid w:val="00361450"/>
    <w:rsid w:val="003647B0"/>
    <w:rsid w:val="003673CF"/>
    <w:rsid w:val="00376BEC"/>
    <w:rsid w:val="003840FD"/>
    <w:rsid w:val="003845C1"/>
    <w:rsid w:val="00387614"/>
    <w:rsid w:val="003A0E7A"/>
    <w:rsid w:val="003A6F89"/>
    <w:rsid w:val="003B38C1"/>
    <w:rsid w:val="003B63E3"/>
    <w:rsid w:val="003C1A93"/>
    <w:rsid w:val="003C7A36"/>
    <w:rsid w:val="004048CC"/>
    <w:rsid w:val="00423E3E"/>
    <w:rsid w:val="00427AF4"/>
    <w:rsid w:val="004647DA"/>
    <w:rsid w:val="00465A22"/>
    <w:rsid w:val="00474062"/>
    <w:rsid w:val="00476A1E"/>
    <w:rsid w:val="00477D6B"/>
    <w:rsid w:val="004D1919"/>
    <w:rsid w:val="005019FF"/>
    <w:rsid w:val="00512507"/>
    <w:rsid w:val="005271DC"/>
    <w:rsid w:val="0053057A"/>
    <w:rsid w:val="00534F36"/>
    <w:rsid w:val="00541A05"/>
    <w:rsid w:val="00560614"/>
    <w:rsid w:val="00560A29"/>
    <w:rsid w:val="0056448F"/>
    <w:rsid w:val="005649D6"/>
    <w:rsid w:val="00582647"/>
    <w:rsid w:val="00582732"/>
    <w:rsid w:val="00582D3A"/>
    <w:rsid w:val="00593A6E"/>
    <w:rsid w:val="0059567A"/>
    <w:rsid w:val="005B67F6"/>
    <w:rsid w:val="005C2563"/>
    <w:rsid w:val="005C58D1"/>
    <w:rsid w:val="005C6649"/>
    <w:rsid w:val="005E2DC6"/>
    <w:rsid w:val="005E3526"/>
    <w:rsid w:val="005E6A3B"/>
    <w:rsid w:val="00605827"/>
    <w:rsid w:val="00612611"/>
    <w:rsid w:val="006269F9"/>
    <w:rsid w:val="00627F69"/>
    <w:rsid w:val="00631D94"/>
    <w:rsid w:val="006440DF"/>
    <w:rsid w:val="00646050"/>
    <w:rsid w:val="0066312D"/>
    <w:rsid w:val="006713CA"/>
    <w:rsid w:val="00676C5C"/>
    <w:rsid w:val="00676D7B"/>
    <w:rsid w:val="00685EF5"/>
    <w:rsid w:val="006A635B"/>
    <w:rsid w:val="006A6853"/>
    <w:rsid w:val="006C1852"/>
    <w:rsid w:val="006C3C17"/>
    <w:rsid w:val="006D0D1B"/>
    <w:rsid w:val="006D2DBD"/>
    <w:rsid w:val="006F341F"/>
    <w:rsid w:val="00726EF6"/>
    <w:rsid w:val="00730D51"/>
    <w:rsid w:val="00732DE9"/>
    <w:rsid w:val="007353F8"/>
    <w:rsid w:val="0075760E"/>
    <w:rsid w:val="0076246B"/>
    <w:rsid w:val="0077146B"/>
    <w:rsid w:val="00774241"/>
    <w:rsid w:val="0078224A"/>
    <w:rsid w:val="007A0D65"/>
    <w:rsid w:val="007B05B7"/>
    <w:rsid w:val="007D1613"/>
    <w:rsid w:val="007D70C2"/>
    <w:rsid w:val="007E4C0E"/>
    <w:rsid w:val="007F2ACD"/>
    <w:rsid w:val="007F471D"/>
    <w:rsid w:val="008268D6"/>
    <w:rsid w:val="00837A76"/>
    <w:rsid w:val="00846787"/>
    <w:rsid w:val="00856DB8"/>
    <w:rsid w:val="008624B9"/>
    <w:rsid w:val="0087286B"/>
    <w:rsid w:val="008A6504"/>
    <w:rsid w:val="008B2CC1"/>
    <w:rsid w:val="008B3EBA"/>
    <w:rsid w:val="008B60B2"/>
    <w:rsid w:val="008E188E"/>
    <w:rsid w:val="008E2E8F"/>
    <w:rsid w:val="008F27D0"/>
    <w:rsid w:val="008F5930"/>
    <w:rsid w:val="0090731E"/>
    <w:rsid w:val="00907438"/>
    <w:rsid w:val="00916EE2"/>
    <w:rsid w:val="00917312"/>
    <w:rsid w:val="00917CDA"/>
    <w:rsid w:val="00921F65"/>
    <w:rsid w:val="00940DA7"/>
    <w:rsid w:val="00966A22"/>
    <w:rsid w:val="0096722F"/>
    <w:rsid w:val="00980843"/>
    <w:rsid w:val="009A62BE"/>
    <w:rsid w:val="009B73AF"/>
    <w:rsid w:val="009D2526"/>
    <w:rsid w:val="009D3497"/>
    <w:rsid w:val="009E2791"/>
    <w:rsid w:val="009E3F6F"/>
    <w:rsid w:val="009E43A3"/>
    <w:rsid w:val="009E4AA5"/>
    <w:rsid w:val="009F1E78"/>
    <w:rsid w:val="009F499F"/>
    <w:rsid w:val="009F7DAC"/>
    <w:rsid w:val="00A201AC"/>
    <w:rsid w:val="00A23DF7"/>
    <w:rsid w:val="00A3079B"/>
    <w:rsid w:val="00A340C1"/>
    <w:rsid w:val="00A35E55"/>
    <w:rsid w:val="00A36AA3"/>
    <w:rsid w:val="00A42D6F"/>
    <w:rsid w:val="00A42DAF"/>
    <w:rsid w:val="00A45BD8"/>
    <w:rsid w:val="00A535E0"/>
    <w:rsid w:val="00A54FB3"/>
    <w:rsid w:val="00A55521"/>
    <w:rsid w:val="00A71B04"/>
    <w:rsid w:val="00A72843"/>
    <w:rsid w:val="00A869B7"/>
    <w:rsid w:val="00A91B9F"/>
    <w:rsid w:val="00A91DF7"/>
    <w:rsid w:val="00A96DE6"/>
    <w:rsid w:val="00AA712A"/>
    <w:rsid w:val="00AB1B41"/>
    <w:rsid w:val="00AC205C"/>
    <w:rsid w:val="00AE0AED"/>
    <w:rsid w:val="00AE768E"/>
    <w:rsid w:val="00AF0A6B"/>
    <w:rsid w:val="00B05A69"/>
    <w:rsid w:val="00B4286F"/>
    <w:rsid w:val="00B4451B"/>
    <w:rsid w:val="00B50AD7"/>
    <w:rsid w:val="00B565E4"/>
    <w:rsid w:val="00B57365"/>
    <w:rsid w:val="00B57369"/>
    <w:rsid w:val="00B65D44"/>
    <w:rsid w:val="00B80258"/>
    <w:rsid w:val="00B82F39"/>
    <w:rsid w:val="00B83611"/>
    <w:rsid w:val="00B9734B"/>
    <w:rsid w:val="00BA30E2"/>
    <w:rsid w:val="00BC43FD"/>
    <w:rsid w:val="00BD1716"/>
    <w:rsid w:val="00BF7D14"/>
    <w:rsid w:val="00C11BFE"/>
    <w:rsid w:val="00C25BB6"/>
    <w:rsid w:val="00C5068F"/>
    <w:rsid w:val="00C55735"/>
    <w:rsid w:val="00C6340A"/>
    <w:rsid w:val="00C6474D"/>
    <w:rsid w:val="00C750CF"/>
    <w:rsid w:val="00C85327"/>
    <w:rsid w:val="00C86D74"/>
    <w:rsid w:val="00CA532E"/>
    <w:rsid w:val="00CA7C66"/>
    <w:rsid w:val="00CB0F0D"/>
    <w:rsid w:val="00CB20F2"/>
    <w:rsid w:val="00CC1C28"/>
    <w:rsid w:val="00CC1C9E"/>
    <w:rsid w:val="00CD04F1"/>
    <w:rsid w:val="00CE6ADA"/>
    <w:rsid w:val="00CF5B13"/>
    <w:rsid w:val="00D036FE"/>
    <w:rsid w:val="00D14A07"/>
    <w:rsid w:val="00D17C00"/>
    <w:rsid w:val="00D26D14"/>
    <w:rsid w:val="00D30B04"/>
    <w:rsid w:val="00D326FC"/>
    <w:rsid w:val="00D37A7D"/>
    <w:rsid w:val="00D45252"/>
    <w:rsid w:val="00D45673"/>
    <w:rsid w:val="00D50D64"/>
    <w:rsid w:val="00D5760A"/>
    <w:rsid w:val="00D71B4D"/>
    <w:rsid w:val="00D83DB9"/>
    <w:rsid w:val="00D861ED"/>
    <w:rsid w:val="00D93D55"/>
    <w:rsid w:val="00DB04C0"/>
    <w:rsid w:val="00DD2158"/>
    <w:rsid w:val="00DE4DB3"/>
    <w:rsid w:val="00DF627F"/>
    <w:rsid w:val="00E016EA"/>
    <w:rsid w:val="00E15015"/>
    <w:rsid w:val="00E151CA"/>
    <w:rsid w:val="00E2617A"/>
    <w:rsid w:val="00E32B9A"/>
    <w:rsid w:val="00E335FE"/>
    <w:rsid w:val="00E427A2"/>
    <w:rsid w:val="00E50497"/>
    <w:rsid w:val="00E54602"/>
    <w:rsid w:val="00E7588F"/>
    <w:rsid w:val="00E90362"/>
    <w:rsid w:val="00EA0970"/>
    <w:rsid w:val="00EA35C0"/>
    <w:rsid w:val="00EB3188"/>
    <w:rsid w:val="00EB3E61"/>
    <w:rsid w:val="00EB635B"/>
    <w:rsid w:val="00EC4E49"/>
    <w:rsid w:val="00EC78EE"/>
    <w:rsid w:val="00ED2715"/>
    <w:rsid w:val="00ED2C63"/>
    <w:rsid w:val="00ED77FB"/>
    <w:rsid w:val="00EE45FA"/>
    <w:rsid w:val="00EF69A1"/>
    <w:rsid w:val="00F07E17"/>
    <w:rsid w:val="00F20ABE"/>
    <w:rsid w:val="00F26722"/>
    <w:rsid w:val="00F3389E"/>
    <w:rsid w:val="00F3626A"/>
    <w:rsid w:val="00F42A3F"/>
    <w:rsid w:val="00F66152"/>
    <w:rsid w:val="00F66600"/>
    <w:rsid w:val="00F67E7C"/>
    <w:rsid w:val="00F87F34"/>
    <w:rsid w:val="00F96351"/>
    <w:rsid w:val="00FA3602"/>
    <w:rsid w:val="00FB63E3"/>
    <w:rsid w:val="00FC704B"/>
    <w:rsid w:val="00FD07CB"/>
    <w:rsid w:val="00FF00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3B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EF69A1"/>
    <w:pPr>
      <w:ind w:left="720"/>
      <w:contextualSpacing/>
    </w:pPr>
  </w:style>
  <w:style w:type="paragraph" w:styleId="Revision">
    <w:name w:val="Revision"/>
    <w:hidden/>
    <w:uiPriority w:val="99"/>
    <w:semiHidden/>
    <w:rsid w:val="008B3EBA"/>
    <w:rPr>
      <w:rFonts w:ascii="Arial" w:eastAsia="SimSun" w:hAnsi="Arial" w:cs="Arial"/>
      <w:sz w:val="22"/>
      <w:lang w:val="en-US" w:eastAsia="zh-CN"/>
    </w:rPr>
  </w:style>
  <w:style w:type="character" w:customStyle="1" w:styleId="ONUMEChar">
    <w:name w:val="ONUM E Char"/>
    <w:link w:val="ONUME"/>
    <w:rsid w:val="008B3EBA"/>
    <w:rPr>
      <w:rFonts w:ascii="Arial" w:eastAsia="SimSun" w:hAnsi="Arial" w:cs="Arial"/>
      <w:sz w:val="22"/>
      <w:lang w:val="en-US" w:eastAsia="zh-CN"/>
    </w:rPr>
  </w:style>
  <w:style w:type="paragraph" w:customStyle="1" w:styleId="Normal1">
    <w:name w:val="Normal1"/>
    <w:basedOn w:val="Normal"/>
    <w:rsid w:val="003647B0"/>
    <w:pPr>
      <w:spacing w:after="200" w:line="260" w:lineRule="atLeast"/>
    </w:pPr>
    <w:rPr>
      <w:rFonts w:ascii="Calibri" w:eastAsia="Times New Roman" w:hAnsi="Calibri" w:cs="Times New Roman"/>
      <w:szCs w:val="22"/>
      <w:lang w:eastAsia="en-US"/>
    </w:rPr>
  </w:style>
  <w:style w:type="character" w:customStyle="1" w:styleId="normalchar1">
    <w:name w:val="normal__char1"/>
    <w:basedOn w:val="DefaultParagraphFont"/>
    <w:rsid w:val="003647B0"/>
    <w:rPr>
      <w:rFonts w:ascii="Calibri" w:hAnsi="Calibri" w:hint="default"/>
      <w:sz w:val="22"/>
      <w:szCs w:val="22"/>
    </w:rPr>
  </w:style>
  <w:style w:type="character" w:styleId="CommentReference">
    <w:name w:val="annotation reference"/>
    <w:basedOn w:val="DefaultParagraphFont"/>
    <w:semiHidden/>
    <w:unhideWhenUsed/>
    <w:rsid w:val="00A91B9F"/>
    <w:rPr>
      <w:sz w:val="16"/>
      <w:szCs w:val="16"/>
    </w:rPr>
  </w:style>
  <w:style w:type="paragraph" w:styleId="CommentSubject">
    <w:name w:val="annotation subject"/>
    <w:basedOn w:val="CommentText"/>
    <w:next w:val="CommentText"/>
    <w:link w:val="CommentSubjectChar"/>
    <w:semiHidden/>
    <w:unhideWhenUsed/>
    <w:rsid w:val="00A91B9F"/>
    <w:rPr>
      <w:b/>
      <w:bCs/>
      <w:sz w:val="20"/>
    </w:rPr>
  </w:style>
  <w:style w:type="character" w:customStyle="1" w:styleId="CommentTextChar">
    <w:name w:val="Comment Text Char"/>
    <w:basedOn w:val="DefaultParagraphFont"/>
    <w:link w:val="CommentText"/>
    <w:semiHidden/>
    <w:rsid w:val="00A91B9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91B9F"/>
    <w:rPr>
      <w:rFonts w:ascii="Arial" w:eastAsia="SimSun" w:hAnsi="Arial" w:cs="Arial"/>
      <w:b/>
      <w:bCs/>
      <w:sz w:val="18"/>
      <w:lang w:val="en-US" w:eastAsia="zh-CN"/>
    </w:rPr>
  </w:style>
  <w:style w:type="table" w:styleId="TableGrid">
    <w:name w:val="Table Grid"/>
    <w:basedOn w:val="TableNormal"/>
    <w:rsid w:val="00D8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37E"/>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EF69A1"/>
    <w:pPr>
      <w:ind w:left="720"/>
      <w:contextualSpacing/>
    </w:pPr>
  </w:style>
  <w:style w:type="paragraph" w:styleId="Revision">
    <w:name w:val="Revision"/>
    <w:hidden/>
    <w:uiPriority w:val="99"/>
    <w:semiHidden/>
    <w:rsid w:val="008B3EBA"/>
    <w:rPr>
      <w:rFonts w:ascii="Arial" w:eastAsia="SimSun" w:hAnsi="Arial" w:cs="Arial"/>
      <w:sz w:val="22"/>
      <w:lang w:val="en-US" w:eastAsia="zh-CN"/>
    </w:rPr>
  </w:style>
  <w:style w:type="character" w:customStyle="1" w:styleId="ONUMEChar">
    <w:name w:val="ONUM E Char"/>
    <w:link w:val="ONUME"/>
    <w:rsid w:val="008B3EBA"/>
    <w:rPr>
      <w:rFonts w:ascii="Arial" w:eastAsia="SimSun" w:hAnsi="Arial" w:cs="Arial"/>
      <w:sz w:val="22"/>
      <w:lang w:val="en-US" w:eastAsia="zh-CN"/>
    </w:rPr>
  </w:style>
  <w:style w:type="paragraph" w:customStyle="1" w:styleId="Normal1">
    <w:name w:val="Normal1"/>
    <w:basedOn w:val="Normal"/>
    <w:rsid w:val="003647B0"/>
    <w:pPr>
      <w:spacing w:after="200" w:line="260" w:lineRule="atLeast"/>
    </w:pPr>
    <w:rPr>
      <w:rFonts w:ascii="Calibri" w:eastAsia="Times New Roman" w:hAnsi="Calibri" w:cs="Times New Roman"/>
      <w:szCs w:val="22"/>
      <w:lang w:eastAsia="en-US"/>
    </w:rPr>
  </w:style>
  <w:style w:type="character" w:customStyle="1" w:styleId="normalchar1">
    <w:name w:val="normal__char1"/>
    <w:basedOn w:val="DefaultParagraphFont"/>
    <w:rsid w:val="003647B0"/>
    <w:rPr>
      <w:rFonts w:ascii="Calibri" w:hAnsi="Calibri" w:hint="default"/>
      <w:sz w:val="22"/>
      <w:szCs w:val="22"/>
    </w:rPr>
  </w:style>
  <w:style w:type="character" w:styleId="CommentReference">
    <w:name w:val="annotation reference"/>
    <w:basedOn w:val="DefaultParagraphFont"/>
    <w:semiHidden/>
    <w:unhideWhenUsed/>
    <w:rsid w:val="00A91B9F"/>
    <w:rPr>
      <w:sz w:val="16"/>
      <w:szCs w:val="16"/>
    </w:rPr>
  </w:style>
  <w:style w:type="paragraph" w:styleId="CommentSubject">
    <w:name w:val="annotation subject"/>
    <w:basedOn w:val="CommentText"/>
    <w:next w:val="CommentText"/>
    <w:link w:val="CommentSubjectChar"/>
    <w:semiHidden/>
    <w:unhideWhenUsed/>
    <w:rsid w:val="00A91B9F"/>
    <w:rPr>
      <w:b/>
      <w:bCs/>
      <w:sz w:val="20"/>
    </w:rPr>
  </w:style>
  <w:style w:type="character" w:customStyle="1" w:styleId="CommentTextChar">
    <w:name w:val="Comment Text Char"/>
    <w:basedOn w:val="DefaultParagraphFont"/>
    <w:link w:val="CommentText"/>
    <w:semiHidden/>
    <w:rsid w:val="00A91B9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91B9F"/>
    <w:rPr>
      <w:rFonts w:ascii="Arial" w:eastAsia="SimSun" w:hAnsi="Arial" w:cs="Arial"/>
      <w:b/>
      <w:bCs/>
      <w:sz w:val="18"/>
      <w:lang w:val="en-US" w:eastAsia="zh-CN"/>
    </w:rPr>
  </w:style>
  <w:style w:type="table" w:styleId="TableGrid">
    <w:name w:val="Table Grid"/>
    <w:basedOn w:val="TableNormal"/>
    <w:rsid w:val="00D8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37E"/>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4019">
      <w:bodyDiv w:val="1"/>
      <w:marLeft w:val="0"/>
      <w:marRight w:val="0"/>
      <w:marTop w:val="0"/>
      <w:marBottom w:val="0"/>
      <w:divBdr>
        <w:top w:val="none" w:sz="0" w:space="0" w:color="auto"/>
        <w:left w:val="none" w:sz="0" w:space="0" w:color="auto"/>
        <w:bottom w:val="none" w:sz="0" w:space="0" w:color="auto"/>
        <w:right w:val="none" w:sz="0" w:space="0" w:color="auto"/>
      </w:divBdr>
    </w:div>
    <w:div w:id="21042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8E10-5166-4B91-875F-31507F89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2174</Words>
  <Characters>12180</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Intellectual Property Organization</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 Kaltenbach</dc:creator>
  <cp:lastModifiedBy>SAMUELS Frederick Anthony</cp:lastModifiedBy>
  <cp:revision>3</cp:revision>
  <cp:lastPrinted>2017-09-26T09:56:00Z</cp:lastPrinted>
  <dcterms:created xsi:type="dcterms:W3CDTF">2017-09-26T09:55:00Z</dcterms:created>
  <dcterms:modified xsi:type="dcterms:W3CDTF">2017-09-26T09:57:00Z</dcterms:modified>
</cp:coreProperties>
</file>