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F5F" w:rsidRPr="00123893" w:rsidRDefault="006E4F5F" w:rsidP="006E4F5F">
      <w:pPr>
        <w:widowControl w:val="0"/>
        <w:jc w:val="right"/>
        <w:rPr>
          <w:b/>
          <w:sz w:val="2"/>
          <w:szCs w:val="40"/>
        </w:rPr>
      </w:pPr>
      <w:bookmarkStart w:id="0" w:name="_GoBack"/>
      <w:bookmarkEnd w:id="0"/>
      <w:r w:rsidRPr="00605827">
        <w:rPr>
          <w:b/>
          <w:sz w:val="40"/>
          <w:szCs w:val="40"/>
        </w:rPr>
        <w:t>E</w:t>
      </w:r>
    </w:p>
    <w:p w:rsidR="006E4F5F" w:rsidRDefault="006E4F5F" w:rsidP="006E4F5F">
      <w:pPr>
        <w:spacing w:line="360" w:lineRule="auto"/>
        <w:ind w:left="4592"/>
        <w:rPr>
          <w:rFonts w:ascii="Arial Black" w:hAnsi="Arial Black"/>
          <w:caps/>
          <w:sz w:val="15"/>
        </w:rPr>
      </w:pPr>
      <w:r>
        <w:rPr>
          <w:noProof/>
          <w:lang w:eastAsia="en-US"/>
        </w:rPr>
        <w:drawing>
          <wp:inline distT="0" distB="0" distL="0" distR="0" wp14:anchorId="57861B99" wp14:editId="4EDDAE2C">
            <wp:extent cx="1857600" cy="1324800"/>
            <wp:effectExtent l="0" t="0" r="0" b="8890"/>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600" cy="1324800"/>
                    </a:xfrm>
                    <a:prstGeom prst="rect">
                      <a:avLst/>
                    </a:prstGeom>
                    <a:noFill/>
                    <a:ln>
                      <a:noFill/>
                    </a:ln>
                  </pic:spPr>
                </pic:pic>
              </a:graphicData>
            </a:graphic>
          </wp:inline>
        </w:drawing>
      </w:r>
    </w:p>
    <w:p w:rsidR="006E4F5F" w:rsidRPr="006E4F5F" w:rsidRDefault="009E6CC0" w:rsidP="00AA2DD4">
      <w:pPr>
        <w:pBdr>
          <w:top w:val="single" w:sz="4" w:space="10" w:color="auto"/>
        </w:pBdr>
        <w:spacing w:before="120"/>
        <w:jc w:val="right"/>
        <w:rPr>
          <w:rFonts w:ascii="Arial Black" w:hAnsi="Arial Black"/>
          <w:b/>
          <w:caps/>
          <w:sz w:val="15"/>
        </w:rPr>
      </w:pPr>
      <w:r>
        <w:rPr>
          <w:rFonts w:ascii="Arial Black" w:hAnsi="Arial Black"/>
          <w:b/>
          <w:caps/>
          <w:sz w:val="15"/>
        </w:rPr>
        <w:t>PCT/A/50</w:t>
      </w:r>
      <w:bookmarkStart w:id="1" w:name="Code"/>
      <w:bookmarkEnd w:id="1"/>
      <w:r w:rsidR="000F7CCE">
        <w:rPr>
          <w:rFonts w:ascii="Arial Black" w:hAnsi="Arial Black"/>
          <w:b/>
          <w:caps/>
          <w:sz w:val="15"/>
        </w:rPr>
        <w:t>/2</w:t>
      </w:r>
    </w:p>
    <w:p w:rsidR="006E4F5F" w:rsidRPr="006E4F5F" w:rsidRDefault="006E4F5F" w:rsidP="006E4F5F">
      <w:pPr>
        <w:jc w:val="right"/>
        <w:rPr>
          <w:rFonts w:ascii="Arial Black" w:hAnsi="Arial Black"/>
          <w:b/>
          <w:caps/>
          <w:sz w:val="15"/>
        </w:rPr>
      </w:pPr>
      <w:r w:rsidRPr="006E4F5F">
        <w:rPr>
          <w:rFonts w:ascii="Arial Black" w:hAnsi="Arial Black"/>
          <w:b/>
          <w:caps/>
          <w:sz w:val="15"/>
        </w:rPr>
        <w:t xml:space="preserve">ORIGINAL: </w:t>
      </w:r>
      <w:bookmarkStart w:id="2" w:name="Original"/>
      <w:bookmarkEnd w:id="2"/>
      <w:r w:rsidR="000F7CCE">
        <w:rPr>
          <w:rFonts w:ascii="Arial Black" w:hAnsi="Arial Black"/>
          <w:b/>
          <w:caps/>
          <w:sz w:val="15"/>
        </w:rPr>
        <w:t>english</w:t>
      </w:r>
    </w:p>
    <w:p w:rsidR="006E4F5F" w:rsidRPr="006E4F5F" w:rsidRDefault="006E4F5F" w:rsidP="006E4F5F">
      <w:pPr>
        <w:spacing w:line="1680" w:lineRule="auto"/>
        <w:jc w:val="right"/>
        <w:rPr>
          <w:rFonts w:ascii="Arial Black" w:hAnsi="Arial Black"/>
          <w:b/>
          <w:caps/>
          <w:sz w:val="15"/>
        </w:rPr>
      </w:pPr>
      <w:r w:rsidRPr="006E4F5F">
        <w:rPr>
          <w:rFonts w:ascii="Arial Black" w:hAnsi="Arial Black"/>
          <w:b/>
          <w:caps/>
          <w:sz w:val="15"/>
        </w:rPr>
        <w:t xml:space="preserve">DATE: </w:t>
      </w:r>
      <w:bookmarkStart w:id="3" w:name="Date"/>
      <w:bookmarkEnd w:id="3"/>
      <w:r w:rsidR="000F7CCE">
        <w:rPr>
          <w:rFonts w:ascii="Arial Black" w:hAnsi="Arial Black"/>
          <w:b/>
          <w:caps/>
          <w:sz w:val="15"/>
        </w:rPr>
        <w:t>july 23, 2018</w:t>
      </w:r>
    </w:p>
    <w:p w:rsidR="009E6CC0" w:rsidRDefault="009E6CC0" w:rsidP="009E6CC0">
      <w:pPr>
        <w:pStyle w:val="Heading1"/>
      </w:pPr>
      <w:r w:rsidRPr="009E6CC0">
        <w:t>International Patent Cooperation Union (PCT Union)</w:t>
      </w:r>
    </w:p>
    <w:p w:rsidR="009E6CC0" w:rsidRPr="009E6CC0" w:rsidRDefault="009E6CC0" w:rsidP="009E6CC0">
      <w:pPr>
        <w:pStyle w:val="Heading1"/>
      </w:pPr>
      <w:r>
        <w:t>Assembly</w:t>
      </w:r>
    </w:p>
    <w:p w:rsidR="008B2CC1" w:rsidRPr="009C127D" w:rsidRDefault="009E6CC0" w:rsidP="00F63082">
      <w:pPr>
        <w:spacing w:after="720"/>
        <w:rPr>
          <w:b/>
          <w:sz w:val="24"/>
        </w:rPr>
      </w:pPr>
      <w:r w:rsidRPr="009E6CC0">
        <w:rPr>
          <w:b/>
          <w:sz w:val="24"/>
        </w:rPr>
        <w:t>Fiftieth (29</w:t>
      </w:r>
      <w:r w:rsidRPr="009E6CC0">
        <w:rPr>
          <w:b/>
          <w:sz w:val="24"/>
          <w:vertAlign w:val="superscript"/>
        </w:rPr>
        <w:t>th</w:t>
      </w:r>
      <w:r w:rsidRPr="009E6CC0">
        <w:rPr>
          <w:b/>
          <w:sz w:val="24"/>
        </w:rPr>
        <w:t xml:space="preserve"> Extraordinary) Session</w:t>
      </w:r>
      <w:r w:rsidR="003D57B0" w:rsidRPr="009C127D">
        <w:rPr>
          <w:b/>
          <w:sz w:val="24"/>
        </w:rPr>
        <w:br/>
      </w:r>
      <w:r w:rsidR="00DF023A" w:rsidRPr="009C127D">
        <w:rPr>
          <w:b/>
          <w:sz w:val="24"/>
        </w:rPr>
        <w:t>Geneva, September 24 to October 2, 2018</w:t>
      </w:r>
    </w:p>
    <w:p w:rsidR="008B2CC1" w:rsidRPr="009C127D" w:rsidRDefault="000F7CCE" w:rsidP="00F63082">
      <w:pPr>
        <w:spacing w:after="360"/>
        <w:rPr>
          <w:caps/>
          <w:sz w:val="24"/>
        </w:rPr>
      </w:pPr>
      <w:bookmarkStart w:id="4" w:name="TitleOfDoc"/>
      <w:bookmarkEnd w:id="4"/>
      <w:r>
        <w:rPr>
          <w:caps/>
          <w:sz w:val="24"/>
        </w:rPr>
        <w:t>proposed amendments to the pct regulations</w:t>
      </w:r>
    </w:p>
    <w:p w:rsidR="008B2CC1" w:rsidRPr="009C127D" w:rsidRDefault="000F7CCE" w:rsidP="009C127D">
      <w:pPr>
        <w:spacing w:after="960"/>
        <w:rPr>
          <w:i/>
        </w:rPr>
      </w:pPr>
      <w:bookmarkStart w:id="5" w:name="Prepared"/>
      <w:bookmarkEnd w:id="5"/>
      <w:r>
        <w:rPr>
          <w:i/>
        </w:rPr>
        <w:t>Document prepared by the International Bureau</w:t>
      </w:r>
    </w:p>
    <w:p w:rsidR="000F7CCE" w:rsidRPr="000F7CCE" w:rsidRDefault="000F7CCE" w:rsidP="000F7CCE">
      <w:pPr>
        <w:keepNext/>
        <w:spacing w:before="240" w:after="60"/>
        <w:outlineLvl w:val="0"/>
        <w:rPr>
          <w:b/>
          <w:bCs/>
          <w:caps/>
          <w:kern w:val="32"/>
          <w:szCs w:val="32"/>
        </w:rPr>
      </w:pPr>
      <w:r w:rsidRPr="000F7CCE">
        <w:rPr>
          <w:b/>
          <w:bCs/>
          <w:caps/>
          <w:kern w:val="32"/>
          <w:szCs w:val="32"/>
        </w:rPr>
        <w:t>Summary</w:t>
      </w:r>
    </w:p>
    <w:p w:rsidR="000F7CCE" w:rsidRPr="000F7CCE" w:rsidRDefault="000F7CCE" w:rsidP="000F7CCE">
      <w:pPr>
        <w:numPr>
          <w:ilvl w:val="0"/>
          <w:numId w:val="7"/>
        </w:numPr>
        <w:spacing w:after="220"/>
      </w:pPr>
      <w:r w:rsidRPr="000F7CCE">
        <w:t>This document contains proposed amendments to the Regulations under the Patent Cooperation Treaty (PCT)</w:t>
      </w:r>
      <w:r w:rsidRPr="000F7CCE">
        <w:rPr>
          <w:vertAlign w:val="superscript"/>
        </w:rPr>
        <w:footnoteReference w:id="2"/>
      </w:r>
      <w:r w:rsidRPr="000F7CCE">
        <w:t xml:space="preserve"> as agreed by the PCT Working Group (“the Working Group”) at its eleventh session, held in Geneva from June 18 to 22, 2018, with a view to their submission to the Assembly for consideration at its current session.</w:t>
      </w:r>
    </w:p>
    <w:p w:rsidR="000F7CCE" w:rsidRPr="000F7CCE" w:rsidRDefault="000F7CCE" w:rsidP="000F7CCE">
      <w:pPr>
        <w:spacing w:before="240" w:after="60"/>
        <w:outlineLvl w:val="0"/>
        <w:rPr>
          <w:b/>
          <w:bCs/>
          <w:caps/>
          <w:kern w:val="32"/>
          <w:szCs w:val="32"/>
        </w:rPr>
      </w:pPr>
      <w:r w:rsidRPr="000F7CCE">
        <w:rPr>
          <w:b/>
          <w:bCs/>
          <w:caps/>
          <w:kern w:val="32"/>
          <w:szCs w:val="32"/>
        </w:rPr>
        <w:t>Proposed Amendments</w:t>
      </w:r>
    </w:p>
    <w:p w:rsidR="000F7CCE" w:rsidRPr="000F7CCE" w:rsidRDefault="000F7CCE" w:rsidP="000F7CCE">
      <w:pPr>
        <w:numPr>
          <w:ilvl w:val="0"/>
          <w:numId w:val="7"/>
        </w:numPr>
        <w:spacing w:after="220"/>
      </w:pPr>
      <w:r w:rsidRPr="000F7CCE">
        <w:t>Annex I sets out the proposed amendments, which aim at increasing the amount of time available for dialogue between the applicant and the examiner during international preliminary examination (PCT Chapter II).  To that end, it is proposed to amend Rule 69.1(a) to allow the International Preliminary Examining Authority to start international preliminary examination when it is in possession of the demand, the relevant fees and either the international search report or the declaration by the International Searching Authority under Article 17(2)(a) and the written opinion established under Rule 43</w:t>
      </w:r>
      <w:r w:rsidRPr="000F7CCE">
        <w:rPr>
          <w:i/>
        </w:rPr>
        <w:t>bis</w:t>
      </w:r>
      <w:r w:rsidRPr="000F7CCE">
        <w:t xml:space="preserve">.1, unless the applicant expressly requests to postpone the </w:t>
      </w:r>
      <w:r w:rsidRPr="000F7CCE">
        <w:lastRenderedPageBreak/>
        <w:t>start of the international preliminary examination until the expiration of the applicable time limit under Rule 54</w:t>
      </w:r>
      <w:r w:rsidRPr="000F7CCE">
        <w:rPr>
          <w:i/>
        </w:rPr>
        <w:t>bis.</w:t>
      </w:r>
      <w:r w:rsidRPr="000F7CCE">
        <w:t>1(a).</w:t>
      </w:r>
    </w:p>
    <w:p w:rsidR="000F7CCE" w:rsidRPr="000F7CCE" w:rsidRDefault="000F7CCE" w:rsidP="000F7CCE">
      <w:pPr>
        <w:numPr>
          <w:ilvl w:val="0"/>
          <w:numId w:val="7"/>
        </w:numPr>
        <w:spacing w:after="220"/>
      </w:pPr>
      <w:r w:rsidRPr="000F7CCE">
        <w:t>Annex II contains a “clean” text of Rule 69.1(a) as it would stand after amendment.</w:t>
      </w:r>
    </w:p>
    <w:p w:rsidR="000F7CCE" w:rsidRPr="000F7CCE" w:rsidRDefault="000F7CCE" w:rsidP="000F7CCE">
      <w:pPr>
        <w:keepNext/>
        <w:spacing w:before="240" w:after="60"/>
        <w:outlineLvl w:val="0"/>
        <w:rPr>
          <w:b/>
          <w:bCs/>
          <w:caps/>
          <w:kern w:val="32"/>
          <w:szCs w:val="32"/>
        </w:rPr>
      </w:pPr>
      <w:r w:rsidRPr="000F7CCE">
        <w:rPr>
          <w:b/>
          <w:bCs/>
          <w:caps/>
          <w:kern w:val="32"/>
          <w:szCs w:val="32"/>
        </w:rPr>
        <w:t>Entry into Force and Transitional Arrangements</w:t>
      </w:r>
    </w:p>
    <w:p w:rsidR="000F7CCE" w:rsidRPr="000F7CCE" w:rsidRDefault="000F7CCE" w:rsidP="000F7CCE">
      <w:pPr>
        <w:numPr>
          <w:ilvl w:val="0"/>
          <w:numId w:val="7"/>
        </w:numPr>
        <w:spacing w:after="220"/>
      </w:pPr>
      <w:bookmarkStart w:id="6" w:name="_Ref518997192"/>
      <w:r w:rsidRPr="000F7CCE">
        <w:t>It is proposed that the proposed amendments should enter into force on July 1, 2019, and should apply to any international application in respect of which a demand for international preliminary examination is made on, or after, that date.</w:t>
      </w:r>
      <w:bookmarkEnd w:id="6"/>
    </w:p>
    <w:p w:rsidR="000F7CCE" w:rsidRPr="000F7CCE" w:rsidRDefault="000F7CCE" w:rsidP="000F7CCE">
      <w:pPr>
        <w:keepLines/>
        <w:numPr>
          <w:ilvl w:val="0"/>
          <w:numId w:val="7"/>
        </w:numPr>
        <w:tabs>
          <w:tab w:val="left" w:pos="6096"/>
        </w:tabs>
        <w:spacing w:after="220"/>
        <w:ind w:left="5533"/>
        <w:rPr>
          <w:i/>
        </w:rPr>
      </w:pPr>
      <w:r w:rsidRPr="000F7CCE">
        <w:rPr>
          <w:i/>
        </w:rPr>
        <w:t>The Assembly of the PCT Union is invited to adopt the proposed amendments to the Regulations under the PCT set out in Annex I to document PCT/A/50/2, and the entry into force and transitional arrangements</w:t>
      </w:r>
      <w:r w:rsidRPr="000F7CCE" w:rsidDel="00A76915">
        <w:rPr>
          <w:i/>
        </w:rPr>
        <w:t xml:space="preserve"> </w:t>
      </w:r>
      <w:r w:rsidRPr="000F7CCE">
        <w:rPr>
          <w:i/>
        </w:rPr>
        <w:t>set out in paragraph </w:t>
      </w:r>
      <w:r w:rsidRPr="000F7CCE">
        <w:rPr>
          <w:i/>
        </w:rPr>
        <w:fldChar w:fldCharType="begin"/>
      </w:r>
      <w:r w:rsidRPr="000F7CCE">
        <w:rPr>
          <w:i/>
        </w:rPr>
        <w:instrText xml:space="preserve"> REF _Ref518997192 \r \h </w:instrText>
      </w:r>
      <w:r w:rsidRPr="000F7CCE">
        <w:rPr>
          <w:i/>
        </w:rPr>
      </w:r>
      <w:r w:rsidRPr="000F7CCE">
        <w:rPr>
          <w:i/>
        </w:rPr>
        <w:fldChar w:fldCharType="separate"/>
      </w:r>
      <w:r w:rsidR="001762DA">
        <w:rPr>
          <w:i/>
        </w:rPr>
        <w:t>4</w:t>
      </w:r>
      <w:r w:rsidRPr="000F7CCE">
        <w:rPr>
          <w:i/>
        </w:rPr>
        <w:fldChar w:fldCharType="end"/>
      </w:r>
      <w:r w:rsidRPr="000F7CCE">
        <w:rPr>
          <w:i/>
        </w:rPr>
        <w:t xml:space="preserve"> of the same document.</w:t>
      </w:r>
    </w:p>
    <w:p w:rsidR="000F7CCE" w:rsidRPr="000F7CCE" w:rsidRDefault="000F7CCE" w:rsidP="000F7CCE"/>
    <w:p w:rsidR="000F7CCE" w:rsidRPr="000F7CCE" w:rsidRDefault="000F7CCE" w:rsidP="000F7CCE">
      <w:pPr>
        <w:ind w:left="5534"/>
        <w:sectPr w:rsidR="000F7CCE" w:rsidRPr="000F7CCE" w:rsidSect="0091786B">
          <w:headerReference w:type="default" r:id="rId10"/>
          <w:endnotePr>
            <w:numFmt w:val="decimal"/>
          </w:endnotePr>
          <w:pgSz w:w="11907" w:h="16840" w:code="9"/>
          <w:pgMar w:top="567" w:right="1134" w:bottom="1418" w:left="1418" w:header="510" w:footer="1021" w:gutter="0"/>
          <w:cols w:space="720"/>
          <w:titlePg/>
          <w:docGrid w:linePitch="299"/>
        </w:sectPr>
      </w:pPr>
      <w:r w:rsidRPr="000F7CCE">
        <w:t>[Annexes follow]</w:t>
      </w:r>
    </w:p>
    <w:p w:rsidR="000F7CCE" w:rsidRPr="000F7CCE" w:rsidRDefault="000F7CCE" w:rsidP="000F7CCE">
      <w:pPr>
        <w:spacing w:after="220"/>
      </w:pPr>
    </w:p>
    <w:p w:rsidR="000F7CCE" w:rsidRPr="000F7CCE" w:rsidRDefault="000F7CCE" w:rsidP="000F7CCE">
      <w:pPr>
        <w:jc w:val="center"/>
        <w:rPr>
          <w:caps/>
        </w:rPr>
      </w:pPr>
      <w:bookmarkStart w:id="7" w:name="AxI"/>
      <w:r w:rsidRPr="000F7CCE">
        <w:rPr>
          <w:caps/>
        </w:rPr>
        <w:t>Proposed Amendments to the PCT Regulations</w:t>
      </w:r>
      <w:r w:rsidRPr="000F7CCE">
        <w:rPr>
          <w:vertAlign w:val="superscript"/>
        </w:rPr>
        <w:footnoteReference w:id="3"/>
      </w:r>
    </w:p>
    <w:p w:rsidR="000F7CCE" w:rsidRPr="000F7CCE" w:rsidRDefault="000F7CCE" w:rsidP="000F7CCE">
      <w:pPr>
        <w:jc w:val="center"/>
        <w:rPr>
          <w:caps/>
        </w:rPr>
      </w:pPr>
    </w:p>
    <w:p w:rsidR="000F7CCE" w:rsidRPr="000F7CCE" w:rsidRDefault="000F7CCE" w:rsidP="000F7CCE">
      <w:pPr>
        <w:jc w:val="center"/>
        <w:rPr>
          <w:caps/>
        </w:rPr>
      </w:pPr>
    </w:p>
    <w:p w:rsidR="000F7CCE" w:rsidRPr="000F7CCE" w:rsidRDefault="000F7CCE" w:rsidP="000F7CCE">
      <w:pPr>
        <w:jc w:val="center"/>
        <w:rPr>
          <w:caps/>
        </w:rPr>
      </w:pPr>
      <w:r w:rsidRPr="000F7CCE">
        <w:rPr>
          <w:caps/>
        </w:rPr>
        <w:t>TABLE OF CONTENTS</w:t>
      </w:r>
    </w:p>
    <w:p w:rsidR="000F7CCE" w:rsidRPr="000F7CCE" w:rsidRDefault="000F7CCE" w:rsidP="000F7CCE">
      <w:pPr>
        <w:jc w:val="center"/>
        <w:rPr>
          <w:caps/>
        </w:rPr>
      </w:pPr>
    </w:p>
    <w:p w:rsidR="000F7CCE" w:rsidRPr="000F7CCE" w:rsidRDefault="000F7CCE" w:rsidP="000F7CCE">
      <w:pPr>
        <w:rPr>
          <w:rFonts w:ascii="Microsoft Sans Serif" w:hAnsi="Microsoft Sans Serif" w:cs="Microsoft Sans Serif"/>
          <w:caps/>
        </w:rPr>
      </w:pPr>
    </w:p>
    <w:p w:rsidR="000F7CCE" w:rsidRPr="000F7CCE" w:rsidRDefault="000F7CCE" w:rsidP="000F7CCE">
      <w:pPr>
        <w:tabs>
          <w:tab w:val="right" w:leader="dot" w:pos="9345"/>
        </w:tabs>
        <w:spacing w:before="240" w:after="100"/>
        <w:rPr>
          <w:rFonts w:asciiTheme="minorHAnsi" w:eastAsiaTheme="minorEastAsia" w:hAnsiTheme="minorHAnsi" w:cstheme="minorBidi"/>
          <w:noProof/>
          <w:szCs w:val="22"/>
          <w:lang w:val="en-GB" w:eastAsia="en-GB"/>
        </w:rPr>
      </w:pPr>
      <w:r w:rsidRPr="000F7CCE">
        <w:rPr>
          <w:caps/>
        </w:rPr>
        <w:fldChar w:fldCharType="begin"/>
      </w:r>
      <w:r w:rsidRPr="000F7CCE">
        <w:rPr>
          <w:caps/>
        </w:rPr>
        <w:instrText xml:space="preserve"> TOC \B "AxI" \t "Leg # Title,1,Leg SubRule #,2" </w:instrText>
      </w:r>
      <w:r w:rsidRPr="000F7CCE">
        <w:rPr>
          <w:caps/>
        </w:rPr>
        <w:fldChar w:fldCharType="separate"/>
      </w:r>
      <w:r w:rsidRPr="000F7CCE">
        <w:rPr>
          <w:noProof/>
        </w:rPr>
        <w:t>Rule 69   Start of and Time Limit for  International Preliminary Examination</w:t>
      </w:r>
      <w:r w:rsidRPr="000F7CCE">
        <w:rPr>
          <w:noProof/>
        </w:rPr>
        <w:tab/>
      </w:r>
      <w:r w:rsidRPr="000F7CCE">
        <w:rPr>
          <w:noProof/>
        </w:rPr>
        <w:fldChar w:fldCharType="begin"/>
      </w:r>
      <w:r w:rsidRPr="000F7CCE">
        <w:rPr>
          <w:noProof/>
        </w:rPr>
        <w:instrText xml:space="preserve"> PAGEREF _Toc517968738 \h </w:instrText>
      </w:r>
      <w:r w:rsidRPr="000F7CCE">
        <w:rPr>
          <w:noProof/>
        </w:rPr>
      </w:r>
      <w:r w:rsidRPr="000F7CCE">
        <w:rPr>
          <w:noProof/>
        </w:rPr>
        <w:fldChar w:fldCharType="separate"/>
      </w:r>
      <w:r w:rsidR="001762DA">
        <w:rPr>
          <w:noProof/>
        </w:rPr>
        <w:t>2</w:t>
      </w:r>
      <w:r w:rsidRPr="000F7CCE">
        <w:rPr>
          <w:noProof/>
        </w:rPr>
        <w:fldChar w:fldCharType="end"/>
      </w:r>
    </w:p>
    <w:p w:rsidR="000F7CCE" w:rsidRPr="000F7CCE" w:rsidRDefault="000F7CCE" w:rsidP="000F7CCE">
      <w:pPr>
        <w:tabs>
          <w:tab w:val="right" w:leader="dot" w:pos="9345"/>
        </w:tabs>
        <w:spacing w:after="100"/>
        <w:ind w:left="522"/>
        <w:rPr>
          <w:rFonts w:asciiTheme="minorHAnsi" w:eastAsiaTheme="minorEastAsia" w:hAnsiTheme="minorHAnsi" w:cstheme="minorBidi"/>
          <w:noProof/>
          <w:szCs w:val="22"/>
          <w:lang w:val="en-GB" w:eastAsia="en-GB"/>
        </w:rPr>
      </w:pPr>
      <w:r w:rsidRPr="000F7CCE">
        <w:rPr>
          <w:noProof/>
        </w:rPr>
        <w:t>69.1   </w:t>
      </w:r>
      <w:r w:rsidRPr="000F7CCE">
        <w:rPr>
          <w:i/>
          <w:noProof/>
        </w:rPr>
        <w:t>Start of International Preliminary Examination</w:t>
      </w:r>
      <w:r w:rsidRPr="000F7CCE">
        <w:rPr>
          <w:noProof/>
        </w:rPr>
        <w:tab/>
      </w:r>
      <w:r w:rsidRPr="000F7CCE">
        <w:rPr>
          <w:noProof/>
        </w:rPr>
        <w:fldChar w:fldCharType="begin"/>
      </w:r>
      <w:r w:rsidRPr="000F7CCE">
        <w:rPr>
          <w:noProof/>
        </w:rPr>
        <w:instrText xml:space="preserve"> PAGEREF _Toc517968739 \h </w:instrText>
      </w:r>
      <w:r w:rsidRPr="000F7CCE">
        <w:rPr>
          <w:noProof/>
        </w:rPr>
      </w:r>
      <w:r w:rsidRPr="000F7CCE">
        <w:rPr>
          <w:noProof/>
        </w:rPr>
        <w:fldChar w:fldCharType="separate"/>
      </w:r>
      <w:r w:rsidR="001762DA">
        <w:rPr>
          <w:noProof/>
        </w:rPr>
        <w:t>2</w:t>
      </w:r>
      <w:r w:rsidRPr="000F7CCE">
        <w:rPr>
          <w:noProof/>
        </w:rPr>
        <w:fldChar w:fldCharType="end"/>
      </w:r>
    </w:p>
    <w:p w:rsidR="000F7CCE" w:rsidRPr="000F7CCE" w:rsidRDefault="000F7CCE" w:rsidP="000F7CCE">
      <w:pPr>
        <w:tabs>
          <w:tab w:val="right" w:leader="dot" w:pos="9345"/>
        </w:tabs>
        <w:spacing w:after="100"/>
        <w:ind w:left="522"/>
        <w:rPr>
          <w:rFonts w:asciiTheme="minorHAnsi" w:eastAsiaTheme="minorEastAsia" w:hAnsiTheme="minorHAnsi" w:cstheme="minorBidi"/>
          <w:noProof/>
          <w:szCs w:val="22"/>
          <w:lang w:val="en-GB" w:eastAsia="en-GB"/>
        </w:rPr>
      </w:pPr>
      <w:r w:rsidRPr="000F7CCE">
        <w:rPr>
          <w:noProof/>
        </w:rPr>
        <w:t>69.2   [</w:t>
      </w:r>
      <w:r w:rsidRPr="000F7CCE">
        <w:rPr>
          <w:i/>
          <w:noProof/>
        </w:rPr>
        <w:t>No change</w:t>
      </w:r>
      <w:r w:rsidRPr="000F7CCE">
        <w:rPr>
          <w:noProof/>
        </w:rPr>
        <w:t>]</w:t>
      </w:r>
      <w:r w:rsidRPr="000F7CCE">
        <w:rPr>
          <w:noProof/>
        </w:rPr>
        <w:tab/>
      </w:r>
      <w:r w:rsidRPr="000F7CCE">
        <w:rPr>
          <w:noProof/>
        </w:rPr>
        <w:fldChar w:fldCharType="begin"/>
      </w:r>
      <w:r w:rsidRPr="000F7CCE">
        <w:rPr>
          <w:noProof/>
        </w:rPr>
        <w:instrText xml:space="preserve"> PAGEREF _Toc517968740 \h </w:instrText>
      </w:r>
      <w:r w:rsidRPr="000F7CCE">
        <w:rPr>
          <w:noProof/>
        </w:rPr>
      </w:r>
      <w:r w:rsidRPr="000F7CCE">
        <w:rPr>
          <w:noProof/>
        </w:rPr>
        <w:fldChar w:fldCharType="separate"/>
      </w:r>
      <w:r w:rsidR="001762DA">
        <w:rPr>
          <w:noProof/>
        </w:rPr>
        <w:t>2</w:t>
      </w:r>
      <w:r w:rsidRPr="000F7CCE">
        <w:rPr>
          <w:noProof/>
        </w:rPr>
        <w:fldChar w:fldCharType="end"/>
      </w:r>
    </w:p>
    <w:p w:rsidR="000F7CCE" w:rsidRPr="000F7CCE" w:rsidRDefault="000F7CCE" w:rsidP="000F7CCE">
      <w:pPr>
        <w:rPr>
          <w:caps/>
        </w:rPr>
      </w:pPr>
      <w:r w:rsidRPr="000F7CCE">
        <w:rPr>
          <w:caps/>
        </w:rPr>
        <w:fldChar w:fldCharType="end"/>
      </w:r>
    </w:p>
    <w:p w:rsidR="000F7CCE" w:rsidRPr="000F7CCE" w:rsidRDefault="000F7CCE" w:rsidP="000F7CCE">
      <w:pPr>
        <w:keepNext/>
        <w:keepLines/>
        <w:pageBreakBefore/>
        <w:spacing w:before="240" w:line="480" w:lineRule="auto"/>
        <w:jc w:val="center"/>
        <w:rPr>
          <w:rFonts w:eastAsia="Arial Unicode MS" w:cs="Times New Roman"/>
          <w:b/>
          <w:snapToGrid w:val="0"/>
          <w:lang w:eastAsia="en-US"/>
        </w:rPr>
      </w:pPr>
      <w:bookmarkStart w:id="8" w:name="_Toc511121974"/>
      <w:bookmarkStart w:id="9" w:name="_Toc513631742"/>
      <w:bookmarkStart w:id="10" w:name="_Toc513651159"/>
      <w:bookmarkStart w:id="11" w:name="_Toc517968738"/>
      <w:r w:rsidRPr="000F7CCE">
        <w:rPr>
          <w:rFonts w:eastAsia="Arial Unicode MS" w:cs="Times New Roman"/>
          <w:b/>
          <w:snapToGrid w:val="0"/>
          <w:lang w:eastAsia="en-US"/>
        </w:rPr>
        <w:lastRenderedPageBreak/>
        <w:t xml:space="preserve">Rule </w:t>
      </w:r>
      <w:proofErr w:type="gramStart"/>
      <w:r w:rsidRPr="000F7CCE">
        <w:rPr>
          <w:rFonts w:eastAsia="Arial Unicode MS" w:cs="Times New Roman"/>
          <w:b/>
          <w:snapToGrid w:val="0"/>
          <w:lang w:eastAsia="en-US"/>
        </w:rPr>
        <w:t xml:space="preserve">69  </w:t>
      </w:r>
      <w:proofErr w:type="gramEnd"/>
      <w:r w:rsidRPr="000F7CCE">
        <w:rPr>
          <w:rFonts w:eastAsia="Arial Unicode MS" w:cs="Times New Roman"/>
          <w:b/>
          <w:snapToGrid w:val="0"/>
          <w:lang w:eastAsia="en-US"/>
        </w:rPr>
        <w:br/>
      </w:r>
      <w:bookmarkEnd w:id="8"/>
      <w:bookmarkEnd w:id="9"/>
      <w:r w:rsidRPr="000F7CCE">
        <w:rPr>
          <w:rFonts w:eastAsia="Arial Unicode MS" w:cs="Times New Roman"/>
          <w:b/>
          <w:snapToGrid w:val="0"/>
          <w:lang w:eastAsia="en-US"/>
        </w:rPr>
        <w:t xml:space="preserve">Start of and Time Limit for </w:t>
      </w:r>
      <w:r w:rsidRPr="000F7CCE">
        <w:rPr>
          <w:rFonts w:eastAsia="Arial Unicode MS" w:cs="Times New Roman"/>
          <w:b/>
          <w:snapToGrid w:val="0"/>
          <w:lang w:eastAsia="en-US"/>
        </w:rPr>
        <w:br/>
        <w:t>International Preliminary Examination</w:t>
      </w:r>
      <w:bookmarkEnd w:id="10"/>
      <w:bookmarkEnd w:id="11"/>
    </w:p>
    <w:p w:rsidR="000F7CCE" w:rsidRPr="000F7CCE" w:rsidRDefault="000F7CCE" w:rsidP="000F7CCE">
      <w:pPr>
        <w:keepNext/>
        <w:keepLines/>
        <w:tabs>
          <w:tab w:val="left" w:pos="510"/>
        </w:tabs>
        <w:spacing w:before="480" w:line="480" w:lineRule="auto"/>
        <w:ind w:left="533" w:hanging="533"/>
        <w:rPr>
          <w:rFonts w:eastAsia="Arial Unicode MS" w:cs="Times New Roman"/>
          <w:snapToGrid w:val="0"/>
          <w:lang w:eastAsia="en-US"/>
        </w:rPr>
      </w:pPr>
      <w:bookmarkStart w:id="12" w:name="_Toc511121975"/>
      <w:bookmarkStart w:id="13" w:name="_Toc513631743"/>
      <w:bookmarkStart w:id="14" w:name="_Toc513651160"/>
      <w:bookmarkStart w:id="15" w:name="_Toc517968739"/>
      <w:r w:rsidRPr="000F7CCE">
        <w:rPr>
          <w:rFonts w:eastAsia="Arial Unicode MS" w:cs="Times New Roman"/>
          <w:snapToGrid w:val="0"/>
          <w:lang w:eastAsia="en-US"/>
        </w:rPr>
        <w:t>69.1   </w:t>
      </w:r>
      <w:bookmarkEnd w:id="12"/>
      <w:bookmarkEnd w:id="13"/>
      <w:r w:rsidRPr="000F7CCE">
        <w:rPr>
          <w:rFonts w:eastAsia="Arial Unicode MS" w:cs="Times New Roman"/>
          <w:i/>
          <w:snapToGrid w:val="0"/>
          <w:lang w:eastAsia="en-US"/>
        </w:rPr>
        <w:t>Start of International Preliminary Examination</w:t>
      </w:r>
      <w:bookmarkEnd w:id="14"/>
      <w:bookmarkEnd w:id="15"/>
    </w:p>
    <w:p w:rsidR="000F7CCE" w:rsidRPr="000F7CCE" w:rsidRDefault="000F7CCE" w:rsidP="000F7CCE">
      <w:pPr>
        <w:tabs>
          <w:tab w:val="left" w:pos="454"/>
        </w:tabs>
        <w:spacing w:before="240" w:after="240" w:line="480" w:lineRule="auto"/>
        <w:rPr>
          <w:rFonts w:eastAsia="Times New Roman" w:cs="Times New Roman"/>
          <w:snapToGrid w:val="0"/>
          <w:lang w:eastAsia="en-US"/>
        </w:rPr>
      </w:pPr>
      <w:r w:rsidRPr="000F7CCE">
        <w:rPr>
          <w:rFonts w:eastAsia="Times New Roman" w:cs="Times New Roman"/>
          <w:snapToGrid w:val="0"/>
          <w:lang w:eastAsia="en-US"/>
        </w:rPr>
        <w:tab/>
        <w:t>(a)  Subject to paragraphs (b) to (e), the International Preliminary Examining Authority shall start the international preliminary examination when it is in possession of all of the following:</w:t>
      </w:r>
    </w:p>
    <w:p w:rsidR="000F7CCE" w:rsidRPr="000F7CCE" w:rsidRDefault="000F7CCE" w:rsidP="000F7CCE">
      <w:pPr>
        <w:tabs>
          <w:tab w:val="right" w:pos="1020"/>
          <w:tab w:val="left" w:pos="1191"/>
        </w:tabs>
        <w:spacing w:before="60" w:line="480" w:lineRule="auto"/>
        <w:ind w:left="1195" w:hanging="1195"/>
        <w:jc w:val="both"/>
        <w:rPr>
          <w:rFonts w:eastAsia="Times New Roman"/>
          <w:snapToGrid w:val="0"/>
          <w:szCs w:val="22"/>
          <w:lang w:eastAsia="en-US"/>
        </w:rPr>
      </w:pPr>
      <w:r w:rsidRPr="000F7CCE">
        <w:rPr>
          <w:rFonts w:eastAsia="Times New Roman"/>
          <w:snapToGrid w:val="0"/>
          <w:szCs w:val="22"/>
          <w:lang w:eastAsia="en-US"/>
        </w:rPr>
        <w:tab/>
        <w:t>(</w:t>
      </w:r>
      <w:proofErr w:type="spellStart"/>
      <w:r w:rsidRPr="000F7CCE">
        <w:rPr>
          <w:rFonts w:eastAsia="Times New Roman"/>
          <w:snapToGrid w:val="0"/>
          <w:szCs w:val="22"/>
          <w:lang w:eastAsia="en-US"/>
        </w:rPr>
        <w:t>i</w:t>
      </w:r>
      <w:proofErr w:type="spellEnd"/>
      <w:r w:rsidRPr="000F7CCE">
        <w:rPr>
          <w:rFonts w:eastAsia="Times New Roman"/>
          <w:snapToGrid w:val="0"/>
          <w:szCs w:val="22"/>
          <w:lang w:eastAsia="en-US"/>
        </w:rPr>
        <w:t>)</w:t>
      </w:r>
      <w:r w:rsidRPr="000F7CCE">
        <w:rPr>
          <w:rFonts w:eastAsia="Times New Roman"/>
          <w:snapToGrid w:val="0"/>
          <w:szCs w:val="22"/>
          <w:lang w:eastAsia="en-US"/>
        </w:rPr>
        <w:tab/>
      </w:r>
      <w:proofErr w:type="gramStart"/>
      <w:r w:rsidRPr="000F7CCE">
        <w:rPr>
          <w:rFonts w:eastAsia="Times New Roman"/>
          <w:snapToGrid w:val="0"/>
          <w:szCs w:val="22"/>
          <w:lang w:eastAsia="en-US"/>
        </w:rPr>
        <w:t>the</w:t>
      </w:r>
      <w:proofErr w:type="gramEnd"/>
      <w:r w:rsidRPr="000F7CCE">
        <w:rPr>
          <w:rFonts w:eastAsia="Times New Roman"/>
          <w:snapToGrid w:val="0"/>
          <w:szCs w:val="22"/>
          <w:lang w:eastAsia="en-US"/>
        </w:rPr>
        <w:t xml:space="preserve"> demand;</w:t>
      </w:r>
    </w:p>
    <w:p w:rsidR="000F7CCE" w:rsidRPr="000F7CCE" w:rsidRDefault="000F7CCE" w:rsidP="000F7CCE">
      <w:pPr>
        <w:tabs>
          <w:tab w:val="right" w:pos="1020"/>
          <w:tab w:val="left" w:pos="1191"/>
        </w:tabs>
        <w:spacing w:before="60" w:line="480" w:lineRule="auto"/>
        <w:ind w:left="1195" w:hanging="1195"/>
        <w:jc w:val="both"/>
        <w:rPr>
          <w:rFonts w:eastAsia="Times New Roman"/>
          <w:snapToGrid w:val="0"/>
          <w:szCs w:val="22"/>
          <w:lang w:eastAsia="en-US"/>
        </w:rPr>
      </w:pPr>
      <w:r w:rsidRPr="000F7CCE">
        <w:rPr>
          <w:rFonts w:eastAsia="Times New Roman"/>
          <w:snapToGrid w:val="0"/>
          <w:szCs w:val="22"/>
          <w:lang w:eastAsia="en-US"/>
        </w:rPr>
        <w:tab/>
        <w:t>(ii)</w:t>
      </w:r>
      <w:r w:rsidRPr="000F7CCE">
        <w:rPr>
          <w:rFonts w:eastAsia="Times New Roman"/>
          <w:snapToGrid w:val="0"/>
          <w:szCs w:val="22"/>
          <w:lang w:eastAsia="en-US"/>
        </w:rPr>
        <w:tab/>
      </w:r>
      <w:proofErr w:type="gramStart"/>
      <w:r w:rsidRPr="000F7CCE">
        <w:rPr>
          <w:rFonts w:eastAsia="Times New Roman"/>
          <w:snapToGrid w:val="0"/>
          <w:szCs w:val="22"/>
          <w:lang w:eastAsia="en-US"/>
        </w:rPr>
        <w:t>the</w:t>
      </w:r>
      <w:proofErr w:type="gramEnd"/>
      <w:r w:rsidRPr="000F7CCE">
        <w:rPr>
          <w:rFonts w:eastAsia="Times New Roman"/>
          <w:snapToGrid w:val="0"/>
          <w:szCs w:val="22"/>
          <w:lang w:eastAsia="en-US"/>
        </w:rPr>
        <w:t xml:space="preserve"> amount due (in full) for the handling fee and the preliminary examination fee, including, where applicable, the late payment fee under Rule 58bis.2;  and</w:t>
      </w:r>
    </w:p>
    <w:p w:rsidR="000F7CCE" w:rsidRPr="000F7CCE" w:rsidRDefault="000F7CCE" w:rsidP="000F7CCE">
      <w:pPr>
        <w:tabs>
          <w:tab w:val="right" w:pos="1020"/>
          <w:tab w:val="left" w:pos="1191"/>
        </w:tabs>
        <w:spacing w:before="60" w:line="480" w:lineRule="auto"/>
        <w:ind w:left="1195" w:hanging="1195"/>
        <w:jc w:val="both"/>
        <w:rPr>
          <w:rFonts w:eastAsia="Times New Roman"/>
          <w:snapToGrid w:val="0"/>
          <w:szCs w:val="22"/>
          <w:lang w:eastAsia="en-US"/>
        </w:rPr>
      </w:pPr>
      <w:r w:rsidRPr="000F7CCE">
        <w:rPr>
          <w:rFonts w:eastAsia="Times New Roman"/>
          <w:snapToGrid w:val="0"/>
          <w:szCs w:val="22"/>
          <w:lang w:eastAsia="en-US"/>
        </w:rPr>
        <w:tab/>
        <w:t>(iii)</w:t>
      </w:r>
      <w:r w:rsidRPr="000F7CCE">
        <w:rPr>
          <w:rFonts w:eastAsia="Times New Roman"/>
          <w:snapToGrid w:val="0"/>
          <w:szCs w:val="22"/>
          <w:lang w:eastAsia="en-US"/>
        </w:rPr>
        <w:tab/>
        <w:t>either the international search report or the declaration by the International Searching Authority under Article 17(2)(a) that no international search report will be established, and the written opinion established under Rule 43bis.1;</w:t>
      </w:r>
    </w:p>
    <w:p w:rsidR="000F7CCE" w:rsidRPr="000F7CCE" w:rsidRDefault="000F7CCE" w:rsidP="000F7CCE">
      <w:pPr>
        <w:tabs>
          <w:tab w:val="left" w:pos="454"/>
        </w:tabs>
        <w:spacing w:before="240" w:after="240" w:line="480" w:lineRule="auto"/>
        <w:rPr>
          <w:rFonts w:eastAsia="Times New Roman" w:cs="Times New Roman"/>
          <w:snapToGrid w:val="0"/>
          <w:lang w:eastAsia="en-US"/>
        </w:rPr>
      </w:pPr>
      <w:r w:rsidRPr="000F7CCE">
        <w:rPr>
          <w:rFonts w:eastAsia="Times New Roman" w:cs="Times New Roman"/>
          <w:strike/>
          <w:snapToGrid w:val="0"/>
          <w:color w:val="FF0000"/>
          <w:lang w:eastAsia="en-US"/>
        </w:rPr>
        <w:t>provided that the International Preliminary Examining Authority shall not start the international preliminary examination before the expiration of the applicable time limit under Rule 54bis.1(a)</w:t>
      </w:r>
      <w:r w:rsidRPr="000F7CCE">
        <w:rPr>
          <w:rFonts w:eastAsia="Times New Roman" w:cs="Times New Roman"/>
          <w:snapToGrid w:val="0"/>
          <w:color w:val="0000FF"/>
          <w:u w:val="single"/>
          <w:lang w:eastAsia="en-US"/>
        </w:rPr>
        <w:t xml:space="preserve"> </w:t>
      </w:r>
      <w:r w:rsidRPr="000F7CCE">
        <w:rPr>
          <w:rFonts w:eastAsia="Times New Roman" w:cs="Times New Roman"/>
          <w:snapToGrid w:val="0"/>
          <w:lang w:eastAsia="en-US"/>
        </w:rPr>
        <w:t xml:space="preserve">unless the applicant expressly requests </w:t>
      </w:r>
      <w:r w:rsidRPr="000F7CCE">
        <w:rPr>
          <w:rFonts w:eastAsia="Times New Roman" w:cs="Times New Roman"/>
          <w:snapToGrid w:val="0"/>
          <w:color w:val="0000FF"/>
          <w:u w:val="single"/>
          <w:lang w:eastAsia="en-US"/>
        </w:rPr>
        <w:t>to postpone the start of the international preliminary examination until the expiration of the applicable time limit under Rule 54</w:t>
      </w:r>
      <w:r w:rsidRPr="000F7CCE">
        <w:rPr>
          <w:rFonts w:eastAsia="Times New Roman" w:cs="Times New Roman"/>
          <w:i/>
          <w:snapToGrid w:val="0"/>
          <w:color w:val="0000FF"/>
          <w:u w:val="single"/>
          <w:lang w:eastAsia="en-US"/>
        </w:rPr>
        <w:t>bis.</w:t>
      </w:r>
      <w:r w:rsidRPr="000F7CCE">
        <w:rPr>
          <w:rFonts w:eastAsia="Times New Roman" w:cs="Times New Roman"/>
          <w:snapToGrid w:val="0"/>
          <w:color w:val="0000FF"/>
          <w:u w:val="single"/>
          <w:lang w:eastAsia="en-US"/>
        </w:rPr>
        <w:t>1(a)</w:t>
      </w:r>
      <w:r w:rsidRPr="000F7CCE">
        <w:rPr>
          <w:rFonts w:eastAsia="Times New Roman" w:cs="Times New Roman"/>
          <w:snapToGrid w:val="0"/>
          <w:lang w:eastAsia="en-US"/>
        </w:rPr>
        <w:t xml:space="preserve"> </w:t>
      </w:r>
      <w:r w:rsidRPr="000F7CCE">
        <w:rPr>
          <w:rFonts w:eastAsia="Times New Roman" w:cs="Times New Roman"/>
          <w:strike/>
          <w:snapToGrid w:val="0"/>
          <w:color w:val="FF0000"/>
          <w:lang w:eastAsia="en-US"/>
        </w:rPr>
        <w:t>an earlier start</w:t>
      </w:r>
      <w:r w:rsidRPr="000F7CCE">
        <w:rPr>
          <w:rFonts w:eastAsia="Times New Roman" w:cs="Times New Roman"/>
          <w:snapToGrid w:val="0"/>
          <w:lang w:eastAsia="en-US"/>
        </w:rPr>
        <w:t>.</w:t>
      </w:r>
    </w:p>
    <w:p w:rsidR="000F7CCE" w:rsidRPr="000F7CCE" w:rsidRDefault="000F7CCE" w:rsidP="000F7CCE">
      <w:pPr>
        <w:tabs>
          <w:tab w:val="left" w:pos="454"/>
        </w:tabs>
        <w:spacing w:before="240" w:after="240" w:line="480" w:lineRule="auto"/>
        <w:rPr>
          <w:rFonts w:eastAsia="Times New Roman" w:cs="Times New Roman"/>
          <w:snapToGrid w:val="0"/>
          <w:lang w:eastAsia="en-US"/>
        </w:rPr>
      </w:pPr>
      <w:r w:rsidRPr="000F7CCE">
        <w:rPr>
          <w:rFonts w:eastAsia="Times New Roman" w:cs="Times New Roman"/>
          <w:snapToGrid w:val="0"/>
          <w:lang w:eastAsia="en-US"/>
        </w:rPr>
        <w:tab/>
        <w:t xml:space="preserve">(b) </w:t>
      </w:r>
      <w:proofErr w:type="gramStart"/>
      <w:r w:rsidRPr="000F7CCE">
        <w:rPr>
          <w:rFonts w:eastAsia="Times New Roman" w:cs="Times New Roman"/>
          <w:snapToGrid w:val="0"/>
          <w:lang w:eastAsia="en-US"/>
        </w:rPr>
        <w:t>to</w:t>
      </w:r>
      <w:proofErr w:type="gramEnd"/>
      <w:r w:rsidRPr="000F7CCE">
        <w:rPr>
          <w:rFonts w:eastAsia="Times New Roman" w:cs="Times New Roman"/>
          <w:snapToGrid w:val="0"/>
          <w:lang w:eastAsia="en-US"/>
        </w:rPr>
        <w:t xml:space="preserve"> (e)   </w:t>
      </w:r>
      <w:r w:rsidRPr="000F7CCE">
        <w:rPr>
          <w:rFonts w:eastAsia="Times New Roman" w:cs="Times New Roman"/>
          <w:i/>
          <w:snapToGrid w:val="0"/>
          <w:lang w:eastAsia="en-US"/>
        </w:rPr>
        <w:t>[No change]</w:t>
      </w:r>
    </w:p>
    <w:p w:rsidR="000F7CCE" w:rsidRPr="000F7CCE" w:rsidRDefault="000F7CCE" w:rsidP="000F7CCE">
      <w:pPr>
        <w:keepNext/>
        <w:keepLines/>
        <w:tabs>
          <w:tab w:val="left" w:pos="510"/>
        </w:tabs>
        <w:spacing w:before="480" w:line="480" w:lineRule="auto"/>
        <w:ind w:left="533" w:hanging="533"/>
        <w:rPr>
          <w:rFonts w:eastAsia="Arial Unicode MS" w:cs="Times New Roman"/>
          <w:snapToGrid w:val="0"/>
          <w:lang w:eastAsia="en-US"/>
        </w:rPr>
      </w:pPr>
      <w:bookmarkStart w:id="16" w:name="_Toc513631744"/>
      <w:bookmarkStart w:id="17" w:name="_Toc513651161"/>
      <w:bookmarkStart w:id="18" w:name="_Toc517968740"/>
      <w:r w:rsidRPr="000F7CCE">
        <w:rPr>
          <w:rFonts w:eastAsia="Arial Unicode MS" w:cs="Times New Roman"/>
          <w:snapToGrid w:val="0"/>
          <w:lang w:eastAsia="en-US"/>
        </w:rPr>
        <w:t>69.2</w:t>
      </w:r>
      <w:bookmarkEnd w:id="16"/>
      <w:r w:rsidRPr="000F7CCE">
        <w:rPr>
          <w:rFonts w:eastAsia="Arial Unicode MS" w:cs="Times New Roman"/>
          <w:snapToGrid w:val="0"/>
          <w:lang w:eastAsia="en-US"/>
        </w:rPr>
        <w:t>   [</w:t>
      </w:r>
      <w:r w:rsidRPr="000F7CCE">
        <w:rPr>
          <w:rFonts w:eastAsia="Arial Unicode MS" w:cs="Times New Roman"/>
          <w:i/>
          <w:snapToGrid w:val="0"/>
          <w:lang w:eastAsia="en-US"/>
        </w:rPr>
        <w:t>No change</w:t>
      </w:r>
      <w:r w:rsidRPr="000F7CCE">
        <w:rPr>
          <w:rFonts w:eastAsia="Arial Unicode MS" w:cs="Times New Roman"/>
          <w:snapToGrid w:val="0"/>
          <w:lang w:eastAsia="en-US"/>
        </w:rPr>
        <w:t>]</w:t>
      </w:r>
      <w:bookmarkEnd w:id="17"/>
      <w:bookmarkEnd w:id="18"/>
    </w:p>
    <w:p w:rsidR="000F7CCE" w:rsidRPr="000F7CCE" w:rsidRDefault="000F7CCE" w:rsidP="000F7CCE"/>
    <w:p w:rsidR="000F7CCE" w:rsidRPr="000F7CCE" w:rsidRDefault="000F7CCE" w:rsidP="000F7CCE"/>
    <w:p w:rsidR="000F7CCE" w:rsidRPr="000F7CCE" w:rsidRDefault="000F7CCE" w:rsidP="000F7CCE">
      <w:pPr>
        <w:ind w:left="5534"/>
        <w:sectPr w:rsidR="000F7CCE" w:rsidRPr="000F7CCE" w:rsidSect="001B7D3E">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r w:rsidRPr="000F7CCE">
        <w:t>[Annex II follows]</w:t>
      </w:r>
      <w:bookmarkEnd w:id="7"/>
    </w:p>
    <w:p w:rsidR="000F7CCE" w:rsidRPr="000F7CCE" w:rsidRDefault="000F7CCE" w:rsidP="000F7CCE">
      <w:pPr>
        <w:jc w:val="center"/>
      </w:pPr>
    </w:p>
    <w:p w:rsidR="000F7CCE" w:rsidRPr="000F7CCE" w:rsidRDefault="000F7CCE" w:rsidP="000F7CCE">
      <w:pPr>
        <w:jc w:val="center"/>
      </w:pPr>
    </w:p>
    <w:p w:rsidR="000F7CCE" w:rsidRPr="000F7CCE" w:rsidRDefault="000F7CCE" w:rsidP="000F7CCE">
      <w:pPr>
        <w:jc w:val="center"/>
        <w:rPr>
          <w:caps/>
        </w:rPr>
      </w:pPr>
      <w:bookmarkStart w:id="19" w:name="AxII"/>
      <w:r w:rsidRPr="000F7CCE">
        <w:t xml:space="preserve">PROPOSED AMENDMENTS TO THE PCT </w:t>
      </w:r>
      <w:proofErr w:type="gramStart"/>
      <w:r w:rsidRPr="000F7CCE">
        <w:t>REGULATIONS</w:t>
      </w:r>
      <w:proofErr w:type="gramEnd"/>
      <w:r w:rsidRPr="000F7CCE">
        <w:br/>
      </w:r>
      <w:r w:rsidRPr="000F7CCE">
        <w:rPr>
          <w:caps/>
        </w:rPr>
        <w:t>(clean text)</w:t>
      </w:r>
    </w:p>
    <w:p w:rsidR="000F7CCE" w:rsidRPr="000F7CCE" w:rsidRDefault="000F7CCE" w:rsidP="000F7CCE">
      <w:pPr>
        <w:jc w:val="center"/>
      </w:pPr>
    </w:p>
    <w:p w:rsidR="000F7CCE" w:rsidRPr="000F7CCE" w:rsidRDefault="000F7CCE" w:rsidP="000F7CCE"/>
    <w:p w:rsidR="000F7CCE" w:rsidRPr="000F7CCE" w:rsidRDefault="000F7CCE" w:rsidP="000F7CCE">
      <w:r w:rsidRPr="000F7CCE">
        <w:t>Proposed amendments of the PCT Regulations are set out in Annex I, in which additions and deletions are shown, respectively, by underlining and striking-through of the text concerned.  This Annex contains, for convenient reference, a “clean” text of the relevant provisions as they would stand after amendment.</w:t>
      </w:r>
    </w:p>
    <w:p w:rsidR="000F7CCE" w:rsidRPr="000F7CCE" w:rsidRDefault="000F7CCE" w:rsidP="000F7CCE">
      <w:pPr>
        <w:jc w:val="center"/>
      </w:pPr>
    </w:p>
    <w:p w:rsidR="000F7CCE" w:rsidRPr="000F7CCE" w:rsidRDefault="000F7CCE" w:rsidP="000F7CCE"/>
    <w:p w:rsidR="000F7CCE" w:rsidRPr="000F7CCE" w:rsidRDefault="000F7CCE" w:rsidP="000F7CCE">
      <w:pPr>
        <w:jc w:val="center"/>
      </w:pPr>
      <w:r w:rsidRPr="000F7CCE">
        <w:t>TABLE OF CONTENTS</w:t>
      </w:r>
    </w:p>
    <w:p w:rsidR="000F7CCE" w:rsidRPr="000F7CCE" w:rsidRDefault="000F7CCE" w:rsidP="000F7CCE">
      <w:pPr>
        <w:tabs>
          <w:tab w:val="right" w:leader="dot" w:pos="9345"/>
        </w:tabs>
        <w:spacing w:before="240" w:after="100"/>
        <w:rPr>
          <w:rFonts w:asciiTheme="minorHAnsi" w:eastAsiaTheme="minorEastAsia" w:hAnsiTheme="minorHAnsi" w:cstheme="minorBidi"/>
          <w:noProof/>
          <w:szCs w:val="22"/>
          <w:lang w:val="en-GB" w:eastAsia="en-GB"/>
        </w:rPr>
      </w:pPr>
      <w:r w:rsidRPr="000F7CCE">
        <w:rPr>
          <w:caps/>
        </w:rPr>
        <w:fldChar w:fldCharType="begin"/>
      </w:r>
      <w:r w:rsidRPr="000F7CCE">
        <w:rPr>
          <w:caps/>
        </w:rPr>
        <w:instrText xml:space="preserve"> TOC \B "AxII" \t "Leg # Title,1,Leg SubRule #,2" </w:instrText>
      </w:r>
      <w:r w:rsidRPr="000F7CCE">
        <w:rPr>
          <w:caps/>
        </w:rPr>
        <w:fldChar w:fldCharType="separate"/>
      </w:r>
      <w:r w:rsidRPr="000F7CCE">
        <w:rPr>
          <w:noProof/>
        </w:rPr>
        <w:t>Rule 69   Start of and Time Limit for  International Preliminary Examination</w:t>
      </w:r>
      <w:r w:rsidRPr="000F7CCE">
        <w:rPr>
          <w:noProof/>
        </w:rPr>
        <w:tab/>
      </w:r>
      <w:r w:rsidRPr="000F7CCE">
        <w:rPr>
          <w:noProof/>
        </w:rPr>
        <w:fldChar w:fldCharType="begin"/>
      </w:r>
      <w:r w:rsidRPr="000F7CCE">
        <w:rPr>
          <w:noProof/>
        </w:rPr>
        <w:instrText xml:space="preserve"> PAGEREF _Toc517968741 \h </w:instrText>
      </w:r>
      <w:r w:rsidRPr="000F7CCE">
        <w:rPr>
          <w:noProof/>
        </w:rPr>
      </w:r>
      <w:r w:rsidRPr="000F7CCE">
        <w:rPr>
          <w:noProof/>
        </w:rPr>
        <w:fldChar w:fldCharType="separate"/>
      </w:r>
      <w:r w:rsidR="001762DA">
        <w:rPr>
          <w:noProof/>
        </w:rPr>
        <w:t>2</w:t>
      </w:r>
      <w:r w:rsidRPr="000F7CCE">
        <w:rPr>
          <w:noProof/>
        </w:rPr>
        <w:fldChar w:fldCharType="end"/>
      </w:r>
    </w:p>
    <w:p w:rsidR="000F7CCE" w:rsidRPr="000F7CCE" w:rsidRDefault="000F7CCE" w:rsidP="000F7CCE">
      <w:pPr>
        <w:tabs>
          <w:tab w:val="right" w:leader="dot" w:pos="9345"/>
        </w:tabs>
        <w:spacing w:after="100"/>
        <w:ind w:left="522"/>
        <w:rPr>
          <w:rFonts w:asciiTheme="minorHAnsi" w:eastAsiaTheme="minorEastAsia" w:hAnsiTheme="minorHAnsi" w:cstheme="minorBidi"/>
          <w:noProof/>
          <w:szCs w:val="22"/>
          <w:lang w:val="en-GB" w:eastAsia="en-GB"/>
        </w:rPr>
      </w:pPr>
      <w:r w:rsidRPr="000F7CCE">
        <w:rPr>
          <w:noProof/>
        </w:rPr>
        <w:t>69.1   </w:t>
      </w:r>
      <w:r w:rsidRPr="000F7CCE">
        <w:rPr>
          <w:i/>
          <w:noProof/>
        </w:rPr>
        <w:t>Start of International Preliminary Examination</w:t>
      </w:r>
      <w:r w:rsidRPr="000F7CCE">
        <w:rPr>
          <w:noProof/>
        </w:rPr>
        <w:tab/>
      </w:r>
      <w:r w:rsidRPr="000F7CCE">
        <w:rPr>
          <w:noProof/>
        </w:rPr>
        <w:fldChar w:fldCharType="begin"/>
      </w:r>
      <w:r w:rsidRPr="000F7CCE">
        <w:rPr>
          <w:noProof/>
        </w:rPr>
        <w:instrText xml:space="preserve"> PAGEREF _Toc517968742 \h </w:instrText>
      </w:r>
      <w:r w:rsidRPr="000F7CCE">
        <w:rPr>
          <w:noProof/>
        </w:rPr>
      </w:r>
      <w:r w:rsidRPr="000F7CCE">
        <w:rPr>
          <w:noProof/>
        </w:rPr>
        <w:fldChar w:fldCharType="separate"/>
      </w:r>
      <w:r w:rsidR="001762DA">
        <w:rPr>
          <w:noProof/>
        </w:rPr>
        <w:t>2</w:t>
      </w:r>
      <w:r w:rsidRPr="000F7CCE">
        <w:rPr>
          <w:noProof/>
        </w:rPr>
        <w:fldChar w:fldCharType="end"/>
      </w:r>
    </w:p>
    <w:p w:rsidR="000F7CCE" w:rsidRPr="000F7CCE" w:rsidRDefault="000F7CCE" w:rsidP="000F7CCE">
      <w:pPr>
        <w:tabs>
          <w:tab w:val="right" w:leader="dot" w:pos="9345"/>
        </w:tabs>
        <w:spacing w:after="100"/>
        <w:ind w:left="522"/>
        <w:rPr>
          <w:rFonts w:asciiTheme="minorHAnsi" w:eastAsiaTheme="minorEastAsia" w:hAnsiTheme="minorHAnsi" w:cstheme="minorBidi"/>
          <w:noProof/>
          <w:szCs w:val="22"/>
          <w:lang w:val="en-GB" w:eastAsia="en-GB"/>
        </w:rPr>
      </w:pPr>
      <w:r w:rsidRPr="000F7CCE">
        <w:rPr>
          <w:noProof/>
        </w:rPr>
        <w:t>69.2   [</w:t>
      </w:r>
      <w:r w:rsidRPr="000F7CCE">
        <w:rPr>
          <w:i/>
          <w:noProof/>
        </w:rPr>
        <w:t>No change</w:t>
      </w:r>
      <w:r w:rsidRPr="000F7CCE">
        <w:rPr>
          <w:noProof/>
        </w:rPr>
        <w:t>]</w:t>
      </w:r>
      <w:r w:rsidRPr="000F7CCE">
        <w:rPr>
          <w:noProof/>
        </w:rPr>
        <w:tab/>
      </w:r>
      <w:r w:rsidRPr="000F7CCE">
        <w:rPr>
          <w:noProof/>
        </w:rPr>
        <w:fldChar w:fldCharType="begin"/>
      </w:r>
      <w:r w:rsidRPr="000F7CCE">
        <w:rPr>
          <w:noProof/>
        </w:rPr>
        <w:instrText xml:space="preserve"> PAGEREF _Toc517968743 \h </w:instrText>
      </w:r>
      <w:r w:rsidRPr="000F7CCE">
        <w:rPr>
          <w:noProof/>
        </w:rPr>
      </w:r>
      <w:r w:rsidRPr="000F7CCE">
        <w:rPr>
          <w:noProof/>
        </w:rPr>
        <w:fldChar w:fldCharType="separate"/>
      </w:r>
      <w:r w:rsidR="001762DA">
        <w:rPr>
          <w:noProof/>
        </w:rPr>
        <w:t>2</w:t>
      </w:r>
      <w:r w:rsidRPr="000F7CCE">
        <w:rPr>
          <w:noProof/>
        </w:rPr>
        <w:fldChar w:fldCharType="end"/>
      </w:r>
    </w:p>
    <w:p w:rsidR="00186C1C" w:rsidRDefault="000F7CCE" w:rsidP="000F7CCE">
      <w:pPr>
        <w:rPr>
          <w:caps/>
        </w:rPr>
        <w:sectPr w:rsidR="00186C1C" w:rsidSect="000765C4">
          <w:headerReference w:type="default" r:id="rId13"/>
          <w:headerReference w:type="first" r:id="rId14"/>
          <w:endnotePr>
            <w:numFmt w:val="decimal"/>
          </w:endnotePr>
          <w:pgSz w:w="11907" w:h="16840" w:code="9"/>
          <w:pgMar w:top="567" w:right="1134" w:bottom="1418" w:left="1418" w:header="510" w:footer="1021" w:gutter="0"/>
          <w:cols w:space="720"/>
          <w:titlePg/>
          <w:docGrid w:linePitch="299"/>
        </w:sectPr>
      </w:pPr>
      <w:r w:rsidRPr="000F7CCE">
        <w:rPr>
          <w:caps/>
        </w:rPr>
        <w:fldChar w:fldCharType="end"/>
      </w:r>
    </w:p>
    <w:p w:rsidR="000F7CCE" w:rsidRPr="000F7CCE" w:rsidRDefault="000F7CCE" w:rsidP="000F7CCE">
      <w:pPr>
        <w:keepNext/>
        <w:keepLines/>
        <w:pageBreakBefore/>
        <w:spacing w:before="240" w:line="480" w:lineRule="auto"/>
        <w:jc w:val="center"/>
        <w:rPr>
          <w:rFonts w:eastAsia="Arial Unicode MS" w:cs="Times New Roman"/>
          <w:b/>
          <w:snapToGrid w:val="0"/>
          <w:lang w:eastAsia="en-US"/>
        </w:rPr>
      </w:pPr>
      <w:bookmarkStart w:id="21" w:name="_Toc517968741"/>
      <w:r w:rsidRPr="000F7CCE">
        <w:rPr>
          <w:rFonts w:eastAsia="Arial Unicode MS" w:cs="Times New Roman"/>
          <w:b/>
          <w:snapToGrid w:val="0"/>
          <w:lang w:eastAsia="en-US"/>
        </w:rPr>
        <w:lastRenderedPageBreak/>
        <w:t>Rule 69</w:t>
      </w:r>
      <w:r w:rsidRPr="000F7CCE">
        <w:rPr>
          <w:rFonts w:eastAsia="Arial Unicode MS" w:cs="Times New Roman"/>
          <w:b/>
          <w:snapToGrid w:val="0"/>
          <w:lang w:eastAsia="en-US"/>
        </w:rPr>
        <w:br/>
        <w:t xml:space="preserve">Start of and Time Limit for </w:t>
      </w:r>
      <w:r w:rsidRPr="000F7CCE">
        <w:rPr>
          <w:rFonts w:eastAsia="Arial Unicode MS" w:cs="Times New Roman"/>
          <w:b/>
          <w:snapToGrid w:val="0"/>
          <w:lang w:eastAsia="en-US"/>
        </w:rPr>
        <w:br/>
        <w:t>International Preliminary Examination</w:t>
      </w:r>
      <w:bookmarkEnd w:id="21"/>
    </w:p>
    <w:p w:rsidR="000F7CCE" w:rsidRPr="000F7CCE" w:rsidRDefault="000F7CCE" w:rsidP="000F7CCE">
      <w:pPr>
        <w:keepNext/>
        <w:keepLines/>
        <w:tabs>
          <w:tab w:val="left" w:pos="510"/>
        </w:tabs>
        <w:spacing w:before="480" w:line="480" w:lineRule="auto"/>
        <w:ind w:left="533" w:hanging="533"/>
        <w:rPr>
          <w:rFonts w:eastAsia="Arial Unicode MS" w:cs="Times New Roman"/>
          <w:snapToGrid w:val="0"/>
          <w:lang w:eastAsia="en-US"/>
        </w:rPr>
      </w:pPr>
      <w:bookmarkStart w:id="22" w:name="_Toc517968742"/>
      <w:r w:rsidRPr="000F7CCE">
        <w:rPr>
          <w:rFonts w:eastAsia="Arial Unicode MS" w:cs="Times New Roman"/>
          <w:snapToGrid w:val="0"/>
          <w:lang w:eastAsia="en-US"/>
        </w:rPr>
        <w:t>69.1   </w:t>
      </w:r>
      <w:r w:rsidRPr="000F7CCE">
        <w:rPr>
          <w:rFonts w:eastAsia="Arial Unicode MS" w:cs="Times New Roman"/>
          <w:i/>
          <w:snapToGrid w:val="0"/>
          <w:lang w:eastAsia="en-US"/>
        </w:rPr>
        <w:t>Start of International Preliminary Examination</w:t>
      </w:r>
      <w:bookmarkEnd w:id="22"/>
    </w:p>
    <w:p w:rsidR="000F7CCE" w:rsidRPr="000F7CCE" w:rsidRDefault="000F7CCE" w:rsidP="000F7CCE">
      <w:pPr>
        <w:tabs>
          <w:tab w:val="left" w:pos="454"/>
        </w:tabs>
        <w:spacing w:before="240" w:after="240" w:line="480" w:lineRule="auto"/>
        <w:rPr>
          <w:rFonts w:eastAsia="Times New Roman" w:cs="Times New Roman"/>
          <w:snapToGrid w:val="0"/>
          <w:lang w:eastAsia="en-US"/>
        </w:rPr>
      </w:pPr>
      <w:r w:rsidRPr="000F7CCE">
        <w:rPr>
          <w:rFonts w:eastAsia="Times New Roman" w:cs="Times New Roman"/>
          <w:snapToGrid w:val="0"/>
          <w:lang w:eastAsia="en-US"/>
        </w:rPr>
        <w:tab/>
        <w:t>(a)  Subject to paragraphs (b) to (e), the International Preliminary Examining Authority shall start the international preliminary examination when it is in possession of all of the following:</w:t>
      </w:r>
    </w:p>
    <w:p w:rsidR="000F7CCE" w:rsidRPr="000F7CCE" w:rsidRDefault="000F7CCE" w:rsidP="000F7CCE">
      <w:pPr>
        <w:tabs>
          <w:tab w:val="right" w:pos="1020"/>
          <w:tab w:val="left" w:pos="1191"/>
        </w:tabs>
        <w:spacing w:before="60" w:line="480" w:lineRule="auto"/>
        <w:ind w:left="1195" w:hanging="1195"/>
        <w:jc w:val="both"/>
        <w:rPr>
          <w:rFonts w:eastAsia="Times New Roman"/>
          <w:snapToGrid w:val="0"/>
          <w:szCs w:val="22"/>
          <w:lang w:eastAsia="en-US"/>
        </w:rPr>
      </w:pPr>
      <w:r w:rsidRPr="000F7CCE">
        <w:rPr>
          <w:rFonts w:eastAsia="Times New Roman"/>
          <w:snapToGrid w:val="0"/>
          <w:szCs w:val="22"/>
          <w:lang w:eastAsia="en-US"/>
        </w:rPr>
        <w:tab/>
        <w:t>(</w:t>
      </w:r>
      <w:proofErr w:type="spellStart"/>
      <w:r w:rsidRPr="000F7CCE">
        <w:rPr>
          <w:rFonts w:eastAsia="Times New Roman"/>
          <w:snapToGrid w:val="0"/>
          <w:szCs w:val="22"/>
          <w:lang w:eastAsia="en-US"/>
        </w:rPr>
        <w:t>i</w:t>
      </w:r>
      <w:proofErr w:type="spellEnd"/>
      <w:r w:rsidRPr="000F7CCE">
        <w:rPr>
          <w:rFonts w:eastAsia="Times New Roman"/>
          <w:snapToGrid w:val="0"/>
          <w:szCs w:val="22"/>
          <w:lang w:eastAsia="en-US"/>
        </w:rPr>
        <w:t>)</w:t>
      </w:r>
      <w:r w:rsidRPr="000F7CCE">
        <w:rPr>
          <w:rFonts w:eastAsia="Times New Roman"/>
          <w:snapToGrid w:val="0"/>
          <w:szCs w:val="22"/>
          <w:lang w:eastAsia="en-US"/>
        </w:rPr>
        <w:tab/>
      </w:r>
      <w:proofErr w:type="gramStart"/>
      <w:r w:rsidRPr="000F7CCE">
        <w:rPr>
          <w:rFonts w:eastAsia="Times New Roman"/>
          <w:snapToGrid w:val="0"/>
          <w:szCs w:val="22"/>
          <w:lang w:eastAsia="en-US"/>
        </w:rPr>
        <w:t>the</w:t>
      </w:r>
      <w:proofErr w:type="gramEnd"/>
      <w:r w:rsidRPr="000F7CCE">
        <w:rPr>
          <w:rFonts w:eastAsia="Times New Roman"/>
          <w:snapToGrid w:val="0"/>
          <w:szCs w:val="22"/>
          <w:lang w:eastAsia="en-US"/>
        </w:rPr>
        <w:t xml:space="preserve"> demand;</w:t>
      </w:r>
    </w:p>
    <w:p w:rsidR="000F7CCE" w:rsidRPr="000F7CCE" w:rsidRDefault="000F7CCE" w:rsidP="000F7CCE">
      <w:pPr>
        <w:tabs>
          <w:tab w:val="right" w:pos="1020"/>
          <w:tab w:val="left" w:pos="1191"/>
        </w:tabs>
        <w:spacing w:before="60" w:line="480" w:lineRule="auto"/>
        <w:ind w:left="1195" w:hanging="1195"/>
        <w:jc w:val="both"/>
        <w:rPr>
          <w:rFonts w:eastAsia="Times New Roman"/>
          <w:snapToGrid w:val="0"/>
          <w:szCs w:val="22"/>
          <w:lang w:eastAsia="en-US"/>
        </w:rPr>
      </w:pPr>
      <w:r w:rsidRPr="000F7CCE">
        <w:rPr>
          <w:rFonts w:eastAsia="Times New Roman"/>
          <w:snapToGrid w:val="0"/>
          <w:szCs w:val="22"/>
          <w:lang w:eastAsia="en-US"/>
        </w:rPr>
        <w:tab/>
        <w:t>(ii)</w:t>
      </w:r>
      <w:r w:rsidRPr="000F7CCE">
        <w:rPr>
          <w:rFonts w:eastAsia="Times New Roman"/>
          <w:snapToGrid w:val="0"/>
          <w:szCs w:val="22"/>
          <w:lang w:eastAsia="en-US"/>
        </w:rPr>
        <w:tab/>
      </w:r>
      <w:proofErr w:type="gramStart"/>
      <w:r w:rsidRPr="000F7CCE">
        <w:rPr>
          <w:rFonts w:eastAsia="Times New Roman"/>
          <w:snapToGrid w:val="0"/>
          <w:szCs w:val="22"/>
          <w:lang w:eastAsia="en-US"/>
        </w:rPr>
        <w:t>the</w:t>
      </w:r>
      <w:proofErr w:type="gramEnd"/>
      <w:r w:rsidRPr="000F7CCE">
        <w:rPr>
          <w:rFonts w:eastAsia="Times New Roman"/>
          <w:snapToGrid w:val="0"/>
          <w:szCs w:val="22"/>
          <w:lang w:eastAsia="en-US"/>
        </w:rPr>
        <w:t xml:space="preserve"> amount due (in full) for the handling fee and the preliminary examination fee, including, where applicable, the late payment fee under Rule 58bis.2;  and</w:t>
      </w:r>
    </w:p>
    <w:p w:rsidR="000F7CCE" w:rsidRPr="000F7CCE" w:rsidRDefault="000F7CCE" w:rsidP="000F7CCE">
      <w:pPr>
        <w:tabs>
          <w:tab w:val="right" w:pos="1020"/>
          <w:tab w:val="left" w:pos="1191"/>
        </w:tabs>
        <w:spacing w:before="60" w:line="480" w:lineRule="auto"/>
        <w:ind w:left="1195" w:hanging="1195"/>
        <w:jc w:val="both"/>
        <w:rPr>
          <w:rFonts w:eastAsia="Times New Roman"/>
          <w:snapToGrid w:val="0"/>
          <w:szCs w:val="22"/>
          <w:lang w:eastAsia="en-US"/>
        </w:rPr>
      </w:pPr>
      <w:r w:rsidRPr="000F7CCE">
        <w:rPr>
          <w:rFonts w:eastAsia="Times New Roman"/>
          <w:snapToGrid w:val="0"/>
          <w:szCs w:val="22"/>
          <w:lang w:eastAsia="en-US"/>
        </w:rPr>
        <w:tab/>
        <w:t>(iii)</w:t>
      </w:r>
      <w:r w:rsidRPr="000F7CCE">
        <w:rPr>
          <w:rFonts w:eastAsia="Times New Roman"/>
          <w:snapToGrid w:val="0"/>
          <w:szCs w:val="22"/>
          <w:lang w:eastAsia="en-US"/>
        </w:rPr>
        <w:tab/>
        <w:t>either the international search report or the declaration by the International Searching Authority under Article 17(2)(a) that no international search report will be established, and the written opinion established under Rule 43</w:t>
      </w:r>
      <w:r w:rsidRPr="000F7CCE">
        <w:rPr>
          <w:rFonts w:eastAsia="Times New Roman"/>
          <w:i/>
          <w:snapToGrid w:val="0"/>
          <w:szCs w:val="22"/>
          <w:lang w:eastAsia="en-US"/>
        </w:rPr>
        <w:t>bis</w:t>
      </w:r>
      <w:r w:rsidRPr="000F7CCE">
        <w:rPr>
          <w:rFonts w:eastAsia="Times New Roman"/>
          <w:snapToGrid w:val="0"/>
          <w:szCs w:val="22"/>
          <w:lang w:eastAsia="en-US"/>
        </w:rPr>
        <w:t>.1;</w:t>
      </w:r>
    </w:p>
    <w:p w:rsidR="000F7CCE" w:rsidRPr="000F7CCE" w:rsidRDefault="000F7CCE" w:rsidP="000F7CCE">
      <w:pPr>
        <w:tabs>
          <w:tab w:val="left" w:pos="454"/>
        </w:tabs>
        <w:spacing w:before="240" w:after="240" w:line="480" w:lineRule="auto"/>
        <w:rPr>
          <w:rFonts w:eastAsia="Times New Roman" w:cs="Times New Roman"/>
          <w:snapToGrid w:val="0"/>
          <w:lang w:eastAsia="en-US"/>
        </w:rPr>
      </w:pPr>
      <w:proofErr w:type="gramStart"/>
      <w:r w:rsidRPr="000F7CCE">
        <w:rPr>
          <w:rFonts w:eastAsia="Times New Roman" w:cs="Times New Roman"/>
          <w:snapToGrid w:val="0"/>
          <w:lang w:eastAsia="en-US"/>
        </w:rPr>
        <w:t>unless</w:t>
      </w:r>
      <w:proofErr w:type="gramEnd"/>
      <w:r w:rsidRPr="000F7CCE">
        <w:rPr>
          <w:rFonts w:eastAsia="Times New Roman" w:cs="Times New Roman"/>
          <w:snapToGrid w:val="0"/>
          <w:lang w:eastAsia="en-US"/>
        </w:rPr>
        <w:t xml:space="preserve"> the applicant expressly requests to postpone the start of the international preliminary examination until the expiration of the applicable time limit under Rule 54</w:t>
      </w:r>
      <w:r w:rsidRPr="000F7CCE">
        <w:rPr>
          <w:rFonts w:eastAsia="Times New Roman" w:cs="Times New Roman"/>
          <w:i/>
          <w:snapToGrid w:val="0"/>
          <w:lang w:eastAsia="en-US"/>
        </w:rPr>
        <w:t>bis</w:t>
      </w:r>
      <w:r w:rsidRPr="000F7CCE">
        <w:rPr>
          <w:rFonts w:eastAsia="Times New Roman" w:cs="Times New Roman"/>
          <w:snapToGrid w:val="0"/>
          <w:lang w:eastAsia="en-US"/>
        </w:rPr>
        <w:t>.1(a).</w:t>
      </w:r>
    </w:p>
    <w:p w:rsidR="000F7CCE" w:rsidRPr="000F7CCE" w:rsidRDefault="000F7CCE" w:rsidP="000F7CCE">
      <w:pPr>
        <w:tabs>
          <w:tab w:val="left" w:pos="454"/>
        </w:tabs>
        <w:spacing w:before="240" w:after="240" w:line="480" w:lineRule="auto"/>
        <w:rPr>
          <w:rFonts w:eastAsia="Times New Roman" w:cs="Times New Roman"/>
          <w:snapToGrid w:val="0"/>
          <w:lang w:eastAsia="en-US"/>
        </w:rPr>
      </w:pPr>
      <w:r w:rsidRPr="000F7CCE">
        <w:rPr>
          <w:rFonts w:eastAsia="Times New Roman" w:cs="Times New Roman"/>
          <w:snapToGrid w:val="0"/>
          <w:lang w:eastAsia="en-US"/>
        </w:rPr>
        <w:tab/>
        <w:t xml:space="preserve">(b) </w:t>
      </w:r>
      <w:proofErr w:type="gramStart"/>
      <w:r w:rsidRPr="000F7CCE">
        <w:rPr>
          <w:rFonts w:eastAsia="Times New Roman" w:cs="Times New Roman"/>
          <w:snapToGrid w:val="0"/>
          <w:lang w:eastAsia="en-US"/>
        </w:rPr>
        <w:t>to</w:t>
      </w:r>
      <w:proofErr w:type="gramEnd"/>
      <w:r w:rsidRPr="000F7CCE">
        <w:rPr>
          <w:rFonts w:eastAsia="Times New Roman" w:cs="Times New Roman"/>
          <w:snapToGrid w:val="0"/>
          <w:lang w:eastAsia="en-US"/>
        </w:rPr>
        <w:t xml:space="preserve"> (e)   </w:t>
      </w:r>
      <w:r w:rsidRPr="000F7CCE">
        <w:rPr>
          <w:rFonts w:eastAsia="Times New Roman" w:cs="Times New Roman"/>
          <w:i/>
          <w:snapToGrid w:val="0"/>
          <w:lang w:eastAsia="en-US"/>
        </w:rPr>
        <w:t>[No change]</w:t>
      </w:r>
    </w:p>
    <w:p w:rsidR="000F7CCE" w:rsidRPr="000F7CCE" w:rsidRDefault="000F7CCE" w:rsidP="000F7CCE">
      <w:pPr>
        <w:keepNext/>
        <w:keepLines/>
        <w:tabs>
          <w:tab w:val="left" w:pos="510"/>
        </w:tabs>
        <w:spacing w:before="480" w:line="480" w:lineRule="auto"/>
        <w:ind w:left="533" w:hanging="533"/>
        <w:rPr>
          <w:rFonts w:eastAsia="Arial Unicode MS" w:cs="Times New Roman"/>
          <w:snapToGrid w:val="0"/>
          <w:lang w:eastAsia="en-US"/>
        </w:rPr>
      </w:pPr>
      <w:bookmarkStart w:id="23" w:name="_Toc517968743"/>
      <w:r w:rsidRPr="000F7CCE">
        <w:rPr>
          <w:rFonts w:eastAsia="Arial Unicode MS" w:cs="Times New Roman"/>
          <w:snapToGrid w:val="0"/>
          <w:lang w:eastAsia="en-US"/>
        </w:rPr>
        <w:t>69.2   [</w:t>
      </w:r>
      <w:r w:rsidRPr="000F7CCE">
        <w:rPr>
          <w:rFonts w:eastAsia="Arial Unicode MS" w:cs="Times New Roman"/>
          <w:i/>
          <w:snapToGrid w:val="0"/>
          <w:lang w:eastAsia="en-US"/>
        </w:rPr>
        <w:t>No change</w:t>
      </w:r>
      <w:r w:rsidRPr="000F7CCE">
        <w:rPr>
          <w:rFonts w:eastAsia="Arial Unicode MS" w:cs="Times New Roman"/>
          <w:snapToGrid w:val="0"/>
          <w:lang w:eastAsia="en-US"/>
        </w:rPr>
        <w:t>]</w:t>
      </w:r>
      <w:bookmarkEnd w:id="23"/>
    </w:p>
    <w:p w:rsidR="000F7CCE" w:rsidRPr="000F7CCE" w:rsidRDefault="000F7CCE" w:rsidP="000F7CCE"/>
    <w:bookmarkEnd w:id="19"/>
    <w:p w:rsidR="000F7CCE" w:rsidRPr="000F7CCE" w:rsidRDefault="000F7CCE" w:rsidP="000F7CCE">
      <w:pPr>
        <w:ind w:left="5534"/>
      </w:pPr>
      <w:r w:rsidRPr="000F7CCE">
        <w:t>[End of Annex II and of document]</w:t>
      </w:r>
    </w:p>
    <w:p w:rsidR="000765C4" w:rsidRDefault="000765C4" w:rsidP="000765C4"/>
    <w:sectPr w:rsidR="000765C4" w:rsidSect="00186C1C">
      <w:headerReference w:type="first" r:id="rId15"/>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5CC" w:rsidRDefault="001A25CC">
      <w:r>
        <w:separator/>
      </w:r>
    </w:p>
  </w:endnote>
  <w:endnote w:type="continuationSeparator" w:id="0">
    <w:p w:rsidR="001A25CC" w:rsidRDefault="001A25CC" w:rsidP="003B38C1">
      <w:r>
        <w:separator/>
      </w:r>
    </w:p>
    <w:p w:rsidR="001A25CC" w:rsidRPr="003B38C1" w:rsidRDefault="001A25CC" w:rsidP="003B38C1">
      <w:pPr>
        <w:spacing w:after="60"/>
        <w:rPr>
          <w:sz w:val="17"/>
        </w:rPr>
      </w:pPr>
      <w:r>
        <w:rPr>
          <w:sz w:val="17"/>
        </w:rPr>
        <w:t>[Endnote continued from previous page]</w:t>
      </w:r>
    </w:p>
  </w:endnote>
  <w:endnote w:type="continuationNotice" w:id="1">
    <w:p w:rsidR="001A25CC" w:rsidRPr="003B38C1" w:rsidRDefault="001A25C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5CC" w:rsidRDefault="001A25CC">
      <w:r>
        <w:separator/>
      </w:r>
    </w:p>
  </w:footnote>
  <w:footnote w:type="continuationSeparator" w:id="0">
    <w:p w:rsidR="001A25CC" w:rsidRDefault="001A25CC" w:rsidP="008B60B2">
      <w:r>
        <w:separator/>
      </w:r>
    </w:p>
    <w:p w:rsidR="001A25CC" w:rsidRPr="00ED77FB" w:rsidRDefault="001A25CC" w:rsidP="008B60B2">
      <w:pPr>
        <w:spacing w:after="60"/>
        <w:rPr>
          <w:sz w:val="17"/>
          <w:szCs w:val="17"/>
        </w:rPr>
      </w:pPr>
      <w:r w:rsidRPr="00ED77FB">
        <w:rPr>
          <w:sz w:val="17"/>
          <w:szCs w:val="17"/>
        </w:rPr>
        <w:t>[Footnote continued from previous page]</w:t>
      </w:r>
    </w:p>
  </w:footnote>
  <w:footnote w:type="continuationNotice" w:id="1">
    <w:p w:rsidR="001A25CC" w:rsidRPr="00ED77FB" w:rsidRDefault="001A25CC" w:rsidP="008B60B2">
      <w:pPr>
        <w:spacing w:before="60"/>
        <w:jc w:val="right"/>
        <w:rPr>
          <w:sz w:val="17"/>
          <w:szCs w:val="17"/>
        </w:rPr>
      </w:pPr>
      <w:r w:rsidRPr="00ED77FB">
        <w:rPr>
          <w:sz w:val="17"/>
          <w:szCs w:val="17"/>
        </w:rPr>
        <w:t>[Footnote continued on next page]</w:t>
      </w:r>
    </w:p>
  </w:footnote>
  <w:footnote w:id="2">
    <w:p w:rsidR="000F7CCE" w:rsidRDefault="000F7CCE" w:rsidP="000F7CCE">
      <w:pPr>
        <w:pStyle w:val="FootnoteText"/>
      </w:pPr>
      <w:r>
        <w:rPr>
          <w:rStyle w:val="FootnoteReference"/>
        </w:rPr>
        <w:footnoteRef/>
      </w:r>
      <w:r>
        <w:t xml:space="preserve"> </w:t>
      </w:r>
      <w:r>
        <w:tab/>
      </w:r>
      <w:r>
        <w:rPr>
          <w:szCs w:val="18"/>
        </w:rPr>
        <w:t>References in this document to “Articles” and “Rules” are to those of the PCT and the Regulations under the PCT (“the Regulations”), or to such provisions as proposed to be amended or added, as the case may be.  References to “national laws”, “national applications”, “the national phase”, etc., include references to regional laws, regional applications, the regional phase, etc.</w:t>
      </w:r>
    </w:p>
  </w:footnote>
  <w:footnote w:id="3">
    <w:p w:rsidR="000F7CCE" w:rsidRDefault="000F7CCE" w:rsidP="000F7CCE">
      <w:pPr>
        <w:pStyle w:val="FootnoteText"/>
        <w:tabs>
          <w:tab w:val="left" w:pos="567"/>
        </w:tabs>
      </w:pPr>
      <w:r>
        <w:rPr>
          <w:rStyle w:val="FootnoteReference"/>
        </w:rPr>
        <w:footnoteRef/>
      </w:r>
      <w:r>
        <w:t xml:space="preserve"> </w:t>
      </w:r>
      <w:r>
        <w:tab/>
        <w:t xml:space="preserve">Proposed additions and deletions are indicated, respectively, by underlining and striking through the text concerned.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CCE" w:rsidRDefault="000F7CCE" w:rsidP="00477D6B">
    <w:pPr>
      <w:jc w:val="right"/>
    </w:pPr>
    <w:r>
      <w:t>PCT/A/50/2</w:t>
    </w:r>
  </w:p>
  <w:p w:rsidR="000F7CCE" w:rsidRDefault="000F7CCE" w:rsidP="00477D6B">
    <w:pPr>
      <w:jc w:val="right"/>
    </w:pPr>
    <w:proofErr w:type="gramStart"/>
    <w:r>
      <w:t>page</w:t>
    </w:r>
    <w:proofErr w:type="gramEnd"/>
    <w:r>
      <w:t xml:space="preserve"> </w:t>
    </w:r>
    <w:r>
      <w:fldChar w:fldCharType="begin"/>
    </w:r>
    <w:r>
      <w:instrText xml:space="preserve"> PAGE  \* MERGEFORMAT </w:instrText>
    </w:r>
    <w:r>
      <w:fldChar w:fldCharType="separate"/>
    </w:r>
    <w:r w:rsidR="001762DA">
      <w:rPr>
        <w:noProof/>
      </w:rPr>
      <w:t>2</w:t>
    </w:r>
    <w:r>
      <w:fldChar w:fldCharType="end"/>
    </w:r>
  </w:p>
  <w:p w:rsidR="000F7CCE" w:rsidRDefault="000F7CCE" w:rsidP="00477D6B">
    <w:pPr>
      <w:jc w:val="right"/>
    </w:pPr>
  </w:p>
  <w:p w:rsidR="000F7CCE" w:rsidRDefault="000F7CCE"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CCE" w:rsidRDefault="000F7CCE" w:rsidP="00477D6B">
    <w:pPr>
      <w:jc w:val="right"/>
    </w:pPr>
    <w:r>
      <w:t>PCT/A/50/2</w:t>
    </w:r>
  </w:p>
  <w:p w:rsidR="000F7CCE" w:rsidRDefault="000F7CCE" w:rsidP="00477D6B">
    <w:pPr>
      <w:jc w:val="right"/>
    </w:pPr>
    <w:r>
      <w:t xml:space="preserve">Annex I, page </w:t>
    </w:r>
    <w:r>
      <w:fldChar w:fldCharType="begin"/>
    </w:r>
    <w:r>
      <w:instrText xml:space="preserve"> PAGE  \* MERGEFORMAT </w:instrText>
    </w:r>
    <w:r>
      <w:fldChar w:fldCharType="separate"/>
    </w:r>
    <w:r w:rsidR="001762DA">
      <w:rPr>
        <w:noProof/>
      </w:rPr>
      <w:t>2</w:t>
    </w:r>
    <w:r>
      <w:fldChar w:fldCharType="end"/>
    </w:r>
  </w:p>
  <w:p w:rsidR="000F7CCE" w:rsidRDefault="000F7CCE" w:rsidP="00477D6B">
    <w:pPr>
      <w:jc w:val="right"/>
    </w:pPr>
  </w:p>
  <w:p w:rsidR="000F7CCE" w:rsidRDefault="000F7CCE"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CCE" w:rsidRDefault="000F7CCE" w:rsidP="001B7D3E">
    <w:pPr>
      <w:pStyle w:val="Header"/>
      <w:jc w:val="right"/>
    </w:pPr>
    <w:r>
      <w:t>PCT/A/50/2</w:t>
    </w:r>
  </w:p>
  <w:p w:rsidR="000F7CCE" w:rsidRDefault="000F7CCE" w:rsidP="001B7D3E">
    <w:pPr>
      <w:pStyle w:val="Header"/>
      <w:jc w:val="right"/>
    </w:pPr>
    <w:r>
      <w:t>ANNEX I</w:t>
    </w:r>
  </w:p>
  <w:p w:rsidR="000F7CCE" w:rsidRDefault="000F7CCE" w:rsidP="001B7D3E">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082" w:rsidRDefault="00F63082" w:rsidP="00477D6B">
    <w:pPr>
      <w:jc w:val="right"/>
    </w:pPr>
    <w:bookmarkStart w:id="20" w:name="Code2"/>
    <w:bookmarkEnd w:id="20"/>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1762DA">
      <w:rPr>
        <w:noProof/>
      </w:rPr>
      <w:t>1</w:t>
    </w:r>
    <w:r>
      <w:fldChar w:fldCharType="end"/>
    </w:r>
  </w:p>
  <w:p w:rsidR="00EC4E49" w:rsidRDefault="00EC4E49" w:rsidP="00477D6B">
    <w:pPr>
      <w:jc w:val="right"/>
    </w:pPr>
  </w:p>
  <w:p w:rsidR="008A134B" w:rsidRDefault="008A134B" w:rsidP="00477D6B">
    <w:pPr>
      <w:jc w:val="right"/>
    </w:pPr>
  </w:p>
  <w:p w:rsidR="00E455CA" w:rsidRDefault="00E455C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C1C" w:rsidRDefault="00186C1C" w:rsidP="001B7D3E">
    <w:pPr>
      <w:pStyle w:val="Header"/>
      <w:jc w:val="right"/>
    </w:pPr>
    <w:r>
      <w:t>PCT/A/50/2</w:t>
    </w:r>
  </w:p>
  <w:p w:rsidR="00186C1C" w:rsidRDefault="00186C1C" w:rsidP="001B7D3E">
    <w:pPr>
      <w:pStyle w:val="Header"/>
      <w:jc w:val="right"/>
    </w:pPr>
    <w:r>
      <w:t>ANNEX II</w:t>
    </w:r>
  </w:p>
  <w:p w:rsidR="00186C1C" w:rsidRDefault="00186C1C" w:rsidP="001B7D3E">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C1C" w:rsidRPr="00186C1C" w:rsidRDefault="00186C1C" w:rsidP="001B7D3E">
    <w:pPr>
      <w:pStyle w:val="Header"/>
      <w:jc w:val="right"/>
      <w:rPr>
        <w:lang w:val="fr-FR"/>
      </w:rPr>
    </w:pPr>
    <w:r w:rsidRPr="00186C1C">
      <w:rPr>
        <w:lang w:val="fr-FR"/>
      </w:rPr>
      <w:t>PCT/A/50/2</w:t>
    </w:r>
  </w:p>
  <w:p w:rsidR="00186C1C" w:rsidRPr="00186C1C" w:rsidRDefault="00186C1C" w:rsidP="001B7D3E">
    <w:pPr>
      <w:pStyle w:val="Header"/>
      <w:jc w:val="right"/>
      <w:rPr>
        <w:lang w:val="fr-FR"/>
      </w:rPr>
    </w:pPr>
    <w:proofErr w:type="spellStart"/>
    <w:r w:rsidRPr="00186C1C">
      <w:rPr>
        <w:lang w:val="fr-FR"/>
      </w:rPr>
      <w:t>Annex</w:t>
    </w:r>
    <w:proofErr w:type="spellEnd"/>
    <w:r w:rsidRPr="00186C1C">
      <w:rPr>
        <w:lang w:val="fr-FR"/>
      </w:rPr>
      <w:t xml:space="preserve"> II, </w:t>
    </w:r>
    <w:r w:rsidRPr="00186C1C">
      <w:rPr>
        <w:lang w:val="fr-FR"/>
      </w:rPr>
      <w:t xml:space="preserve">page </w:t>
    </w:r>
    <w:r>
      <w:fldChar w:fldCharType="begin"/>
    </w:r>
    <w:r w:rsidRPr="00186C1C">
      <w:rPr>
        <w:lang w:val="fr-FR"/>
      </w:rPr>
      <w:instrText xml:space="preserve"> PAGE  \* MERGEFORMAT </w:instrText>
    </w:r>
    <w:r>
      <w:fldChar w:fldCharType="separate"/>
    </w:r>
    <w:r w:rsidR="001762DA">
      <w:rPr>
        <w:noProof/>
        <w:lang w:val="fr-FR"/>
      </w:rPr>
      <w:t>2</w:t>
    </w:r>
    <w:r>
      <w:fldChar w:fldCharType="end"/>
    </w:r>
  </w:p>
  <w:p w:rsidR="00186C1C" w:rsidRPr="00186C1C" w:rsidRDefault="00186C1C" w:rsidP="001B7D3E">
    <w:pPr>
      <w:pStyle w:val="Header"/>
      <w:jc w:val="right"/>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5CC"/>
    <w:rsid w:val="00043CAA"/>
    <w:rsid w:val="00075432"/>
    <w:rsid w:val="000765C4"/>
    <w:rsid w:val="000968ED"/>
    <w:rsid w:val="000C117A"/>
    <w:rsid w:val="000F5E56"/>
    <w:rsid w:val="000F7CCE"/>
    <w:rsid w:val="001362EE"/>
    <w:rsid w:val="00156693"/>
    <w:rsid w:val="001647D5"/>
    <w:rsid w:val="001762DA"/>
    <w:rsid w:val="001832A6"/>
    <w:rsid w:val="00186C1C"/>
    <w:rsid w:val="001A25CC"/>
    <w:rsid w:val="0021217E"/>
    <w:rsid w:val="002634C4"/>
    <w:rsid w:val="002928D3"/>
    <w:rsid w:val="002F1FE6"/>
    <w:rsid w:val="002F4E68"/>
    <w:rsid w:val="00312F7F"/>
    <w:rsid w:val="00350AE2"/>
    <w:rsid w:val="00361450"/>
    <w:rsid w:val="003673CF"/>
    <w:rsid w:val="003845C1"/>
    <w:rsid w:val="003A6F89"/>
    <w:rsid w:val="003B38C1"/>
    <w:rsid w:val="003D57B0"/>
    <w:rsid w:val="003E18BB"/>
    <w:rsid w:val="00423E3E"/>
    <w:rsid w:val="00427AF4"/>
    <w:rsid w:val="004647DA"/>
    <w:rsid w:val="00474062"/>
    <w:rsid w:val="00477D6B"/>
    <w:rsid w:val="004F0D2E"/>
    <w:rsid w:val="005019FF"/>
    <w:rsid w:val="0053057A"/>
    <w:rsid w:val="005478CA"/>
    <w:rsid w:val="00560A29"/>
    <w:rsid w:val="005C6649"/>
    <w:rsid w:val="00605827"/>
    <w:rsid w:val="00646050"/>
    <w:rsid w:val="006713CA"/>
    <w:rsid w:val="00676C5C"/>
    <w:rsid w:val="006E4F5F"/>
    <w:rsid w:val="00791AC7"/>
    <w:rsid w:val="007D1613"/>
    <w:rsid w:val="007E4C0E"/>
    <w:rsid w:val="00860537"/>
    <w:rsid w:val="0086425D"/>
    <w:rsid w:val="00877718"/>
    <w:rsid w:val="008A134B"/>
    <w:rsid w:val="008B2CC1"/>
    <w:rsid w:val="008B60B2"/>
    <w:rsid w:val="0090731E"/>
    <w:rsid w:val="00916EE2"/>
    <w:rsid w:val="0094001E"/>
    <w:rsid w:val="00966A22"/>
    <w:rsid w:val="0096722F"/>
    <w:rsid w:val="00980843"/>
    <w:rsid w:val="009C127D"/>
    <w:rsid w:val="009E2791"/>
    <w:rsid w:val="009E3F6F"/>
    <w:rsid w:val="009E6CC0"/>
    <w:rsid w:val="009F499F"/>
    <w:rsid w:val="00A37342"/>
    <w:rsid w:val="00A42DAF"/>
    <w:rsid w:val="00A45BD8"/>
    <w:rsid w:val="00A607F7"/>
    <w:rsid w:val="00A869B7"/>
    <w:rsid w:val="00AA2DD4"/>
    <w:rsid w:val="00AC205C"/>
    <w:rsid w:val="00AF0A6B"/>
    <w:rsid w:val="00B05A69"/>
    <w:rsid w:val="00B9734B"/>
    <w:rsid w:val="00BA30E2"/>
    <w:rsid w:val="00C11BFE"/>
    <w:rsid w:val="00C5068F"/>
    <w:rsid w:val="00C86D74"/>
    <w:rsid w:val="00CB6F32"/>
    <w:rsid w:val="00CD04F1"/>
    <w:rsid w:val="00CD7F59"/>
    <w:rsid w:val="00D44A0B"/>
    <w:rsid w:val="00D45252"/>
    <w:rsid w:val="00D66E37"/>
    <w:rsid w:val="00D71B4D"/>
    <w:rsid w:val="00D93D55"/>
    <w:rsid w:val="00DA4B85"/>
    <w:rsid w:val="00DF023A"/>
    <w:rsid w:val="00DF383E"/>
    <w:rsid w:val="00E15015"/>
    <w:rsid w:val="00E335FE"/>
    <w:rsid w:val="00E455CA"/>
    <w:rsid w:val="00E85557"/>
    <w:rsid w:val="00EA7D6E"/>
    <w:rsid w:val="00EC4E49"/>
    <w:rsid w:val="00ED77FB"/>
    <w:rsid w:val="00EE45FA"/>
    <w:rsid w:val="00F63082"/>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0765C4"/>
    <w:pPr>
      <w:keepNext/>
      <w:spacing w:before="240" w:after="60"/>
      <w:outlineLvl w:val="1"/>
    </w:pPr>
    <w:rPr>
      <w:b/>
      <w:bCs/>
      <w:iCs/>
      <w:caps/>
      <w:szCs w:val="28"/>
    </w:rPr>
  </w:style>
  <w:style w:type="paragraph" w:styleId="Heading3">
    <w:name w:val="heading 3"/>
    <w:basedOn w:val="Normal"/>
    <w:next w:val="Normal"/>
    <w:autoRedefine/>
    <w:qFormat/>
    <w:rsid w:val="000765C4"/>
    <w:pPr>
      <w:keepNext/>
      <w:spacing w:before="240" w:after="60"/>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customStyle="1" w:styleId="FootnoteTextChar">
    <w:name w:val="Footnote Text Char"/>
    <w:basedOn w:val="DefaultParagraphFont"/>
    <w:link w:val="FootnoteText"/>
    <w:rsid w:val="000F7CCE"/>
    <w:rPr>
      <w:rFonts w:ascii="Arial" w:eastAsia="SimSun" w:hAnsi="Arial" w:cs="Arial"/>
      <w:sz w:val="18"/>
      <w:lang w:val="en-US" w:eastAsia="zh-CN"/>
    </w:rPr>
  </w:style>
  <w:style w:type="character" w:styleId="FootnoteReference">
    <w:name w:val="footnote reference"/>
    <w:basedOn w:val="DefaultParagraphFont"/>
    <w:unhideWhenUsed/>
    <w:rsid w:val="000F7CC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0765C4"/>
    <w:pPr>
      <w:keepNext/>
      <w:spacing w:before="240" w:after="60"/>
      <w:outlineLvl w:val="1"/>
    </w:pPr>
    <w:rPr>
      <w:b/>
      <w:bCs/>
      <w:iCs/>
      <w:caps/>
      <w:szCs w:val="28"/>
    </w:rPr>
  </w:style>
  <w:style w:type="paragraph" w:styleId="Heading3">
    <w:name w:val="heading 3"/>
    <w:basedOn w:val="Normal"/>
    <w:next w:val="Normal"/>
    <w:autoRedefine/>
    <w:qFormat/>
    <w:rsid w:val="000765C4"/>
    <w:pPr>
      <w:keepNext/>
      <w:spacing w:before="240" w:after="60"/>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customStyle="1" w:styleId="FootnoteTextChar">
    <w:name w:val="Footnote Text Char"/>
    <w:basedOn w:val="DefaultParagraphFont"/>
    <w:link w:val="FootnoteText"/>
    <w:rsid w:val="000F7CCE"/>
    <w:rPr>
      <w:rFonts w:ascii="Arial" w:eastAsia="SimSun" w:hAnsi="Arial" w:cs="Arial"/>
      <w:sz w:val="18"/>
      <w:lang w:val="en-US" w:eastAsia="zh-CN"/>
    </w:rPr>
  </w:style>
  <w:style w:type="character" w:styleId="FootnoteReference">
    <w:name w:val="footnote reference"/>
    <w:basedOn w:val="DefaultParagraphFont"/>
    <w:unhideWhenUsed/>
    <w:rsid w:val="000F7C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PCT%20A%205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73990-F89A-4EA8-BFB7-B3203FF61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A 50 (E)</Template>
  <TotalTime>11</TotalTime>
  <Pages>6</Pages>
  <Words>749</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PCT/A/50/</vt:lpstr>
    </vt:vector>
  </TitlesOfParts>
  <Company>WIPO</Company>
  <LinksUpToDate>false</LinksUpToDate>
  <CharactersWithSpaces>5340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PCT/A/50/</dc:title>
  <dc:subject>Fiftieth (29th Extraordinary) Session</dc:subject>
  <dc:creator>HÄFLIGER Patience</dc:creator>
  <cp:lastModifiedBy>HÄFLIGER Patience</cp:lastModifiedBy>
  <cp:revision>10</cp:revision>
  <cp:lastPrinted>2018-07-20T15:20:00Z</cp:lastPrinted>
  <dcterms:created xsi:type="dcterms:W3CDTF">2018-07-10T15:04:00Z</dcterms:created>
  <dcterms:modified xsi:type="dcterms:W3CDTF">2018-07-20T15:21:00Z</dcterms:modified>
  <cp:category>International Patent Cooperation Union (PCT Union)</cp:category>
</cp:coreProperties>
</file>