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C434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135AD4">
            <w:pPr>
              <w:jc w:val="right"/>
              <w:rPr>
                <w:rFonts w:ascii="Arial Black" w:hAnsi="Arial Black"/>
                <w:caps/>
                <w:sz w:val="15"/>
              </w:rPr>
            </w:pPr>
            <w:r w:rsidRPr="00423793">
              <w:rPr>
                <w:rFonts w:ascii="Arial Black" w:hAnsi="Arial Black"/>
                <w:caps/>
                <w:sz w:val="15"/>
              </w:rPr>
              <w:t>PCT/A/47/</w:t>
            </w:r>
            <w:bookmarkStart w:id="1" w:name="Code"/>
            <w:bookmarkEnd w:id="1"/>
            <w:r w:rsidR="00135AD4">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52A9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35AD4">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135AD4">
              <w:rPr>
                <w:rFonts w:ascii="Arial Black" w:hAnsi="Arial Black"/>
                <w:caps/>
                <w:sz w:val="15"/>
              </w:rPr>
              <w:t>september 4</w:t>
            </w:r>
            <w:r w:rsidR="00952A93" w:rsidRPr="00B50807">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23793" w:rsidP="008B2CC1">
      <w:pPr>
        <w:rPr>
          <w:b/>
          <w:sz w:val="28"/>
          <w:szCs w:val="28"/>
        </w:rPr>
      </w:pPr>
      <w:r w:rsidRPr="00423793">
        <w:rPr>
          <w:b/>
          <w:sz w:val="28"/>
          <w:szCs w:val="28"/>
        </w:rPr>
        <w:t>International Patent Cooperation Union (PCT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423793" w:rsidRPr="00423793" w:rsidRDefault="00423793" w:rsidP="00423793">
      <w:pPr>
        <w:rPr>
          <w:b/>
          <w:sz w:val="24"/>
          <w:szCs w:val="24"/>
        </w:rPr>
      </w:pPr>
      <w:r w:rsidRPr="00423793">
        <w:rPr>
          <w:b/>
          <w:sz w:val="24"/>
          <w:szCs w:val="24"/>
        </w:rPr>
        <w:t>Forty-Seventh (20</w:t>
      </w:r>
      <w:r w:rsidRPr="00423793">
        <w:rPr>
          <w:b/>
          <w:sz w:val="24"/>
          <w:szCs w:val="24"/>
          <w:vertAlign w:val="superscript"/>
        </w:rPr>
        <w:t>th</w:t>
      </w:r>
      <w:r>
        <w:rPr>
          <w:b/>
          <w:sz w:val="24"/>
          <w:szCs w:val="24"/>
        </w:rPr>
        <w:t xml:space="preserve"> </w:t>
      </w:r>
      <w:r w:rsidRPr="00423793">
        <w:rPr>
          <w:b/>
          <w:sz w:val="24"/>
          <w:szCs w:val="24"/>
        </w:rPr>
        <w:t>Ordinary) Session</w:t>
      </w:r>
    </w:p>
    <w:p w:rsidR="008B2CC1" w:rsidRPr="003845C1" w:rsidRDefault="00423793" w:rsidP="00423793">
      <w:pPr>
        <w:rPr>
          <w:b/>
          <w:sz w:val="24"/>
          <w:szCs w:val="24"/>
        </w:rPr>
      </w:pPr>
      <w:r w:rsidRPr="00423793">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F723F8" w:rsidRDefault="00135AD4" w:rsidP="00952A93">
      <w:pPr>
        <w:rPr>
          <w:caps/>
          <w:sz w:val="24"/>
        </w:rPr>
      </w:pPr>
      <w:bookmarkStart w:id="4" w:name="TitleOfDoc"/>
      <w:bookmarkEnd w:id="4"/>
      <w:r w:rsidRPr="00135AD4">
        <w:rPr>
          <w:caps/>
          <w:sz w:val="24"/>
        </w:rPr>
        <w:t xml:space="preserve">Matters Concerning the Lisbon Union:  PROPOSAL OF THE </w:t>
      </w:r>
    </w:p>
    <w:p w:rsidR="008B2CC1" w:rsidRPr="003845C1" w:rsidRDefault="00135AD4" w:rsidP="00952A93">
      <w:pPr>
        <w:rPr>
          <w:caps/>
          <w:sz w:val="24"/>
        </w:rPr>
      </w:pPr>
      <w:r w:rsidRPr="00135AD4">
        <w:rPr>
          <w:caps/>
          <w:sz w:val="24"/>
        </w:rPr>
        <w:t>UNITED STATES OF AMERICA to the Patent Cooperation Treaty Assembly</w:t>
      </w:r>
    </w:p>
    <w:p w:rsidR="008B2CC1" w:rsidRPr="008B2CC1" w:rsidRDefault="008B2CC1" w:rsidP="008B2CC1"/>
    <w:p w:rsidR="008B2CC1" w:rsidRPr="008B2CC1" w:rsidRDefault="00952A93"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135AD4" w:rsidRPr="00135AD4" w:rsidRDefault="00135AD4" w:rsidP="00135AD4">
      <w:pPr>
        <w:rPr>
          <w:szCs w:val="22"/>
        </w:rPr>
      </w:pPr>
      <w:r w:rsidRPr="00135AD4">
        <w:rPr>
          <w:szCs w:val="22"/>
        </w:rPr>
        <w:fldChar w:fldCharType="begin"/>
      </w:r>
      <w:r w:rsidRPr="00135AD4">
        <w:rPr>
          <w:szCs w:val="22"/>
        </w:rPr>
        <w:instrText xml:space="preserve"> AUTONUM  </w:instrText>
      </w:r>
      <w:r w:rsidRPr="00135AD4">
        <w:rPr>
          <w:szCs w:val="22"/>
        </w:rPr>
        <w:fldChar w:fldCharType="end"/>
      </w:r>
      <w:r w:rsidRPr="00135AD4">
        <w:rPr>
          <w:szCs w:val="22"/>
        </w:rPr>
        <w:tab/>
        <w:t>In a communication dated September 3, 2015, a copy of which is set out in the Annex, the Delegation of the United States of America requested, amongst other, that its submission entitled “</w:t>
      </w:r>
      <w:r w:rsidRPr="00135AD4">
        <w:t>Matters Concerning the Lisbon Union</w:t>
      </w:r>
      <w:r w:rsidRPr="00135AD4">
        <w:rPr>
          <w:szCs w:val="22"/>
        </w:rPr>
        <w:t>” be made available as a working document for discussion at the Forty-Seventh (2</w:t>
      </w:r>
      <w:r>
        <w:rPr>
          <w:szCs w:val="22"/>
        </w:rPr>
        <w:t>0</w:t>
      </w:r>
      <w:r w:rsidRPr="00135AD4">
        <w:rPr>
          <w:szCs w:val="22"/>
          <w:vertAlign w:val="superscript"/>
        </w:rPr>
        <w:t>th</w:t>
      </w:r>
      <w:r>
        <w:rPr>
          <w:szCs w:val="22"/>
        </w:rPr>
        <w:t xml:space="preserve"> </w:t>
      </w:r>
      <w:r w:rsidRPr="00135AD4">
        <w:rPr>
          <w:szCs w:val="22"/>
        </w:rPr>
        <w:t xml:space="preserve">Ordinary) Session of the </w:t>
      </w:r>
      <w:r>
        <w:rPr>
          <w:szCs w:val="22"/>
        </w:rPr>
        <w:t>Assembly of the PCT Union</w:t>
      </w:r>
      <w:r w:rsidRPr="00135AD4">
        <w:rPr>
          <w:szCs w:val="22"/>
        </w:rPr>
        <w:t>.</w:t>
      </w:r>
    </w:p>
    <w:p w:rsidR="00135AD4" w:rsidRPr="00135AD4" w:rsidRDefault="00135AD4" w:rsidP="00135AD4">
      <w:pPr>
        <w:spacing w:after="120" w:line="260" w:lineRule="atLeast"/>
        <w:contextualSpacing/>
        <w:rPr>
          <w:szCs w:val="22"/>
        </w:rPr>
      </w:pPr>
    </w:p>
    <w:p w:rsidR="00135AD4" w:rsidRDefault="00135AD4" w:rsidP="00135AD4">
      <w:pPr>
        <w:ind w:left="5501"/>
        <w:rPr>
          <w:i/>
        </w:rPr>
      </w:pPr>
      <w:r w:rsidRPr="00135AD4">
        <w:rPr>
          <w:i/>
        </w:rPr>
        <w:fldChar w:fldCharType="begin"/>
      </w:r>
      <w:r w:rsidRPr="00135AD4">
        <w:rPr>
          <w:i/>
        </w:rPr>
        <w:instrText xml:space="preserve"> AUTONUM  </w:instrText>
      </w:r>
      <w:r w:rsidRPr="00135AD4">
        <w:rPr>
          <w:i/>
        </w:rPr>
        <w:fldChar w:fldCharType="end"/>
      </w:r>
      <w:r w:rsidRPr="00135AD4">
        <w:rPr>
          <w:i/>
        </w:rPr>
        <w:tab/>
        <w:t>The Assembly</w:t>
      </w:r>
      <w:r>
        <w:rPr>
          <w:i/>
        </w:rPr>
        <w:t xml:space="preserve"> of the PCT Union </w:t>
      </w:r>
      <w:r w:rsidRPr="00135AD4">
        <w:rPr>
          <w:i/>
        </w:rPr>
        <w:t xml:space="preserve">is invited to consider the communication in the Annex to this document.  </w:t>
      </w:r>
    </w:p>
    <w:p w:rsidR="008150F1" w:rsidRPr="008150F1" w:rsidRDefault="008150F1" w:rsidP="00135AD4">
      <w:pPr>
        <w:ind w:left="5501"/>
      </w:pPr>
    </w:p>
    <w:p w:rsidR="00135AD4" w:rsidRPr="00135AD4" w:rsidRDefault="00135AD4" w:rsidP="00135AD4">
      <w:pPr>
        <w:ind w:left="5501"/>
      </w:pPr>
    </w:p>
    <w:p w:rsidR="00135AD4" w:rsidRPr="00135AD4" w:rsidRDefault="00135AD4" w:rsidP="00135AD4">
      <w:pPr>
        <w:ind w:left="5501"/>
        <w:rPr>
          <w:i/>
        </w:rPr>
      </w:pPr>
    </w:p>
    <w:p w:rsidR="00135AD4" w:rsidRPr="00135AD4" w:rsidRDefault="00135AD4" w:rsidP="00135AD4">
      <w:pPr>
        <w:spacing w:after="120" w:line="260" w:lineRule="atLeast"/>
        <w:ind w:left="5500"/>
        <w:contextualSpacing/>
        <w:rPr>
          <w:lang w:val="en"/>
        </w:rPr>
      </w:pPr>
      <w:r w:rsidRPr="00135AD4">
        <w:rPr>
          <w:lang w:val="en"/>
        </w:rPr>
        <w:t>[Annex follows]</w:t>
      </w:r>
    </w:p>
    <w:p w:rsidR="00135AD4" w:rsidRPr="00135AD4" w:rsidRDefault="00135AD4" w:rsidP="00135AD4">
      <w:pPr>
        <w:spacing w:after="120" w:line="260" w:lineRule="atLeast"/>
        <w:contextualSpacing/>
        <w:rPr>
          <w:szCs w:val="22"/>
        </w:rPr>
      </w:pPr>
    </w:p>
    <w:p w:rsidR="00135AD4" w:rsidRPr="00135AD4" w:rsidRDefault="00135AD4" w:rsidP="00135AD4">
      <w:pPr>
        <w:spacing w:after="120" w:line="260" w:lineRule="atLeast"/>
        <w:ind w:left="5500"/>
        <w:contextualSpacing/>
        <w:rPr>
          <w:szCs w:val="22"/>
        </w:rPr>
        <w:sectPr w:rsidR="00135AD4" w:rsidRPr="00135AD4" w:rsidSect="00885AD5">
          <w:headerReference w:type="default" r:id="rId9"/>
          <w:endnotePr>
            <w:numFmt w:val="decimal"/>
          </w:endnotePr>
          <w:pgSz w:w="11907" w:h="16840" w:code="9"/>
          <w:pgMar w:top="567" w:right="1134" w:bottom="1418" w:left="1418" w:header="510" w:footer="1021" w:gutter="0"/>
          <w:cols w:space="720"/>
          <w:titlePg/>
          <w:docGrid w:linePitch="299"/>
        </w:sectPr>
      </w:pPr>
    </w:p>
    <w:p w:rsidR="00135AD4" w:rsidRPr="00135AD4" w:rsidRDefault="00135AD4" w:rsidP="00135AD4">
      <w:r>
        <w:rPr>
          <w:noProof/>
          <w:lang w:eastAsia="en-US"/>
        </w:rPr>
        <w:lastRenderedPageBreak/>
        <w:drawing>
          <wp:inline distT="0" distB="0" distL="0" distR="0">
            <wp:extent cx="6007100" cy="7670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7100" cy="7670800"/>
                    </a:xfrm>
                    <a:prstGeom prst="rect">
                      <a:avLst/>
                    </a:prstGeom>
                    <a:noFill/>
                    <a:ln>
                      <a:noFill/>
                    </a:ln>
                  </pic:spPr>
                </pic:pic>
              </a:graphicData>
            </a:graphic>
          </wp:inline>
        </w:drawing>
      </w:r>
    </w:p>
    <w:p w:rsidR="00135AD4" w:rsidRPr="00135AD4" w:rsidRDefault="00135AD4" w:rsidP="00135AD4"/>
    <w:p w:rsidR="00135AD4" w:rsidRPr="00135AD4" w:rsidRDefault="00135AD4" w:rsidP="00135AD4"/>
    <w:p w:rsidR="00135AD4" w:rsidRPr="00135AD4" w:rsidRDefault="00135AD4" w:rsidP="00135AD4"/>
    <w:p w:rsidR="00135AD4" w:rsidRPr="00135AD4" w:rsidRDefault="00135AD4" w:rsidP="00135AD4">
      <w:pPr>
        <w:jc w:val="center"/>
        <w:rPr>
          <w:rFonts w:ascii="Calibri" w:eastAsia="Calibri" w:hAnsi="Calibri" w:cs="Times New Roman"/>
          <w:b/>
          <w:szCs w:val="22"/>
          <w:lang w:eastAsia="en-US"/>
        </w:rPr>
        <w:sectPr w:rsidR="00135AD4" w:rsidRPr="00135AD4" w:rsidSect="007A2BEC">
          <w:headerReference w:type="default" r:id="rId11"/>
          <w:footerReference w:type="default" r:id="rId12"/>
          <w:headerReference w:type="first" r:id="rId13"/>
          <w:endnotePr>
            <w:numFmt w:val="decimal"/>
          </w:endnotePr>
          <w:pgSz w:w="11907" w:h="16840" w:code="9"/>
          <w:pgMar w:top="567" w:right="1015" w:bottom="1418" w:left="1418" w:header="510" w:footer="1021" w:gutter="0"/>
          <w:pgNumType w:start="1"/>
          <w:cols w:space="720"/>
          <w:titlePg/>
          <w:docGrid w:linePitch="299"/>
        </w:sectPr>
      </w:pPr>
    </w:p>
    <w:p w:rsidR="00135AD4" w:rsidRPr="00135AD4" w:rsidRDefault="00135AD4" w:rsidP="00135AD4">
      <w:pPr>
        <w:spacing w:after="200" w:line="276" w:lineRule="auto"/>
        <w:jc w:val="center"/>
        <w:rPr>
          <w:rFonts w:asciiTheme="minorHAnsi" w:eastAsiaTheme="minorHAnsi" w:hAnsiTheme="minorHAnsi" w:cstheme="minorBidi"/>
          <w:b/>
          <w:szCs w:val="22"/>
          <w:lang w:eastAsia="en-US"/>
        </w:rPr>
      </w:pPr>
    </w:p>
    <w:p w:rsidR="00135AD4" w:rsidRPr="00135AD4" w:rsidRDefault="00135AD4" w:rsidP="00135AD4">
      <w:pPr>
        <w:spacing w:after="200" w:line="276" w:lineRule="auto"/>
        <w:jc w:val="center"/>
        <w:rPr>
          <w:rFonts w:asciiTheme="minorHAnsi" w:eastAsiaTheme="minorHAnsi" w:hAnsiTheme="minorHAnsi" w:cstheme="minorBidi"/>
          <w:b/>
          <w:szCs w:val="22"/>
          <w:lang w:eastAsia="en-US"/>
        </w:rPr>
      </w:pPr>
      <w:r w:rsidRPr="00135AD4">
        <w:rPr>
          <w:rFonts w:asciiTheme="minorHAnsi" w:eastAsiaTheme="minorHAnsi" w:hAnsiTheme="minorHAnsi" w:cstheme="minorBidi"/>
          <w:b/>
          <w:szCs w:val="22"/>
          <w:lang w:eastAsia="en-US"/>
        </w:rPr>
        <w:t>Matters Concerning the Lisbon Union</w:t>
      </w:r>
    </w:p>
    <w:p w:rsidR="00135AD4" w:rsidRPr="00135AD4" w:rsidRDefault="00135AD4" w:rsidP="00135AD4">
      <w:pPr>
        <w:spacing w:after="200" w:line="276" w:lineRule="auto"/>
        <w:jc w:val="center"/>
        <w:rPr>
          <w:rFonts w:asciiTheme="minorHAnsi" w:eastAsiaTheme="minorHAnsi" w:hAnsiTheme="minorHAnsi" w:cstheme="minorBidi"/>
          <w:b/>
          <w:szCs w:val="22"/>
          <w:lang w:eastAsia="en-US"/>
        </w:rPr>
      </w:pPr>
      <w:r w:rsidRPr="00135AD4">
        <w:rPr>
          <w:rFonts w:asciiTheme="minorHAnsi" w:eastAsiaTheme="minorHAnsi" w:hAnsiTheme="minorHAnsi" w:cstheme="minorBidi"/>
          <w:b/>
          <w:szCs w:val="22"/>
          <w:lang w:eastAsia="en-US"/>
        </w:rPr>
        <w:t>Proposal of the United States of America to the Patent Cooperation Treaty Assembly</w:t>
      </w:r>
    </w:p>
    <w:p w:rsidR="00135AD4" w:rsidRPr="00135AD4" w:rsidRDefault="00135AD4" w:rsidP="00135AD4">
      <w:pPr>
        <w:spacing w:after="200" w:line="276" w:lineRule="auto"/>
        <w:rPr>
          <w:rFonts w:asciiTheme="minorHAnsi" w:eastAsiaTheme="minorHAnsi" w:hAnsiTheme="minorHAnsi" w:cstheme="minorBidi"/>
          <w:szCs w:val="22"/>
          <w:lang w:eastAsia="en-US"/>
        </w:rPr>
      </w:pPr>
    </w:p>
    <w:p w:rsidR="00135AD4" w:rsidRPr="00135AD4" w:rsidRDefault="00135AD4" w:rsidP="00135AD4">
      <w:pPr>
        <w:spacing w:after="200" w:line="276" w:lineRule="auto"/>
        <w:rPr>
          <w:rFonts w:asciiTheme="minorHAnsi" w:eastAsiaTheme="minorHAnsi" w:hAnsiTheme="minorHAnsi" w:cstheme="minorBidi"/>
          <w:szCs w:val="22"/>
          <w:lang w:eastAsia="en-US"/>
        </w:rPr>
      </w:pPr>
      <w:r w:rsidRPr="00135AD4">
        <w:rPr>
          <w:rFonts w:asciiTheme="minorHAnsi" w:eastAsiaTheme="minorHAnsi" w:hAnsiTheme="minorHAnsi" w:cstheme="minorBidi"/>
          <w:szCs w:val="22"/>
          <w:lang w:eastAsia="en-US"/>
        </w:rPr>
        <w:t>The United States proposes a decision for consideration at the Forty-Seventh (20</w:t>
      </w:r>
      <w:r w:rsidRPr="00135AD4">
        <w:rPr>
          <w:rFonts w:asciiTheme="minorHAnsi" w:eastAsiaTheme="minorHAnsi" w:hAnsiTheme="minorHAnsi" w:cstheme="minorBidi"/>
          <w:szCs w:val="22"/>
          <w:vertAlign w:val="superscript"/>
          <w:lang w:eastAsia="en-US"/>
        </w:rPr>
        <w:t>th</w:t>
      </w:r>
      <w:r w:rsidRPr="00135AD4">
        <w:rPr>
          <w:rFonts w:asciiTheme="minorHAnsi" w:eastAsiaTheme="minorHAnsi" w:hAnsiTheme="minorHAnsi" w:cstheme="minorBidi"/>
          <w:szCs w:val="22"/>
          <w:lang w:eastAsia="en-US"/>
        </w:rPr>
        <w:t xml:space="preserve"> ordinary) Session of the Patent Cooperation Treaty (PCT) Union Assembly (PCT/A/47) that would direct that PCT Union fee income and reserves shall not be used to fund the Lisbon Union direct or indirect expenses, absent specific authorization by the PCT Union to do so.</w:t>
      </w:r>
    </w:p>
    <w:p w:rsidR="00135AD4" w:rsidRDefault="00135AD4" w:rsidP="00135AD4">
      <w:pPr>
        <w:spacing w:after="200" w:line="276" w:lineRule="auto"/>
        <w:rPr>
          <w:rFonts w:asciiTheme="minorHAnsi" w:eastAsiaTheme="minorHAnsi" w:hAnsiTheme="minorHAnsi" w:cstheme="minorBidi"/>
          <w:szCs w:val="22"/>
          <w:lang w:eastAsia="en-US"/>
        </w:rPr>
        <w:sectPr w:rsidR="00135AD4" w:rsidSect="00E00943">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pPr>
      <w:r w:rsidRPr="00135AD4">
        <w:rPr>
          <w:rFonts w:asciiTheme="minorHAnsi" w:eastAsiaTheme="minorHAnsi" w:hAnsiTheme="minorHAnsi" w:cstheme="minorBidi"/>
          <w:szCs w:val="22"/>
          <w:lang w:eastAsia="en-US"/>
        </w:rPr>
        <w:t>The Lisbon Union has been operating at a financial deficit for many years, if not from its inception.</w:t>
      </w:r>
      <w:r w:rsidRPr="00135AD4">
        <w:rPr>
          <w:rFonts w:asciiTheme="minorHAnsi" w:eastAsiaTheme="minorHAnsi" w:hAnsiTheme="minorHAnsi" w:cstheme="minorBidi"/>
          <w:szCs w:val="22"/>
          <w:vertAlign w:val="superscript"/>
          <w:lang w:eastAsia="en-US"/>
        </w:rPr>
        <w:footnoteReference w:id="2"/>
      </w:r>
      <w:r w:rsidRPr="00135AD4">
        <w:rPr>
          <w:rFonts w:asciiTheme="minorHAnsi" w:eastAsiaTheme="minorHAnsi" w:hAnsiTheme="minorHAnsi" w:cstheme="minorBidi"/>
          <w:szCs w:val="22"/>
          <w:lang w:eastAsia="en-US"/>
        </w:rPr>
        <w:t xml:space="preserve">  In addition to accumulating a deficit regarding its own direct expenses, the Lisbon Union has not been contributing, or has been contributing very little, to expenses common to the unions.</w:t>
      </w:r>
      <w:r w:rsidRPr="00135AD4">
        <w:rPr>
          <w:rFonts w:asciiTheme="minorHAnsi" w:eastAsiaTheme="minorHAnsi" w:hAnsiTheme="minorHAnsi" w:cstheme="minorBidi"/>
          <w:szCs w:val="22"/>
          <w:vertAlign w:val="superscript"/>
          <w:lang w:eastAsia="en-US"/>
        </w:rPr>
        <w:footnoteReference w:id="3"/>
      </w:r>
      <w:r w:rsidRPr="00135AD4">
        <w:rPr>
          <w:rFonts w:asciiTheme="minorHAnsi" w:eastAsiaTheme="minorHAnsi" w:hAnsiTheme="minorHAnsi" w:cstheme="minorBidi"/>
          <w:szCs w:val="22"/>
          <w:lang w:eastAsia="en-US"/>
        </w:rPr>
        <w:t xml:space="preserve">  Moreover, unlike the PCT Union, Contracting Parties to the Lisbon Agreement for the Protection of Appellations of Origin and their International Registration (“Lisbon Agreement”) have never paid contributions</w:t>
      </w:r>
      <w:r w:rsidRPr="00135AD4">
        <w:rPr>
          <w:rFonts w:asciiTheme="minorHAnsi" w:eastAsiaTheme="minorHAnsi" w:hAnsiTheme="minorHAnsi" w:cstheme="minorBidi"/>
          <w:szCs w:val="22"/>
          <w:vertAlign w:val="superscript"/>
          <w:lang w:eastAsia="en-US"/>
        </w:rPr>
        <w:footnoteReference w:id="4"/>
      </w:r>
      <w:r w:rsidRPr="00135AD4">
        <w:rPr>
          <w:rFonts w:asciiTheme="minorHAnsi" w:eastAsiaTheme="minorHAnsi" w:hAnsiTheme="minorHAnsi" w:cstheme="minorBidi"/>
          <w:szCs w:val="22"/>
          <w:lang w:eastAsia="en-US"/>
        </w:rPr>
        <w:t xml:space="preserve"> to the Lisbon Union or established a consistent reserve fund or a working capital fund so as to fund the expenses of the Lisbon Agreement or its share of the World Intellectual Property Organization’s (WIPO’s) indirect </w:t>
      </w:r>
    </w:p>
    <w:p w:rsidR="00135AD4" w:rsidRPr="00135AD4" w:rsidRDefault="00135AD4" w:rsidP="00135AD4">
      <w:pPr>
        <w:spacing w:after="200" w:line="276" w:lineRule="auto"/>
        <w:rPr>
          <w:rFonts w:asciiTheme="minorHAnsi" w:eastAsiaTheme="minorHAnsi" w:hAnsiTheme="minorHAnsi" w:cstheme="minorBidi"/>
          <w:szCs w:val="22"/>
          <w:lang w:eastAsia="en-US"/>
        </w:rPr>
      </w:pPr>
      <w:proofErr w:type="gramStart"/>
      <w:r w:rsidRPr="00135AD4">
        <w:rPr>
          <w:rFonts w:asciiTheme="minorHAnsi" w:eastAsiaTheme="minorHAnsi" w:hAnsiTheme="minorHAnsi" w:cstheme="minorBidi"/>
          <w:szCs w:val="22"/>
          <w:lang w:eastAsia="en-US"/>
        </w:rPr>
        <w:lastRenderedPageBreak/>
        <w:t>expenses</w:t>
      </w:r>
      <w:proofErr w:type="gramEnd"/>
      <w:r w:rsidRPr="00135AD4">
        <w:rPr>
          <w:rFonts w:asciiTheme="minorHAnsi" w:eastAsiaTheme="minorHAnsi" w:hAnsiTheme="minorHAnsi" w:cstheme="minorBidi"/>
          <w:szCs w:val="22"/>
          <w:lang w:eastAsia="en-US"/>
        </w:rPr>
        <w:t>.</w:t>
      </w:r>
      <w:r w:rsidRPr="00135AD4">
        <w:rPr>
          <w:rFonts w:asciiTheme="minorHAnsi" w:eastAsiaTheme="minorHAnsi" w:hAnsiTheme="minorHAnsi" w:cstheme="minorBidi"/>
          <w:szCs w:val="22"/>
          <w:vertAlign w:val="superscript"/>
          <w:lang w:eastAsia="en-US"/>
        </w:rPr>
        <w:footnoteReference w:id="5"/>
      </w:r>
      <w:r w:rsidRPr="00135AD4">
        <w:rPr>
          <w:rFonts w:asciiTheme="minorHAnsi" w:eastAsiaTheme="minorHAnsi" w:hAnsiTheme="minorHAnsi" w:cstheme="minorBidi"/>
          <w:szCs w:val="22"/>
          <w:lang w:eastAsia="en-US"/>
        </w:rPr>
        <w:t xml:space="preserve">  The reporting by WIPO regarding the financial operations of the Lisbon Union does not present a clear picture of that Union’s finances.  In some years, the budget does not list the income and expenditures of the Lisbon Union at all.</w:t>
      </w:r>
      <w:r w:rsidRPr="00135AD4">
        <w:rPr>
          <w:rFonts w:asciiTheme="minorHAnsi" w:eastAsiaTheme="minorHAnsi" w:hAnsiTheme="minorHAnsi" w:cstheme="minorBidi"/>
          <w:szCs w:val="22"/>
          <w:vertAlign w:val="superscript"/>
          <w:lang w:eastAsia="en-US"/>
        </w:rPr>
        <w:footnoteReference w:id="6"/>
      </w:r>
      <w:r w:rsidRPr="00135AD4">
        <w:rPr>
          <w:rFonts w:asciiTheme="minorHAnsi" w:eastAsiaTheme="minorHAnsi" w:hAnsiTheme="minorHAnsi" w:cstheme="minorBidi"/>
          <w:szCs w:val="22"/>
          <w:lang w:eastAsia="en-US"/>
        </w:rPr>
        <w:t xml:space="preserve">  However, the WIPO Program and Budget Report resumed reporting the income and expenditures of the Lisbon System in 2008, which show that the Lisbon System has accumulated a substantial deficit.  For 2014, this deficit of reported income and expenses was 531,000 CHF.  Lisbon </w:t>
      </w:r>
      <w:proofErr w:type="gramStart"/>
      <w:r w:rsidRPr="00135AD4">
        <w:rPr>
          <w:rFonts w:asciiTheme="minorHAnsi" w:eastAsiaTheme="minorHAnsi" w:hAnsiTheme="minorHAnsi" w:cstheme="minorBidi"/>
          <w:szCs w:val="22"/>
          <w:lang w:eastAsia="en-US"/>
        </w:rPr>
        <w:t>Union  members</w:t>
      </w:r>
      <w:proofErr w:type="gramEnd"/>
      <w:r w:rsidRPr="00135AD4">
        <w:rPr>
          <w:rFonts w:asciiTheme="minorHAnsi" w:eastAsiaTheme="minorHAnsi" w:hAnsiTheme="minorHAnsi" w:cstheme="minorBidi"/>
          <w:szCs w:val="22"/>
          <w:lang w:eastAsia="en-US"/>
        </w:rPr>
        <w:t xml:space="preserve"> have attributed this deficit to the meetings that were held to revise the Lisbon Agreement, but the Lisbon Union’s deficit issues long predate the revision process.  In 2014, when the Secretariat proposed the first increase in Lisbon fees since 1994, the proposal clearly stated that “fee income is by far not sufficient to cover the expenses of the International Bureau for maintaining the international registration service of the Lisbon System:  98 per cent of the abovementioned income of the Lisbon Union is from other sources than fees, including from its share in the miscellaneous income of WIPO.”</w:t>
      </w:r>
      <w:r w:rsidRPr="00135AD4">
        <w:rPr>
          <w:rFonts w:asciiTheme="minorHAnsi" w:eastAsiaTheme="minorHAnsi" w:hAnsiTheme="minorHAnsi" w:cstheme="minorBidi"/>
          <w:szCs w:val="22"/>
          <w:vertAlign w:val="superscript"/>
          <w:lang w:eastAsia="en-US"/>
        </w:rPr>
        <w:footnoteReference w:id="7"/>
      </w:r>
    </w:p>
    <w:p w:rsidR="00135AD4" w:rsidRPr="00135AD4" w:rsidRDefault="00135AD4" w:rsidP="00135AD4">
      <w:pPr>
        <w:spacing w:after="200" w:line="276" w:lineRule="auto"/>
        <w:rPr>
          <w:rFonts w:asciiTheme="minorHAnsi" w:eastAsiaTheme="minorHAnsi" w:hAnsiTheme="minorHAnsi" w:cstheme="minorBidi"/>
          <w:szCs w:val="22"/>
          <w:lang w:eastAsia="en-US"/>
        </w:rPr>
      </w:pPr>
      <w:r w:rsidRPr="00135AD4">
        <w:rPr>
          <w:rFonts w:asciiTheme="minorHAnsi" w:eastAsiaTheme="minorHAnsi" w:hAnsiTheme="minorHAnsi" w:cstheme="minorBidi"/>
          <w:szCs w:val="22"/>
          <w:lang w:eastAsia="en-US"/>
        </w:rPr>
        <w:t>Over the years, the Lisbon deficit has not been financed by the main income sources identified in the Lisbon Agreement Article 11(4):  fees have not been increased in 20 years and the contributions by Contracting Parties required under the treaty have never been assessed since the treaty went into force in 1966.  This is the case even though Article 11(4</w:t>
      </w:r>
      <w:proofErr w:type="gramStart"/>
      <w:r w:rsidRPr="00135AD4">
        <w:rPr>
          <w:rFonts w:asciiTheme="minorHAnsi" w:eastAsiaTheme="minorHAnsi" w:hAnsiTheme="minorHAnsi" w:cstheme="minorBidi"/>
          <w:szCs w:val="22"/>
          <w:lang w:eastAsia="en-US"/>
        </w:rPr>
        <w:t>)(</w:t>
      </w:r>
      <w:proofErr w:type="gramEnd"/>
      <w:r w:rsidRPr="00135AD4">
        <w:rPr>
          <w:rFonts w:asciiTheme="minorHAnsi" w:eastAsiaTheme="minorHAnsi" w:hAnsiTheme="minorHAnsi" w:cstheme="minorBidi"/>
          <w:szCs w:val="22"/>
          <w:lang w:eastAsia="en-US"/>
        </w:rPr>
        <w:t>b) directs that “[t]he amount of the said fee shall be so fixed that the revenue of the Special Union should, under normal circumstances, be sufficient to cover the expenses of the International Bureau for maintaining the international registration service, without requiring payment of the contributions referred to in paragraph (3)(v), above.”  Under Article 11(4</w:t>
      </w:r>
      <w:proofErr w:type="gramStart"/>
      <w:r w:rsidRPr="00135AD4">
        <w:rPr>
          <w:rFonts w:asciiTheme="minorHAnsi" w:eastAsiaTheme="minorHAnsi" w:hAnsiTheme="minorHAnsi" w:cstheme="minorBidi"/>
          <w:szCs w:val="22"/>
          <w:lang w:eastAsia="en-US"/>
        </w:rPr>
        <w:t>)(</w:t>
      </w:r>
      <w:proofErr w:type="gramEnd"/>
      <w:r w:rsidRPr="00135AD4">
        <w:rPr>
          <w:rFonts w:asciiTheme="minorHAnsi" w:eastAsiaTheme="minorHAnsi" w:hAnsiTheme="minorHAnsi" w:cstheme="minorBidi"/>
          <w:szCs w:val="22"/>
          <w:lang w:eastAsia="en-US"/>
        </w:rPr>
        <w:t>a), the Director General and the Lisbon Assembly, respectively, bear the responsibility of proposing and enacting fee increases for the Lisbon Union.</w:t>
      </w:r>
    </w:p>
    <w:p w:rsidR="00135AD4" w:rsidRPr="00135AD4" w:rsidRDefault="00135AD4" w:rsidP="00135AD4">
      <w:pPr>
        <w:spacing w:after="200" w:line="276" w:lineRule="auto"/>
        <w:rPr>
          <w:rFonts w:asciiTheme="minorHAnsi" w:eastAsiaTheme="minorHAnsi" w:hAnsiTheme="minorHAnsi" w:cstheme="minorBidi"/>
          <w:szCs w:val="22"/>
          <w:lang w:eastAsia="en-US"/>
        </w:rPr>
      </w:pPr>
      <w:r w:rsidRPr="00135AD4">
        <w:rPr>
          <w:rFonts w:asciiTheme="minorHAnsi" w:eastAsiaTheme="minorHAnsi" w:hAnsiTheme="minorHAnsi" w:cstheme="minorBidi"/>
          <w:szCs w:val="22"/>
          <w:lang w:eastAsia="en-US"/>
        </w:rPr>
        <w:t>The ongoing and growing deficit appears to have been financed from sources other than those identified in Article 11(3) of the Lisbon Agreement.</w:t>
      </w:r>
      <w:r w:rsidRPr="00135AD4">
        <w:rPr>
          <w:rFonts w:asciiTheme="minorHAnsi" w:eastAsiaTheme="minorHAnsi" w:hAnsiTheme="minorHAnsi" w:cstheme="minorBidi"/>
          <w:szCs w:val="22"/>
          <w:vertAlign w:val="superscript"/>
          <w:lang w:eastAsia="en-US"/>
        </w:rPr>
        <w:footnoteReference w:id="8"/>
      </w:r>
      <w:r w:rsidRPr="00135AD4">
        <w:rPr>
          <w:rFonts w:asciiTheme="minorHAnsi" w:eastAsiaTheme="minorHAnsi" w:hAnsiTheme="minorHAnsi" w:cstheme="minorBidi"/>
          <w:szCs w:val="22"/>
          <w:lang w:eastAsia="en-US"/>
        </w:rPr>
        <w:t xml:space="preserve">  We understand that the Lisbon Union deficit is being financed by the Patent Cooperation Treaty (PCT) and Madrid System for the International Registration of Marks (Madrid System) international registration systems.</w:t>
      </w:r>
      <w:r w:rsidRPr="00135AD4">
        <w:rPr>
          <w:rFonts w:asciiTheme="minorHAnsi" w:eastAsiaTheme="minorHAnsi" w:hAnsiTheme="minorHAnsi" w:cstheme="minorBidi"/>
          <w:szCs w:val="22"/>
          <w:vertAlign w:val="superscript"/>
          <w:lang w:eastAsia="en-US"/>
        </w:rPr>
        <w:footnoteReference w:id="9"/>
      </w:r>
      <w:r w:rsidRPr="00135AD4">
        <w:rPr>
          <w:rFonts w:asciiTheme="minorHAnsi" w:eastAsiaTheme="minorHAnsi" w:hAnsiTheme="minorHAnsi" w:cstheme="minorBidi"/>
          <w:szCs w:val="22"/>
          <w:lang w:eastAsia="en-US"/>
        </w:rPr>
        <w:t xml:space="preserve">  We have grave concerns that this deficit financing scheme is in contravention of the treaty obligations of the PCT.  </w:t>
      </w:r>
    </w:p>
    <w:p w:rsidR="00135AD4" w:rsidRDefault="00135AD4" w:rsidP="00135AD4">
      <w:pPr>
        <w:spacing w:after="200" w:line="276" w:lineRule="auto"/>
        <w:rPr>
          <w:rFonts w:asciiTheme="minorHAnsi" w:eastAsiaTheme="minorHAnsi" w:hAnsiTheme="minorHAnsi" w:cstheme="minorBidi"/>
          <w:szCs w:val="22"/>
          <w:lang w:eastAsia="en-US"/>
        </w:rPr>
        <w:sectPr w:rsidR="00135AD4" w:rsidSect="00E00943">
          <w:headerReference w:type="first" r:id="rId16"/>
          <w:footerReference w:type="first" r:id="rId17"/>
          <w:endnotePr>
            <w:numFmt w:val="decimal"/>
          </w:endnotePr>
          <w:pgSz w:w="11907" w:h="16840" w:code="9"/>
          <w:pgMar w:top="567" w:right="1134" w:bottom="1418" w:left="1418" w:header="510" w:footer="1021" w:gutter="0"/>
          <w:pgNumType w:start="3"/>
          <w:cols w:space="720"/>
          <w:titlePg/>
          <w:docGrid w:linePitch="299"/>
        </w:sectPr>
      </w:pPr>
      <w:r w:rsidRPr="00135AD4">
        <w:rPr>
          <w:rFonts w:asciiTheme="minorHAnsi" w:eastAsiaTheme="minorHAnsi" w:hAnsiTheme="minorHAnsi" w:cstheme="minorBidi"/>
          <w:szCs w:val="22"/>
          <w:lang w:eastAsia="en-US"/>
        </w:rPr>
        <w:t xml:space="preserve">The WIPO practice of allocating indirect expenses (common expenses) according to a union’s “ability to pay” means that underperforming unions are not held responsible for their indirect expenses, and the </w:t>
      </w:r>
    </w:p>
    <w:p w:rsidR="00135AD4" w:rsidRPr="00135AD4" w:rsidRDefault="00135AD4" w:rsidP="00135AD4">
      <w:pPr>
        <w:spacing w:after="200" w:line="276" w:lineRule="auto"/>
        <w:rPr>
          <w:rFonts w:asciiTheme="minorHAnsi" w:eastAsiaTheme="minorHAnsi" w:hAnsiTheme="minorHAnsi" w:cstheme="minorBidi"/>
          <w:szCs w:val="22"/>
          <w:lang w:eastAsia="en-US"/>
        </w:rPr>
      </w:pPr>
      <w:proofErr w:type="gramStart"/>
      <w:r w:rsidRPr="00135AD4">
        <w:rPr>
          <w:rFonts w:asciiTheme="minorHAnsi" w:eastAsiaTheme="minorHAnsi" w:hAnsiTheme="minorHAnsi" w:cstheme="minorBidi"/>
          <w:szCs w:val="22"/>
          <w:lang w:eastAsia="en-US"/>
        </w:rPr>
        <w:lastRenderedPageBreak/>
        <w:t>successful</w:t>
      </w:r>
      <w:proofErr w:type="gramEnd"/>
      <w:r w:rsidRPr="00135AD4">
        <w:rPr>
          <w:rFonts w:asciiTheme="minorHAnsi" w:eastAsiaTheme="minorHAnsi" w:hAnsiTheme="minorHAnsi" w:cstheme="minorBidi"/>
          <w:szCs w:val="22"/>
          <w:lang w:eastAsia="en-US"/>
        </w:rPr>
        <w:t xml:space="preserve"> unions such as the PCT and Madrid Unions are forced to pay an increased amount of all of the unions’ indirect expenses, including expenses in which the PCT Union does not have an “interest” under the terms of Article 57 of the PCT.  Article 57(1) of the PCT provides that the PCT Union shall contribute to common expenses of the unions, which it defines as “[e]</w:t>
      </w:r>
      <w:proofErr w:type="spellStart"/>
      <w:r w:rsidRPr="00135AD4">
        <w:rPr>
          <w:rFonts w:asciiTheme="minorHAnsi" w:eastAsiaTheme="minorHAnsi" w:hAnsiTheme="minorHAnsi" w:cstheme="minorBidi"/>
          <w:szCs w:val="22"/>
          <w:lang w:eastAsia="en-US"/>
        </w:rPr>
        <w:t>xpenses</w:t>
      </w:r>
      <w:proofErr w:type="spellEnd"/>
      <w:r w:rsidRPr="00135AD4">
        <w:rPr>
          <w:rFonts w:asciiTheme="minorHAnsi" w:eastAsiaTheme="minorHAnsi" w:hAnsiTheme="minorHAnsi" w:cstheme="minorBidi"/>
          <w:szCs w:val="22"/>
          <w:lang w:eastAsia="en-US"/>
        </w:rPr>
        <w:t xml:space="preserve"> not attributable exclusively to the Union but also to one or more other Unions administered by the Organization,” and which are to be paid “in proportion to the interest the Union has in them.”</w:t>
      </w:r>
      <w:r w:rsidRPr="00135AD4">
        <w:rPr>
          <w:rFonts w:asciiTheme="minorHAnsi" w:eastAsiaTheme="minorHAnsi" w:hAnsiTheme="minorHAnsi" w:cstheme="minorBidi"/>
          <w:szCs w:val="22"/>
          <w:vertAlign w:val="superscript"/>
          <w:lang w:eastAsia="en-US"/>
        </w:rPr>
        <w:footnoteReference w:id="10"/>
      </w:r>
      <w:r w:rsidRPr="00135AD4">
        <w:rPr>
          <w:rFonts w:asciiTheme="minorHAnsi" w:eastAsiaTheme="minorHAnsi" w:hAnsiTheme="minorHAnsi" w:cstheme="minorBidi"/>
          <w:szCs w:val="22"/>
          <w:lang w:eastAsia="en-US"/>
        </w:rPr>
        <w:t xml:space="preserve">  However, the Program and </w:t>
      </w:r>
      <w:proofErr w:type="gramStart"/>
      <w:r w:rsidRPr="00135AD4">
        <w:rPr>
          <w:rFonts w:asciiTheme="minorHAnsi" w:eastAsiaTheme="minorHAnsi" w:hAnsiTheme="minorHAnsi" w:cstheme="minorBidi"/>
          <w:szCs w:val="22"/>
          <w:lang w:eastAsia="en-US"/>
        </w:rPr>
        <w:t>Budget  defines</w:t>
      </w:r>
      <w:proofErr w:type="gramEnd"/>
      <w:r w:rsidRPr="00135AD4">
        <w:rPr>
          <w:rFonts w:asciiTheme="minorHAnsi" w:eastAsiaTheme="minorHAnsi" w:hAnsiTheme="minorHAnsi" w:cstheme="minorBidi"/>
          <w:szCs w:val="22"/>
          <w:lang w:eastAsia="en-US"/>
        </w:rPr>
        <w:t xml:space="preserve"> “common expenses” for the PCT Union inconsistently with Article 57 because the Lisbon Union’s direct and indirect expenses, which cannot be considered an expense common to the PCT Union or the Madrid Union, have been allocated nearly entirely to these unions.  </w:t>
      </w:r>
    </w:p>
    <w:p w:rsidR="00135AD4" w:rsidRPr="00135AD4" w:rsidRDefault="00135AD4" w:rsidP="00135AD4">
      <w:pPr>
        <w:spacing w:after="200" w:line="276" w:lineRule="auto"/>
        <w:rPr>
          <w:rFonts w:asciiTheme="minorHAnsi" w:eastAsiaTheme="minorHAnsi" w:hAnsiTheme="minorHAnsi" w:cstheme="minorBidi"/>
          <w:szCs w:val="22"/>
          <w:lang w:eastAsia="en-US"/>
        </w:rPr>
      </w:pPr>
      <w:r w:rsidRPr="00135AD4">
        <w:rPr>
          <w:rFonts w:asciiTheme="minorHAnsi" w:eastAsiaTheme="minorHAnsi" w:hAnsiTheme="minorHAnsi" w:cstheme="minorBidi"/>
          <w:szCs w:val="22"/>
          <w:lang w:eastAsia="en-US"/>
        </w:rPr>
        <w:t xml:space="preserve">In deciding to forgo the advice of the Coordination Committee in 2014, Members of the Lisbon Assembly specifically decided that its actions were of </w:t>
      </w:r>
      <w:r w:rsidRPr="00135AD4">
        <w:rPr>
          <w:rFonts w:asciiTheme="minorHAnsi" w:eastAsiaTheme="minorHAnsi" w:hAnsiTheme="minorHAnsi" w:cstheme="minorBidi"/>
          <w:szCs w:val="22"/>
          <w:u w:val="single"/>
          <w:lang w:eastAsia="en-US"/>
        </w:rPr>
        <w:t>no interest</w:t>
      </w:r>
      <w:r w:rsidRPr="00135AD4">
        <w:rPr>
          <w:rFonts w:asciiTheme="minorHAnsi" w:eastAsiaTheme="minorHAnsi" w:hAnsiTheme="minorHAnsi" w:cstheme="minorBidi"/>
          <w:szCs w:val="22"/>
          <w:lang w:eastAsia="en-US"/>
        </w:rPr>
        <w:t xml:space="preserve"> to other unions.</w:t>
      </w:r>
      <w:r w:rsidRPr="00135AD4">
        <w:rPr>
          <w:rFonts w:asciiTheme="minorHAnsi" w:eastAsiaTheme="minorHAnsi" w:hAnsiTheme="minorHAnsi" w:cstheme="minorBidi"/>
          <w:szCs w:val="22"/>
          <w:vertAlign w:val="superscript"/>
          <w:lang w:eastAsia="en-US"/>
        </w:rPr>
        <w:footnoteReference w:id="11"/>
      </w:r>
      <w:r w:rsidRPr="00135AD4">
        <w:rPr>
          <w:rFonts w:asciiTheme="minorHAnsi" w:eastAsiaTheme="minorHAnsi" w:hAnsiTheme="minorHAnsi" w:cstheme="minorBidi"/>
          <w:szCs w:val="22"/>
          <w:lang w:eastAsia="en-US"/>
        </w:rPr>
        <w:t xml:space="preserve">  It is not possible now for the Lisbon Union to take a contrary position simply in order to receive PCT’s excess receipts.</w:t>
      </w:r>
    </w:p>
    <w:p w:rsidR="00135AD4" w:rsidRPr="00135AD4" w:rsidRDefault="00135AD4" w:rsidP="00135AD4">
      <w:pPr>
        <w:spacing w:after="200" w:line="276" w:lineRule="auto"/>
        <w:rPr>
          <w:rFonts w:asciiTheme="minorHAnsi" w:eastAsiaTheme="minorHAnsi" w:hAnsiTheme="minorHAnsi" w:cstheme="minorBidi"/>
          <w:szCs w:val="22"/>
          <w:lang w:eastAsia="en-US"/>
        </w:rPr>
      </w:pPr>
      <w:r w:rsidRPr="00135AD4">
        <w:rPr>
          <w:rFonts w:asciiTheme="minorHAnsi" w:eastAsiaTheme="minorHAnsi" w:hAnsiTheme="minorHAnsi" w:cstheme="minorBidi"/>
          <w:szCs w:val="22"/>
          <w:lang w:eastAsia="en-US"/>
        </w:rPr>
        <w:t xml:space="preserve">If an income-producing union is deemed by the International Bureau to have an “inability to pay” its own direct and indirect expenses due to its own refusal to meet the financial terms of its own agreement as well as the failure of the International Bureau to manage the budget of that union, it should not receive an equal share of income generated and maintained by the other unions.  In other words, if the Lisbon Agreement is of “no interest” to the other unions--as explicitly stated by the Lisbon Union members in 2014 when they decided to have a closed diplomatic conference with the unreasonable expectation that it should be nonetheless funded by the budgets of the other unions--then going forward, the budgets of those other unions should not be used to fund the Lisbon Union’s operations.     </w:t>
      </w:r>
    </w:p>
    <w:p w:rsidR="00135AD4" w:rsidRDefault="00135AD4" w:rsidP="00135AD4">
      <w:pPr>
        <w:spacing w:after="200" w:line="276" w:lineRule="auto"/>
        <w:ind w:left="5040"/>
        <w:rPr>
          <w:rFonts w:asciiTheme="minorHAnsi" w:eastAsiaTheme="minorHAnsi" w:hAnsiTheme="minorHAnsi" w:cstheme="minorBidi"/>
          <w:i/>
          <w:szCs w:val="22"/>
          <w:lang w:eastAsia="en-US"/>
        </w:rPr>
        <w:sectPr w:rsidR="00135AD4" w:rsidSect="00E00943">
          <w:headerReference w:type="first" r:id="rId18"/>
          <w:footerReference w:type="first" r:id="rId19"/>
          <w:endnotePr>
            <w:numFmt w:val="decimal"/>
          </w:endnotePr>
          <w:pgSz w:w="11907" w:h="16840" w:code="9"/>
          <w:pgMar w:top="567" w:right="1134" w:bottom="1418" w:left="1418" w:header="510" w:footer="1021" w:gutter="0"/>
          <w:pgNumType w:start="4"/>
          <w:cols w:space="720"/>
          <w:titlePg/>
          <w:docGrid w:linePitch="299"/>
        </w:sectPr>
      </w:pPr>
    </w:p>
    <w:p w:rsidR="00135AD4" w:rsidRPr="00135AD4" w:rsidRDefault="00135AD4" w:rsidP="00135AD4">
      <w:pPr>
        <w:spacing w:after="200" w:line="276" w:lineRule="auto"/>
        <w:ind w:left="5040"/>
        <w:rPr>
          <w:rFonts w:asciiTheme="minorHAnsi" w:eastAsiaTheme="minorHAnsi" w:hAnsiTheme="minorHAnsi" w:cstheme="minorBidi"/>
          <w:i/>
          <w:szCs w:val="22"/>
          <w:lang w:eastAsia="en-US"/>
        </w:rPr>
      </w:pPr>
      <w:r w:rsidRPr="00135AD4">
        <w:rPr>
          <w:rFonts w:asciiTheme="minorHAnsi" w:eastAsiaTheme="minorHAnsi" w:hAnsiTheme="minorHAnsi" w:cstheme="minorBidi"/>
          <w:i/>
          <w:szCs w:val="22"/>
          <w:lang w:eastAsia="en-US"/>
        </w:rPr>
        <w:lastRenderedPageBreak/>
        <w:t xml:space="preserve">The PCT Union Assembly is invited to decide that the PCT Union fee income and reserves shall not be used to fund the Lisbon Union direct or indirect expenses, absent consent by the PCT Union to do so. </w:t>
      </w:r>
    </w:p>
    <w:p w:rsidR="00135AD4" w:rsidRPr="00135AD4" w:rsidRDefault="00135AD4" w:rsidP="00135AD4">
      <w:pPr>
        <w:spacing w:after="200" w:line="276" w:lineRule="auto"/>
        <w:ind w:left="5040"/>
        <w:rPr>
          <w:rFonts w:asciiTheme="minorHAnsi" w:eastAsiaTheme="minorHAnsi" w:hAnsiTheme="minorHAnsi" w:cstheme="minorBidi"/>
          <w:i/>
          <w:szCs w:val="22"/>
          <w:lang w:eastAsia="en-US"/>
        </w:rPr>
      </w:pPr>
    </w:p>
    <w:p w:rsidR="00825A93" w:rsidRDefault="00825A93" w:rsidP="00135AD4">
      <w:pPr>
        <w:pStyle w:val="Endofdocument-Annex"/>
      </w:pPr>
      <w:r>
        <w:t>[End of Annex and of document]</w:t>
      </w:r>
    </w:p>
    <w:sectPr w:rsidR="00825A93" w:rsidSect="00E00943">
      <w:headerReference w:type="first" r:id="rId20"/>
      <w:footerReference w:type="first" r:id="rId21"/>
      <w:endnotePr>
        <w:numFmt w:val="decimal"/>
      </w:endnotePr>
      <w:pgSz w:w="11907" w:h="16840" w:code="9"/>
      <w:pgMar w:top="567" w:right="1134" w:bottom="1418" w:left="1418" w:header="510" w:footer="1021" w:gutter="0"/>
      <w:pgNumType w:start="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93" w:rsidRDefault="00952A93">
      <w:r>
        <w:separator/>
      </w:r>
    </w:p>
  </w:endnote>
  <w:endnote w:type="continuationSeparator" w:id="0">
    <w:p w:rsidR="00952A93" w:rsidRDefault="00952A93" w:rsidP="003B38C1">
      <w:r>
        <w:separator/>
      </w:r>
    </w:p>
    <w:p w:rsidR="00952A93" w:rsidRPr="003B38C1" w:rsidRDefault="00952A93" w:rsidP="003B38C1">
      <w:pPr>
        <w:spacing w:after="60"/>
        <w:rPr>
          <w:sz w:val="17"/>
        </w:rPr>
      </w:pPr>
      <w:r>
        <w:rPr>
          <w:sz w:val="17"/>
        </w:rPr>
        <w:t>[Endnote continued from previous page]</w:t>
      </w:r>
    </w:p>
  </w:endnote>
  <w:endnote w:type="continuationNotice" w:id="1">
    <w:p w:rsidR="00952A93" w:rsidRPr="003B38C1" w:rsidRDefault="00952A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D4" w:rsidRPr="00F8670A" w:rsidRDefault="00135AD4" w:rsidP="00F867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E00943" w:rsidRDefault="00E00943" w:rsidP="00E00943">
    <w:pPr>
      <w:pStyle w:val="Footer"/>
      <w:jc w:val="center"/>
      <w:rPr>
        <w:rFonts w:asciiTheme="minorHAnsi" w:hAnsiTheme="minorHAnsi"/>
      </w:rPr>
    </w:pPr>
    <w:r w:rsidRPr="00E00943">
      <w:rPr>
        <w:rFonts w:asciiTheme="minorHAnsi" w:hAnsiTheme="minorHAnsi"/>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E00943" w:rsidRDefault="00E00943" w:rsidP="00E00943">
    <w:pPr>
      <w:pStyle w:val="Footer"/>
      <w:jc w:val="center"/>
      <w:rPr>
        <w:rFonts w:asciiTheme="minorHAnsi" w:hAnsiTheme="minorHAnsi"/>
      </w:rPr>
    </w:pPr>
    <w:r>
      <w:rPr>
        <w:rFonts w:asciiTheme="minorHAnsi" w:hAnsiTheme="minorHAnsi"/>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E00943" w:rsidRDefault="00E00943" w:rsidP="00E00943">
    <w:pPr>
      <w:pStyle w:val="Footer"/>
      <w:jc w:val="center"/>
      <w:rPr>
        <w:rFonts w:asciiTheme="minorHAnsi" w:hAnsiTheme="minorHAnsi"/>
      </w:rPr>
    </w:pPr>
    <w:r>
      <w:rPr>
        <w:rFonts w:asciiTheme="minorHAnsi" w:hAnsiTheme="minorHAnsi"/>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93" w:rsidRDefault="00952A93">
      <w:r>
        <w:separator/>
      </w:r>
    </w:p>
  </w:footnote>
  <w:footnote w:type="continuationSeparator" w:id="0">
    <w:p w:rsidR="00952A93" w:rsidRDefault="00952A93" w:rsidP="008B60B2">
      <w:r>
        <w:separator/>
      </w:r>
    </w:p>
    <w:p w:rsidR="00952A93" w:rsidRPr="00ED77FB" w:rsidRDefault="00952A93" w:rsidP="008B60B2">
      <w:pPr>
        <w:spacing w:after="60"/>
        <w:rPr>
          <w:sz w:val="17"/>
          <w:szCs w:val="17"/>
        </w:rPr>
      </w:pPr>
      <w:r w:rsidRPr="00ED77FB">
        <w:rPr>
          <w:sz w:val="17"/>
          <w:szCs w:val="17"/>
        </w:rPr>
        <w:t>[Footnote continued from previous page]</w:t>
      </w:r>
    </w:p>
  </w:footnote>
  <w:footnote w:type="continuationNotice" w:id="1">
    <w:p w:rsidR="00952A93" w:rsidRPr="00ED77FB" w:rsidRDefault="00952A93" w:rsidP="008B60B2">
      <w:pPr>
        <w:spacing w:before="60"/>
        <w:jc w:val="right"/>
        <w:rPr>
          <w:sz w:val="17"/>
          <w:szCs w:val="17"/>
        </w:rPr>
      </w:pPr>
      <w:r w:rsidRPr="00ED77FB">
        <w:rPr>
          <w:sz w:val="17"/>
          <w:szCs w:val="17"/>
        </w:rPr>
        <w:t>[Footnote continued on next page]</w:t>
      </w:r>
    </w:p>
  </w:footnote>
  <w:footnote w:id="2">
    <w:p w:rsidR="00135AD4" w:rsidRPr="00135AD4" w:rsidRDefault="00135AD4" w:rsidP="00135AD4">
      <w:pPr>
        <w:pStyle w:val="CommentText"/>
        <w:rPr>
          <w:rStyle w:val="Hyperlink"/>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w:t>
      </w:r>
      <w:r w:rsidRPr="00135AD4">
        <w:rPr>
          <w:rFonts w:asciiTheme="minorHAnsi" w:hAnsiTheme="minorHAnsi"/>
          <w:i/>
          <w:sz w:val="20"/>
        </w:rPr>
        <w:t>See</w:t>
      </w:r>
      <w:r w:rsidRPr="00135AD4">
        <w:rPr>
          <w:rFonts w:asciiTheme="minorHAnsi" w:hAnsiTheme="minorHAnsi"/>
          <w:sz w:val="20"/>
        </w:rPr>
        <w:t xml:space="preserve">, </w:t>
      </w:r>
      <w:r w:rsidRPr="00135AD4">
        <w:rPr>
          <w:rFonts w:asciiTheme="minorHAnsi" w:hAnsiTheme="minorHAnsi"/>
          <w:i/>
          <w:sz w:val="20"/>
        </w:rPr>
        <w:t>e.g.,</w:t>
      </w:r>
      <w:r w:rsidRPr="00135AD4">
        <w:rPr>
          <w:rFonts w:asciiTheme="minorHAnsi" w:hAnsiTheme="minorHAnsi"/>
          <w:sz w:val="20"/>
        </w:rPr>
        <w:t xml:space="preserve"> AB/II/3 (1971), Annex A, page 12 (</w:t>
      </w:r>
      <w:hyperlink r:id="rId1" w:history="1">
        <w:r w:rsidRPr="00135AD4">
          <w:rPr>
            <w:rStyle w:val="Hyperlink"/>
            <w:rFonts w:asciiTheme="minorHAnsi" w:hAnsiTheme="minorHAnsi"/>
            <w:sz w:val="20"/>
          </w:rPr>
          <w:t>http://www.wipo.int/mdocsarchives/AB_II_1971/AB_II_3_E.pdf</w:t>
        </w:r>
      </w:hyperlink>
      <w:r w:rsidRPr="00135AD4">
        <w:rPr>
          <w:rStyle w:val="Hyperlink"/>
          <w:rFonts w:asciiTheme="minorHAnsi" w:hAnsiTheme="minorHAnsi"/>
          <w:sz w:val="20"/>
        </w:rPr>
        <w:t>)</w:t>
      </w:r>
      <w:r w:rsidRPr="00135AD4">
        <w:rPr>
          <w:rFonts w:asciiTheme="minorHAnsi" w:hAnsiTheme="minorHAnsi"/>
          <w:sz w:val="20"/>
        </w:rPr>
        <w:t xml:space="preserve">:  “As regards the </w:t>
      </w:r>
      <w:r w:rsidRPr="00135AD4">
        <w:rPr>
          <w:rFonts w:asciiTheme="minorHAnsi" w:hAnsiTheme="minorHAnsi"/>
          <w:sz w:val="20"/>
          <w:u w:val="single"/>
        </w:rPr>
        <w:t>Lisbon Union</w:t>
      </w:r>
      <w:r w:rsidRPr="00135AD4">
        <w:rPr>
          <w:rFonts w:asciiTheme="minorHAnsi" w:hAnsiTheme="minorHAnsi"/>
          <w:sz w:val="20"/>
        </w:rPr>
        <w:t>, the accumulated deficit at December 31, 1969, amounted to…15,261.32 francs,” which was “provisionally covered by an interest-free advance granted by the Swiss Government.”; AB/IV/34 (1973), page 6, paragraph 35 (</w:t>
      </w:r>
      <w:hyperlink r:id="rId2" w:history="1">
        <w:r w:rsidRPr="00135AD4">
          <w:rPr>
            <w:rStyle w:val="Hyperlink"/>
            <w:rFonts w:asciiTheme="minorHAnsi" w:hAnsiTheme="minorHAnsi"/>
            <w:sz w:val="20"/>
          </w:rPr>
          <w:t>http://www.wipo.int/mdocsarchives/AB_IV_1973/AB_IV_34_E.pdf</w:t>
        </w:r>
      </w:hyperlink>
      <w:r w:rsidRPr="00135AD4">
        <w:rPr>
          <w:rStyle w:val="Hyperlink"/>
          <w:rFonts w:asciiTheme="minorHAnsi" w:hAnsiTheme="minorHAnsi"/>
          <w:sz w:val="20"/>
        </w:rPr>
        <w:t>)</w:t>
      </w:r>
      <w:r w:rsidRPr="00135AD4">
        <w:rPr>
          <w:rFonts w:asciiTheme="minorHAnsi" w:hAnsiTheme="minorHAnsi"/>
          <w:sz w:val="20"/>
        </w:rPr>
        <w:t>:  “[A]s regards the deficit of the Lisbon Union, the outlook was not clear in view of the insignificant number of registrations but, for the time being, the deficit was covered by advances from the Swiss Government…”; AB/XX/2 (1989), page 2, paragraph 9 (</w:t>
      </w:r>
      <w:hyperlink r:id="rId3" w:history="1">
        <w:r w:rsidRPr="00135AD4">
          <w:rPr>
            <w:rStyle w:val="Hyperlink"/>
            <w:rFonts w:asciiTheme="minorHAnsi" w:hAnsiTheme="minorHAnsi"/>
            <w:sz w:val="20"/>
          </w:rPr>
          <w:t>http://www.wipo.int/mdocsarchives/AB_XX_1989/AB_XX_2_E.pdf</w:t>
        </w:r>
      </w:hyperlink>
      <w:r w:rsidRPr="00135AD4">
        <w:rPr>
          <w:rFonts w:asciiTheme="minorHAnsi" w:hAnsiTheme="minorHAnsi"/>
          <w:sz w:val="20"/>
        </w:rPr>
        <w:t xml:space="preserve">): “As in the past, the very small income of the Lisbon Union…will be used to cover its very small expenses, whereas any excess expenditure will be carried forward to future budgetary periods.”; and LI/A/X/1 (1993), page 1-2, paragraphs 2 &amp; 4: “As of December 31, 1991, the Lisbon Union had an accumulated deficit of 24,675 francs.  That deficit resulted from the fact that the very small income of the Union has not been sufficient over the last several </w:t>
      </w:r>
      <w:proofErr w:type="spellStart"/>
      <w:r w:rsidRPr="00135AD4">
        <w:rPr>
          <w:rFonts w:asciiTheme="minorHAnsi" w:hAnsiTheme="minorHAnsi"/>
          <w:sz w:val="20"/>
        </w:rPr>
        <w:t>bienniums</w:t>
      </w:r>
      <w:proofErr w:type="spellEnd"/>
      <w:r w:rsidRPr="00135AD4">
        <w:rPr>
          <w:rFonts w:asciiTheme="minorHAnsi" w:hAnsiTheme="minorHAnsi"/>
          <w:sz w:val="20"/>
        </w:rPr>
        <w:t xml:space="preserve"> to cover the expenses of the Union….The deficit of the Lisbon Union was 12,316 francs at the end of 1985, and increased to 15,372 francs at the end of 1987, to 20,129 francs at the end of 1989, and to 24,675 francs as of the end of 1991.” (</w:t>
      </w:r>
      <w:hyperlink r:id="rId4" w:history="1">
        <w:r w:rsidRPr="00135AD4">
          <w:rPr>
            <w:rStyle w:val="Hyperlink"/>
            <w:rFonts w:asciiTheme="minorHAnsi" w:hAnsiTheme="minorHAnsi"/>
            <w:sz w:val="20"/>
          </w:rPr>
          <w:t>http://www.wipo.int/mdocsarchives/AB_XXIV_1993/LI_A_X_1_E.pdf</w:t>
        </w:r>
      </w:hyperlink>
      <w:r w:rsidRPr="00135AD4">
        <w:rPr>
          <w:rStyle w:val="Hyperlink"/>
          <w:rFonts w:asciiTheme="minorHAnsi" w:hAnsiTheme="minorHAnsi"/>
          <w:sz w:val="20"/>
        </w:rPr>
        <w:t>)</w:t>
      </w:r>
    </w:p>
    <w:p w:rsidR="00135AD4" w:rsidRPr="00135AD4" w:rsidRDefault="00135AD4" w:rsidP="00135AD4">
      <w:pPr>
        <w:pStyle w:val="CommentText"/>
        <w:rPr>
          <w:rFonts w:asciiTheme="minorHAnsi" w:hAnsiTheme="minorHAnsi"/>
          <w:sz w:val="20"/>
        </w:rPr>
      </w:pPr>
    </w:p>
  </w:footnote>
  <w:footnote w:id="3">
    <w:p w:rsidR="00135AD4" w:rsidRDefault="00135AD4" w:rsidP="00135AD4">
      <w:pPr>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w:t>
      </w:r>
      <w:r w:rsidRPr="00135AD4">
        <w:rPr>
          <w:rFonts w:asciiTheme="minorHAnsi" w:hAnsiTheme="minorHAnsi"/>
          <w:i/>
          <w:sz w:val="20"/>
        </w:rPr>
        <w:t>See, e.g.,</w:t>
      </w:r>
      <w:r w:rsidRPr="00135AD4">
        <w:rPr>
          <w:rFonts w:asciiTheme="minorHAnsi" w:hAnsiTheme="minorHAnsi"/>
          <w:sz w:val="20"/>
        </w:rPr>
        <w:t xml:space="preserve"> AB/VI/2 (1975), page 26, Para 101 (</w:t>
      </w:r>
      <w:hyperlink r:id="rId5" w:history="1">
        <w:r w:rsidRPr="00135AD4">
          <w:rPr>
            <w:rStyle w:val="Hyperlink"/>
            <w:rFonts w:asciiTheme="minorHAnsi" w:hAnsiTheme="minorHAnsi"/>
            <w:sz w:val="20"/>
          </w:rPr>
          <w:t>http://www.wipo.int/mdocsarchives/AB_VI_1975/AB_VI_2_E.pdf</w:t>
        </w:r>
      </w:hyperlink>
      <w:r w:rsidRPr="00135AD4">
        <w:rPr>
          <w:rStyle w:val="Hyperlink"/>
          <w:rFonts w:asciiTheme="minorHAnsi" w:hAnsiTheme="minorHAnsi"/>
          <w:sz w:val="20"/>
        </w:rPr>
        <w:t>)</w:t>
      </w:r>
      <w:r w:rsidRPr="00135AD4">
        <w:rPr>
          <w:rFonts w:asciiTheme="minorHAnsi" w:hAnsiTheme="minorHAnsi"/>
          <w:sz w:val="20"/>
        </w:rPr>
        <w:t xml:space="preserve">: “Common Expenses.  The Union will continue to bear a small percentage of common expenses.  However, the sums involved are too small to be shown in each of the DC Tables (in which amounts are rounded to the nearest 1,000 francs).  It is estimated that contributions to common expenses will be 5,000 francs for the year 1976 and this amount is shown under DC.34 ‘Miscellaneous and Unforeseen.’”;  and AB/XX/2, Annex A, page 58 lists the Lisbon Union as financed by the budgets of the Madrid and Hague Unions, noting “[t]he volume of the above tasks under (c) [Lisbon registrations] and (d) [Article 6ter notifications] is so small that the Lisbon and Paris Unions do not participate in the expenses of these Registries.”  </w:t>
      </w:r>
    </w:p>
    <w:p w:rsidR="008150F1" w:rsidRPr="00135AD4" w:rsidRDefault="008150F1" w:rsidP="00135AD4">
      <w:pPr>
        <w:rPr>
          <w:rFonts w:asciiTheme="minorHAnsi" w:hAnsiTheme="minorHAnsi"/>
          <w:sz w:val="20"/>
        </w:rPr>
      </w:pPr>
    </w:p>
  </w:footnote>
  <w:footnote w:id="4">
    <w:p w:rsidR="00135AD4" w:rsidRPr="00135AD4" w:rsidRDefault="00135AD4" w:rsidP="00135AD4">
      <w:pPr>
        <w:pStyle w:val="FootnoteText"/>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w:t>
      </w:r>
      <w:r w:rsidRPr="00135AD4">
        <w:rPr>
          <w:rFonts w:asciiTheme="minorHAnsi" w:hAnsiTheme="minorHAnsi"/>
          <w:i/>
          <w:sz w:val="20"/>
        </w:rPr>
        <w:t>See,</w:t>
      </w:r>
      <w:r w:rsidRPr="00135AD4">
        <w:rPr>
          <w:rFonts w:asciiTheme="minorHAnsi" w:hAnsiTheme="minorHAnsi"/>
          <w:sz w:val="20"/>
        </w:rPr>
        <w:t xml:space="preserve"> </w:t>
      </w:r>
      <w:r w:rsidRPr="00135AD4">
        <w:rPr>
          <w:rFonts w:asciiTheme="minorHAnsi" w:hAnsiTheme="minorHAnsi"/>
          <w:i/>
          <w:sz w:val="20"/>
        </w:rPr>
        <w:t>e.g.,</w:t>
      </w:r>
      <w:r w:rsidRPr="00135AD4">
        <w:rPr>
          <w:rFonts w:asciiTheme="minorHAnsi" w:hAnsiTheme="minorHAnsi"/>
          <w:sz w:val="20"/>
        </w:rPr>
        <w:t xml:space="preserve"> AB/XX/2, Annex S, Table Indicating the Share of Each State in the Various Contributions In Each of the Two Years of the Biennium 1990-91, which lists the member state contributions to the “Program Unions” of Paris, Berne, IPC, Nice, Locarno, Vienna, and WIPO.  The Registration Unions are discussed separately but there is no reference to the contributions of the Lisbon Union members.</w:t>
      </w:r>
    </w:p>
    <w:p w:rsidR="00135AD4" w:rsidRPr="00135AD4" w:rsidRDefault="00135AD4" w:rsidP="00135AD4">
      <w:pPr>
        <w:pStyle w:val="FootnoteText"/>
        <w:rPr>
          <w:rFonts w:asciiTheme="minorHAnsi" w:hAnsiTheme="minorHAnsi"/>
          <w:sz w:val="20"/>
        </w:rPr>
      </w:pPr>
    </w:p>
  </w:footnote>
  <w:footnote w:id="5">
    <w:p w:rsidR="00135AD4" w:rsidRPr="00135AD4" w:rsidRDefault="00135AD4" w:rsidP="00135AD4">
      <w:pPr>
        <w:pStyle w:val="FootnoteText"/>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w:t>
      </w:r>
      <w:r w:rsidRPr="00135AD4">
        <w:rPr>
          <w:rFonts w:asciiTheme="minorHAnsi" w:hAnsiTheme="minorHAnsi"/>
          <w:i/>
          <w:sz w:val="20"/>
        </w:rPr>
        <w:t>See</w:t>
      </w:r>
      <w:r w:rsidRPr="00135AD4">
        <w:rPr>
          <w:rFonts w:asciiTheme="minorHAnsi" w:hAnsiTheme="minorHAnsi"/>
          <w:sz w:val="20"/>
        </w:rPr>
        <w:t xml:space="preserve">, </w:t>
      </w:r>
      <w:r w:rsidRPr="00135AD4">
        <w:rPr>
          <w:rFonts w:asciiTheme="minorHAnsi" w:hAnsiTheme="minorHAnsi"/>
          <w:i/>
          <w:sz w:val="20"/>
        </w:rPr>
        <w:t>e.g.</w:t>
      </w:r>
      <w:r w:rsidRPr="00135AD4">
        <w:rPr>
          <w:rFonts w:asciiTheme="minorHAnsi" w:hAnsiTheme="minorHAnsi"/>
          <w:sz w:val="20"/>
        </w:rPr>
        <w:t>, AB/II/3, Annex A, page 15, paragraph 3.6.5 “The [Hague and Lisbon] Unions have no reserve funds.</w:t>
      </w:r>
      <w:proofErr w:type="gramStart"/>
      <w:r w:rsidRPr="00135AD4">
        <w:rPr>
          <w:rFonts w:asciiTheme="minorHAnsi" w:hAnsiTheme="minorHAnsi"/>
          <w:sz w:val="20"/>
        </w:rPr>
        <w:t>”;</w:t>
      </w:r>
      <w:proofErr w:type="gramEnd"/>
      <w:r w:rsidRPr="00135AD4">
        <w:rPr>
          <w:rFonts w:asciiTheme="minorHAnsi" w:hAnsiTheme="minorHAnsi"/>
          <w:sz w:val="20"/>
        </w:rPr>
        <w:t xml:space="preserve"> and AB/7/6 (1976), page 6, paragraph 28 (</w:t>
      </w:r>
      <w:hyperlink r:id="rId6" w:history="1">
        <w:r w:rsidRPr="00135AD4">
          <w:rPr>
            <w:rStyle w:val="Hyperlink"/>
            <w:rFonts w:asciiTheme="minorHAnsi" w:hAnsiTheme="minorHAnsi"/>
            <w:sz w:val="20"/>
          </w:rPr>
          <w:t>http://www.wipo.int/mdocsarchives/AB_VII_1976/AB_VII_6_E.pdf</w:t>
        </w:r>
      </w:hyperlink>
      <w:r w:rsidRPr="00135AD4">
        <w:rPr>
          <w:rStyle w:val="Hyperlink"/>
          <w:rFonts w:asciiTheme="minorHAnsi" w:hAnsiTheme="minorHAnsi"/>
          <w:sz w:val="20"/>
        </w:rPr>
        <w:t>)</w:t>
      </w:r>
      <w:r w:rsidRPr="00135AD4">
        <w:rPr>
          <w:rFonts w:asciiTheme="minorHAnsi" w:hAnsiTheme="minorHAnsi"/>
          <w:sz w:val="20"/>
        </w:rPr>
        <w:t>: “</w:t>
      </w:r>
      <w:r w:rsidRPr="00135AD4">
        <w:rPr>
          <w:rFonts w:asciiTheme="minorHAnsi" w:hAnsiTheme="minorHAnsi"/>
          <w:sz w:val="20"/>
          <w:u w:val="single"/>
        </w:rPr>
        <w:t>Lisbon Union</w:t>
      </w:r>
      <w:r w:rsidRPr="00135AD4">
        <w:rPr>
          <w:rFonts w:asciiTheme="minorHAnsi" w:hAnsiTheme="minorHAnsi"/>
          <w:sz w:val="20"/>
        </w:rPr>
        <w:t xml:space="preserve">. The Stockholm Act of the Lisbon Agreement provides, in Article 11(7), for the creation of a working capital fund. Since, however, the yearly budget of this Union is insignificant (around 8,000 francs in 1976), the creation of a working capital fund would be more of a nuisance than it would be worth, and the Director General intends to come back to this matter only if and when the budget of this Union considerably increases.”   </w:t>
      </w:r>
    </w:p>
  </w:footnote>
  <w:footnote w:id="6">
    <w:p w:rsidR="00135AD4" w:rsidRPr="00135AD4" w:rsidRDefault="00135AD4" w:rsidP="00135AD4">
      <w:pPr>
        <w:pStyle w:val="FootnoteText"/>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w:t>
      </w:r>
      <w:proofErr w:type="gramStart"/>
      <w:r w:rsidRPr="00135AD4">
        <w:rPr>
          <w:rFonts w:asciiTheme="minorHAnsi" w:hAnsiTheme="minorHAnsi"/>
          <w:i/>
          <w:sz w:val="20"/>
        </w:rPr>
        <w:t>See, e.g.,</w:t>
      </w:r>
      <w:r w:rsidRPr="00135AD4">
        <w:rPr>
          <w:rFonts w:asciiTheme="minorHAnsi" w:hAnsiTheme="minorHAnsi"/>
          <w:sz w:val="20"/>
        </w:rPr>
        <w:t xml:space="preserve"> AB/XX/2 (1989), Annexes V – W.</w:t>
      </w:r>
      <w:proofErr w:type="gramEnd"/>
      <w:r w:rsidRPr="00135AD4">
        <w:rPr>
          <w:rFonts w:asciiTheme="minorHAnsi" w:hAnsiTheme="minorHAnsi"/>
          <w:sz w:val="20"/>
        </w:rPr>
        <w:t xml:space="preserve">  </w:t>
      </w:r>
    </w:p>
  </w:footnote>
  <w:footnote w:id="7">
    <w:p w:rsidR="00135AD4" w:rsidRPr="00135AD4" w:rsidRDefault="00135AD4" w:rsidP="00135AD4">
      <w:pPr>
        <w:pStyle w:val="FootnoteText"/>
        <w:rPr>
          <w:rFonts w:asciiTheme="minorHAnsi" w:hAnsiTheme="minorHAnsi"/>
          <w:sz w:val="20"/>
          <w:lang w:val="fr-CH"/>
        </w:rPr>
      </w:pPr>
      <w:r w:rsidRPr="00135AD4">
        <w:rPr>
          <w:rStyle w:val="FootnoteReference"/>
          <w:rFonts w:asciiTheme="minorHAnsi" w:hAnsiTheme="minorHAnsi"/>
          <w:sz w:val="20"/>
        </w:rPr>
        <w:footnoteRef/>
      </w:r>
      <w:r w:rsidRPr="00135AD4">
        <w:rPr>
          <w:rFonts w:asciiTheme="minorHAnsi" w:hAnsiTheme="minorHAnsi"/>
          <w:sz w:val="20"/>
          <w:lang w:val="fr-CH"/>
        </w:rPr>
        <w:t xml:space="preserve"> LI/A/31/2 (2014), page 3, </w:t>
      </w:r>
      <w:proofErr w:type="spellStart"/>
      <w:r w:rsidRPr="00135AD4">
        <w:rPr>
          <w:rFonts w:asciiTheme="minorHAnsi" w:hAnsiTheme="minorHAnsi"/>
          <w:sz w:val="20"/>
          <w:lang w:val="fr-CH"/>
        </w:rPr>
        <w:t>paragraph</w:t>
      </w:r>
      <w:proofErr w:type="spellEnd"/>
      <w:r w:rsidRPr="00135AD4">
        <w:rPr>
          <w:rFonts w:asciiTheme="minorHAnsi" w:hAnsiTheme="minorHAnsi"/>
          <w:sz w:val="20"/>
          <w:lang w:val="fr-CH"/>
        </w:rPr>
        <w:t xml:space="preserve"> 10 (</w:t>
      </w:r>
      <w:hyperlink r:id="rId7" w:history="1">
        <w:r w:rsidRPr="00135AD4">
          <w:rPr>
            <w:rStyle w:val="Hyperlink"/>
            <w:rFonts w:asciiTheme="minorHAnsi" w:hAnsiTheme="minorHAnsi"/>
            <w:sz w:val="20"/>
            <w:lang w:val="fr-CH"/>
          </w:rPr>
          <w:t>http://www.wipo.int/edocs/mdocs/govbody/en/li_a_31/li_a_31_2.pdf</w:t>
        </w:r>
      </w:hyperlink>
      <w:r w:rsidRPr="00135AD4">
        <w:rPr>
          <w:rFonts w:asciiTheme="minorHAnsi" w:hAnsiTheme="minorHAnsi"/>
          <w:sz w:val="20"/>
          <w:lang w:val="fr-CH"/>
        </w:rPr>
        <w:t xml:space="preserve">). </w:t>
      </w:r>
    </w:p>
  </w:footnote>
  <w:footnote w:id="8">
    <w:p w:rsidR="00135AD4" w:rsidRPr="00135AD4" w:rsidRDefault="00135AD4" w:rsidP="00135AD4">
      <w:pPr>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w:t>
      </w:r>
      <w:r w:rsidRPr="00135AD4">
        <w:rPr>
          <w:rFonts w:asciiTheme="minorHAnsi" w:hAnsiTheme="minorHAnsi"/>
          <w:i/>
          <w:sz w:val="20"/>
        </w:rPr>
        <w:t>See, e.g.,</w:t>
      </w:r>
      <w:r w:rsidRPr="00135AD4">
        <w:rPr>
          <w:rFonts w:asciiTheme="minorHAnsi" w:hAnsiTheme="minorHAnsi"/>
          <w:sz w:val="20"/>
        </w:rPr>
        <w:t xml:space="preserve"> AB/XX/2, Annex A, page 58, listing the Lisbon Union registration activities under the heading “INTERNATIONAL TRADEMARK AND INDUSTRIAL DESIGN REGISTRIES,” that are “[f]</w:t>
      </w:r>
      <w:proofErr w:type="spellStart"/>
      <w:r w:rsidRPr="00135AD4">
        <w:rPr>
          <w:rFonts w:asciiTheme="minorHAnsi" w:hAnsiTheme="minorHAnsi"/>
          <w:sz w:val="20"/>
        </w:rPr>
        <w:t>inanced</w:t>
      </w:r>
      <w:proofErr w:type="spellEnd"/>
      <w:r w:rsidRPr="00135AD4">
        <w:rPr>
          <w:rFonts w:asciiTheme="minorHAnsi" w:hAnsiTheme="minorHAnsi"/>
          <w:sz w:val="20"/>
        </w:rPr>
        <w:t xml:space="preserve"> from the budgets of the Madrid and Hague Unions”  </w:t>
      </w:r>
    </w:p>
  </w:footnote>
  <w:footnote w:id="9">
    <w:p w:rsidR="00135AD4" w:rsidRPr="00135AD4" w:rsidRDefault="00135AD4" w:rsidP="00135AD4">
      <w:pPr>
        <w:pStyle w:val="FootnoteText"/>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This understanding was confirmed by the WIPO Comptroller during the May 2015 diplomatic conference of the Lisbon Agreement.</w:t>
      </w:r>
    </w:p>
  </w:footnote>
  <w:footnote w:id="10">
    <w:p w:rsidR="00135AD4" w:rsidRPr="00135AD4" w:rsidRDefault="00135AD4" w:rsidP="00135AD4">
      <w:pPr>
        <w:pStyle w:val="FootnoteText"/>
        <w:rPr>
          <w:rFonts w:asciiTheme="minorHAnsi" w:hAnsiTheme="minorHAnsi"/>
          <w:sz w:val="20"/>
        </w:rPr>
      </w:pPr>
      <w:r w:rsidRPr="00135AD4">
        <w:rPr>
          <w:rStyle w:val="FootnoteReference"/>
          <w:rFonts w:asciiTheme="minorHAnsi" w:hAnsiTheme="minorHAnsi"/>
          <w:sz w:val="20"/>
        </w:rPr>
        <w:footnoteRef/>
      </w:r>
      <w:r w:rsidRPr="00135AD4">
        <w:rPr>
          <w:rFonts w:asciiTheme="minorHAnsi" w:hAnsiTheme="minorHAnsi"/>
          <w:sz w:val="20"/>
        </w:rPr>
        <w:t xml:space="preserve"> PCT Article 57(1) reads: </w:t>
      </w:r>
    </w:p>
    <w:p w:rsidR="00135AD4" w:rsidRPr="00135AD4" w:rsidRDefault="00135AD4" w:rsidP="00135AD4">
      <w:pPr>
        <w:pStyle w:val="FootnoteText"/>
        <w:ind w:left="720"/>
        <w:rPr>
          <w:rFonts w:asciiTheme="minorHAnsi" w:hAnsiTheme="minorHAnsi"/>
          <w:sz w:val="20"/>
        </w:rPr>
      </w:pPr>
      <w:r w:rsidRPr="00135AD4">
        <w:rPr>
          <w:rFonts w:asciiTheme="minorHAnsi" w:hAnsiTheme="minorHAnsi"/>
          <w:sz w:val="20"/>
        </w:rPr>
        <w:t xml:space="preserve">(a) The Union shall have a budget. </w:t>
      </w:r>
    </w:p>
    <w:p w:rsidR="00135AD4" w:rsidRPr="00135AD4" w:rsidRDefault="00135AD4" w:rsidP="00135AD4">
      <w:pPr>
        <w:pStyle w:val="FootnoteText"/>
        <w:ind w:left="720"/>
        <w:rPr>
          <w:rFonts w:asciiTheme="minorHAnsi" w:hAnsiTheme="minorHAnsi"/>
          <w:sz w:val="20"/>
        </w:rPr>
      </w:pPr>
      <w:r w:rsidRPr="00135AD4">
        <w:rPr>
          <w:rFonts w:asciiTheme="minorHAnsi" w:hAnsiTheme="minorHAnsi"/>
          <w:sz w:val="20"/>
        </w:rPr>
        <w:t xml:space="preserve">(b)  The budget of the Union shall include the income and expenses proper to the Union and its contribution to the budget of expenses common to the Unions administered by the Organization. </w:t>
      </w:r>
    </w:p>
    <w:p w:rsidR="00135AD4" w:rsidRPr="00135AD4" w:rsidRDefault="00135AD4" w:rsidP="00135AD4">
      <w:pPr>
        <w:pStyle w:val="FootnoteText"/>
        <w:ind w:left="720"/>
        <w:rPr>
          <w:rFonts w:asciiTheme="minorHAnsi" w:hAnsiTheme="minorHAnsi"/>
          <w:sz w:val="20"/>
        </w:rPr>
      </w:pPr>
      <w:r w:rsidRPr="00135AD4">
        <w:rPr>
          <w:rFonts w:asciiTheme="minorHAnsi" w:hAnsiTheme="minorHAnsi"/>
          <w:sz w:val="20"/>
        </w:rPr>
        <w:t>(c)  Expenses not attributable exclusively to the Union but also to one or more other Unions administered by the Organization shall be considered as expenses common to the Unions. The share of the Union in such common expenses shall be in proportion to the interest the Union has in them.</w:t>
      </w:r>
    </w:p>
  </w:footnote>
  <w:footnote w:id="11">
    <w:p w:rsidR="00135AD4" w:rsidRPr="00135AD4" w:rsidRDefault="00135AD4" w:rsidP="00135AD4">
      <w:pPr>
        <w:pStyle w:val="Default"/>
        <w:rPr>
          <w:rFonts w:asciiTheme="minorHAnsi" w:hAnsiTheme="minorHAnsi" w:cstheme="minorHAnsi"/>
          <w:sz w:val="20"/>
          <w:szCs w:val="20"/>
        </w:rPr>
      </w:pPr>
      <w:r w:rsidRPr="00135AD4">
        <w:rPr>
          <w:rStyle w:val="FootnoteReference"/>
          <w:rFonts w:asciiTheme="minorHAnsi" w:hAnsiTheme="minorHAnsi" w:cs="Times New Roman"/>
          <w:sz w:val="20"/>
          <w:szCs w:val="20"/>
        </w:rPr>
        <w:footnoteRef/>
      </w:r>
      <w:r w:rsidRPr="00135AD4">
        <w:rPr>
          <w:rFonts w:asciiTheme="minorHAnsi" w:hAnsiTheme="minorHAnsi" w:cs="Times New Roman"/>
          <w:sz w:val="20"/>
          <w:szCs w:val="20"/>
        </w:rPr>
        <w:t xml:space="preserve"> </w:t>
      </w:r>
      <w:r w:rsidRPr="00135AD4">
        <w:rPr>
          <w:rFonts w:asciiTheme="minorHAnsi" w:hAnsiTheme="minorHAnsi" w:cstheme="minorHAnsi"/>
          <w:sz w:val="20"/>
          <w:szCs w:val="20"/>
        </w:rPr>
        <w:t>WIPO Coordination Committee, Seventieth (45th Ordinary) Session, Geneva, September 22 to 30, 2014, REPORT, (WO/CC/70/5), see paragraphs 42-65, including the intervention from the delegation of the Czech Republic on behalf of CEBS group: “The members of the Lisbon Union Assembly considered Article 9(2</w:t>
      </w:r>
      <w:proofErr w:type="gramStart"/>
      <w:r w:rsidRPr="00135AD4">
        <w:rPr>
          <w:rFonts w:asciiTheme="minorHAnsi" w:hAnsiTheme="minorHAnsi" w:cstheme="minorHAnsi"/>
          <w:sz w:val="20"/>
          <w:szCs w:val="20"/>
        </w:rPr>
        <w:t>)(</w:t>
      </w:r>
      <w:proofErr w:type="gramEnd"/>
      <w:r w:rsidRPr="00135AD4">
        <w:rPr>
          <w:rFonts w:asciiTheme="minorHAnsi" w:hAnsiTheme="minorHAnsi" w:cstheme="minorHAnsi"/>
          <w:sz w:val="20"/>
          <w:szCs w:val="20"/>
        </w:rPr>
        <w:t>b) of the Lisbon Agreement as not applicable, since the decision was not a matter of interest to other Unions administered by the Organization.” (para 58) and “The Delegation of Hungary supported the statements made by the Delegations of France and Italy and took note of the proposal by the Delegation of the United States of America for a supplementary agenda item.  Nevertheless, the Delegation clarified that the inclusion of such agenda item did not in any way imply that the Delegation of Hungary could agree with the necessity for the Coordination Committee to provide advice on the matter, as its view was quite the opposite. The Delegation recalled that the Lisbon Union Assembly had taken a valid decision to convene a diplomatic conference in 2015. At the time of the adoption of such decision the members of the Lisbon Union, including the Delegation of Hungary, had taken the view that the interests of the other Unions administered by WIPO would not be affected and that by way of consequence Article 9(2</w:t>
      </w:r>
      <w:proofErr w:type="gramStart"/>
      <w:r w:rsidRPr="00135AD4">
        <w:rPr>
          <w:rFonts w:asciiTheme="minorHAnsi" w:hAnsiTheme="minorHAnsi" w:cstheme="minorHAnsi"/>
          <w:sz w:val="20"/>
          <w:szCs w:val="20"/>
        </w:rPr>
        <w:t>)(</w:t>
      </w:r>
      <w:proofErr w:type="gramEnd"/>
      <w:r w:rsidRPr="00135AD4">
        <w:rPr>
          <w:rFonts w:asciiTheme="minorHAnsi" w:hAnsiTheme="minorHAnsi" w:cstheme="minorHAnsi"/>
          <w:sz w:val="20"/>
          <w:szCs w:val="20"/>
        </w:rPr>
        <w:t>b) of the Lisbon Agreement would not be applicable and that the advice of the Coordination Committee would not be required.” (</w:t>
      </w:r>
      <w:proofErr w:type="gramStart"/>
      <w:r w:rsidRPr="00135AD4">
        <w:rPr>
          <w:rFonts w:asciiTheme="minorHAnsi" w:hAnsiTheme="minorHAnsi" w:cstheme="minorHAnsi"/>
          <w:sz w:val="20"/>
          <w:szCs w:val="20"/>
        </w:rPr>
        <w:t>para</w:t>
      </w:r>
      <w:proofErr w:type="gramEnd"/>
      <w:r w:rsidRPr="00135AD4">
        <w:rPr>
          <w:rFonts w:asciiTheme="minorHAnsi" w:hAnsiTheme="minorHAnsi" w:cstheme="minorHAnsi"/>
          <w:sz w:val="20"/>
          <w:szCs w:val="20"/>
        </w:rPr>
        <w:t xml:space="preserve"> 46). Accessed at </w:t>
      </w:r>
      <w:hyperlink r:id="rId8" w:history="1">
        <w:r w:rsidRPr="00135AD4">
          <w:rPr>
            <w:rStyle w:val="Hyperlink"/>
            <w:rFonts w:asciiTheme="minorHAnsi" w:hAnsiTheme="minorHAnsi" w:cstheme="minorHAnsi"/>
            <w:sz w:val="20"/>
            <w:szCs w:val="20"/>
          </w:rPr>
          <w:t>http://www.wipo.int/edocs/mdocs/govbody/en/wo_cc_70/wo_cc_70_5.pdf</w:t>
        </w:r>
      </w:hyperlink>
    </w:p>
    <w:p w:rsidR="00135AD4" w:rsidRDefault="00135AD4" w:rsidP="00135AD4">
      <w:pPr>
        <w:pStyle w:val="Defaul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D4" w:rsidRPr="00D13C08" w:rsidRDefault="00135AD4" w:rsidP="00477D6B">
    <w:pPr>
      <w:jc w:val="right"/>
      <w:rPr>
        <w:szCs w:val="22"/>
      </w:rPr>
    </w:pPr>
    <w:r w:rsidRPr="00D13C08">
      <w:rPr>
        <w:caps/>
        <w:szCs w:val="22"/>
      </w:rPr>
      <w:t>WO/GA/4</w:t>
    </w:r>
    <w:r>
      <w:rPr>
        <w:caps/>
        <w:szCs w:val="22"/>
      </w:rPr>
      <w:t>7/XX</w:t>
    </w:r>
  </w:p>
  <w:p w:rsidR="00135AD4" w:rsidRPr="00D13C08" w:rsidRDefault="00135AD4" w:rsidP="00477D6B">
    <w:pPr>
      <w:jc w:val="right"/>
      <w:rPr>
        <w:szCs w:val="22"/>
      </w:rPr>
    </w:pPr>
    <w:proofErr w:type="gramStart"/>
    <w:r w:rsidRPr="00D13C08">
      <w:rPr>
        <w:szCs w:val="22"/>
      </w:rPr>
      <w:t>page</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F723F8">
      <w:rPr>
        <w:noProof/>
        <w:szCs w:val="22"/>
      </w:rPr>
      <w:t>1</w:t>
    </w:r>
    <w:r w:rsidRPr="00D13C08">
      <w:rPr>
        <w:szCs w:val="22"/>
      </w:rPr>
      <w:fldChar w:fldCharType="end"/>
    </w:r>
  </w:p>
  <w:p w:rsidR="00135AD4" w:rsidRDefault="00135AD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D4" w:rsidRPr="00D13C08" w:rsidRDefault="00135AD4" w:rsidP="00477D6B">
    <w:pPr>
      <w:jc w:val="right"/>
      <w:rPr>
        <w:szCs w:val="22"/>
      </w:rPr>
    </w:pPr>
    <w:r w:rsidRPr="00D13C08">
      <w:rPr>
        <w:caps/>
        <w:szCs w:val="22"/>
      </w:rPr>
      <w:t>WO/GA/4</w:t>
    </w:r>
    <w:r>
      <w:rPr>
        <w:caps/>
        <w:szCs w:val="22"/>
      </w:rPr>
      <w:t>7/3</w:t>
    </w:r>
  </w:p>
  <w:p w:rsidR="00135AD4" w:rsidRPr="00D13C08" w:rsidRDefault="00135AD4" w:rsidP="00477D6B">
    <w:pPr>
      <w:jc w:val="right"/>
      <w:rPr>
        <w:szCs w:val="22"/>
      </w:rPr>
    </w:pPr>
    <w:r>
      <w:rPr>
        <w:szCs w:val="22"/>
      </w:rPr>
      <w:t xml:space="preserve">Annex, </w:t>
    </w: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F723F8">
      <w:rPr>
        <w:noProof/>
        <w:szCs w:val="22"/>
      </w:rPr>
      <w:t>1</w:t>
    </w:r>
    <w:r w:rsidRPr="00D13C08">
      <w:rPr>
        <w:szCs w:val="22"/>
      </w:rPr>
      <w:fldChar w:fldCharType="end"/>
    </w:r>
  </w:p>
  <w:p w:rsidR="00135AD4" w:rsidRDefault="00135AD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AD4" w:rsidRPr="00440682" w:rsidRDefault="00135AD4" w:rsidP="00440682">
    <w:pPr>
      <w:jc w:val="right"/>
      <w:rPr>
        <w:szCs w:val="22"/>
        <w:lang w:val="fr-FR"/>
      </w:rPr>
    </w:pPr>
    <w:r>
      <w:rPr>
        <w:caps/>
        <w:szCs w:val="22"/>
        <w:lang w:val="fr-FR"/>
      </w:rPr>
      <w:t>PCT/A/47/8</w:t>
    </w:r>
  </w:p>
  <w:p w:rsidR="00135AD4" w:rsidRPr="00367FC1" w:rsidRDefault="00135AD4" w:rsidP="00866152">
    <w:pPr>
      <w:pStyle w:val="Header"/>
      <w:jc w:val="right"/>
      <w:rPr>
        <w:lang w:val="fr-FR"/>
      </w:rPr>
    </w:pPr>
    <w:r>
      <w:rPr>
        <w:lang w:val="fr-FR"/>
      </w:rPr>
      <w:t>ANNEX</w:t>
    </w:r>
  </w:p>
  <w:p w:rsidR="00135AD4" w:rsidRDefault="00135AD4" w:rsidP="007F4665">
    <w:pPr>
      <w:pStyle w:val="Header"/>
      <w:jc w:val="right"/>
      <w:rPr>
        <w:lang w:val="fr-FR"/>
      </w:rPr>
    </w:pPr>
  </w:p>
  <w:p w:rsidR="00135AD4" w:rsidRPr="00695315" w:rsidRDefault="00135AD4" w:rsidP="007F4665">
    <w:pPr>
      <w:pStyle w:val="Heade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7B7" w:rsidRDefault="005647B7" w:rsidP="00477D6B">
    <w:pPr>
      <w:jc w:val="right"/>
    </w:pPr>
    <w:r>
      <w:t>PCT/A/47/7</w:t>
    </w:r>
  </w:p>
  <w:p w:rsidR="005647B7" w:rsidRDefault="005647B7" w:rsidP="00477D6B">
    <w:pPr>
      <w:jc w:val="right"/>
    </w:pPr>
    <w:r>
      <w:t xml:space="preserve">Annex, page </w:t>
    </w:r>
    <w:r>
      <w:fldChar w:fldCharType="begin"/>
    </w:r>
    <w:r>
      <w:instrText xml:space="preserve"> PAGE  \* MERGEFORMAT </w:instrText>
    </w:r>
    <w:r>
      <w:fldChar w:fldCharType="separate"/>
    </w:r>
    <w:r w:rsidR="00F723F8">
      <w:rPr>
        <w:noProof/>
      </w:rPr>
      <w:t>1</w:t>
    </w:r>
    <w:r>
      <w:fldChar w:fldCharType="end"/>
    </w:r>
  </w:p>
  <w:p w:rsidR="005647B7" w:rsidRDefault="005647B7"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440682" w:rsidRDefault="00E00943" w:rsidP="00440682">
    <w:pPr>
      <w:jc w:val="right"/>
      <w:rPr>
        <w:szCs w:val="22"/>
        <w:lang w:val="fr-FR"/>
      </w:rPr>
    </w:pPr>
    <w:r>
      <w:rPr>
        <w:caps/>
        <w:szCs w:val="22"/>
        <w:lang w:val="fr-FR"/>
      </w:rPr>
      <w:t>PCT/A/47/8</w:t>
    </w:r>
  </w:p>
  <w:p w:rsidR="00E00943" w:rsidRPr="00367FC1" w:rsidRDefault="00E00943" w:rsidP="00866152">
    <w:pPr>
      <w:pStyle w:val="Header"/>
      <w:jc w:val="right"/>
      <w:rPr>
        <w:lang w:val="fr-FR"/>
      </w:rPr>
    </w:pPr>
    <w:proofErr w:type="spellStart"/>
    <w:r>
      <w:rPr>
        <w:lang w:val="fr-FR"/>
      </w:rPr>
      <w:t>Annex</w:t>
    </w:r>
    <w:proofErr w:type="spellEnd"/>
    <w:r>
      <w:rPr>
        <w:lang w:val="fr-FR"/>
      </w:rPr>
      <w:t xml:space="preserve">, page </w:t>
    </w:r>
    <w:r w:rsidRPr="00D13C08">
      <w:rPr>
        <w:szCs w:val="22"/>
      </w:rPr>
      <w:fldChar w:fldCharType="begin"/>
    </w:r>
    <w:r w:rsidRPr="00D13C08">
      <w:rPr>
        <w:szCs w:val="22"/>
      </w:rPr>
      <w:instrText xml:space="preserve"> PAGE  \* MERGEFORMAT </w:instrText>
    </w:r>
    <w:r w:rsidRPr="00D13C08">
      <w:rPr>
        <w:szCs w:val="22"/>
      </w:rPr>
      <w:fldChar w:fldCharType="separate"/>
    </w:r>
    <w:r w:rsidR="008150F1">
      <w:rPr>
        <w:noProof/>
        <w:szCs w:val="22"/>
      </w:rPr>
      <w:t>2</w:t>
    </w:r>
    <w:r w:rsidRPr="00D13C08">
      <w:rPr>
        <w:szCs w:val="22"/>
      </w:rPr>
      <w:fldChar w:fldCharType="end"/>
    </w:r>
  </w:p>
  <w:p w:rsidR="00E00943" w:rsidRDefault="00E00943" w:rsidP="007F4665">
    <w:pPr>
      <w:pStyle w:val="Header"/>
      <w:jc w:val="right"/>
      <w:rPr>
        <w:lang w:val="fr-FR"/>
      </w:rPr>
    </w:pPr>
  </w:p>
  <w:p w:rsidR="00E00943" w:rsidRPr="00695315" w:rsidRDefault="00E00943" w:rsidP="007F4665">
    <w:pPr>
      <w:pStyle w:val="Header"/>
      <w:jc w:val="right"/>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440682" w:rsidRDefault="00E00943" w:rsidP="00440682">
    <w:pPr>
      <w:jc w:val="right"/>
      <w:rPr>
        <w:szCs w:val="22"/>
        <w:lang w:val="fr-FR"/>
      </w:rPr>
    </w:pPr>
    <w:r>
      <w:rPr>
        <w:caps/>
        <w:szCs w:val="22"/>
        <w:lang w:val="fr-FR"/>
      </w:rPr>
      <w:t>PCT/A/47/8</w:t>
    </w:r>
  </w:p>
  <w:p w:rsidR="00E00943" w:rsidRPr="00367FC1" w:rsidRDefault="00E00943" w:rsidP="00866152">
    <w:pPr>
      <w:pStyle w:val="Header"/>
      <w:jc w:val="right"/>
      <w:rPr>
        <w:lang w:val="fr-FR"/>
      </w:rPr>
    </w:pPr>
    <w:proofErr w:type="spellStart"/>
    <w:r>
      <w:rPr>
        <w:lang w:val="fr-FR"/>
      </w:rPr>
      <w:t>Annex</w:t>
    </w:r>
    <w:proofErr w:type="spellEnd"/>
    <w:r>
      <w:rPr>
        <w:lang w:val="fr-FR"/>
      </w:rPr>
      <w:t xml:space="preserve">, page </w:t>
    </w:r>
    <w:r w:rsidRPr="00D13C08">
      <w:rPr>
        <w:szCs w:val="22"/>
      </w:rPr>
      <w:fldChar w:fldCharType="begin"/>
    </w:r>
    <w:r w:rsidRPr="00D13C08">
      <w:rPr>
        <w:szCs w:val="22"/>
      </w:rPr>
      <w:instrText xml:space="preserve"> PAGE  \* MERGEFORMAT </w:instrText>
    </w:r>
    <w:r w:rsidRPr="00D13C08">
      <w:rPr>
        <w:szCs w:val="22"/>
      </w:rPr>
      <w:fldChar w:fldCharType="separate"/>
    </w:r>
    <w:r w:rsidR="008150F1">
      <w:rPr>
        <w:noProof/>
        <w:szCs w:val="22"/>
      </w:rPr>
      <w:t>3</w:t>
    </w:r>
    <w:r w:rsidRPr="00D13C08">
      <w:rPr>
        <w:szCs w:val="22"/>
      </w:rPr>
      <w:fldChar w:fldCharType="end"/>
    </w:r>
  </w:p>
  <w:p w:rsidR="00E00943" w:rsidRDefault="00E00943" w:rsidP="007F4665">
    <w:pPr>
      <w:pStyle w:val="Header"/>
      <w:jc w:val="right"/>
      <w:rPr>
        <w:lang w:val="fr-FR"/>
      </w:rPr>
    </w:pPr>
  </w:p>
  <w:p w:rsidR="00E00943" w:rsidRPr="00695315" w:rsidRDefault="00E00943" w:rsidP="007F4665">
    <w:pPr>
      <w:pStyle w:val="Heade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440682" w:rsidRDefault="00E00943" w:rsidP="00440682">
    <w:pPr>
      <w:jc w:val="right"/>
      <w:rPr>
        <w:szCs w:val="22"/>
        <w:lang w:val="fr-FR"/>
      </w:rPr>
    </w:pPr>
    <w:r>
      <w:rPr>
        <w:caps/>
        <w:szCs w:val="22"/>
        <w:lang w:val="fr-FR"/>
      </w:rPr>
      <w:t>PCT/A/47/8</w:t>
    </w:r>
  </w:p>
  <w:p w:rsidR="00E00943" w:rsidRPr="00367FC1" w:rsidRDefault="00E00943" w:rsidP="00866152">
    <w:pPr>
      <w:pStyle w:val="Header"/>
      <w:jc w:val="right"/>
      <w:rPr>
        <w:lang w:val="fr-FR"/>
      </w:rPr>
    </w:pPr>
    <w:proofErr w:type="spellStart"/>
    <w:r>
      <w:rPr>
        <w:lang w:val="fr-FR"/>
      </w:rPr>
      <w:t>Annex</w:t>
    </w:r>
    <w:proofErr w:type="spellEnd"/>
    <w:r>
      <w:rPr>
        <w:lang w:val="fr-FR"/>
      </w:rPr>
      <w:t xml:space="preserve">, page </w:t>
    </w:r>
    <w:r w:rsidRPr="00D13C08">
      <w:rPr>
        <w:szCs w:val="22"/>
      </w:rPr>
      <w:fldChar w:fldCharType="begin"/>
    </w:r>
    <w:r w:rsidRPr="00D13C08">
      <w:rPr>
        <w:szCs w:val="22"/>
      </w:rPr>
      <w:instrText xml:space="preserve"> PAGE  \* MERGEFORMAT </w:instrText>
    </w:r>
    <w:r w:rsidRPr="00D13C08">
      <w:rPr>
        <w:szCs w:val="22"/>
      </w:rPr>
      <w:fldChar w:fldCharType="separate"/>
    </w:r>
    <w:r w:rsidR="008150F1">
      <w:rPr>
        <w:noProof/>
        <w:szCs w:val="22"/>
      </w:rPr>
      <w:t>4</w:t>
    </w:r>
    <w:r w:rsidRPr="00D13C08">
      <w:rPr>
        <w:szCs w:val="22"/>
      </w:rPr>
      <w:fldChar w:fldCharType="end"/>
    </w:r>
  </w:p>
  <w:p w:rsidR="00E00943" w:rsidRDefault="00E00943" w:rsidP="007F4665">
    <w:pPr>
      <w:pStyle w:val="Header"/>
      <w:jc w:val="right"/>
      <w:rPr>
        <w:lang w:val="fr-FR"/>
      </w:rPr>
    </w:pPr>
  </w:p>
  <w:p w:rsidR="00E00943" w:rsidRPr="00695315" w:rsidRDefault="00E00943" w:rsidP="007F4665">
    <w:pPr>
      <w:pStyle w:val="Header"/>
      <w:jc w:val="right"/>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43" w:rsidRPr="00440682" w:rsidRDefault="00E00943" w:rsidP="00440682">
    <w:pPr>
      <w:jc w:val="right"/>
      <w:rPr>
        <w:szCs w:val="22"/>
        <w:lang w:val="fr-FR"/>
      </w:rPr>
    </w:pPr>
    <w:r>
      <w:rPr>
        <w:caps/>
        <w:szCs w:val="22"/>
        <w:lang w:val="fr-FR"/>
      </w:rPr>
      <w:t>PCT/A/47/8</w:t>
    </w:r>
  </w:p>
  <w:p w:rsidR="00E00943" w:rsidRPr="00367FC1" w:rsidRDefault="00E00943" w:rsidP="00866152">
    <w:pPr>
      <w:pStyle w:val="Header"/>
      <w:jc w:val="right"/>
      <w:rPr>
        <w:lang w:val="fr-FR"/>
      </w:rPr>
    </w:pPr>
    <w:proofErr w:type="spellStart"/>
    <w:r>
      <w:rPr>
        <w:lang w:val="fr-FR"/>
      </w:rPr>
      <w:t>Annex</w:t>
    </w:r>
    <w:proofErr w:type="spellEnd"/>
    <w:r>
      <w:rPr>
        <w:lang w:val="fr-FR"/>
      </w:rPr>
      <w:t xml:space="preserve">, page </w:t>
    </w:r>
    <w:r w:rsidRPr="00D13C08">
      <w:rPr>
        <w:szCs w:val="22"/>
      </w:rPr>
      <w:fldChar w:fldCharType="begin"/>
    </w:r>
    <w:r w:rsidRPr="00D13C08">
      <w:rPr>
        <w:szCs w:val="22"/>
      </w:rPr>
      <w:instrText xml:space="preserve"> PAGE  \* MERGEFORMAT </w:instrText>
    </w:r>
    <w:r w:rsidRPr="00D13C08">
      <w:rPr>
        <w:szCs w:val="22"/>
      </w:rPr>
      <w:fldChar w:fldCharType="separate"/>
    </w:r>
    <w:r w:rsidR="008150F1">
      <w:rPr>
        <w:noProof/>
        <w:szCs w:val="22"/>
      </w:rPr>
      <w:t>5</w:t>
    </w:r>
    <w:r w:rsidRPr="00D13C08">
      <w:rPr>
        <w:szCs w:val="22"/>
      </w:rPr>
      <w:fldChar w:fldCharType="end"/>
    </w:r>
  </w:p>
  <w:p w:rsidR="00E00943" w:rsidRDefault="00E00943" w:rsidP="007F4665">
    <w:pPr>
      <w:pStyle w:val="Header"/>
      <w:jc w:val="right"/>
      <w:rPr>
        <w:lang w:val="fr-FR"/>
      </w:rPr>
    </w:pPr>
  </w:p>
  <w:p w:rsidR="00E00943" w:rsidRPr="00695315" w:rsidRDefault="00E00943" w:rsidP="007F466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1BE3EA3"/>
    <w:multiLevelType w:val="hybridMultilevel"/>
    <w:tmpl w:val="35C89D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0"/>
  </w:num>
  <w:num w:numId="4">
    <w:abstractNumId w:val="8"/>
  </w:num>
  <w:num w:numId="5">
    <w:abstractNumId w:val="2"/>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93"/>
    <w:rsid w:val="00043CAA"/>
    <w:rsid w:val="000551C5"/>
    <w:rsid w:val="0005749E"/>
    <w:rsid w:val="00062087"/>
    <w:rsid w:val="00075432"/>
    <w:rsid w:val="000968ED"/>
    <w:rsid w:val="000F5E56"/>
    <w:rsid w:val="00135AD4"/>
    <w:rsid w:val="001362EE"/>
    <w:rsid w:val="00162078"/>
    <w:rsid w:val="001832A6"/>
    <w:rsid w:val="001B76D7"/>
    <w:rsid w:val="002634C4"/>
    <w:rsid w:val="002928D3"/>
    <w:rsid w:val="002F1FE6"/>
    <w:rsid w:val="002F4E68"/>
    <w:rsid w:val="00312F7F"/>
    <w:rsid w:val="003228B7"/>
    <w:rsid w:val="003673CF"/>
    <w:rsid w:val="003845C1"/>
    <w:rsid w:val="003A6F89"/>
    <w:rsid w:val="003B38C1"/>
    <w:rsid w:val="00423793"/>
    <w:rsid w:val="00423E3E"/>
    <w:rsid w:val="00427AF4"/>
    <w:rsid w:val="004400E2"/>
    <w:rsid w:val="004647DA"/>
    <w:rsid w:val="00474062"/>
    <w:rsid w:val="00477D6B"/>
    <w:rsid w:val="0048319D"/>
    <w:rsid w:val="0053057A"/>
    <w:rsid w:val="00560A29"/>
    <w:rsid w:val="005647B7"/>
    <w:rsid w:val="00583E3B"/>
    <w:rsid w:val="00605827"/>
    <w:rsid w:val="00646050"/>
    <w:rsid w:val="006713CA"/>
    <w:rsid w:val="00676C5C"/>
    <w:rsid w:val="0069285F"/>
    <w:rsid w:val="007058FB"/>
    <w:rsid w:val="007B6A58"/>
    <w:rsid w:val="007D1613"/>
    <w:rsid w:val="008150F1"/>
    <w:rsid w:val="00825A93"/>
    <w:rsid w:val="00851853"/>
    <w:rsid w:val="00895620"/>
    <w:rsid w:val="008B2CC1"/>
    <w:rsid w:val="008B60B2"/>
    <w:rsid w:val="0090731E"/>
    <w:rsid w:val="00916EE2"/>
    <w:rsid w:val="00922375"/>
    <w:rsid w:val="00952A93"/>
    <w:rsid w:val="00966A22"/>
    <w:rsid w:val="0096722F"/>
    <w:rsid w:val="00980843"/>
    <w:rsid w:val="009E2791"/>
    <w:rsid w:val="009E3F6F"/>
    <w:rsid w:val="009F499F"/>
    <w:rsid w:val="00A42DAF"/>
    <w:rsid w:val="00A45BD8"/>
    <w:rsid w:val="00A85B8E"/>
    <w:rsid w:val="00AC205C"/>
    <w:rsid w:val="00B05A69"/>
    <w:rsid w:val="00B45719"/>
    <w:rsid w:val="00B50807"/>
    <w:rsid w:val="00B9734B"/>
    <w:rsid w:val="00BD1AF9"/>
    <w:rsid w:val="00BE6BCF"/>
    <w:rsid w:val="00C11BFE"/>
    <w:rsid w:val="00C94629"/>
    <w:rsid w:val="00CA3F42"/>
    <w:rsid w:val="00CF03C2"/>
    <w:rsid w:val="00D45252"/>
    <w:rsid w:val="00D71B4D"/>
    <w:rsid w:val="00D93D55"/>
    <w:rsid w:val="00DC4340"/>
    <w:rsid w:val="00E00943"/>
    <w:rsid w:val="00E335FE"/>
    <w:rsid w:val="00E5021F"/>
    <w:rsid w:val="00EB4897"/>
    <w:rsid w:val="00EB703A"/>
    <w:rsid w:val="00EC4E49"/>
    <w:rsid w:val="00ED77FB"/>
    <w:rsid w:val="00EE185A"/>
    <w:rsid w:val="00F0080A"/>
    <w:rsid w:val="00F021A6"/>
    <w:rsid w:val="00F66152"/>
    <w:rsid w:val="00F723F8"/>
    <w:rsid w:val="00FB6524"/>
    <w:rsid w:val="00FC6A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 w:type="character" w:customStyle="1" w:styleId="FootnoteTextChar">
    <w:name w:val="Footnote Text Char"/>
    <w:link w:val="FootnoteText"/>
    <w:semiHidden/>
    <w:rsid w:val="00135AD4"/>
    <w:rPr>
      <w:rFonts w:ascii="Arial" w:eastAsia="SimSun" w:hAnsi="Arial" w:cs="Arial"/>
      <w:sz w:val="18"/>
    </w:rPr>
  </w:style>
  <w:style w:type="character" w:styleId="FootnoteReference">
    <w:name w:val="footnote reference"/>
    <w:uiPriority w:val="99"/>
    <w:rsid w:val="00135AD4"/>
    <w:rPr>
      <w:vertAlign w:val="superscript"/>
    </w:rPr>
  </w:style>
  <w:style w:type="character" w:customStyle="1" w:styleId="HeaderChar">
    <w:name w:val="Header Char"/>
    <w:link w:val="Header"/>
    <w:uiPriority w:val="99"/>
    <w:locked/>
    <w:rsid w:val="00135AD4"/>
    <w:rPr>
      <w:rFonts w:ascii="Arial" w:eastAsia="SimSun" w:hAnsi="Arial" w:cs="Arial"/>
      <w:sz w:val="22"/>
    </w:rPr>
  </w:style>
  <w:style w:type="character" w:styleId="Hyperlink">
    <w:name w:val="Hyperlink"/>
    <w:basedOn w:val="DefaultParagraphFont"/>
    <w:uiPriority w:val="99"/>
    <w:unhideWhenUsed/>
    <w:rsid w:val="00135AD4"/>
    <w:rPr>
      <w:color w:val="0000FF" w:themeColor="hyperlink"/>
      <w:u w:val="single"/>
    </w:rPr>
  </w:style>
  <w:style w:type="paragraph" w:customStyle="1" w:styleId="Default">
    <w:name w:val="Default"/>
    <w:rsid w:val="00135AD4"/>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1B76D7"/>
    <w:pPr>
      <w:keepLines/>
      <w:widowControl w:val="0"/>
      <w:spacing w:after="240"/>
    </w:pPr>
    <w:rPr>
      <w:rFonts w:eastAsia="Times New Roman"/>
      <w:szCs w:val="22"/>
      <w:lang w:eastAsia="ja-JP"/>
    </w:rPr>
  </w:style>
  <w:style w:type="paragraph" w:customStyle="1" w:styleId="AgreementHeading">
    <w:name w:val="Agreement Heading"/>
    <w:basedOn w:val="AgreementText"/>
    <w:uiPriority w:val="99"/>
    <w:rsid w:val="00825A93"/>
    <w:pPr>
      <w:keepNext/>
      <w:spacing w:before="240"/>
      <w:jc w:val="center"/>
    </w:pPr>
    <w:rPr>
      <w:i/>
      <w:iCs/>
    </w:rPr>
  </w:style>
  <w:style w:type="paragraph" w:customStyle="1" w:styleId="Agreementindenti">
    <w:name w:val="Agreement indent (i)"/>
    <w:basedOn w:val="AgreementText"/>
    <w:uiPriority w:val="99"/>
    <w:rsid w:val="00825A93"/>
    <w:pPr>
      <w:tabs>
        <w:tab w:val="right" w:pos="1134"/>
      </w:tabs>
      <w:ind w:left="1418" w:hanging="1418"/>
    </w:pPr>
  </w:style>
  <w:style w:type="character" w:customStyle="1" w:styleId="Deletedtext">
    <w:name w:val="Deleted text"/>
    <w:basedOn w:val="DefaultParagraphFont"/>
    <w:uiPriority w:val="1"/>
    <w:qFormat/>
    <w:rsid w:val="00825A93"/>
    <w:rPr>
      <w:rFonts w:ascii="Arial" w:hAnsi="Arial" w:cs="Arial"/>
      <w:strike/>
      <w:color w:val="FF0000"/>
      <w:sz w:val="22"/>
      <w:szCs w:val="22"/>
    </w:rPr>
  </w:style>
  <w:style w:type="character" w:customStyle="1" w:styleId="InsertedText">
    <w:name w:val="Inserted Text"/>
    <w:basedOn w:val="DefaultParagraphFont"/>
    <w:uiPriority w:val="1"/>
    <w:qFormat/>
    <w:rsid w:val="001B76D7"/>
    <w:rPr>
      <w:color w:val="1F497D" w:themeColor="text2"/>
      <w:u w:val="single"/>
    </w:rPr>
  </w:style>
  <w:style w:type="character" w:customStyle="1" w:styleId="FootnoteTextChar">
    <w:name w:val="Footnote Text Char"/>
    <w:link w:val="FootnoteText"/>
    <w:semiHidden/>
    <w:rsid w:val="00135AD4"/>
    <w:rPr>
      <w:rFonts w:ascii="Arial" w:eastAsia="SimSun" w:hAnsi="Arial" w:cs="Arial"/>
      <w:sz w:val="18"/>
    </w:rPr>
  </w:style>
  <w:style w:type="character" w:styleId="FootnoteReference">
    <w:name w:val="footnote reference"/>
    <w:uiPriority w:val="99"/>
    <w:rsid w:val="00135AD4"/>
    <w:rPr>
      <w:vertAlign w:val="superscript"/>
    </w:rPr>
  </w:style>
  <w:style w:type="character" w:customStyle="1" w:styleId="HeaderChar">
    <w:name w:val="Header Char"/>
    <w:link w:val="Header"/>
    <w:uiPriority w:val="99"/>
    <w:locked/>
    <w:rsid w:val="00135AD4"/>
    <w:rPr>
      <w:rFonts w:ascii="Arial" w:eastAsia="SimSun" w:hAnsi="Arial" w:cs="Arial"/>
      <w:sz w:val="22"/>
    </w:rPr>
  </w:style>
  <w:style w:type="character" w:styleId="Hyperlink">
    <w:name w:val="Hyperlink"/>
    <w:basedOn w:val="DefaultParagraphFont"/>
    <w:uiPriority w:val="99"/>
    <w:unhideWhenUsed/>
    <w:rsid w:val="00135AD4"/>
    <w:rPr>
      <w:color w:val="0000FF" w:themeColor="hyperlink"/>
      <w:u w:val="single"/>
    </w:rPr>
  </w:style>
  <w:style w:type="paragraph" w:customStyle="1" w:styleId="Default">
    <w:name w:val="Default"/>
    <w:rsid w:val="00135AD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5232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en/wo_cc_70/wo_cc_70_5.pdf" TargetMode="External"/><Relationship Id="rId3" Type="http://schemas.openxmlformats.org/officeDocument/2006/relationships/hyperlink" Target="http://www.wipo.int/mdocsarchives/AB_XX_1989/AB_XX_2_E.pdf" TargetMode="External"/><Relationship Id="rId7" Type="http://schemas.openxmlformats.org/officeDocument/2006/relationships/hyperlink" Target="http://www.wipo.int/edocs/mdocs/govbody/en/li_a_31/li_a_31_2.pdf" TargetMode="External"/><Relationship Id="rId2" Type="http://schemas.openxmlformats.org/officeDocument/2006/relationships/hyperlink" Target="http://www.wipo.int/mdocsarchives/AB_IV_1973/AB_IV_34_E.pdf" TargetMode="External"/><Relationship Id="rId1" Type="http://schemas.openxmlformats.org/officeDocument/2006/relationships/hyperlink" Target="http://www.wipo.int/mdocsarchives/AB_II_1971/AB_II_3_E.pdf" TargetMode="External"/><Relationship Id="rId6" Type="http://schemas.openxmlformats.org/officeDocument/2006/relationships/hyperlink" Target="http://www.wipo.int/mdocsarchives/AB_VII_1976/AB_VII_6_E.pdf" TargetMode="External"/><Relationship Id="rId5" Type="http://schemas.openxmlformats.org/officeDocument/2006/relationships/hyperlink" Target="http://www.wipo.int/mdocsarchives/AB_VI_1975/AB_VI_2_E.pdf" TargetMode="External"/><Relationship Id="rId4" Type="http://schemas.openxmlformats.org/officeDocument/2006/relationships/hyperlink" Target="http://www.wipo.int/mdocsarchives/AB_XXIV_1993/LI_A_X_1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A 47 (E)</Template>
  <TotalTime>8</TotalTime>
  <Pages>6</Pages>
  <Words>1117</Words>
  <Characters>5900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RICHARDSON Michael</dc:creator>
  <cp:lastModifiedBy>HÄFLIGER Patience</cp:lastModifiedBy>
  <cp:revision>5</cp:revision>
  <cp:lastPrinted>2015-09-03T17:49:00Z</cp:lastPrinted>
  <dcterms:created xsi:type="dcterms:W3CDTF">2015-09-03T17:22:00Z</dcterms:created>
  <dcterms:modified xsi:type="dcterms:W3CDTF">2015-09-04T07:32:00Z</dcterms:modified>
</cp:coreProperties>
</file>