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sidR="00943924">
        <w:rPr>
          <w:rFonts w:ascii="Arial Black" w:hAnsi="Arial Black"/>
          <w:b/>
          <w:caps/>
          <w:sz w:val="15"/>
        </w:rPr>
        <w:t>9</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943924">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943924">
        <w:rPr>
          <w:rFonts w:ascii="Arial Black" w:hAnsi="Arial Black"/>
          <w:b/>
          <w:caps/>
          <w:sz w:val="15"/>
        </w:rPr>
        <w:t xml:space="preserve">September </w:t>
      </w:r>
      <w:r w:rsidR="00BA0C31">
        <w:rPr>
          <w:rFonts w:ascii="Arial Black" w:hAnsi="Arial Black"/>
          <w:b/>
          <w:caps/>
          <w:sz w:val="15"/>
        </w:rPr>
        <w:t>17</w:t>
      </w:r>
      <w:bookmarkStart w:id="3" w:name="_GoBack"/>
      <w:bookmarkEnd w:id="3"/>
      <w:r w:rsidR="00943924">
        <w:rPr>
          <w:rFonts w:ascii="Arial Black" w:hAnsi="Arial Black"/>
          <w:b/>
          <w:caps/>
          <w:sz w:val="15"/>
        </w:rPr>
        <w:t>, 2018</w:t>
      </w:r>
    </w:p>
    <w:p w:rsidR="008B2CC1" w:rsidRPr="003D57B0" w:rsidRDefault="00DF023A" w:rsidP="000C117A">
      <w:pPr>
        <w:pStyle w:val="Heading1"/>
      </w:pPr>
      <w:r w:rsidRPr="000C117A">
        <w:t>Assemblies</w:t>
      </w:r>
      <w:r w:rsidRPr="003D57B0">
        <w:t xml:space="preserve"> of the Member States of WIPO</w:t>
      </w:r>
    </w:p>
    <w:p w:rsidR="008B2CC1" w:rsidRPr="009C127D" w:rsidRDefault="00DF023A" w:rsidP="003D2030">
      <w:pPr>
        <w:spacing w:after="720"/>
        <w:rPr>
          <w:b/>
          <w:sz w:val="24"/>
        </w:rPr>
      </w:pPr>
      <w:r w:rsidRPr="009C127D">
        <w:rPr>
          <w:b/>
          <w:sz w:val="24"/>
        </w:rPr>
        <w:t>Fifty-Eighth Series of Meetings</w:t>
      </w:r>
      <w:r w:rsidR="003D57B0" w:rsidRPr="009C127D">
        <w:rPr>
          <w:b/>
          <w:sz w:val="24"/>
        </w:rPr>
        <w:br/>
      </w:r>
      <w:r w:rsidRPr="009C127D">
        <w:rPr>
          <w:b/>
          <w:sz w:val="24"/>
        </w:rPr>
        <w:t>Geneva, September 24 to October 2, 2018</w:t>
      </w:r>
    </w:p>
    <w:p w:rsidR="008B2CC1" w:rsidRPr="00701518" w:rsidRDefault="00943924" w:rsidP="00701518">
      <w:pPr>
        <w:spacing w:after="360"/>
        <w:rPr>
          <w:caps/>
          <w:sz w:val="24"/>
        </w:rPr>
      </w:pPr>
      <w:bookmarkStart w:id="4" w:name="TitleOfDoc"/>
      <w:bookmarkEnd w:id="4"/>
      <w:r>
        <w:rPr>
          <w:caps/>
          <w:sz w:val="24"/>
        </w:rPr>
        <w:t xml:space="preserve">proposal </w:t>
      </w:r>
      <w:r w:rsidRPr="00943924">
        <w:rPr>
          <w:caps/>
          <w:sz w:val="24"/>
        </w:rPr>
        <w:t xml:space="preserve">OF THE ASIA AND THE PACIFIC GROUP ON THE COMPOSITION OF THE </w:t>
      </w:r>
      <w:r w:rsidR="00701518" w:rsidRPr="00701518">
        <w:rPr>
          <w:caps/>
          <w:sz w:val="24"/>
          <w:lang w:val="en"/>
        </w:rPr>
        <w:t>WIPO Coordination Committee</w:t>
      </w:r>
    </w:p>
    <w:p w:rsidR="008B2CC1" w:rsidRDefault="00943924" w:rsidP="009C127D">
      <w:pPr>
        <w:spacing w:after="960"/>
        <w:rPr>
          <w:i/>
        </w:rPr>
      </w:pPr>
      <w:bookmarkStart w:id="5" w:name="Prepared"/>
      <w:bookmarkEnd w:id="5"/>
      <w:r>
        <w:rPr>
          <w:i/>
        </w:rPr>
        <w:t xml:space="preserve">submitted by the </w:t>
      </w:r>
      <w:r w:rsidRPr="00943924">
        <w:rPr>
          <w:i/>
        </w:rPr>
        <w:t>Asia and the Pacific Group</w:t>
      </w:r>
    </w:p>
    <w:p w:rsidR="00943924" w:rsidRDefault="00943924" w:rsidP="00943924">
      <w:pPr>
        <w:spacing w:after="960"/>
      </w:pPr>
      <w:r w:rsidRPr="00943924">
        <w:t xml:space="preserve">In a communication to the Secretariat received on </w:t>
      </w:r>
      <w:r>
        <w:t>September</w:t>
      </w:r>
      <w:r w:rsidRPr="00943924">
        <w:t xml:space="preserve"> </w:t>
      </w:r>
      <w:r w:rsidR="00515EFD">
        <w:t>14</w:t>
      </w:r>
      <w:r w:rsidRPr="00943924">
        <w:t>, 201</w:t>
      </w:r>
      <w:r>
        <w:t>8</w:t>
      </w:r>
      <w:r w:rsidRPr="00943924">
        <w:t xml:space="preserve">, the Delegation of Indonesia, on behalf of the Asia and the Pacific Group, submitted the enclosed proposal in the framework of Agenda Item 9, “Composition of the </w:t>
      </w:r>
      <w:r w:rsidR="00701518" w:rsidRPr="00701518">
        <w:rPr>
          <w:lang w:val="en"/>
        </w:rPr>
        <w:t>WIPO Coordination Committee, and of the Executive Committees of the Paris and Berne Unions</w:t>
      </w:r>
      <w:r w:rsidRPr="00701518">
        <w:t>”</w:t>
      </w:r>
      <w:r w:rsidRPr="00943924">
        <w:t>.</w:t>
      </w:r>
    </w:p>
    <w:p w:rsidR="00626388" w:rsidRPr="00626388" w:rsidRDefault="00626388" w:rsidP="00626388">
      <w:pPr>
        <w:spacing w:after="960"/>
        <w:ind w:left="5533"/>
        <w:rPr>
          <w:i/>
        </w:rPr>
      </w:pPr>
      <w:r>
        <w:t>[Annex follows]</w:t>
      </w:r>
    </w:p>
    <w:p w:rsidR="00626388" w:rsidRPr="00943924" w:rsidRDefault="00626388" w:rsidP="00943924">
      <w:pPr>
        <w:spacing w:after="960"/>
      </w:pPr>
    </w:p>
    <w:p w:rsidR="00515EFD" w:rsidRDefault="00515EFD" w:rsidP="00943924">
      <w:pPr>
        <w:spacing w:after="960"/>
        <w:sectPr w:rsidR="00515EFD" w:rsidSect="00943924">
          <w:headerReference w:type="default" r:id="rId9"/>
          <w:endnotePr>
            <w:numFmt w:val="decimal"/>
          </w:endnotePr>
          <w:pgSz w:w="11907" w:h="16840" w:code="9"/>
          <w:pgMar w:top="567" w:right="1134" w:bottom="1418" w:left="1418" w:header="510" w:footer="1021" w:gutter="0"/>
          <w:cols w:space="720"/>
          <w:titlePg/>
          <w:docGrid w:linePitch="299"/>
        </w:sectPr>
      </w:pPr>
    </w:p>
    <w:p w:rsidR="00515EFD" w:rsidRPr="00515EFD" w:rsidRDefault="00515EFD" w:rsidP="00515EFD">
      <w:pPr>
        <w:rPr>
          <w:rFonts w:ascii="Calibri" w:hAnsi="Calibri" w:cs="Calibri"/>
          <w:b/>
          <w:bCs/>
        </w:rPr>
      </w:pPr>
      <w:r w:rsidRPr="00515EFD">
        <w:rPr>
          <w:rFonts w:ascii="Calibri" w:hAnsi="Calibri" w:cs="Calibri"/>
          <w:b/>
          <w:bCs/>
        </w:rPr>
        <w:lastRenderedPageBreak/>
        <w:t>Submission of the Asia and the Pacific Group (the APG)</w:t>
      </w:r>
    </w:p>
    <w:p w:rsidR="00515EFD" w:rsidRPr="00515EFD" w:rsidRDefault="00515EFD" w:rsidP="00515EFD">
      <w:pPr>
        <w:rPr>
          <w:rFonts w:ascii="Calibri" w:hAnsi="Calibri" w:cs="Calibri"/>
          <w:b/>
          <w:bCs/>
        </w:rPr>
      </w:pPr>
    </w:p>
    <w:p w:rsidR="00515EFD" w:rsidRPr="00515EFD" w:rsidRDefault="00515EFD" w:rsidP="00515EFD">
      <w:pPr>
        <w:rPr>
          <w:rFonts w:ascii="Calibri" w:hAnsi="Calibri" w:cs="Calibri"/>
          <w:b/>
          <w:bCs/>
        </w:rPr>
      </w:pPr>
      <w:r w:rsidRPr="00515EFD">
        <w:rPr>
          <w:rFonts w:ascii="Calibri" w:hAnsi="Calibri" w:cs="Calibri"/>
          <w:b/>
          <w:bCs/>
        </w:rPr>
        <w:t>Composition of the Coordination Committee (</w:t>
      </w:r>
      <w:proofErr w:type="spellStart"/>
      <w:r w:rsidRPr="00515EFD">
        <w:rPr>
          <w:rFonts w:ascii="Calibri" w:hAnsi="Calibri" w:cs="Calibri"/>
          <w:b/>
          <w:bCs/>
        </w:rPr>
        <w:t>CoCo</w:t>
      </w:r>
      <w:proofErr w:type="spellEnd"/>
      <w:r w:rsidRPr="00515EFD">
        <w:rPr>
          <w:rFonts w:ascii="Calibri" w:hAnsi="Calibri" w:cs="Calibri"/>
          <w:b/>
          <w:bCs/>
        </w:rPr>
        <w:t>)</w:t>
      </w:r>
    </w:p>
    <w:p w:rsidR="00515EFD" w:rsidRPr="00515EFD" w:rsidRDefault="00515EFD" w:rsidP="00515EFD">
      <w:pPr>
        <w:jc w:val="both"/>
        <w:rPr>
          <w:rFonts w:ascii="Calibri" w:hAnsi="Calibri" w:cs="Calibri"/>
        </w:rPr>
      </w:pPr>
      <w:r w:rsidRPr="00515EFD">
        <w:rPr>
          <w:rFonts w:ascii="Calibri" w:hAnsi="Calibri" w:cs="Calibri"/>
        </w:rPr>
        <w:t> </w:t>
      </w:r>
    </w:p>
    <w:p w:rsidR="00515EFD" w:rsidRPr="00515EFD" w:rsidRDefault="00515EFD" w:rsidP="00515EFD">
      <w:pPr>
        <w:numPr>
          <w:ilvl w:val="0"/>
          <w:numId w:val="8"/>
        </w:numPr>
        <w:spacing w:line="259" w:lineRule="auto"/>
        <w:jc w:val="both"/>
        <w:rPr>
          <w:rFonts w:ascii="Calibri" w:hAnsi="Calibri" w:cs="Calibri"/>
        </w:rPr>
      </w:pPr>
      <w:r w:rsidRPr="00515EFD">
        <w:rPr>
          <w:rFonts w:ascii="Calibri" w:hAnsi="Calibri" w:cs="Calibri"/>
        </w:rPr>
        <w:t xml:space="preserve">The APG notes that according to Articles 8(1)(a) and 11(9)(a) of the WIPO Convention, the </w:t>
      </w:r>
      <w:proofErr w:type="spellStart"/>
      <w:r w:rsidRPr="00515EFD">
        <w:rPr>
          <w:rFonts w:ascii="Calibri" w:hAnsi="Calibri" w:cs="Calibri"/>
        </w:rPr>
        <w:t>CoCo</w:t>
      </w:r>
      <w:proofErr w:type="spellEnd"/>
      <w:r w:rsidRPr="00515EFD">
        <w:rPr>
          <w:rFonts w:ascii="Calibri" w:hAnsi="Calibri" w:cs="Calibri"/>
        </w:rPr>
        <w:t xml:space="preserve"> is composed of the following categories of members: </w:t>
      </w:r>
    </w:p>
    <w:p w:rsidR="00515EFD" w:rsidRPr="00515EFD" w:rsidRDefault="00515EFD" w:rsidP="00515EFD">
      <w:pPr>
        <w:numPr>
          <w:ilvl w:val="1"/>
          <w:numId w:val="8"/>
        </w:numPr>
        <w:spacing w:line="259" w:lineRule="auto"/>
        <w:jc w:val="both"/>
        <w:rPr>
          <w:rFonts w:ascii="Calibri" w:hAnsi="Calibri" w:cs="Calibri"/>
        </w:rPr>
      </w:pPr>
      <w:r w:rsidRPr="00515EFD">
        <w:rPr>
          <w:rFonts w:ascii="Calibri" w:hAnsi="Calibri" w:cs="Calibri"/>
        </w:rPr>
        <w:t xml:space="preserve">the elected ordinary members of the Executive Committee of the Paris Union and of the Executive Committee of the Berne Union; </w:t>
      </w:r>
    </w:p>
    <w:p w:rsidR="00515EFD" w:rsidRPr="00515EFD" w:rsidRDefault="00515EFD" w:rsidP="00515EFD">
      <w:pPr>
        <w:numPr>
          <w:ilvl w:val="1"/>
          <w:numId w:val="8"/>
        </w:numPr>
        <w:spacing w:line="259" w:lineRule="auto"/>
        <w:jc w:val="both"/>
        <w:rPr>
          <w:rFonts w:ascii="Calibri" w:hAnsi="Calibri" w:cs="Calibri"/>
        </w:rPr>
      </w:pPr>
      <w:r w:rsidRPr="00515EFD">
        <w:rPr>
          <w:rFonts w:ascii="Calibri" w:hAnsi="Calibri" w:cs="Calibri"/>
        </w:rPr>
        <w:t xml:space="preserve">Switzerland, as the State on whose territory the </w:t>
      </w:r>
      <w:proofErr w:type="spellStart"/>
      <w:r w:rsidRPr="00515EFD">
        <w:rPr>
          <w:rFonts w:ascii="Calibri" w:hAnsi="Calibri" w:cs="Calibri"/>
        </w:rPr>
        <w:t>Organisation</w:t>
      </w:r>
      <w:proofErr w:type="spellEnd"/>
      <w:r w:rsidRPr="00515EFD">
        <w:rPr>
          <w:rFonts w:ascii="Calibri" w:hAnsi="Calibri" w:cs="Calibri"/>
        </w:rPr>
        <w:t xml:space="preserve"> has its headquarters, as an </w:t>
      </w:r>
      <w:r w:rsidRPr="00515EFD">
        <w:rPr>
          <w:rFonts w:ascii="Calibri" w:hAnsi="Calibri" w:cs="Calibri"/>
          <w:i/>
        </w:rPr>
        <w:t>ex officio</w:t>
      </w:r>
      <w:r w:rsidRPr="00515EFD">
        <w:rPr>
          <w:rFonts w:ascii="Calibri" w:hAnsi="Calibri" w:cs="Calibri"/>
        </w:rPr>
        <w:t xml:space="preserve"> member; and</w:t>
      </w:r>
    </w:p>
    <w:p w:rsidR="00515EFD" w:rsidRDefault="00515EFD" w:rsidP="00515EFD">
      <w:pPr>
        <w:numPr>
          <w:ilvl w:val="1"/>
          <w:numId w:val="8"/>
        </w:numPr>
        <w:spacing w:line="259" w:lineRule="auto"/>
        <w:jc w:val="both"/>
        <w:rPr>
          <w:rFonts w:ascii="Calibri" w:hAnsi="Calibri" w:cs="Calibri"/>
        </w:rPr>
      </w:pPr>
      <w:r w:rsidRPr="00515EFD">
        <w:rPr>
          <w:rFonts w:ascii="Calibri" w:hAnsi="Calibri" w:cs="Calibri"/>
        </w:rPr>
        <w:t xml:space="preserve">one-fourth of the States party to the WIPO Convention that are not members of any of the Unions administered by WIPO, which are designated by the WIPO Conference and which serve as </w:t>
      </w:r>
      <w:r w:rsidRPr="00515EFD">
        <w:rPr>
          <w:rFonts w:ascii="Calibri" w:hAnsi="Calibri" w:cs="Calibri"/>
          <w:i/>
        </w:rPr>
        <w:t>ad hoc</w:t>
      </w:r>
      <w:r w:rsidRPr="00515EFD">
        <w:rPr>
          <w:rFonts w:ascii="Calibri" w:hAnsi="Calibri" w:cs="Calibri"/>
        </w:rPr>
        <w:t xml:space="preserve"> members of t</w:t>
      </w:r>
      <w:r w:rsidR="008B7DEF">
        <w:rPr>
          <w:rFonts w:ascii="Calibri" w:hAnsi="Calibri" w:cs="Calibri"/>
        </w:rPr>
        <w:t>he WIPO Coordination Committee.</w:t>
      </w:r>
    </w:p>
    <w:p w:rsidR="00A23C02" w:rsidRPr="00515EFD" w:rsidRDefault="00A23C02" w:rsidP="00A23C02">
      <w:pPr>
        <w:spacing w:line="259" w:lineRule="auto"/>
        <w:ind w:left="1440"/>
        <w:jc w:val="both"/>
        <w:rPr>
          <w:rFonts w:ascii="Calibri" w:hAnsi="Calibri" w:cs="Calibri"/>
        </w:rPr>
      </w:pPr>
    </w:p>
    <w:p w:rsidR="00515EFD" w:rsidRPr="00515EFD" w:rsidRDefault="00515EFD" w:rsidP="00515EFD">
      <w:pPr>
        <w:numPr>
          <w:ilvl w:val="0"/>
          <w:numId w:val="8"/>
        </w:numPr>
        <w:spacing w:line="259" w:lineRule="auto"/>
        <w:jc w:val="both"/>
        <w:rPr>
          <w:rFonts w:ascii="Calibri" w:hAnsi="Calibri" w:cs="Calibri"/>
        </w:rPr>
      </w:pPr>
      <w:r w:rsidRPr="00515EFD">
        <w:rPr>
          <w:rFonts w:ascii="Calibri" w:hAnsi="Calibri" w:cs="Calibri"/>
        </w:rPr>
        <w:t>The APG further notes that Article 14(4) of the Paris Convention and Article 23(4) of the Berne Convention states that “in electing the members of the Executive Committee, the Assembly shall have due regard to an equitable geographical distribution and to the need for countries party to the Special Agreements established in relation with the Union to be among the countries constituting the Executive Committee”.</w:t>
      </w:r>
    </w:p>
    <w:p w:rsidR="00515EFD" w:rsidRPr="00515EFD" w:rsidRDefault="00515EFD" w:rsidP="00515EFD">
      <w:pPr>
        <w:ind w:left="720"/>
        <w:jc w:val="both"/>
        <w:rPr>
          <w:rFonts w:ascii="Calibri" w:hAnsi="Calibri" w:cs="Calibri"/>
        </w:rPr>
      </w:pPr>
    </w:p>
    <w:p w:rsidR="00515EFD" w:rsidRPr="00515EFD" w:rsidRDefault="00515EFD" w:rsidP="00515EFD">
      <w:pPr>
        <w:numPr>
          <w:ilvl w:val="0"/>
          <w:numId w:val="8"/>
        </w:numPr>
        <w:spacing w:line="259" w:lineRule="auto"/>
        <w:jc w:val="both"/>
        <w:rPr>
          <w:rFonts w:ascii="Calibri" w:hAnsi="Calibri" w:cs="Calibri"/>
        </w:rPr>
      </w:pPr>
      <w:r w:rsidRPr="00515EFD">
        <w:rPr>
          <w:rFonts w:ascii="Calibri" w:hAnsi="Calibri" w:cs="Calibri"/>
        </w:rPr>
        <w:t xml:space="preserve">The APG recalls that the number of allocated seats on the </w:t>
      </w:r>
      <w:proofErr w:type="spellStart"/>
      <w:r w:rsidRPr="00515EFD">
        <w:rPr>
          <w:rFonts w:ascii="Calibri" w:hAnsi="Calibri" w:cs="Calibri"/>
        </w:rPr>
        <w:t>CoCo</w:t>
      </w:r>
      <w:proofErr w:type="spellEnd"/>
      <w:r w:rsidRPr="00515EFD">
        <w:rPr>
          <w:rFonts w:ascii="Calibri" w:hAnsi="Calibri" w:cs="Calibri"/>
        </w:rPr>
        <w:t xml:space="preserve"> has stayed at 83 since 2011. The APG further recalls that in preparation for the 57</w:t>
      </w:r>
      <w:r w:rsidRPr="00515EFD">
        <w:rPr>
          <w:rFonts w:ascii="Calibri" w:hAnsi="Calibri" w:cs="Calibri"/>
          <w:vertAlign w:val="superscript"/>
        </w:rPr>
        <w:t>th</w:t>
      </w:r>
      <w:r w:rsidRPr="00515EFD">
        <w:rPr>
          <w:rFonts w:ascii="Calibri" w:hAnsi="Calibri" w:cs="Calibri"/>
        </w:rPr>
        <w:t xml:space="preserve"> WIPO Assemblies in 2017, the Secretariat informed the WIPO Membership that the </w:t>
      </w:r>
      <w:proofErr w:type="spellStart"/>
      <w:r w:rsidRPr="00515EFD">
        <w:rPr>
          <w:rFonts w:ascii="Calibri" w:hAnsi="Calibri" w:cs="Calibri"/>
        </w:rPr>
        <w:t>CoCo</w:t>
      </w:r>
      <w:proofErr w:type="spellEnd"/>
      <w:r w:rsidRPr="00515EFD">
        <w:rPr>
          <w:rFonts w:ascii="Calibri" w:hAnsi="Calibri" w:cs="Calibri"/>
        </w:rPr>
        <w:t xml:space="preserve"> should have 87 members.</w:t>
      </w:r>
      <w:r w:rsidRPr="00515EFD">
        <w:rPr>
          <w:rStyle w:val="FootnoteReference"/>
          <w:rFonts w:ascii="Calibri" w:hAnsi="Calibri" w:cs="Calibri"/>
        </w:rPr>
        <w:footnoteReference w:id="2"/>
      </w:r>
      <w:r w:rsidRPr="00515EFD">
        <w:rPr>
          <w:rFonts w:ascii="Calibri" w:hAnsi="Calibri" w:cs="Calibri"/>
        </w:rPr>
        <w:t xml:space="preserve"> However, “in the absence of agreement as to how best to allocate the four additional </w:t>
      </w:r>
      <w:proofErr w:type="spellStart"/>
      <w:r w:rsidRPr="00515EFD">
        <w:rPr>
          <w:rFonts w:ascii="Calibri" w:hAnsi="Calibri" w:cs="Calibri"/>
        </w:rPr>
        <w:t>CoCo</w:t>
      </w:r>
      <w:proofErr w:type="spellEnd"/>
      <w:r w:rsidRPr="00515EFD">
        <w:rPr>
          <w:rFonts w:ascii="Calibri" w:hAnsi="Calibri" w:cs="Calibri"/>
        </w:rPr>
        <w:t xml:space="preserve"> seats,” the Legal Counsel reported at the 57</w:t>
      </w:r>
      <w:r w:rsidRPr="00515EFD">
        <w:rPr>
          <w:rFonts w:ascii="Calibri" w:hAnsi="Calibri" w:cs="Calibri"/>
          <w:vertAlign w:val="superscript"/>
        </w:rPr>
        <w:t>th</w:t>
      </w:r>
      <w:r w:rsidRPr="00515EFD">
        <w:rPr>
          <w:rFonts w:ascii="Calibri" w:hAnsi="Calibri" w:cs="Calibri"/>
        </w:rPr>
        <w:t xml:space="preserve"> WIPO Assemblies that the “consensus among groups was that the </w:t>
      </w:r>
      <w:proofErr w:type="spellStart"/>
      <w:r w:rsidRPr="00515EFD">
        <w:rPr>
          <w:rFonts w:ascii="Calibri" w:hAnsi="Calibri" w:cs="Calibri"/>
        </w:rPr>
        <w:t>CoCo</w:t>
      </w:r>
      <w:proofErr w:type="spellEnd"/>
      <w:r w:rsidRPr="00515EFD">
        <w:rPr>
          <w:rFonts w:ascii="Calibri" w:hAnsi="Calibri" w:cs="Calibri"/>
        </w:rPr>
        <w:t xml:space="preserve"> would remain, exceptionally, at 83.”</w:t>
      </w:r>
      <w:r w:rsidRPr="00515EFD">
        <w:rPr>
          <w:rStyle w:val="FootnoteReference"/>
          <w:rFonts w:ascii="Calibri" w:hAnsi="Calibri" w:cs="Calibri"/>
        </w:rPr>
        <w:footnoteReference w:id="3"/>
      </w:r>
      <w:r w:rsidRPr="00515EFD">
        <w:rPr>
          <w:rFonts w:ascii="Calibri" w:hAnsi="Calibri" w:cs="Calibri"/>
        </w:rPr>
        <w:t xml:space="preserve"> The 57</w:t>
      </w:r>
      <w:r w:rsidRPr="00515EFD">
        <w:rPr>
          <w:rFonts w:ascii="Calibri" w:hAnsi="Calibri" w:cs="Calibri"/>
          <w:vertAlign w:val="superscript"/>
        </w:rPr>
        <w:t>th</w:t>
      </w:r>
      <w:r w:rsidRPr="00515EFD">
        <w:rPr>
          <w:rFonts w:ascii="Calibri" w:hAnsi="Calibri" w:cs="Calibri"/>
        </w:rPr>
        <w:t xml:space="preserve"> WIPO Assemblies further decided that consultations on the composition of the </w:t>
      </w:r>
      <w:proofErr w:type="spellStart"/>
      <w:r w:rsidRPr="00515EFD">
        <w:rPr>
          <w:rFonts w:ascii="Calibri" w:hAnsi="Calibri" w:cs="Calibri"/>
        </w:rPr>
        <w:t>CoCo</w:t>
      </w:r>
      <w:proofErr w:type="spellEnd"/>
      <w:r w:rsidRPr="00515EFD">
        <w:rPr>
          <w:rFonts w:ascii="Calibri" w:hAnsi="Calibri" w:cs="Calibri"/>
        </w:rPr>
        <w:t xml:space="preserve"> will continue, “with a view to making a recommendation to the bodies concerned at their sessions during the WIPO Assemblies in 2018, on the allocation of the vacant seats at the WIPO Assemblies in 2019”.</w:t>
      </w:r>
      <w:r w:rsidRPr="00515EFD">
        <w:rPr>
          <w:rStyle w:val="FootnoteReference"/>
          <w:rFonts w:ascii="Calibri" w:hAnsi="Calibri" w:cs="Calibri"/>
        </w:rPr>
        <w:footnoteReference w:id="4"/>
      </w:r>
    </w:p>
    <w:p w:rsidR="00515EFD" w:rsidRPr="00515EFD" w:rsidRDefault="00515EFD" w:rsidP="00515EFD">
      <w:pPr>
        <w:pStyle w:val="ListParagraph"/>
        <w:spacing w:after="0"/>
        <w:rPr>
          <w:rFonts w:ascii="Calibri" w:hAnsi="Calibri" w:cs="Calibri"/>
          <w:lang w:val="en-US"/>
        </w:rPr>
      </w:pPr>
    </w:p>
    <w:p w:rsidR="00515EFD" w:rsidRDefault="00515EFD" w:rsidP="007956A4">
      <w:pPr>
        <w:numPr>
          <w:ilvl w:val="0"/>
          <w:numId w:val="8"/>
        </w:numPr>
        <w:spacing w:line="259" w:lineRule="auto"/>
        <w:jc w:val="both"/>
        <w:rPr>
          <w:rFonts w:ascii="Calibri" w:hAnsi="Calibri" w:cs="Calibri"/>
        </w:rPr>
      </w:pPr>
      <w:r w:rsidRPr="00515EFD">
        <w:rPr>
          <w:rFonts w:ascii="Calibri" w:hAnsi="Calibri" w:cs="Calibri"/>
        </w:rPr>
        <w:t>The APG notes from the Legal Counsel’s office that due to the accessions of Afghanistan and Kiribati to the Paris and Berne Unions since the 57</w:t>
      </w:r>
      <w:r w:rsidRPr="00515EFD">
        <w:rPr>
          <w:rFonts w:ascii="Calibri" w:hAnsi="Calibri" w:cs="Calibri"/>
          <w:vertAlign w:val="superscript"/>
        </w:rPr>
        <w:t>th</w:t>
      </w:r>
      <w:r w:rsidRPr="00515EFD">
        <w:rPr>
          <w:rFonts w:ascii="Calibri" w:hAnsi="Calibri" w:cs="Calibri"/>
        </w:rPr>
        <w:t xml:space="preserve"> WIPO Assemblies in 2017, the composition of the </w:t>
      </w:r>
      <w:proofErr w:type="spellStart"/>
      <w:r w:rsidRPr="00515EFD">
        <w:rPr>
          <w:rFonts w:ascii="Calibri" w:hAnsi="Calibri" w:cs="Calibri"/>
        </w:rPr>
        <w:t>CoCo</w:t>
      </w:r>
      <w:proofErr w:type="spellEnd"/>
      <w:r w:rsidRPr="00515EFD">
        <w:rPr>
          <w:rFonts w:ascii="Calibri" w:hAnsi="Calibri" w:cs="Calibri"/>
        </w:rPr>
        <w:t xml:space="preserve"> should now have 88 members.</w:t>
      </w:r>
    </w:p>
    <w:p w:rsidR="00515EFD" w:rsidRPr="00515EFD" w:rsidRDefault="00515EFD" w:rsidP="00515EFD">
      <w:pPr>
        <w:spacing w:line="259" w:lineRule="auto"/>
        <w:ind w:left="720"/>
        <w:jc w:val="both"/>
        <w:rPr>
          <w:rFonts w:ascii="Calibri" w:hAnsi="Calibri" w:cs="Calibri"/>
        </w:rPr>
      </w:pPr>
    </w:p>
    <w:p w:rsidR="00DE7303" w:rsidRDefault="00515EFD" w:rsidP="00515EFD">
      <w:pPr>
        <w:pStyle w:val="ListParagraph"/>
        <w:numPr>
          <w:ilvl w:val="0"/>
          <w:numId w:val="8"/>
        </w:numPr>
        <w:jc w:val="both"/>
        <w:rPr>
          <w:lang w:val="en-US"/>
        </w:rPr>
        <w:sectPr w:rsidR="00DE7303" w:rsidSect="005269F8">
          <w:headerReference w:type="default" r:id="rId10"/>
          <w:pgSz w:w="16838" w:h="11906" w:orient="landscape"/>
          <w:pgMar w:top="1440" w:right="1440" w:bottom="1440" w:left="1440" w:header="708" w:footer="708" w:gutter="0"/>
          <w:cols w:space="708"/>
          <w:docGrid w:linePitch="360"/>
        </w:sectPr>
      </w:pPr>
      <w:r w:rsidRPr="00EC71C0">
        <w:rPr>
          <w:lang w:val="en-US"/>
        </w:rPr>
        <w:t xml:space="preserve">The APG notes that the current allocation in the </w:t>
      </w:r>
      <w:proofErr w:type="spellStart"/>
      <w:r w:rsidRPr="00EC71C0">
        <w:rPr>
          <w:lang w:val="en-US"/>
        </w:rPr>
        <w:t>CoCo</w:t>
      </w:r>
      <w:proofErr w:type="spellEnd"/>
      <w:r w:rsidRPr="00EC71C0">
        <w:rPr>
          <w:lang w:val="en-US"/>
        </w:rPr>
        <w:t xml:space="preserve"> is not fairly proportioned and representative of the relative size of regional groups in WIPO (as illustrated in </w:t>
      </w:r>
      <w:r w:rsidRPr="00EC71C0">
        <w:rPr>
          <w:u w:val="single"/>
          <w:lang w:val="en-US"/>
        </w:rPr>
        <w:t>Annex A</w:t>
      </w:r>
      <w:r w:rsidRPr="00EC71C0">
        <w:rPr>
          <w:lang w:val="en-US"/>
        </w:rPr>
        <w:t>).</w:t>
      </w:r>
      <w:r>
        <w:rPr>
          <w:lang w:val="en-US"/>
        </w:rPr>
        <w:t xml:space="preserve"> </w:t>
      </w:r>
      <w:r w:rsidRPr="00441294">
        <w:rPr>
          <w:lang w:val="en-US"/>
        </w:rPr>
        <w:t xml:space="preserve">In particular, the </w:t>
      </w:r>
      <w:r w:rsidRPr="003F467C">
        <w:rPr>
          <w:lang w:val="en-US"/>
        </w:rPr>
        <w:t xml:space="preserve">African Group, APG and CEBS are underrepresented in the </w:t>
      </w:r>
      <w:proofErr w:type="spellStart"/>
      <w:r w:rsidRPr="003F467C">
        <w:rPr>
          <w:lang w:val="en-US"/>
        </w:rPr>
        <w:t>CoCo</w:t>
      </w:r>
      <w:proofErr w:type="spellEnd"/>
      <w:r w:rsidRPr="003F467C">
        <w:rPr>
          <w:lang w:val="en-US"/>
        </w:rPr>
        <w:t>.</w:t>
      </w:r>
      <w:r w:rsidRPr="00EC71C0">
        <w:rPr>
          <w:lang w:val="en-US"/>
        </w:rPr>
        <w:t xml:space="preserve"> The APG further notes that, based on the </w:t>
      </w:r>
      <w:proofErr w:type="spellStart"/>
      <w:r w:rsidRPr="00EC71C0">
        <w:rPr>
          <w:lang w:val="en-US"/>
        </w:rPr>
        <w:t>CoCo’s</w:t>
      </w:r>
      <w:proofErr w:type="spellEnd"/>
      <w:r w:rsidRPr="00EC71C0">
        <w:rPr>
          <w:lang w:val="en-US"/>
        </w:rPr>
        <w:t xml:space="preserve"> composition in paragraph 1, the increase in the number of seats in the </w:t>
      </w:r>
      <w:proofErr w:type="spellStart"/>
      <w:r w:rsidRPr="00EC71C0">
        <w:rPr>
          <w:lang w:val="en-US"/>
        </w:rPr>
        <w:t>CoCo</w:t>
      </w:r>
      <w:proofErr w:type="spellEnd"/>
      <w:r w:rsidRPr="00EC71C0">
        <w:rPr>
          <w:lang w:val="en-US"/>
        </w:rPr>
        <w:t xml:space="preserve"> since 2011 has arisen mostly from accessions from the APG and </w:t>
      </w:r>
    </w:p>
    <w:p w:rsidR="00515EFD" w:rsidRPr="00EC71C0" w:rsidRDefault="00515EFD" w:rsidP="00DE7303">
      <w:pPr>
        <w:pStyle w:val="ListParagraph"/>
        <w:jc w:val="both"/>
        <w:rPr>
          <w:lang w:val="en-US"/>
        </w:rPr>
      </w:pPr>
      <w:r w:rsidRPr="00EC71C0">
        <w:rPr>
          <w:lang w:val="en-US"/>
        </w:rPr>
        <w:lastRenderedPageBreak/>
        <w:t>the African Group</w:t>
      </w:r>
      <w:r>
        <w:rPr>
          <w:lang w:val="en-US"/>
        </w:rPr>
        <w:t>,</w:t>
      </w:r>
      <w:r w:rsidRPr="00EC71C0">
        <w:rPr>
          <w:lang w:val="en-US"/>
        </w:rPr>
        <w:t xml:space="preserve"> given the 12 accessions from the APG, 3 from the African Group, and 1 from CACEEC to the Paris and Berne Unions that have taken place since then (as illustrated in </w:t>
      </w:r>
      <w:r w:rsidRPr="00EC71C0">
        <w:rPr>
          <w:u w:val="single"/>
          <w:lang w:val="en-US"/>
        </w:rPr>
        <w:t>Annex B</w:t>
      </w:r>
      <w:r w:rsidRPr="00EC71C0">
        <w:rPr>
          <w:lang w:val="en-US"/>
        </w:rPr>
        <w:t xml:space="preserve">). </w:t>
      </w:r>
    </w:p>
    <w:p w:rsidR="00515EFD" w:rsidRPr="00515EFD" w:rsidRDefault="00515EFD" w:rsidP="00515EFD">
      <w:pPr>
        <w:pStyle w:val="ListParagraph"/>
        <w:spacing w:after="0"/>
        <w:rPr>
          <w:rFonts w:cstheme="minorHAnsi"/>
          <w:lang w:val="en-US"/>
        </w:rPr>
      </w:pPr>
    </w:p>
    <w:p w:rsidR="00515EFD" w:rsidRPr="00515EFD" w:rsidRDefault="00515EFD" w:rsidP="00515EFD">
      <w:pPr>
        <w:numPr>
          <w:ilvl w:val="0"/>
          <w:numId w:val="8"/>
        </w:numPr>
        <w:spacing w:line="259" w:lineRule="auto"/>
        <w:jc w:val="both"/>
        <w:rPr>
          <w:rFonts w:asciiTheme="minorHAnsi" w:hAnsiTheme="minorHAnsi" w:cstheme="minorHAnsi"/>
        </w:rPr>
      </w:pPr>
      <w:r w:rsidRPr="00515EFD">
        <w:rPr>
          <w:rFonts w:asciiTheme="minorHAnsi" w:hAnsiTheme="minorHAnsi" w:cstheme="minorHAnsi"/>
        </w:rPr>
        <w:t>In view of the above, the APG proposes the following:</w:t>
      </w:r>
    </w:p>
    <w:p w:rsidR="00515EFD" w:rsidRPr="00515EFD" w:rsidRDefault="00515EFD" w:rsidP="00515EFD">
      <w:pPr>
        <w:ind w:left="1080"/>
        <w:jc w:val="both"/>
        <w:rPr>
          <w:rFonts w:asciiTheme="minorHAnsi" w:hAnsiTheme="minorHAnsi" w:cstheme="minorHAnsi"/>
        </w:rPr>
      </w:pPr>
    </w:p>
    <w:p w:rsidR="00515EFD" w:rsidRPr="00515EFD" w:rsidRDefault="00515EFD" w:rsidP="00515EFD">
      <w:pPr>
        <w:ind w:left="1080"/>
        <w:jc w:val="both"/>
        <w:rPr>
          <w:rFonts w:asciiTheme="minorHAnsi" w:hAnsiTheme="minorHAnsi" w:cstheme="minorHAnsi"/>
        </w:rPr>
      </w:pPr>
      <w:proofErr w:type="spellStart"/>
      <w:r w:rsidRPr="00515EFD">
        <w:rPr>
          <w:rFonts w:asciiTheme="minorHAnsi" w:hAnsiTheme="minorHAnsi" w:cstheme="minorHAnsi"/>
        </w:rPr>
        <w:t>i</w:t>
      </w:r>
      <w:proofErr w:type="spellEnd"/>
      <w:r w:rsidRPr="00515EFD">
        <w:rPr>
          <w:rFonts w:asciiTheme="minorHAnsi" w:hAnsiTheme="minorHAnsi" w:cstheme="minorHAnsi"/>
        </w:rPr>
        <w:t xml:space="preserve">. The five unfilled </w:t>
      </w:r>
      <w:proofErr w:type="spellStart"/>
      <w:r w:rsidRPr="00515EFD">
        <w:rPr>
          <w:rFonts w:asciiTheme="minorHAnsi" w:hAnsiTheme="minorHAnsi" w:cstheme="minorHAnsi"/>
        </w:rPr>
        <w:t>CoCo</w:t>
      </w:r>
      <w:proofErr w:type="spellEnd"/>
      <w:r w:rsidRPr="00515EFD">
        <w:rPr>
          <w:rFonts w:asciiTheme="minorHAnsi" w:hAnsiTheme="minorHAnsi" w:cstheme="minorHAnsi"/>
        </w:rPr>
        <w:t xml:space="preserve"> seats should be allocated to better reflect the WIPO Membership and the relative size of WIPO regional groups as well as the accessions to the Paris and Berne Unions since 2011 from the respective WIPO regional groups. The APG reiterates that this allocation is not only timely, but necessary in light of Article 14(4) of the Paris Convention and Article 23(4) of the Berne Convention on equitable geographical distribution.</w:t>
      </w:r>
    </w:p>
    <w:p w:rsidR="00DE7303" w:rsidRDefault="00DE7303" w:rsidP="00515EFD">
      <w:pPr>
        <w:rPr>
          <w:rFonts w:asciiTheme="minorHAnsi" w:hAnsiTheme="minorHAnsi" w:cstheme="minorHAnsi"/>
          <w:u w:val="single"/>
        </w:rPr>
        <w:sectPr w:rsidR="00DE7303" w:rsidSect="00DE7303">
          <w:headerReference w:type="default" r:id="rId11"/>
          <w:pgSz w:w="16838" w:h="11906" w:orient="landscape"/>
          <w:pgMar w:top="1440" w:right="1440" w:bottom="1440" w:left="1440" w:header="708" w:footer="708" w:gutter="0"/>
          <w:pgNumType w:start="2"/>
          <w:cols w:space="708"/>
          <w:docGrid w:linePitch="360"/>
        </w:sectPr>
      </w:pPr>
    </w:p>
    <w:p w:rsidR="00515EFD" w:rsidRDefault="00515EFD" w:rsidP="00515EFD">
      <w:pPr>
        <w:jc w:val="right"/>
        <w:rPr>
          <w:u w:val="single"/>
        </w:rPr>
      </w:pPr>
      <w:r>
        <w:rPr>
          <w:u w:val="single"/>
        </w:rPr>
        <w:lastRenderedPageBreak/>
        <w:t>Annex A</w:t>
      </w:r>
    </w:p>
    <w:p w:rsidR="00515EFD" w:rsidRDefault="00515EFD" w:rsidP="00DE7303">
      <w:pPr>
        <w:spacing w:after="100" w:afterAutospacing="1"/>
        <w:rPr>
          <w:u w:val="single"/>
        </w:rPr>
      </w:pPr>
      <w:r>
        <w:rPr>
          <w:u w:val="single"/>
        </w:rPr>
        <w:t xml:space="preserve">Allocation of Seats in the </w:t>
      </w:r>
      <w:proofErr w:type="spellStart"/>
      <w:r>
        <w:rPr>
          <w:u w:val="single"/>
        </w:rPr>
        <w:t>CoCo</w:t>
      </w:r>
      <w:proofErr w:type="spellEnd"/>
      <w:r>
        <w:rPr>
          <w:u w:val="single"/>
        </w:rPr>
        <w:t xml:space="preserve"> among Regional Groups for Biennium 2018-2019</w:t>
      </w:r>
      <w:r>
        <w:rPr>
          <w:rStyle w:val="FootnoteReference"/>
          <w:u w:val="single"/>
        </w:rPr>
        <w:footnoteReference w:id="5"/>
      </w:r>
      <w:r>
        <w:rPr>
          <w:u w:val="single"/>
        </w:rPr>
        <w:t xml:space="preserve"> </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322"/>
        <w:gridCol w:w="1276"/>
        <w:gridCol w:w="1275"/>
        <w:gridCol w:w="1135"/>
        <w:gridCol w:w="1275"/>
        <w:gridCol w:w="1276"/>
        <w:gridCol w:w="1276"/>
        <w:gridCol w:w="1134"/>
        <w:gridCol w:w="1348"/>
      </w:tblGrid>
      <w:tr w:rsidR="00515EFD" w:rsidRPr="00821F99" w:rsidTr="008B7DEF">
        <w:trPr>
          <w:trHeight w:val="372"/>
          <w:tblHeader/>
          <w:jc w:val="center"/>
        </w:trPr>
        <w:tc>
          <w:tcPr>
            <w:tcW w:w="704" w:type="dxa"/>
            <w:vAlign w:val="center"/>
          </w:tcPr>
          <w:p w:rsidR="00515EFD" w:rsidRPr="00821F99" w:rsidRDefault="00515EFD" w:rsidP="00BE23D8">
            <w:r>
              <w:t>S/No</w:t>
            </w:r>
          </w:p>
        </w:tc>
        <w:tc>
          <w:tcPr>
            <w:tcW w:w="4322" w:type="dxa"/>
            <w:vAlign w:val="center"/>
          </w:tcPr>
          <w:p w:rsidR="00515EFD" w:rsidRPr="00821F99" w:rsidRDefault="00515EFD" w:rsidP="00BE23D8">
            <w:pPr>
              <w:jc w:val="center"/>
            </w:pPr>
            <w:r>
              <w:t>Item</w:t>
            </w:r>
          </w:p>
        </w:tc>
        <w:tc>
          <w:tcPr>
            <w:tcW w:w="1276" w:type="dxa"/>
            <w:vAlign w:val="center"/>
          </w:tcPr>
          <w:p w:rsidR="00515EFD" w:rsidRPr="00821F99" w:rsidRDefault="00515EFD" w:rsidP="00BE23D8">
            <w:r w:rsidRPr="00821F99">
              <w:rPr>
                <w:b/>
                <w:bCs/>
              </w:rPr>
              <w:t xml:space="preserve">Group B </w:t>
            </w:r>
          </w:p>
        </w:tc>
        <w:tc>
          <w:tcPr>
            <w:tcW w:w="1275" w:type="dxa"/>
            <w:vAlign w:val="center"/>
          </w:tcPr>
          <w:p w:rsidR="00515EFD" w:rsidRPr="00821F99" w:rsidRDefault="00515EFD" w:rsidP="00BE23D8">
            <w:r w:rsidRPr="00821F99">
              <w:rPr>
                <w:b/>
                <w:bCs/>
              </w:rPr>
              <w:t xml:space="preserve">Africa </w:t>
            </w:r>
          </w:p>
        </w:tc>
        <w:tc>
          <w:tcPr>
            <w:tcW w:w="1135" w:type="dxa"/>
            <w:vAlign w:val="center"/>
          </w:tcPr>
          <w:p w:rsidR="00515EFD" w:rsidRPr="00821F99" w:rsidRDefault="00515EFD" w:rsidP="00BE23D8">
            <w:r w:rsidRPr="00821F99">
              <w:rPr>
                <w:b/>
                <w:bCs/>
              </w:rPr>
              <w:t xml:space="preserve">CACEEC </w:t>
            </w:r>
          </w:p>
        </w:tc>
        <w:tc>
          <w:tcPr>
            <w:tcW w:w="1275" w:type="dxa"/>
            <w:vAlign w:val="center"/>
          </w:tcPr>
          <w:p w:rsidR="00515EFD" w:rsidRPr="00821F99" w:rsidRDefault="00515EFD" w:rsidP="00BE23D8">
            <w:r w:rsidRPr="00821F99">
              <w:rPr>
                <w:b/>
                <w:bCs/>
              </w:rPr>
              <w:t xml:space="preserve">CEBS </w:t>
            </w:r>
          </w:p>
        </w:tc>
        <w:tc>
          <w:tcPr>
            <w:tcW w:w="1276" w:type="dxa"/>
            <w:vAlign w:val="center"/>
          </w:tcPr>
          <w:p w:rsidR="00515EFD" w:rsidRPr="00821F99" w:rsidRDefault="00515EFD" w:rsidP="00BE23D8">
            <w:r w:rsidRPr="00821F99">
              <w:rPr>
                <w:b/>
                <w:bCs/>
              </w:rPr>
              <w:t xml:space="preserve">GRULAC </w:t>
            </w:r>
          </w:p>
        </w:tc>
        <w:tc>
          <w:tcPr>
            <w:tcW w:w="1276" w:type="dxa"/>
            <w:vAlign w:val="center"/>
          </w:tcPr>
          <w:p w:rsidR="00515EFD" w:rsidRPr="00821F99" w:rsidRDefault="00515EFD" w:rsidP="00BE23D8">
            <w:r w:rsidRPr="00821F99">
              <w:rPr>
                <w:b/>
                <w:bCs/>
              </w:rPr>
              <w:t xml:space="preserve">APG </w:t>
            </w:r>
          </w:p>
        </w:tc>
        <w:tc>
          <w:tcPr>
            <w:tcW w:w="1134" w:type="dxa"/>
            <w:vAlign w:val="center"/>
          </w:tcPr>
          <w:p w:rsidR="00515EFD" w:rsidRPr="00821F99" w:rsidRDefault="00515EFD" w:rsidP="00BE23D8">
            <w:r w:rsidRPr="00821F99">
              <w:rPr>
                <w:b/>
                <w:bCs/>
              </w:rPr>
              <w:t xml:space="preserve">China </w:t>
            </w:r>
          </w:p>
        </w:tc>
        <w:tc>
          <w:tcPr>
            <w:tcW w:w="1348" w:type="dxa"/>
            <w:vAlign w:val="center"/>
          </w:tcPr>
          <w:p w:rsidR="00515EFD" w:rsidRPr="00821F99" w:rsidRDefault="00515EFD" w:rsidP="00BE23D8">
            <w:r>
              <w:t>Total</w:t>
            </w:r>
          </w:p>
        </w:tc>
      </w:tr>
      <w:tr w:rsidR="00515EFD" w:rsidRPr="00821F99" w:rsidTr="00BE23D8">
        <w:trPr>
          <w:trHeight w:val="605"/>
          <w:jc w:val="center"/>
        </w:trPr>
        <w:tc>
          <w:tcPr>
            <w:tcW w:w="704" w:type="dxa"/>
            <w:vAlign w:val="center"/>
          </w:tcPr>
          <w:p w:rsidR="00515EFD" w:rsidRPr="00821F99" w:rsidRDefault="00515EFD" w:rsidP="00515EFD">
            <w:pPr>
              <w:pStyle w:val="ListParagraph"/>
              <w:numPr>
                <w:ilvl w:val="0"/>
                <w:numId w:val="9"/>
              </w:numPr>
            </w:pPr>
          </w:p>
        </w:tc>
        <w:tc>
          <w:tcPr>
            <w:tcW w:w="4322" w:type="dxa"/>
            <w:vAlign w:val="center"/>
          </w:tcPr>
          <w:p w:rsidR="00515EFD" w:rsidRPr="00821F99" w:rsidRDefault="00515EFD" w:rsidP="00BE23D8">
            <w:pPr>
              <w:jc w:val="center"/>
            </w:pPr>
            <w:r w:rsidRPr="00821F99">
              <w:t xml:space="preserve">Total </w:t>
            </w:r>
            <w:r>
              <w:t>m</w:t>
            </w:r>
            <w:r w:rsidRPr="00821F99">
              <w:t xml:space="preserve">embers in group </w:t>
            </w:r>
          </w:p>
        </w:tc>
        <w:tc>
          <w:tcPr>
            <w:tcW w:w="1276" w:type="dxa"/>
            <w:vAlign w:val="center"/>
          </w:tcPr>
          <w:p w:rsidR="00515EFD" w:rsidRPr="00821F99" w:rsidRDefault="00515EFD" w:rsidP="00BE23D8">
            <w:pPr>
              <w:jc w:val="center"/>
            </w:pPr>
            <w:r w:rsidRPr="00821F99">
              <w:t xml:space="preserve">32 </w:t>
            </w:r>
          </w:p>
        </w:tc>
        <w:tc>
          <w:tcPr>
            <w:tcW w:w="1275" w:type="dxa"/>
            <w:vAlign w:val="center"/>
          </w:tcPr>
          <w:p w:rsidR="00515EFD" w:rsidRPr="00821F99" w:rsidRDefault="00515EFD" w:rsidP="00BE23D8">
            <w:pPr>
              <w:jc w:val="center"/>
            </w:pPr>
            <w:r w:rsidRPr="00821F99">
              <w:t xml:space="preserve">53 </w:t>
            </w:r>
          </w:p>
        </w:tc>
        <w:tc>
          <w:tcPr>
            <w:tcW w:w="1135" w:type="dxa"/>
            <w:vAlign w:val="center"/>
          </w:tcPr>
          <w:p w:rsidR="00515EFD" w:rsidRPr="00821F99" w:rsidRDefault="00515EFD" w:rsidP="00BE23D8">
            <w:pPr>
              <w:jc w:val="center"/>
            </w:pPr>
            <w:r w:rsidRPr="00821F99">
              <w:t xml:space="preserve">9 </w:t>
            </w:r>
          </w:p>
        </w:tc>
        <w:tc>
          <w:tcPr>
            <w:tcW w:w="1275" w:type="dxa"/>
            <w:vAlign w:val="center"/>
          </w:tcPr>
          <w:p w:rsidR="00515EFD" w:rsidRPr="00821F99" w:rsidRDefault="00515EFD" w:rsidP="00BE23D8">
            <w:pPr>
              <w:jc w:val="center"/>
            </w:pPr>
            <w:r w:rsidRPr="00821F99">
              <w:t xml:space="preserve">19 </w:t>
            </w:r>
          </w:p>
        </w:tc>
        <w:tc>
          <w:tcPr>
            <w:tcW w:w="1276" w:type="dxa"/>
            <w:vAlign w:val="center"/>
          </w:tcPr>
          <w:p w:rsidR="00515EFD" w:rsidRPr="00821F99" w:rsidRDefault="00515EFD" w:rsidP="00BE23D8">
            <w:pPr>
              <w:jc w:val="center"/>
            </w:pPr>
            <w:r w:rsidRPr="00821F99">
              <w:t xml:space="preserve">33 </w:t>
            </w:r>
          </w:p>
        </w:tc>
        <w:tc>
          <w:tcPr>
            <w:tcW w:w="1276" w:type="dxa"/>
            <w:vAlign w:val="center"/>
          </w:tcPr>
          <w:p w:rsidR="00515EFD" w:rsidRPr="00821F99" w:rsidRDefault="00515EFD" w:rsidP="00BE23D8">
            <w:pPr>
              <w:jc w:val="center"/>
            </w:pPr>
            <w:r w:rsidRPr="00821F99">
              <w:t xml:space="preserve">44 </w:t>
            </w:r>
          </w:p>
        </w:tc>
        <w:tc>
          <w:tcPr>
            <w:tcW w:w="1134" w:type="dxa"/>
            <w:vAlign w:val="center"/>
          </w:tcPr>
          <w:p w:rsidR="00515EFD" w:rsidRPr="00821F99" w:rsidRDefault="00515EFD" w:rsidP="00BE23D8">
            <w:pPr>
              <w:jc w:val="center"/>
            </w:pPr>
            <w:r w:rsidRPr="00821F99">
              <w:t xml:space="preserve">1 </w:t>
            </w:r>
          </w:p>
        </w:tc>
        <w:tc>
          <w:tcPr>
            <w:tcW w:w="1348" w:type="dxa"/>
            <w:vAlign w:val="center"/>
          </w:tcPr>
          <w:p w:rsidR="00515EFD" w:rsidRPr="00821F99" w:rsidRDefault="00515EFD" w:rsidP="00BE23D8">
            <w:pPr>
              <w:jc w:val="center"/>
            </w:pPr>
            <w:r w:rsidRPr="00821F99">
              <w:t xml:space="preserve">191 </w:t>
            </w:r>
          </w:p>
        </w:tc>
      </w:tr>
      <w:tr w:rsidR="00515EFD" w:rsidRPr="00821F99" w:rsidTr="00BE23D8">
        <w:trPr>
          <w:trHeight w:val="556"/>
          <w:jc w:val="center"/>
        </w:trPr>
        <w:tc>
          <w:tcPr>
            <w:tcW w:w="704" w:type="dxa"/>
            <w:vAlign w:val="center"/>
          </w:tcPr>
          <w:p w:rsidR="00515EFD" w:rsidRDefault="00515EFD" w:rsidP="00515EFD">
            <w:pPr>
              <w:pStyle w:val="ListParagraph"/>
              <w:numPr>
                <w:ilvl w:val="0"/>
                <w:numId w:val="9"/>
              </w:numPr>
            </w:pPr>
          </w:p>
        </w:tc>
        <w:tc>
          <w:tcPr>
            <w:tcW w:w="4322" w:type="dxa"/>
            <w:vAlign w:val="center"/>
          </w:tcPr>
          <w:p w:rsidR="00515EFD" w:rsidRPr="00821F99" w:rsidRDefault="00515EFD" w:rsidP="00BE23D8">
            <w:pPr>
              <w:jc w:val="center"/>
            </w:pPr>
            <w:r>
              <w:t xml:space="preserve">Current allocated seats for </w:t>
            </w:r>
            <w:proofErr w:type="spellStart"/>
            <w:r>
              <w:t>CoCo</w:t>
            </w:r>
            <w:proofErr w:type="spellEnd"/>
            <w:r w:rsidRPr="00821F99">
              <w:t xml:space="preserve"> </w:t>
            </w:r>
          </w:p>
        </w:tc>
        <w:tc>
          <w:tcPr>
            <w:tcW w:w="1276" w:type="dxa"/>
            <w:vAlign w:val="center"/>
          </w:tcPr>
          <w:p w:rsidR="00515EFD" w:rsidRPr="00821F99" w:rsidRDefault="00515EFD" w:rsidP="00BE23D8">
            <w:pPr>
              <w:jc w:val="center"/>
            </w:pPr>
            <w:r w:rsidRPr="00821F99">
              <w:t xml:space="preserve">23 </w:t>
            </w:r>
          </w:p>
        </w:tc>
        <w:tc>
          <w:tcPr>
            <w:tcW w:w="1275" w:type="dxa"/>
            <w:vAlign w:val="center"/>
          </w:tcPr>
          <w:p w:rsidR="00515EFD" w:rsidRPr="00821F99" w:rsidRDefault="00515EFD" w:rsidP="00BE23D8">
            <w:pPr>
              <w:jc w:val="center"/>
            </w:pPr>
            <w:r w:rsidRPr="00821F99">
              <w:t xml:space="preserve">19 </w:t>
            </w:r>
          </w:p>
        </w:tc>
        <w:tc>
          <w:tcPr>
            <w:tcW w:w="1135" w:type="dxa"/>
            <w:vAlign w:val="center"/>
          </w:tcPr>
          <w:p w:rsidR="00515EFD" w:rsidRPr="00821F99" w:rsidRDefault="00515EFD" w:rsidP="00BE23D8">
            <w:pPr>
              <w:jc w:val="center"/>
            </w:pPr>
            <w:r w:rsidRPr="00821F99">
              <w:t xml:space="preserve">4 </w:t>
            </w:r>
          </w:p>
        </w:tc>
        <w:tc>
          <w:tcPr>
            <w:tcW w:w="1275" w:type="dxa"/>
            <w:vAlign w:val="center"/>
          </w:tcPr>
          <w:p w:rsidR="00515EFD" w:rsidRPr="00821F99" w:rsidRDefault="00515EFD" w:rsidP="00BE23D8">
            <w:pPr>
              <w:jc w:val="center"/>
            </w:pPr>
            <w:r w:rsidRPr="00821F99">
              <w:t xml:space="preserve">6 </w:t>
            </w:r>
          </w:p>
        </w:tc>
        <w:tc>
          <w:tcPr>
            <w:tcW w:w="1276" w:type="dxa"/>
            <w:vAlign w:val="center"/>
          </w:tcPr>
          <w:p w:rsidR="00515EFD" w:rsidRPr="00821F99" w:rsidRDefault="00515EFD" w:rsidP="00BE23D8">
            <w:pPr>
              <w:jc w:val="center"/>
            </w:pPr>
            <w:r w:rsidRPr="00821F99">
              <w:t xml:space="preserve">15 </w:t>
            </w:r>
          </w:p>
        </w:tc>
        <w:tc>
          <w:tcPr>
            <w:tcW w:w="1276" w:type="dxa"/>
            <w:vAlign w:val="center"/>
          </w:tcPr>
          <w:p w:rsidR="00515EFD" w:rsidRPr="00821F99" w:rsidRDefault="00515EFD" w:rsidP="00BE23D8">
            <w:pPr>
              <w:jc w:val="center"/>
            </w:pPr>
            <w:r w:rsidRPr="00821F99">
              <w:t xml:space="preserve">15 </w:t>
            </w:r>
          </w:p>
        </w:tc>
        <w:tc>
          <w:tcPr>
            <w:tcW w:w="1134" w:type="dxa"/>
            <w:vAlign w:val="center"/>
          </w:tcPr>
          <w:p w:rsidR="00515EFD" w:rsidRPr="00821F99" w:rsidRDefault="00515EFD" w:rsidP="00BE23D8">
            <w:pPr>
              <w:jc w:val="center"/>
            </w:pPr>
            <w:r w:rsidRPr="00821F99">
              <w:t xml:space="preserve">1 </w:t>
            </w:r>
          </w:p>
        </w:tc>
        <w:tc>
          <w:tcPr>
            <w:tcW w:w="1348" w:type="dxa"/>
            <w:vAlign w:val="center"/>
          </w:tcPr>
          <w:p w:rsidR="00515EFD" w:rsidRPr="00821F99" w:rsidRDefault="00515EFD" w:rsidP="00BE23D8">
            <w:pPr>
              <w:jc w:val="center"/>
            </w:pPr>
            <w:r>
              <w:t>83</w:t>
            </w:r>
          </w:p>
        </w:tc>
      </w:tr>
      <w:tr w:rsidR="00515EFD" w:rsidRPr="00821F99" w:rsidTr="00BE23D8">
        <w:trPr>
          <w:trHeight w:val="578"/>
          <w:jc w:val="center"/>
        </w:trPr>
        <w:tc>
          <w:tcPr>
            <w:tcW w:w="704" w:type="dxa"/>
            <w:vAlign w:val="center"/>
          </w:tcPr>
          <w:p w:rsidR="00515EFD" w:rsidRPr="00821F99" w:rsidRDefault="00515EFD" w:rsidP="00515EFD">
            <w:pPr>
              <w:pStyle w:val="ListParagraph"/>
              <w:numPr>
                <w:ilvl w:val="0"/>
                <w:numId w:val="9"/>
              </w:numPr>
            </w:pPr>
          </w:p>
        </w:tc>
        <w:tc>
          <w:tcPr>
            <w:tcW w:w="4322" w:type="dxa"/>
            <w:vAlign w:val="center"/>
          </w:tcPr>
          <w:p w:rsidR="00515EFD" w:rsidRPr="00821F99" w:rsidRDefault="00515EFD" w:rsidP="00BE23D8">
            <w:pPr>
              <w:jc w:val="center"/>
            </w:pPr>
            <w:r w:rsidRPr="00821F99">
              <w:t xml:space="preserve">Percentage of </w:t>
            </w:r>
            <w:r>
              <w:t xml:space="preserve">the group members represented in the </w:t>
            </w:r>
            <w:proofErr w:type="spellStart"/>
            <w:r>
              <w:t>CoCo</w:t>
            </w:r>
            <w:proofErr w:type="spellEnd"/>
            <w:r>
              <w:rPr>
                <w:rStyle w:val="FootnoteReference"/>
              </w:rPr>
              <w:footnoteReference w:id="6"/>
            </w:r>
          </w:p>
        </w:tc>
        <w:tc>
          <w:tcPr>
            <w:tcW w:w="1276" w:type="dxa"/>
            <w:vAlign w:val="center"/>
          </w:tcPr>
          <w:p w:rsidR="00515EFD" w:rsidRDefault="00515EFD" w:rsidP="00BE23D8">
            <w:pPr>
              <w:jc w:val="center"/>
            </w:pPr>
            <w:r>
              <w:t>71.88%</w:t>
            </w:r>
          </w:p>
        </w:tc>
        <w:tc>
          <w:tcPr>
            <w:tcW w:w="1275" w:type="dxa"/>
            <w:vAlign w:val="center"/>
          </w:tcPr>
          <w:p w:rsidR="00515EFD" w:rsidRDefault="00515EFD" w:rsidP="00BE23D8">
            <w:pPr>
              <w:jc w:val="center"/>
            </w:pPr>
            <w:r>
              <w:t>35.85%</w:t>
            </w:r>
          </w:p>
        </w:tc>
        <w:tc>
          <w:tcPr>
            <w:tcW w:w="1135" w:type="dxa"/>
            <w:vAlign w:val="center"/>
          </w:tcPr>
          <w:p w:rsidR="00515EFD" w:rsidRDefault="00515EFD" w:rsidP="00BE23D8">
            <w:pPr>
              <w:jc w:val="center"/>
            </w:pPr>
            <w:r>
              <w:t>44.44%</w:t>
            </w:r>
          </w:p>
        </w:tc>
        <w:tc>
          <w:tcPr>
            <w:tcW w:w="1275" w:type="dxa"/>
            <w:vAlign w:val="center"/>
          </w:tcPr>
          <w:p w:rsidR="00515EFD" w:rsidRDefault="00515EFD" w:rsidP="00BE23D8">
            <w:pPr>
              <w:jc w:val="center"/>
            </w:pPr>
            <w:r>
              <w:t>31.58%</w:t>
            </w:r>
          </w:p>
        </w:tc>
        <w:tc>
          <w:tcPr>
            <w:tcW w:w="1276" w:type="dxa"/>
            <w:vAlign w:val="center"/>
          </w:tcPr>
          <w:p w:rsidR="00515EFD" w:rsidRDefault="00515EFD" w:rsidP="00BE23D8">
            <w:pPr>
              <w:jc w:val="center"/>
            </w:pPr>
            <w:r>
              <w:t>45.45%</w:t>
            </w:r>
          </w:p>
        </w:tc>
        <w:tc>
          <w:tcPr>
            <w:tcW w:w="1276" w:type="dxa"/>
            <w:vAlign w:val="center"/>
          </w:tcPr>
          <w:p w:rsidR="00515EFD" w:rsidRDefault="00515EFD" w:rsidP="00BE23D8">
            <w:pPr>
              <w:jc w:val="center"/>
            </w:pPr>
            <w:r>
              <w:t>34.09%</w:t>
            </w:r>
          </w:p>
        </w:tc>
        <w:tc>
          <w:tcPr>
            <w:tcW w:w="1134" w:type="dxa"/>
            <w:vAlign w:val="center"/>
          </w:tcPr>
          <w:p w:rsidR="00515EFD" w:rsidRDefault="00515EFD" w:rsidP="00BE23D8">
            <w:pPr>
              <w:jc w:val="center"/>
            </w:pPr>
            <w:r>
              <w:t>100%</w:t>
            </w:r>
          </w:p>
        </w:tc>
        <w:tc>
          <w:tcPr>
            <w:tcW w:w="1348" w:type="dxa"/>
            <w:vAlign w:val="center"/>
          </w:tcPr>
          <w:p w:rsidR="00515EFD" w:rsidRPr="00821F99" w:rsidRDefault="00515EFD" w:rsidP="00BE23D8">
            <w:pPr>
              <w:jc w:val="center"/>
            </w:pPr>
            <w:r w:rsidRPr="00821F99">
              <w:t xml:space="preserve">- </w:t>
            </w:r>
          </w:p>
        </w:tc>
      </w:tr>
      <w:tr w:rsidR="00515EFD" w:rsidRPr="00821F99" w:rsidTr="00BE23D8">
        <w:trPr>
          <w:trHeight w:val="533"/>
          <w:jc w:val="center"/>
        </w:trPr>
        <w:tc>
          <w:tcPr>
            <w:tcW w:w="704" w:type="dxa"/>
            <w:vAlign w:val="center"/>
          </w:tcPr>
          <w:p w:rsidR="00515EFD" w:rsidRPr="00821F99" w:rsidRDefault="00515EFD" w:rsidP="00515EFD">
            <w:pPr>
              <w:pStyle w:val="ListParagraph"/>
              <w:numPr>
                <w:ilvl w:val="0"/>
                <w:numId w:val="9"/>
              </w:numPr>
            </w:pPr>
          </w:p>
        </w:tc>
        <w:tc>
          <w:tcPr>
            <w:tcW w:w="4322" w:type="dxa"/>
            <w:vAlign w:val="center"/>
          </w:tcPr>
          <w:p w:rsidR="00515EFD" w:rsidRDefault="00515EFD" w:rsidP="00BE23D8">
            <w:pPr>
              <w:jc w:val="center"/>
            </w:pPr>
            <w:r>
              <w:t>Group percentage</w:t>
            </w:r>
            <w:r w:rsidRPr="00821F99">
              <w:t xml:space="preserve"> of WIPO Membership</w:t>
            </w:r>
            <w:r>
              <w:rPr>
                <w:rStyle w:val="FootnoteReference"/>
              </w:rPr>
              <w:footnoteReference w:id="7"/>
            </w:r>
            <w:r w:rsidRPr="00821F99">
              <w:t xml:space="preserve"> </w:t>
            </w:r>
          </w:p>
        </w:tc>
        <w:tc>
          <w:tcPr>
            <w:tcW w:w="1276" w:type="dxa"/>
            <w:vAlign w:val="center"/>
          </w:tcPr>
          <w:p w:rsidR="00515EFD" w:rsidRPr="00821F99" w:rsidRDefault="00515EFD" w:rsidP="00BE23D8">
            <w:pPr>
              <w:jc w:val="center"/>
            </w:pPr>
            <w:r>
              <w:t>16.75%</w:t>
            </w:r>
          </w:p>
        </w:tc>
        <w:tc>
          <w:tcPr>
            <w:tcW w:w="1275" w:type="dxa"/>
            <w:vAlign w:val="center"/>
          </w:tcPr>
          <w:p w:rsidR="00515EFD" w:rsidRPr="00821F99" w:rsidRDefault="00515EFD" w:rsidP="00BE23D8">
            <w:pPr>
              <w:jc w:val="center"/>
            </w:pPr>
            <w:r>
              <w:t>27.75%</w:t>
            </w:r>
          </w:p>
        </w:tc>
        <w:tc>
          <w:tcPr>
            <w:tcW w:w="1135" w:type="dxa"/>
            <w:vAlign w:val="center"/>
          </w:tcPr>
          <w:p w:rsidR="00515EFD" w:rsidRPr="00821F99" w:rsidRDefault="00515EFD" w:rsidP="00BE23D8">
            <w:pPr>
              <w:jc w:val="center"/>
            </w:pPr>
            <w:r>
              <w:t>4.71%</w:t>
            </w:r>
          </w:p>
        </w:tc>
        <w:tc>
          <w:tcPr>
            <w:tcW w:w="1275" w:type="dxa"/>
            <w:vAlign w:val="center"/>
          </w:tcPr>
          <w:p w:rsidR="00515EFD" w:rsidRPr="00821F99" w:rsidRDefault="00515EFD" w:rsidP="00BE23D8">
            <w:pPr>
              <w:jc w:val="center"/>
            </w:pPr>
            <w:r>
              <w:t>9.95%</w:t>
            </w:r>
          </w:p>
        </w:tc>
        <w:tc>
          <w:tcPr>
            <w:tcW w:w="1276" w:type="dxa"/>
            <w:vAlign w:val="center"/>
          </w:tcPr>
          <w:p w:rsidR="00515EFD" w:rsidRPr="00821F99" w:rsidRDefault="00515EFD" w:rsidP="00BE23D8">
            <w:pPr>
              <w:jc w:val="center"/>
            </w:pPr>
            <w:r>
              <w:t>17.28%</w:t>
            </w:r>
            <w:r w:rsidRPr="00821F99">
              <w:t xml:space="preserve"> </w:t>
            </w:r>
          </w:p>
        </w:tc>
        <w:tc>
          <w:tcPr>
            <w:tcW w:w="1276" w:type="dxa"/>
            <w:vAlign w:val="center"/>
          </w:tcPr>
          <w:p w:rsidR="00515EFD" w:rsidRPr="00821F99" w:rsidRDefault="00515EFD" w:rsidP="00BE23D8">
            <w:pPr>
              <w:jc w:val="center"/>
            </w:pPr>
            <w:r>
              <w:t>2</w:t>
            </w:r>
            <w:r w:rsidRPr="00936F88">
              <w:t>3.</w:t>
            </w:r>
            <w:r>
              <w:t>04%</w:t>
            </w:r>
            <w:r w:rsidRPr="00821F99">
              <w:t xml:space="preserve"> </w:t>
            </w:r>
          </w:p>
        </w:tc>
        <w:tc>
          <w:tcPr>
            <w:tcW w:w="1134" w:type="dxa"/>
            <w:vAlign w:val="center"/>
          </w:tcPr>
          <w:p w:rsidR="00515EFD" w:rsidRPr="00821F99" w:rsidRDefault="00515EFD" w:rsidP="00BE23D8">
            <w:pPr>
              <w:jc w:val="center"/>
            </w:pPr>
            <w:r>
              <w:t>0.52%</w:t>
            </w:r>
            <w:r w:rsidRPr="00821F99">
              <w:t xml:space="preserve"> </w:t>
            </w:r>
          </w:p>
        </w:tc>
        <w:tc>
          <w:tcPr>
            <w:tcW w:w="1348" w:type="dxa"/>
            <w:vAlign w:val="center"/>
          </w:tcPr>
          <w:p w:rsidR="00515EFD" w:rsidRPr="00821F99" w:rsidRDefault="00515EFD" w:rsidP="00BE23D8">
            <w:pPr>
              <w:jc w:val="center"/>
            </w:pPr>
            <w:r>
              <w:t>100%</w:t>
            </w:r>
          </w:p>
        </w:tc>
      </w:tr>
      <w:tr w:rsidR="00515EFD" w:rsidRPr="00821F99" w:rsidTr="00BE23D8">
        <w:trPr>
          <w:trHeight w:val="541"/>
          <w:jc w:val="center"/>
        </w:trPr>
        <w:tc>
          <w:tcPr>
            <w:tcW w:w="704" w:type="dxa"/>
            <w:vAlign w:val="center"/>
          </w:tcPr>
          <w:p w:rsidR="00515EFD" w:rsidRDefault="00515EFD" w:rsidP="00515EFD">
            <w:pPr>
              <w:pStyle w:val="ListParagraph"/>
              <w:numPr>
                <w:ilvl w:val="0"/>
                <w:numId w:val="9"/>
              </w:numPr>
            </w:pPr>
          </w:p>
        </w:tc>
        <w:tc>
          <w:tcPr>
            <w:tcW w:w="4322" w:type="dxa"/>
            <w:vAlign w:val="center"/>
          </w:tcPr>
          <w:p w:rsidR="00515EFD" w:rsidRDefault="00515EFD" w:rsidP="00BE23D8">
            <w:pPr>
              <w:jc w:val="center"/>
            </w:pPr>
            <w:r>
              <w:t xml:space="preserve">Group percentage of </w:t>
            </w:r>
            <w:proofErr w:type="spellStart"/>
            <w:r>
              <w:t>CoCo</w:t>
            </w:r>
            <w:proofErr w:type="spellEnd"/>
            <w:r>
              <w:t xml:space="preserve"> Membership</w:t>
            </w:r>
            <w:r>
              <w:rPr>
                <w:rStyle w:val="FootnoteReference"/>
              </w:rPr>
              <w:footnoteReference w:id="8"/>
            </w:r>
          </w:p>
        </w:tc>
        <w:tc>
          <w:tcPr>
            <w:tcW w:w="1276" w:type="dxa"/>
            <w:vAlign w:val="center"/>
          </w:tcPr>
          <w:p w:rsidR="00515EFD" w:rsidRPr="00821F99" w:rsidRDefault="00515EFD" w:rsidP="00BE23D8">
            <w:pPr>
              <w:jc w:val="center"/>
            </w:pPr>
            <w:r>
              <w:t>27.71%</w:t>
            </w:r>
          </w:p>
        </w:tc>
        <w:tc>
          <w:tcPr>
            <w:tcW w:w="1275" w:type="dxa"/>
            <w:vAlign w:val="center"/>
          </w:tcPr>
          <w:p w:rsidR="00515EFD" w:rsidRPr="00821F99" w:rsidRDefault="00515EFD" w:rsidP="00BE23D8">
            <w:pPr>
              <w:jc w:val="center"/>
            </w:pPr>
            <w:r>
              <w:t>22.89%</w:t>
            </w:r>
          </w:p>
        </w:tc>
        <w:tc>
          <w:tcPr>
            <w:tcW w:w="1135" w:type="dxa"/>
            <w:vAlign w:val="center"/>
          </w:tcPr>
          <w:p w:rsidR="00515EFD" w:rsidRPr="00821F99" w:rsidRDefault="00515EFD" w:rsidP="00BE23D8">
            <w:pPr>
              <w:jc w:val="center"/>
            </w:pPr>
            <w:r>
              <w:t>4.82%</w:t>
            </w:r>
          </w:p>
        </w:tc>
        <w:tc>
          <w:tcPr>
            <w:tcW w:w="1275" w:type="dxa"/>
            <w:vAlign w:val="center"/>
          </w:tcPr>
          <w:p w:rsidR="00515EFD" w:rsidRPr="00821F99" w:rsidRDefault="00515EFD" w:rsidP="00BE23D8">
            <w:pPr>
              <w:jc w:val="center"/>
            </w:pPr>
            <w:r>
              <w:t>7.23%</w:t>
            </w:r>
          </w:p>
        </w:tc>
        <w:tc>
          <w:tcPr>
            <w:tcW w:w="1276" w:type="dxa"/>
            <w:vAlign w:val="center"/>
          </w:tcPr>
          <w:p w:rsidR="00515EFD" w:rsidRPr="00821F99" w:rsidRDefault="00515EFD" w:rsidP="00BE23D8">
            <w:pPr>
              <w:jc w:val="center"/>
            </w:pPr>
            <w:r>
              <w:t>18.07%</w:t>
            </w:r>
          </w:p>
        </w:tc>
        <w:tc>
          <w:tcPr>
            <w:tcW w:w="1276" w:type="dxa"/>
            <w:vAlign w:val="center"/>
          </w:tcPr>
          <w:p w:rsidR="00515EFD" w:rsidRPr="00821F99" w:rsidRDefault="00515EFD" w:rsidP="00BE23D8">
            <w:pPr>
              <w:jc w:val="center"/>
            </w:pPr>
            <w:r>
              <w:t>18.07%</w:t>
            </w:r>
          </w:p>
        </w:tc>
        <w:tc>
          <w:tcPr>
            <w:tcW w:w="1134" w:type="dxa"/>
            <w:vAlign w:val="center"/>
          </w:tcPr>
          <w:p w:rsidR="00515EFD" w:rsidRPr="00821F99" w:rsidRDefault="00515EFD" w:rsidP="00BE23D8">
            <w:pPr>
              <w:jc w:val="center"/>
            </w:pPr>
            <w:r>
              <w:t>1.20%</w:t>
            </w:r>
          </w:p>
        </w:tc>
        <w:tc>
          <w:tcPr>
            <w:tcW w:w="1348" w:type="dxa"/>
            <w:vAlign w:val="center"/>
          </w:tcPr>
          <w:p w:rsidR="00515EFD" w:rsidRPr="00821F99" w:rsidRDefault="00515EFD" w:rsidP="00BE23D8">
            <w:pPr>
              <w:jc w:val="center"/>
            </w:pPr>
            <w:r>
              <w:t>100%</w:t>
            </w:r>
          </w:p>
        </w:tc>
      </w:tr>
      <w:tr w:rsidR="00515EFD" w:rsidRPr="00821F99" w:rsidTr="00BE23D8">
        <w:trPr>
          <w:trHeight w:val="1029"/>
          <w:jc w:val="center"/>
        </w:trPr>
        <w:tc>
          <w:tcPr>
            <w:tcW w:w="704" w:type="dxa"/>
            <w:vAlign w:val="center"/>
          </w:tcPr>
          <w:p w:rsidR="00515EFD" w:rsidRPr="00821F99" w:rsidRDefault="00515EFD" w:rsidP="00515EFD">
            <w:pPr>
              <w:pStyle w:val="ListParagraph"/>
              <w:numPr>
                <w:ilvl w:val="0"/>
                <w:numId w:val="9"/>
              </w:numPr>
            </w:pPr>
          </w:p>
        </w:tc>
        <w:tc>
          <w:tcPr>
            <w:tcW w:w="4322" w:type="dxa"/>
            <w:vAlign w:val="center"/>
          </w:tcPr>
          <w:p w:rsidR="00515EFD" w:rsidRPr="00821F99" w:rsidRDefault="00515EFD" w:rsidP="00BE23D8">
            <w:pPr>
              <w:jc w:val="center"/>
            </w:pPr>
            <w:r w:rsidRPr="00821F99">
              <w:t xml:space="preserve">Number of </w:t>
            </w:r>
            <w:proofErr w:type="spellStart"/>
            <w:r>
              <w:t>CoCo</w:t>
            </w:r>
            <w:proofErr w:type="spellEnd"/>
            <w:r>
              <w:t xml:space="preserve"> </w:t>
            </w:r>
            <w:r w:rsidRPr="00821F99">
              <w:t xml:space="preserve">seats if according to proportion of WIPO Membership </w:t>
            </w:r>
            <w:r>
              <w:t xml:space="preserve">based on 83 </w:t>
            </w:r>
            <w:proofErr w:type="spellStart"/>
            <w:r>
              <w:t>CoCo</w:t>
            </w:r>
            <w:proofErr w:type="spellEnd"/>
            <w:r>
              <w:t xml:space="preserve"> seats</w:t>
            </w:r>
            <w:r>
              <w:rPr>
                <w:rStyle w:val="FootnoteReference"/>
              </w:rPr>
              <w:footnoteReference w:id="9"/>
            </w:r>
          </w:p>
        </w:tc>
        <w:tc>
          <w:tcPr>
            <w:tcW w:w="1276" w:type="dxa"/>
            <w:vAlign w:val="center"/>
          </w:tcPr>
          <w:p w:rsidR="00515EFD" w:rsidRPr="00821F99" w:rsidRDefault="00515EFD" w:rsidP="00BE23D8">
            <w:pPr>
              <w:jc w:val="center"/>
            </w:pPr>
            <w:r w:rsidRPr="00821F99">
              <w:t>1</w:t>
            </w:r>
            <w:r>
              <w:t>3.91</w:t>
            </w:r>
          </w:p>
        </w:tc>
        <w:tc>
          <w:tcPr>
            <w:tcW w:w="1275" w:type="dxa"/>
            <w:vAlign w:val="center"/>
          </w:tcPr>
          <w:p w:rsidR="00515EFD" w:rsidRPr="00821F99" w:rsidRDefault="00515EFD" w:rsidP="00BE23D8">
            <w:pPr>
              <w:jc w:val="center"/>
            </w:pPr>
            <w:r>
              <w:t>23.03</w:t>
            </w:r>
            <w:r w:rsidRPr="00821F99">
              <w:t xml:space="preserve"> </w:t>
            </w:r>
          </w:p>
        </w:tc>
        <w:tc>
          <w:tcPr>
            <w:tcW w:w="1135" w:type="dxa"/>
            <w:vAlign w:val="center"/>
          </w:tcPr>
          <w:p w:rsidR="00515EFD" w:rsidRPr="00821F99" w:rsidRDefault="00515EFD" w:rsidP="00BE23D8">
            <w:pPr>
              <w:jc w:val="center"/>
            </w:pPr>
            <w:r>
              <w:t>3.91</w:t>
            </w:r>
          </w:p>
        </w:tc>
        <w:tc>
          <w:tcPr>
            <w:tcW w:w="1275" w:type="dxa"/>
            <w:vAlign w:val="center"/>
          </w:tcPr>
          <w:p w:rsidR="00515EFD" w:rsidRPr="00821F99" w:rsidRDefault="00515EFD" w:rsidP="00BE23D8">
            <w:pPr>
              <w:jc w:val="center"/>
            </w:pPr>
            <w:r>
              <w:t>8.26</w:t>
            </w:r>
          </w:p>
        </w:tc>
        <w:tc>
          <w:tcPr>
            <w:tcW w:w="1276" w:type="dxa"/>
            <w:vAlign w:val="center"/>
          </w:tcPr>
          <w:p w:rsidR="00515EFD" w:rsidRPr="00821F99" w:rsidRDefault="00515EFD" w:rsidP="00BE23D8">
            <w:pPr>
              <w:jc w:val="center"/>
            </w:pPr>
            <w:r>
              <w:t>14.34</w:t>
            </w:r>
          </w:p>
        </w:tc>
        <w:tc>
          <w:tcPr>
            <w:tcW w:w="1276" w:type="dxa"/>
            <w:vAlign w:val="center"/>
          </w:tcPr>
          <w:p w:rsidR="00515EFD" w:rsidRPr="00821F99" w:rsidRDefault="00515EFD" w:rsidP="00BE23D8">
            <w:pPr>
              <w:jc w:val="center"/>
            </w:pPr>
            <w:r>
              <w:t>19.12</w:t>
            </w:r>
            <w:r w:rsidRPr="00821F99">
              <w:t xml:space="preserve"> </w:t>
            </w:r>
          </w:p>
        </w:tc>
        <w:tc>
          <w:tcPr>
            <w:tcW w:w="1134" w:type="dxa"/>
            <w:vAlign w:val="center"/>
          </w:tcPr>
          <w:p w:rsidR="00515EFD" w:rsidRPr="00821F99" w:rsidRDefault="00515EFD" w:rsidP="00BE23D8">
            <w:pPr>
              <w:jc w:val="center"/>
            </w:pPr>
            <w:r w:rsidRPr="00821F99">
              <w:t xml:space="preserve"> </w:t>
            </w:r>
            <w:r>
              <w:t>0.43</w:t>
            </w:r>
          </w:p>
        </w:tc>
        <w:tc>
          <w:tcPr>
            <w:tcW w:w="1348" w:type="dxa"/>
            <w:vAlign w:val="center"/>
          </w:tcPr>
          <w:p w:rsidR="00515EFD" w:rsidRPr="00821F99" w:rsidRDefault="00515EFD" w:rsidP="00BE23D8">
            <w:pPr>
              <w:jc w:val="center"/>
            </w:pPr>
            <w:r>
              <w:t>83</w:t>
            </w:r>
          </w:p>
        </w:tc>
      </w:tr>
      <w:tr w:rsidR="00515EFD" w:rsidRPr="00821F99" w:rsidTr="00BE23D8">
        <w:trPr>
          <w:trHeight w:val="1029"/>
          <w:jc w:val="center"/>
        </w:trPr>
        <w:tc>
          <w:tcPr>
            <w:tcW w:w="704" w:type="dxa"/>
            <w:vAlign w:val="center"/>
          </w:tcPr>
          <w:p w:rsidR="00515EFD" w:rsidRDefault="00515EFD" w:rsidP="00515EFD">
            <w:pPr>
              <w:pStyle w:val="ListParagraph"/>
              <w:numPr>
                <w:ilvl w:val="0"/>
                <w:numId w:val="9"/>
              </w:numPr>
            </w:pPr>
          </w:p>
        </w:tc>
        <w:tc>
          <w:tcPr>
            <w:tcW w:w="4322" w:type="dxa"/>
            <w:vAlign w:val="center"/>
          </w:tcPr>
          <w:p w:rsidR="00515EFD" w:rsidRPr="00BE6F43" w:rsidRDefault="00515EFD" w:rsidP="00BE23D8">
            <w:pPr>
              <w:jc w:val="center"/>
              <w:rPr>
                <w:b/>
              </w:rPr>
            </w:pPr>
            <w:r>
              <w:rPr>
                <w:b/>
              </w:rPr>
              <w:t>Differential (between Row 6</w:t>
            </w:r>
            <w:r w:rsidRPr="00384533">
              <w:rPr>
                <w:b/>
              </w:rPr>
              <w:t xml:space="preserve"> and</w:t>
            </w:r>
            <w:r>
              <w:rPr>
                <w:b/>
              </w:rPr>
              <w:t xml:space="preserve"> Row 2)</w:t>
            </w:r>
            <w:r>
              <w:rPr>
                <w:rStyle w:val="FootnoteReference"/>
                <w:b/>
              </w:rPr>
              <w:footnoteReference w:id="10"/>
            </w:r>
          </w:p>
        </w:tc>
        <w:tc>
          <w:tcPr>
            <w:tcW w:w="1276" w:type="dxa"/>
            <w:vAlign w:val="center"/>
          </w:tcPr>
          <w:p w:rsidR="00515EFD" w:rsidRPr="00C116AB" w:rsidRDefault="00515EFD" w:rsidP="00BE23D8">
            <w:pPr>
              <w:jc w:val="center"/>
              <w:rPr>
                <w:b/>
                <w:u w:val="single"/>
              </w:rPr>
            </w:pPr>
            <w:r>
              <w:rPr>
                <w:b/>
                <w:u w:val="single"/>
              </w:rPr>
              <w:t>-9.09</w:t>
            </w:r>
          </w:p>
        </w:tc>
        <w:tc>
          <w:tcPr>
            <w:tcW w:w="1275" w:type="dxa"/>
            <w:vAlign w:val="center"/>
          </w:tcPr>
          <w:p w:rsidR="00515EFD" w:rsidRPr="00C116AB" w:rsidRDefault="00515EFD" w:rsidP="00BE23D8">
            <w:pPr>
              <w:jc w:val="center"/>
              <w:rPr>
                <w:b/>
                <w:u w:val="single"/>
              </w:rPr>
            </w:pPr>
            <w:r>
              <w:rPr>
                <w:b/>
                <w:u w:val="single"/>
              </w:rPr>
              <w:t>4.03</w:t>
            </w:r>
          </w:p>
        </w:tc>
        <w:tc>
          <w:tcPr>
            <w:tcW w:w="1135" w:type="dxa"/>
            <w:vAlign w:val="center"/>
          </w:tcPr>
          <w:p w:rsidR="00515EFD" w:rsidRPr="00C116AB" w:rsidRDefault="00515EFD" w:rsidP="00BE23D8">
            <w:pPr>
              <w:jc w:val="center"/>
              <w:rPr>
                <w:b/>
                <w:u w:val="single"/>
              </w:rPr>
            </w:pPr>
            <w:r>
              <w:rPr>
                <w:b/>
                <w:u w:val="single"/>
              </w:rPr>
              <w:t>-0.09</w:t>
            </w:r>
          </w:p>
        </w:tc>
        <w:tc>
          <w:tcPr>
            <w:tcW w:w="1275" w:type="dxa"/>
            <w:vAlign w:val="center"/>
          </w:tcPr>
          <w:p w:rsidR="00515EFD" w:rsidRPr="00C116AB" w:rsidRDefault="00515EFD" w:rsidP="00BE23D8">
            <w:pPr>
              <w:jc w:val="center"/>
              <w:rPr>
                <w:b/>
                <w:u w:val="single"/>
              </w:rPr>
            </w:pPr>
            <w:r>
              <w:rPr>
                <w:b/>
                <w:u w:val="single"/>
              </w:rPr>
              <w:t>2.26</w:t>
            </w:r>
          </w:p>
        </w:tc>
        <w:tc>
          <w:tcPr>
            <w:tcW w:w="1276" w:type="dxa"/>
            <w:vAlign w:val="center"/>
          </w:tcPr>
          <w:p w:rsidR="00515EFD" w:rsidRPr="00C116AB" w:rsidRDefault="00515EFD" w:rsidP="00BE23D8">
            <w:pPr>
              <w:jc w:val="center"/>
              <w:rPr>
                <w:b/>
                <w:u w:val="single"/>
              </w:rPr>
            </w:pPr>
            <w:r>
              <w:rPr>
                <w:b/>
                <w:u w:val="single"/>
              </w:rPr>
              <w:t>-0.66</w:t>
            </w:r>
          </w:p>
        </w:tc>
        <w:tc>
          <w:tcPr>
            <w:tcW w:w="1276" w:type="dxa"/>
            <w:vAlign w:val="center"/>
          </w:tcPr>
          <w:p w:rsidR="00515EFD" w:rsidRPr="00C116AB" w:rsidRDefault="00515EFD" w:rsidP="00BE23D8">
            <w:pPr>
              <w:jc w:val="center"/>
              <w:rPr>
                <w:b/>
                <w:u w:val="single"/>
              </w:rPr>
            </w:pPr>
            <w:r>
              <w:rPr>
                <w:b/>
                <w:u w:val="single"/>
              </w:rPr>
              <w:t>4.12</w:t>
            </w:r>
          </w:p>
        </w:tc>
        <w:tc>
          <w:tcPr>
            <w:tcW w:w="1134" w:type="dxa"/>
            <w:vAlign w:val="center"/>
          </w:tcPr>
          <w:p w:rsidR="00515EFD" w:rsidRPr="00C116AB" w:rsidRDefault="00515EFD" w:rsidP="00BE23D8">
            <w:pPr>
              <w:jc w:val="center"/>
              <w:rPr>
                <w:b/>
                <w:u w:val="single"/>
              </w:rPr>
            </w:pPr>
            <w:r>
              <w:rPr>
                <w:b/>
                <w:u w:val="single"/>
              </w:rPr>
              <w:t>-0.57</w:t>
            </w:r>
          </w:p>
        </w:tc>
        <w:tc>
          <w:tcPr>
            <w:tcW w:w="1348" w:type="dxa"/>
            <w:vAlign w:val="center"/>
          </w:tcPr>
          <w:p w:rsidR="00515EFD" w:rsidRPr="00BE6F43" w:rsidRDefault="00515EFD" w:rsidP="00BE23D8">
            <w:pPr>
              <w:jc w:val="center"/>
              <w:rPr>
                <w:b/>
              </w:rPr>
            </w:pPr>
            <w:r>
              <w:rPr>
                <w:b/>
              </w:rPr>
              <w:t>-</w:t>
            </w:r>
          </w:p>
        </w:tc>
      </w:tr>
    </w:tbl>
    <w:p w:rsidR="00515EFD" w:rsidRDefault="00515EFD" w:rsidP="00515EFD">
      <w:pPr>
        <w:rPr>
          <w:u w:val="single"/>
        </w:rPr>
      </w:pPr>
    </w:p>
    <w:p w:rsidR="00DE7303" w:rsidRDefault="00DE7303">
      <w:pPr>
        <w:rPr>
          <w:u w:val="single"/>
        </w:rPr>
      </w:pPr>
      <w:r>
        <w:rPr>
          <w:u w:val="single"/>
        </w:rPr>
        <w:br w:type="page"/>
      </w:r>
    </w:p>
    <w:p w:rsidR="00515EFD" w:rsidRDefault="00515EFD" w:rsidP="00515EFD">
      <w:pPr>
        <w:jc w:val="right"/>
        <w:rPr>
          <w:u w:val="single"/>
        </w:rPr>
      </w:pPr>
      <w:r>
        <w:rPr>
          <w:u w:val="single"/>
        </w:rPr>
        <w:lastRenderedPageBreak/>
        <w:t>Annex B</w:t>
      </w:r>
    </w:p>
    <w:p w:rsidR="00515EFD" w:rsidRPr="00E32DCD" w:rsidRDefault="00515EFD" w:rsidP="00DE7303">
      <w:pPr>
        <w:spacing w:after="100" w:afterAutospacing="1"/>
        <w:rPr>
          <w:u w:val="single"/>
        </w:rPr>
      </w:pPr>
      <w:r w:rsidRPr="00E32DCD">
        <w:rPr>
          <w:u w:val="single"/>
        </w:rPr>
        <w:t>Accessions to the Paris and Berne Unions since 2011</w:t>
      </w:r>
    </w:p>
    <w:tbl>
      <w:tblPr>
        <w:tblW w:w="1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410"/>
        <w:gridCol w:w="1417"/>
        <w:gridCol w:w="1560"/>
        <w:gridCol w:w="1560"/>
        <w:gridCol w:w="1559"/>
        <w:gridCol w:w="1417"/>
        <w:gridCol w:w="1418"/>
        <w:gridCol w:w="1701"/>
        <w:gridCol w:w="1276"/>
        <w:gridCol w:w="992"/>
      </w:tblGrid>
      <w:tr w:rsidR="00DE7303" w:rsidRPr="00821F99" w:rsidTr="008B7DEF">
        <w:trPr>
          <w:trHeight w:val="110"/>
          <w:tblHeader/>
          <w:jc w:val="center"/>
        </w:trPr>
        <w:tc>
          <w:tcPr>
            <w:tcW w:w="812" w:type="dxa"/>
          </w:tcPr>
          <w:p w:rsidR="00DE7303" w:rsidRPr="00C7575E" w:rsidRDefault="00DE7303" w:rsidP="00BE23D8">
            <w:r w:rsidRPr="00D437EC">
              <w:t>S/No</w:t>
            </w:r>
          </w:p>
        </w:tc>
        <w:tc>
          <w:tcPr>
            <w:tcW w:w="2410" w:type="dxa"/>
          </w:tcPr>
          <w:p w:rsidR="00DE7303" w:rsidRPr="00C7575E" w:rsidRDefault="00DE7303" w:rsidP="00BE23D8">
            <w:pPr>
              <w:jc w:val="center"/>
            </w:pPr>
            <w:r w:rsidRPr="00C7575E">
              <w:t>Item</w:t>
            </w:r>
          </w:p>
        </w:tc>
        <w:tc>
          <w:tcPr>
            <w:tcW w:w="1417" w:type="dxa"/>
          </w:tcPr>
          <w:p w:rsidR="00DE7303" w:rsidRPr="00821F99" w:rsidRDefault="00DE7303" w:rsidP="00BE23D8">
            <w:r w:rsidRPr="00821F99">
              <w:rPr>
                <w:b/>
                <w:bCs/>
              </w:rPr>
              <w:t xml:space="preserve">Group B </w:t>
            </w:r>
          </w:p>
        </w:tc>
        <w:tc>
          <w:tcPr>
            <w:tcW w:w="1560" w:type="dxa"/>
          </w:tcPr>
          <w:p w:rsidR="00DE7303" w:rsidRPr="00821F99" w:rsidRDefault="00DE7303" w:rsidP="00BE23D8">
            <w:pPr>
              <w:rPr>
                <w:b/>
                <w:bCs/>
              </w:rPr>
            </w:pPr>
          </w:p>
        </w:tc>
        <w:tc>
          <w:tcPr>
            <w:tcW w:w="1560" w:type="dxa"/>
          </w:tcPr>
          <w:p w:rsidR="00DE7303" w:rsidRPr="00821F99" w:rsidRDefault="00DE7303" w:rsidP="00BE23D8">
            <w:r w:rsidRPr="00821F99">
              <w:rPr>
                <w:b/>
                <w:bCs/>
              </w:rPr>
              <w:t xml:space="preserve">Africa </w:t>
            </w:r>
          </w:p>
        </w:tc>
        <w:tc>
          <w:tcPr>
            <w:tcW w:w="1559" w:type="dxa"/>
          </w:tcPr>
          <w:p w:rsidR="00DE7303" w:rsidRPr="00821F99" w:rsidRDefault="00DE7303" w:rsidP="00BE23D8">
            <w:r w:rsidRPr="00821F99">
              <w:rPr>
                <w:b/>
                <w:bCs/>
              </w:rPr>
              <w:t xml:space="preserve">CACEEC </w:t>
            </w:r>
          </w:p>
        </w:tc>
        <w:tc>
          <w:tcPr>
            <w:tcW w:w="1417" w:type="dxa"/>
          </w:tcPr>
          <w:p w:rsidR="00DE7303" w:rsidRPr="00821F99" w:rsidRDefault="00DE7303" w:rsidP="00BE23D8">
            <w:r w:rsidRPr="00821F99">
              <w:rPr>
                <w:b/>
                <w:bCs/>
              </w:rPr>
              <w:t xml:space="preserve">CEBS </w:t>
            </w:r>
          </w:p>
        </w:tc>
        <w:tc>
          <w:tcPr>
            <w:tcW w:w="1418" w:type="dxa"/>
          </w:tcPr>
          <w:p w:rsidR="00DE7303" w:rsidRPr="00821F99" w:rsidRDefault="00DE7303" w:rsidP="00BE23D8">
            <w:r w:rsidRPr="00821F99">
              <w:rPr>
                <w:b/>
                <w:bCs/>
              </w:rPr>
              <w:t xml:space="preserve">GRULAC </w:t>
            </w:r>
          </w:p>
        </w:tc>
        <w:tc>
          <w:tcPr>
            <w:tcW w:w="1701" w:type="dxa"/>
          </w:tcPr>
          <w:p w:rsidR="00DE7303" w:rsidRPr="00821F99" w:rsidRDefault="00DE7303" w:rsidP="00BE23D8">
            <w:r w:rsidRPr="00821F99">
              <w:rPr>
                <w:b/>
                <w:bCs/>
              </w:rPr>
              <w:t xml:space="preserve">APG </w:t>
            </w:r>
          </w:p>
        </w:tc>
        <w:tc>
          <w:tcPr>
            <w:tcW w:w="1276" w:type="dxa"/>
          </w:tcPr>
          <w:p w:rsidR="00DE7303" w:rsidRPr="00821F99" w:rsidRDefault="00DE7303" w:rsidP="00BE23D8">
            <w:r w:rsidRPr="00821F99">
              <w:rPr>
                <w:b/>
                <w:bCs/>
              </w:rPr>
              <w:t xml:space="preserve">China </w:t>
            </w:r>
          </w:p>
        </w:tc>
        <w:tc>
          <w:tcPr>
            <w:tcW w:w="992" w:type="dxa"/>
          </w:tcPr>
          <w:p w:rsidR="00DE7303" w:rsidRPr="00821F99" w:rsidRDefault="00DE7303" w:rsidP="00BE23D8">
            <w:r>
              <w:t xml:space="preserve">Total </w:t>
            </w:r>
          </w:p>
        </w:tc>
      </w:tr>
      <w:tr w:rsidR="00DE7303" w:rsidRPr="00821F99" w:rsidTr="00DE7303">
        <w:trPr>
          <w:trHeight w:val="110"/>
          <w:jc w:val="center"/>
        </w:trPr>
        <w:tc>
          <w:tcPr>
            <w:tcW w:w="812" w:type="dxa"/>
            <w:vAlign w:val="center"/>
          </w:tcPr>
          <w:p w:rsidR="00DE7303" w:rsidRDefault="00DE7303" w:rsidP="00515EFD">
            <w:pPr>
              <w:pStyle w:val="ListParagraph"/>
              <w:numPr>
                <w:ilvl w:val="0"/>
                <w:numId w:val="10"/>
              </w:numPr>
            </w:pPr>
          </w:p>
        </w:tc>
        <w:tc>
          <w:tcPr>
            <w:tcW w:w="2410" w:type="dxa"/>
            <w:vAlign w:val="center"/>
          </w:tcPr>
          <w:p w:rsidR="00DE7303" w:rsidRPr="00821F99" w:rsidRDefault="00DE7303" w:rsidP="00BE23D8">
            <w:pPr>
              <w:jc w:val="center"/>
            </w:pPr>
            <w:r>
              <w:t>Number of Members in Paris Union</w:t>
            </w:r>
          </w:p>
        </w:tc>
        <w:tc>
          <w:tcPr>
            <w:tcW w:w="1417" w:type="dxa"/>
            <w:vAlign w:val="center"/>
          </w:tcPr>
          <w:p w:rsidR="00DE7303" w:rsidRPr="00821F99" w:rsidRDefault="00DE7303" w:rsidP="00BE23D8">
            <w:r>
              <w:t>32</w:t>
            </w:r>
          </w:p>
        </w:tc>
        <w:tc>
          <w:tcPr>
            <w:tcW w:w="1560" w:type="dxa"/>
          </w:tcPr>
          <w:p w:rsidR="00DE7303" w:rsidRDefault="00DE7303" w:rsidP="00BE23D8"/>
        </w:tc>
        <w:tc>
          <w:tcPr>
            <w:tcW w:w="1560" w:type="dxa"/>
            <w:vAlign w:val="center"/>
          </w:tcPr>
          <w:p w:rsidR="00DE7303" w:rsidRPr="00821F99" w:rsidRDefault="00DE7303" w:rsidP="00BE23D8">
            <w:r>
              <w:t>49</w:t>
            </w:r>
          </w:p>
        </w:tc>
        <w:tc>
          <w:tcPr>
            <w:tcW w:w="1559" w:type="dxa"/>
            <w:vAlign w:val="center"/>
          </w:tcPr>
          <w:p w:rsidR="00DE7303" w:rsidRPr="00821F99" w:rsidRDefault="00DE7303" w:rsidP="00BE23D8">
            <w:r>
              <w:t>9</w:t>
            </w:r>
          </w:p>
        </w:tc>
        <w:tc>
          <w:tcPr>
            <w:tcW w:w="1417" w:type="dxa"/>
            <w:vAlign w:val="center"/>
          </w:tcPr>
          <w:p w:rsidR="00DE7303" w:rsidRPr="00821F99" w:rsidRDefault="00DE7303" w:rsidP="00BE23D8">
            <w:r>
              <w:t>19</w:t>
            </w:r>
          </w:p>
        </w:tc>
        <w:tc>
          <w:tcPr>
            <w:tcW w:w="1418" w:type="dxa"/>
            <w:vAlign w:val="center"/>
          </w:tcPr>
          <w:p w:rsidR="00DE7303" w:rsidRPr="00821F99" w:rsidRDefault="00DE7303" w:rsidP="00BE23D8">
            <w:r>
              <w:t>33</w:t>
            </w:r>
          </w:p>
        </w:tc>
        <w:tc>
          <w:tcPr>
            <w:tcW w:w="1701" w:type="dxa"/>
            <w:vAlign w:val="center"/>
          </w:tcPr>
          <w:p w:rsidR="00DE7303" w:rsidRPr="00821F99" w:rsidRDefault="00DE7303" w:rsidP="00BE23D8">
            <w:r>
              <w:t>34</w:t>
            </w:r>
          </w:p>
        </w:tc>
        <w:tc>
          <w:tcPr>
            <w:tcW w:w="1276" w:type="dxa"/>
            <w:vAlign w:val="center"/>
          </w:tcPr>
          <w:p w:rsidR="00DE7303" w:rsidRPr="00821F99" w:rsidRDefault="00DE7303" w:rsidP="00BE23D8">
            <w:r>
              <w:t>1</w:t>
            </w:r>
          </w:p>
        </w:tc>
        <w:tc>
          <w:tcPr>
            <w:tcW w:w="992" w:type="dxa"/>
            <w:vAlign w:val="center"/>
          </w:tcPr>
          <w:p w:rsidR="00DE7303" w:rsidRPr="00821F99" w:rsidRDefault="00DE7303" w:rsidP="00BE23D8">
            <w:r>
              <w:t>177</w:t>
            </w:r>
          </w:p>
        </w:tc>
      </w:tr>
      <w:tr w:rsidR="00DE7303" w:rsidRPr="00821F99" w:rsidTr="00DE7303">
        <w:trPr>
          <w:trHeight w:val="110"/>
          <w:jc w:val="center"/>
        </w:trPr>
        <w:tc>
          <w:tcPr>
            <w:tcW w:w="812" w:type="dxa"/>
            <w:vAlign w:val="center"/>
          </w:tcPr>
          <w:p w:rsidR="00DE7303" w:rsidRPr="006144F4" w:rsidRDefault="00DE7303" w:rsidP="00515EFD">
            <w:pPr>
              <w:pStyle w:val="ListParagraph"/>
              <w:numPr>
                <w:ilvl w:val="0"/>
                <w:numId w:val="10"/>
              </w:numPr>
            </w:pPr>
          </w:p>
        </w:tc>
        <w:tc>
          <w:tcPr>
            <w:tcW w:w="2410" w:type="dxa"/>
            <w:vAlign w:val="center"/>
          </w:tcPr>
          <w:p w:rsidR="00DE7303" w:rsidRDefault="00DE7303" w:rsidP="00BE23D8">
            <w:pPr>
              <w:jc w:val="center"/>
            </w:pPr>
            <w:r w:rsidRPr="006144F4">
              <w:t>Accessions since</w:t>
            </w:r>
            <w:r>
              <w:t xml:space="preserve"> January 2011</w:t>
            </w:r>
          </w:p>
        </w:tc>
        <w:tc>
          <w:tcPr>
            <w:tcW w:w="1417" w:type="dxa"/>
            <w:vAlign w:val="center"/>
          </w:tcPr>
          <w:p w:rsidR="00DE7303" w:rsidRDefault="00DE7303" w:rsidP="00BE23D8">
            <w:r>
              <w:t>0</w:t>
            </w:r>
          </w:p>
        </w:tc>
        <w:tc>
          <w:tcPr>
            <w:tcW w:w="1560" w:type="dxa"/>
          </w:tcPr>
          <w:p w:rsidR="00DE7303" w:rsidRDefault="00DE7303" w:rsidP="00BE23D8"/>
        </w:tc>
        <w:tc>
          <w:tcPr>
            <w:tcW w:w="1560" w:type="dxa"/>
            <w:vAlign w:val="center"/>
          </w:tcPr>
          <w:p w:rsidR="00DE7303" w:rsidRDefault="00DE7303" w:rsidP="00BE23D8">
            <w:r>
              <w:t>0</w:t>
            </w:r>
          </w:p>
        </w:tc>
        <w:tc>
          <w:tcPr>
            <w:tcW w:w="1559" w:type="dxa"/>
            <w:vAlign w:val="center"/>
          </w:tcPr>
          <w:p w:rsidR="00DE7303" w:rsidRDefault="00DE7303" w:rsidP="00BE23D8">
            <w:r>
              <w:t>0</w:t>
            </w:r>
          </w:p>
        </w:tc>
        <w:tc>
          <w:tcPr>
            <w:tcW w:w="1417" w:type="dxa"/>
            <w:vAlign w:val="center"/>
          </w:tcPr>
          <w:p w:rsidR="00DE7303" w:rsidRDefault="00DE7303" w:rsidP="00BE23D8">
            <w:r>
              <w:t>0</w:t>
            </w:r>
          </w:p>
        </w:tc>
        <w:tc>
          <w:tcPr>
            <w:tcW w:w="1418" w:type="dxa"/>
            <w:vAlign w:val="center"/>
          </w:tcPr>
          <w:p w:rsidR="00DE7303" w:rsidRDefault="00DE7303" w:rsidP="00BE23D8">
            <w:r>
              <w:t>0</w:t>
            </w:r>
          </w:p>
        </w:tc>
        <w:tc>
          <w:tcPr>
            <w:tcW w:w="1701" w:type="dxa"/>
            <w:vAlign w:val="center"/>
          </w:tcPr>
          <w:p w:rsidR="00DE7303" w:rsidRPr="0003776D" w:rsidRDefault="00DE7303" w:rsidP="00BE23D8">
            <w:r w:rsidRPr="0003776D">
              <w:t>4*</w:t>
            </w:r>
          </w:p>
          <w:p w:rsidR="00DE7303" w:rsidRPr="0003776D" w:rsidRDefault="00DE7303" w:rsidP="00BE23D8">
            <w:pPr>
              <w:rPr>
                <w:i/>
              </w:rPr>
            </w:pPr>
            <w:r w:rsidRPr="0003776D">
              <w:rPr>
                <w:i/>
              </w:rPr>
              <w:t>*Afghanistan, Brunei, Kuwait, Samoa</w:t>
            </w:r>
          </w:p>
          <w:p w:rsidR="00DE7303" w:rsidRDefault="00DE7303" w:rsidP="00BE23D8"/>
        </w:tc>
        <w:tc>
          <w:tcPr>
            <w:tcW w:w="1276" w:type="dxa"/>
            <w:vAlign w:val="center"/>
          </w:tcPr>
          <w:p w:rsidR="00DE7303" w:rsidRDefault="00DE7303" w:rsidP="00BE23D8">
            <w:r>
              <w:t>0</w:t>
            </w:r>
          </w:p>
        </w:tc>
        <w:tc>
          <w:tcPr>
            <w:tcW w:w="992" w:type="dxa"/>
            <w:vAlign w:val="center"/>
          </w:tcPr>
          <w:p w:rsidR="00DE7303" w:rsidRDefault="00DE7303" w:rsidP="00BE23D8">
            <w:r>
              <w:t>-</w:t>
            </w:r>
          </w:p>
        </w:tc>
      </w:tr>
      <w:tr w:rsidR="00DE7303" w:rsidRPr="00821F99" w:rsidTr="00DE7303">
        <w:trPr>
          <w:trHeight w:val="110"/>
          <w:jc w:val="center"/>
        </w:trPr>
        <w:tc>
          <w:tcPr>
            <w:tcW w:w="812" w:type="dxa"/>
            <w:vAlign w:val="center"/>
          </w:tcPr>
          <w:p w:rsidR="00DE7303" w:rsidRDefault="00DE7303" w:rsidP="00515EFD">
            <w:pPr>
              <w:pStyle w:val="ListParagraph"/>
              <w:numPr>
                <w:ilvl w:val="0"/>
                <w:numId w:val="10"/>
              </w:numPr>
            </w:pPr>
          </w:p>
        </w:tc>
        <w:tc>
          <w:tcPr>
            <w:tcW w:w="2410" w:type="dxa"/>
            <w:vAlign w:val="center"/>
          </w:tcPr>
          <w:p w:rsidR="00DE7303" w:rsidRPr="00821F99" w:rsidRDefault="00DE7303" w:rsidP="00BE23D8">
            <w:pPr>
              <w:jc w:val="center"/>
            </w:pPr>
            <w:r>
              <w:t>Number of Members in Berne Union</w:t>
            </w:r>
          </w:p>
        </w:tc>
        <w:tc>
          <w:tcPr>
            <w:tcW w:w="1417" w:type="dxa"/>
            <w:vAlign w:val="center"/>
          </w:tcPr>
          <w:p w:rsidR="00DE7303" w:rsidRPr="00821F99" w:rsidRDefault="00DE7303" w:rsidP="00BE23D8">
            <w:r>
              <w:t>31</w:t>
            </w:r>
          </w:p>
        </w:tc>
        <w:tc>
          <w:tcPr>
            <w:tcW w:w="1560" w:type="dxa"/>
          </w:tcPr>
          <w:p w:rsidR="00DE7303" w:rsidRDefault="00DE7303" w:rsidP="00BE23D8"/>
        </w:tc>
        <w:tc>
          <w:tcPr>
            <w:tcW w:w="1560" w:type="dxa"/>
            <w:vAlign w:val="center"/>
          </w:tcPr>
          <w:p w:rsidR="00DE7303" w:rsidRPr="00821F99" w:rsidRDefault="00DE7303" w:rsidP="00BE23D8">
            <w:r>
              <w:t>46</w:t>
            </w:r>
          </w:p>
        </w:tc>
        <w:tc>
          <w:tcPr>
            <w:tcW w:w="1559" w:type="dxa"/>
            <w:vAlign w:val="center"/>
          </w:tcPr>
          <w:p w:rsidR="00DE7303" w:rsidRPr="00821F99" w:rsidRDefault="00DE7303" w:rsidP="00BE23D8">
            <w:r>
              <w:t>9</w:t>
            </w:r>
          </w:p>
        </w:tc>
        <w:tc>
          <w:tcPr>
            <w:tcW w:w="1417" w:type="dxa"/>
            <w:vAlign w:val="center"/>
          </w:tcPr>
          <w:p w:rsidR="00DE7303" w:rsidRPr="00821F99" w:rsidRDefault="00DE7303" w:rsidP="00BE23D8">
            <w:r>
              <w:t>19</w:t>
            </w:r>
          </w:p>
        </w:tc>
        <w:tc>
          <w:tcPr>
            <w:tcW w:w="1418" w:type="dxa"/>
            <w:vAlign w:val="center"/>
          </w:tcPr>
          <w:p w:rsidR="00DE7303" w:rsidRPr="00821F99" w:rsidRDefault="00DE7303" w:rsidP="00BE23D8">
            <w:r>
              <w:t>33</w:t>
            </w:r>
          </w:p>
        </w:tc>
        <w:tc>
          <w:tcPr>
            <w:tcW w:w="1701" w:type="dxa"/>
            <w:vAlign w:val="center"/>
          </w:tcPr>
          <w:p w:rsidR="00DE7303" w:rsidRPr="00821F99" w:rsidRDefault="00DE7303" w:rsidP="00BE23D8">
            <w:r>
              <w:t>37</w:t>
            </w:r>
          </w:p>
        </w:tc>
        <w:tc>
          <w:tcPr>
            <w:tcW w:w="1276" w:type="dxa"/>
            <w:vAlign w:val="center"/>
          </w:tcPr>
          <w:p w:rsidR="00DE7303" w:rsidRPr="00821F99" w:rsidRDefault="00DE7303" w:rsidP="00BE23D8">
            <w:r>
              <w:t>1</w:t>
            </w:r>
          </w:p>
        </w:tc>
        <w:tc>
          <w:tcPr>
            <w:tcW w:w="992" w:type="dxa"/>
            <w:vAlign w:val="center"/>
          </w:tcPr>
          <w:p w:rsidR="00DE7303" w:rsidRPr="00821F99" w:rsidRDefault="00DE7303" w:rsidP="00BE23D8">
            <w:r>
              <w:t>176</w:t>
            </w:r>
          </w:p>
        </w:tc>
      </w:tr>
      <w:tr w:rsidR="00DE7303" w:rsidRPr="00821F99" w:rsidTr="00DE7303">
        <w:trPr>
          <w:trHeight w:val="110"/>
          <w:jc w:val="center"/>
        </w:trPr>
        <w:tc>
          <w:tcPr>
            <w:tcW w:w="812" w:type="dxa"/>
            <w:vAlign w:val="center"/>
          </w:tcPr>
          <w:p w:rsidR="00DE7303" w:rsidRDefault="00DE7303" w:rsidP="00515EFD">
            <w:pPr>
              <w:pStyle w:val="ListParagraph"/>
              <w:numPr>
                <w:ilvl w:val="0"/>
                <w:numId w:val="10"/>
              </w:numPr>
            </w:pPr>
          </w:p>
        </w:tc>
        <w:tc>
          <w:tcPr>
            <w:tcW w:w="2410" w:type="dxa"/>
            <w:vAlign w:val="center"/>
          </w:tcPr>
          <w:p w:rsidR="00DE7303" w:rsidRPr="00821F99" w:rsidRDefault="00DE7303" w:rsidP="00BE23D8">
            <w:pPr>
              <w:jc w:val="center"/>
            </w:pPr>
            <w:r>
              <w:t>Accessions since January 2011</w:t>
            </w:r>
          </w:p>
        </w:tc>
        <w:tc>
          <w:tcPr>
            <w:tcW w:w="1417" w:type="dxa"/>
            <w:vAlign w:val="center"/>
          </w:tcPr>
          <w:p w:rsidR="00DE7303" w:rsidRPr="00821F99" w:rsidRDefault="00DE7303" w:rsidP="00BE23D8">
            <w:r>
              <w:t>0</w:t>
            </w:r>
          </w:p>
        </w:tc>
        <w:tc>
          <w:tcPr>
            <w:tcW w:w="1560" w:type="dxa"/>
          </w:tcPr>
          <w:p w:rsidR="00DE7303" w:rsidRDefault="00DE7303" w:rsidP="00BE23D8"/>
        </w:tc>
        <w:tc>
          <w:tcPr>
            <w:tcW w:w="1560" w:type="dxa"/>
            <w:vAlign w:val="center"/>
          </w:tcPr>
          <w:p w:rsidR="00DE7303" w:rsidRDefault="00DE7303" w:rsidP="00BE23D8">
            <w:r>
              <w:t>3*</w:t>
            </w:r>
          </w:p>
          <w:p w:rsidR="00DE7303" w:rsidRPr="0003776D" w:rsidRDefault="00DE7303" w:rsidP="00BE23D8">
            <w:pPr>
              <w:rPr>
                <w:i/>
              </w:rPr>
            </w:pPr>
            <w:r w:rsidRPr="0003776D">
              <w:rPr>
                <w:i/>
              </w:rPr>
              <w:t>*Burundi, Mozambique, Sao Tome and Principe</w:t>
            </w:r>
          </w:p>
        </w:tc>
        <w:tc>
          <w:tcPr>
            <w:tcW w:w="1559" w:type="dxa"/>
            <w:vAlign w:val="center"/>
          </w:tcPr>
          <w:p w:rsidR="00DE7303" w:rsidRDefault="00DE7303" w:rsidP="00BE23D8">
            <w:r>
              <w:t>1*</w:t>
            </w:r>
          </w:p>
          <w:p w:rsidR="00DE7303" w:rsidRPr="0003776D" w:rsidRDefault="00DE7303" w:rsidP="00BE23D8">
            <w:pPr>
              <w:rPr>
                <w:i/>
              </w:rPr>
            </w:pPr>
            <w:r w:rsidRPr="0003776D">
              <w:rPr>
                <w:i/>
              </w:rPr>
              <w:t>*Turkmenistan</w:t>
            </w:r>
          </w:p>
        </w:tc>
        <w:tc>
          <w:tcPr>
            <w:tcW w:w="1417" w:type="dxa"/>
            <w:vAlign w:val="center"/>
          </w:tcPr>
          <w:p w:rsidR="00DE7303" w:rsidRPr="00821F99" w:rsidRDefault="00DE7303" w:rsidP="00BE23D8">
            <w:r>
              <w:t>0</w:t>
            </w:r>
          </w:p>
        </w:tc>
        <w:tc>
          <w:tcPr>
            <w:tcW w:w="1418" w:type="dxa"/>
            <w:vAlign w:val="center"/>
          </w:tcPr>
          <w:p w:rsidR="00DE7303" w:rsidRPr="00821F99" w:rsidRDefault="00DE7303" w:rsidP="00BE23D8">
            <w:r>
              <w:t>0</w:t>
            </w:r>
          </w:p>
        </w:tc>
        <w:tc>
          <w:tcPr>
            <w:tcW w:w="1701" w:type="dxa"/>
            <w:vAlign w:val="center"/>
          </w:tcPr>
          <w:p w:rsidR="00DE7303" w:rsidRDefault="00DE7303" w:rsidP="00BE23D8">
            <w:r>
              <w:t>8*</w:t>
            </w:r>
          </w:p>
          <w:p w:rsidR="00DE7303" w:rsidRPr="0003776D" w:rsidRDefault="00DE7303" w:rsidP="00BE23D8">
            <w:pPr>
              <w:rPr>
                <w:i/>
              </w:rPr>
            </w:pPr>
            <w:r w:rsidRPr="0003776D">
              <w:rPr>
                <w:i/>
              </w:rPr>
              <w:t>*Afghanistan, Cook Islands, Kiribati, Kuwait, Lao</w:t>
            </w:r>
            <w:r>
              <w:rPr>
                <w:i/>
              </w:rPr>
              <w:t xml:space="preserve"> PDR</w:t>
            </w:r>
            <w:r w:rsidRPr="0003776D">
              <w:rPr>
                <w:i/>
              </w:rPr>
              <w:t>,  Niue, Tuvalu, Vanuatu</w:t>
            </w:r>
          </w:p>
        </w:tc>
        <w:tc>
          <w:tcPr>
            <w:tcW w:w="1276" w:type="dxa"/>
            <w:vAlign w:val="center"/>
          </w:tcPr>
          <w:p w:rsidR="00DE7303" w:rsidRPr="00821F99" w:rsidRDefault="00DE7303" w:rsidP="00BE23D8">
            <w:r>
              <w:t>0</w:t>
            </w:r>
          </w:p>
        </w:tc>
        <w:tc>
          <w:tcPr>
            <w:tcW w:w="992" w:type="dxa"/>
            <w:vAlign w:val="center"/>
          </w:tcPr>
          <w:p w:rsidR="00DE7303" w:rsidRPr="00821F99" w:rsidRDefault="00DE7303" w:rsidP="00BE23D8">
            <w:r>
              <w:t>-</w:t>
            </w:r>
          </w:p>
        </w:tc>
      </w:tr>
    </w:tbl>
    <w:p w:rsidR="00515EFD" w:rsidRDefault="00515EFD" w:rsidP="00515EFD"/>
    <w:p w:rsidR="000765C4" w:rsidRDefault="000765C4" w:rsidP="00515EFD">
      <w:pPr>
        <w:spacing w:after="960"/>
      </w:pPr>
    </w:p>
    <w:p w:rsidR="00DE7303" w:rsidRPr="00DE7303" w:rsidRDefault="00DE7303" w:rsidP="00DE7303">
      <w:pPr>
        <w:tabs>
          <w:tab w:val="left" w:pos="10080"/>
        </w:tabs>
        <w:spacing w:after="960"/>
        <w:ind w:left="5533"/>
      </w:pPr>
      <w:r>
        <w:rPr>
          <w:i/>
        </w:rPr>
        <w:tab/>
      </w:r>
      <w:r w:rsidRPr="00DE7303">
        <w:t>[End of Annex and of document]</w:t>
      </w:r>
    </w:p>
    <w:sectPr w:rsidR="00DE7303" w:rsidRPr="00DE7303" w:rsidSect="00DE7303">
      <w:headerReference w:type="default" r:id="rId12"/>
      <w:pgSz w:w="16838" w:h="11906" w:orient="landscape"/>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924" w:rsidRDefault="00943924">
      <w:r>
        <w:separator/>
      </w:r>
    </w:p>
  </w:endnote>
  <w:endnote w:type="continuationSeparator" w:id="0">
    <w:p w:rsidR="00943924" w:rsidRDefault="00943924" w:rsidP="003B38C1">
      <w:r>
        <w:separator/>
      </w:r>
    </w:p>
    <w:p w:rsidR="00943924" w:rsidRPr="003B38C1" w:rsidRDefault="00943924" w:rsidP="003B38C1">
      <w:pPr>
        <w:spacing w:after="60"/>
        <w:rPr>
          <w:sz w:val="17"/>
        </w:rPr>
      </w:pPr>
      <w:r>
        <w:rPr>
          <w:sz w:val="17"/>
        </w:rPr>
        <w:t>[Endnote continued from previous page]</w:t>
      </w:r>
    </w:p>
  </w:endnote>
  <w:endnote w:type="continuationNotice" w:id="1">
    <w:p w:rsidR="00943924" w:rsidRPr="003B38C1" w:rsidRDefault="009439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924" w:rsidRDefault="00943924">
      <w:r>
        <w:separator/>
      </w:r>
    </w:p>
  </w:footnote>
  <w:footnote w:type="continuationSeparator" w:id="0">
    <w:p w:rsidR="00943924" w:rsidRDefault="00943924" w:rsidP="008B60B2">
      <w:r>
        <w:separator/>
      </w:r>
    </w:p>
    <w:p w:rsidR="00943924" w:rsidRPr="00ED77FB" w:rsidRDefault="00943924" w:rsidP="008B60B2">
      <w:pPr>
        <w:spacing w:after="60"/>
        <w:rPr>
          <w:sz w:val="17"/>
          <w:szCs w:val="17"/>
        </w:rPr>
      </w:pPr>
      <w:r w:rsidRPr="00ED77FB">
        <w:rPr>
          <w:sz w:val="17"/>
          <w:szCs w:val="17"/>
        </w:rPr>
        <w:t>[Footnote continued from previous page]</w:t>
      </w:r>
    </w:p>
  </w:footnote>
  <w:footnote w:type="continuationNotice" w:id="1">
    <w:p w:rsidR="00943924" w:rsidRPr="00ED77FB" w:rsidRDefault="00943924" w:rsidP="008B60B2">
      <w:pPr>
        <w:spacing w:before="60"/>
        <w:jc w:val="right"/>
        <w:rPr>
          <w:sz w:val="17"/>
          <w:szCs w:val="17"/>
        </w:rPr>
      </w:pPr>
      <w:r w:rsidRPr="00ED77FB">
        <w:rPr>
          <w:sz w:val="17"/>
          <w:szCs w:val="17"/>
        </w:rPr>
        <w:t>[Footnote continued on next page]</w:t>
      </w:r>
    </w:p>
  </w:footnote>
  <w:footnote w:id="2">
    <w:p w:rsidR="00515EFD" w:rsidRDefault="00515EFD" w:rsidP="00515EFD">
      <w:pPr>
        <w:pStyle w:val="FootnoteText"/>
      </w:pPr>
      <w:r>
        <w:rPr>
          <w:rStyle w:val="FootnoteReference"/>
        </w:rPr>
        <w:footnoteRef/>
      </w:r>
      <w:r>
        <w:t xml:space="preserve"> Paragraph 16 of the Composition of the WIPO Coordination Committee, and of the Executive Committees of the Paris and Berne Unions (A/57/3) dated 2 August 2017. </w:t>
      </w:r>
    </w:p>
  </w:footnote>
  <w:footnote w:id="3">
    <w:p w:rsidR="00515EFD" w:rsidRDefault="00515EFD" w:rsidP="00515EFD">
      <w:pPr>
        <w:pStyle w:val="FootnoteText"/>
      </w:pPr>
      <w:r>
        <w:rPr>
          <w:rStyle w:val="FootnoteReference"/>
        </w:rPr>
        <w:footnoteRef/>
      </w:r>
      <w:r>
        <w:t xml:space="preserve"> Paragraph 33 of the </w:t>
      </w:r>
      <w:r w:rsidRPr="0014690A">
        <w:t>General Report adopted by the 57</w:t>
      </w:r>
      <w:r w:rsidRPr="0014690A">
        <w:rPr>
          <w:vertAlign w:val="superscript"/>
        </w:rPr>
        <w:t>th</w:t>
      </w:r>
      <w:r w:rsidRPr="0014690A">
        <w:t xml:space="preserve"> WIPO Assemblies (A/57/12)</w:t>
      </w:r>
      <w:r>
        <w:t xml:space="preserve"> dated 14 December 2017.</w:t>
      </w:r>
    </w:p>
  </w:footnote>
  <w:footnote w:id="4">
    <w:p w:rsidR="00515EFD" w:rsidRDefault="00515EFD" w:rsidP="00515EFD">
      <w:pPr>
        <w:pStyle w:val="FootnoteText"/>
      </w:pPr>
      <w:r>
        <w:rPr>
          <w:rStyle w:val="FootnoteReference"/>
        </w:rPr>
        <w:footnoteRef/>
      </w:r>
      <w:r>
        <w:t xml:space="preserve"> Paragraph 40 of the </w:t>
      </w:r>
      <w:r w:rsidRPr="0014690A">
        <w:t>General Report adopted by the 57</w:t>
      </w:r>
      <w:r w:rsidRPr="0014690A">
        <w:rPr>
          <w:vertAlign w:val="superscript"/>
        </w:rPr>
        <w:t>th</w:t>
      </w:r>
      <w:r w:rsidRPr="0014690A">
        <w:t xml:space="preserve"> WIPO Assemblies (A/57/12)</w:t>
      </w:r>
      <w:r>
        <w:t xml:space="preserve"> dated 14 December 2017. </w:t>
      </w:r>
    </w:p>
  </w:footnote>
  <w:footnote w:id="5">
    <w:p w:rsidR="00515EFD" w:rsidRDefault="00515EFD" w:rsidP="00515EFD">
      <w:pPr>
        <w:pStyle w:val="FootnoteText"/>
      </w:pPr>
      <w:r>
        <w:rPr>
          <w:rStyle w:val="FootnoteReference"/>
        </w:rPr>
        <w:footnoteRef/>
      </w:r>
      <w:r>
        <w:t xml:space="preserve"> </w:t>
      </w:r>
      <w:r w:rsidRPr="00384533">
        <w:t>This Annex is based on the table contained in document WO/GA/49/20 and has been updated for clarity.</w:t>
      </w:r>
    </w:p>
  </w:footnote>
  <w:footnote w:id="6">
    <w:p w:rsidR="00515EFD" w:rsidRDefault="00515EFD" w:rsidP="00515EFD">
      <w:pPr>
        <w:pStyle w:val="FootnoteText"/>
      </w:pPr>
      <w:r>
        <w:rPr>
          <w:rStyle w:val="FootnoteReference"/>
        </w:rPr>
        <w:footnoteRef/>
      </w:r>
      <w:r>
        <w:t xml:space="preserve"> </w:t>
      </w:r>
      <w:r w:rsidRPr="009B2D6C">
        <w:t>Based on: (number of current allocated sea</w:t>
      </w:r>
      <w:r>
        <w:t xml:space="preserve">ts for regional group in the </w:t>
      </w:r>
      <w:proofErr w:type="spellStart"/>
      <w:r>
        <w:t>CoCo</w:t>
      </w:r>
      <w:proofErr w:type="spellEnd"/>
      <w:r w:rsidRPr="009B2D6C">
        <w:t>)/(total number of Members in regional group)</w:t>
      </w:r>
      <w:r>
        <w:t xml:space="preserve"> x 100%</w:t>
      </w:r>
    </w:p>
  </w:footnote>
  <w:footnote w:id="7">
    <w:p w:rsidR="00515EFD" w:rsidRDefault="00515EFD" w:rsidP="00515EFD">
      <w:pPr>
        <w:pStyle w:val="FootnoteText"/>
      </w:pPr>
      <w:r>
        <w:rPr>
          <w:rStyle w:val="FootnoteReference"/>
        </w:rPr>
        <w:footnoteRef/>
      </w:r>
      <w:r>
        <w:t xml:space="preserve"> </w:t>
      </w:r>
      <w:r w:rsidRPr="009B2D6C">
        <w:t>Based on: (number of number of Members in regional group)/(total number of WIPO Members)</w:t>
      </w:r>
      <w:r>
        <w:t xml:space="preserve"> x 100% </w:t>
      </w:r>
    </w:p>
  </w:footnote>
  <w:footnote w:id="8">
    <w:p w:rsidR="00515EFD" w:rsidRDefault="00515EFD" w:rsidP="00515EFD">
      <w:pPr>
        <w:pStyle w:val="FootnoteText"/>
      </w:pPr>
      <w:r>
        <w:rPr>
          <w:rStyle w:val="FootnoteReference"/>
        </w:rPr>
        <w:footnoteRef/>
      </w:r>
      <w:r>
        <w:t xml:space="preserve"> </w:t>
      </w:r>
      <w:r w:rsidRPr="009B2D6C">
        <w:t>Based on: (number of current allocated seats for</w:t>
      </w:r>
      <w:r>
        <w:t xml:space="preserve"> regional group in the </w:t>
      </w:r>
      <w:proofErr w:type="spellStart"/>
      <w:r>
        <w:t>CoCo</w:t>
      </w:r>
      <w:proofErr w:type="spellEnd"/>
      <w:r w:rsidRPr="009B2D6C">
        <w:t>)/(</w:t>
      </w:r>
      <w:r>
        <w:t xml:space="preserve">total number of seats in the </w:t>
      </w:r>
      <w:proofErr w:type="spellStart"/>
      <w:r>
        <w:t>CoCo</w:t>
      </w:r>
      <w:proofErr w:type="spellEnd"/>
      <w:r>
        <w:t>) x 100%</w:t>
      </w:r>
    </w:p>
  </w:footnote>
  <w:footnote w:id="9">
    <w:p w:rsidR="00515EFD" w:rsidRDefault="00515EFD" w:rsidP="00515EFD">
      <w:pPr>
        <w:pStyle w:val="FootnoteText"/>
      </w:pPr>
      <w:r>
        <w:rPr>
          <w:rStyle w:val="FootnoteReference"/>
        </w:rPr>
        <w:footnoteRef/>
      </w:r>
      <w:r>
        <w:t xml:space="preserve"> </w:t>
      </w:r>
      <w:r w:rsidRPr="009B2D6C">
        <w:t>Based on: (group percentage of WIPO Membership) x (</w:t>
      </w:r>
      <w:r>
        <w:t xml:space="preserve">total number of seats in the </w:t>
      </w:r>
      <w:proofErr w:type="spellStart"/>
      <w:r>
        <w:t>CoCo</w:t>
      </w:r>
      <w:proofErr w:type="spellEnd"/>
      <w:r w:rsidRPr="009B2D6C">
        <w:t>)</w:t>
      </w:r>
    </w:p>
  </w:footnote>
  <w:footnote w:id="10">
    <w:p w:rsidR="00515EFD" w:rsidRDefault="00515EFD" w:rsidP="00515EFD">
      <w:pPr>
        <w:pStyle w:val="FootnoteText"/>
        <w:jc w:val="both"/>
      </w:pPr>
      <w:r>
        <w:rPr>
          <w:rStyle w:val="FootnoteReference"/>
        </w:rPr>
        <w:footnoteRef/>
      </w:r>
      <w:r>
        <w:t xml:space="preserve"> Based on: </w:t>
      </w:r>
      <w:r w:rsidRPr="00384533">
        <w:t xml:space="preserve">(number of </w:t>
      </w:r>
      <w:proofErr w:type="spellStart"/>
      <w:r w:rsidRPr="00384533">
        <w:t>CoCo</w:t>
      </w:r>
      <w:proofErr w:type="spellEnd"/>
      <w:r w:rsidRPr="00384533">
        <w:t xml:space="preserve"> seats if according to proportio</w:t>
      </w:r>
      <w:r>
        <w:t>n of WIPO Membership based on 83</w:t>
      </w:r>
      <w:r w:rsidRPr="00384533">
        <w:t xml:space="preserve"> seats)</w:t>
      </w:r>
      <w:r>
        <w:t xml:space="preserve"> -</w:t>
      </w:r>
      <w:r w:rsidRPr="00384533">
        <w:t xml:space="preserve"> </w:t>
      </w:r>
      <w:r>
        <w:t xml:space="preserve">(current allocated seats for </w:t>
      </w:r>
      <w:proofErr w:type="spellStart"/>
      <w:r>
        <w:t>CoCo</w:t>
      </w:r>
      <w:proofErr w:type="spellEnd"/>
      <w:r>
        <w:t xml:space="preserve">). A negative number means a regional group is overrepresented by that amount of seats on the </w:t>
      </w:r>
      <w:proofErr w:type="spellStart"/>
      <w:r>
        <w:t>CoCo</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943924" w:rsidP="00477D6B">
    <w:pPr>
      <w:jc w:val="right"/>
    </w:pPr>
    <w:bookmarkStart w:id="6" w:name="Code2"/>
    <w:bookmarkEnd w:id="6"/>
    <w:r>
      <w:t>A/58/9</w:t>
    </w:r>
  </w:p>
  <w:p w:rsidR="00EC4E49" w:rsidRDefault="00EC4E49" w:rsidP="00477D6B">
    <w:pPr>
      <w:jc w:val="right"/>
    </w:pPr>
    <w:r>
      <w:t xml:space="preserve">page </w:t>
    </w:r>
    <w:r>
      <w:fldChar w:fldCharType="begin"/>
    </w:r>
    <w:r>
      <w:instrText xml:space="preserve"> PAGE  \* MERGEFORMAT </w:instrText>
    </w:r>
    <w:r>
      <w:fldChar w:fldCharType="separate"/>
    </w:r>
    <w:r w:rsidR="00515EFD">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D" w:rsidRDefault="00515EFD" w:rsidP="00477D6B">
    <w:pPr>
      <w:jc w:val="right"/>
    </w:pPr>
    <w:r>
      <w:t>A/58/9</w:t>
    </w:r>
  </w:p>
  <w:p w:rsidR="00515EFD" w:rsidRDefault="00515EFD" w:rsidP="00477D6B">
    <w:pPr>
      <w:jc w:val="right"/>
    </w:pPr>
    <w:r>
      <w:t>ANNEX</w:t>
    </w:r>
  </w:p>
  <w:p w:rsidR="00515EFD" w:rsidRDefault="00515EF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03" w:rsidRDefault="00DE7303" w:rsidP="00477D6B">
    <w:pPr>
      <w:jc w:val="right"/>
    </w:pPr>
    <w:r>
      <w:t>A/58/9</w:t>
    </w:r>
  </w:p>
  <w:p w:rsidR="00DE7303" w:rsidRDefault="00DE7303" w:rsidP="00477D6B">
    <w:pPr>
      <w:jc w:val="right"/>
    </w:pPr>
    <w:r>
      <w:t xml:space="preserve">Annex, page </w:t>
    </w:r>
    <w:r w:rsidRPr="00DE7303">
      <w:fldChar w:fldCharType="begin"/>
    </w:r>
    <w:r w:rsidRPr="00DE7303">
      <w:instrText xml:space="preserve"> PAGE  \* MERGEFORMAT </w:instrText>
    </w:r>
    <w:r w:rsidRPr="00DE7303">
      <w:fldChar w:fldCharType="separate"/>
    </w:r>
    <w:r w:rsidR="00BA0C31">
      <w:rPr>
        <w:noProof/>
      </w:rPr>
      <w:t>2</w:t>
    </w:r>
    <w:r w:rsidRPr="00DE7303">
      <w:fldChar w:fldCharType="end"/>
    </w:r>
  </w:p>
  <w:p w:rsidR="00DE7303" w:rsidRDefault="00DE7303"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03" w:rsidRDefault="00DE7303" w:rsidP="00477D6B">
    <w:pPr>
      <w:jc w:val="right"/>
    </w:pPr>
    <w:r>
      <w:t>A/58/9</w:t>
    </w:r>
  </w:p>
  <w:p w:rsidR="00DE7303" w:rsidRDefault="00DE7303" w:rsidP="00477D6B">
    <w:pPr>
      <w:jc w:val="right"/>
    </w:pPr>
    <w:r>
      <w:t xml:space="preserve">Annex, page </w:t>
    </w:r>
    <w:r w:rsidRPr="00DE7303">
      <w:fldChar w:fldCharType="begin"/>
    </w:r>
    <w:r w:rsidRPr="00DE7303">
      <w:instrText xml:space="preserve"> PAGE  \* MERGEFORMAT </w:instrText>
    </w:r>
    <w:r w:rsidRPr="00DE7303">
      <w:fldChar w:fldCharType="separate"/>
    </w:r>
    <w:r w:rsidR="00BA0C31">
      <w:rPr>
        <w:noProof/>
      </w:rPr>
      <w:t>4</w:t>
    </w:r>
    <w:r w:rsidRPr="00DE7303">
      <w:fldChar w:fldCharType="end"/>
    </w:r>
  </w:p>
  <w:p w:rsidR="00DE7303" w:rsidRDefault="00DE7303"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BC43DB"/>
    <w:multiLevelType w:val="hybridMultilevel"/>
    <w:tmpl w:val="9C4CB296"/>
    <w:styleLink w:val="ImportedStyle2"/>
    <w:lvl w:ilvl="0" w:tplc="9C4CB29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E491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3A7CE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45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A8EE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4FE9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CEB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54FE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B4D71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EA0921"/>
    <w:multiLevelType w:val="hybridMultilevel"/>
    <w:tmpl w:val="D3C027C2"/>
    <w:lvl w:ilvl="0" w:tplc="4809000F">
      <w:start w:val="1"/>
      <w:numFmt w:val="decimal"/>
      <w:lvlText w:val="%1."/>
      <w:lvlJc w:val="left"/>
      <w:pPr>
        <w:ind w:left="502" w:hanging="360"/>
      </w:p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B911D0"/>
    <w:multiLevelType w:val="hybridMultilevel"/>
    <w:tmpl w:val="3CB2CF3A"/>
    <w:lvl w:ilvl="0" w:tplc="4809000F">
      <w:start w:val="1"/>
      <w:numFmt w:val="decimal"/>
      <w:lvlText w:val="%1."/>
      <w:lvlJc w:val="left"/>
      <w:pPr>
        <w:ind w:left="502" w:hanging="360"/>
      </w:p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9" w15:restartNumberingAfterBreak="0">
    <w:nsid w:val="6D4253E4"/>
    <w:multiLevelType w:val="multilevel"/>
    <w:tmpl w:val="9C4CB296"/>
    <w:numStyleLink w:val="ImportedStyle2"/>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24"/>
    <w:rsid w:val="000263B3"/>
    <w:rsid w:val="00043CAA"/>
    <w:rsid w:val="00075432"/>
    <w:rsid w:val="000765C4"/>
    <w:rsid w:val="000968ED"/>
    <w:rsid w:val="000C117A"/>
    <w:rsid w:val="000E6FDE"/>
    <w:rsid w:val="000F5E56"/>
    <w:rsid w:val="001362EE"/>
    <w:rsid w:val="00156693"/>
    <w:rsid w:val="001647D5"/>
    <w:rsid w:val="001832A6"/>
    <w:rsid w:val="0021217E"/>
    <w:rsid w:val="002634C4"/>
    <w:rsid w:val="002928D3"/>
    <w:rsid w:val="002F1FE6"/>
    <w:rsid w:val="002F4E68"/>
    <w:rsid w:val="00312F7F"/>
    <w:rsid w:val="003178BA"/>
    <w:rsid w:val="003274E1"/>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15EFD"/>
    <w:rsid w:val="00520AAF"/>
    <w:rsid w:val="0053057A"/>
    <w:rsid w:val="00560A29"/>
    <w:rsid w:val="005C6649"/>
    <w:rsid w:val="00605827"/>
    <w:rsid w:val="00626388"/>
    <w:rsid w:val="00646050"/>
    <w:rsid w:val="006713CA"/>
    <w:rsid w:val="00676C5C"/>
    <w:rsid w:val="006E4F5F"/>
    <w:rsid w:val="00701518"/>
    <w:rsid w:val="007968F5"/>
    <w:rsid w:val="007D1613"/>
    <w:rsid w:val="007E4C0E"/>
    <w:rsid w:val="00860537"/>
    <w:rsid w:val="00877718"/>
    <w:rsid w:val="008A134B"/>
    <w:rsid w:val="008B2CC1"/>
    <w:rsid w:val="008B60B2"/>
    <w:rsid w:val="008B7DEF"/>
    <w:rsid w:val="0090731E"/>
    <w:rsid w:val="00916EE2"/>
    <w:rsid w:val="00943924"/>
    <w:rsid w:val="00966A22"/>
    <w:rsid w:val="0096722F"/>
    <w:rsid w:val="00980843"/>
    <w:rsid w:val="009C127D"/>
    <w:rsid w:val="009E2791"/>
    <w:rsid w:val="009E3F6F"/>
    <w:rsid w:val="009F499F"/>
    <w:rsid w:val="00A23C02"/>
    <w:rsid w:val="00A37342"/>
    <w:rsid w:val="00A42DAF"/>
    <w:rsid w:val="00A45BD8"/>
    <w:rsid w:val="00A869B7"/>
    <w:rsid w:val="00AA2DD4"/>
    <w:rsid w:val="00AC205C"/>
    <w:rsid w:val="00AF0A6B"/>
    <w:rsid w:val="00B05A69"/>
    <w:rsid w:val="00B9734B"/>
    <w:rsid w:val="00BA0C31"/>
    <w:rsid w:val="00BA30E2"/>
    <w:rsid w:val="00C11BFE"/>
    <w:rsid w:val="00C5068F"/>
    <w:rsid w:val="00C86D74"/>
    <w:rsid w:val="00CD04F1"/>
    <w:rsid w:val="00CD7F59"/>
    <w:rsid w:val="00D44A0B"/>
    <w:rsid w:val="00D45252"/>
    <w:rsid w:val="00D66E37"/>
    <w:rsid w:val="00D71B4D"/>
    <w:rsid w:val="00D74B53"/>
    <w:rsid w:val="00D93D55"/>
    <w:rsid w:val="00DC0E7C"/>
    <w:rsid w:val="00DE7303"/>
    <w:rsid w:val="00DF023A"/>
    <w:rsid w:val="00DF383E"/>
    <w:rsid w:val="00E15015"/>
    <w:rsid w:val="00E335FE"/>
    <w:rsid w:val="00E85557"/>
    <w:rsid w:val="00EA7D6E"/>
    <w:rsid w:val="00EB1F80"/>
    <w:rsid w:val="00EB2210"/>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020153"/>
  <w15:docId w15:val="{719C64CB-C8BB-4D04-B054-3499D78E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numbering" w:customStyle="1" w:styleId="ImportedStyle2">
    <w:name w:val="Imported Style 2"/>
    <w:rsid w:val="00515EFD"/>
    <w:pPr>
      <w:numPr>
        <w:numId w:val="7"/>
      </w:numPr>
    </w:pPr>
  </w:style>
  <w:style w:type="paragraph" w:styleId="ListParagraph">
    <w:name w:val="List Paragraph"/>
    <w:basedOn w:val="Normal"/>
    <w:uiPriority w:val="34"/>
    <w:qFormat/>
    <w:rsid w:val="00515EFD"/>
    <w:pPr>
      <w:spacing w:after="160" w:line="259" w:lineRule="auto"/>
      <w:ind w:left="720"/>
      <w:contextualSpacing/>
    </w:pPr>
    <w:rPr>
      <w:rFonts w:asciiTheme="minorHAnsi" w:eastAsiaTheme="minorHAnsi" w:hAnsiTheme="minorHAnsi" w:cstheme="minorBidi"/>
      <w:szCs w:val="22"/>
      <w:lang w:val="en-SG" w:eastAsia="en-US"/>
    </w:rPr>
  </w:style>
  <w:style w:type="character" w:customStyle="1" w:styleId="FootnoteTextChar">
    <w:name w:val="Footnote Text Char"/>
    <w:basedOn w:val="DefaultParagraphFont"/>
    <w:link w:val="FootnoteText"/>
    <w:uiPriority w:val="99"/>
    <w:semiHidden/>
    <w:rsid w:val="00515EFD"/>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51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C1B9-6153-479F-B163-43A09204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28</TotalTime>
  <Pages>5</Pages>
  <Words>912</Words>
  <Characters>4403</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HÄFLIGER Patience</dc:creator>
  <cp:lastModifiedBy>HÄFLIGER Patience</cp:lastModifiedBy>
  <cp:revision>13</cp:revision>
  <cp:lastPrinted>2018-09-14T15:01:00Z</cp:lastPrinted>
  <dcterms:created xsi:type="dcterms:W3CDTF">2018-09-14T13:58:00Z</dcterms:created>
  <dcterms:modified xsi:type="dcterms:W3CDTF">2018-09-17T14:38:00Z</dcterms:modified>
  <cp:category>Assemblies of the Member States of WIPO</cp:category>
</cp:coreProperties>
</file>