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F468A2" w:rsidRPr="00F468A2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F468A2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68A2">
              <w:rPr>
                <w:noProof/>
              </w:rPr>
              <w:drawing>
                <wp:inline distT="0" distB="0" distL="0" distR="0" wp14:anchorId="7974F1C6" wp14:editId="166C3217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F468A2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F468A2" w:rsidRPr="00F468A2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F468A2" w:rsidRDefault="00065ED1" w:rsidP="00E43419">
            <w:pPr>
              <w:pStyle w:val="DocumentCodeAR"/>
              <w:bidi/>
              <w:rPr>
                <w:rtl/>
              </w:rPr>
            </w:pPr>
            <w:r>
              <w:t>WO/PBC/</w:t>
            </w:r>
            <w:r w:rsidR="009E0E1D" w:rsidRPr="00F468A2">
              <w:t>2</w:t>
            </w:r>
            <w:r w:rsidR="006E3DBD" w:rsidRPr="00F468A2">
              <w:t>6</w:t>
            </w:r>
            <w:r w:rsidR="00B6101C" w:rsidRPr="00F468A2">
              <w:t>/</w:t>
            </w:r>
            <w:r w:rsidR="00BF4A36">
              <w:t>1</w:t>
            </w:r>
          </w:p>
        </w:tc>
      </w:tr>
      <w:tr w:rsidR="00F468A2" w:rsidRPr="00F468A2" w:rsidTr="00BF164F">
        <w:tc>
          <w:tcPr>
            <w:tcW w:w="9571" w:type="dxa"/>
            <w:gridSpan w:val="3"/>
          </w:tcPr>
          <w:p w:rsidR="001667B6" w:rsidRPr="00F468A2" w:rsidRDefault="00F27A7C" w:rsidP="00BF4A36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BF4A36">
              <w:rPr>
                <w:rFonts w:hint="cs"/>
                <w:rtl/>
              </w:rPr>
              <w:t>بالإنكليزية</w:t>
            </w:r>
          </w:p>
        </w:tc>
      </w:tr>
      <w:tr w:rsidR="001667B6" w:rsidRPr="00F468A2" w:rsidTr="00BF164F">
        <w:tc>
          <w:tcPr>
            <w:tcW w:w="9571" w:type="dxa"/>
            <w:gridSpan w:val="3"/>
          </w:tcPr>
          <w:p w:rsidR="001667B6" w:rsidRPr="00F468A2" w:rsidRDefault="00B6101C" w:rsidP="00E43419">
            <w:pPr>
              <w:pStyle w:val="DocumentDateAR"/>
              <w:bidi/>
              <w:rPr>
                <w:rtl/>
              </w:rPr>
            </w:pPr>
            <w:r w:rsidRPr="00F468A2">
              <w:rPr>
                <w:rFonts w:hint="cs"/>
                <w:rtl/>
              </w:rPr>
              <w:t xml:space="preserve">التاريخ: </w:t>
            </w:r>
            <w:r w:rsidR="00E43419">
              <w:rPr>
                <w:rFonts w:hint="cs"/>
                <w:rtl/>
              </w:rPr>
              <w:t>10</w:t>
            </w:r>
            <w:r w:rsidR="00BF4A36">
              <w:rPr>
                <w:rFonts w:hint="cs"/>
                <w:rtl/>
              </w:rPr>
              <w:t xml:space="preserve"> </w:t>
            </w:r>
            <w:r w:rsidR="00E43419">
              <w:rPr>
                <w:rFonts w:hint="cs"/>
                <w:rtl/>
              </w:rPr>
              <w:t>يوليو</w:t>
            </w:r>
            <w:r w:rsidR="0024328E" w:rsidRPr="00B6101C">
              <w:rPr>
                <w:rFonts w:hint="cs"/>
                <w:rtl/>
              </w:rPr>
              <w:t xml:space="preserve"> </w:t>
            </w:r>
            <w:r w:rsidR="008D5779" w:rsidRPr="00F468A2">
              <w:rPr>
                <w:rFonts w:hint="cs"/>
                <w:rtl/>
              </w:rPr>
              <w:t>201</w:t>
            </w:r>
            <w:r w:rsidR="006E3DBD" w:rsidRPr="00F468A2">
              <w:rPr>
                <w:rFonts w:hint="cs"/>
                <w:rtl/>
              </w:rPr>
              <w:t>7</w:t>
            </w:r>
          </w:p>
        </w:tc>
      </w:tr>
    </w:tbl>
    <w:p w:rsidR="00065ED1" w:rsidRPr="001A28BF" w:rsidRDefault="00065ED1" w:rsidP="00065ED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65ED1" w:rsidRPr="001A28BF" w:rsidRDefault="00065ED1" w:rsidP="00065ED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65ED1" w:rsidRPr="001A28BF" w:rsidRDefault="00065ED1" w:rsidP="00065ED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65ED1" w:rsidRPr="001A28BF" w:rsidRDefault="00065ED1" w:rsidP="00065ED1">
      <w:pPr>
        <w:bidi/>
        <w:spacing w:line="360" w:lineRule="exact"/>
        <w:ind w:right="550"/>
        <w:rPr>
          <w:rFonts w:ascii="Arial Black" w:hAnsi="Arial Black" w:cs="PT Bold Heading"/>
          <w:sz w:val="34"/>
          <w:szCs w:val="34"/>
          <w:rtl/>
          <w:lang w:val="fr-CH"/>
        </w:rPr>
      </w:pPr>
      <w:r w:rsidRPr="001A28BF">
        <w:rPr>
          <w:rFonts w:ascii="Arial Black" w:hAnsi="Arial Black" w:cs="PT Bold Heading"/>
          <w:sz w:val="34"/>
          <w:szCs w:val="34"/>
          <w:rtl/>
        </w:rPr>
        <w:t xml:space="preserve">لجنة </w:t>
      </w:r>
      <w:r w:rsidRPr="001A28BF">
        <w:rPr>
          <w:rFonts w:ascii="Arial Black" w:hAnsi="Arial Black" w:cs="PT Bold Heading" w:hint="cs"/>
          <w:sz w:val="34"/>
          <w:szCs w:val="34"/>
          <w:rtl/>
          <w:lang w:val="fr-CH"/>
        </w:rPr>
        <w:t>البرنامج والميزانية</w:t>
      </w:r>
    </w:p>
    <w:p w:rsidR="00065ED1" w:rsidRPr="001A28BF" w:rsidRDefault="00065ED1" w:rsidP="00065ED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65ED1" w:rsidRPr="001A28BF" w:rsidRDefault="00065ED1" w:rsidP="00065ED1">
      <w:pPr>
        <w:bidi/>
        <w:spacing w:line="360" w:lineRule="exact"/>
        <w:rPr>
          <w:rFonts w:ascii="Cambria Math" w:hAnsi="Cambria Math" w:cs="PT Bold Heading"/>
          <w:sz w:val="30"/>
          <w:szCs w:val="30"/>
          <w:rtl/>
        </w:rPr>
      </w:pPr>
      <w:r w:rsidRPr="001A28BF">
        <w:rPr>
          <w:rFonts w:ascii="Cambria Math" w:hAnsi="Cambria Math" w:cs="PT Bold Heading"/>
          <w:sz w:val="30"/>
          <w:szCs w:val="30"/>
          <w:rtl/>
        </w:rPr>
        <w:t xml:space="preserve">الدورة </w:t>
      </w:r>
      <w:r>
        <w:rPr>
          <w:rFonts w:ascii="Cambria Math" w:hAnsi="Cambria Math" w:cs="PT Bold Heading" w:hint="cs"/>
          <w:sz w:val="30"/>
          <w:szCs w:val="30"/>
          <w:rtl/>
        </w:rPr>
        <w:t>السادسة</w:t>
      </w:r>
      <w:r w:rsidRPr="001A28BF">
        <w:rPr>
          <w:rFonts w:ascii="Cambria Math" w:hAnsi="Cambria Math" w:cs="PT Bold Heading" w:hint="cs"/>
          <w:sz w:val="30"/>
          <w:szCs w:val="30"/>
          <w:rtl/>
        </w:rPr>
        <w:t xml:space="preserve"> والعشرون</w:t>
      </w:r>
    </w:p>
    <w:p w:rsidR="00065ED1" w:rsidRPr="001A28BF" w:rsidRDefault="00065ED1" w:rsidP="00065ED1">
      <w:pPr>
        <w:bidi/>
        <w:spacing w:line="360" w:lineRule="exac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A28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جنيف، من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10 إلى 14 يوليو 2017</w:t>
      </w:r>
    </w:p>
    <w:p w:rsidR="00065ED1" w:rsidRPr="001A28BF" w:rsidRDefault="00065ED1" w:rsidP="00065ED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65ED1" w:rsidRPr="001A28BF" w:rsidRDefault="00065ED1" w:rsidP="00065ED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65ED1" w:rsidRPr="001A28BF" w:rsidRDefault="00BF4A36" w:rsidP="00065ED1">
      <w:pPr>
        <w:bidi/>
        <w:spacing w:line="360" w:lineRule="exact"/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cs"/>
          <w:sz w:val="26"/>
          <w:szCs w:val="26"/>
          <w:rtl/>
        </w:rPr>
        <w:t>جدول الأعمال</w:t>
      </w:r>
    </w:p>
    <w:p w:rsidR="00065ED1" w:rsidRPr="001A28BF" w:rsidRDefault="002C323A" w:rsidP="00065ED1">
      <w:pPr>
        <w:bidi/>
        <w:spacing w:before="240" w:after="840" w:line="360" w:lineRule="exact"/>
        <w:rPr>
          <w:rFonts w:ascii="Arabic Typesetting" w:hAnsi="Arabic Typesetting" w:cs="Arabic Typesetting"/>
          <w:i/>
          <w:iCs/>
          <w:sz w:val="36"/>
          <w:szCs w:val="36"/>
          <w:rtl/>
        </w:rPr>
      </w:pPr>
      <w:r>
        <w:rPr>
          <w:rFonts w:ascii="Arabic Typesetting" w:hAnsi="Arabic Typesetting" w:cs="Arabic Typesetting" w:hint="cs"/>
          <w:i/>
          <w:iCs/>
          <w:sz w:val="36"/>
          <w:szCs w:val="36"/>
          <w:rtl/>
        </w:rPr>
        <w:t>الذي اعتمدته اللجنة</w:t>
      </w:r>
      <w:bookmarkStart w:id="2" w:name="_GoBack"/>
      <w:bookmarkEnd w:id="2"/>
    </w:p>
    <w:p w:rsidR="00065ED1" w:rsidRDefault="00BF4A36" w:rsidP="00BF4A36">
      <w:pPr>
        <w:pStyle w:val="NumberedParaAR"/>
      </w:pPr>
      <w:r>
        <w:rPr>
          <w:rFonts w:hint="cs"/>
          <w:rtl/>
        </w:rPr>
        <w:t>افتتاح الدورة</w:t>
      </w:r>
    </w:p>
    <w:p w:rsidR="00BF4A36" w:rsidRDefault="00BF4A36" w:rsidP="00BF4A36">
      <w:pPr>
        <w:pStyle w:val="NumberedParaAR"/>
      </w:pPr>
      <w:r>
        <w:rPr>
          <w:rFonts w:hint="cs"/>
          <w:rtl/>
        </w:rPr>
        <w:t>اعتماد جدول الأعمال</w:t>
      </w:r>
    </w:p>
    <w:p w:rsidR="00BF4A36" w:rsidRPr="00BF4A36" w:rsidRDefault="00BF4A36" w:rsidP="00DF4E2F">
      <w:pPr>
        <w:pStyle w:val="NumberedParaAR"/>
        <w:keepNext/>
        <w:numPr>
          <w:ilvl w:val="0"/>
          <w:numId w:val="0"/>
        </w:numPr>
        <w:spacing w:after="120"/>
        <w:rPr>
          <w:u w:val="single"/>
        </w:rPr>
      </w:pPr>
      <w:r>
        <w:rPr>
          <w:rFonts w:hint="cs"/>
          <w:u w:val="single"/>
          <w:rtl/>
        </w:rPr>
        <w:t>استعراض أداء البرنامج والمالية</w:t>
      </w:r>
    </w:p>
    <w:p w:rsidR="00BF4A36" w:rsidRDefault="00BF4A36" w:rsidP="00F21976">
      <w:pPr>
        <w:pStyle w:val="NumberedParaAR"/>
        <w:spacing w:after="0"/>
      </w:pPr>
      <w:r>
        <w:rPr>
          <w:rFonts w:hint="cs"/>
          <w:rtl/>
        </w:rPr>
        <w:t>تقرير أداء البرنامج لعام 2016</w:t>
      </w:r>
    </w:p>
    <w:p w:rsidR="00BF4A36" w:rsidRDefault="00BF4A36" w:rsidP="00F21976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 xml:space="preserve">انظر الوثيقة </w:t>
      </w:r>
      <w:r>
        <w:rPr>
          <w:lang w:val="fr-CH"/>
        </w:rPr>
        <w:t>WO/PBC/26/2</w:t>
      </w:r>
      <w:r w:rsidR="00644BBF">
        <w:rPr>
          <w:rFonts w:hint="cs"/>
          <w:rtl/>
          <w:lang w:val="fr-CH"/>
        </w:rPr>
        <w:t>.</w:t>
      </w:r>
    </w:p>
    <w:p w:rsidR="00BF4A36" w:rsidRDefault="00BF4A36" w:rsidP="00DF4E2F">
      <w:pPr>
        <w:pStyle w:val="NumberedParaAR"/>
        <w:spacing w:after="0"/>
      </w:pPr>
      <w:r>
        <w:rPr>
          <w:rFonts w:hint="cs"/>
          <w:rtl/>
        </w:rPr>
        <w:t xml:space="preserve">الوضع المالي في نهاية </w:t>
      </w:r>
      <w:r w:rsidR="00DF4E2F">
        <w:rPr>
          <w:rFonts w:hint="cs"/>
          <w:rtl/>
        </w:rPr>
        <w:t xml:space="preserve">2016: </w:t>
      </w:r>
      <w:r>
        <w:rPr>
          <w:rFonts w:hint="cs"/>
          <w:rtl/>
        </w:rPr>
        <w:t>نتائج أولية</w:t>
      </w:r>
    </w:p>
    <w:p w:rsidR="00BF4A36" w:rsidRDefault="00BF4A36" w:rsidP="00F21976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 xml:space="preserve">انظر الوثيقة </w:t>
      </w:r>
      <w:r w:rsidRPr="00F21976">
        <w:t>WO/PBC/26/INF/1</w:t>
      </w:r>
      <w:r w:rsidR="00644BBF">
        <w:rPr>
          <w:rFonts w:hint="cs"/>
          <w:rtl/>
        </w:rPr>
        <w:t>.</w:t>
      </w:r>
    </w:p>
    <w:p w:rsidR="00BF4A36" w:rsidRPr="00F21976" w:rsidRDefault="00BF4A36" w:rsidP="00F21976">
      <w:pPr>
        <w:pStyle w:val="NumberedParaAR"/>
        <w:keepNext/>
        <w:numPr>
          <w:ilvl w:val="0"/>
          <w:numId w:val="0"/>
        </w:numPr>
        <w:rPr>
          <w:u w:val="single"/>
        </w:rPr>
      </w:pPr>
      <w:r w:rsidRPr="00F21976">
        <w:rPr>
          <w:rFonts w:hint="cs"/>
          <w:u w:val="single"/>
          <w:rtl/>
        </w:rPr>
        <w:t>التخطيط وإعداد الميزانية</w:t>
      </w:r>
    </w:p>
    <w:p w:rsidR="00BF4A36" w:rsidRDefault="00BF4A36" w:rsidP="00F21976">
      <w:pPr>
        <w:pStyle w:val="NumberedParaAR"/>
        <w:spacing w:after="0"/>
      </w:pPr>
      <w:r>
        <w:rPr>
          <w:rFonts w:hint="cs"/>
          <w:rtl/>
        </w:rPr>
        <w:t>مشروع اقت</w:t>
      </w:r>
      <w:r>
        <w:rPr>
          <w:rtl/>
        </w:rPr>
        <w:t xml:space="preserve">راح البرنامج والميزانية للثنائية </w:t>
      </w:r>
      <w:r>
        <w:rPr>
          <w:rFonts w:hint="cs"/>
          <w:rtl/>
        </w:rPr>
        <w:t>2018/19</w:t>
      </w:r>
    </w:p>
    <w:p w:rsidR="00F21976" w:rsidRDefault="006503D0" w:rsidP="006503D0">
      <w:pPr>
        <w:pStyle w:val="NumberedParaAR"/>
        <w:numPr>
          <w:ilvl w:val="0"/>
          <w:numId w:val="0"/>
        </w:numPr>
        <w:ind w:left="1133"/>
        <w:rPr>
          <w:rtl/>
        </w:rPr>
      </w:pPr>
      <w:r>
        <w:rPr>
          <w:rFonts w:hint="cs"/>
          <w:rtl/>
        </w:rPr>
        <w:t>انظر الوثيقتين:</w:t>
      </w:r>
      <w:r>
        <w:rPr>
          <w:rFonts w:hint="cs"/>
          <w:rtl/>
        </w:rPr>
        <w:br/>
      </w:r>
      <w:r w:rsidR="00F21976" w:rsidRPr="00F21976">
        <w:t>WO/PBC/26/</w:t>
      </w:r>
      <w:r w:rsidR="00F21976">
        <w:t>3</w:t>
      </w:r>
      <w:r>
        <w:rPr>
          <w:rFonts w:hint="cs"/>
          <w:rtl/>
        </w:rPr>
        <w:t xml:space="preserve"> (</w:t>
      </w:r>
      <w:r w:rsidRPr="006503D0">
        <w:rPr>
          <w:rFonts w:hint="cs"/>
          <w:rtl/>
        </w:rPr>
        <w:t>مشروع اقت</w:t>
      </w:r>
      <w:r w:rsidRPr="006503D0">
        <w:rPr>
          <w:rtl/>
        </w:rPr>
        <w:t xml:space="preserve">راح البرنامج والميزانية للثنائية </w:t>
      </w:r>
      <w:r w:rsidRPr="006503D0">
        <w:rPr>
          <w:rFonts w:hint="cs"/>
          <w:rtl/>
        </w:rPr>
        <w:t>2018/19</w:t>
      </w:r>
      <w:r>
        <w:rPr>
          <w:rFonts w:hint="cs"/>
          <w:rtl/>
        </w:rPr>
        <w:t>)</w:t>
      </w:r>
      <w:r>
        <w:rPr>
          <w:rtl/>
        </w:rPr>
        <w:br/>
      </w:r>
      <w:r w:rsidRPr="006503D0">
        <w:t>WO/PBC/26/9</w:t>
      </w:r>
      <w:r>
        <w:rPr>
          <w:rFonts w:hint="cs"/>
          <w:rtl/>
        </w:rPr>
        <w:t xml:space="preserve"> (الخطة الرأسمالية الرئيسية)</w:t>
      </w:r>
      <w:r w:rsidR="00644BBF">
        <w:rPr>
          <w:rFonts w:hint="cs"/>
          <w:rtl/>
        </w:rPr>
        <w:t>.</w:t>
      </w:r>
    </w:p>
    <w:p w:rsidR="00BF4A36" w:rsidRPr="00605676" w:rsidRDefault="00605676" w:rsidP="00F21976">
      <w:pPr>
        <w:pStyle w:val="NumberedParaAR"/>
        <w:keepNext/>
        <w:numPr>
          <w:ilvl w:val="0"/>
          <w:numId w:val="0"/>
        </w:numPr>
        <w:rPr>
          <w:u w:val="single"/>
        </w:rPr>
      </w:pPr>
      <w:r w:rsidRPr="00605676">
        <w:rPr>
          <w:rFonts w:hint="cs"/>
          <w:u w:val="single"/>
          <w:rtl/>
        </w:rPr>
        <w:lastRenderedPageBreak/>
        <w:t>اقتراحات</w:t>
      </w:r>
    </w:p>
    <w:p w:rsidR="00605676" w:rsidRDefault="00605676" w:rsidP="006503D0">
      <w:pPr>
        <w:pStyle w:val="NumberedParaAR"/>
        <w:keepNext/>
        <w:spacing w:after="0"/>
      </w:pPr>
      <w:r>
        <w:rPr>
          <w:rFonts w:hint="cs"/>
          <w:rtl/>
        </w:rPr>
        <w:t>تعديلات على سياسة الاستثمار</w:t>
      </w:r>
    </w:p>
    <w:p w:rsidR="00605676" w:rsidRDefault="00605676" w:rsidP="00644BBF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 xml:space="preserve">انظر الوثيقة </w:t>
      </w:r>
      <w:r w:rsidR="00644BBF" w:rsidRPr="00644BBF">
        <w:t>WO/PBC/26/4 Rev.</w:t>
      </w:r>
      <w:r w:rsidR="00644BBF">
        <w:rPr>
          <w:rFonts w:hint="cs"/>
          <w:rtl/>
        </w:rPr>
        <w:t>.</w:t>
      </w:r>
    </w:p>
    <w:p w:rsidR="00605676" w:rsidRDefault="00605676" w:rsidP="00F21976">
      <w:pPr>
        <w:pStyle w:val="NumberedParaAR"/>
        <w:spacing w:after="0"/>
      </w:pPr>
      <w:r>
        <w:rPr>
          <w:rFonts w:hint="cs"/>
          <w:rtl/>
        </w:rPr>
        <w:t>اقتراح تعديلات على النظام المالي ولائحته</w:t>
      </w:r>
      <w:r w:rsidR="00F21976">
        <w:rPr>
          <w:rFonts w:hint="cs"/>
          <w:rtl/>
        </w:rPr>
        <w:t xml:space="preserve"> بما في ذلك تعديلات على إطار المشتريات</w:t>
      </w:r>
    </w:p>
    <w:p w:rsidR="00F21976" w:rsidRPr="00F21976" w:rsidRDefault="00F21976" w:rsidP="00F21976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 xml:space="preserve">انظر الوثيقة </w:t>
      </w:r>
      <w:r w:rsidRPr="00F21976">
        <w:t>WO/PBC/26/5</w:t>
      </w:r>
      <w:r w:rsidR="00644BBF">
        <w:rPr>
          <w:rFonts w:hint="cs"/>
          <w:rtl/>
        </w:rPr>
        <w:t>.</w:t>
      </w:r>
    </w:p>
    <w:p w:rsidR="00F21976" w:rsidRPr="00F21976" w:rsidRDefault="00F21976" w:rsidP="00F21976">
      <w:pPr>
        <w:pStyle w:val="NumberedParaAR"/>
        <w:keepNext/>
        <w:numPr>
          <w:ilvl w:val="0"/>
          <w:numId w:val="0"/>
        </w:numPr>
        <w:rPr>
          <w:u w:val="single"/>
          <w:rtl/>
        </w:rPr>
      </w:pPr>
      <w:r w:rsidRPr="00F21976">
        <w:rPr>
          <w:rFonts w:hint="cs"/>
          <w:u w:val="single"/>
          <w:rtl/>
        </w:rPr>
        <w:t>بنود تابعة لقرارات الدورة 25 للجنة الميزانية وجمعيات 2016 للدول الأعضاء في الويبو</w:t>
      </w:r>
    </w:p>
    <w:p w:rsidR="00F21976" w:rsidRDefault="00F21976" w:rsidP="00F21976">
      <w:pPr>
        <w:pStyle w:val="NumberedParaAR"/>
        <w:spacing w:after="0"/>
      </w:pPr>
      <w:r w:rsidRPr="00F21976">
        <w:rPr>
          <w:rtl/>
        </w:rPr>
        <w:t>التأمين الصحي بعد انتهاء الخدمة</w:t>
      </w:r>
    </w:p>
    <w:p w:rsidR="00F21976" w:rsidRPr="00F21976" w:rsidRDefault="00F21976" w:rsidP="00F21976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 xml:space="preserve">انظر الوثيقة </w:t>
      </w:r>
      <w:r w:rsidRPr="00F21976">
        <w:t>WO/PBC/26/6</w:t>
      </w:r>
      <w:r w:rsidR="00644BBF">
        <w:rPr>
          <w:rFonts w:hint="cs"/>
          <w:rtl/>
        </w:rPr>
        <w:t>.</w:t>
      </w:r>
    </w:p>
    <w:p w:rsidR="00F21976" w:rsidRDefault="00F21976" w:rsidP="00F21976">
      <w:pPr>
        <w:pStyle w:val="NumberedParaAR"/>
        <w:spacing w:after="0"/>
      </w:pPr>
      <w:r>
        <w:rPr>
          <w:rFonts w:hint="cs"/>
          <w:rtl/>
        </w:rPr>
        <w:t>مسائل الحوكمة</w:t>
      </w:r>
    </w:p>
    <w:p w:rsidR="00F21976" w:rsidRPr="00F21976" w:rsidRDefault="00644BBF" w:rsidP="00644BBF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انظر الوثيقتين:</w:t>
      </w:r>
      <w:r>
        <w:rPr>
          <w:rtl/>
        </w:rPr>
        <w:br/>
      </w:r>
      <w:r w:rsidR="00F21976" w:rsidRPr="00F21976">
        <w:t>WO/PBC/26/8</w:t>
      </w:r>
      <w:r>
        <w:rPr>
          <w:rFonts w:hint="cs"/>
          <w:rtl/>
        </w:rPr>
        <w:t xml:space="preserve"> (</w:t>
      </w:r>
      <w:r w:rsidRPr="00644BBF">
        <w:rPr>
          <w:rFonts w:hint="cs"/>
          <w:rtl/>
        </w:rPr>
        <w:t>عرض بشأن الإصلاح الدستوري</w:t>
      </w:r>
      <w:r>
        <w:rPr>
          <w:rFonts w:hint="cs"/>
          <w:rtl/>
        </w:rPr>
        <w:t>)</w:t>
      </w:r>
      <w:r>
        <w:rPr>
          <w:rtl/>
        </w:rPr>
        <w:br/>
      </w:r>
      <w:r w:rsidRPr="00644BBF">
        <w:t>WO/PBC/26/10</w:t>
      </w:r>
      <w:r>
        <w:rPr>
          <w:rFonts w:hint="cs"/>
          <w:rtl/>
        </w:rPr>
        <w:t xml:space="preserve"> (</w:t>
      </w:r>
      <w:r w:rsidRPr="00644BBF">
        <w:rPr>
          <w:rtl/>
        </w:rPr>
        <w:t xml:space="preserve">اقتراح المجموعة باء بشأن البند </w:t>
      </w:r>
      <w:r w:rsidRPr="00644BBF">
        <w:rPr>
          <w:rFonts w:hint="cs"/>
          <w:rtl/>
        </w:rPr>
        <w:t>9</w:t>
      </w:r>
      <w:r>
        <w:rPr>
          <w:rtl/>
        </w:rPr>
        <w:t xml:space="preserve"> من جدول الأعمال</w:t>
      </w:r>
      <w:r>
        <w:rPr>
          <w:rFonts w:hint="cs"/>
          <w:rtl/>
        </w:rPr>
        <w:t>).</w:t>
      </w:r>
    </w:p>
    <w:p w:rsidR="00F21976" w:rsidRDefault="00F21976" w:rsidP="00F21976">
      <w:pPr>
        <w:pStyle w:val="NumberedParaAR"/>
        <w:spacing w:after="0"/>
      </w:pPr>
      <w:r>
        <w:rPr>
          <w:rFonts w:hint="cs"/>
          <w:rtl/>
        </w:rPr>
        <w:t>فتح مكاتب خارجية جديدة للويبو</w:t>
      </w:r>
    </w:p>
    <w:p w:rsidR="00F21976" w:rsidRPr="00F21976" w:rsidRDefault="008C3732" w:rsidP="00F21976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انظر الوثيقتين:</w:t>
      </w:r>
      <w:r>
        <w:rPr>
          <w:rFonts w:hint="cs"/>
          <w:rtl/>
        </w:rPr>
        <w:br/>
      </w:r>
      <w:r w:rsidR="00F21976" w:rsidRPr="00F21976">
        <w:t>WO/PBC/26/7</w:t>
      </w:r>
      <w:r>
        <w:rPr>
          <w:rFonts w:hint="cs"/>
          <w:rtl/>
        </w:rPr>
        <w:t xml:space="preserve"> (</w:t>
      </w:r>
      <w:r w:rsidRPr="008C3732">
        <w:rPr>
          <w:rtl/>
        </w:rPr>
        <w:t>فتح مكاتب خارجية جديدة للويبو خلال الثنائية 2018/19</w:t>
      </w:r>
      <w:r>
        <w:rPr>
          <w:rFonts w:hint="cs"/>
          <w:rtl/>
        </w:rPr>
        <w:t>)</w:t>
      </w:r>
      <w:r>
        <w:rPr>
          <w:rtl/>
        </w:rPr>
        <w:br/>
      </w:r>
      <w:r w:rsidRPr="008C3732">
        <w:t>A/56/15</w:t>
      </w:r>
      <w:r>
        <w:rPr>
          <w:rFonts w:hint="cs"/>
          <w:rtl/>
        </w:rPr>
        <w:t xml:space="preserve"> (</w:t>
      </w:r>
      <w:r w:rsidRPr="008C3732">
        <w:rPr>
          <w:rtl/>
        </w:rPr>
        <w:t>فتح مكاتب خارجية جديدة للويبو خلال الثنائية 2016/17</w:t>
      </w:r>
      <w:r>
        <w:rPr>
          <w:rFonts w:hint="cs"/>
          <w:rtl/>
        </w:rPr>
        <w:t>)</w:t>
      </w:r>
      <w:r w:rsidR="00644BBF">
        <w:rPr>
          <w:rFonts w:hint="cs"/>
          <w:rtl/>
        </w:rPr>
        <w:t>.</w:t>
      </w:r>
    </w:p>
    <w:p w:rsidR="00F21976" w:rsidRPr="00F21976" w:rsidRDefault="00F21976" w:rsidP="00F21976">
      <w:pPr>
        <w:pStyle w:val="NumberedParaAR"/>
        <w:keepNext/>
        <w:numPr>
          <w:ilvl w:val="0"/>
          <w:numId w:val="0"/>
        </w:numPr>
        <w:rPr>
          <w:u w:val="single"/>
          <w:rtl/>
        </w:rPr>
      </w:pPr>
      <w:r w:rsidRPr="00F21976">
        <w:rPr>
          <w:rFonts w:hint="cs"/>
          <w:u w:val="single"/>
          <w:rtl/>
        </w:rPr>
        <w:t>اختتام الدورة</w:t>
      </w:r>
    </w:p>
    <w:p w:rsidR="00F21976" w:rsidRDefault="00F21976" w:rsidP="008C3732">
      <w:pPr>
        <w:pStyle w:val="NumberedParaAR"/>
        <w:spacing w:after="480"/>
      </w:pPr>
      <w:r>
        <w:rPr>
          <w:rFonts w:hint="cs"/>
          <w:rtl/>
        </w:rPr>
        <w:t>اختتام الدورة</w:t>
      </w:r>
    </w:p>
    <w:p w:rsidR="00BF4A36" w:rsidRDefault="00BF4A36" w:rsidP="00F21976">
      <w:pPr>
        <w:pStyle w:val="EndofDocumentAR"/>
        <w:rPr>
          <w:rtl/>
        </w:rPr>
      </w:pPr>
      <w:r>
        <w:rPr>
          <w:rtl/>
        </w:rPr>
        <w:t>[نهاية الوثيقة]</w:t>
      </w:r>
    </w:p>
    <w:sectPr w:rsidR="00BF4A36" w:rsidSect="00F27A7C">
      <w:headerReference w:type="default" r:id="rId10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36" w:rsidRDefault="00BF4A36">
      <w:r>
        <w:separator/>
      </w:r>
    </w:p>
  </w:endnote>
  <w:endnote w:type="continuationSeparator" w:id="0">
    <w:p w:rsidR="00BF4A36" w:rsidRDefault="00BF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36" w:rsidRDefault="00BF4A36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F4A36" w:rsidRDefault="00BF4A36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065ED1" w:rsidP="00E43419">
    <w:r>
      <w:t>WO/PBC/26</w:t>
    </w:r>
    <w:r w:rsidR="002F77FC">
      <w:t>/</w:t>
    </w:r>
    <w:r w:rsidR="00E43419">
      <w:t>1</w:t>
    </w:r>
  </w:p>
  <w:p w:rsidR="002F77FC" w:rsidRDefault="00F27A7C" w:rsidP="00D61541">
    <w:pPr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847C8">
      <w:rPr>
        <w:noProof/>
      </w:rPr>
      <w:t>2</w:t>
    </w:r>
    <w:r>
      <w:rPr>
        <w:noProof/>
      </w:rPr>
      <w:fldChar w:fldCharType="end"/>
    </w:r>
  </w:p>
  <w:p w:rsidR="005677B7" w:rsidRDefault="005677B7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CA5370"/>
    <w:multiLevelType w:val="hybridMultilevel"/>
    <w:tmpl w:val="158ACC10"/>
    <w:lvl w:ilvl="0" w:tplc="15384FCE">
      <w:start w:val="20"/>
      <w:numFmt w:val="bullet"/>
      <w:lvlText w:val=""/>
      <w:lvlJc w:val="left"/>
      <w:pPr>
        <w:ind w:left="1853" w:hanging="360"/>
      </w:pPr>
      <w:rPr>
        <w:rFonts w:ascii="Wingdings" w:eastAsia="Times New Roman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36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419"/>
    <w:rsid w:val="00063C91"/>
    <w:rsid w:val="000640E7"/>
    <w:rsid w:val="00065ED1"/>
    <w:rsid w:val="00066DC7"/>
    <w:rsid w:val="0006794A"/>
    <w:rsid w:val="00067F31"/>
    <w:rsid w:val="00071138"/>
    <w:rsid w:val="00071160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4718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A05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5E83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16DE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66D5"/>
    <w:rsid w:val="00237419"/>
    <w:rsid w:val="002412D4"/>
    <w:rsid w:val="0024220D"/>
    <w:rsid w:val="00242BD3"/>
    <w:rsid w:val="00242C02"/>
    <w:rsid w:val="00243155"/>
    <w:rsid w:val="0024328E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786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5B9"/>
    <w:rsid w:val="002C2B6F"/>
    <w:rsid w:val="002C2BC4"/>
    <w:rsid w:val="002C314F"/>
    <w:rsid w:val="002C323A"/>
    <w:rsid w:val="002C4AD1"/>
    <w:rsid w:val="002C7D29"/>
    <w:rsid w:val="002D0298"/>
    <w:rsid w:val="002D1662"/>
    <w:rsid w:val="002D1DE5"/>
    <w:rsid w:val="002D323E"/>
    <w:rsid w:val="002D3506"/>
    <w:rsid w:val="002D3670"/>
    <w:rsid w:val="002D4807"/>
    <w:rsid w:val="002D5265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47C8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186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178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162C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8FE"/>
    <w:rsid w:val="00560C6A"/>
    <w:rsid w:val="00560F85"/>
    <w:rsid w:val="005610A0"/>
    <w:rsid w:val="0056248F"/>
    <w:rsid w:val="00564985"/>
    <w:rsid w:val="00565379"/>
    <w:rsid w:val="005674C3"/>
    <w:rsid w:val="005677B7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4C8F"/>
    <w:rsid w:val="005D5912"/>
    <w:rsid w:val="005D5FF0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0791"/>
    <w:rsid w:val="00601A1F"/>
    <w:rsid w:val="00602655"/>
    <w:rsid w:val="00603B68"/>
    <w:rsid w:val="00605297"/>
    <w:rsid w:val="00605676"/>
    <w:rsid w:val="00605CB9"/>
    <w:rsid w:val="006065BF"/>
    <w:rsid w:val="00607C00"/>
    <w:rsid w:val="00610430"/>
    <w:rsid w:val="00611858"/>
    <w:rsid w:val="00614EB1"/>
    <w:rsid w:val="00614F67"/>
    <w:rsid w:val="00615277"/>
    <w:rsid w:val="00615379"/>
    <w:rsid w:val="00615519"/>
    <w:rsid w:val="00615CED"/>
    <w:rsid w:val="00615CFC"/>
    <w:rsid w:val="00616740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4BBF"/>
    <w:rsid w:val="0064656E"/>
    <w:rsid w:val="00646DF5"/>
    <w:rsid w:val="00650397"/>
    <w:rsid w:val="006503D0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B70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00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050"/>
    <w:rsid w:val="006D6E46"/>
    <w:rsid w:val="006D7FA8"/>
    <w:rsid w:val="006E2F98"/>
    <w:rsid w:val="006E3DBD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4A41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B7F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732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762"/>
    <w:rsid w:val="0096587A"/>
    <w:rsid w:val="009666E7"/>
    <w:rsid w:val="00967278"/>
    <w:rsid w:val="00971568"/>
    <w:rsid w:val="00971929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6F85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FBD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4ACF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756D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19D"/>
    <w:rsid w:val="00B362D9"/>
    <w:rsid w:val="00B36B99"/>
    <w:rsid w:val="00B36D20"/>
    <w:rsid w:val="00B36F67"/>
    <w:rsid w:val="00B40633"/>
    <w:rsid w:val="00B406D6"/>
    <w:rsid w:val="00B44049"/>
    <w:rsid w:val="00B44318"/>
    <w:rsid w:val="00B4444B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1D87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A36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099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89"/>
    <w:rsid w:val="00C54DBA"/>
    <w:rsid w:val="00C57643"/>
    <w:rsid w:val="00C57ED3"/>
    <w:rsid w:val="00C61640"/>
    <w:rsid w:val="00C61AA7"/>
    <w:rsid w:val="00C61B8E"/>
    <w:rsid w:val="00C629D0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5E0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637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0BD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4E2F"/>
    <w:rsid w:val="00DF5A8C"/>
    <w:rsid w:val="00DF71D8"/>
    <w:rsid w:val="00E00CCA"/>
    <w:rsid w:val="00E01623"/>
    <w:rsid w:val="00E01E9F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691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3419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170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9739F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4EB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C7511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106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976"/>
    <w:rsid w:val="00F21E77"/>
    <w:rsid w:val="00F24D27"/>
    <w:rsid w:val="00F2520C"/>
    <w:rsid w:val="00F25BCB"/>
    <w:rsid w:val="00F25ECC"/>
    <w:rsid w:val="00F264C1"/>
    <w:rsid w:val="00F26D7F"/>
    <w:rsid w:val="00F27305"/>
    <w:rsid w:val="00F27A7C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68A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04CE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E384-3259-4C90-8CBC-85715700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WO/PBC/26/1 Prov.2 (Arabic)</vt:lpstr>
    </vt:vector>
  </TitlesOfParts>
  <Company>World Intellectual Property Organization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WO/PBC/26/1 Prov.2 (Arabic)</dc:title>
  <dc:creator>AHMIDOUCH Noureddine</dc:creator>
  <cp:lastModifiedBy>CHADAREVIAN Diane</cp:lastModifiedBy>
  <cp:revision>6</cp:revision>
  <cp:lastPrinted>2017-07-10T09:25:00Z</cp:lastPrinted>
  <dcterms:created xsi:type="dcterms:W3CDTF">2017-07-10T09:05:00Z</dcterms:created>
  <dcterms:modified xsi:type="dcterms:W3CDTF">2017-07-10T09:25:00Z</dcterms:modified>
</cp:coreProperties>
</file>